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B657D7" w14:textId="6CE98C13" w:rsidR="00750071" w:rsidRPr="00252F3C" w:rsidRDefault="00246A13" w:rsidP="00C94E26">
      <w:pPr>
        <w:spacing w:after="0"/>
        <w:rPr>
          <w:b/>
          <w:bCs/>
          <w:sz w:val="24"/>
          <w:szCs w:val="24"/>
        </w:rPr>
      </w:pPr>
      <w:r w:rsidRPr="00252F3C">
        <w:rPr>
          <w:b/>
          <w:bCs/>
          <w:sz w:val="24"/>
          <w:szCs w:val="24"/>
        </w:rPr>
        <w:t>Breakthroughs in Agricultural Productivity: Participatory Research and the Phytobiome</w:t>
      </w:r>
    </w:p>
    <w:p w14:paraId="0A09A231" w14:textId="77777777" w:rsidR="00404D1A" w:rsidRPr="00252F3C" w:rsidRDefault="00404D1A" w:rsidP="00C94E26">
      <w:pPr>
        <w:spacing w:after="0"/>
      </w:pPr>
    </w:p>
    <w:p w14:paraId="71E5C5ED" w14:textId="77777777" w:rsidR="001358FB" w:rsidRDefault="001358FB" w:rsidP="004D4441">
      <w:r>
        <w:t>Margaret Zeigler, International Institute for Cooperation on Agriculture</w:t>
      </w:r>
    </w:p>
    <w:p w14:paraId="5E13AB7F" w14:textId="7CB999DA" w:rsidR="001358FB" w:rsidRDefault="001358FB" w:rsidP="004D4441">
      <w:r>
        <w:t>Ann Steensland, Virginia Tech</w:t>
      </w:r>
      <w:bookmarkStart w:id="0" w:name="_GoBack"/>
      <w:bookmarkEnd w:id="0"/>
    </w:p>
    <w:p w14:paraId="7D6AFB81" w14:textId="6C679D8A" w:rsidR="004D4441" w:rsidRPr="00252F3C" w:rsidRDefault="004D4441" w:rsidP="004D4441">
      <w:r w:rsidRPr="00252F3C">
        <w:t>Agriculture and food systems must provide nutrition and agricultural products for nearly 10 billion people by 2050.  Agriculture is a powerful economic driver and by prioritizing agricultural productivity and innovation, food systems can become more resilient and improve the wider economy while generating employment.  Yet, powerful solutions and approaches are needed that must move beyond “low-hanging fruit” when investing in low-income country agriculture systems.  As part of the solution, we discuss innovations such as participatory research models from the International Potato Center (CIP) as well as how to unlock and harness existing plant genetics through the phytobiome.</w:t>
      </w:r>
    </w:p>
    <w:p w14:paraId="0C3F7203" w14:textId="77777777" w:rsidR="004D4441" w:rsidRPr="00252F3C" w:rsidRDefault="004D4441" w:rsidP="004D4441">
      <w:r w:rsidRPr="00252F3C">
        <w:t>Keywords: Agriculture, Agricultural Productivity, Food Systems, Innovation, International Potato Center (CIP), Phytobiome.</w:t>
      </w:r>
    </w:p>
    <w:p w14:paraId="54504857" w14:textId="07225CC9" w:rsidR="0042244E" w:rsidRPr="00252F3C" w:rsidRDefault="0042244E" w:rsidP="00C94E26">
      <w:pPr>
        <w:spacing w:after="0"/>
        <w:rPr>
          <w:b/>
          <w:bCs/>
          <w:u w:val="single"/>
        </w:rPr>
      </w:pPr>
      <w:r w:rsidRPr="00252F3C">
        <w:rPr>
          <w:b/>
          <w:bCs/>
          <w:u w:val="single"/>
        </w:rPr>
        <w:t>Introduction</w:t>
      </w:r>
    </w:p>
    <w:p w14:paraId="4C4E37C0" w14:textId="77777777" w:rsidR="0042244E" w:rsidRPr="00252F3C" w:rsidRDefault="0042244E" w:rsidP="00C94E26">
      <w:pPr>
        <w:spacing w:after="0"/>
      </w:pPr>
    </w:p>
    <w:p w14:paraId="60078AF1" w14:textId="12FE074D" w:rsidR="00C94E26" w:rsidRPr="00252F3C" w:rsidRDefault="00C94E26" w:rsidP="00C94E26">
      <w:pPr>
        <w:spacing w:after="0"/>
      </w:pPr>
      <w:r w:rsidRPr="00252F3C">
        <w:t xml:space="preserve">Agriculture </w:t>
      </w:r>
      <w:r w:rsidR="00A95847" w:rsidRPr="00252F3C">
        <w:t xml:space="preserve">and food systems </w:t>
      </w:r>
      <w:r w:rsidR="00CD0CF9" w:rsidRPr="00252F3C">
        <w:t>today</w:t>
      </w:r>
      <w:r w:rsidR="00A95847" w:rsidRPr="00252F3C">
        <w:t xml:space="preserve"> </w:t>
      </w:r>
      <w:r w:rsidR="001E3C6B" w:rsidRPr="00252F3C">
        <w:t xml:space="preserve">must </w:t>
      </w:r>
      <w:r w:rsidR="00A95847" w:rsidRPr="00252F3C">
        <w:t>provide nutrition and agricultural products</w:t>
      </w:r>
      <w:r w:rsidRPr="00252F3C">
        <w:t xml:space="preserve"> for 7.9 billion people on the planet</w:t>
      </w:r>
      <w:r w:rsidR="00CD0CF9" w:rsidRPr="00252F3C">
        <w:t xml:space="preserve">.  </w:t>
      </w:r>
      <w:r w:rsidR="00233E76" w:rsidRPr="00252F3C">
        <w:t xml:space="preserve">Agriculture </w:t>
      </w:r>
      <w:r w:rsidR="001E3C6B" w:rsidRPr="00252F3C">
        <w:t>is a powerful economic</w:t>
      </w:r>
      <w:r w:rsidRPr="00252F3C">
        <w:t xml:space="preserve"> driver for </w:t>
      </w:r>
      <w:r w:rsidR="001E3C6B" w:rsidRPr="00252F3C">
        <w:t xml:space="preserve">employment and </w:t>
      </w:r>
      <w:r w:rsidRPr="00252F3C">
        <w:t xml:space="preserve">societal development and </w:t>
      </w:r>
      <w:r w:rsidR="00233E76" w:rsidRPr="00252F3C">
        <w:t>is inextricably linked</w:t>
      </w:r>
      <w:r w:rsidRPr="00252F3C">
        <w:t xml:space="preserve"> with the natural environment. </w:t>
      </w:r>
      <w:r w:rsidR="00750071" w:rsidRPr="00252F3C">
        <w:t xml:space="preserve">GDP growth originating in agriculture stimulates income growth among the 40 percent </w:t>
      </w:r>
      <w:r w:rsidR="00A10347" w:rsidRPr="00252F3C">
        <w:t xml:space="preserve">who are the </w:t>
      </w:r>
      <w:r w:rsidR="00750071" w:rsidRPr="00252F3C">
        <w:t>poorest</w:t>
      </w:r>
      <w:r w:rsidR="00D663BD" w:rsidRPr="00252F3C">
        <w:t xml:space="preserve">. </w:t>
      </w:r>
      <w:r w:rsidR="00D663BD" w:rsidRPr="00252F3C">
        <w:fldChar w:fldCharType="begin"/>
      </w:r>
      <w:r w:rsidR="00D663BD" w:rsidRPr="00252F3C">
        <w:instrText xml:space="preserve"> ADDIN ZOTERO_ITEM CSL_CITATION {"citationID":"lDf6TzuY","properties":{"formattedCitation":"(de Janvry &amp; Sadoulet, 2010)","plainCitation":"(de Janvry &amp; Sadoulet, 2010)","noteIndex":0},"citationItems":[{"id":1033,"uris":["http://zotero.org/users/20058/items/WBYJIL9Q"],"uri":["http://zotero.org/users/20058/items/WBYJIL9Q"],"itemData":{"id":1033,"type":"article-journal","container-title":"The World Bank Research Observer","DOI":"10.1093/wbro/lkp015","ISSN":"0257-3032, 1564-6971","issue":"1","journalAbbreviation":"The World Bank Research Observer","language":"en","page":"1-20","source":"DOI.org (Crossref)","title":"Agricultural Growth and Poverty Reduction: Additional Evidence","title-short":"Agricultural Growth and Poverty Reduction","URL":"https://academic.oup.com/wbro/article-lookup/doi/10.1093/wbro/lkp015","volume":"25","author":[{"family":"Janvry","given":"A.","non-dropping-particle":"de"},{"family":"Sadoulet","given":"E."}],"accessed":{"date-parts":[["2021",12,17]]},"issued":{"date-parts":[["2010",2,1]]}}}],"schema":"https://github.com/citation-style-language/schema/raw/master/csl-citation.json"} </w:instrText>
      </w:r>
      <w:r w:rsidR="00D663BD" w:rsidRPr="00252F3C">
        <w:fldChar w:fldCharType="separate"/>
      </w:r>
      <w:r w:rsidR="00D663BD" w:rsidRPr="00252F3C">
        <w:rPr>
          <w:rFonts w:ascii="Calibri" w:hAnsi="Calibri" w:cs="Calibri"/>
        </w:rPr>
        <w:t>(de Janvry &amp; Sadoulet, 2010)</w:t>
      </w:r>
      <w:r w:rsidR="00D663BD" w:rsidRPr="00252F3C">
        <w:fldChar w:fldCharType="end"/>
      </w:r>
      <w:r w:rsidR="00B67744" w:rsidRPr="00252F3C">
        <w:t xml:space="preserve"> </w:t>
      </w:r>
      <w:r w:rsidR="00750071" w:rsidRPr="00252F3C">
        <w:t>The power of agriculture comes not only from its direct poverty</w:t>
      </w:r>
      <w:r w:rsidR="00073CFD" w:rsidRPr="00252F3C">
        <w:t>-</w:t>
      </w:r>
      <w:r w:rsidR="00750071" w:rsidRPr="00252F3C">
        <w:t xml:space="preserve">reduction effect but also from its potentially strong growth linkage effects on the rest of the economy. </w:t>
      </w:r>
      <w:r w:rsidR="00D663BD" w:rsidRPr="00252F3C">
        <w:fldChar w:fldCharType="begin"/>
      </w:r>
      <w:r w:rsidR="00D663BD" w:rsidRPr="00252F3C">
        <w:instrText xml:space="preserve"> ADDIN ZOTERO_ITEM CSL_CITATION {"citationID":"syIdSvC7","properties":{"formattedCitation":"(de Janvry &amp; Sadoulet, 2010; Fugile et al., 2020)","plainCitation":"(de Janvry &amp; Sadoulet, 2010; Fugile et al., 2020)","noteIndex":0},"citationItems":[{"id":1033,"uris":["http://zotero.org/users/20058/items/WBYJIL9Q"],"uri":["http://zotero.org/users/20058/items/WBYJIL9Q"],"itemData":{"id":1033,"type":"article-journal","container-title":"The World Bank Research Observer","DOI":"10.1093/wbro/lkp015","ISSN":"0257-3032, 1564-6971","issue":"1","journalAbbreviation":"The World Bank Research Observer","language":"en","page":"1-20","source":"DOI.org (Crossref)","title":"Agricultural Growth and Poverty Reduction: Additional Evidence","title-short":"Agricultural Growth and Poverty Reduction","URL":"https://academic.oup.com/wbro/article-lookup/doi/10.1093/wbro/lkp015","volume":"25","author":[{"family":"Janvry","given":"A.","non-dropping-particle":"de"},{"family":"Sadoulet","given":"E."}],"accessed":{"date-parts":[["2021",12,17]]},"issued":{"date-parts":[["2010",2,1]]}}},{"id":990,"uris":["http://zotero.org/users/20058/items/ZZHW9A5E"],"uri":["http://zotero.org/users/20058/items/ZZHW9A5E"],"itemData":{"id":990,"type":"book","abstract":"\"This book documents frontier knowledge on the drivers of agriculture productivity to derive pragmatic policy advice for governments and development partners on reducing poverty and boosting shared prosperity. The analysis describes global trends and long-term sources of total factor productivity growth, along with broad trends in partial factor productivity for land and labor, revisiting the question of scale economies in farming. Technology is central to growth in agricultural productivity, yet across many parts of the developing world, readily available technology is never taken up. We investigate demand-side constraints of the technology equation to analyze factors that might influence producers, particularly poor producers, to adopt modern technology. Agriculture and food systems are rapidly transforming, characterized by shifting food preferences, the rise and growing sophistication of value chains, the increasing globalization of agriculture, and the expanding role of the public and private sectors in bringing about efficient and more rapid productivity growth. In light of this transformation, the analysis focuses on the supply side of the technology equation, exploring how the enabling environment and regulations related to trade and intellectual property rights stimulate Research and Development to raise productivity. The book also discusses emerging developments in modern value chains that contribute to rising productivity. This book is the fourth volume of the World Bank Productivity Project, which seeks to bring frontier thinking on the measurement and determinants of productivity to global policy makers\"--","event-place":"Washington","ISBN":"978-1-4648-1393-1","publisher":"World Bank Group","publisher-place":"Washington","source":"Library of Congress ISBN","title":"Harvesting prosperity: technology and productivity growth in agriculture","title-short":"Harvesting prosperity","author":[{"family":"Fugile","given":"Keith"},{"family":"Gautam","given":"Madhur"},{"family":"Goyal","given":"Aparajita"},{"family":"Maloney","given":"William F."}],"issued":{"date-parts":[["2020"]]}}}],"schema":"https://github.com/citation-style-language/schema/raw/master/csl-citation.json"} </w:instrText>
      </w:r>
      <w:r w:rsidR="00D663BD" w:rsidRPr="00252F3C">
        <w:fldChar w:fldCharType="separate"/>
      </w:r>
      <w:r w:rsidR="00D663BD" w:rsidRPr="00252F3C">
        <w:rPr>
          <w:rFonts w:ascii="Calibri" w:hAnsi="Calibri" w:cs="Calibri"/>
        </w:rPr>
        <w:t>(de Janvry &amp; Sadoulet, 2010; Fugl</w:t>
      </w:r>
      <w:r w:rsidR="00710200" w:rsidRPr="00252F3C">
        <w:rPr>
          <w:rFonts w:ascii="Calibri" w:hAnsi="Calibri" w:cs="Calibri"/>
        </w:rPr>
        <w:t>i</w:t>
      </w:r>
      <w:r w:rsidR="00D663BD" w:rsidRPr="00252F3C">
        <w:rPr>
          <w:rFonts w:ascii="Calibri" w:hAnsi="Calibri" w:cs="Calibri"/>
        </w:rPr>
        <w:t>e et al., 2020)</w:t>
      </w:r>
      <w:r w:rsidR="00D663BD" w:rsidRPr="00252F3C">
        <w:fldChar w:fldCharType="end"/>
      </w:r>
      <w:r w:rsidR="00D663BD" w:rsidRPr="00252F3C">
        <w:t xml:space="preserve"> </w:t>
      </w:r>
      <w:r w:rsidRPr="00252F3C">
        <w:t xml:space="preserve"> </w:t>
      </w:r>
    </w:p>
    <w:p w14:paraId="6D525F99" w14:textId="0C2A6240" w:rsidR="00C94E26" w:rsidRPr="00252F3C" w:rsidRDefault="00C94E26" w:rsidP="00C94E26">
      <w:pPr>
        <w:spacing w:after="0"/>
      </w:pPr>
    </w:p>
    <w:p w14:paraId="2846B8B3" w14:textId="1C0C688A" w:rsidR="00846B69" w:rsidRPr="00252F3C" w:rsidRDefault="001E3C6B" w:rsidP="00846B69">
      <w:pPr>
        <w:spacing w:after="0"/>
      </w:pPr>
      <w:r w:rsidRPr="00252F3C">
        <w:t>By prioritizing agricultural productivity, food systems can become more resilient and improve the wider economy while generating employment</w:t>
      </w:r>
      <w:r w:rsidR="00D663BD" w:rsidRPr="00252F3C">
        <w:t xml:space="preserve">. </w:t>
      </w:r>
      <w:r w:rsidR="00D663BD" w:rsidRPr="00252F3C">
        <w:fldChar w:fldCharType="begin"/>
      </w:r>
      <w:r w:rsidR="00D663BD" w:rsidRPr="00252F3C">
        <w:instrText xml:space="preserve"> ADDIN ZOTERO_ITEM CSL_CITATION {"citationID":"wgLjUeLM","properties":{"formattedCitation":"(Mellor, 2017; Mellor &amp; Ranade, 2006)","plainCitation":"(Mellor, 2017; Mellor &amp; Ranade, 2006)","noteIndex":0},"citationItems":[{"id":1039,"uris":["http://zotero.org/users/20058/items/NJ3ED9VR"],"uri":["http://zotero.org/users/20058/items/NJ3ED9VR"],"itemData":{"id":1039,"type":"chapter","abstract":"This chapter measures the impact of rapid growth in agricultural production on income, employment, and food security. It does so by accommodating the variables described in Chap. 2in a spreadsheet and calculating and comparing the effect of a six percent and a three percent growth rate in agricultural production. The methodology is presented, followed by application to three percent and six percent agricultural production growth rates and then the effect of converting feudal land holdings to small commercial farms. The applications are to Ethiopia and two quite different provinces in Pakistan. A sensitivity test of change in the employment elasticities is carried out and the results sensitive to that assumption are shown.","container-title":"Agricultural Development and Economic Transformation: Promoting Growth with Poverty Reduction","event-place":"Cham","ISBN":"978-3-319-65259-7","note":"DOI: 10.1007/978-3-319-65259-7_3","page":"29–46","publisher":"Springer International Publishing","publisher-place":"Cham","title":"Measuring the Impact of Agricultural Growth on Economic Transformation","URL":"https://doi.org/10.1007/978-3-319-65259-7_3","author":[{"family":"Mellor","given":"John W."}],"issued":{"date-parts":[["2017"]]}}},{"id":1040,"uris":["http://zotero.org/users/20058/items/YJNM9Q5T"],"uri":["http://zotero.org/users/20058/items/YJNM9Q5T"],"itemData":{"id":1040,"type":"article-journal","abstract":"[This paper provides an explanation of the relation between agricultural growth and poverty reduction for open economies with full employment. The analysis also shows that the poverty-reducing impact of agricultural growth in an open economy is far greater if there is unemployed labour or if the supply of labour is highly elastic— conditions often thought to prevail even in open economies. The model draws attention to the critical role of the rural non-tradable sector in poverty reduction. While ample data are available to show that sector to have a large share of employment, even relative to agriculture itself, data for other variables for the sector such as the share of GDP, labour intensity, price, and income elasticities of demand are not available. Thus, an important contribution of the paper is to establish the need for such data if the processes of poverty reduction are to be understood.]","archive":"JSTOR","container-title":"The Pakistan Development Review","ISSN":"00309729","issue":"2","note":"publisher: Pakistan Institute of Development Economics, Islamabad","page":"221-240","title":"Why Does Agricultural Growth Dominate Poverty Reduction in Low- and Middle-income Countries?","URL":"http://www.jstor.org/stable/41260755","volume":"45","author":[{"family":"Mellor","given":"John W."},{"family":"Ranade","given":"Chandrashekhar"}],"accessed":{"date-parts":[["2021",12,17]]},"issued":{"date-parts":[["2006"]]}}}],"schema":"https://github.com/citation-style-language/schema/raw/master/csl-citation.json"} </w:instrText>
      </w:r>
      <w:r w:rsidR="00D663BD" w:rsidRPr="00252F3C">
        <w:fldChar w:fldCharType="separate"/>
      </w:r>
      <w:r w:rsidR="00D663BD" w:rsidRPr="00252F3C">
        <w:rPr>
          <w:rFonts w:ascii="Calibri" w:hAnsi="Calibri" w:cs="Calibri"/>
        </w:rPr>
        <w:t>(Mellor, 2017; Mellor &amp; Ranade, 2006)</w:t>
      </w:r>
      <w:r w:rsidR="00D663BD" w:rsidRPr="00252F3C">
        <w:fldChar w:fldCharType="end"/>
      </w:r>
      <w:r w:rsidR="007568E3" w:rsidRPr="00252F3C">
        <w:t xml:space="preserve"> </w:t>
      </w:r>
      <w:r w:rsidR="00846B69" w:rsidRPr="00252F3C">
        <w:t xml:space="preserve">Public and private investments in agricultural </w:t>
      </w:r>
      <w:r w:rsidR="00A95847" w:rsidRPr="00252F3C">
        <w:t>research and development (R</w:t>
      </w:r>
      <w:r w:rsidR="00846B69" w:rsidRPr="00252F3C">
        <w:t>&amp;D</w:t>
      </w:r>
      <w:r w:rsidR="00A95847" w:rsidRPr="00252F3C">
        <w:t>)</w:t>
      </w:r>
      <w:r w:rsidR="00846B69" w:rsidRPr="00252F3C">
        <w:t xml:space="preserve"> have been the primary drivers of long-term agricultural productivity growth in high-income countries</w:t>
      </w:r>
      <w:r w:rsidR="00D663BD" w:rsidRPr="00252F3C">
        <w:t xml:space="preserve">. </w:t>
      </w:r>
      <w:r w:rsidR="00D663BD" w:rsidRPr="00252F3C">
        <w:fldChar w:fldCharType="begin"/>
      </w:r>
      <w:r w:rsidR="00D663BD" w:rsidRPr="00252F3C">
        <w:instrText xml:space="preserve"> ADDIN ZOTERO_ITEM CSL_CITATION {"citationID":"xhNxoU9c","properties":{"formattedCitation":"(Heisey &amp; Fuglie, 2018)","plainCitation":"(Heisey &amp; Fuglie, 2018)","noteIndex":0},"citationItems":[{"id":1041,"uris":["http://zotero.org/users/20058/items/FCK452LX"],"uri":["http://zotero.org/users/20058/items/FCK452LX"],"itemData":{"id":1041,"type":"report","number":"ERR-249","publisher":"U.S. Department of Agriculture, Economic Research Service","title":"Agricultural research investment and policy reform in high-income countries","URL":"https://www.ers.usda.gov/webdocs/publications/89114/err-249.pdf?v=0","author":[{"family":"Heisey","given":"Paul"},{"family":"Fuglie","given":"Keith O."}],"issued":{"date-parts":[["2018",5]]}}}],"schema":"https://github.com/citation-style-language/schema/raw/master/csl-citation.json"} </w:instrText>
      </w:r>
      <w:r w:rsidR="00D663BD" w:rsidRPr="00252F3C">
        <w:fldChar w:fldCharType="separate"/>
      </w:r>
      <w:r w:rsidR="00D663BD" w:rsidRPr="00252F3C">
        <w:rPr>
          <w:rFonts w:ascii="Calibri" w:hAnsi="Calibri" w:cs="Calibri"/>
        </w:rPr>
        <w:t>(Heisey &amp; Fuglie, 2018)</w:t>
      </w:r>
      <w:r w:rsidR="00D663BD" w:rsidRPr="00252F3C">
        <w:fldChar w:fldCharType="end"/>
      </w:r>
      <w:r w:rsidR="00073CFD" w:rsidRPr="00252F3C">
        <w:t xml:space="preserve"> </w:t>
      </w:r>
      <w:r w:rsidR="00846B69" w:rsidRPr="00252F3C">
        <w:t xml:space="preserve">Productivity growth in agriculture has raised the competitiveness of the sector and enabled the U.S. and other developed countries to expand output and withdraw resources such as labor and capital from the sector for use elsewhere in the economy. The economic value of productivity improvement has been high relative to R&amp;D spending in these countries, leading to high economic returns to public agricultural research. </w:t>
      </w:r>
      <w:r w:rsidR="00D663BD" w:rsidRPr="00252F3C">
        <w:fldChar w:fldCharType="begin"/>
      </w:r>
      <w:r w:rsidR="00D663BD" w:rsidRPr="00252F3C">
        <w:instrText xml:space="preserve"> ADDIN ZOTERO_ITEM CSL_CITATION {"citationID":"F9mKVh06","properties":{"formattedCitation":"(Heisey &amp; Fuglie, 2018)","plainCitation":"(Heisey &amp; Fuglie, 2018)","noteIndex":0},"citationItems":[{"id":1041,"uris":["http://zotero.org/users/20058/items/FCK452LX"],"uri":["http://zotero.org/users/20058/items/FCK452LX"],"itemData":{"id":1041,"type":"report","number":"ERR-249","publisher":"U.S. Department of Agriculture, Economic Research Service","title":"Agricultural research investment and policy reform in high-income countries","URL":"https://www.ers.usda.gov/webdocs/publications/89114/err-249.pdf?v=0","author":[{"family":"Heisey","given":"Paul"},{"family":"Fuglie","given":"Keith O."}],"issued":{"date-parts":[["2018",5]]}}}],"schema":"https://github.com/citation-style-language/schema/raw/master/csl-citation.json"} </w:instrText>
      </w:r>
      <w:r w:rsidR="00D663BD" w:rsidRPr="00252F3C">
        <w:fldChar w:fldCharType="separate"/>
      </w:r>
      <w:r w:rsidR="00D663BD" w:rsidRPr="00252F3C">
        <w:rPr>
          <w:rFonts w:ascii="Calibri" w:hAnsi="Calibri" w:cs="Calibri"/>
        </w:rPr>
        <w:t>(Heisey &amp; Fuglie, 2018)</w:t>
      </w:r>
      <w:r w:rsidR="00D663BD" w:rsidRPr="00252F3C">
        <w:fldChar w:fldCharType="end"/>
      </w:r>
    </w:p>
    <w:p w14:paraId="0FCAC113" w14:textId="705DBC7B" w:rsidR="006515C9" w:rsidRPr="00252F3C" w:rsidRDefault="006515C9" w:rsidP="00846B69">
      <w:pPr>
        <w:spacing w:after="0"/>
      </w:pPr>
    </w:p>
    <w:p w14:paraId="1456FB32" w14:textId="1B4A9AC0" w:rsidR="006515C9" w:rsidRPr="00252F3C" w:rsidRDefault="006515C9" w:rsidP="006515C9">
      <w:pPr>
        <w:spacing w:after="0"/>
      </w:pPr>
      <w:r w:rsidRPr="00252F3C">
        <w:t>For example, beginning in the 1860s, society in the United States has moved from one in which nearly 60 percent of the population lived and worked on farms to one in which only 2 percent of the population are involved in direct production agriculture</w:t>
      </w:r>
      <w:r w:rsidR="00D663BD" w:rsidRPr="00252F3C">
        <w:t xml:space="preserve">. </w:t>
      </w:r>
      <w:r w:rsidR="00D663BD" w:rsidRPr="00252F3C">
        <w:fldChar w:fldCharType="begin"/>
      </w:r>
      <w:r w:rsidR="00D663BD" w:rsidRPr="00252F3C">
        <w:instrText xml:space="preserve"> ADDIN ZOTERO_ITEM CSL_CITATION {"citationID":"pblHsTps","properties":{"formattedCitation":"(Heisey &amp; Fuglie, 2018)","plainCitation":"(Heisey &amp; Fuglie, 2018)","noteIndex":0},"citationItems":[{"id":1041,"uris":["http://zotero.org/users/20058/items/FCK452LX"],"uri":["http://zotero.org/users/20058/items/FCK452LX"],"itemData":{"id":1041,"type":"report","number":"ERR-249","publisher":"U.S. Department of Agriculture, Economic Research Service","title":"Agricultural research investment and policy reform in high-income countries","URL":"https://www.ers.usda.gov/webdocs/publications/89114/err-249.pdf?v=0","author":[{"family":"Heisey","given":"Paul"},{"family":"Fuglie","given":"Keith O."}],"issued":{"date-parts":[["2018",5]]}}}],"schema":"https://github.com/citation-style-language/schema/raw/master/csl-citation.json"} </w:instrText>
      </w:r>
      <w:r w:rsidR="00D663BD" w:rsidRPr="00252F3C">
        <w:fldChar w:fldCharType="separate"/>
      </w:r>
      <w:r w:rsidR="00D663BD" w:rsidRPr="00252F3C">
        <w:rPr>
          <w:rFonts w:ascii="Calibri" w:hAnsi="Calibri" w:cs="Calibri"/>
        </w:rPr>
        <w:t>(Heisey &amp; Fuglie, 2018)</w:t>
      </w:r>
      <w:r w:rsidR="00D663BD" w:rsidRPr="00252F3C">
        <w:fldChar w:fldCharType="end"/>
      </w:r>
      <w:r w:rsidRPr="00252F3C">
        <w:t xml:space="preserve"> This began in 1862 with the passage of the Morrill Land Grant College Act by the U.S. Congress, which established the national system of colleges and universities offering instruction and research in agriculture science and practice. Since that time, the U.S. has prioritized investments in agricultural science, research, and development leading to higher agricultural productivity and by establishing a robust agricultural enterprise leading to high economic growth rates.  </w:t>
      </w:r>
    </w:p>
    <w:p w14:paraId="5714BEEE" w14:textId="77777777" w:rsidR="006515C9" w:rsidRPr="00252F3C" w:rsidRDefault="006515C9" w:rsidP="00846B69">
      <w:pPr>
        <w:spacing w:after="0"/>
      </w:pPr>
    </w:p>
    <w:p w14:paraId="15DA6BC3" w14:textId="4AC7ABFD" w:rsidR="0064430B" w:rsidRPr="00252F3C" w:rsidRDefault="0064430B" w:rsidP="00846B69">
      <w:pPr>
        <w:spacing w:after="0"/>
      </w:pPr>
      <w:r w:rsidRPr="00252F3C">
        <w:lastRenderedPageBreak/>
        <w:t xml:space="preserve">By fostering additional investments in developing countries for agricultural research and innovation, more countries can transform their economies and achieve sustainable, productive food systems. Here we outline several priorities and scientific breakthroughs that can help with this transformation through public and private partnerships that are emerging in the arena of crop science. </w:t>
      </w:r>
    </w:p>
    <w:p w14:paraId="392DACB0" w14:textId="77777777" w:rsidR="00846B69" w:rsidRPr="00252F3C" w:rsidRDefault="00846B69" w:rsidP="00AF3540">
      <w:pPr>
        <w:spacing w:after="0"/>
      </w:pPr>
    </w:p>
    <w:p w14:paraId="70010C4D" w14:textId="41F4926A" w:rsidR="00846B69" w:rsidRPr="00252F3C" w:rsidRDefault="00846B69" w:rsidP="00846B69">
      <w:pPr>
        <w:spacing w:after="0"/>
        <w:rPr>
          <w:b/>
          <w:bCs/>
          <w:u w:val="single"/>
        </w:rPr>
      </w:pPr>
      <w:r w:rsidRPr="00252F3C">
        <w:rPr>
          <w:b/>
          <w:bCs/>
          <w:u w:val="single"/>
        </w:rPr>
        <w:t xml:space="preserve">More </w:t>
      </w:r>
      <w:r w:rsidR="00D25531" w:rsidRPr="00252F3C">
        <w:rPr>
          <w:b/>
          <w:bCs/>
          <w:u w:val="single"/>
        </w:rPr>
        <w:t>p</w:t>
      </w:r>
      <w:r w:rsidRPr="00252F3C">
        <w:rPr>
          <w:b/>
          <w:bCs/>
          <w:u w:val="single"/>
        </w:rPr>
        <w:t xml:space="preserve">roductivity for </w:t>
      </w:r>
      <w:r w:rsidR="00D25531" w:rsidRPr="00252F3C">
        <w:rPr>
          <w:b/>
          <w:bCs/>
          <w:u w:val="single"/>
        </w:rPr>
        <w:t>m</w:t>
      </w:r>
      <w:r w:rsidRPr="00252F3C">
        <w:rPr>
          <w:b/>
          <w:bCs/>
          <w:u w:val="single"/>
        </w:rPr>
        <w:t xml:space="preserve">ore </w:t>
      </w:r>
      <w:r w:rsidR="00D25531" w:rsidRPr="00252F3C">
        <w:rPr>
          <w:b/>
          <w:bCs/>
          <w:u w:val="single"/>
        </w:rPr>
        <w:t>c</w:t>
      </w:r>
      <w:r w:rsidRPr="00252F3C">
        <w:rPr>
          <w:b/>
          <w:bCs/>
          <w:u w:val="single"/>
        </w:rPr>
        <w:t>ountries</w:t>
      </w:r>
    </w:p>
    <w:p w14:paraId="3F09020C" w14:textId="77777777" w:rsidR="00846B69" w:rsidRPr="00252F3C" w:rsidRDefault="00846B69" w:rsidP="00846B69">
      <w:pPr>
        <w:spacing w:after="0"/>
      </w:pPr>
    </w:p>
    <w:p w14:paraId="068E26DE" w14:textId="20F2A16A" w:rsidR="00D20C73" w:rsidRPr="00252F3C" w:rsidRDefault="00D20C73" w:rsidP="00846B69">
      <w:pPr>
        <w:spacing w:after="0"/>
      </w:pPr>
      <w:r w:rsidRPr="00252F3C">
        <w:t xml:space="preserve">By 2050, nearly 10 billion people will require more food, feed, </w:t>
      </w:r>
      <w:r w:rsidR="006515C9" w:rsidRPr="00252F3C">
        <w:t>fiber,</w:t>
      </w:r>
      <w:r w:rsidRPr="00252F3C">
        <w:t xml:space="preserve"> and biofuels to achieve healthy lives and thriving societies. How to achieve this with the existing land, water</w:t>
      </w:r>
      <w:r w:rsidR="007E3CAD" w:rsidRPr="00252F3C">
        <w:t>,</w:t>
      </w:r>
      <w:r w:rsidRPr="00252F3C">
        <w:t xml:space="preserve"> and environmental limits will be a profound challenge for humankind. </w:t>
      </w:r>
    </w:p>
    <w:p w14:paraId="6155A115" w14:textId="77777777" w:rsidR="0064430B" w:rsidRPr="00252F3C" w:rsidRDefault="0064430B" w:rsidP="00846B69">
      <w:pPr>
        <w:spacing w:after="0"/>
      </w:pPr>
    </w:p>
    <w:p w14:paraId="43367431" w14:textId="5D213F6A" w:rsidR="00846B69" w:rsidRPr="00252F3C" w:rsidRDefault="00D20C73" w:rsidP="00846B69">
      <w:pPr>
        <w:spacing w:after="0"/>
      </w:pPr>
      <w:r w:rsidRPr="00252F3C">
        <w:t>Particularly troubling is that p</w:t>
      </w:r>
      <w:r w:rsidR="00846B69" w:rsidRPr="00252F3C">
        <w:t xml:space="preserve">roductivity in agriculture has not been achieved at a wide scale yet in </w:t>
      </w:r>
      <w:r w:rsidR="007E3CAD" w:rsidRPr="00252F3C">
        <w:t xml:space="preserve">many </w:t>
      </w:r>
      <w:r w:rsidR="00846B69" w:rsidRPr="00252F3C">
        <w:t>lower-income countries. Productivity, especially among smallholder farmers, must be prioritized to achieve the Sustainable Development Goal 2.3:</w:t>
      </w:r>
    </w:p>
    <w:p w14:paraId="74C1D649" w14:textId="77777777" w:rsidR="00846B69" w:rsidRPr="00252F3C" w:rsidRDefault="00846B69" w:rsidP="00846B69">
      <w:pPr>
        <w:spacing w:after="0"/>
      </w:pPr>
    </w:p>
    <w:p w14:paraId="5953AC0A" w14:textId="2D3E303A" w:rsidR="00846B69" w:rsidRPr="00252F3C" w:rsidRDefault="00846B69" w:rsidP="00846B69">
      <w:pPr>
        <w:spacing w:after="0"/>
        <w:ind w:left="720"/>
      </w:pPr>
      <w:r w:rsidRPr="00252F3C">
        <w:rPr>
          <w:i/>
          <w:iCs/>
        </w:rPr>
        <w:t xml:space="preserve">By 2030, double the agricultural productivity and incomes of small-scale food producers, in particular women, indigenous peoples, family farmers, </w:t>
      </w:r>
      <w:r w:rsidR="00D14EC4" w:rsidRPr="00252F3C">
        <w:rPr>
          <w:i/>
          <w:iCs/>
        </w:rPr>
        <w:t>pastoralists,</w:t>
      </w:r>
      <w:r w:rsidRPr="00252F3C">
        <w:rPr>
          <w:i/>
          <w:iCs/>
        </w:rPr>
        <w:t xml:space="preserve"> and fishers, including through secure and equal access to land, other productive resources and inputs, knowledge, financial services, markets and opportunities for value addition and non-farm employment.</w:t>
      </w:r>
    </w:p>
    <w:p w14:paraId="1E203A51" w14:textId="77777777" w:rsidR="0064430B" w:rsidRPr="00252F3C" w:rsidRDefault="0064430B" w:rsidP="00846B69">
      <w:pPr>
        <w:spacing w:after="0"/>
      </w:pPr>
    </w:p>
    <w:p w14:paraId="79FBD16C" w14:textId="1D3E092B" w:rsidR="00846B69" w:rsidRPr="00252F3C" w:rsidRDefault="00846B69" w:rsidP="00846B69">
      <w:pPr>
        <w:spacing w:after="0"/>
      </w:pPr>
      <w:r w:rsidRPr="00252F3C">
        <w:t xml:space="preserve">Improved productivity is a prerequisite for smallholder agriculture to become more resilient in the face of climate change. Increased agricultural productivity allows smallholders to minimize agricultural inputs, achieve and maintain food security, insulate agri-food systems against shocks, and to conserve and manage natural resources—lands, water, and ecological systems. </w:t>
      </w:r>
      <w:r w:rsidR="00D663BD" w:rsidRPr="00252F3C">
        <w:fldChar w:fldCharType="begin"/>
      </w:r>
      <w:r w:rsidR="00D663BD" w:rsidRPr="00252F3C">
        <w:instrText xml:space="preserve"> ADDIN ZOTERO_ITEM CSL_CITATION {"citationID":"zhN0PP6K","properties":{"formattedCitation":"(Fugile et al., 2020)","plainCitation":"(Fugile et al., 2020)","noteIndex":0},"citationItems":[{"id":990,"uris":["http://zotero.org/users/20058/items/ZZHW9A5E"],"uri":["http://zotero.org/users/20058/items/ZZHW9A5E"],"itemData":{"id":990,"type":"book","abstract":"\"This book documents frontier knowledge on the drivers of agriculture productivity to derive pragmatic policy advice for governments and development partners on reducing poverty and boosting shared prosperity. The analysis describes global trends and long-term sources of total factor productivity growth, along with broad trends in partial factor productivity for land and labor, revisiting the question of scale economies in farming. Technology is central to growth in agricultural productivity, yet across many parts of the developing world, readily available technology is never taken up. We investigate demand-side constraints of the technology equation to analyze factors that might influence producers, particularly poor producers, to adopt modern technology. Agriculture and food systems are rapidly transforming, characterized by shifting food preferences, the rise and growing sophistication of value chains, the increasing globalization of agriculture, and the expanding role of the public and private sectors in bringing about efficient and more rapid productivity growth. In light of this transformation, the analysis focuses on the supply side of the technology equation, exploring how the enabling environment and regulations related to trade and intellectual property rights stimulate Research and Development to raise productivity. The book also discusses emerging developments in modern value chains that contribute to rising productivity. This book is the fourth volume of the World Bank Productivity Project, which seeks to bring frontier thinking on the measurement and determinants of productivity to global policy makers\"--","event-place":"Washington","ISBN":"978-1-4648-1393-1","publisher":"World Bank Group","publisher-place":"Washington","source":"Library of Congress ISBN","title":"Harvesting prosperity: technology and productivity growth in agriculture","title-short":"Harvesting prosperity","author":[{"family":"Fugile","given":"Keith"},{"family":"Gautam","given":"Madhur"},{"family":"Goyal","given":"Aparajita"},{"family":"Maloney","given":"William F."}],"issued":{"date-parts":[["2020"]]}}}],"schema":"https://github.com/citation-style-language/schema/raw/master/csl-citation.json"} </w:instrText>
      </w:r>
      <w:r w:rsidR="00D663BD" w:rsidRPr="00252F3C">
        <w:fldChar w:fldCharType="separate"/>
      </w:r>
      <w:r w:rsidR="00D663BD" w:rsidRPr="00252F3C">
        <w:rPr>
          <w:rFonts w:ascii="Calibri" w:hAnsi="Calibri" w:cs="Calibri"/>
        </w:rPr>
        <w:t>(Fugl</w:t>
      </w:r>
      <w:r w:rsidR="00710200" w:rsidRPr="00252F3C">
        <w:rPr>
          <w:rFonts w:ascii="Calibri" w:hAnsi="Calibri" w:cs="Calibri"/>
        </w:rPr>
        <w:t>i</w:t>
      </w:r>
      <w:r w:rsidR="00D663BD" w:rsidRPr="00252F3C">
        <w:rPr>
          <w:rFonts w:ascii="Calibri" w:hAnsi="Calibri" w:cs="Calibri"/>
        </w:rPr>
        <w:t>e et al., 2020)</w:t>
      </w:r>
      <w:r w:rsidR="00D663BD" w:rsidRPr="00252F3C">
        <w:fldChar w:fldCharType="end"/>
      </w:r>
    </w:p>
    <w:p w14:paraId="2EF7B50A" w14:textId="77777777" w:rsidR="00846B69" w:rsidRPr="00252F3C" w:rsidRDefault="00846B69" w:rsidP="00AF3540">
      <w:pPr>
        <w:spacing w:after="0"/>
      </w:pPr>
    </w:p>
    <w:p w14:paraId="17BEEFA3" w14:textId="7BF261FC" w:rsidR="00AF618E" w:rsidRPr="00252F3C" w:rsidRDefault="00AF618E" w:rsidP="00AF618E">
      <w:pPr>
        <w:spacing w:after="0"/>
      </w:pPr>
      <w:r w:rsidRPr="00252F3C">
        <w:t xml:space="preserve">Productivity in agriculture is distinct from “output” and “yield” and is usually measured in terms of </w:t>
      </w:r>
      <w:r w:rsidR="00AF3540" w:rsidRPr="00252F3C">
        <w:t xml:space="preserve">Total Factor Productivity (TFP), which is </w:t>
      </w:r>
      <w:r w:rsidRPr="00252F3C">
        <w:t>a ratio of agricultural outputs (gross crop, livestock</w:t>
      </w:r>
      <w:r w:rsidR="007E3CAD" w:rsidRPr="00252F3C">
        <w:t>,</w:t>
      </w:r>
      <w:r w:rsidRPr="00252F3C">
        <w:t xml:space="preserve"> and aquaculture products)</w:t>
      </w:r>
      <w:r w:rsidR="00AF3540" w:rsidRPr="00252F3C">
        <w:t xml:space="preserve"> compared to inputs (land, labor, fertilizer, feed, machinery</w:t>
      </w:r>
      <w:r w:rsidR="007E3CAD" w:rsidRPr="00252F3C">
        <w:t>,</w:t>
      </w:r>
      <w:r w:rsidR="00AF3540" w:rsidRPr="00252F3C">
        <w:t xml:space="preserve"> and livestock</w:t>
      </w:r>
      <w:r w:rsidR="00D663BD" w:rsidRPr="00252F3C">
        <w:t>.</w:t>
      </w:r>
      <w:r w:rsidR="00AF3540" w:rsidRPr="00252F3C">
        <w:t>)</w:t>
      </w:r>
      <w:r w:rsidR="00AE2803" w:rsidRPr="00252F3C">
        <w:t xml:space="preserve"> (Figure 1</w:t>
      </w:r>
      <w:r w:rsidR="00D663BD" w:rsidRPr="00252F3C">
        <w:t>.</w:t>
      </w:r>
      <w:r w:rsidR="00AE2803" w:rsidRPr="00252F3C">
        <w:t>)</w:t>
      </w:r>
      <w:r w:rsidR="00D663BD" w:rsidRPr="00252F3C">
        <w:t xml:space="preserve"> </w:t>
      </w:r>
      <w:r w:rsidR="00D663BD" w:rsidRPr="00252F3C">
        <w:fldChar w:fldCharType="begin"/>
      </w:r>
      <w:r w:rsidR="00D663BD" w:rsidRPr="00252F3C">
        <w:instrText xml:space="preserve"> ADDIN ZOTERO_ITEM CSL_CITATION {"citationID":"YWSLfxMw","properties":{"formattedCitation":"(Steensland, 2021)","plainCitation":"(Steensland, 2021)","noteIndex":0},"citationItems":[{"id":1043,"uris":["http://zotero.org/users/20058/items/8AJPSA8H"],"uri":["http://zotero.org/users/20058/items/8AJPSA8H"],"itemData":{"id":1043,"type":"report","event-place":"Blacksburg, VA","publisher":"Virginia Tech College of Agriculture and Life Sciences","publisher-place":"Blacksburg, VA","title":"2021 Global Agricultural Productivity Report: Strengthening the climate for sustainable agricultural growth","author":[{"family":"Steensland","given":"Ann"}],"collection-editor":[{"family":"Thompson","given":"Tom"}],"issued":{"date-parts":[["2021"]]}}}],"schema":"https://github.com/citation-style-language/schema/raw/master/csl-citation.json"} </w:instrText>
      </w:r>
      <w:r w:rsidR="00D663BD" w:rsidRPr="00252F3C">
        <w:fldChar w:fldCharType="separate"/>
      </w:r>
      <w:r w:rsidR="00D663BD" w:rsidRPr="00252F3C">
        <w:rPr>
          <w:rFonts w:ascii="Calibri" w:hAnsi="Calibri" w:cs="Calibri"/>
        </w:rPr>
        <w:t>(Steensland, 2021)</w:t>
      </w:r>
      <w:r w:rsidR="00D663BD" w:rsidRPr="00252F3C">
        <w:fldChar w:fldCharType="end"/>
      </w:r>
      <w:r w:rsidR="00AF3540" w:rsidRPr="00252F3C">
        <w:t xml:space="preserve">  TFP measures changes in the efficiency with which these inputs are transformed into outputs.  </w:t>
      </w:r>
      <w:r w:rsidR="0042244E" w:rsidRPr="00252F3C">
        <w:t>By prioritizing productivity,</w:t>
      </w:r>
      <w:r w:rsidR="00AF3540" w:rsidRPr="00252F3C">
        <w:t xml:space="preserve"> producers and policymakers </w:t>
      </w:r>
      <w:r w:rsidR="0042244E" w:rsidRPr="00252F3C">
        <w:t xml:space="preserve">can learn </w:t>
      </w:r>
      <w:r w:rsidR="00D14EC4" w:rsidRPr="00252F3C">
        <w:t>the</w:t>
      </w:r>
      <w:r w:rsidR="0042244E" w:rsidRPr="00252F3C">
        <w:t xml:space="preserve"> </w:t>
      </w:r>
      <w:r w:rsidR="00D14EC4" w:rsidRPr="00252F3C">
        <w:t>extent to</w:t>
      </w:r>
      <w:r w:rsidR="007E3CAD" w:rsidRPr="00252F3C">
        <w:t xml:space="preserve"> which </w:t>
      </w:r>
      <w:r w:rsidR="0042244E" w:rsidRPr="00252F3C">
        <w:t>increased output is due to better use of existing resources through the application of improved products, technologies, and practices</w:t>
      </w:r>
      <w:r w:rsidR="006515C9" w:rsidRPr="00252F3C">
        <w:t>—</w:t>
      </w:r>
      <w:r w:rsidR="0042244E" w:rsidRPr="00252F3C">
        <w:t xml:space="preserve">essentially, </w:t>
      </w:r>
      <w:r w:rsidR="006515C9" w:rsidRPr="00252F3C">
        <w:t>a measure of innovation</w:t>
      </w:r>
      <w:r w:rsidR="00D679C9" w:rsidRPr="00252F3C">
        <w:t xml:space="preserve"> adoption.</w:t>
      </w:r>
      <w:r w:rsidR="0042244E" w:rsidRPr="00252F3C">
        <w:t xml:space="preserve"> </w:t>
      </w:r>
      <w:r w:rsidR="00D663BD" w:rsidRPr="00252F3C">
        <w:fldChar w:fldCharType="begin"/>
      </w:r>
      <w:r w:rsidR="00D663BD" w:rsidRPr="00252F3C">
        <w:instrText xml:space="preserve"> ADDIN ZOTERO_ITEM CSL_CITATION {"citationID":"vLJeoXPB","properties":{"formattedCitation":"(Steensland &amp; Zeigler, 2021)","plainCitation":"(Steensland &amp; Zeigler, 2021)","noteIndex":0},"citationItems":[{"id":972,"uris":["http://zotero.org/users/20058/items/ZTQ8JLTY"],"uri":["http://zotero.org/users/20058/items/ZTQ8JLTY"],"itemData":{"id":972,"type":"chapter","abstract":"The Malthusian predictions of the future have not come to pass due largely to innovative agricultural technologies and practices that stimulated significant gains in agricultural productivity. This chapter examines the linkages between innovation, productivity, and sustainability. The definition of agricultural productivity, measured as total factor productivity (TFP), will be explained, as well as the contribution of innovation to global TFP growth and the contribution of TFP to sustainable food and agriculture systems. To illustrate these connections, this chapter highlights innovative technologies and practices used by crop and livestock producers in the United States, Colombia, India, Kenya, and Vietnam. These cases demonstrate how advanced seed technologies, improvements in soil health and nutrient management, mechanization, and an emphasis on animal health drive productivity growth around the world. Many of these cases feature partnerships between the public sector, private sector, and producers where innovations and new practices are used to increase productivity, incomes, food security, and nutrition. Creating an enabling policy environment is essential for agricultural innovation, productivity, and sustainability; the chapter gives examples of public policies that stimulate such productivity: investing in public sector research and development (R&amp;D), embracing science-based technologies, and establishing smart regulatory environments. The chapter includes a discussion of innovation, productivity, and the Sustainable Development Goals (SDGs).","container-title":"The Innovation Revolution in Agriculture: A Roadmap to Value Creation","event-place":"Cham","ISBN":"978-3-030-50991-0","note":"DOI: 10.1007/978-3-030-50991-0_2","page":"33-69","publisher":"Springer International Publishing","publisher-place":"Cham","title":"Productivity in Agriculture for a Sustainable Future","URL":"https://doi.org/10.1007/978-3-030-50991-0_2","author":[{"family":"Steensland","given":"Ann"},{"family":"Zeigler","given":"Margaret"}],"editor":[{"family":"Campos","given":"Hugo"}],"issued":{"date-parts":[["2021"]]}}}],"schema":"https://github.com/citation-style-language/schema/raw/master/csl-citation.json"} </w:instrText>
      </w:r>
      <w:r w:rsidR="00D663BD" w:rsidRPr="00252F3C">
        <w:fldChar w:fldCharType="separate"/>
      </w:r>
      <w:r w:rsidR="00D663BD" w:rsidRPr="00252F3C">
        <w:rPr>
          <w:rFonts w:ascii="Calibri" w:hAnsi="Calibri" w:cs="Calibri"/>
        </w:rPr>
        <w:t>(Steensland &amp; Zeigler, 2021)</w:t>
      </w:r>
      <w:r w:rsidR="00D663BD" w:rsidRPr="00252F3C">
        <w:fldChar w:fldCharType="end"/>
      </w:r>
    </w:p>
    <w:p w14:paraId="5B96F09C" w14:textId="4899680A" w:rsidR="00AE2803" w:rsidRPr="00252F3C" w:rsidRDefault="00AE2803" w:rsidP="00AF618E">
      <w:pPr>
        <w:spacing w:after="0"/>
      </w:pPr>
    </w:p>
    <w:p w14:paraId="40391988" w14:textId="5EAFE39B" w:rsidR="00AE2803" w:rsidRPr="00252F3C" w:rsidRDefault="00AE2803" w:rsidP="00AF618E">
      <w:pPr>
        <w:spacing w:after="0"/>
      </w:pPr>
      <w:r w:rsidRPr="00252F3C">
        <w:t xml:space="preserve">Figure 1: Total Factor Productivity </w:t>
      </w:r>
      <w:r w:rsidR="006C062C" w:rsidRPr="00252F3C">
        <w:t>(TFP)</w:t>
      </w:r>
    </w:p>
    <w:p w14:paraId="391362AF" w14:textId="37BDB881" w:rsidR="00AE2803" w:rsidRPr="00252F3C" w:rsidRDefault="00AE2803" w:rsidP="00AF618E">
      <w:pPr>
        <w:spacing w:after="0"/>
      </w:pPr>
    </w:p>
    <w:p w14:paraId="78302483" w14:textId="77777777" w:rsidR="006C062C" w:rsidRPr="00252F3C" w:rsidRDefault="00A34316" w:rsidP="006C062C">
      <w:pPr>
        <w:keepNext/>
        <w:spacing w:after="0"/>
      </w:pPr>
      <w:r w:rsidRPr="00252F3C">
        <w:rPr>
          <w:noProof/>
        </w:rPr>
        <w:lastRenderedPageBreak/>
        <w:drawing>
          <wp:inline distT="0" distB="0" distL="0" distR="0" wp14:anchorId="4F61F79B" wp14:editId="514DFF78">
            <wp:extent cx="3752850" cy="3543300"/>
            <wp:effectExtent l="0" t="0" r="0" b="0"/>
            <wp:docPr id="8" name="Picture 4">
              <a:extLst xmlns:a="http://schemas.openxmlformats.org/drawingml/2006/main">
                <a:ext uri="{FF2B5EF4-FFF2-40B4-BE49-F238E27FC236}">
                  <a16:creationId xmlns:a16="http://schemas.microsoft.com/office/drawing/2014/main" id="{A26601B6-3F49-43D0-A4FD-264B79BA93E8}"/>
                </a:ext>
              </a:extLst>
            </wp:docPr>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A26601B6-3F49-43D0-A4FD-264B79BA93E8}"/>
                        </a:ext>
                      </a:extLst>
                    </pic:cNvPr>
                    <pic:cNvPicPr/>
                  </pic:nvPicPr>
                  <pic:blipFill rotWithShape="1">
                    <a:blip r:embed="rId8">
                      <a:extLst>
                        <a:ext uri="{28A0092B-C50C-407E-A947-70E740481C1C}">
                          <a14:useLocalDpi xmlns:a14="http://schemas.microsoft.com/office/drawing/2010/main" val="0"/>
                        </a:ext>
                      </a:extLst>
                    </a:blip>
                    <a:srcRect l="23165" t="30897" r="20029" b="21632"/>
                    <a:stretch/>
                  </pic:blipFill>
                  <pic:spPr bwMode="auto">
                    <a:xfrm>
                      <a:off x="0" y="0"/>
                      <a:ext cx="3752850" cy="3543300"/>
                    </a:xfrm>
                    <a:prstGeom prst="rect">
                      <a:avLst/>
                    </a:prstGeom>
                    <a:ln>
                      <a:noFill/>
                    </a:ln>
                    <a:extLst>
                      <a:ext uri="{53640926-AAD7-44D8-BBD7-CCE9431645EC}">
                        <a14:shadowObscured xmlns:a14="http://schemas.microsoft.com/office/drawing/2010/main"/>
                      </a:ext>
                    </a:extLst>
                  </pic:spPr>
                </pic:pic>
              </a:graphicData>
            </a:graphic>
          </wp:inline>
        </w:drawing>
      </w:r>
    </w:p>
    <w:p w14:paraId="045BFA0B" w14:textId="7C8F9A76" w:rsidR="00AE2803" w:rsidRPr="00252F3C" w:rsidRDefault="006C062C" w:rsidP="006C062C">
      <w:pPr>
        <w:pStyle w:val="Caption"/>
      </w:pPr>
      <w:r w:rsidRPr="00252F3C">
        <w:t>Source: 2021 Global Agricultural Productivity Report/Virginia Tech College of Agriculture and Life Sciences</w:t>
      </w:r>
    </w:p>
    <w:p w14:paraId="1D855178" w14:textId="1E933579" w:rsidR="00AE2803" w:rsidRPr="00252F3C" w:rsidRDefault="00AE2803" w:rsidP="00AF618E">
      <w:pPr>
        <w:spacing w:after="0"/>
      </w:pPr>
    </w:p>
    <w:p w14:paraId="4255A9D0" w14:textId="77777777" w:rsidR="00A13CA3" w:rsidRPr="00252F3C" w:rsidRDefault="00A13CA3" w:rsidP="00C94E26">
      <w:pPr>
        <w:spacing w:after="0"/>
      </w:pPr>
    </w:p>
    <w:p w14:paraId="45C06A20" w14:textId="7F95D1C6" w:rsidR="00F17904" w:rsidRPr="00252F3C" w:rsidRDefault="00F17904" w:rsidP="00C94E26">
      <w:pPr>
        <w:spacing w:after="0"/>
      </w:pPr>
      <w:r w:rsidRPr="00252F3C">
        <w:t xml:space="preserve">Growth in global agricultural </w:t>
      </w:r>
      <w:r w:rsidR="00DD1A9F" w:rsidRPr="00252F3C">
        <w:t>output</w:t>
      </w:r>
      <w:r w:rsidRPr="00252F3C">
        <w:t xml:space="preserve"> is beginning to decline, </w:t>
      </w:r>
      <w:r w:rsidR="00DD1A9F" w:rsidRPr="00252F3C">
        <w:t xml:space="preserve">as has productivity growth (Figure </w:t>
      </w:r>
      <w:r w:rsidR="00AE2803" w:rsidRPr="00252F3C">
        <w:t>2</w:t>
      </w:r>
      <w:r w:rsidR="00DD1A9F" w:rsidRPr="00252F3C">
        <w:t>).  W</w:t>
      </w:r>
      <w:r w:rsidRPr="00252F3C">
        <w:t xml:space="preserve">hile productivity as measured by TFP (green bars) increased as a share of </w:t>
      </w:r>
      <w:r w:rsidR="00DD1A9F" w:rsidRPr="00252F3C">
        <w:t xml:space="preserve">agriculture </w:t>
      </w:r>
      <w:r w:rsidRPr="00252F3C">
        <w:t>output growth between 1961 and 201</w:t>
      </w:r>
      <w:r w:rsidR="006E57CC" w:rsidRPr="00252F3C">
        <w:t>8</w:t>
      </w:r>
      <w:r w:rsidRPr="00252F3C">
        <w:t>, TFP has begun to decline in the latest decade</w:t>
      </w:r>
      <w:r w:rsidR="00DD1A9F" w:rsidRPr="00252F3C">
        <w:t>.</w:t>
      </w:r>
      <w:r w:rsidRPr="00252F3C">
        <w:t xml:space="preserve">  Land expansion as a global share of agricultural output has increased in the past decade, primarily due to opening of new land for cultivation in Sub-Saharan Africa.</w:t>
      </w:r>
      <w:r w:rsidR="00D663BD" w:rsidRPr="00252F3C">
        <w:t xml:space="preserve"> </w:t>
      </w:r>
      <w:r w:rsidR="00D663BD" w:rsidRPr="00252F3C">
        <w:fldChar w:fldCharType="begin"/>
      </w:r>
      <w:r w:rsidR="00D663BD" w:rsidRPr="00252F3C">
        <w:instrText xml:space="preserve"> ADDIN ZOTERO_ITEM CSL_CITATION {"citationID":"9SATzvA6","properties":{"formattedCitation":"(Steensland, 2021)","plainCitation":"(Steensland, 2021)","noteIndex":0},"citationItems":[{"id":1043,"uris":["http://zotero.org/users/20058/items/8AJPSA8H"],"uri":["http://zotero.org/users/20058/items/8AJPSA8H"],"itemData":{"id":1043,"type":"report","event-place":"Blacksburg, VA","publisher":"Virginia Tech College of Agriculture and Life Sciences","publisher-place":"Blacksburg, VA","title":"2021 Global Agricultural Productivity Report: Strengthening the climate for sustainable agricultural growth","author":[{"family":"Steensland","given":"Ann"}],"collection-editor":[{"family":"Thompson","given":"Tom"}],"issued":{"date-parts":[["2021"]]}}}],"schema":"https://github.com/citation-style-language/schema/raw/master/csl-citation.json"} </w:instrText>
      </w:r>
      <w:r w:rsidR="00D663BD" w:rsidRPr="00252F3C">
        <w:fldChar w:fldCharType="separate"/>
      </w:r>
      <w:r w:rsidR="00D663BD" w:rsidRPr="00252F3C">
        <w:rPr>
          <w:rFonts w:ascii="Calibri" w:hAnsi="Calibri" w:cs="Calibri"/>
        </w:rPr>
        <w:t>(Steensland, 2021)</w:t>
      </w:r>
      <w:r w:rsidR="00D663BD" w:rsidRPr="00252F3C">
        <w:fldChar w:fldCharType="end"/>
      </w:r>
    </w:p>
    <w:p w14:paraId="178294D6" w14:textId="77777777" w:rsidR="00A70B1D" w:rsidRPr="00252F3C" w:rsidRDefault="00A70B1D" w:rsidP="00C94E26">
      <w:pPr>
        <w:spacing w:after="0"/>
      </w:pPr>
    </w:p>
    <w:p w14:paraId="5F7E4141" w14:textId="4AD8CFA6" w:rsidR="00F17904" w:rsidRPr="00252F3C" w:rsidRDefault="00F17904" w:rsidP="00C94E26">
      <w:pPr>
        <w:spacing w:after="0"/>
      </w:pPr>
      <w:r w:rsidRPr="00252F3C">
        <w:t xml:space="preserve">Figure </w:t>
      </w:r>
      <w:r w:rsidR="00AE2803" w:rsidRPr="00252F3C">
        <w:t>2.</w:t>
      </w:r>
      <w:r w:rsidRPr="00252F3C">
        <w:t xml:space="preserve"> Sources of Agricultural Output Growth: Global, 1961-20</w:t>
      </w:r>
      <w:r w:rsidR="00A34316" w:rsidRPr="00252F3C">
        <w:t>19</w:t>
      </w:r>
    </w:p>
    <w:p w14:paraId="151EB9F7" w14:textId="77777777" w:rsidR="00A34316" w:rsidRPr="00252F3C" w:rsidRDefault="00A34316" w:rsidP="00A34316">
      <w:pPr>
        <w:keepNext/>
        <w:spacing w:after="0"/>
      </w:pPr>
      <w:r w:rsidRPr="00252F3C">
        <w:rPr>
          <w:noProof/>
        </w:rPr>
        <w:drawing>
          <wp:inline distT="0" distB="0" distL="0" distR="0" wp14:anchorId="3024E002" wp14:editId="6758C542">
            <wp:extent cx="5943600" cy="176593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 4_Global Sources of Agricultural Growth_1960-2019_rgb-0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43600" cy="1765935"/>
                    </a:xfrm>
                    <a:prstGeom prst="rect">
                      <a:avLst/>
                    </a:prstGeom>
                  </pic:spPr>
                </pic:pic>
              </a:graphicData>
            </a:graphic>
          </wp:inline>
        </w:drawing>
      </w:r>
    </w:p>
    <w:p w14:paraId="78A842E6" w14:textId="15F371F3" w:rsidR="00F17904" w:rsidRPr="00252F3C" w:rsidRDefault="00A34316" w:rsidP="00A34316">
      <w:pPr>
        <w:pStyle w:val="Caption"/>
      </w:pPr>
      <w:r w:rsidRPr="00252F3C">
        <w:t>Source: 2021 Global Agricultural Productivity Report/Virginia Tech College of Agriculture and Life Sciences</w:t>
      </w:r>
    </w:p>
    <w:p w14:paraId="31C090B6" w14:textId="4ADFBF08" w:rsidR="00F17904" w:rsidRPr="00252F3C" w:rsidRDefault="00DD1A9F" w:rsidP="00AF3540">
      <w:pPr>
        <w:spacing w:after="0"/>
      </w:pPr>
      <w:r w:rsidRPr="00252F3C">
        <w:t xml:space="preserve">Productivity growth varies greatly by region and countries (Figure </w:t>
      </w:r>
      <w:r w:rsidR="00AE2803" w:rsidRPr="00252F3C">
        <w:t>3</w:t>
      </w:r>
      <w:r w:rsidRPr="00252F3C">
        <w:t xml:space="preserve">).  For India and the </w:t>
      </w:r>
      <w:r w:rsidR="00D76FC9" w:rsidRPr="00252F3C">
        <w:t>Transition Countries (Russia and CIS)</w:t>
      </w:r>
      <w:r w:rsidRPr="00252F3C">
        <w:t xml:space="preserve">, high agricultural output growth rates are accompanied by growth in TFP since 2001.  China has also shifted to a high productivity rate along with a reduction in inputs per </w:t>
      </w:r>
      <w:r w:rsidRPr="00252F3C">
        <w:lastRenderedPageBreak/>
        <w:t>hectare of agricultural land.  North America and Europe have lower rates of productivity growth but have avoided land conversion and lowered their inputs per hectare of land. Latin America, Southeast Asia</w:t>
      </w:r>
      <w:r w:rsidR="007E3CAD" w:rsidRPr="00252F3C">
        <w:t>,</w:t>
      </w:r>
      <w:r w:rsidRPr="00252F3C">
        <w:t xml:space="preserve"> and Sub-Saharan Africa all exhibit high average rates of agricultural output </w:t>
      </w:r>
      <w:r w:rsidR="00D679C9" w:rsidRPr="00252F3C">
        <w:t>growth,</w:t>
      </w:r>
      <w:r w:rsidRPr="00252F3C">
        <w:t xml:space="preserve"> but this has come at the expense in some case of land expansion, particularly evident in the case of Sub-Saharan Africa. </w:t>
      </w:r>
      <w:r w:rsidR="00D663BD" w:rsidRPr="00252F3C">
        <w:fldChar w:fldCharType="begin"/>
      </w:r>
      <w:r w:rsidR="00D663BD" w:rsidRPr="00252F3C">
        <w:instrText xml:space="preserve"> ADDIN ZOTERO_ITEM CSL_CITATION {"citationID":"xHXN1GVy","properties":{"formattedCitation":"(Steensland, 2021)","plainCitation":"(Steensland, 2021)","noteIndex":0},"citationItems":[{"id":1043,"uris":["http://zotero.org/users/20058/items/8AJPSA8H"],"uri":["http://zotero.org/users/20058/items/8AJPSA8H"],"itemData":{"id":1043,"type":"report","event-place":"Blacksburg, VA","publisher":"Virginia Tech College of Agriculture and Life Sciences","publisher-place":"Blacksburg, VA","title":"2021 Global Agricultural Productivity Report: Strengthening the climate for sustainable agricultural growth","author":[{"family":"Steensland","given":"Ann"}],"collection-editor":[{"family":"Thompson","given":"Tom"}],"issued":{"date-parts":[["2021"]]}}}],"schema":"https://github.com/citation-style-language/schema/raw/master/csl-citation.json"} </w:instrText>
      </w:r>
      <w:r w:rsidR="00D663BD" w:rsidRPr="00252F3C">
        <w:fldChar w:fldCharType="separate"/>
      </w:r>
      <w:r w:rsidR="00D663BD" w:rsidRPr="00252F3C">
        <w:rPr>
          <w:rFonts w:ascii="Calibri" w:hAnsi="Calibri" w:cs="Calibri"/>
        </w:rPr>
        <w:t>(Steensland, 2021)</w:t>
      </w:r>
      <w:r w:rsidR="00D663BD" w:rsidRPr="00252F3C">
        <w:fldChar w:fldCharType="end"/>
      </w:r>
    </w:p>
    <w:p w14:paraId="1772A098" w14:textId="60B19446" w:rsidR="00F17904" w:rsidRPr="00252F3C" w:rsidRDefault="00F17904" w:rsidP="00AF3540">
      <w:pPr>
        <w:spacing w:after="0"/>
      </w:pPr>
    </w:p>
    <w:p w14:paraId="17922CF4" w14:textId="5D46CD50" w:rsidR="00DD1A9F" w:rsidRPr="00252F3C" w:rsidRDefault="00DD1A9F" w:rsidP="00AF3540">
      <w:pPr>
        <w:spacing w:after="0"/>
      </w:pPr>
      <w:bookmarkStart w:id="1" w:name="_Hlk90561142"/>
      <w:r w:rsidRPr="00252F3C">
        <w:t xml:space="preserve">Figure </w:t>
      </w:r>
      <w:r w:rsidR="00AE2803" w:rsidRPr="00252F3C">
        <w:t>3</w:t>
      </w:r>
      <w:r w:rsidR="00D20C73" w:rsidRPr="00252F3C">
        <w:t>.</w:t>
      </w:r>
      <w:r w:rsidRPr="00252F3C">
        <w:t xml:space="preserve">  Sources of Agricultural Output Growth: Key Countries/Regions, 2001-201</w:t>
      </w:r>
      <w:r w:rsidR="00A34316" w:rsidRPr="00252F3C">
        <w:t>9</w:t>
      </w:r>
    </w:p>
    <w:bookmarkEnd w:id="1"/>
    <w:p w14:paraId="003F626A" w14:textId="77777777" w:rsidR="00A34316" w:rsidRPr="00252F3C" w:rsidRDefault="00A34316" w:rsidP="00AF3540">
      <w:pPr>
        <w:spacing w:after="0"/>
      </w:pPr>
    </w:p>
    <w:p w14:paraId="67556BFA" w14:textId="77777777" w:rsidR="00A34316" w:rsidRPr="00252F3C" w:rsidRDefault="00A34316" w:rsidP="00A34316">
      <w:pPr>
        <w:keepNext/>
        <w:spacing w:after="0"/>
      </w:pPr>
      <w:r w:rsidRPr="00252F3C">
        <w:rPr>
          <w:noProof/>
        </w:rPr>
        <w:drawing>
          <wp:inline distT="0" distB="0" distL="0" distR="0" wp14:anchorId="162BB58F" wp14:editId="0E9ED6D7">
            <wp:extent cx="6306500" cy="18097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 10_Sources of Agricultural Output Growth_Key Countries-Regions_2021_rgb-01.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309021" cy="1810473"/>
                    </a:xfrm>
                    <a:prstGeom prst="rect">
                      <a:avLst/>
                    </a:prstGeom>
                  </pic:spPr>
                </pic:pic>
              </a:graphicData>
            </a:graphic>
          </wp:inline>
        </w:drawing>
      </w:r>
    </w:p>
    <w:p w14:paraId="3610228B" w14:textId="07828698" w:rsidR="00F17904" w:rsidRPr="00252F3C" w:rsidRDefault="00A34316" w:rsidP="00A34316">
      <w:pPr>
        <w:pStyle w:val="Caption"/>
      </w:pPr>
      <w:r w:rsidRPr="00252F3C">
        <w:t>Source: 2021 Global Agricultural Productivity Report/Virginia Tech College of Agriculture and Life Sciences</w:t>
      </w:r>
    </w:p>
    <w:p w14:paraId="7C38E92D" w14:textId="38267F13" w:rsidR="00D32F5F" w:rsidRPr="00252F3C" w:rsidRDefault="00D43334" w:rsidP="00360036">
      <w:pPr>
        <w:spacing w:after="0"/>
        <w:rPr>
          <w:b/>
          <w:bCs/>
          <w:u w:val="single"/>
        </w:rPr>
      </w:pPr>
      <w:r w:rsidRPr="00252F3C">
        <w:rPr>
          <w:bCs/>
        </w:rPr>
        <w:t>During the past 20 years, “</w:t>
      </w:r>
      <w:r w:rsidR="00D76FC9" w:rsidRPr="00252F3C">
        <w:rPr>
          <w:bCs/>
        </w:rPr>
        <w:t>T</w:t>
      </w:r>
      <w:r w:rsidRPr="00252F3C">
        <w:rPr>
          <w:bCs/>
        </w:rPr>
        <w:t xml:space="preserve">ransition </w:t>
      </w:r>
      <w:r w:rsidR="00D76FC9" w:rsidRPr="00252F3C">
        <w:rPr>
          <w:bCs/>
        </w:rPr>
        <w:t>C</w:t>
      </w:r>
      <w:r w:rsidRPr="00252F3C">
        <w:rPr>
          <w:bCs/>
        </w:rPr>
        <w:t>ountries” including</w:t>
      </w:r>
      <w:r w:rsidR="00E44F7F" w:rsidRPr="00252F3C">
        <w:rPr>
          <w:bCs/>
        </w:rPr>
        <w:t xml:space="preserve"> Russia and</w:t>
      </w:r>
      <w:r w:rsidRPr="00252F3C">
        <w:rPr>
          <w:bCs/>
        </w:rPr>
        <w:t xml:space="preserve"> the former Soviet republics have had the highest TFP growth rate of any region or economic zone at 2.71 percent annually</w:t>
      </w:r>
      <w:r w:rsidR="002726FB" w:rsidRPr="00252F3C">
        <w:rPr>
          <w:bCs/>
        </w:rPr>
        <w:t xml:space="preserve"> (2001-2019)</w:t>
      </w:r>
      <w:r w:rsidRPr="00252F3C">
        <w:rPr>
          <w:bCs/>
        </w:rPr>
        <w:t xml:space="preserve">.  </w:t>
      </w:r>
      <w:r w:rsidR="009D4020" w:rsidRPr="00252F3C">
        <w:rPr>
          <w:bCs/>
        </w:rPr>
        <w:t>In the 1990s, these transition countries experienced a shift from a planned agricultural sector</w:t>
      </w:r>
      <w:r w:rsidRPr="00252F3C">
        <w:rPr>
          <w:bCs/>
        </w:rPr>
        <w:t xml:space="preserve"> to </w:t>
      </w:r>
      <w:r w:rsidR="009D4020" w:rsidRPr="00252F3C">
        <w:rPr>
          <w:bCs/>
        </w:rPr>
        <w:t xml:space="preserve">a </w:t>
      </w:r>
      <w:r w:rsidRPr="00252F3C">
        <w:rPr>
          <w:bCs/>
        </w:rPr>
        <w:t>market-based</w:t>
      </w:r>
      <w:r w:rsidR="00D32F5F" w:rsidRPr="00252F3C">
        <w:rPr>
          <w:bCs/>
        </w:rPr>
        <w:t>, profit-driven</w:t>
      </w:r>
      <w:r w:rsidRPr="00252F3C">
        <w:rPr>
          <w:bCs/>
        </w:rPr>
        <w:t xml:space="preserve"> </w:t>
      </w:r>
      <w:r w:rsidR="009D4020" w:rsidRPr="00252F3C">
        <w:rPr>
          <w:bCs/>
        </w:rPr>
        <w:t xml:space="preserve">farm economy. </w:t>
      </w:r>
      <w:r w:rsidR="00E44F7F" w:rsidRPr="00252F3C">
        <w:rPr>
          <w:bCs/>
        </w:rPr>
        <w:t>These reforms, combined with public-sector investments in agricultural R&amp;D and infrastructure</w:t>
      </w:r>
      <w:r w:rsidR="00D32F5F" w:rsidRPr="00252F3C">
        <w:rPr>
          <w:bCs/>
        </w:rPr>
        <w:t xml:space="preserve"> were </w:t>
      </w:r>
      <w:r w:rsidR="00E44F7F" w:rsidRPr="00252F3C">
        <w:rPr>
          <w:bCs/>
        </w:rPr>
        <w:t>intended to accelerate</w:t>
      </w:r>
      <w:r w:rsidR="00D32F5F" w:rsidRPr="00252F3C">
        <w:rPr>
          <w:bCs/>
        </w:rPr>
        <w:t xml:space="preserve"> TFP growth.  Yet the</w:t>
      </w:r>
      <w:r w:rsidR="00E44F7F" w:rsidRPr="00252F3C">
        <w:rPr>
          <w:bCs/>
        </w:rPr>
        <w:t xml:space="preserve"> outcome of these investments </w:t>
      </w:r>
      <w:r w:rsidR="00E86B7D" w:rsidRPr="00252F3C">
        <w:rPr>
          <w:bCs/>
        </w:rPr>
        <w:t>has been less consequential than previously thought</w:t>
      </w:r>
      <w:r w:rsidR="00D32F5F" w:rsidRPr="00252F3C">
        <w:rPr>
          <w:bCs/>
        </w:rPr>
        <w:t xml:space="preserve">.  An analysis of TFP growth in Russia (1994-2013), </w:t>
      </w:r>
      <w:r w:rsidR="002726FB" w:rsidRPr="00252F3C">
        <w:rPr>
          <w:bCs/>
        </w:rPr>
        <w:t xml:space="preserve">for example, </w:t>
      </w:r>
      <w:r w:rsidR="00D32F5F" w:rsidRPr="00252F3C">
        <w:rPr>
          <w:bCs/>
        </w:rPr>
        <w:t xml:space="preserve">demonstrated </w:t>
      </w:r>
      <w:r w:rsidR="00E44F7F" w:rsidRPr="00252F3C">
        <w:rPr>
          <w:bCs/>
        </w:rPr>
        <w:t>that productivity growth has been driven largely by the decisions of large-scale land owners</w:t>
      </w:r>
      <w:r w:rsidR="001E032A" w:rsidRPr="00252F3C">
        <w:rPr>
          <w:bCs/>
        </w:rPr>
        <w:t xml:space="preserve"> in the Southern agricultural district</w:t>
      </w:r>
      <w:r w:rsidR="00E44F7F" w:rsidRPr="00252F3C">
        <w:rPr>
          <w:bCs/>
        </w:rPr>
        <w:t xml:space="preserve"> to adopt improved agricultural technologies, agronomic techniques, and farm management practices. </w:t>
      </w:r>
      <w:r w:rsidR="00D663BD" w:rsidRPr="00252F3C">
        <w:rPr>
          <w:bCs/>
        </w:rPr>
        <w:fldChar w:fldCharType="begin"/>
      </w:r>
      <w:r w:rsidR="00D663BD" w:rsidRPr="00252F3C">
        <w:rPr>
          <w:bCs/>
        </w:rPr>
        <w:instrText xml:space="preserve"> ADDIN ZOTERO_ITEM CSL_CITATION {"citationID":"MsubPqrE","properties":{"formattedCitation":"(Rada et al., 2019)","plainCitation":"(Rada et al., 2019)","noteIndex":0},"citationItems":[{"id":1044,"uris":["http://zotero.org/users/20058/items/WIREL9B7"],"uri":["http://zotero.org/users/20058/items/WIREL9B7"],"itemData":{"id":1044,"type":"article-journal","container-title":"Journal of Agricultural Economics","DOI":"10.1111/1477-9552.12338","title":"Evaluating Agricultural Productivity and Policy in Russia","volume":"71","author":[{"family":"Rada","given":"Nicholas"},{"family":"Liefert","given":"William"},{"family":"Liefert","given":"Olga"}],"issued":{"date-parts":[["2019",6]]}}}],"schema":"https://github.com/citation-style-language/schema/raw/master/csl-citation.json"} </w:instrText>
      </w:r>
      <w:r w:rsidR="00D663BD" w:rsidRPr="00252F3C">
        <w:rPr>
          <w:bCs/>
        </w:rPr>
        <w:fldChar w:fldCharType="separate"/>
      </w:r>
      <w:r w:rsidR="00D663BD" w:rsidRPr="00252F3C">
        <w:rPr>
          <w:rFonts w:ascii="Calibri" w:hAnsi="Calibri" w:cs="Calibri"/>
        </w:rPr>
        <w:t>(Rada et al., 2019)</w:t>
      </w:r>
      <w:r w:rsidR="00D663BD" w:rsidRPr="00252F3C">
        <w:rPr>
          <w:bCs/>
        </w:rPr>
        <w:fldChar w:fldCharType="end"/>
      </w:r>
      <w:r w:rsidR="00E44F7F" w:rsidRPr="00252F3C">
        <w:rPr>
          <w:bCs/>
        </w:rPr>
        <w:t xml:space="preserve"> </w:t>
      </w:r>
    </w:p>
    <w:p w14:paraId="09BE8D8A" w14:textId="77777777" w:rsidR="00327543" w:rsidRPr="00252F3C" w:rsidRDefault="00327543" w:rsidP="00360036">
      <w:pPr>
        <w:spacing w:after="0"/>
        <w:rPr>
          <w:b/>
          <w:bCs/>
          <w:u w:val="single"/>
        </w:rPr>
      </w:pPr>
    </w:p>
    <w:p w14:paraId="20978908" w14:textId="7EA4B1D2" w:rsidR="00360036" w:rsidRPr="00252F3C" w:rsidRDefault="00A10347" w:rsidP="00360036">
      <w:pPr>
        <w:spacing w:after="0"/>
        <w:rPr>
          <w:b/>
          <w:bCs/>
          <w:u w:val="single"/>
        </w:rPr>
      </w:pPr>
      <w:r w:rsidRPr="00252F3C">
        <w:rPr>
          <w:b/>
          <w:bCs/>
          <w:u w:val="single"/>
        </w:rPr>
        <w:t>Rising</w:t>
      </w:r>
      <w:r w:rsidR="0042244E" w:rsidRPr="00252F3C">
        <w:rPr>
          <w:b/>
          <w:bCs/>
          <w:u w:val="single"/>
        </w:rPr>
        <w:t xml:space="preserve"> </w:t>
      </w:r>
      <w:r w:rsidR="00D25531" w:rsidRPr="00252F3C">
        <w:rPr>
          <w:b/>
          <w:bCs/>
          <w:u w:val="single"/>
        </w:rPr>
        <w:t>c</w:t>
      </w:r>
      <w:r w:rsidR="0042244E" w:rsidRPr="00252F3C">
        <w:rPr>
          <w:b/>
          <w:bCs/>
          <w:u w:val="single"/>
        </w:rPr>
        <w:t xml:space="preserve">hallenges to the </w:t>
      </w:r>
      <w:r w:rsidR="00D25531" w:rsidRPr="00252F3C">
        <w:rPr>
          <w:b/>
          <w:bCs/>
          <w:u w:val="single"/>
        </w:rPr>
        <w:t>a</w:t>
      </w:r>
      <w:r w:rsidR="0042244E" w:rsidRPr="00252F3C">
        <w:rPr>
          <w:b/>
          <w:bCs/>
          <w:u w:val="single"/>
        </w:rPr>
        <w:t xml:space="preserve">gricultural </w:t>
      </w:r>
      <w:r w:rsidR="00D25531" w:rsidRPr="00252F3C">
        <w:rPr>
          <w:b/>
          <w:bCs/>
          <w:u w:val="single"/>
        </w:rPr>
        <w:t>e</w:t>
      </w:r>
      <w:r w:rsidR="0042244E" w:rsidRPr="00252F3C">
        <w:rPr>
          <w:b/>
          <w:bCs/>
          <w:u w:val="single"/>
        </w:rPr>
        <w:t>nterprise</w:t>
      </w:r>
    </w:p>
    <w:p w14:paraId="2DDB600A" w14:textId="540024F1" w:rsidR="00C94E26" w:rsidRPr="00252F3C" w:rsidRDefault="00C94E26" w:rsidP="00360036">
      <w:pPr>
        <w:spacing w:after="0"/>
      </w:pPr>
    </w:p>
    <w:p w14:paraId="4B20B948" w14:textId="77777777" w:rsidR="00710200" w:rsidRPr="00252F3C" w:rsidRDefault="004142DF" w:rsidP="00710200">
      <w:pPr>
        <w:spacing w:after="0"/>
      </w:pPr>
      <w:r w:rsidRPr="00252F3C">
        <w:t xml:space="preserve">In the past </w:t>
      </w:r>
      <w:r w:rsidR="00A95847" w:rsidRPr="00252F3C">
        <w:t>two</w:t>
      </w:r>
      <w:r w:rsidRPr="00252F3C">
        <w:t xml:space="preserve"> decades, new challenges have arisen that </w:t>
      </w:r>
      <w:r w:rsidR="00846B69" w:rsidRPr="00252F3C">
        <w:t xml:space="preserve">threaten </w:t>
      </w:r>
      <w:r w:rsidRPr="00252F3C">
        <w:t xml:space="preserve">the rate of productivity growth in agriculture. Chief among these challenges is climate change, which </w:t>
      </w:r>
      <w:r w:rsidR="00360036" w:rsidRPr="00252F3C">
        <w:t xml:space="preserve">has far-reaching, global impacts on agriculture and food systems. </w:t>
      </w:r>
      <w:r w:rsidR="00710200" w:rsidRPr="00252F3C">
        <w:t>In the past two decades, new challenges have arisen that threaten the rate of productivity growth in agriculture. Chief among these challenges is climate change, which has far-reaching, global impacts on agriculture and food systems. Since 1960, climate change has slowed agricultural productivity growth globally by 21 percent. (Ortiz-</w:t>
      </w:r>
      <w:proofErr w:type="spellStart"/>
      <w:r w:rsidR="00710200" w:rsidRPr="00252F3C">
        <w:t>Bobea</w:t>
      </w:r>
      <w:proofErr w:type="spellEnd"/>
      <w:r w:rsidR="00710200" w:rsidRPr="00252F3C">
        <w:t xml:space="preserve"> et al, 2021) That is the equivalent of losing the last seven years of productivity gains.  The scale of the challenge demands systems-level solutions—it is no longer feasible to manage agroecosystems in isolation from their surrounding natural environment or to focus on individual crops for potential solutions. </w:t>
      </w:r>
    </w:p>
    <w:p w14:paraId="7557C2FA" w14:textId="77777777" w:rsidR="00710200" w:rsidRPr="00252F3C" w:rsidRDefault="00710200" w:rsidP="004142DF">
      <w:pPr>
        <w:spacing w:after="0"/>
      </w:pPr>
    </w:p>
    <w:p w14:paraId="2C47AEC5" w14:textId="29B08E81" w:rsidR="00360036" w:rsidRPr="00252F3C" w:rsidRDefault="00360036" w:rsidP="004142DF">
      <w:pPr>
        <w:spacing w:after="0"/>
      </w:pPr>
      <w:r w:rsidRPr="00252F3C">
        <w:t xml:space="preserve">The scale of the challenge </w:t>
      </w:r>
      <w:r w:rsidR="00076F59" w:rsidRPr="00252F3C">
        <w:t>demands systems-level solutions—it i</w:t>
      </w:r>
      <w:r w:rsidRPr="00252F3C">
        <w:t xml:space="preserve">s no longer feasible to manage agroecosystems in isolation from their surrounding natural environment or to focus on individual crops for potential solutions. </w:t>
      </w:r>
    </w:p>
    <w:p w14:paraId="0E380544" w14:textId="162EAFDD" w:rsidR="004142DF" w:rsidRPr="00252F3C" w:rsidRDefault="004142DF" w:rsidP="004142DF">
      <w:pPr>
        <w:spacing w:after="0"/>
      </w:pPr>
    </w:p>
    <w:p w14:paraId="448B74BA" w14:textId="7B73A2F8" w:rsidR="004142DF" w:rsidRPr="00252F3C" w:rsidRDefault="004142DF" w:rsidP="004142DF">
      <w:pPr>
        <w:spacing w:after="0"/>
      </w:pPr>
      <w:r w:rsidRPr="00252F3C">
        <w:t xml:space="preserve">Protecting the environment and natural resource base from degradation and overuse is also a key challenge. The integration of the environmental dimension as a component of development is therefore not an option but a necessity.  Going forward, inputs such as water and fertilizer need to be managed at a systemwide level to balance cost with potential production increases and associated negative impacts on soils. These solutions must be scalable so that the potential benefits accrue to the widest range of stakeholders—especially those who are currently underserved.  </w:t>
      </w:r>
    </w:p>
    <w:p w14:paraId="3E7857A9" w14:textId="29C7B774" w:rsidR="004142DF" w:rsidRPr="00252F3C" w:rsidRDefault="004142DF" w:rsidP="004142DF">
      <w:pPr>
        <w:spacing w:after="0"/>
      </w:pPr>
    </w:p>
    <w:p w14:paraId="33F8C4FA" w14:textId="21A34ABA" w:rsidR="00A95847" w:rsidRPr="00252F3C" w:rsidRDefault="004142DF" w:rsidP="004142DF">
      <w:pPr>
        <w:spacing w:after="0"/>
      </w:pPr>
      <w:r w:rsidRPr="00252F3C">
        <w:t xml:space="preserve">The conservation of biodiversity is also an important aspect of the environmental component </w:t>
      </w:r>
      <w:r w:rsidR="00A95847" w:rsidRPr="00252F3C">
        <w:t>of the agriculture and food system.</w:t>
      </w:r>
      <w:r w:rsidRPr="00252F3C">
        <w:t xml:space="preserve"> Genetic resources for food and agriculture, including </w:t>
      </w:r>
      <w:r w:rsidR="00A95847" w:rsidRPr="00252F3C">
        <w:t xml:space="preserve">crops, livestock, fish and forests, </w:t>
      </w:r>
      <w:r w:rsidRPr="00252F3C">
        <w:t xml:space="preserve">lie at the heart of the poverty, food security and environment nexus. The wise and sustainable use of genetic resources is fundamental to meeting these challenges, yet these resources themselves </w:t>
      </w:r>
      <w:r w:rsidR="00A95847" w:rsidRPr="00252F3C">
        <w:t>are</w:t>
      </w:r>
      <w:r w:rsidRPr="00252F3C">
        <w:t xml:space="preserve"> more threatened today than at any period since the dawn of agriculture.</w:t>
      </w:r>
      <w:r w:rsidR="00304E4F" w:rsidRPr="00252F3C">
        <w:t xml:space="preserve"> The UN has reported that one million species are facing extinction</w:t>
      </w:r>
      <w:r w:rsidR="00285CB0" w:rsidRPr="00252F3C">
        <w:t xml:space="preserve"> and many crop varieties are lost</w:t>
      </w:r>
      <w:r w:rsidR="009B01D0" w:rsidRPr="00252F3C">
        <w:t xml:space="preserve"> each year</w:t>
      </w:r>
      <w:r w:rsidR="00D663BD" w:rsidRPr="00252F3C">
        <w:t xml:space="preserve">. </w:t>
      </w:r>
      <w:r w:rsidR="00D663BD" w:rsidRPr="00252F3C">
        <w:fldChar w:fldCharType="begin"/>
      </w:r>
      <w:r w:rsidR="00D663BD" w:rsidRPr="00252F3C">
        <w:instrText xml:space="preserve"> ADDIN ZOTERO_ITEM CSL_CITATION {"citationID":"Rwl2aZA7","properties":{"formattedCitation":"(IPBES, 2019)","plainCitation":"(IPBES, 2019)","noteIndex":0},"citationItems":[{"id":1045,"uris":["http://zotero.org/users/20058/items/3PUZGRFN"],"uri":["http://zotero.org/users/20058/items/3PUZGRFN"],"itemData":{"id":1045,"type":"report","abstract":"IPBES is to perform regular and timely assessments of knowledge on biodiversity and ecosystem services and their interlinkages at the global level. Also addressing an invitation by the Conference of the Parties of the Convention on Biological Diversity (CBD) to prepare a global assessment of biodiversity and ecosystem services building, inter alia, on its own and other relevant regional, subregional and thematic assessments, as well as on national reports. The overall scope of the assessment is to assess the status and trends with regard to biodiversity and ecosystem services, the impact of biodiversity and ecosystem services on human well-being and the effectiveness of responses, including the Strategic Plan and its Aichi Biodiversity Targets. It is anticipated that this deliverable will contribute to the process for the evaluation and renewal of the Strategic Plan for Biodiversity and its Aichi Biodiversity Targets. The IPBES Global Assessment on Biodiversity and Ecosystem Services is composed of 1) a Summary for Policymakers (SPM), approved by the IPBES Plenary at its 7th session in May 2019 in Paris, France (IPBES-7); and 2) a set of six Chapters, accepted by the IPBES Plenary.","language":"en","note":"version: 1\nDOI: 10.5281/ZENODO.3831673","publisher":"Zenodo","source":"DOI.org (Datacite)","title":"Global assessment report on biodiversity and ecosystem services of the Intergovernmental Science-Policy Platform on Biodiversity and Ecosystem Services","URL":"https://zenodo.org/record/3831673","author":[{"family":"IPBES","given":""}],"accessed":{"date-parts":[["2021",12,17]]},"issued":{"date-parts":[["2019",5,4]]}}}],"schema":"https://github.com/citation-style-language/schema/raw/master/csl-citation.json"} </w:instrText>
      </w:r>
      <w:r w:rsidR="00D663BD" w:rsidRPr="00252F3C">
        <w:fldChar w:fldCharType="separate"/>
      </w:r>
      <w:r w:rsidR="00D663BD" w:rsidRPr="00252F3C">
        <w:rPr>
          <w:rFonts w:ascii="Calibri" w:hAnsi="Calibri" w:cs="Calibri"/>
        </w:rPr>
        <w:t>(IPBES, 2019)</w:t>
      </w:r>
      <w:r w:rsidR="00D663BD" w:rsidRPr="00252F3C">
        <w:fldChar w:fldCharType="end"/>
      </w:r>
      <w:r w:rsidR="00304E4F" w:rsidRPr="00252F3C">
        <w:t xml:space="preserve"> </w:t>
      </w:r>
      <w:r w:rsidRPr="00252F3C">
        <w:t xml:space="preserve"> </w:t>
      </w:r>
      <w:r w:rsidR="00D25531" w:rsidRPr="00252F3C">
        <w:t>All</w:t>
      </w:r>
      <w:r w:rsidR="00AE2803" w:rsidRPr="00252F3C">
        <w:t xml:space="preserve"> these challenges are combining to create a threat to productivity and food security in the coming decades and </w:t>
      </w:r>
      <w:r w:rsidR="00D20C73" w:rsidRPr="00252F3C">
        <w:t>will</w:t>
      </w:r>
      <w:r w:rsidR="00AE2803" w:rsidRPr="00252F3C">
        <w:t xml:space="preserve"> </w:t>
      </w:r>
      <w:r w:rsidR="00D20C73" w:rsidRPr="00252F3C">
        <w:t xml:space="preserve">prevent </w:t>
      </w:r>
      <w:r w:rsidR="00AE2803" w:rsidRPr="00252F3C">
        <w:t xml:space="preserve">the </w:t>
      </w:r>
      <w:r w:rsidR="00D20C73" w:rsidRPr="00252F3C">
        <w:t>realization</w:t>
      </w:r>
      <w:r w:rsidR="00AE2803" w:rsidRPr="00252F3C">
        <w:t xml:space="preserve"> of the Sustainable Development Goals.  </w:t>
      </w:r>
    </w:p>
    <w:p w14:paraId="25DA9583" w14:textId="77777777" w:rsidR="00A95847" w:rsidRPr="00252F3C" w:rsidRDefault="00A95847" w:rsidP="004142DF">
      <w:pPr>
        <w:spacing w:after="0"/>
      </w:pPr>
    </w:p>
    <w:p w14:paraId="070E2419" w14:textId="443CBD46" w:rsidR="004142DF" w:rsidRPr="00252F3C" w:rsidRDefault="00AE2803" w:rsidP="004142DF">
      <w:pPr>
        <w:spacing w:after="0"/>
      </w:pPr>
      <w:r w:rsidRPr="00252F3C">
        <w:t>The 202</w:t>
      </w:r>
      <w:r w:rsidR="006E57CC" w:rsidRPr="00252F3C">
        <w:t>1</w:t>
      </w:r>
      <w:r w:rsidRPr="00252F3C">
        <w:t xml:space="preserve"> Global Agricultural Productivity Index depicts the </w:t>
      </w:r>
      <w:r w:rsidR="00990BD1" w:rsidRPr="00252F3C">
        <w:t xml:space="preserve">considerable </w:t>
      </w:r>
      <w:r w:rsidRPr="00252F3C">
        <w:t xml:space="preserve">gap that will arise by 2050 when the growing demands of a hungry world </w:t>
      </w:r>
      <w:r w:rsidR="00D20C73" w:rsidRPr="00252F3C">
        <w:t xml:space="preserve">are </w:t>
      </w:r>
      <w:r w:rsidR="000F77C5" w:rsidRPr="00252F3C">
        <w:t xml:space="preserve">no longer </w:t>
      </w:r>
      <w:r w:rsidR="00D20C73" w:rsidRPr="00252F3C">
        <w:t xml:space="preserve">met by the </w:t>
      </w:r>
      <w:r w:rsidR="00D14EC4" w:rsidRPr="00252F3C">
        <w:t>projected</w:t>
      </w:r>
      <w:r w:rsidR="000F77C5" w:rsidRPr="00252F3C">
        <w:t xml:space="preserve"> </w:t>
      </w:r>
      <w:r w:rsidR="00D20C73" w:rsidRPr="00252F3C">
        <w:t xml:space="preserve">rate of productivity growth (Figure 4). </w:t>
      </w:r>
      <w:r w:rsidR="00B15D31" w:rsidRPr="00252F3C">
        <w:t xml:space="preserve">The middle-income countries are beginning to increase rates of productivity, but the productivity growth of high-income countries </w:t>
      </w:r>
      <w:r w:rsidR="00F33458" w:rsidRPr="00252F3C">
        <w:t>has declined</w:t>
      </w:r>
      <w:r w:rsidR="00B15D31" w:rsidRPr="00252F3C">
        <w:t xml:space="preserve"> over time. </w:t>
      </w:r>
      <w:r w:rsidR="00D20C73" w:rsidRPr="00252F3C">
        <w:t xml:space="preserve">Particularly concerning are the low-income country productivity growth rates, which will require ever-higher levels of investment and partnership to reverse. </w:t>
      </w:r>
      <w:r w:rsidR="00D663BD" w:rsidRPr="00252F3C">
        <w:fldChar w:fldCharType="begin"/>
      </w:r>
      <w:r w:rsidR="00D663BD" w:rsidRPr="00252F3C">
        <w:instrText xml:space="preserve"> ADDIN ZOTERO_ITEM CSL_CITATION {"citationID":"NzqN8ODJ","properties":{"formattedCitation":"(Steensland, 2021)","plainCitation":"(Steensland, 2021)","noteIndex":0},"citationItems":[{"id":1043,"uris":["http://zotero.org/users/20058/items/8AJPSA8H"],"uri":["http://zotero.org/users/20058/items/8AJPSA8H"],"itemData":{"id":1043,"type":"report","event-place":"Blacksburg, VA","publisher":"Virginia Tech College of Agriculture and Life Sciences","publisher-place":"Blacksburg, VA","title":"2021 Global Agricultural Productivity Report: Strengthening the climate for sustainable agricultural growth","author":[{"family":"Steensland","given":"Ann"}],"collection-editor":[{"family":"Thompson","given":"Tom"}],"issued":{"date-parts":[["2021"]]}}}],"schema":"https://github.com/citation-style-language/schema/raw/master/csl-citation.json"} </w:instrText>
      </w:r>
      <w:r w:rsidR="00D663BD" w:rsidRPr="00252F3C">
        <w:fldChar w:fldCharType="separate"/>
      </w:r>
      <w:r w:rsidR="00D663BD" w:rsidRPr="00252F3C">
        <w:rPr>
          <w:rFonts w:ascii="Calibri" w:hAnsi="Calibri" w:cs="Calibri"/>
        </w:rPr>
        <w:t>(Steensland, 2021)</w:t>
      </w:r>
      <w:r w:rsidR="00D663BD" w:rsidRPr="00252F3C">
        <w:fldChar w:fldCharType="end"/>
      </w:r>
    </w:p>
    <w:p w14:paraId="26718147" w14:textId="080485B6" w:rsidR="00AE2803" w:rsidRPr="00252F3C" w:rsidRDefault="00AE2803" w:rsidP="004142DF">
      <w:pPr>
        <w:spacing w:after="0"/>
      </w:pPr>
    </w:p>
    <w:p w14:paraId="0A3C94C0" w14:textId="77777777" w:rsidR="00B15D31" w:rsidRPr="00252F3C" w:rsidRDefault="00B15D31" w:rsidP="004142DF">
      <w:pPr>
        <w:spacing w:after="0"/>
      </w:pPr>
    </w:p>
    <w:p w14:paraId="308A54B6" w14:textId="39DA640A" w:rsidR="00AE2803" w:rsidRPr="00252F3C" w:rsidRDefault="00D20C73" w:rsidP="004142DF">
      <w:pPr>
        <w:spacing w:after="0"/>
      </w:pPr>
      <w:r w:rsidRPr="00252F3C">
        <w:t xml:space="preserve">Figure 4. </w:t>
      </w:r>
      <w:r w:rsidR="00420861" w:rsidRPr="00252F3C">
        <w:t>202</w:t>
      </w:r>
      <w:r w:rsidR="006C062C" w:rsidRPr="00252F3C">
        <w:t>1</w:t>
      </w:r>
      <w:r w:rsidR="00420861" w:rsidRPr="00252F3C">
        <w:t xml:space="preserve"> Global Agricultural Productivity Index (GAP Index)</w:t>
      </w:r>
    </w:p>
    <w:p w14:paraId="6BC14BE3" w14:textId="77777777" w:rsidR="00A34316" w:rsidRPr="00252F3C" w:rsidRDefault="00A1284A" w:rsidP="00A34316">
      <w:pPr>
        <w:keepNext/>
        <w:spacing w:after="0"/>
      </w:pPr>
      <w:r w:rsidRPr="00252F3C">
        <w:rPr>
          <w:noProof/>
        </w:rPr>
        <w:lastRenderedPageBreak/>
        <w:drawing>
          <wp:inline distT="0" distB="0" distL="0" distR="0" wp14:anchorId="3C8214F8" wp14:editId="5123374E">
            <wp:extent cx="5477256" cy="64008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021_The Global Agricultural Productivity (GAP) Index_rgb-0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477256" cy="6400800"/>
                    </a:xfrm>
                    <a:prstGeom prst="rect">
                      <a:avLst/>
                    </a:prstGeom>
                  </pic:spPr>
                </pic:pic>
              </a:graphicData>
            </a:graphic>
          </wp:inline>
        </w:drawing>
      </w:r>
    </w:p>
    <w:p w14:paraId="0ED925F2" w14:textId="70ACABF1" w:rsidR="00AE2803" w:rsidRPr="00252F3C" w:rsidRDefault="00A34316" w:rsidP="00A34316">
      <w:pPr>
        <w:pStyle w:val="Caption"/>
      </w:pPr>
      <w:r w:rsidRPr="00252F3C">
        <w:t>Source: 2021 Global Agricultural Productivity Report/Virginia Tech College of Agriculture and Life Sciences</w:t>
      </w:r>
    </w:p>
    <w:p w14:paraId="08DAA054" w14:textId="77777777" w:rsidR="00A1284A" w:rsidRPr="00252F3C" w:rsidRDefault="00A1284A" w:rsidP="004142DF">
      <w:pPr>
        <w:spacing w:after="0"/>
        <w:rPr>
          <w:b/>
          <w:bCs/>
          <w:u w:val="single"/>
        </w:rPr>
      </w:pPr>
    </w:p>
    <w:p w14:paraId="517580B9" w14:textId="74F8D39A" w:rsidR="00420861" w:rsidRPr="00252F3C" w:rsidRDefault="005E0492" w:rsidP="004142DF">
      <w:pPr>
        <w:spacing w:after="0"/>
        <w:rPr>
          <w:b/>
          <w:bCs/>
          <w:u w:val="single"/>
        </w:rPr>
      </w:pPr>
      <w:r w:rsidRPr="00252F3C">
        <w:rPr>
          <w:b/>
          <w:bCs/>
          <w:u w:val="single"/>
        </w:rPr>
        <w:t>Research innovation for sustainable productivity</w:t>
      </w:r>
    </w:p>
    <w:p w14:paraId="2B959C7B" w14:textId="77777777" w:rsidR="00420861" w:rsidRPr="00252F3C" w:rsidRDefault="00420861" w:rsidP="004142DF">
      <w:pPr>
        <w:spacing w:after="0"/>
      </w:pPr>
    </w:p>
    <w:p w14:paraId="724D72A2" w14:textId="068E49E7" w:rsidR="00307877" w:rsidRPr="00252F3C" w:rsidRDefault="00307877" w:rsidP="00307877">
      <w:r w:rsidRPr="00252F3C">
        <w:t xml:space="preserve">It is urgent to invest </w:t>
      </w:r>
      <w:r w:rsidR="008733D2" w:rsidRPr="00252F3C">
        <w:t xml:space="preserve">in </w:t>
      </w:r>
      <w:r w:rsidRPr="00252F3C">
        <w:t xml:space="preserve">and innovate </w:t>
      </w:r>
      <w:r w:rsidR="008733D2" w:rsidRPr="00252F3C">
        <w:t>for</w:t>
      </w:r>
      <w:r w:rsidRPr="00252F3C">
        <w:t xml:space="preserve"> the solutions that will not only improve productivity of farmers of all scales globally, but solutions that conserv</w:t>
      </w:r>
      <w:r w:rsidR="00536850" w:rsidRPr="00252F3C">
        <w:t>e</w:t>
      </w:r>
      <w:r w:rsidRPr="00252F3C">
        <w:t xml:space="preserve"> </w:t>
      </w:r>
      <w:r w:rsidR="005D7714" w:rsidRPr="00252F3C">
        <w:rPr>
          <w:i/>
          <w:iCs/>
        </w:rPr>
        <w:t>as well as harness the potential</w:t>
      </w:r>
      <w:r w:rsidR="005D7714" w:rsidRPr="00252F3C">
        <w:t xml:space="preserve"> of </w:t>
      </w:r>
      <w:r w:rsidRPr="00252F3C">
        <w:t>natural resources and biodiversity</w:t>
      </w:r>
      <w:r w:rsidR="00536850" w:rsidRPr="00252F3C">
        <w:t>, as stated in S</w:t>
      </w:r>
      <w:r w:rsidRPr="00252F3C">
        <w:t>ustainable Development Goal 2.4</w:t>
      </w:r>
      <w:r w:rsidR="00536850" w:rsidRPr="00252F3C">
        <w:t>:</w:t>
      </w:r>
    </w:p>
    <w:p w14:paraId="7A1040C2" w14:textId="6359E503" w:rsidR="00307877" w:rsidRPr="00252F3C" w:rsidRDefault="00307877" w:rsidP="00307877">
      <w:pPr>
        <w:ind w:left="720"/>
        <w:rPr>
          <w:i/>
          <w:iCs/>
          <w:lang w:val="en-GB"/>
        </w:rPr>
      </w:pPr>
      <w:r w:rsidRPr="00252F3C">
        <w:rPr>
          <w:i/>
          <w:iCs/>
          <w:lang w:val="en-GB"/>
        </w:rPr>
        <w:lastRenderedPageBreak/>
        <w:t xml:space="preserve">By 2030, ensure sustainable food production systems and implement resilient agricultural practices that increase productivity and production, that help maintain ecosystems, that strengthen capacity for adaptation to climate change, extreme weather, drought, flooding and other disasters and that progressively improve land and soil quality. </w:t>
      </w:r>
    </w:p>
    <w:p w14:paraId="776AEC40" w14:textId="23C0852C" w:rsidR="00DB0661" w:rsidRPr="00252F3C" w:rsidRDefault="00B67744" w:rsidP="00846B69">
      <w:r w:rsidRPr="00252F3C">
        <w:t>The powerful solutions and approaches that are needed must move beyond “low-hanging fruit” that international donor governments prefer when investing in low-income country agriculture improvements</w:t>
      </w:r>
      <w:r w:rsidR="00D663BD" w:rsidRPr="00252F3C">
        <w:t xml:space="preserve">. </w:t>
      </w:r>
      <w:r w:rsidR="00D663BD" w:rsidRPr="00252F3C">
        <w:fldChar w:fldCharType="begin"/>
      </w:r>
      <w:r w:rsidR="00D663BD" w:rsidRPr="00252F3C">
        <w:instrText xml:space="preserve"> ADDIN ZOTERO_ITEM CSL_CITATION {"citationID":"KVEoWXlS","properties":{"formattedCitation":"(Resnick et al., 2018)","plainCitation":"(Resnick et al., 2018)","noteIndex":0},"citationItems":[{"id":1035,"uris":["http://zotero.org/users/20058/items/SCJGK42V"],"uri":["http://zotero.org/users/20058/items/SCJGK42V"],"itemData":{"id":1035,"type":"article-journal","container-title":"World Development","DOI":"10.1016/j.worlddev.2018.04.004","ISSN":"0305750X","journalAbbreviation":"World Development","language":"en","page":"101-120","source":"DOI.org (Crossref)","title":"The Kaleidoscope Model of policy change: Applications to food security policy in Zambia","title-short":"The Kaleidoscope Model of policy change","URL":"https://linkinghub.elsevier.com/retrieve/pii/S0305750X18301232","volume":"109","author":[{"family":"Resnick","given":"Danielle"},{"family":"Haggblade","given":"Steven"},{"family":"Babu","given":"Suresh"},{"family":"Hendriks","given":"Sheryl L."},{"family":"Mather","given":"David"}],"accessed":{"date-parts":[["2021",12,17]]},"issued":{"date-parts":[["2018",9]]}}}],"schema":"https://github.com/citation-style-language/schema/raw/master/csl-citation.json"} </w:instrText>
      </w:r>
      <w:r w:rsidR="00D663BD" w:rsidRPr="00252F3C">
        <w:fldChar w:fldCharType="separate"/>
      </w:r>
      <w:r w:rsidR="00D663BD" w:rsidRPr="00252F3C">
        <w:rPr>
          <w:rFonts w:ascii="Calibri" w:hAnsi="Calibri" w:cs="Calibri"/>
        </w:rPr>
        <w:t>(Resnick et al., 2018)</w:t>
      </w:r>
      <w:r w:rsidR="00D663BD" w:rsidRPr="00252F3C">
        <w:fldChar w:fldCharType="end"/>
      </w:r>
      <w:r w:rsidRPr="00252F3C">
        <w:t xml:space="preserve"> </w:t>
      </w:r>
      <w:r w:rsidR="00A52D62" w:rsidRPr="00252F3C">
        <w:t>Sustained and targeted investments in public and private agricultural research systems that deliver innovation to farmers and rural communities are essential public goods and are the principal drivers of productivity</w:t>
      </w:r>
      <w:r w:rsidR="00D663BD" w:rsidRPr="00252F3C">
        <w:t xml:space="preserve">. </w:t>
      </w:r>
      <w:r w:rsidR="00D663BD" w:rsidRPr="00252F3C">
        <w:fldChar w:fldCharType="begin"/>
      </w:r>
      <w:r w:rsidR="00D663BD" w:rsidRPr="00252F3C">
        <w:instrText xml:space="preserve"> ADDIN ZOTERO_ITEM CSL_CITATION {"citationID":"7Rg91mqw","properties":{"formattedCitation":"(Steensland &amp; Zeigler, 2017)","plainCitation":"(Steensland &amp; Zeigler, 2017)","noteIndex":0},"citationItems":[{"id":8,"uris":["http://zotero.org/users/20058/items/JNA7C9YE"],"uri":["http://zotero.org/users/20058/items/JNA7C9YE"],"itemData":{"id":8,"type":"report","event-place":"Washington, D.C.","publisher":"Global Harvest Initiative","publisher-place":"Washington, D.C.","title":"2017 Global Agricultural Productivity Report: A world of productive sustainable agriculture","author":[{"family":"Steensland","given":"Ann"},{"family":"Zeigler","given":"Margaret"}],"issued":{"date-parts":[["2017"]]}}}],"schema":"https://github.com/citation-style-language/schema/raw/master/csl-citation.json"} </w:instrText>
      </w:r>
      <w:r w:rsidR="00D663BD" w:rsidRPr="00252F3C">
        <w:fldChar w:fldCharType="separate"/>
      </w:r>
      <w:r w:rsidR="00D663BD" w:rsidRPr="00252F3C">
        <w:rPr>
          <w:rFonts w:ascii="Calibri" w:hAnsi="Calibri" w:cs="Calibri"/>
        </w:rPr>
        <w:t>(Steensland &amp; Zeigler, 2017)</w:t>
      </w:r>
      <w:r w:rsidR="00D663BD" w:rsidRPr="00252F3C">
        <w:fldChar w:fldCharType="end"/>
      </w:r>
      <w:r w:rsidR="00D663BD" w:rsidRPr="00252F3C">
        <w:t xml:space="preserve"> </w:t>
      </w:r>
      <w:r w:rsidR="00360036" w:rsidRPr="00252F3C">
        <w:t>New plant varieties and management tools will be necessary to grow crops that provide reliable and nutritious sources of food with fewer inputs</w:t>
      </w:r>
      <w:r w:rsidR="00300A8A" w:rsidRPr="00252F3C">
        <w:t xml:space="preserve"> in the face of climate change. </w:t>
      </w:r>
    </w:p>
    <w:p w14:paraId="69E3FF1F" w14:textId="77B05836" w:rsidR="00497E1D" w:rsidRPr="00252F3C" w:rsidRDefault="005D7714" w:rsidP="00846B69">
      <w:r w:rsidRPr="00252F3C">
        <w:t xml:space="preserve">Achieving this will require </w:t>
      </w:r>
      <w:r w:rsidR="00730498" w:rsidRPr="00252F3C">
        <w:t xml:space="preserve">more </w:t>
      </w:r>
      <w:r w:rsidRPr="00252F3C">
        <w:t>funding for agriculture research to grow crops that provide reliable and nutritious sources of food on an improved productivity scale.</w:t>
      </w:r>
      <w:r w:rsidR="00D25531" w:rsidRPr="00252F3C">
        <w:t xml:space="preserve"> </w:t>
      </w:r>
      <w:r w:rsidR="001359FD" w:rsidRPr="00252F3C">
        <w:t xml:space="preserve">Equally important are solutions that emerge from participatory research models </w:t>
      </w:r>
      <w:r w:rsidR="00DB0661" w:rsidRPr="00252F3C">
        <w:t>as well as from new technology that can unlock genetic potential and bring systemic transformation to agriculture</w:t>
      </w:r>
      <w:r w:rsidR="001359FD" w:rsidRPr="00252F3C">
        <w:t xml:space="preserve">. </w:t>
      </w:r>
      <w:r w:rsidR="00EF6566" w:rsidRPr="00252F3C">
        <w:t xml:space="preserve"> Below we discuss innovations in participatory research models from </w:t>
      </w:r>
      <w:r w:rsidR="00CF05F7" w:rsidRPr="00252F3C">
        <w:t>an</w:t>
      </w:r>
      <w:r w:rsidR="00EF6566" w:rsidRPr="00252F3C">
        <w:t xml:space="preserve"> example found at the International Potato Center (CIP) in Peru </w:t>
      </w:r>
      <w:r w:rsidR="00CF05F7" w:rsidRPr="00252F3C">
        <w:t>as well as the example of how to unlock existing plant genetics through the phytobiome.</w:t>
      </w:r>
    </w:p>
    <w:p w14:paraId="6725BFDE" w14:textId="77777777" w:rsidR="00EF6566" w:rsidRPr="00252F3C" w:rsidRDefault="00EF6566" w:rsidP="00846B69"/>
    <w:p w14:paraId="4EF9D526" w14:textId="69743E61" w:rsidR="00DB4BDE" w:rsidRPr="00252F3C" w:rsidRDefault="00DB4BDE" w:rsidP="00DB4BDE">
      <w:pPr>
        <w:rPr>
          <w:b/>
          <w:bCs/>
          <w:u w:val="single"/>
        </w:rPr>
      </w:pPr>
      <w:r w:rsidRPr="00252F3C">
        <w:rPr>
          <w:b/>
          <w:bCs/>
          <w:u w:val="single"/>
        </w:rPr>
        <w:t xml:space="preserve">Participatory research </w:t>
      </w:r>
      <w:r w:rsidR="00497E1D" w:rsidRPr="00252F3C">
        <w:rPr>
          <w:b/>
          <w:bCs/>
          <w:u w:val="single"/>
        </w:rPr>
        <w:t xml:space="preserve">as </w:t>
      </w:r>
      <w:r w:rsidRPr="00252F3C">
        <w:rPr>
          <w:b/>
          <w:bCs/>
          <w:u w:val="single"/>
        </w:rPr>
        <w:t>innovation</w:t>
      </w:r>
    </w:p>
    <w:p w14:paraId="6172E41A" w14:textId="0B279D5C" w:rsidR="00DB4BDE" w:rsidRPr="00252F3C" w:rsidRDefault="00497E1D" w:rsidP="00DB4BDE">
      <w:r w:rsidRPr="00252F3C">
        <w:t>To fundamentally transform food systems</w:t>
      </w:r>
      <w:r w:rsidR="000216F3" w:rsidRPr="00252F3C">
        <w:t xml:space="preserve"> and ensure that farmers will also realize benefits, </w:t>
      </w:r>
      <w:r w:rsidR="009465AC" w:rsidRPr="00252F3C">
        <w:t>farmers</w:t>
      </w:r>
      <w:r w:rsidR="00DB0661" w:rsidRPr="00252F3C">
        <w:t xml:space="preserve"> </w:t>
      </w:r>
      <w:r w:rsidR="000216F3" w:rsidRPr="00252F3C">
        <w:t xml:space="preserve">must be active participants in research, crop conservation and protection of biodiversity. </w:t>
      </w:r>
      <w:r w:rsidR="008339C8" w:rsidRPr="00252F3C">
        <w:t xml:space="preserve"> As an example of innovative research, t</w:t>
      </w:r>
      <w:r w:rsidR="005C39D5" w:rsidRPr="00252F3C">
        <w:t xml:space="preserve">he International Potato Center (CIP) in Peru is developing </w:t>
      </w:r>
      <w:r w:rsidR="008339C8" w:rsidRPr="00252F3C">
        <w:t>new</w:t>
      </w:r>
      <w:r w:rsidR="005C39D5" w:rsidRPr="00252F3C">
        <w:t xml:space="preserve"> farmer partnership models of conservation and research that improve farmer productivity and conserve crop diversity while harnessing its potential. </w:t>
      </w:r>
    </w:p>
    <w:p w14:paraId="13633DE9" w14:textId="20F1A554" w:rsidR="00497E1D" w:rsidRPr="00252F3C" w:rsidRDefault="00DB4BDE" w:rsidP="00DB4BDE">
      <w:r w:rsidRPr="00252F3C">
        <w:t xml:space="preserve">As part of the </w:t>
      </w:r>
      <w:r w:rsidR="00497E1D" w:rsidRPr="00252F3C">
        <w:t xml:space="preserve">CGIAR </w:t>
      </w:r>
      <w:r w:rsidRPr="00252F3C">
        <w:t>international consortium</w:t>
      </w:r>
      <w:r w:rsidR="00EF6566" w:rsidRPr="00252F3C">
        <w:t xml:space="preserve"> (One CGIAR)</w:t>
      </w:r>
      <w:r w:rsidRPr="00252F3C">
        <w:t>, CIP</w:t>
      </w:r>
      <w:r w:rsidR="00497E1D" w:rsidRPr="00252F3C">
        <w:t xml:space="preserve"> uses its</w:t>
      </w:r>
      <w:r w:rsidRPr="00252F3C">
        <w:t xml:space="preserve"> gene bank to conserve the world’s genetic diversity —cultivated, wild and breeding material—of potato and sweet potato for future use. It plays a critical role in providing </w:t>
      </w:r>
      <w:r w:rsidR="00497E1D" w:rsidRPr="00252F3C">
        <w:t xml:space="preserve">new </w:t>
      </w:r>
      <w:r w:rsidRPr="00252F3C">
        <w:t>CIP innovations and products, particularly suitable varieties for farmers and consumers. The CIP gene bank conserves—</w:t>
      </w:r>
      <w:r w:rsidRPr="00252F3C">
        <w:rPr>
          <w:i/>
          <w:iCs/>
        </w:rPr>
        <w:t>in</w:t>
      </w:r>
      <w:r w:rsidR="009465AC" w:rsidRPr="00252F3C">
        <w:rPr>
          <w:i/>
          <w:iCs/>
        </w:rPr>
        <w:t>-</w:t>
      </w:r>
      <w:r w:rsidRPr="00252F3C">
        <w:rPr>
          <w:i/>
          <w:iCs/>
        </w:rPr>
        <w:t>vitro</w:t>
      </w:r>
      <w:r w:rsidRPr="00252F3C">
        <w:t xml:space="preserve"> and in seed— the world’s most extensive collections of potato, sweet potato, and their wild relatives, as well as a unique collection of Andean roots and tubers—the genetic, </w:t>
      </w:r>
      <w:r w:rsidR="005C39D5" w:rsidRPr="00252F3C">
        <w:t>physiological,</w:t>
      </w:r>
      <w:r w:rsidRPr="00252F3C">
        <w:t xml:space="preserve"> and biochemical attributes of which the scientific community has just begun to explore</w:t>
      </w:r>
      <w:r w:rsidR="00D663BD" w:rsidRPr="00252F3C">
        <w:t xml:space="preserve">. </w:t>
      </w:r>
      <w:r w:rsidR="00D663BD" w:rsidRPr="00252F3C">
        <w:fldChar w:fldCharType="begin"/>
      </w:r>
      <w:r w:rsidR="00D663BD" w:rsidRPr="00252F3C">
        <w:instrText xml:space="preserve"> ADDIN ZOTERO_ITEM CSL_CITATION {"citationID":"MaEDh0Jp","properties":{"formattedCitation":"({\\i{}Biodiversity for the Future Program}, 2019)","plainCitation":"(Biodiversity for the Future Program, 2019)","noteIndex":0},"citationItems":[{"id":1046,"uris":["http://zotero.org/users/20058/items/C4EXKZFV"],"uri":["http://zotero.org/users/20058/items/C4EXKZFV"],"itemData":{"id":1046,"type":"report","event-place":"Lima, Peru","page":"4","publisher":"International Potato Center","publisher-place":"Lima, Peru","title":"Biodiversity for the future program","URL":"https://cgspace.cgiar.org/handle/10568/100668","issued":{"date-parts":[["2019"]]}}}],"schema":"https://github.com/citation-style-language/schema/raw/master/csl-citation.json"} </w:instrText>
      </w:r>
      <w:r w:rsidR="00D663BD" w:rsidRPr="00252F3C">
        <w:fldChar w:fldCharType="separate"/>
      </w:r>
      <w:r w:rsidR="00D663BD" w:rsidRPr="00252F3C">
        <w:rPr>
          <w:rFonts w:ascii="Calibri" w:hAnsi="Calibri" w:cs="Calibri"/>
          <w:szCs w:val="24"/>
        </w:rPr>
        <w:t>(</w:t>
      </w:r>
      <w:r w:rsidR="00D663BD" w:rsidRPr="00252F3C">
        <w:rPr>
          <w:rFonts w:ascii="Calibri" w:hAnsi="Calibri" w:cs="Calibri"/>
          <w:iCs/>
          <w:szCs w:val="24"/>
        </w:rPr>
        <w:t>CIP</w:t>
      </w:r>
      <w:r w:rsidR="00D663BD" w:rsidRPr="00252F3C">
        <w:rPr>
          <w:rFonts w:ascii="Calibri" w:hAnsi="Calibri" w:cs="Calibri"/>
          <w:szCs w:val="24"/>
        </w:rPr>
        <w:t>, 2019)</w:t>
      </w:r>
      <w:r w:rsidR="00D663BD" w:rsidRPr="00252F3C">
        <w:fldChar w:fldCharType="end"/>
      </w:r>
      <w:r w:rsidR="00497E1D" w:rsidRPr="00252F3C">
        <w:t xml:space="preserve"> </w:t>
      </w:r>
    </w:p>
    <w:p w14:paraId="599759D9" w14:textId="77777777" w:rsidR="005C39D5" w:rsidRPr="00252F3C" w:rsidRDefault="005C39D5" w:rsidP="005C39D5">
      <w:r w:rsidRPr="00252F3C">
        <w:t>Native potato farmers who conserve high levels of agrobiodiversity have become known as potato custodians. These custodians conserve and grow varieties inherited from their parents, and they add to their collections by trading or purchasing new varieties at agrobiodiversity fairs or regional markets and events.  Their work is important because it conserves the genetic diversity of potato, much of which has been lost outside its center of origin in the Andes.</w:t>
      </w:r>
    </w:p>
    <w:p w14:paraId="56500BB5" w14:textId="0A951720" w:rsidR="00DB4BDE" w:rsidRPr="00252F3C" w:rsidRDefault="00497E1D" w:rsidP="00DB4BDE">
      <w:r w:rsidRPr="00252F3C">
        <w:t xml:space="preserve">Farmer-driven conservation is linked to continuously evolving local knowledge systems and conserves not only </w:t>
      </w:r>
      <w:r w:rsidR="009465AC" w:rsidRPr="00252F3C">
        <w:t>diversity of potato</w:t>
      </w:r>
      <w:r w:rsidRPr="00252F3C">
        <w:t xml:space="preserve">, but also the knowledge of </w:t>
      </w:r>
      <w:r w:rsidR="009465AC" w:rsidRPr="00252F3C">
        <w:t>its</w:t>
      </w:r>
      <w:r w:rsidRPr="00252F3C">
        <w:t xml:space="preserve"> use</w:t>
      </w:r>
      <w:r w:rsidR="009465AC" w:rsidRPr="00252F3C">
        <w:t>s</w:t>
      </w:r>
      <w:r w:rsidRPr="00252F3C">
        <w:t>, traits, properties, and cultural attributes</w:t>
      </w:r>
      <w:r w:rsidR="00A8785D" w:rsidRPr="00252F3C">
        <w:t xml:space="preserve">. </w:t>
      </w:r>
      <w:r w:rsidR="00A8785D" w:rsidRPr="00252F3C">
        <w:fldChar w:fldCharType="begin"/>
      </w:r>
      <w:r w:rsidR="00A8785D" w:rsidRPr="00252F3C">
        <w:instrText xml:space="preserve"> ADDIN ZOTERO_ITEM CSL_CITATION {"citationID":"xMjMgwzL","properties":{"formattedCitation":"(Hurst, 2021)","plainCitation":"(Hurst, 2021)","noteIndex":0},"citationItems":[{"id":1047,"uris":["http://zotero.org/users/20058/items/IMG35R9C"],"uri":["http://zotero.org/users/20058/items/IMG35R9C"],"itemData":{"id":1047,"type":"post-weblog","container-title":"Food Tank","title":"Farming communities around the world hold the key to food system resilience","URL":"https://foodtank.com/news/2021/10/farming-communities-around-the-world-hold-the-key-to-food-system-resilience/","author":[{"family":"Hurst","given":"Georgie"}],"issued":{"date-parts":[["2021",10]]}}}],"schema":"https://github.com/citation-style-language/schema/raw/master/csl-citation.json"} </w:instrText>
      </w:r>
      <w:r w:rsidR="00A8785D" w:rsidRPr="00252F3C">
        <w:fldChar w:fldCharType="separate"/>
      </w:r>
      <w:r w:rsidR="00A8785D" w:rsidRPr="00252F3C">
        <w:rPr>
          <w:rFonts w:ascii="Calibri" w:hAnsi="Calibri" w:cs="Calibri"/>
        </w:rPr>
        <w:t>(Hurst, 2021)</w:t>
      </w:r>
      <w:r w:rsidR="00A8785D" w:rsidRPr="00252F3C">
        <w:fldChar w:fldCharType="end"/>
      </w:r>
      <w:r w:rsidRPr="00252F3C">
        <w:t xml:space="preserve"> </w:t>
      </w:r>
      <w:r w:rsidR="00DB4BDE" w:rsidRPr="00252F3C">
        <w:t xml:space="preserve">CIP works closely with Andean communities on </w:t>
      </w:r>
      <w:r w:rsidR="00DB4BDE" w:rsidRPr="00252F3C">
        <w:rPr>
          <w:i/>
          <w:iCs/>
        </w:rPr>
        <w:t>in-situ</w:t>
      </w:r>
      <w:r w:rsidR="00DB4BDE" w:rsidRPr="00252F3C">
        <w:t xml:space="preserve"> conservation of potato diversity and have </w:t>
      </w:r>
      <w:r w:rsidR="00730498" w:rsidRPr="00252F3C">
        <w:t>returned</w:t>
      </w:r>
      <w:r w:rsidR="00DB4BDE" w:rsidRPr="00252F3C">
        <w:t xml:space="preserve"> </w:t>
      </w:r>
      <w:r w:rsidRPr="00252F3C">
        <w:t xml:space="preserve">potato and other root and tuber </w:t>
      </w:r>
      <w:r w:rsidR="00DB4BDE" w:rsidRPr="00252F3C">
        <w:t>accessions</w:t>
      </w:r>
      <w:r w:rsidR="00EF6566" w:rsidRPr="00252F3C">
        <w:t xml:space="preserve"> to the communities that were</w:t>
      </w:r>
      <w:r w:rsidR="00DB4BDE" w:rsidRPr="00252F3C">
        <w:t xml:space="preserve"> previously lost </w:t>
      </w:r>
      <w:r w:rsidR="00DB4BDE" w:rsidRPr="00252F3C">
        <w:lastRenderedPageBreak/>
        <w:t>due to civil unrest, disease, or climate change.</w:t>
      </w:r>
      <w:r w:rsidR="00730498" w:rsidRPr="00252F3C">
        <w:t xml:space="preserve">  </w:t>
      </w:r>
      <w:r w:rsidR="00DB4BDE" w:rsidRPr="00252F3C">
        <w:t xml:space="preserve">Since </w:t>
      </w:r>
      <w:r w:rsidR="00730498" w:rsidRPr="00252F3C">
        <w:t>2000</w:t>
      </w:r>
      <w:r w:rsidR="00DB4BDE" w:rsidRPr="00252F3C">
        <w:t xml:space="preserve">, CIP has collaborated with the Potato Park in Cusco, providing technical support to its six </w:t>
      </w:r>
      <w:r w:rsidR="005C39D5" w:rsidRPr="00252F3C">
        <w:t xml:space="preserve">indigenous </w:t>
      </w:r>
      <w:r w:rsidR="00DB4BDE" w:rsidRPr="00252F3C">
        <w:t xml:space="preserve">Quechua </w:t>
      </w:r>
      <w:r w:rsidR="00DB0661" w:rsidRPr="00252F3C">
        <w:t>communities,</w:t>
      </w:r>
      <w:r w:rsidR="004719D8" w:rsidRPr="00252F3C">
        <w:t xml:space="preserve"> </w:t>
      </w:r>
      <w:r w:rsidR="00730498" w:rsidRPr="00252F3C">
        <w:t xml:space="preserve">and returning </w:t>
      </w:r>
      <w:r w:rsidR="00DB4BDE" w:rsidRPr="00252F3C">
        <w:t xml:space="preserve">hundreds of potato landraces from its gene bank to the communities so farmers </w:t>
      </w:r>
      <w:r w:rsidR="000216F3" w:rsidRPr="00252F3C">
        <w:t xml:space="preserve">can </w:t>
      </w:r>
      <w:r w:rsidR="00DB4BDE" w:rsidRPr="00252F3C">
        <w:t xml:space="preserve">conserve and continue to experiment in their fields with these landraces. Through on-farm conservation, the Park’s communities are enhancing their livelihood opportunities with technological, market, and policy innovations based on traditional knowledge and biocultural heritage. </w:t>
      </w:r>
      <w:r w:rsidR="00A8785D" w:rsidRPr="00252F3C">
        <w:fldChar w:fldCharType="begin"/>
      </w:r>
      <w:r w:rsidR="00A8785D" w:rsidRPr="00252F3C">
        <w:instrText xml:space="preserve"> ADDIN ZOTERO_ITEM CSL_CITATION {"citationID":"D5qfDXQg","properties":{"formattedCitation":"(Yun Loong Wong &amp; Argumedo, 2011)","plainCitation":"(Yun Loong Wong &amp; Argumedo, 2011)","noteIndex":0},"citationItems":[{"id":1048,"uris":["http://zotero.org/users/20058/items/G7LC8SA5"],"uri":["http://zotero.org/users/20058/items/G7LC8SA5"],"itemData":{"id":1048,"type":"post-weblog","container-title":"Our World","title":"The thriving biodiversity of Peru's potato park","URL":"https://ourworld.unu.edu/en/the-thriving-biodiversity-of-peru-potato-park","author":[{"family":"Yun Loong Wong","given":"Bernard"},{"family":"Argumedo","given":"Alejandro"}],"issued":{"date-parts":[["2011",7,4]]}}}],"schema":"https://github.com/citation-style-language/schema/raw/master/csl-citation.json"} </w:instrText>
      </w:r>
      <w:r w:rsidR="00A8785D" w:rsidRPr="00252F3C">
        <w:fldChar w:fldCharType="separate"/>
      </w:r>
      <w:r w:rsidR="00A8785D" w:rsidRPr="00252F3C">
        <w:rPr>
          <w:rFonts w:ascii="Calibri" w:hAnsi="Calibri" w:cs="Calibri"/>
        </w:rPr>
        <w:t>(Yun Loong Wong &amp; Argumedo, 2011)</w:t>
      </w:r>
      <w:r w:rsidR="00A8785D" w:rsidRPr="00252F3C">
        <w:fldChar w:fldCharType="end"/>
      </w:r>
    </w:p>
    <w:p w14:paraId="414EF3BB" w14:textId="284B4D86" w:rsidR="00D90C04" w:rsidRPr="00252F3C" w:rsidRDefault="00DB4BDE" w:rsidP="00D90C04">
      <w:r w:rsidRPr="00252F3C">
        <w:t>CIP is also supporting another farmer-led initiative, Association of Guardians of the Native Potato from Central Peru (AGUAPAN)</w:t>
      </w:r>
      <w:r w:rsidR="009700CF" w:rsidRPr="00252F3C">
        <w:t>.</w:t>
      </w:r>
      <w:r w:rsidR="004719D8" w:rsidRPr="00252F3C">
        <w:t xml:space="preserve"> </w:t>
      </w:r>
      <w:r w:rsidRPr="00252F3C">
        <w:t xml:space="preserve">AGUAPAN is made up of nearly 100 farming communities from eight regions of Peru using traditional practices of soil and seed management to grow ancestral varieties of potatoes. The organization represents farmers </w:t>
      </w:r>
      <w:r w:rsidR="00D90C04" w:rsidRPr="00252F3C">
        <w:t xml:space="preserve">and collaborates with the </w:t>
      </w:r>
      <w:r w:rsidRPr="00252F3C">
        <w:t xml:space="preserve">government and the private sector, </w:t>
      </w:r>
      <w:r w:rsidR="00D90C04" w:rsidRPr="00252F3C">
        <w:t xml:space="preserve">while </w:t>
      </w:r>
      <w:r w:rsidRPr="00252F3C">
        <w:t>advocating for agrobiodiversity conservation initiatives that improve farmer livelihoods.</w:t>
      </w:r>
    </w:p>
    <w:p w14:paraId="1A989ED1" w14:textId="5468E6CA" w:rsidR="00D90C04" w:rsidRPr="00252F3C" w:rsidRDefault="00D90C04" w:rsidP="00D90C04">
      <w:r w:rsidRPr="00252F3C">
        <w:t xml:space="preserve">Systems for documenting and monitoring genetic diversity will help conservationists focus on areas of high genetic diversity that can be conserved and harnessed for future use.  </w:t>
      </w:r>
      <w:r w:rsidR="00B33215" w:rsidRPr="00252F3C">
        <w:t xml:space="preserve">CIP has </w:t>
      </w:r>
      <w:r w:rsidRPr="00252F3C">
        <w:t>developed its</w:t>
      </w:r>
      <w:r w:rsidR="00B33215" w:rsidRPr="00252F3C">
        <w:t xml:space="preserve"> participatory research models </w:t>
      </w:r>
      <w:r w:rsidR="008339C8" w:rsidRPr="00252F3C">
        <w:t>to</w:t>
      </w:r>
      <w:r w:rsidR="00B33215" w:rsidRPr="00252F3C">
        <w:t xml:space="preserve"> advance child nutrition, improve pest management, and develop new potato products</w:t>
      </w:r>
      <w:r w:rsidRPr="00252F3C">
        <w:t xml:space="preserve">, bringing many benefits back to farmer communities, </w:t>
      </w:r>
      <w:r w:rsidR="00DB0661" w:rsidRPr="00252F3C">
        <w:t>while</w:t>
      </w:r>
      <w:r w:rsidRPr="00252F3C">
        <w:t xml:space="preserve"> conserving the genetic diversity of potato and other roots and tubers. </w:t>
      </w:r>
      <w:r w:rsidR="00A8785D" w:rsidRPr="00252F3C">
        <w:fldChar w:fldCharType="begin"/>
      </w:r>
      <w:r w:rsidR="00A8785D" w:rsidRPr="00252F3C">
        <w:instrText xml:space="preserve"> ADDIN ZOTERO_ITEM CSL_CITATION {"citationID":"BUy4AUZG","properties":{"formattedCitation":"(Ortiz et al., 2020)","plainCitation":"(Ortiz et al., 2020)","noteIndex":0},"citationItems":[{"id":1037,"uris":["http://zotero.org/users/20058/items/8YWNBHGC"],"uri":["http://zotero.org/users/20058/items/8YWNBHGC"],"itemData":{"id":1037,"type":"chapter","container-title":"The Potato Crop","event-place":"Cham","ISBN":"978-3-030-28682-8","language":"en","note":"DOI: 10.1007/978-3-030-28683-5_13","page":"451-473","publisher":"Springer International Publishing","publisher-place":"Cham","source":"DOI.org (Crossref)","title":"Participatory Research (PR) at CIP with Potato Farming Systems in the Andes: Evolution and Prospects","title-short":"Participatory Research (PR) at CIP with Potato Farming Systems in the Andes","URL":"http://link.springer.com/10.1007/978-3-030-28683-5_13","editor":[{"family":"Campos","given":"Hugo"},{"family":"Ortiz","given":"Oscar"}],"author":[{"family":"Ortiz","given":"Oscar"},{"family":"Thiele","given":"Graham"},{"family":"Nelson","given":"Rebecca"},{"family":"Bentley","given":"Jeffery W."}],"accessed":{"date-parts":[["2021",12,17]]},"issued":{"date-parts":[["2020"]]}}}],"schema":"https://github.com/citation-style-language/schema/raw/master/csl-citation.json"} </w:instrText>
      </w:r>
      <w:r w:rsidR="00A8785D" w:rsidRPr="00252F3C">
        <w:fldChar w:fldCharType="separate"/>
      </w:r>
      <w:r w:rsidR="00A8785D" w:rsidRPr="00252F3C">
        <w:rPr>
          <w:rFonts w:ascii="Calibri" w:hAnsi="Calibri" w:cs="Calibri"/>
        </w:rPr>
        <w:t>(Ortiz et al., 2020)</w:t>
      </w:r>
      <w:r w:rsidR="00A8785D" w:rsidRPr="00252F3C">
        <w:fldChar w:fldCharType="end"/>
      </w:r>
      <w:r w:rsidRPr="00252F3C">
        <w:t xml:space="preserve"> </w:t>
      </w:r>
    </w:p>
    <w:p w14:paraId="445B3B44" w14:textId="77777777" w:rsidR="00DB4BDE" w:rsidRPr="00252F3C" w:rsidRDefault="00DB4BDE" w:rsidP="00846B69"/>
    <w:p w14:paraId="5371FE0C" w14:textId="53B0353C" w:rsidR="00DB4BDE" w:rsidRPr="00252F3C" w:rsidRDefault="00CF05F7" w:rsidP="00DB4BDE">
      <w:pPr>
        <w:rPr>
          <w:b/>
          <w:bCs/>
          <w:u w:val="single"/>
        </w:rPr>
      </w:pPr>
      <w:r w:rsidRPr="00252F3C">
        <w:rPr>
          <w:b/>
          <w:bCs/>
          <w:u w:val="single"/>
        </w:rPr>
        <w:t xml:space="preserve">Understanding and unlocking </w:t>
      </w:r>
      <w:r w:rsidR="004D69D8" w:rsidRPr="00252F3C">
        <w:rPr>
          <w:b/>
          <w:bCs/>
          <w:u w:val="single"/>
        </w:rPr>
        <w:t>existing genetic and</w:t>
      </w:r>
      <w:r w:rsidRPr="00252F3C">
        <w:rPr>
          <w:b/>
          <w:bCs/>
          <w:u w:val="single"/>
        </w:rPr>
        <w:t xml:space="preserve"> </w:t>
      </w:r>
      <w:r w:rsidR="00730498" w:rsidRPr="00252F3C">
        <w:rPr>
          <w:b/>
          <w:bCs/>
          <w:u w:val="single"/>
        </w:rPr>
        <w:t>phytobiome</w:t>
      </w:r>
      <w:r w:rsidR="004D69D8" w:rsidRPr="00252F3C">
        <w:rPr>
          <w:b/>
          <w:bCs/>
          <w:u w:val="single"/>
        </w:rPr>
        <w:t xml:space="preserve"> potential</w:t>
      </w:r>
      <w:r w:rsidR="00730498" w:rsidRPr="00252F3C">
        <w:rPr>
          <w:b/>
          <w:bCs/>
          <w:u w:val="single"/>
        </w:rPr>
        <w:t xml:space="preserve"> </w:t>
      </w:r>
    </w:p>
    <w:p w14:paraId="340B2DCF" w14:textId="36C0B7E3" w:rsidR="00864CAB" w:rsidRPr="00252F3C" w:rsidRDefault="008339C8" w:rsidP="00846B69">
      <w:r w:rsidRPr="00252F3C">
        <w:t xml:space="preserve">To help farmers everywhere </w:t>
      </w:r>
      <w:r w:rsidR="005D7714" w:rsidRPr="00252F3C">
        <w:t>adapt to climate change and improve productivity</w:t>
      </w:r>
      <w:r w:rsidRPr="00252F3C">
        <w:t xml:space="preserve">, </w:t>
      </w:r>
      <w:r w:rsidRPr="00252F3C">
        <w:rPr>
          <w:b/>
          <w:bCs/>
          <w:i/>
          <w:iCs/>
        </w:rPr>
        <w:t>research must</w:t>
      </w:r>
      <w:r w:rsidR="005D7714" w:rsidRPr="00252F3C">
        <w:rPr>
          <w:b/>
          <w:bCs/>
          <w:i/>
          <w:iCs/>
        </w:rPr>
        <w:t xml:space="preserve"> </w:t>
      </w:r>
      <w:r w:rsidR="00D90C04" w:rsidRPr="00252F3C">
        <w:rPr>
          <w:b/>
          <w:bCs/>
          <w:i/>
          <w:iCs/>
        </w:rPr>
        <w:t xml:space="preserve">dramatically improve </w:t>
      </w:r>
      <w:r w:rsidRPr="00252F3C">
        <w:rPr>
          <w:b/>
          <w:bCs/>
          <w:i/>
          <w:iCs/>
        </w:rPr>
        <w:t>and use the</w:t>
      </w:r>
      <w:r w:rsidR="005D7714" w:rsidRPr="00252F3C">
        <w:rPr>
          <w:b/>
          <w:bCs/>
          <w:i/>
          <w:iCs/>
        </w:rPr>
        <w:t xml:space="preserve"> genetic potential in existing germplasm resources</w:t>
      </w:r>
      <w:r w:rsidR="005D7714" w:rsidRPr="00252F3C">
        <w:t xml:space="preserve">. </w:t>
      </w:r>
      <w:r w:rsidR="00FD3A5A" w:rsidRPr="00252F3C">
        <w:t xml:space="preserve">Globally, there are </w:t>
      </w:r>
      <w:r w:rsidR="0097383A" w:rsidRPr="00252F3C">
        <w:t xml:space="preserve">between five and </w:t>
      </w:r>
      <w:r w:rsidR="00FD3A5A" w:rsidRPr="00252F3C">
        <w:t>seven million crop accessions in gene banks, the vast majority of which have been neither sequenced nor trait mined.</w:t>
      </w:r>
      <w:r w:rsidR="00A8785D" w:rsidRPr="00252F3C">
        <w:t xml:space="preserve"> </w:t>
      </w:r>
      <w:r w:rsidR="00A8785D" w:rsidRPr="00252F3C">
        <w:fldChar w:fldCharType="begin"/>
      </w:r>
      <w:r w:rsidR="00A8785D" w:rsidRPr="00252F3C">
        <w:instrText xml:space="preserve"> ADDIN ZOTERO_ITEM CSL_CITATION {"citationID":"MM5NTRD0","properties":{"formattedCitation":"(Food and Agriculture Organization, n.d.)","plainCitation":"(Food and Agriculture Organization, n.d.)","noteIndex":0},"citationItems":[{"id":1050,"uris":["http://zotero.org/users/20058/items/RYNNY5W3"],"uri":["http://zotero.org/users/20058/items/RYNNY5W3"],"itemData":{"id":1050,"type":"post-weblog","container-title":"Sustainable Development Goals","title":"2.5.1.a Conservation of genetic resources for food and agriculture (Plan genetic resources)","URL":"https://www.fao.org/sustainable-development-goals/indicators/251a/en/","author":[{"family":"Food and Agriculture Organization","given":""}]}}],"schema":"https://github.com/citation-style-language/schema/raw/master/csl-citation.json"} </w:instrText>
      </w:r>
      <w:r w:rsidR="00A8785D" w:rsidRPr="00252F3C">
        <w:fldChar w:fldCharType="separate"/>
      </w:r>
      <w:r w:rsidR="00A8785D" w:rsidRPr="00252F3C">
        <w:rPr>
          <w:rFonts w:ascii="Calibri" w:hAnsi="Calibri" w:cs="Calibri"/>
        </w:rPr>
        <w:t>(Food and Agriculture Organization, 2020)</w:t>
      </w:r>
      <w:r w:rsidR="00A8785D" w:rsidRPr="00252F3C">
        <w:fldChar w:fldCharType="end"/>
      </w:r>
      <w:r w:rsidR="0097383A" w:rsidRPr="00252F3C">
        <w:t xml:space="preserve">. </w:t>
      </w:r>
      <w:r w:rsidR="00FD3A5A" w:rsidRPr="00252F3C">
        <w:t>Understanding th</w:t>
      </w:r>
      <w:r w:rsidR="005D7714" w:rsidRPr="00252F3C">
        <w:t xml:space="preserve">e vast </w:t>
      </w:r>
      <w:r w:rsidR="00FD3A5A" w:rsidRPr="00252F3C">
        <w:t xml:space="preserve">potential of these germplasm resources </w:t>
      </w:r>
      <w:r w:rsidR="005D7714" w:rsidRPr="00252F3C">
        <w:t>will be the foundation of</w:t>
      </w:r>
      <w:r w:rsidR="00FD3A5A" w:rsidRPr="00252F3C">
        <w:t xml:space="preserve"> accelerated breeding programs</w:t>
      </w:r>
      <w:r w:rsidR="005D7714" w:rsidRPr="00252F3C">
        <w:t xml:space="preserve"> for the coming decades</w:t>
      </w:r>
      <w:r w:rsidR="00FD3A5A" w:rsidRPr="00252F3C">
        <w:t xml:space="preserve">. </w:t>
      </w:r>
    </w:p>
    <w:p w14:paraId="14901862" w14:textId="5FAADF22" w:rsidR="0068631B" w:rsidRPr="00252F3C" w:rsidRDefault="0068631B" w:rsidP="0068631B">
      <w:r w:rsidRPr="00252F3C">
        <w:t xml:space="preserve">This data gap concerning the accessions’ genetic potential makes </w:t>
      </w:r>
      <w:r w:rsidR="004D69D8" w:rsidRPr="00252F3C">
        <w:t xml:space="preserve">it </w:t>
      </w:r>
      <w:r w:rsidRPr="00252F3C">
        <w:t>difficult and time-consuming for breeders to identify sources of desired traits or introduce them into local crops to create new, more climate-resilient varieties. This is a critical step to maximizing the utility of available germplasm resources to widest range of global stakeholders; understanding the vast potential of these germplasm resources will be the foundation of accelerated breeding programs for the coming decades.</w:t>
      </w:r>
      <w:r w:rsidR="00F9613D" w:rsidRPr="00252F3C">
        <w:t xml:space="preserve"> Such an approach has been incorporated into Action Track 5 of the 2021 UN Food Systems Summit.</w:t>
      </w:r>
      <w:r w:rsidR="00A8785D" w:rsidRPr="00252F3C">
        <w:t xml:space="preserve"> </w:t>
      </w:r>
      <w:r w:rsidR="00A8785D" w:rsidRPr="00252F3C">
        <w:fldChar w:fldCharType="begin"/>
      </w:r>
      <w:r w:rsidR="00A8785D" w:rsidRPr="00252F3C">
        <w:instrText xml:space="preserve"> ADDIN ZOTERO_ITEM CSL_CITATION {"citationID":"0wo1HGis","properties":{"formattedCitation":"(Silverthorne &amp; Barbuto, 2021)","plainCitation":"(Silverthorne &amp; Barbuto, 2021)","noteIndex":0},"citationItems":[{"id":1051,"uris":["http://zotero.org/users/20058/items/HH3R94NW"],"uri":["http://zotero.org/users/20058/items/HH3R94NW"],"itemData":{"id":1051,"type":"report","publisher":"United Nations Food Systems Summit","title":"Sythesis Report of Action Track 5: Building resilience to vulnerabilities, shocks, and stress","URL":"https://knowledge4policy.ec.europa.eu/sites/default/files/5-ACTION_TRACK-5_Scientific_Group_draft_Paper_8-3-2021_0.pdf","author":[{"family":"Silverthorne","given":"Jane"},{"family":"Barbuto","given":"Rose"}],"issued":{"date-parts":[["2021"]]}}}],"schema":"https://github.com/citation-style-language/schema/raw/master/csl-citation.json"} </w:instrText>
      </w:r>
      <w:r w:rsidR="00A8785D" w:rsidRPr="00252F3C">
        <w:fldChar w:fldCharType="separate"/>
      </w:r>
      <w:r w:rsidR="00A8785D" w:rsidRPr="00252F3C">
        <w:rPr>
          <w:rFonts w:ascii="Calibri" w:hAnsi="Calibri" w:cs="Calibri"/>
        </w:rPr>
        <w:t>(Silverthorne &amp; Barbuto, 2021)</w:t>
      </w:r>
      <w:r w:rsidR="00A8785D" w:rsidRPr="00252F3C">
        <w:fldChar w:fldCharType="end"/>
      </w:r>
      <w:r w:rsidR="00F9613D" w:rsidRPr="00252F3C">
        <w:t xml:space="preserve"> </w:t>
      </w:r>
    </w:p>
    <w:p w14:paraId="4FB5C133" w14:textId="2D748C86" w:rsidR="00360036" w:rsidRPr="00252F3C" w:rsidRDefault="00360036" w:rsidP="00360036">
      <w:r w:rsidRPr="00252F3C">
        <w:t>While current genetic resources</w:t>
      </w:r>
      <w:r w:rsidR="00CB2C64" w:rsidRPr="00252F3C">
        <w:t xml:space="preserve"> are </w:t>
      </w:r>
      <w:r w:rsidR="0097383A" w:rsidRPr="00252F3C">
        <w:t>used</w:t>
      </w:r>
      <w:r w:rsidR="00CB2C64" w:rsidRPr="00252F3C">
        <w:t xml:space="preserve"> in </w:t>
      </w:r>
      <w:r w:rsidRPr="00252F3C">
        <w:t>plant breeding and field management strategies to address current biotic and abiotic stresses</w:t>
      </w:r>
      <w:r w:rsidR="00CB2C64" w:rsidRPr="00252F3C">
        <w:t>,</w:t>
      </w:r>
      <w:r w:rsidRPr="00252F3C">
        <w:t xml:space="preserve"> </w:t>
      </w:r>
      <w:r w:rsidR="007F1BCA" w:rsidRPr="00252F3C">
        <w:t>these strategies</w:t>
      </w:r>
      <w:r w:rsidRPr="00252F3C">
        <w:t xml:space="preserve"> do not scale for stakeholders who desperately need them and </w:t>
      </w:r>
      <w:r w:rsidR="007F1BCA" w:rsidRPr="00252F3C">
        <w:t>are</w:t>
      </w:r>
      <w:r w:rsidRPr="00252F3C">
        <w:t xml:space="preserve"> n</w:t>
      </w:r>
      <w:r w:rsidR="007F1BCA" w:rsidRPr="00252F3C">
        <w:t xml:space="preserve">ot sufficient </w:t>
      </w:r>
      <w:r w:rsidR="00CB2C64" w:rsidRPr="00252F3C">
        <w:t>to address</w:t>
      </w:r>
      <w:r w:rsidR="007F1BCA" w:rsidRPr="00252F3C">
        <w:t xml:space="preserve"> the climate change-induced</w:t>
      </w:r>
      <w:r w:rsidRPr="00252F3C">
        <w:t xml:space="preserve"> challenges to come. </w:t>
      </w:r>
      <w:r w:rsidR="0097383A" w:rsidRPr="00252F3C">
        <w:t xml:space="preserve">  All farmers, but particularly those in countries most impacted by climate change, will require </w:t>
      </w:r>
      <w:r w:rsidRPr="00252F3C">
        <w:t xml:space="preserve">research to develop new types of crops adapted to local environments, new crop varieties, and new field management practices. </w:t>
      </w:r>
    </w:p>
    <w:p w14:paraId="28031079" w14:textId="63E7097A" w:rsidR="005C39D5" w:rsidRPr="00252F3C" w:rsidRDefault="005C39D5" w:rsidP="005C39D5">
      <w:r w:rsidRPr="00252F3C">
        <w:t xml:space="preserve">Examples of such new solutions emerged from two workshops convened in August 2018 and August 2020 by </w:t>
      </w:r>
      <w:r w:rsidR="00D90C04" w:rsidRPr="00252F3C">
        <w:t>t</w:t>
      </w:r>
      <w:r w:rsidRPr="00252F3C">
        <w:t>he Supporters of Agricultural Research (</w:t>
      </w:r>
      <w:proofErr w:type="spellStart"/>
      <w:r w:rsidRPr="00252F3C">
        <w:t>SoAR</w:t>
      </w:r>
      <w:proofErr w:type="spellEnd"/>
      <w:r w:rsidRPr="00252F3C">
        <w:t xml:space="preserve">) Foundation. Each convening comprised more than a dozen eminent scientists from the United States, the European Union, and China, from a range of research fields including biotic and abiotic stress tolerance, breeding strategies, photosynthetic </w:t>
      </w:r>
      <w:r w:rsidRPr="00252F3C">
        <w:lastRenderedPageBreak/>
        <w:t>efficiency, nitrogen fixation, and soils. The reports describe the need to consider multiple variables (plants, microbes, inputs) in the context of the environment since any change to a single variable impacts the entire system</w:t>
      </w:r>
      <w:r w:rsidR="00A8785D" w:rsidRPr="00252F3C">
        <w:t xml:space="preserve">. </w:t>
      </w:r>
      <w:r w:rsidR="00A8785D" w:rsidRPr="00252F3C">
        <w:fldChar w:fldCharType="begin"/>
      </w:r>
      <w:r w:rsidR="00A8785D" w:rsidRPr="00252F3C">
        <w:instrText xml:space="preserve"> ADDIN ZOTERO_ITEM CSL_CITATION {"citationID":"0pJJXhth","properties":{"formattedCitation":"(SoAR Foundation, 2018, 2020)","plainCitation":"(SoAR Foundation, 2018, 2020)","noteIndex":0},"citationItems":[{"id":1052,"uris":["http://zotero.org/users/20058/items/TD3DH5UL"],"uri":["http://zotero.org/users/20058/items/TD3DH5UL"],"itemData":{"id":1052,"type":"report","publisher":"Supporters of Agricultural Research (SoAR) Foundation","title":"Developing Global Priorities for Plant Research","URL":"https://supportagresearch.org/our-projects/developing-global-priorities-for-plant-research","author":[{"family":"SoAR Foundation","given":""}],"issued":{"date-parts":[["2018"]]}}},{"id":1053,"uris":["http://zotero.org/users/20058/items/V9DRSBUC"],"uri":["http://zotero.org/users/20058/items/V9DRSBUC"],"itemData":{"id":1053,"type":"report","publisher":"Supporters of Agricultural Research (SoAR) Foundation","title":"Developing Global Priorities for Plant Research: Adapting agriculture to climate variability","URL":"https://supportagresearch.org/our-projects/developing-global-priorities-for-plant-research","author":[{"family":"SoAR Foundation","given":""}],"issued":{"date-parts":[["2020"]]}}}],"schema":"https://github.com/citation-style-language/schema/raw/master/csl-citation.json"} </w:instrText>
      </w:r>
      <w:r w:rsidR="00A8785D" w:rsidRPr="00252F3C">
        <w:fldChar w:fldCharType="separate"/>
      </w:r>
      <w:r w:rsidR="00A8785D" w:rsidRPr="00252F3C">
        <w:rPr>
          <w:rFonts w:ascii="Calibri" w:hAnsi="Calibri" w:cs="Calibri"/>
        </w:rPr>
        <w:t>(SoAR Foundation, 2018, 2020)</w:t>
      </w:r>
      <w:r w:rsidR="00A8785D" w:rsidRPr="00252F3C">
        <w:fldChar w:fldCharType="end"/>
      </w:r>
      <w:r w:rsidRPr="00252F3C">
        <w:t xml:space="preserve"> </w:t>
      </w:r>
    </w:p>
    <w:p w14:paraId="189BBFF6" w14:textId="77777777" w:rsidR="005C39D5" w:rsidRPr="00252F3C" w:rsidRDefault="005C39D5" w:rsidP="005C39D5">
      <w:r w:rsidRPr="00252F3C">
        <w:t xml:space="preserve">The overall strategy is to tackle these interrelated challenges as part of a connected system rather than as individual challenges. This “systems” approach has not previously been adopted because it requires a sophistication of research and computational tools that have only recently been developed and made available to plant science. Further, current ongoing efforts that tackle aspects of each challenge will need to be coordinated globally so that the outcomes scale for the maximum number of stakeholders. </w:t>
      </w:r>
    </w:p>
    <w:p w14:paraId="620B3D3D" w14:textId="139D14FC" w:rsidR="00360036" w:rsidRPr="00252F3C" w:rsidRDefault="007F1BCA" w:rsidP="00360036">
      <w:r w:rsidRPr="00252F3C">
        <w:t>To address this challenge</w:t>
      </w:r>
      <w:r w:rsidR="00EF0764" w:rsidRPr="00252F3C">
        <w:t xml:space="preserve">, </w:t>
      </w:r>
      <w:proofErr w:type="spellStart"/>
      <w:r w:rsidR="00EF0764" w:rsidRPr="00252F3C">
        <w:t>SoAR</w:t>
      </w:r>
      <w:proofErr w:type="spellEnd"/>
      <w:r w:rsidR="00EF0764" w:rsidRPr="00252F3C">
        <w:t xml:space="preserve"> Foundation and its partners have proposed several goals that will </w:t>
      </w:r>
      <w:r w:rsidR="00D25531" w:rsidRPr="00252F3C">
        <w:t xml:space="preserve">help </w:t>
      </w:r>
      <w:r w:rsidR="00EF0764" w:rsidRPr="00252F3C">
        <w:t>transform the future of crop research, including in developing countries. Central to the transformation is to recognize that plants within their surrounding environments represent “systems of systems” or the “phytobiome”</w:t>
      </w:r>
      <w:r w:rsidR="008047B8" w:rsidRPr="00252F3C">
        <w:t>—</w:t>
      </w:r>
      <w:r w:rsidR="00EF0764" w:rsidRPr="00252F3C">
        <w:t>the entire assemblage of plants with their environment and the millions of organisms with which they interact.</w:t>
      </w:r>
      <w:r w:rsidR="00A8785D" w:rsidRPr="00252F3C">
        <w:t xml:space="preserve"> </w:t>
      </w:r>
      <w:r w:rsidR="00A8785D" w:rsidRPr="00252F3C">
        <w:fldChar w:fldCharType="begin"/>
      </w:r>
      <w:r w:rsidR="00A8785D" w:rsidRPr="00252F3C">
        <w:instrText xml:space="preserve"> ADDIN ZOTERO_ITEM CSL_CITATION {"citationID":"9lWP9vzZ","properties":{"formattedCitation":"(SoAR Foundation, 2020)","plainCitation":"(SoAR Foundation, 2020)","noteIndex":0},"citationItems":[{"id":1053,"uris":["http://zotero.org/users/20058/items/V9DRSBUC"],"uri":["http://zotero.org/users/20058/items/V9DRSBUC"],"itemData":{"id":1053,"type":"report","publisher":"Supporters of Agricultural Research (SoAR) Foundation","title":"Developing Global Priorities for Plant Research: Adapting agriculture to climate variability","URL":"https://supportagresearch.org/our-projects/developing-global-priorities-for-plant-research","author":[{"family":"SoAR Foundation","given":""}],"issued":{"date-parts":[["2020"]]}}}],"schema":"https://github.com/citation-style-language/schema/raw/master/csl-citation.json"} </w:instrText>
      </w:r>
      <w:r w:rsidR="00A8785D" w:rsidRPr="00252F3C">
        <w:fldChar w:fldCharType="separate"/>
      </w:r>
      <w:r w:rsidR="00A8785D" w:rsidRPr="00252F3C">
        <w:rPr>
          <w:rFonts w:ascii="Calibri" w:hAnsi="Calibri" w:cs="Calibri"/>
        </w:rPr>
        <w:t>(SoAR Foundation, 2020)</w:t>
      </w:r>
      <w:r w:rsidR="00A8785D" w:rsidRPr="00252F3C">
        <w:fldChar w:fldCharType="end"/>
      </w:r>
      <w:r w:rsidR="00EF0764" w:rsidRPr="00252F3C">
        <w:t xml:space="preserve"> Understanding the soils, nutrients, water, microbial </w:t>
      </w:r>
      <w:r w:rsidR="00D640CD" w:rsidRPr="00252F3C">
        <w:t>diversity,</w:t>
      </w:r>
      <w:r w:rsidR="00EF0764" w:rsidRPr="00252F3C">
        <w:t xml:space="preserve"> and interactions will be part of this transformative future research. </w:t>
      </w:r>
    </w:p>
    <w:p w14:paraId="3E9480E7" w14:textId="4DA036BF" w:rsidR="00285CB0" w:rsidRPr="00252F3C" w:rsidRDefault="00EF0764" w:rsidP="00EF0764">
      <w:pPr>
        <w:rPr>
          <w:rFonts w:ascii="Calibri" w:hAnsi="Calibri" w:cs="Calibri"/>
        </w:rPr>
      </w:pPr>
      <w:r w:rsidRPr="00252F3C">
        <w:rPr>
          <w:b/>
          <w:bCs/>
          <w:i/>
          <w:iCs/>
        </w:rPr>
        <w:t>The first goal of the research transformation is</w:t>
      </w:r>
      <w:r w:rsidRPr="00252F3C">
        <w:rPr>
          <w:i/>
          <w:iCs/>
        </w:rPr>
        <w:t xml:space="preserve"> </w:t>
      </w:r>
      <w:r w:rsidRPr="00252F3C">
        <w:rPr>
          <w:b/>
          <w:bCs/>
          <w:i/>
          <w:iCs/>
        </w:rPr>
        <w:t>to establish a public collaborative program to sequence the existing germplasm representing crop genetic diversity available in international seed banks.</w:t>
      </w:r>
      <w:r w:rsidRPr="00252F3C">
        <w:t xml:space="preserve"> </w:t>
      </w:r>
      <w:r w:rsidR="00360036" w:rsidRPr="00252F3C">
        <w:rPr>
          <w:rFonts w:ascii="Calibri" w:hAnsi="Calibri" w:cs="Calibri"/>
        </w:rPr>
        <w:t>Advances in sequencing technology have led to a reduction in cost of an assembled 1Gb genome to the ~$2,500 range, and resequencing a plant genome to about $5/Gb</w:t>
      </w:r>
      <w:r w:rsidR="00A8785D" w:rsidRPr="00252F3C">
        <w:rPr>
          <w:rFonts w:ascii="Calibri" w:hAnsi="Calibri" w:cs="Calibri"/>
        </w:rPr>
        <w:t xml:space="preserve">. </w:t>
      </w:r>
      <w:r w:rsidR="00A8785D" w:rsidRPr="00252F3C">
        <w:rPr>
          <w:rFonts w:ascii="Calibri" w:hAnsi="Calibri" w:cs="Calibri"/>
        </w:rPr>
        <w:fldChar w:fldCharType="begin"/>
      </w:r>
      <w:r w:rsidR="00A8785D" w:rsidRPr="00252F3C">
        <w:rPr>
          <w:rFonts w:ascii="Calibri" w:hAnsi="Calibri" w:cs="Calibri"/>
        </w:rPr>
        <w:instrText xml:space="preserve"> ADDIN ZOTERO_ITEM CSL_CITATION {"citationID":"Mv2v4YYK","properties":{"formattedCitation":"(SoAR Foundation, 2020)","plainCitation":"(SoAR Foundation, 2020)","noteIndex":0},"citationItems":[{"id":1053,"uris":["http://zotero.org/users/20058/items/V9DRSBUC"],"uri":["http://zotero.org/users/20058/items/V9DRSBUC"],"itemData":{"id":1053,"type":"report","publisher":"Supporters of Agricultural Research (SoAR) Foundation","title":"Developing Global Priorities for Plant Research: Adapting agriculture to climate variability","URL":"https://supportagresearch.org/our-projects/developing-global-priorities-for-plant-research","author":[{"family":"SoAR Foundation","given":""}],"issued":{"date-parts":[["2020"]]}}}],"schema":"https://github.com/citation-style-language/schema/raw/master/csl-citation.json"} </w:instrText>
      </w:r>
      <w:r w:rsidR="00A8785D" w:rsidRPr="00252F3C">
        <w:rPr>
          <w:rFonts w:ascii="Calibri" w:hAnsi="Calibri" w:cs="Calibri"/>
        </w:rPr>
        <w:fldChar w:fldCharType="separate"/>
      </w:r>
      <w:r w:rsidR="00A8785D" w:rsidRPr="00252F3C">
        <w:rPr>
          <w:rFonts w:ascii="Calibri" w:hAnsi="Calibri" w:cs="Calibri"/>
        </w:rPr>
        <w:t>(SoAR Foundation, 2020)</w:t>
      </w:r>
      <w:r w:rsidR="00A8785D" w:rsidRPr="00252F3C">
        <w:rPr>
          <w:rFonts w:ascii="Calibri" w:hAnsi="Calibri" w:cs="Calibri"/>
        </w:rPr>
        <w:fldChar w:fldCharType="end"/>
      </w:r>
      <w:r w:rsidR="00D25531" w:rsidRPr="00252F3C">
        <w:rPr>
          <w:rFonts w:ascii="Calibri" w:hAnsi="Calibri" w:cs="Calibri"/>
        </w:rPr>
        <w:t xml:space="preserve"> </w:t>
      </w:r>
      <w:r w:rsidR="00360036" w:rsidRPr="00252F3C">
        <w:rPr>
          <w:rFonts w:ascii="Calibri" w:hAnsi="Calibri" w:cs="Calibri"/>
        </w:rPr>
        <w:t xml:space="preserve">A public collaborative program should be initiated to sequence germplasm representing the genetic diversity available in seed banks of relevance to smallholder farmers. Sequencing targets should comprise representatives from across plant phylogeny, including crops, wild crop relatives, and potential crops. The germplasm selected should include diverse annual and perennial crop types (e.g., root and tuber crops), since root crops have different carbon allocation from shoot crops. </w:t>
      </w:r>
    </w:p>
    <w:p w14:paraId="643944AB" w14:textId="6ACABA65" w:rsidR="00360036" w:rsidRPr="00252F3C" w:rsidRDefault="00360036" w:rsidP="00EF0764">
      <w:r w:rsidRPr="00252F3C">
        <w:rPr>
          <w:rFonts w:ascii="Calibri" w:hAnsi="Calibri" w:cs="Calibri"/>
        </w:rPr>
        <w:t>The prioritization and selection of targets should be undertaken by national and regional experts working on new crops and cropping systems</w:t>
      </w:r>
      <w:r w:rsidR="003F23FC" w:rsidRPr="00252F3C">
        <w:rPr>
          <w:rFonts w:ascii="Calibri" w:hAnsi="Calibri" w:cs="Calibri"/>
        </w:rPr>
        <w:t xml:space="preserve"> and must include farmers who will be the end-users</w:t>
      </w:r>
      <w:r w:rsidRPr="00252F3C">
        <w:rPr>
          <w:rFonts w:ascii="Calibri" w:hAnsi="Calibri" w:cs="Calibri"/>
        </w:rPr>
        <w:t xml:space="preserve">. </w:t>
      </w:r>
      <w:r w:rsidR="0097383A" w:rsidRPr="00252F3C">
        <w:rPr>
          <w:rFonts w:ascii="Calibri" w:hAnsi="Calibri" w:cs="Calibri"/>
        </w:rPr>
        <w:t xml:space="preserve">The </w:t>
      </w:r>
      <w:r w:rsidR="004D69D8" w:rsidRPr="00252F3C">
        <w:rPr>
          <w:rFonts w:ascii="Calibri" w:hAnsi="Calibri" w:cs="Calibri"/>
        </w:rPr>
        <w:t xml:space="preserve">One </w:t>
      </w:r>
      <w:r w:rsidR="0097383A" w:rsidRPr="00252F3C">
        <w:rPr>
          <w:rFonts w:ascii="Calibri" w:hAnsi="Calibri" w:cs="Calibri"/>
        </w:rPr>
        <w:t xml:space="preserve">CGIAR system and national agriculture research systems must enhance their cooperation to achieve this effort. </w:t>
      </w:r>
      <w:r w:rsidRPr="00252F3C">
        <w:rPr>
          <w:rFonts w:ascii="Calibri" w:hAnsi="Calibri" w:cs="Calibri"/>
        </w:rPr>
        <w:t xml:space="preserve">This work is </w:t>
      </w:r>
      <w:r w:rsidR="0097383A" w:rsidRPr="00252F3C">
        <w:rPr>
          <w:rFonts w:ascii="Calibri" w:hAnsi="Calibri" w:cs="Calibri"/>
        </w:rPr>
        <w:t>primarily a</w:t>
      </w:r>
      <w:r w:rsidRPr="00252F3C">
        <w:rPr>
          <w:rFonts w:ascii="Calibri" w:hAnsi="Calibri" w:cs="Calibri"/>
        </w:rPr>
        <w:t xml:space="preserve"> public effort since most of these crops are not currently commercially viable and of little interest to the private sector. </w:t>
      </w:r>
      <w:r w:rsidRPr="00252F3C">
        <w:t>Existing efforts to collect, conserve, and sequenc</w:t>
      </w:r>
      <w:r w:rsidR="0097383A" w:rsidRPr="00252F3C">
        <w:t>e</w:t>
      </w:r>
      <w:r w:rsidRPr="00252F3C">
        <w:t xml:space="preserve"> diverse plant germplasm that could serve as a foundation for new farming systems are not currently well connected with each other, potential users, or funders. </w:t>
      </w:r>
    </w:p>
    <w:p w14:paraId="4C3EBE3E" w14:textId="6481DB73" w:rsidR="00285CB0" w:rsidRPr="00252F3C" w:rsidRDefault="0064430B" w:rsidP="00D640CD">
      <w:r w:rsidRPr="00252F3C">
        <w:rPr>
          <w:b/>
          <w:bCs/>
          <w:i/>
          <w:iCs/>
        </w:rPr>
        <w:t>The second goal is</w:t>
      </w:r>
      <w:r w:rsidRPr="00252F3C">
        <w:t xml:space="preserve"> </w:t>
      </w:r>
      <w:r w:rsidRPr="00252F3C">
        <w:rPr>
          <w:b/>
          <w:bCs/>
          <w:i/>
          <w:iCs/>
        </w:rPr>
        <w:t>to e</w:t>
      </w:r>
      <w:r w:rsidR="00360036" w:rsidRPr="00252F3C">
        <w:rPr>
          <w:b/>
          <w:bCs/>
          <w:i/>
          <w:iCs/>
        </w:rPr>
        <w:t>stablish public-private partnerships to use machine learning to develop low-cost trait mining tools for global agriculture</w:t>
      </w:r>
      <w:r w:rsidR="00A8785D" w:rsidRPr="00252F3C">
        <w:t xml:space="preserve">. </w:t>
      </w:r>
      <w:r w:rsidR="00A8785D" w:rsidRPr="00252F3C">
        <w:fldChar w:fldCharType="begin"/>
      </w:r>
      <w:r w:rsidR="00A8785D" w:rsidRPr="00252F3C">
        <w:instrText xml:space="preserve"> ADDIN ZOTERO_ITEM CSL_CITATION {"citationID":"NSmeK0Sv","properties":{"formattedCitation":"(SoAR Foundation, 2020)","plainCitation":"(SoAR Foundation, 2020)","noteIndex":0},"citationItems":[{"id":1053,"uris":["http://zotero.org/users/20058/items/V9DRSBUC"],"uri":["http://zotero.org/users/20058/items/V9DRSBUC"],"itemData":{"id":1053,"type":"report","publisher":"Supporters of Agricultural Research (SoAR) Foundation","title":"Developing Global Priorities for Plant Research: Adapting agriculture to climate variability","URL":"https://supportagresearch.org/our-projects/developing-global-priorities-for-plant-research","author":[{"family":"SoAR Foundation","given":""}],"issued":{"date-parts":[["2020"]]}}}],"schema":"https://github.com/citation-style-language/schema/raw/master/csl-citation.json"} </w:instrText>
      </w:r>
      <w:r w:rsidR="00A8785D" w:rsidRPr="00252F3C">
        <w:fldChar w:fldCharType="separate"/>
      </w:r>
      <w:r w:rsidR="00A8785D" w:rsidRPr="00252F3C">
        <w:rPr>
          <w:rFonts w:ascii="Calibri" w:hAnsi="Calibri" w:cs="Calibri"/>
        </w:rPr>
        <w:t>(SoAR Foundation, 2020)</w:t>
      </w:r>
      <w:r w:rsidR="00A8785D" w:rsidRPr="00252F3C">
        <w:fldChar w:fldCharType="end"/>
      </w:r>
      <w:r w:rsidR="00A8785D" w:rsidRPr="00252F3C">
        <w:t xml:space="preserve"> </w:t>
      </w:r>
      <w:r w:rsidR="00360036" w:rsidRPr="00252F3C">
        <w:t xml:space="preserve">Sequence information is the basis for identifying and locating genetic information underlying key traits, such as drought tolerance. This process, “trait mining”, is currently a far more expensive and challenging step than obtaining sequence information and achieving high throughput will require artificial intelligence-based approaches, like machine learning. </w:t>
      </w:r>
    </w:p>
    <w:p w14:paraId="758D9180" w14:textId="6221F848" w:rsidR="007F1BCA" w:rsidRPr="00252F3C" w:rsidRDefault="00360036" w:rsidP="003F23FC">
      <w:r w:rsidRPr="00252F3C">
        <w:t xml:space="preserve">Machine learning tools are evolving quickly, primarily for non-agricultural applications in the private sector. Rather than duplicating these tools, it would make sense to catalyze their application to agricultural datasets in the public sector. This approach is likely to be especially effective in plants because there are more than 300,000 species adapted to numerous environments.  Traits of interest would include nutritional targets, as well as resilience to biotic (disease and pests) and abiotic (drought, </w:t>
      </w:r>
      <w:r w:rsidRPr="00252F3C">
        <w:lastRenderedPageBreak/>
        <w:t xml:space="preserve">flooding, salinity, heat) stresses. Specific crops and traits to </w:t>
      </w:r>
      <w:r w:rsidR="0064430B" w:rsidRPr="00252F3C">
        <w:t>target</w:t>
      </w:r>
      <w:r w:rsidRPr="00252F3C">
        <w:t xml:space="preserve"> would be identified by relevant stakeholders.</w:t>
      </w:r>
    </w:p>
    <w:p w14:paraId="0ADBDEB0" w14:textId="76AFC8EB" w:rsidR="00360036" w:rsidRPr="00252F3C" w:rsidRDefault="0064430B" w:rsidP="0064430B">
      <w:pPr>
        <w:rPr>
          <w:rFonts w:ascii="Calibri" w:hAnsi="Calibri" w:cs="Calibri"/>
        </w:rPr>
      </w:pPr>
      <w:r w:rsidRPr="00252F3C">
        <w:rPr>
          <w:rFonts w:ascii="Calibri" w:hAnsi="Calibri" w:cs="Calibri"/>
          <w:b/>
          <w:bCs/>
          <w:i/>
          <w:iCs/>
        </w:rPr>
        <w:t>The third goal is</w:t>
      </w:r>
      <w:r w:rsidRPr="00252F3C">
        <w:rPr>
          <w:rFonts w:ascii="Calibri" w:hAnsi="Calibri" w:cs="Calibri"/>
        </w:rPr>
        <w:t xml:space="preserve"> </w:t>
      </w:r>
      <w:r w:rsidRPr="00252F3C">
        <w:rPr>
          <w:rFonts w:ascii="Calibri" w:hAnsi="Calibri" w:cs="Calibri"/>
          <w:b/>
          <w:bCs/>
          <w:i/>
          <w:iCs/>
        </w:rPr>
        <w:t>to e</w:t>
      </w:r>
      <w:r w:rsidR="00360036" w:rsidRPr="00252F3C">
        <w:rPr>
          <w:rFonts w:ascii="Calibri" w:hAnsi="Calibri" w:cs="Calibri"/>
          <w:b/>
          <w:bCs/>
          <w:i/>
          <w:iCs/>
        </w:rPr>
        <w:t>stablish an international coordinated initiative to phenotype diverse crop plant species and associated microbiomes above- and below-ground under field conditions</w:t>
      </w:r>
      <w:r w:rsidR="00360036" w:rsidRPr="00252F3C">
        <w:rPr>
          <w:rFonts w:ascii="Calibri" w:hAnsi="Calibri" w:cs="Calibri"/>
        </w:rPr>
        <w:t>. The plant phenotype represents the set of its observable characteristics resulting from the interaction of the plant genotype with the environment (</w:t>
      </w:r>
      <w:proofErr w:type="spellStart"/>
      <w:r w:rsidR="00360036" w:rsidRPr="00252F3C">
        <w:rPr>
          <w:rFonts w:ascii="Calibri" w:hAnsi="Calibri" w:cs="Calibri"/>
        </w:rPr>
        <w:t>GxE</w:t>
      </w:r>
      <w:proofErr w:type="spellEnd"/>
      <w:r w:rsidR="00360036" w:rsidRPr="00252F3C">
        <w:rPr>
          <w:rFonts w:ascii="Calibri" w:hAnsi="Calibri" w:cs="Calibri"/>
        </w:rPr>
        <w:t>). For crops, the “environment” includes biotic (beneficial and pathogenic microbes), abiotic components (water and temperature) as well as managed inputs (nitrogen, phosphorus, and potassium). Plant phenomics is lagging sequencing but is a key part of understanding crop plants and their environmental interactions</w:t>
      </w:r>
      <w:r w:rsidR="00A8785D" w:rsidRPr="00252F3C">
        <w:rPr>
          <w:rFonts w:ascii="Calibri" w:hAnsi="Calibri" w:cs="Calibri"/>
        </w:rPr>
        <w:t xml:space="preserve">. </w:t>
      </w:r>
      <w:r w:rsidR="00A8785D" w:rsidRPr="00252F3C">
        <w:rPr>
          <w:rFonts w:ascii="Calibri" w:hAnsi="Calibri" w:cs="Calibri"/>
        </w:rPr>
        <w:fldChar w:fldCharType="begin"/>
      </w:r>
      <w:r w:rsidR="00A8785D" w:rsidRPr="00252F3C">
        <w:rPr>
          <w:rFonts w:ascii="Calibri" w:hAnsi="Calibri" w:cs="Calibri"/>
        </w:rPr>
        <w:instrText xml:space="preserve"> ADDIN ZOTERO_ITEM CSL_CITATION {"citationID":"x8LVEMd7","properties":{"formattedCitation":"(SoAR Foundation, 2020)","plainCitation":"(SoAR Foundation, 2020)","noteIndex":0},"citationItems":[{"id":1053,"uris":["http://zotero.org/users/20058/items/V9DRSBUC"],"uri":["http://zotero.org/users/20058/items/V9DRSBUC"],"itemData":{"id":1053,"type":"report","publisher":"Supporters of Agricultural Research (SoAR) Foundation","title":"Developing Global Priorities for Plant Research: Adapting agriculture to climate variability","URL":"https://supportagresearch.org/our-projects/developing-global-priorities-for-plant-research","author":[{"family":"SoAR Foundation","given":""}],"issued":{"date-parts":[["2020"]]}}}],"schema":"https://github.com/citation-style-language/schema/raw/master/csl-citation.json"} </w:instrText>
      </w:r>
      <w:r w:rsidR="00A8785D" w:rsidRPr="00252F3C">
        <w:rPr>
          <w:rFonts w:ascii="Calibri" w:hAnsi="Calibri" w:cs="Calibri"/>
        </w:rPr>
        <w:fldChar w:fldCharType="separate"/>
      </w:r>
      <w:r w:rsidR="00A8785D" w:rsidRPr="00252F3C">
        <w:rPr>
          <w:rFonts w:ascii="Calibri" w:hAnsi="Calibri" w:cs="Calibri"/>
        </w:rPr>
        <w:t>(SoAR Foundation, 2020)</w:t>
      </w:r>
      <w:r w:rsidR="00A8785D" w:rsidRPr="00252F3C">
        <w:rPr>
          <w:rFonts w:ascii="Calibri" w:hAnsi="Calibri" w:cs="Calibri"/>
        </w:rPr>
        <w:fldChar w:fldCharType="end"/>
      </w:r>
      <w:r w:rsidR="00D25531" w:rsidRPr="00252F3C">
        <w:rPr>
          <w:rFonts w:ascii="Calibri" w:hAnsi="Calibri" w:cs="Calibri"/>
        </w:rPr>
        <w:t xml:space="preserve"> </w:t>
      </w:r>
    </w:p>
    <w:p w14:paraId="690A1C5E" w14:textId="672C418D" w:rsidR="00DF5316" w:rsidRPr="00252F3C" w:rsidRDefault="00DF5316" w:rsidP="00DF5316">
      <w:r w:rsidRPr="00252F3C">
        <w:t xml:space="preserve">Examples of innovation in phenotyping crops for improvement include efforts by ICRISAT (International Crop Research Institute for the Semi-Arid Tropics) based in India and working globally to improve millets, chickpea, pigeon pea and groundnuts. Beginning December 3, 2021, ICRISAT launched the use of multispectral scanners in combination with a UAV (Unmanned Aerial Vehicle) Phenotyping Platform that provides crop information from high-resolution imaging, including insights into plants’ experience of </w:t>
      </w:r>
      <w:proofErr w:type="spellStart"/>
      <w:r w:rsidRPr="00252F3C">
        <w:t>agro</w:t>
      </w:r>
      <w:proofErr w:type="spellEnd"/>
      <w:r w:rsidRPr="00252F3C">
        <w:t>-chemicals under biotic stress.</w:t>
      </w:r>
      <w:r w:rsidR="00A8785D" w:rsidRPr="00252F3C">
        <w:t xml:space="preserve"> </w:t>
      </w:r>
      <w:r w:rsidR="00A8785D" w:rsidRPr="00252F3C">
        <w:fldChar w:fldCharType="begin"/>
      </w:r>
      <w:r w:rsidR="00A8785D" w:rsidRPr="00252F3C">
        <w:instrText xml:space="preserve"> ADDIN ZOTERO_ITEM CSL_CITATION {"citationID":"j1897MqI","properties":{"formattedCitation":"(ICRISAT, 2021)","plainCitation":"(ICRISAT, 2021)","noteIndex":0},"citationItems":[{"id":1054,"uris":["http://zotero.org/users/20058/items/P3PMD3JH"],"uri":["http://zotero.org/users/20058/items/P3PMD3JH"],"itemData":{"id":1054,"type":"post-weblog","container-title":"ICRISAT Happenings","title":"Crop improvement programs at ICRISAT get a boost with new phenotyping facilities","URL":"https://www.icrisat.org/crop-improvement-programs-at-icrisat-get-a-boost-with-new-phenotyping-facilities/","author":[{"family":"ICRISAT","given":""}],"issued":{"date-parts":[["2021",12,3]]}}}],"schema":"https://github.com/citation-style-language/schema/raw/master/csl-citation.json"} </w:instrText>
      </w:r>
      <w:r w:rsidR="00A8785D" w:rsidRPr="00252F3C">
        <w:fldChar w:fldCharType="separate"/>
      </w:r>
      <w:r w:rsidR="00A8785D" w:rsidRPr="00252F3C">
        <w:rPr>
          <w:rFonts w:ascii="Calibri" w:hAnsi="Calibri" w:cs="Calibri"/>
        </w:rPr>
        <w:t>(ICRISAT, 2021)</w:t>
      </w:r>
      <w:r w:rsidR="00A8785D" w:rsidRPr="00252F3C">
        <w:fldChar w:fldCharType="end"/>
      </w:r>
      <w:r w:rsidRPr="00252F3C">
        <w:t xml:space="preserve"> The new </w:t>
      </w:r>
      <w:proofErr w:type="spellStart"/>
      <w:r w:rsidRPr="00252F3C">
        <w:t>PlantEye</w:t>
      </w:r>
      <w:proofErr w:type="spellEnd"/>
      <w:r w:rsidRPr="00252F3C">
        <w:t xml:space="preserve"> F600 scanners on the </w:t>
      </w:r>
      <w:proofErr w:type="spellStart"/>
      <w:r w:rsidRPr="00252F3C">
        <w:t>LeasyScan</w:t>
      </w:r>
      <w:proofErr w:type="spellEnd"/>
      <w:r w:rsidRPr="00252F3C">
        <w:t xml:space="preserve"> can scan both near-infrared (NIR) and the visible spectrum of light. NIR scanning, which was not available in the scanners used earlier, helps assess traits which can be distinguished with color intensity like plant senescence, stay green, foliar diseases (by distortion in color) and biomass quality traits like leaf nitrogen content. Advanced phenotyping traits like leaf area, plant height, biomass, etc., and water utilization traits like transpiration and transpiration rate can be measured faster than before with the new system; thousands of lines can be characterized in just five weeks, saving time and labor to gather field data.</w:t>
      </w:r>
    </w:p>
    <w:p w14:paraId="0AE948B4" w14:textId="68793B23" w:rsidR="0064430B" w:rsidRPr="00252F3C" w:rsidRDefault="0064430B" w:rsidP="00360036">
      <w:r w:rsidRPr="00252F3C">
        <w:t xml:space="preserve">Taken together, these goals have the potential </w:t>
      </w:r>
      <w:r w:rsidR="00A32118" w:rsidRPr="00252F3C">
        <w:t>to impact a broad range of stakeholders whose needs are currently underserved</w:t>
      </w:r>
      <w:r w:rsidR="0097383A" w:rsidRPr="00252F3C">
        <w:t xml:space="preserve">, particularly in developing countries, </w:t>
      </w:r>
      <w:r w:rsidR="00A32118" w:rsidRPr="00252F3C">
        <w:t xml:space="preserve">and </w:t>
      </w:r>
      <w:r w:rsidRPr="00252F3C">
        <w:t>builds</w:t>
      </w:r>
      <w:r w:rsidR="00A32118" w:rsidRPr="00252F3C">
        <w:t xml:space="preserve"> upon existing research efforts and collaboration with potential funders</w:t>
      </w:r>
      <w:r w:rsidR="00D25531" w:rsidRPr="00252F3C">
        <w:t>. The goals have</w:t>
      </w:r>
      <w:r w:rsidRPr="00252F3C">
        <w:t xml:space="preserve"> the potential to evolve</w:t>
      </w:r>
      <w:r w:rsidR="00A32118" w:rsidRPr="00252F3C">
        <w:t xml:space="preserve"> and grow and </w:t>
      </w:r>
      <w:r w:rsidRPr="00252F3C">
        <w:t>can incorporate stakeholders</w:t>
      </w:r>
      <w:r w:rsidR="00A32118" w:rsidRPr="00252F3C">
        <w:t xml:space="preserve">, </w:t>
      </w:r>
      <w:r w:rsidRPr="00252F3C">
        <w:t>track benchmarks and outcomes and can link</w:t>
      </w:r>
      <w:r w:rsidR="00FE3AE3" w:rsidRPr="00252F3C">
        <w:t xml:space="preserve"> research innovations, key needs, and sources of financial support. </w:t>
      </w:r>
    </w:p>
    <w:p w14:paraId="6D6BA399" w14:textId="42A636E3" w:rsidR="00360036" w:rsidRPr="00252F3C" w:rsidRDefault="00360036" w:rsidP="00360036">
      <w:r w:rsidRPr="00252F3C">
        <w:t>Individual member states and foundations are already supporting aspects of this research</w:t>
      </w:r>
      <w:r w:rsidR="00FE3AE3" w:rsidRPr="00252F3C">
        <w:t xml:space="preserve"> and</w:t>
      </w:r>
      <w:r w:rsidRPr="00252F3C">
        <w:t xml:space="preserve"> there is the potential to partner with the private sector to extend the utility of existing tools to serve the needs of smallholder farmers. In addition to support from the U</w:t>
      </w:r>
      <w:r w:rsidR="00FE3AE3" w:rsidRPr="00252F3C">
        <w:t>.</w:t>
      </w:r>
      <w:r w:rsidRPr="00252F3C">
        <w:t>S</w:t>
      </w:r>
      <w:r w:rsidR="00FE3AE3" w:rsidRPr="00252F3C">
        <w:t>.</w:t>
      </w:r>
      <w:r w:rsidRPr="00252F3C">
        <w:t xml:space="preserve"> Department of Agriculture Agricultural Research Service and National Institute of Food and Agriculture, the European Commission, Research Councils UK (RCUK), </w:t>
      </w:r>
      <w:r w:rsidR="0064430B" w:rsidRPr="00252F3C">
        <w:t xml:space="preserve">and </w:t>
      </w:r>
      <w:r w:rsidR="00920CC9" w:rsidRPr="00252F3C">
        <w:t>T</w:t>
      </w:r>
      <w:r w:rsidRPr="00252F3C">
        <w:t xml:space="preserve">he Bill &amp; Melinda Gates Foundation also provides funding for </w:t>
      </w:r>
      <w:r w:rsidR="008B7D9A" w:rsidRPr="00252F3C">
        <w:t>these innovative approaches to build productivity in agriculture.</w:t>
      </w:r>
    </w:p>
    <w:p w14:paraId="5B084EEA" w14:textId="7F6CB92E" w:rsidR="005E0492" w:rsidRPr="00252F3C" w:rsidRDefault="00285CB0" w:rsidP="008047B8">
      <w:pPr>
        <w:spacing w:before="248"/>
        <w:ind w:left="2" w:right="128"/>
        <w:rPr>
          <w:rFonts w:ascii="Calibri" w:hAnsi="Calibri" w:cs="Times New Roman"/>
          <w:b/>
          <w:bCs/>
          <w:color w:val="000000"/>
          <w:u w:val="single"/>
        </w:rPr>
      </w:pPr>
      <w:r w:rsidRPr="00252F3C">
        <w:rPr>
          <w:rFonts w:ascii="Calibri" w:hAnsi="Calibri" w:cs="Times New Roman"/>
          <w:b/>
          <w:bCs/>
          <w:color w:val="000000"/>
          <w:u w:val="single"/>
        </w:rPr>
        <w:t>Conclusion</w:t>
      </w:r>
    </w:p>
    <w:p w14:paraId="49507001" w14:textId="220EB4B6" w:rsidR="00360036" w:rsidRPr="00252F3C" w:rsidRDefault="009465AC" w:rsidP="00737F7A">
      <w:pPr>
        <w:spacing w:after="0"/>
      </w:pPr>
      <w:r w:rsidRPr="00252F3C">
        <w:rPr>
          <w:rFonts w:ascii="Calibri" w:hAnsi="Calibri"/>
          <w:color w:val="000000"/>
        </w:rPr>
        <w:t>Agricultural productivity is the engine that drive</w:t>
      </w:r>
      <w:r w:rsidR="002726FB" w:rsidRPr="00252F3C">
        <w:rPr>
          <w:rFonts w:ascii="Calibri" w:hAnsi="Calibri"/>
          <w:color w:val="000000"/>
        </w:rPr>
        <w:t>s</w:t>
      </w:r>
      <w:r w:rsidRPr="00252F3C">
        <w:rPr>
          <w:rFonts w:ascii="Calibri" w:hAnsi="Calibri"/>
          <w:color w:val="000000"/>
        </w:rPr>
        <w:t xml:space="preserve"> smallholder farmers out of poverty and low-income countries into the middle class</w:t>
      </w:r>
      <w:r w:rsidR="009A2A7C" w:rsidRPr="00252F3C">
        <w:rPr>
          <w:rFonts w:ascii="Calibri" w:hAnsi="Calibri"/>
          <w:color w:val="000000"/>
        </w:rPr>
        <w:t>, but climate change threatens the prospects of smallholders to maximize their productivity potential</w:t>
      </w:r>
      <w:r w:rsidR="002726FB" w:rsidRPr="00252F3C">
        <w:rPr>
          <w:rFonts w:ascii="Calibri" w:hAnsi="Calibri"/>
          <w:color w:val="000000"/>
        </w:rPr>
        <w:t>.  Worryingly, the negative impacts of climate change on agricultural productivity are more severe and last longer with each passing year</w:t>
      </w:r>
      <w:r w:rsidRPr="00252F3C">
        <w:rPr>
          <w:rFonts w:ascii="Calibri" w:hAnsi="Calibri"/>
          <w:color w:val="000000"/>
        </w:rPr>
        <w:t xml:space="preserve">. </w:t>
      </w:r>
      <w:r w:rsidR="002726FB" w:rsidRPr="00252F3C">
        <w:rPr>
          <w:rFonts w:ascii="Calibri" w:hAnsi="Calibri"/>
          <w:color w:val="000000"/>
        </w:rPr>
        <w:t>We</w:t>
      </w:r>
      <w:r w:rsidRPr="00252F3C">
        <w:rPr>
          <w:rFonts w:ascii="Calibri" w:hAnsi="Calibri" w:cs="Times New Roman"/>
          <w:color w:val="000000"/>
        </w:rPr>
        <w:t xml:space="preserve"> must take a whole-of-systems approach to provide the tools smallholder farmers in low- and middle-income countries need</w:t>
      </w:r>
      <w:r w:rsidR="005C597E" w:rsidRPr="00252F3C">
        <w:rPr>
          <w:rFonts w:ascii="Calibri" w:hAnsi="Calibri" w:cs="Times New Roman"/>
          <w:color w:val="000000"/>
        </w:rPr>
        <w:t>.</w:t>
      </w:r>
      <w:r w:rsidRPr="00252F3C">
        <w:rPr>
          <w:rFonts w:ascii="Calibri" w:hAnsi="Calibri" w:cs="Times New Roman"/>
          <w:color w:val="000000"/>
        </w:rPr>
        <w:t xml:space="preserve"> </w:t>
      </w:r>
    </w:p>
    <w:p w14:paraId="7472A11F" w14:textId="2BB190B2" w:rsidR="00285CB0" w:rsidRPr="00252F3C" w:rsidRDefault="008047B8" w:rsidP="008047B8">
      <w:pPr>
        <w:spacing w:before="248"/>
        <w:ind w:left="2" w:right="128"/>
        <w:rPr>
          <w:rFonts w:ascii="Calibri" w:hAnsi="Calibri"/>
          <w:color w:val="000000"/>
        </w:rPr>
      </w:pPr>
      <w:r w:rsidRPr="00252F3C">
        <w:rPr>
          <w:rFonts w:ascii="Calibri" w:hAnsi="Calibri" w:cs="Times New Roman"/>
          <w:color w:val="000000"/>
        </w:rPr>
        <w:lastRenderedPageBreak/>
        <w:t>Ultimately there is no</w:t>
      </w:r>
      <w:r w:rsidR="00CD0CF9" w:rsidRPr="00252F3C">
        <w:rPr>
          <w:rFonts w:ascii="Calibri" w:hAnsi="Calibri" w:cs="Times New Roman"/>
          <w:color w:val="000000"/>
        </w:rPr>
        <w:t>t one single</w:t>
      </w:r>
      <w:r w:rsidRPr="00252F3C">
        <w:rPr>
          <w:rFonts w:ascii="Calibri" w:hAnsi="Calibri" w:cs="Times New Roman"/>
          <w:color w:val="000000"/>
        </w:rPr>
        <w:t xml:space="preserve"> </w:t>
      </w:r>
      <w:r w:rsidR="00CD0CF9" w:rsidRPr="00252F3C">
        <w:rPr>
          <w:rFonts w:ascii="Calibri" w:hAnsi="Calibri" w:cs="Times New Roman"/>
          <w:color w:val="000000"/>
        </w:rPr>
        <w:t>solution</w:t>
      </w:r>
      <w:r w:rsidRPr="00252F3C">
        <w:rPr>
          <w:rFonts w:ascii="Calibri" w:hAnsi="Calibri" w:cs="Times New Roman"/>
          <w:color w:val="000000"/>
        </w:rPr>
        <w:t xml:space="preserve"> to effectively </w:t>
      </w:r>
      <w:r w:rsidR="00CD0CF9" w:rsidRPr="00252F3C">
        <w:rPr>
          <w:rFonts w:ascii="Calibri" w:hAnsi="Calibri" w:cs="Times New Roman"/>
          <w:color w:val="000000"/>
        </w:rPr>
        <w:t>build resilience in</w:t>
      </w:r>
      <w:r w:rsidRPr="00252F3C">
        <w:rPr>
          <w:rFonts w:ascii="Calibri" w:hAnsi="Calibri" w:cs="Times New Roman"/>
          <w:color w:val="000000"/>
        </w:rPr>
        <w:t xml:space="preserve"> the face of a changing climate and falling productivity. But </w:t>
      </w:r>
      <w:r w:rsidR="00CD0CF9" w:rsidRPr="00252F3C">
        <w:rPr>
          <w:rFonts w:ascii="Calibri" w:hAnsi="Calibri" w:cs="Times New Roman"/>
          <w:color w:val="000000"/>
        </w:rPr>
        <w:t>several solutions</w:t>
      </w:r>
      <w:r w:rsidR="00285CB0" w:rsidRPr="00252F3C">
        <w:rPr>
          <w:rFonts w:ascii="Calibri" w:hAnsi="Calibri" w:cs="Times New Roman"/>
          <w:color w:val="000000"/>
        </w:rPr>
        <w:t xml:space="preserve"> </w:t>
      </w:r>
      <w:r w:rsidR="00DB0661" w:rsidRPr="00252F3C">
        <w:rPr>
          <w:rFonts w:ascii="Calibri" w:hAnsi="Calibri" w:cs="Times New Roman"/>
          <w:color w:val="000000"/>
        </w:rPr>
        <w:t xml:space="preserve">include </w:t>
      </w:r>
      <w:r w:rsidR="00285CB0" w:rsidRPr="00252F3C">
        <w:rPr>
          <w:rFonts w:ascii="Calibri" w:hAnsi="Calibri" w:cs="Times New Roman"/>
          <w:color w:val="000000"/>
        </w:rPr>
        <w:t xml:space="preserve">participatory farmer research built upon traditional knowledge </w:t>
      </w:r>
      <w:r w:rsidR="00DB0661" w:rsidRPr="00252F3C">
        <w:rPr>
          <w:rFonts w:ascii="Calibri" w:hAnsi="Calibri" w:cs="Times New Roman"/>
          <w:color w:val="000000"/>
        </w:rPr>
        <w:t>as well as</w:t>
      </w:r>
      <w:r w:rsidR="00285CB0" w:rsidRPr="00252F3C">
        <w:rPr>
          <w:rFonts w:ascii="Calibri" w:hAnsi="Calibri" w:cs="Times New Roman"/>
          <w:color w:val="000000"/>
        </w:rPr>
        <w:t xml:space="preserve"> </w:t>
      </w:r>
      <w:r w:rsidR="00DB0661" w:rsidRPr="00252F3C">
        <w:rPr>
          <w:rFonts w:ascii="Calibri" w:hAnsi="Calibri" w:cs="Times New Roman"/>
          <w:color w:val="000000"/>
        </w:rPr>
        <w:t xml:space="preserve">harnessing </w:t>
      </w:r>
      <w:r w:rsidR="00285CB0" w:rsidRPr="00252F3C">
        <w:rPr>
          <w:rFonts w:ascii="Calibri" w:hAnsi="Calibri" w:cs="Times New Roman"/>
          <w:color w:val="000000"/>
        </w:rPr>
        <w:t xml:space="preserve">new </w:t>
      </w:r>
      <w:r w:rsidR="009465AC" w:rsidRPr="00252F3C">
        <w:rPr>
          <w:rFonts w:ascii="Calibri" w:hAnsi="Calibri" w:cs="Times New Roman"/>
          <w:color w:val="000000"/>
        </w:rPr>
        <w:t xml:space="preserve">tools </w:t>
      </w:r>
      <w:r w:rsidR="00285CB0" w:rsidRPr="00252F3C">
        <w:rPr>
          <w:rFonts w:ascii="Calibri" w:hAnsi="Calibri" w:cs="Times New Roman"/>
          <w:color w:val="000000"/>
        </w:rPr>
        <w:t xml:space="preserve">that can unlock the phytobiome for the benefit of farmers of all scales.  </w:t>
      </w:r>
      <w:r w:rsidR="00CD0CF9" w:rsidRPr="00252F3C">
        <w:rPr>
          <w:rFonts w:ascii="Calibri" w:hAnsi="Calibri" w:cs="Times New Roman"/>
          <w:color w:val="000000"/>
        </w:rPr>
        <w:t xml:space="preserve">These are </w:t>
      </w:r>
      <w:r w:rsidR="005C597E" w:rsidRPr="00252F3C">
        <w:rPr>
          <w:rFonts w:ascii="Calibri" w:hAnsi="Calibri" w:cs="Times New Roman"/>
          <w:color w:val="000000"/>
        </w:rPr>
        <w:t xml:space="preserve">just a few solutions within a </w:t>
      </w:r>
      <w:r w:rsidR="00CD0CF9" w:rsidRPr="00252F3C">
        <w:rPr>
          <w:rFonts w:ascii="Calibri" w:hAnsi="Calibri" w:cs="Times New Roman"/>
          <w:color w:val="000000"/>
        </w:rPr>
        <w:t xml:space="preserve">large toolbox </w:t>
      </w:r>
      <w:r w:rsidR="005C597E" w:rsidRPr="00252F3C">
        <w:rPr>
          <w:rFonts w:ascii="Calibri" w:hAnsi="Calibri" w:cs="Times New Roman"/>
          <w:color w:val="000000"/>
        </w:rPr>
        <w:t>needed for</w:t>
      </w:r>
      <w:r w:rsidR="00CD0CF9" w:rsidRPr="00252F3C">
        <w:rPr>
          <w:rFonts w:ascii="Calibri" w:hAnsi="Calibri" w:cs="Times New Roman"/>
          <w:color w:val="000000"/>
        </w:rPr>
        <w:t xml:space="preserve"> resilience</w:t>
      </w:r>
      <w:r w:rsidR="003F23FC" w:rsidRPr="00252F3C">
        <w:rPr>
          <w:rFonts w:ascii="Calibri" w:hAnsi="Calibri" w:cs="Times New Roman"/>
          <w:color w:val="000000"/>
        </w:rPr>
        <w:t xml:space="preserve">, productivity and sustainability </w:t>
      </w:r>
      <w:r w:rsidR="005C597E" w:rsidRPr="00252F3C">
        <w:rPr>
          <w:rFonts w:ascii="Calibri" w:hAnsi="Calibri" w:cs="Times New Roman"/>
          <w:color w:val="000000"/>
        </w:rPr>
        <w:t>in a food system that will feed 10 billion people in</w:t>
      </w:r>
      <w:r w:rsidR="003F23FC" w:rsidRPr="00252F3C">
        <w:rPr>
          <w:rFonts w:ascii="Calibri" w:hAnsi="Calibri" w:cs="Times New Roman"/>
          <w:color w:val="000000"/>
        </w:rPr>
        <w:t xml:space="preserve"> </w:t>
      </w:r>
      <w:r w:rsidRPr="00252F3C">
        <w:rPr>
          <w:rFonts w:ascii="Calibri" w:hAnsi="Calibri" w:cs="Times New Roman"/>
          <w:color w:val="000000"/>
        </w:rPr>
        <w:t xml:space="preserve">2050. </w:t>
      </w:r>
    </w:p>
    <w:p w14:paraId="13F32990" w14:textId="77777777" w:rsidR="00210ADA" w:rsidRPr="00252F3C" w:rsidRDefault="00210ADA" w:rsidP="00210ADA">
      <w:pPr>
        <w:rPr>
          <w:b/>
          <w:sz w:val="20"/>
          <w:u w:val="single"/>
        </w:rPr>
      </w:pPr>
    </w:p>
    <w:p w14:paraId="1BDF474E" w14:textId="0E6A029E" w:rsidR="00210ADA" w:rsidRPr="00252F3C" w:rsidRDefault="00210ADA" w:rsidP="00210ADA">
      <w:pPr>
        <w:rPr>
          <w:b/>
          <w:sz w:val="20"/>
          <w:u w:val="single"/>
        </w:rPr>
      </w:pPr>
      <w:r w:rsidRPr="00252F3C">
        <w:rPr>
          <w:b/>
          <w:sz w:val="20"/>
          <w:u w:val="single"/>
        </w:rPr>
        <w:t>REFERENCES</w:t>
      </w:r>
    </w:p>
    <w:p w14:paraId="5FBF2AB0" w14:textId="77777777" w:rsidR="00210ADA" w:rsidRPr="00252F3C" w:rsidRDefault="00210ADA" w:rsidP="00210ADA">
      <w:pPr>
        <w:rPr>
          <w:sz w:val="20"/>
        </w:rPr>
      </w:pPr>
      <w:r w:rsidRPr="00252F3C">
        <w:rPr>
          <w:sz w:val="20"/>
        </w:rPr>
        <w:t xml:space="preserve">de </w:t>
      </w:r>
      <w:proofErr w:type="spellStart"/>
      <w:r w:rsidRPr="00252F3C">
        <w:rPr>
          <w:sz w:val="20"/>
        </w:rPr>
        <w:t>Janvry</w:t>
      </w:r>
      <w:proofErr w:type="spellEnd"/>
      <w:r w:rsidRPr="00252F3C">
        <w:rPr>
          <w:sz w:val="20"/>
        </w:rPr>
        <w:t xml:space="preserve">, A., &amp; </w:t>
      </w:r>
      <w:proofErr w:type="spellStart"/>
      <w:r w:rsidRPr="00252F3C">
        <w:rPr>
          <w:sz w:val="20"/>
        </w:rPr>
        <w:t>Sadoulet</w:t>
      </w:r>
      <w:proofErr w:type="spellEnd"/>
      <w:r w:rsidRPr="00252F3C">
        <w:rPr>
          <w:sz w:val="20"/>
        </w:rPr>
        <w:t>, E. (2010). Agricultural Growth and Poverty Reduction: Additional Evidence. The World Bank Research Observer, 25(1), 1–20. https://doi.org/10.1093/wbro/lkp015</w:t>
      </w:r>
    </w:p>
    <w:p w14:paraId="43D59A59" w14:textId="77777777" w:rsidR="00210ADA" w:rsidRPr="00252F3C" w:rsidRDefault="00210ADA" w:rsidP="00210ADA">
      <w:pPr>
        <w:rPr>
          <w:sz w:val="20"/>
        </w:rPr>
      </w:pPr>
      <w:r w:rsidRPr="00252F3C">
        <w:rPr>
          <w:sz w:val="20"/>
        </w:rPr>
        <w:t>Food and Agriculture Organization. (n.d.). 2.5.1.a Conservation of genetic resources for food and agriculture (Plan genetic resources). Sustainable Development Goals. https://www.fao.org/sustainable-development-goals/indicators/251a/en/</w:t>
      </w:r>
    </w:p>
    <w:p w14:paraId="748F1E32" w14:textId="77777777" w:rsidR="00210ADA" w:rsidRPr="00252F3C" w:rsidRDefault="00210ADA" w:rsidP="00210ADA">
      <w:pPr>
        <w:rPr>
          <w:sz w:val="20"/>
        </w:rPr>
      </w:pPr>
      <w:proofErr w:type="spellStart"/>
      <w:r w:rsidRPr="00252F3C">
        <w:rPr>
          <w:sz w:val="20"/>
        </w:rPr>
        <w:t>Fugile</w:t>
      </w:r>
      <w:proofErr w:type="spellEnd"/>
      <w:r w:rsidRPr="00252F3C">
        <w:rPr>
          <w:sz w:val="20"/>
        </w:rPr>
        <w:t>, K., Gautam, M., Goyal, A., &amp; Maloney, W. F. (2020). Harvesting prosperity: Technology and productivity growth in agriculture. World Bank Group.</w:t>
      </w:r>
    </w:p>
    <w:p w14:paraId="31866A83" w14:textId="77777777" w:rsidR="00210ADA" w:rsidRPr="00252F3C" w:rsidRDefault="00210ADA" w:rsidP="00210ADA">
      <w:pPr>
        <w:rPr>
          <w:sz w:val="20"/>
        </w:rPr>
      </w:pPr>
      <w:proofErr w:type="spellStart"/>
      <w:r w:rsidRPr="00252F3C">
        <w:rPr>
          <w:sz w:val="20"/>
        </w:rPr>
        <w:t>Heisey</w:t>
      </w:r>
      <w:proofErr w:type="spellEnd"/>
      <w:r w:rsidRPr="00252F3C">
        <w:rPr>
          <w:sz w:val="20"/>
        </w:rPr>
        <w:t xml:space="preserve">, P., &amp; </w:t>
      </w:r>
      <w:proofErr w:type="spellStart"/>
      <w:r w:rsidRPr="00252F3C">
        <w:rPr>
          <w:sz w:val="20"/>
        </w:rPr>
        <w:t>Fuglie</w:t>
      </w:r>
      <w:proofErr w:type="spellEnd"/>
      <w:r w:rsidRPr="00252F3C">
        <w:rPr>
          <w:sz w:val="20"/>
        </w:rPr>
        <w:t>, K. O. (2018). Agricultural research investment and policy reform in high-income countries (ERR-249). U.S. Department of Agriculture, Economic Research Service. https://www.ers.usda.gov/webdocs/publications/89114/err-249.pdf?v=0</w:t>
      </w:r>
    </w:p>
    <w:p w14:paraId="0CB0F14B" w14:textId="77777777" w:rsidR="00210ADA" w:rsidRPr="00252F3C" w:rsidRDefault="00210ADA" w:rsidP="00210ADA">
      <w:pPr>
        <w:rPr>
          <w:sz w:val="20"/>
        </w:rPr>
      </w:pPr>
      <w:r w:rsidRPr="00252F3C">
        <w:rPr>
          <w:sz w:val="20"/>
        </w:rPr>
        <w:t>Hurst, G. (2021, October). Farming communities around the world hold the key to food system resilience. Food Tank. https://foodtank.com/news/2021/10/farming-communities-around-the-world-hold-the-key-to-food-system-resilience/</w:t>
      </w:r>
    </w:p>
    <w:p w14:paraId="7B258B95" w14:textId="77777777" w:rsidR="00210ADA" w:rsidRPr="00252F3C" w:rsidRDefault="00210ADA" w:rsidP="00210ADA">
      <w:pPr>
        <w:rPr>
          <w:sz w:val="20"/>
        </w:rPr>
      </w:pPr>
      <w:r w:rsidRPr="00252F3C">
        <w:rPr>
          <w:sz w:val="20"/>
        </w:rPr>
        <w:t>ICRISAT. (2021, December 3). Crop improvement programs at ICRISAT get a boost with new phenotyping facilities. ICRISAT Happenings. https://www.icrisat.org/crop-improvement-programs-at-icrisat-get-a-boost-with-new-phenotyping-facilities/</w:t>
      </w:r>
    </w:p>
    <w:p w14:paraId="6A68BBF4" w14:textId="77777777" w:rsidR="00210ADA" w:rsidRPr="00252F3C" w:rsidRDefault="00210ADA" w:rsidP="00210ADA">
      <w:pPr>
        <w:rPr>
          <w:sz w:val="20"/>
        </w:rPr>
      </w:pPr>
      <w:r w:rsidRPr="00252F3C">
        <w:rPr>
          <w:sz w:val="20"/>
        </w:rPr>
        <w:t xml:space="preserve">International Potato Center. (2019). Biodiversity for the future program. </w:t>
      </w:r>
    </w:p>
    <w:p w14:paraId="4EFF5DFA" w14:textId="77777777" w:rsidR="00210ADA" w:rsidRPr="00252F3C" w:rsidRDefault="00210ADA" w:rsidP="00210ADA">
      <w:pPr>
        <w:rPr>
          <w:sz w:val="20"/>
        </w:rPr>
      </w:pPr>
      <w:r w:rsidRPr="00252F3C">
        <w:rPr>
          <w:sz w:val="20"/>
        </w:rPr>
        <w:t>https://cgspace.cgiar.org/handle/10568/100668</w:t>
      </w:r>
    </w:p>
    <w:p w14:paraId="35C50D99" w14:textId="77777777" w:rsidR="00210ADA" w:rsidRPr="00252F3C" w:rsidRDefault="00210ADA" w:rsidP="00210ADA">
      <w:pPr>
        <w:rPr>
          <w:sz w:val="20"/>
        </w:rPr>
      </w:pPr>
      <w:r w:rsidRPr="00252F3C">
        <w:rPr>
          <w:sz w:val="20"/>
        </w:rPr>
        <w:t xml:space="preserve">IPBES. (2019). Global assessment report on biodiversity and ecosystem services of the Intergovernmental Science-Policy Platform on Biodiversity and Ecosystem Services (Version 1). </w:t>
      </w:r>
      <w:proofErr w:type="spellStart"/>
      <w:r w:rsidRPr="00252F3C">
        <w:rPr>
          <w:sz w:val="20"/>
        </w:rPr>
        <w:t>Zenodo</w:t>
      </w:r>
      <w:proofErr w:type="spellEnd"/>
      <w:r w:rsidRPr="00252F3C">
        <w:rPr>
          <w:sz w:val="20"/>
        </w:rPr>
        <w:t>. https://doi.org/10.5281/ZENODO.3831673</w:t>
      </w:r>
    </w:p>
    <w:p w14:paraId="63A76EE3" w14:textId="77777777" w:rsidR="00210ADA" w:rsidRPr="00252F3C" w:rsidRDefault="00210ADA" w:rsidP="00210ADA">
      <w:pPr>
        <w:rPr>
          <w:sz w:val="20"/>
        </w:rPr>
      </w:pPr>
      <w:r w:rsidRPr="00252F3C">
        <w:rPr>
          <w:sz w:val="20"/>
        </w:rPr>
        <w:t>Mellor, J. W. (2017). Measuring the Impact of Agricultural Growth on Economic Transformation. In Agricultural Development and Economic Transformation: Promoting Growth with Poverty Reduction (pp. 29–46). Springer International Publishing. https://doi.org/10.1007/978-3-319-65259-7_3</w:t>
      </w:r>
    </w:p>
    <w:p w14:paraId="2955DF2C" w14:textId="77777777" w:rsidR="00210ADA" w:rsidRPr="00252F3C" w:rsidRDefault="00210ADA" w:rsidP="00210ADA">
      <w:pPr>
        <w:rPr>
          <w:sz w:val="20"/>
        </w:rPr>
      </w:pPr>
      <w:r w:rsidRPr="00252F3C">
        <w:rPr>
          <w:sz w:val="20"/>
        </w:rPr>
        <w:t>Mellor, J. W., &amp; Ranade, C. (2006). Why Does Agricultural Growth Dominate Poverty Reduction in Low- and Middle-income Countries? The Pakistan Development Review, 45(2), 221–240. JSTOR. http://www.jstor.org/stable/41260755</w:t>
      </w:r>
    </w:p>
    <w:p w14:paraId="5E5F5341" w14:textId="6FE9F4C6" w:rsidR="00210ADA" w:rsidRPr="00252F3C" w:rsidRDefault="00210ADA" w:rsidP="00210ADA">
      <w:pPr>
        <w:rPr>
          <w:sz w:val="20"/>
        </w:rPr>
      </w:pPr>
      <w:r w:rsidRPr="00252F3C">
        <w:rPr>
          <w:sz w:val="20"/>
        </w:rPr>
        <w:t xml:space="preserve">Ortiz, O., Thiele, G., Nelson, R., &amp; Bentley, J. W. (2020). Participatory Research (PR) at CIP with Potato Farming Systems in the Andes: Evolution and Prospects. In H. Campos &amp; O. Ortiz (Eds.), The Potato Crop (pp. 451–473). Springer International Publishing. </w:t>
      </w:r>
      <w:hyperlink r:id="rId12" w:history="1">
        <w:r w:rsidR="00710200" w:rsidRPr="00252F3C">
          <w:rPr>
            <w:rStyle w:val="Hyperlink"/>
            <w:sz w:val="20"/>
          </w:rPr>
          <w:t>https://doi.org/10.1007/978-3-030-28683-5_13</w:t>
        </w:r>
      </w:hyperlink>
    </w:p>
    <w:p w14:paraId="0D587199" w14:textId="77777777" w:rsidR="00710200" w:rsidRPr="00252F3C" w:rsidRDefault="00710200" w:rsidP="00710200">
      <w:pPr>
        <w:rPr>
          <w:sz w:val="20"/>
        </w:rPr>
      </w:pPr>
      <w:r w:rsidRPr="00252F3C">
        <w:rPr>
          <w:sz w:val="20"/>
        </w:rPr>
        <w:t>Ortiz-</w:t>
      </w:r>
      <w:proofErr w:type="spellStart"/>
      <w:r w:rsidRPr="00252F3C">
        <w:rPr>
          <w:sz w:val="20"/>
        </w:rPr>
        <w:t>Bobea</w:t>
      </w:r>
      <w:proofErr w:type="spellEnd"/>
      <w:r w:rsidRPr="00252F3C">
        <w:rPr>
          <w:sz w:val="20"/>
        </w:rPr>
        <w:t>, A., Ault, T.R., Carrillo, C.M., Chambers, R.G. &amp; Lobell, D.B. (2021). Anthropogenic climate change has slowed global agricultural productivity growth. Nature Climate Chang, 11(4), 306-312.</w:t>
      </w:r>
    </w:p>
    <w:p w14:paraId="0A09CE44" w14:textId="77777777" w:rsidR="00210ADA" w:rsidRPr="00252F3C" w:rsidRDefault="00210ADA" w:rsidP="00210ADA">
      <w:pPr>
        <w:rPr>
          <w:sz w:val="20"/>
        </w:rPr>
      </w:pPr>
      <w:r w:rsidRPr="00252F3C">
        <w:rPr>
          <w:sz w:val="20"/>
        </w:rPr>
        <w:lastRenderedPageBreak/>
        <w:t xml:space="preserve">Rada, N., </w:t>
      </w:r>
      <w:proofErr w:type="spellStart"/>
      <w:r w:rsidRPr="00252F3C">
        <w:rPr>
          <w:sz w:val="20"/>
        </w:rPr>
        <w:t>Liefert</w:t>
      </w:r>
      <w:proofErr w:type="spellEnd"/>
      <w:r w:rsidRPr="00252F3C">
        <w:rPr>
          <w:sz w:val="20"/>
        </w:rPr>
        <w:t xml:space="preserve">, W., &amp; </w:t>
      </w:r>
      <w:proofErr w:type="spellStart"/>
      <w:r w:rsidRPr="00252F3C">
        <w:rPr>
          <w:sz w:val="20"/>
        </w:rPr>
        <w:t>Liefert</w:t>
      </w:r>
      <w:proofErr w:type="spellEnd"/>
      <w:r w:rsidRPr="00252F3C">
        <w:rPr>
          <w:sz w:val="20"/>
        </w:rPr>
        <w:t>, O. (2019). Evaluating Agricultural Productivity and Policy in Russia. Journal of Agricultural Economics, 71. https://doi.org/10.1111/1477-9552.12338</w:t>
      </w:r>
    </w:p>
    <w:p w14:paraId="353ABE87" w14:textId="77777777" w:rsidR="00210ADA" w:rsidRPr="00252F3C" w:rsidRDefault="00210ADA" w:rsidP="00210ADA">
      <w:pPr>
        <w:rPr>
          <w:sz w:val="20"/>
        </w:rPr>
      </w:pPr>
      <w:r w:rsidRPr="00252F3C">
        <w:rPr>
          <w:sz w:val="20"/>
        </w:rPr>
        <w:t xml:space="preserve">Resnick, D., </w:t>
      </w:r>
      <w:proofErr w:type="spellStart"/>
      <w:r w:rsidRPr="00252F3C">
        <w:rPr>
          <w:sz w:val="20"/>
        </w:rPr>
        <w:t>Haggblade</w:t>
      </w:r>
      <w:proofErr w:type="spellEnd"/>
      <w:r w:rsidRPr="00252F3C">
        <w:rPr>
          <w:sz w:val="20"/>
        </w:rPr>
        <w:t>, S., Babu, S., Hendriks, S. L., &amp; Mather, D. (2018). The Kaleidoscope Model of policy change: Applications to food security policy in Zambia. World Development, 109, 101–120. https://doi.org/10.1016/j.worlddev.2018.04.004</w:t>
      </w:r>
    </w:p>
    <w:p w14:paraId="29AC00E2" w14:textId="57F70292" w:rsidR="00210ADA" w:rsidRPr="00252F3C" w:rsidRDefault="003053D2" w:rsidP="00210ADA">
      <w:pPr>
        <w:rPr>
          <w:sz w:val="20"/>
        </w:rPr>
      </w:pPr>
      <w:r w:rsidRPr="00252F3C">
        <w:rPr>
          <w:sz w:val="20"/>
        </w:rPr>
        <w:t>Synthesis</w:t>
      </w:r>
      <w:r w:rsidR="00210ADA" w:rsidRPr="00252F3C">
        <w:rPr>
          <w:sz w:val="20"/>
        </w:rPr>
        <w:t xml:space="preserve"> Report of Action Track 5: Building resilience to vulnerabilities, shocks, and stress.</w:t>
      </w:r>
      <w:r w:rsidR="00424479" w:rsidRPr="00252F3C">
        <w:rPr>
          <w:sz w:val="20"/>
        </w:rPr>
        <w:t xml:space="preserve"> (2021).</w:t>
      </w:r>
      <w:r w:rsidR="00210ADA" w:rsidRPr="00252F3C">
        <w:rPr>
          <w:sz w:val="20"/>
        </w:rPr>
        <w:t xml:space="preserve"> United Nations Food Systems Summit. </w:t>
      </w:r>
      <w:r w:rsidR="00424479" w:rsidRPr="00252F3C">
        <w:rPr>
          <w:sz w:val="20"/>
        </w:rPr>
        <w:t xml:space="preserve">Silverthorne, J., &amp; </w:t>
      </w:r>
      <w:proofErr w:type="spellStart"/>
      <w:r w:rsidR="00424479" w:rsidRPr="00252F3C">
        <w:rPr>
          <w:sz w:val="20"/>
        </w:rPr>
        <w:t>Barbuto</w:t>
      </w:r>
      <w:proofErr w:type="spellEnd"/>
      <w:r w:rsidR="00424479" w:rsidRPr="00252F3C">
        <w:rPr>
          <w:sz w:val="20"/>
        </w:rPr>
        <w:t xml:space="preserve">, R., 36.  </w:t>
      </w:r>
      <w:r w:rsidR="00210ADA" w:rsidRPr="00252F3C">
        <w:rPr>
          <w:sz w:val="20"/>
        </w:rPr>
        <w:t>https://knowledge4policy.ec.europa.eu/sites/default/files/5-ACTION_TRACK-5_Scientific_Group_draft_Paper_8-3-2021_0.pdf</w:t>
      </w:r>
    </w:p>
    <w:p w14:paraId="46AAAEA6" w14:textId="77777777" w:rsidR="00210ADA" w:rsidRPr="00252F3C" w:rsidRDefault="00210ADA" w:rsidP="00210ADA">
      <w:pPr>
        <w:rPr>
          <w:sz w:val="20"/>
        </w:rPr>
      </w:pPr>
      <w:proofErr w:type="spellStart"/>
      <w:r w:rsidRPr="00252F3C">
        <w:rPr>
          <w:sz w:val="20"/>
        </w:rPr>
        <w:t>SoAR</w:t>
      </w:r>
      <w:proofErr w:type="spellEnd"/>
      <w:r w:rsidRPr="00252F3C">
        <w:rPr>
          <w:sz w:val="20"/>
        </w:rPr>
        <w:t xml:space="preserve"> Foundation. (2018). Developing Global Priorities for Plant Research. Supporters of Agricultural Research (</w:t>
      </w:r>
      <w:proofErr w:type="spellStart"/>
      <w:r w:rsidRPr="00252F3C">
        <w:rPr>
          <w:sz w:val="20"/>
        </w:rPr>
        <w:t>SoAR</w:t>
      </w:r>
      <w:proofErr w:type="spellEnd"/>
      <w:r w:rsidRPr="00252F3C">
        <w:rPr>
          <w:sz w:val="20"/>
        </w:rPr>
        <w:t>) Foundation. https://supportagresearch.org/our-projects/developing-global-priorities-for-plant-research</w:t>
      </w:r>
    </w:p>
    <w:p w14:paraId="1CFAFA43" w14:textId="77777777" w:rsidR="00210ADA" w:rsidRPr="00252F3C" w:rsidRDefault="00210ADA" w:rsidP="00210ADA">
      <w:pPr>
        <w:rPr>
          <w:sz w:val="20"/>
        </w:rPr>
      </w:pPr>
      <w:proofErr w:type="spellStart"/>
      <w:r w:rsidRPr="00252F3C">
        <w:rPr>
          <w:sz w:val="20"/>
        </w:rPr>
        <w:t>SoAR</w:t>
      </w:r>
      <w:proofErr w:type="spellEnd"/>
      <w:r w:rsidRPr="00252F3C">
        <w:rPr>
          <w:sz w:val="20"/>
        </w:rPr>
        <w:t xml:space="preserve"> Foundation. (2020). Developing Global Priorities for Plant Research: Adapting agriculture to climate variability. Supporters of Agricultural Research (</w:t>
      </w:r>
      <w:proofErr w:type="spellStart"/>
      <w:r w:rsidRPr="00252F3C">
        <w:rPr>
          <w:sz w:val="20"/>
        </w:rPr>
        <w:t>SoAR</w:t>
      </w:r>
      <w:proofErr w:type="spellEnd"/>
      <w:r w:rsidRPr="00252F3C">
        <w:rPr>
          <w:sz w:val="20"/>
        </w:rPr>
        <w:t>) Foundation. https://supportagresearch.org/our-projects/developing-global-priorities-for-plant-research</w:t>
      </w:r>
    </w:p>
    <w:p w14:paraId="635F9BA7" w14:textId="77777777" w:rsidR="00210ADA" w:rsidRPr="00252F3C" w:rsidRDefault="00210ADA" w:rsidP="00210ADA">
      <w:pPr>
        <w:rPr>
          <w:sz w:val="20"/>
        </w:rPr>
      </w:pPr>
      <w:r w:rsidRPr="00252F3C">
        <w:rPr>
          <w:sz w:val="20"/>
        </w:rPr>
        <w:t>Steensland, A. (2021). 2021 Global Agricultural Productivity Report: Strengthening the climate for sustainable agricultural growth. Virginia Tech College of Agriculture and Life Sciences.</w:t>
      </w:r>
    </w:p>
    <w:p w14:paraId="65E3422A" w14:textId="77777777" w:rsidR="00210ADA" w:rsidRPr="00252F3C" w:rsidRDefault="00210ADA" w:rsidP="00210ADA">
      <w:pPr>
        <w:rPr>
          <w:sz w:val="20"/>
        </w:rPr>
      </w:pPr>
      <w:r w:rsidRPr="00252F3C">
        <w:rPr>
          <w:sz w:val="20"/>
        </w:rPr>
        <w:t>Steensland, A., &amp; Zeigler, M. (2017). 2017 Global Agricultural Productivity Report: A world of productive sustainable agriculture. Global Harvest Initiative.</w:t>
      </w:r>
    </w:p>
    <w:p w14:paraId="5A6E1FB2" w14:textId="77777777" w:rsidR="00210ADA" w:rsidRPr="00252F3C" w:rsidRDefault="00210ADA" w:rsidP="00210ADA">
      <w:pPr>
        <w:rPr>
          <w:sz w:val="20"/>
        </w:rPr>
      </w:pPr>
      <w:r w:rsidRPr="00252F3C">
        <w:rPr>
          <w:sz w:val="20"/>
        </w:rPr>
        <w:t>Steensland, A., &amp; Zeigler, M. (2021). Productivity in Agriculture for a Sustainable Future. In H. Campos (Ed.), The Innovation Revolution in Agriculture: A Roadmap to Value Creation (pp. 33–69). Springer International Publishing. https://doi.org/10.1007/978-3-030-50991-0_2</w:t>
      </w:r>
    </w:p>
    <w:p w14:paraId="4DC2D2B8" w14:textId="77777777" w:rsidR="00210ADA" w:rsidRPr="00210ADA" w:rsidRDefault="00210ADA" w:rsidP="00210ADA">
      <w:pPr>
        <w:rPr>
          <w:sz w:val="20"/>
        </w:rPr>
      </w:pPr>
      <w:r w:rsidRPr="00252F3C">
        <w:rPr>
          <w:sz w:val="20"/>
        </w:rPr>
        <w:t xml:space="preserve">Yun Loong Wong, B., &amp; </w:t>
      </w:r>
      <w:proofErr w:type="spellStart"/>
      <w:r w:rsidRPr="00252F3C">
        <w:rPr>
          <w:sz w:val="20"/>
        </w:rPr>
        <w:t>Argumedo</w:t>
      </w:r>
      <w:proofErr w:type="spellEnd"/>
      <w:r w:rsidRPr="00252F3C">
        <w:rPr>
          <w:sz w:val="20"/>
        </w:rPr>
        <w:t>, A. (2011, July 4). The thriving biodiversity of Peru’s potato park. Our World. https://ourworld.unu.edu/en/the-thriving-biodiversity-of-peru-potato-park</w:t>
      </w:r>
    </w:p>
    <w:p w14:paraId="2DDADFFF" w14:textId="77777777" w:rsidR="00A8785D" w:rsidRPr="00210ADA" w:rsidRDefault="00A8785D" w:rsidP="00360036">
      <w:pPr>
        <w:rPr>
          <w:sz w:val="20"/>
        </w:rPr>
      </w:pPr>
    </w:p>
    <w:p w14:paraId="4A69F1A4" w14:textId="77777777" w:rsidR="00246A13" w:rsidRDefault="00246A13" w:rsidP="00360036">
      <w:pPr>
        <w:rPr>
          <w:b/>
          <w:bCs/>
          <w:sz w:val="20"/>
          <w:szCs w:val="20"/>
          <w:u w:val="single"/>
        </w:rPr>
      </w:pPr>
    </w:p>
    <w:p w14:paraId="6CA71C7F" w14:textId="77777777" w:rsidR="00931980" w:rsidRDefault="00931980">
      <w:pPr>
        <w:rPr>
          <w:rFonts w:cstheme="minorHAnsi"/>
          <w:sz w:val="20"/>
          <w:szCs w:val="20"/>
        </w:rPr>
      </w:pPr>
    </w:p>
    <w:sectPr w:rsidR="009319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E94BE6"/>
    <w:multiLevelType w:val="hybridMultilevel"/>
    <w:tmpl w:val="DE6439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685D72"/>
    <w:multiLevelType w:val="hybridMultilevel"/>
    <w:tmpl w:val="5DA875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137E32"/>
    <w:multiLevelType w:val="hybridMultilevel"/>
    <w:tmpl w:val="4DCE3F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C6977FA"/>
    <w:multiLevelType w:val="multilevel"/>
    <w:tmpl w:val="E4AAF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E7B35AD"/>
    <w:multiLevelType w:val="hybridMultilevel"/>
    <w:tmpl w:val="A30EF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MDEyNDW3NLa0NDIyMzZQ0lEKTi0uzszPAykwqgUAQQQJyywAAAA="/>
  </w:docVars>
  <w:rsids>
    <w:rsidRoot w:val="00360036"/>
    <w:rsid w:val="000216F3"/>
    <w:rsid w:val="00026B6F"/>
    <w:rsid w:val="00073CFD"/>
    <w:rsid w:val="00076F59"/>
    <w:rsid w:val="0009469B"/>
    <w:rsid w:val="000F77C5"/>
    <w:rsid w:val="001358FB"/>
    <w:rsid w:val="001359FD"/>
    <w:rsid w:val="00151F22"/>
    <w:rsid w:val="00184248"/>
    <w:rsid w:val="00185C39"/>
    <w:rsid w:val="001911A0"/>
    <w:rsid w:val="001E032A"/>
    <w:rsid w:val="001E3C6B"/>
    <w:rsid w:val="00210ADA"/>
    <w:rsid w:val="00233E76"/>
    <w:rsid w:val="00246086"/>
    <w:rsid w:val="00246A13"/>
    <w:rsid w:val="00252F3C"/>
    <w:rsid w:val="002530F4"/>
    <w:rsid w:val="002726FB"/>
    <w:rsid w:val="00285CB0"/>
    <w:rsid w:val="00300A8A"/>
    <w:rsid w:val="00304E4F"/>
    <w:rsid w:val="003053D2"/>
    <w:rsid w:val="00307877"/>
    <w:rsid w:val="00327543"/>
    <w:rsid w:val="00360036"/>
    <w:rsid w:val="003D427E"/>
    <w:rsid w:val="003F23FC"/>
    <w:rsid w:val="00404D1A"/>
    <w:rsid w:val="004142DF"/>
    <w:rsid w:val="00420861"/>
    <w:rsid w:val="0042244E"/>
    <w:rsid w:val="00424479"/>
    <w:rsid w:val="004719D8"/>
    <w:rsid w:val="00497E1D"/>
    <w:rsid w:val="004D4441"/>
    <w:rsid w:val="004D69D8"/>
    <w:rsid w:val="00536850"/>
    <w:rsid w:val="005C39D5"/>
    <w:rsid w:val="005C597E"/>
    <w:rsid w:val="005D0B35"/>
    <w:rsid w:val="005D7714"/>
    <w:rsid w:val="005E0492"/>
    <w:rsid w:val="0064430B"/>
    <w:rsid w:val="006515C9"/>
    <w:rsid w:val="00673EE6"/>
    <w:rsid w:val="0068631B"/>
    <w:rsid w:val="006C062C"/>
    <w:rsid w:val="006C34D5"/>
    <w:rsid w:val="006D3F54"/>
    <w:rsid w:val="006E57CC"/>
    <w:rsid w:val="00710200"/>
    <w:rsid w:val="00730498"/>
    <w:rsid w:val="00735F71"/>
    <w:rsid w:val="00737F7A"/>
    <w:rsid w:val="00740080"/>
    <w:rsid w:val="00750071"/>
    <w:rsid w:val="007568E3"/>
    <w:rsid w:val="0077685E"/>
    <w:rsid w:val="007D56E7"/>
    <w:rsid w:val="007E3CAD"/>
    <w:rsid w:val="007F1BCA"/>
    <w:rsid w:val="008047B8"/>
    <w:rsid w:val="008339C8"/>
    <w:rsid w:val="00846B69"/>
    <w:rsid w:val="00864CAB"/>
    <w:rsid w:val="008733D2"/>
    <w:rsid w:val="0087716F"/>
    <w:rsid w:val="008B0A87"/>
    <w:rsid w:val="008B7D9A"/>
    <w:rsid w:val="00920CC9"/>
    <w:rsid w:val="00931980"/>
    <w:rsid w:val="009465AC"/>
    <w:rsid w:val="009700CF"/>
    <w:rsid w:val="0097383A"/>
    <w:rsid w:val="00990BD1"/>
    <w:rsid w:val="009A2A7C"/>
    <w:rsid w:val="009B01D0"/>
    <w:rsid w:val="009D4020"/>
    <w:rsid w:val="00A10347"/>
    <w:rsid w:val="00A1284A"/>
    <w:rsid w:val="00A13CA3"/>
    <w:rsid w:val="00A32118"/>
    <w:rsid w:val="00A34316"/>
    <w:rsid w:val="00A52D62"/>
    <w:rsid w:val="00A67BD3"/>
    <w:rsid w:val="00A70B1D"/>
    <w:rsid w:val="00A75F52"/>
    <w:rsid w:val="00A8785D"/>
    <w:rsid w:val="00A95847"/>
    <w:rsid w:val="00AE2803"/>
    <w:rsid w:val="00AF3540"/>
    <w:rsid w:val="00AF618E"/>
    <w:rsid w:val="00B15D31"/>
    <w:rsid w:val="00B23ECB"/>
    <w:rsid w:val="00B33215"/>
    <w:rsid w:val="00B368CD"/>
    <w:rsid w:val="00B67744"/>
    <w:rsid w:val="00B84DA6"/>
    <w:rsid w:val="00BA1369"/>
    <w:rsid w:val="00BC3F48"/>
    <w:rsid w:val="00C87773"/>
    <w:rsid w:val="00C9138B"/>
    <w:rsid w:val="00C94E26"/>
    <w:rsid w:val="00CB2C64"/>
    <w:rsid w:val="00CD0CF9"/>
    <w:rsid w:val="00CF05F7"/>
    <w:rsid w:val="00CF311C"/>
    <w:rsid w:val="00D03B6C"/>
    <w:rsid w:val="00D14EC4"/>
    <w:rsid w:val="00D20C73"/>
    <w:rsid w:val="00D25531"/>
    <w:rsid w:val="00D32F5F"/>
    <w:rsid w:val="00D34088"/>
    <w:rsid w:val="00D43334"/>
    <w:rsid w:val="00D640CD"/>
    <w:rsid w:val="00D663BD"/>
    <w:rsid w:val="00D679C9"/>
    <w:rsid w:val="00D76FC9"/>
    <w:rsid w:val="00D90C04"/>
    <w:rsid w:val="00DB0661"/>
    <w:rsid w:val="00DB4BDE"/>
    <w:rsid w:val="00DD0472"/>
    <w:rsid w:val="00DD1A9F"/>
    <w:rsid w:val="00DF5316"/>
    <w:rsid w:val="00E44F7F"/>
    <w:rsid w:val="00E86B7D"/>
    <w:rsid w:val="00EF0764"/>
    <w:rsid w:val="00EF6566"/>
    <w:rsid w:val="00F17904"/>
    <w:rsid w:val="00F33458"/>
    <w:rsid w:val="00F37B2D"/>
    <w:rsid w:val="00F9613D"/>
    <w:rsid w:val="00FA6665"/>
    <w:rsid w:val="00FD3A5A"/>
    <w:rsid w:val="00FE3A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1513B0"/>
  <w15:chartTrackingRefBased/>
  <w15:docId w15:val="{3C64756B-6570-4FDA-B5FE-96956F24B8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60036"/>
    <w:rPr>
      <w:color w:val="0563C1" w:themeColor="hyperlink"/>
      <w:u w:val="single"/>
    </w:rPr>
  </w:style>
  <w:style w:type="paragraph" w:styleId="NormalWeb">
    <w:name w:val="Normal (Web)"/>
    <w:basedOn w:val="Normal"/>
    <w:uiPriority w:val="99"/>
    <w:unhideWhenUsed/>
    <w:rsid w:val="00360036"/>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360036"/>
    <w:pPr>
      <w:ind w:left="720"/>
      <w:contextualSpacing/>
    </w:pPr>
    <w:rPr>
      <w:lang w:val="en-GB"/>
    </w:rPr>
  </w:style>
  <w:style w:type="character" w:customStyle="1" w:styleId="UnresolvedMention1">
    <w:name w:val="Unresolved Mention1"/>
    <w:basedOn w:val="DefaultParagraphFont"/>
    <w:uiPriority w:val="99"/>
    <w:rsid w:val="0042244E"/>
    <w:rPr>
      <w:color w:val="605E5C"/>
      <w:shd w:val="clear" w:color="auto" w:fill="E1DFDD"/>
    </w:rPr>
  </w:style>
  <w:style w:type="character" w:styleId="FollowedHyperlink">
    <w:name w:val="FollowedHyperlink"/>
    <w:basedOn w:val="DefaultParagraphFont"/>
    <w:uiPriority w:val="99"/>
    <w:semiHidden/>
    <w:unhideWhenUsed/>
    <w:rsid w:val="00BC3F48"/>
    <w:rPr>
      <w:color w:val="954F72" w:themeColor="followedHyperlink"/>
      <w:u w:val="single"/>
    </w:rPr>
  </w:style>
  <w:style w:type="paragraph" w:styleId="BalloonText">
    <w:name w:val="Balloon Text"/>
    <w:basedOn w:val="Normal"/>
    <w:link w:val="BalloonTextChar"/>
    <w:uiPriority w:val="99"/>
    <w:semiHidden/>
    <w:unhideWhenUsed/>
    <w:rsid w:val="007E3CA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7E3CAD"/>
    <w:rPr>
      <w:rFonts w:ascii="Times New Roman" w:hAnsi="Times New Roman" w:cs="Times New Roman"/>
      <w:sz w:val="18"/>
      <w:szCs w:val="18"/>
    </w:rPr>
  </w:style>
  <w:style w:type="character" w:styleId="UnresolvedMention">
    <w:name w:val="Unresolved Mention"/>
    <w:basedOn w:val="DefaultParagraphFont"/>
    <w:uiPriority w:val="99"/>
    <w:rsid w:val="00B23ECB"/>
    <w:rPr>
      <w:color w:val="605E5C"/>
      <w:shd w:val="clear" w:color="auto" w:fill="E1DFDD"/>
    </w:rPr>
  </w:style>
  <w:style w:type="paragraph" w:styleId="Revision">
    <w:name w:val="Revision"/>
    <w:hidden/>
    <w:uiPriority w:val="99"/>
    <w:semiHidden/>
    <w:rsid w:val="00D14EC4"/>
    <w:pPr>
      <w:spacing w:after="0" w:line="240" w:lineRule="auto"/>
    </w:pPr>
  </w:style>
  <w:style w:type="character" w:styleId="CommentReference">
    <w:name w:val="annotation reference"/>
    <w:basedOn w:val="DefaultParagraphFont"/>
    <w:uiPriority w:val="99"/>
    <w:semiHidden/>
    <w:unhideWhenUsed/>
    <w:rsid w:val="006E57CC"/>
    <w:rPr>
      <w:sz w:val="16"/>
      <w:szCs w:val="16"/>
    </w:rPr>
  </w:style>
  <w:style w:type="paragraph" w:styleId="CommentText">
    <w:name w:val="annotation text"/>
    <w:basedOn w:val="Normal"/>
    <w:link w:val="CommentTextChar"/>
    <w:uiPriority w:val="99"/>
    <w:semiHidden/>
    <w:unhideWhenUsed/>
    <w:rsid w:val="006E57CC"/>
    <w:pPr>
      <w:spacing w:line="240" w:lineRule="auto"/>
    </w:pPr>
    <w:rPr>
      <w:sz w:val="20"/>
      <w:szCs w:val="20"/>
    </w:rPr>
  </w:style>
  <w:style w:type="character" w:customStyle="1" w:styleId="CommentTextChar">
    <w:name w:val="Comment Text Char"/>
    <w:basedOn w:val="DefaultParagraphFont"/>
    <w:link w:val="CommentText"/>
    <w:uiPriority w:val="99"/>
    <w:semiHidden/>
    <w:rsid w:val="006E57CC"/>
    <w:rPr>
      <w:sz w:val="20"/>
      <w:szCs w:val="20"/>
    </w:rPr>
  </w:style>
  <w:style w:type="paragraph" w:styleId="CommentSubject">
    <w:name w:val="annotation subject"/>
    <w:basedOn w:val="CommentText"/>
    <w:next w:val="CommentText"/>
    <w:link w:val="CommentSubjectChar"/>
    <w:uiPriority w:val="99"/>
    <w:semiHidden/>
    <w:unhideWhenUsed/>
    <w:rsid w:val="006E57CC"/>
    <w:rPr>
      <w:b/>
      <w:bCs/>
    </w:rPr>
  </w:style>
  <w:style w:type="character" w:customStyle="1" w:styleId="CommentSubjectChar">
    <w:name w:val="Comment Subject Char"/>
    <w:basedOn w:val="CommentTextChar"/>
    <w:link w:val="CommentSubject"/>
    <w:uiPriority w:val="99"/>
    <w:semiHidden/>
    <w:rsid w:val="006E57CC"/>
    <w:rPr>
      <w:b/>
      <w:bCs/>
      <w:sz w:val="20"/>
      <w:szCs w:val="20"/>
    </w:rPr>
  </w:style>
  <w:style w:type="paragraph" w:styleId="Caption">
    <w:name w:val="caption"/>
    <w:basedOn w:val="Normal"/>
    <w:next w:val="Normal"/>
    <w:uiPriority w:val="35"/>
    <w:unhideWhenUsed/>
    <w:qFormat/>
    <w:rsid w:val="00A34316"/>
    <w:pPr>
      <w:spacing w:after="200" w:line="240" w:lineRule="auto"/>
    </w:pPr>
    <w:rPr>
      <w:i/>
      <w:iCs/>
      <w:color w:val="44546A" w:themeColor="text2"/>
      <w:sz w:val="18"/>
      <w:szCs w:val="18"/>
    </w:rPr>
  </w:style>
  <w:style w:type="paragraph" w:styleId="Bibliography">
    <w:name w:val="Bibliography"/>
    <w:basedOn w:val="Normal"/>
    <w:next w:val="Normal"/>
    <w:uiPriority w:val="37"/>
    <w:unhideWhenUsed/>
    <w:rsid w:val="00A8785D"/>
    <w:pPr>
      <w:spacing w:after="0" w:line="480" w:lineRule="auto"/>
      <w:ind w:lef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4090133">
      <w:bodyDiv w:val="1"/>
      <w:marLeft w:val="0"/>
      <w:marRight w:val="0"/>
      <w:marTop w:val="0"/>
      <w:marBottom w:val="0"/>
      <w:divBdr>
        <w:top w:val="none" w:sz="0" w:space="0" w:color="auto"/>
        <w:left w:val="none" w:sz="0" w:space="0" w:color="auto"/>
        <w:bottom w:val="none" w:sz="0" w:space="0" w:color="auto"/>
        <w:right w:val="none" w:sz="0" w:space="0" w:color="auto"/>
      </w:divBdr>
    </w:div>
    <w:div w:id="394859156">
      <w:bodyDiv w:val="1"/>
      <w:marLeft w:val="0"/>
      <w:marRight w:val="0"/>
      <w:marTop w:val="0"/>
      <w:marBottom w:val="0"/>
      <w:divBdr>
        <w:top w:val="none" w:sz="0" w:space="0" w:color="auto"/>
        <w:left w:val="none" w:sz="0" w:space="0" w:color="auto"/>
        <w:bottom w:val="none" w:sz="0" w:space="0" w:color="auto"/>
        <w:right w:val="none" w:sz="0" w:space="0" w:color="auto"/>
      </w:divBdr>
    </w:div>
    <w:div w:id="451553438">
      <w:bodyDiv w:val="1"/>
      <w:marLeft w:val="0"/>
      <w:marRight w:val="0"/>
      <w:marTop w:val="0"/>
      <w:marBottom w:val="0"/>
      <w:divBdr>
        <w:top w:val="none" w:sz="0" w:space="0" w:color="auto"/>
        <w:left w:val="none" w:sz="0" w:space="0" w:color="auto"/>
        <w:bottom w:val="none" w:sz="0" w:space="0" w:color="auto"/>
        <w:right w:val="none" w:sz="0" w:space="0" w:color="auto"/>
      </w:divBdr>
    </w:div>
    <w:div w:id="610094456">
      <w:bodyDiv w:val="1"/>
      <w:marLeft w:val="0"/>
      <w:marRight w:val="0"/>
      <w:marTop w:val="0"/>
      <w:marBottom w:val="0"/>
      <w:divBdr>
        <w:top w:val="none" w:sz="0" w:space="0" w:color="auto"/>
        <w:left w:val="none" w:sz="0" w:space="0" w:color="auto"/>
        <w:bottom w:val="none" w:sz="0" w:space="0" w:color="auto"/>
        <w:right w:val="none" w:sz="0" w:space="0" w:color="auto"/>
      </w:divBdr>
    </w:div>
    <w:div w:id="736896284">
      <w:bodyDiv w:val="1"/>
      <w:marLeft w:val="0"/>
      <w:marRight w:val="0"/>
      <w:marTop w:val="0"/>
      <w:marBottom w:val="0"/>
      <w:divBdr>
        <w:top w:val="none" w:sz="0" w:space="0" w:color="auto"/>
        <w:left w:val="none" w:sz="0" w:space="0" w:color="auto"/>
        <w:bottom w:val="none" w:sz="0" w:space="0" w:color="auto"/>
        <w:right w:val="none" w:sz="0" w:space="0" w:color="auto"/>
      </w:divBdr>
    </w:div>
    <w:div w:id="768358035">
      <w:bodyDiv w:val="1"/>
      <w:marLeft w:val="0"/>
      <w:marRight w:val="0"/>
      <w:marTop w:val="0"/>
      <w:marBottom w:val="0"/>
      <w:divBdr>
        <w:top w:val="none" w:sz="0" w:space="0" w:color="auto"/>
        <w:left w:val="none" w:sz="0" w:space="0" w:color="auto"/>
        <w:bottom w:val="none" w:sz="0" w:space="0" w:color="auto"/>
        <w:right w:val="none" w:sz="0" w:space="0" w:color="auto"/>
      </w:divBdr>
      <w:divsChild>
        <w:div w:id="1543833579">
          <w:marLeft w:val="0"/>
          <w:marRight w:val="0"/>
          <w:marTop w:val="0"/>
          <w:marBottom w:val="0"/>
          <w:divBdr>
            <w:top w:val="none" w:sz="0" w:space="0" w:color="auto"/>
            <w:left w:val="none" w:sz="0" w:space="0" w:color="auto"/>
            <w:bottom w:val="none" w:sz="0" w:space="0" w:color="auto"/>
            <w:right w:val="none" w:sz="0" w:space="0" w:color="auto"/>
          </w:divBdr>
          <w:divsChild>
            <w:div w:id="1497842835">
              <w:marLeft w:val="0"/>
              <w:marRight w:val="0"/>
              <w:marTop w:val="0"/>
              <w:marBottom w:val="0"/>
              <w:divBdr>
                <w:top w:val="none" w:sz="0" w:space="0" w:color="auto"/>
                <w:left w:val="none" w:sz="0" w:space="0" w:color="auto"/>
                <w:bottom w:val="none" w:sz="0" w:space="0" w:color="auto"/>
                <w:right w:val="none" w:sz="0" w:space="0" w:color="auto"/>
              </w:divBdr>
              <w:divsChild>
                <w:div w:id="1380474909">
                  <w:marLeft w:val="0"/>
                  <w:marRight w:val="0"/>
                  <w:marTop w:val="0"/>
                  <w:marBottom w:val="0"/>
                  <w:divBdr>
                    <w:top w:val="none" w:sz="0" w:space="0" w:color="auto"/>
                    <w:left w:val="none" w:sz="0" w:space="0" w:color="auto"/>
                    <w:bottom w:val="none" w:sz="0" w:space="0" w:color="auto"/>
                    <w:right w:val="none" w:sz="0" w:space="0" w:color="auto"/>
                  </w:divBdr>
                  <w:divsChild>
                    <w:div w:id="1354763173">
                      <w:marLeft w:val="0"/>
                      <w:marRight w:val="0"/>
                      <w:marTop w:val="0"/>
                      <w:marBottom w:val="0"/>
                      <w:divBdr>
                        <w:top w:val="none" w:sz="0" w:space="0" w:color="auto"/>
                        <w:left w:val="none" w:sz="0" w:space="0" w:color="auto"/>
                        <w:bottom w:val="none" w:sz="0" w:space="0" w:color="auto"/>
                        <w:right w:val="none" w:sz="0" w:space="0" w:color="auto"/>
                      </w:divBdr>
                      <w:divsChild>
                        <w:div w:id="1914899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3084361">
          <w:marLeft w:val="0"/>
          <w:marRight w:val="0"/>
          <w:marTop w:val="0"/>
          <w:marBottom w:val="0"/>
          <w:divBdr>
            <w:top w:val="none" w:sz="0" w:space="0" w:color="auto"/>
            <w:left w:val="none" w:sz="0" w:space="0" w:color="auto"/>
            <w:bottom w:val="none" w:sz="0" w:space="0" w:color="auto"/>
            <w:right w:val="none" w:sz="0" w:space="0" w:color="auto"/>
          </w:divBdr>
          <w:divsChild>
            <w:div w:id="1226530995">
              <w:marLeft w:val="0"/>
              <w:marRight w:val="0"/>
              <w:marTop w:val="0"/>
              <w:marBottom w:val="0"/>
              <w:divBdr>
                <w:top w:val="none" w:sz="0" w:space="0" w:color="auto"/>
                <w:left w:val="none" w:sz="0" w:space="0" w:color="auto"/>
                <w:bottom w:val="none" w:sz="0" w:space="0" w:color="auto"/>
                <w:right w:val="none" w:sz="0" w:space="0" w:color="auto"/>
              </w:divBdr>
              <w:divsChild>
                <w:div w:id="1176581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2467666">
          <w:marLeft w:val="0"/>
          <w:marRight w:val="0"/>
          <w:marTop w:val="0"/>
          <w:marBottom w:val="0"/>
          <w:divBdr>
            <w:top w:val="none" w:sz="0" w:space="0" w:color="auto"/>
            <w:left w:val="none" w:sz="0" w:space="0" w:color="auto"/>
            <w:bottom w:val="none" w:sz="0" w:space="0" w:color="auto"/>
            <w:right w:val="none" w:sz="0" w:space="0" w:color="auto"/>
          </w:divBdr>
          <w:divsChild>
            <w:div w:id="1540849583">
              <w:marLeft w:val="0"/>
              <w:marRight w:val="0"/>
              <w:marTop w:val="0"/>
              <w:marBottom w:val="0"/>
              <w:divBdr>
                <w:top w:val="none" w:sz="0" w:space="0" w:color="auto"/>
                <w:left w:val="none" w:sz="0" w:space="0" w:color="auto"/>
                <w:bottom w:val="none" w:sz="0" w:space="0" w:color="auto"/>
                <w:right w:val="none" w:sz="0" w:space="0" w:color="auto"/>
              </w:divBdr>
              <w:divsChild>
                <w:div w:id="767114123">
                  <w:marLeft w:val="0"/>
                  <w:marRight w:val="0"/>
                  <w:marTop w:val="0"/>
                  <w:marBottom w:val="0"/>
                  <w:divBdr>
                    <w:top w:val="none" w:sz="0" w:space="0" w:color="auto"/>
                    <w:left w:val="none" w:sz="0" w:space="0" w:color="auto"/>
                    <w:bottom w:val="none" w:sz="0" w:space="0" w:color="auto"/>
                    <w:right w:val="none" w:sz="0" w:space="0" w:color="auto"/>
                  </w:divBdr>
                  <w:divsChild>
                    <w:div w:id="1081177841">
                      <w:marLeft w:val="0"/>
                      <w:marRight w:val="0"/>
                      <w:marTop w:val="0"/>
                      <w:marBottom w:val="0"/>
                      <w:divBdr>
                        <w:top w:val="none" w:sz="0" w:space="0" w:color="auto"/>
                        <w:left w:val="none" w:sz="0" w:space="0" w:color="auto"/>
                        <w:bottom w:val="none" w:sz="0" w:space="0" w:color="auto"/>
                        <w:right w:val="none" w:sz="0" w:space="0" w:color="auto"/>
                      </w:divBdr>
                      <w:divsChild>
                        <w:div w:id="1765106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0868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doi.org/10.1007/978-3-030-28683-5_13"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0"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40D000F07310D4F8FB7B3FCD50F19DF" ma:contentTypeVersion="11" ma:contentTypeDescription="Create a new document." ma:contentTypeScope="" ma:versionID="65e9f237e0895c0d81f23e45c2a31294">
  <xsd:schema xmlns:xsd="http://www.w3.org/2001/XMLSchema" xmlns:xs="http://www.w3.org/2001/XMLSchema" xmlns:p="http://schemas.microsoft.com/office/2006/metadata/properties" xmlns:ns3="ff1b3e0f-a7d6-45f0-95b8-13778c3f0b12" targetNamespace="http://schemas.microsoft.com/office/2006/metadata/properties" ma:root="true" ma:fieldsID="41fff49fed2b451ec9a2bb07fbb46b6d" ns3:_="">
    <xsd:import namespace="ff1b3e0f-a7d6-45f0-95b8-13778c3f0b1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f1b3e0f-a7d6-45f0-95b8-13778c3f0b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6B74151-8FEE-43E9-A7A0-BBCE27E79167}">
  <ds:schemaRefs>
    <ds:schemaRef ds:uri="http://schemas.microsoft.com/sharepoint/v3/contenttype/forms"/>
  </ds:schemaRefs>
</ds:datastoreItem>
</file>

<file path=customXml/itemProps2.xml><?xml version="1.0" encoding="utf-8"?>
<ds:datastoreItem xmlns:ds="http://schemas.openxmlformats.org/officeDocument/2006/customXml" ds:itemID="{C7CBA2E0-C2A9-4C9B-858C-41796DBE93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f1b3e0f-a7d6-45f0-95b8-13778c3f0b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DDFB4EE-042A-4A15-B3C9-83CD68FFCB32}">
  <ds:schemaRefs>
    <ds:schemaRef ds:uri="http://purl.org/dc/dcmitype/"/>
    <ds:schemaRef ds:uri="http://www.w3.org/XML/1998/namespace"/>
    <ds:schemaRef ds:uri="http://purl.org/dc/terms/"/>
    <ds:schemaRef ds:uri="http://schemas.microsoft.com/office/infopath/2007/PartnerControls"/>
    <ds:schemaRef ds:uri="http://schemas.microsoft.com/office/2006/documentManagement/types"/>
    <ds:schemaRef ds:uri="http://purl.org/dc/elements/1.1/"/>
    <ds:schemaRef ds:uri="http://schemas.openxmlformats.org/package/2006/metadata/core-properties"/>
    <ds:schemaRef ds:uri="ff1b3e0f-a7d6-45f0-95b8-13778c3f0b12"/>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12</Pages>
  <Words>9866</Words>
  <Characters>56240</Characters>
  <Application>Microsoft Office Word</Application>
  <DocSecurity>0</DocSecurity>
  <Lines>468</Lines>
  <Paragraphs>131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Marcus Glassman</dc:creator>
  <cp:keywords/>
  <dc:description/>
  <cp:lastModifiedBy>Steensland, Ann</cp:lastModifiedBy>
  <cp:revision>3</cp:revision>
  <dcterms:created xsi:type="dcterms:W3CDTF">2022-01-11T16:09:00Z</dcterms:created>
  <dcterms:modified xsi:type="dcterms:W3CDTF">2022-01-17T21:50:00Z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0x010100340D000F07310D4F8FB7B3FCD50F19DF</vt:lpwstr>
  </property>
  <property fmtid="{D5CDD505-2E9C-101B-9397-08002B2CF9AE}" pid="3" name="ZOTERO_PREF_1">
    <vt:lpwstr>&lt;data data-version="3" zotero-version="5.0.96.3"&gt;&lt;session id="Fe1Ys0AT"/&gt;&lt;style id="http://www.zotero.org/styles/apa" locale="en-US" hasBibliography="1" bibliographyStyleHasBeenSet="1"/&gt;&lt;prefs&gt;&lt;pref name="fieldType" value="Field"/&gt;&lt;pref name="automaticJou</vt:lpwstr>
  </property>
  <property fmtid="{D5CDD505-2E9C-101B-9397-08002B2CF9AE}" pid="4" name="ZOTERO_PREF_2">
    <vt:lpwstr>rnalAbbreviations" value="true"/&gt;&lt;/prefs&gt;&lt;/data&gt;</vt:lpwstr>
  </property>
</Properties>
</file>