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B66B752" w14:textId="02F1A1CD" w:rsidR="001A3DE5" w:rsidRDefault="00475999">
      <w:r w:rsidRPr="00475999">
        <w:rPr>
          <w:i/>
          <w:iCs/>
        </w:rPr>
        <w:t>Movie-Made Appalachia: History, Hollywood, and the Highland South</w:t>
      </w:r>
      <w:r>
        <w:t xml:space="preserve">. By John C. </w:t>
      </w:r>
      <w:proofErr w:type="spellStart"/>
      <w:r>
        <w:t>Inscoe</w:t>
      </w:r>
      <w:proofErr w:type="spellEnd"/>
      <w:r>
        <w:t>. (Chapel Hill: University of North Carolina Press, 2020. Pp. viii, 239. $29.95, ISBN 978-1-4696-6014-1.)</w:t>
      </w:r>
    </w:p>
    <w:p w14:paraId="35BF79F6" w14:textId="77777777" w:rsidR="00B046B6" w:rsidRDefault="00B046B6"/>
    <w:p w14:paraId="577414C0" w14:textId="014144CE" w:rsidR="0085559E" w:rsidRDefault="0021561F">
      <w:r>
        <w:t xml:space="preserve">Award-winning author and teacher </w:t>
      </w:r>
      <w:r w:rsidR="0085559E">
        <w:t xml:space="preserve">John C. </w:t>
      </w:r>
      <w:proofErr w:type="spellStart"/>
      <w:r w:rsidR="0085559E">
        <w:t>Inscoe</w:t>
      </w:r>
      <w:proofErr w:type="spellEnd"/>
      <w:r w:rsidR="0085559E">
        <w:t xml:space="preserve"> provides the most comprehensive exploration of Appalachia on film </w:t>
      </w:r>
      <w:r w:rsidR="008D39D4">
        <w:t xml:space="preserve">since J.W. Williamson’s </w:t>
      </w:r>
      <w:proofErr w:type="spellStart"/>
      <w:r w:rsidR="008D39D4" w:rsidRPr="008D39D4">
        <w:rPr>
          <w:i/>
          <w:iCs/>
        </w:rPr>
        <w:t>Hillbillyland</w:t>
      </w:r>
      <w:proofErr w:type="spellEnd"/>
      <w:r w:rsidR="008D39D4">
        <w:t xml:space="preserve"> (1995</w:t>
      </w:r>
      <w:r w:rsidR="00315687">
        <w:t>)</w:t>
      </w:r>
      <w:r>
        <w:t xml:space="preserve">. </w:t>
      </w:r>
      <w:r w:rsidRPr="0021561F">
        <w:rPr>
          <w:i/>
          <w:iCs/>
        </w:rPr>
        <w:t>Movie-Made Appalachia</w:t>
      </w:r>
      <w:r w:rsidR="00315687">
        <w:t xml:space="preserve"> </w:t>
      </w:r>
      <w:r w:rsidR="006270D0">
        <w:t>examines</w:t>
      </w:r>
      <w:r w:rsidR="00315687">
        <w:t xml:space="preserve"> twenty </w:t>
      </w:r>
      <w:r>
        <w:t>narrative films</w:t>
      </w:r>
      <w:r w:rsidR="00315687">
        <w:t xml:space="preserve"> </w:t>
      </w:r>
      <w:r w:rsidR="00084674">
        <w:t>released from 1921 to 2012</w:t>
      </w:r>
      <w:r>
        <w:t>,</w:t>
      </w:r>
      <w:r w:rsidR="00084674">
        <w:t xml:space="preserve"> </w:t>
      </w:r>
      <w:r w:rsidR="00315687">
        <w:t xml:space="preserve">ranging </w:t>
      </w:r>
      <w:r w:rsidR="008D39D4">
        <w:t xml:space="preserve">from </w:t>
      </w:r>
      <w:r w:rsidR="0016257D">
        <w:t>silent film</w:t>
      </w:r>
      <w:r w:rsidR="008D39D4">
        <w:t xml:space="preserve">s </w:t>
      </w:r>
      <w:r w:rsidR="00084674">
        <w:t>to</w:t>
      </w:r>
      <w:r w:rsidR="008D39D4">
        <w:t xml:space="preserve"> Hollywood </w:t>
      </w:r>
      <w:r w:rsidR="00084674">
        <w:t>feature films</w:t>
      </w:r>
      <w:r w:rsidR="008D39D4">
        <w:t xml:space="preserve"> </w:t>
      </w:r>
      <w:r w:rsidR="00315687">
        <w:t>and</w:t>
      </w:r>
      <w:r w:rsidR="008D39D4">
        <w:t xml:space="preserve"> independent art films</w:t>
      </w:r>
      <w:r w:rsidR="0016257D">
        <w:t xml:space="preserve"> to made-for-television movie</w:t>
      </w:r>
      <w:r w:rsidR="008D39D4">
        <w:t>s</w:t>
      </w:r>
      <w:r w:rsidR="006270D0">
        <w:t>—</w:t>
      </w:r>
      <w:r w:rsidR="00350F16">
        <w:t>from</w:t>
      </w:r>
      <w:r w:rsidR="006270D0">
        <w:t xml:space="preserve"> </w:t>
      </w:r>
      <w:r w:rsidR="00350F16">
        <w:t>the “iconic” (</w:t>
      </w:r>
      <w:r w:rsidR="00350F16" w:rsidRPr="00350F16">
        <w:rPr>
          <w:i/>
          <w:iCs/>
        </w:rPr>
        <w:t>Coal Miner’s Daughter</w:t>
      </w:r>
      <w:r w:rsidR="005F43C3">
        <w:rPr>
          <w:i/>
          <w:iCs/>
        </w:rPr>
        <w:t xml:space="preserve"> </w:t>
      </w:r>
      <w:r w:rsidR="005F43C3">
        <w:t>[1980]</w:t>
      </w:r>
      <w:r w:rsidR="00350F16">
        <w:t xml:space="preserve">, </w:t>
      </w:r>
      <w:proofErr w:type="spellStart"/>
      <w:r w:rsidR="00350F16" w:rsidRPr="00350F16">
        <w:rPr>
          <w:i/>
          <w:iCs/>
        </w:rPr>
        <w:t>Matewan</w:t>
      </w:r>
      <w:proofErr w:type="spellEnd"/>
      <w:r w:rsidR="005F43C3">
        <w:rPr>
          <w:i/>
          <w:iCs/>
        </w:rPr>
        <w:t xml:space="preserve"> </w:t>
      </w:r>
      <w:r w:rsidR="005F43C3">
        <w:t>[1987]</w:t>
      </w:r>
      <w:r w:rsidR="00350F16">
        <w:t>) to the “obscure” (</w:t>
      </w:r>
      <w:r w:rsidR="00350F16" w:rsidRPr="00350F16">
        <w:rPr>
          <w:i/>
          <w:iCs/>
        </w:rPr>
        <w:t>Foxfire</w:t>
      </w:r>
      <w:r w:rsidR="005F43C3">
        <w:rPr>
          <w:i/>
          <w:iCs/>
        </w:rPr>
        <w:t xml:space="preserve"> </w:t>
      </w:r>
      <w:r w:rsidR="005F43C3">
        <w:t>[1987]</w:t>
      </w:r>
      <w:r w:rsidR="00350F16">
        <w:t xml:space="preserve">, </w:t>
      </w:r>
      <w:r w:rsidR="0032774D" w:rsidRPr="0032774D">
        <w:rPr>
          <w:i/>
          <w:iCs/>
        </w:rPr>
        <w:t>Menace on the Mountain</w:t>
      </w:r>
      <w:r w:rsidR="005F43C3">
        <w:t xml:space="preserve"> [1970]</w:t>
      </w:r>
      <w:r w:rsidR="0032774D">
        <w:t>)</w:t>
      </w:r>
      <w:r w:rsidR="006270D0">
        <w:t xml:space="preserve"> </w:t>
      </w:r>
      <w:r w:rsidR="00350F16">
        <w:t>(3)</w:t>
      </w:r>
      <w:r w:rsidR="006270D0">
        <w:t>.</w:t>
      </w:r>
    </w:p>
    <w:p w14:paraId="645D8B15" w14:textId="6F3936A7" w:rsidR="0021561F" w:rsidRDefault="0021561F">
      <w:proofErr w:type="spellStart"/>
      <w:r>
        <w:t>Insco</w:t>
      </w:r>
      <w:r w:rsidR="00A83E7D">
        <w:t>e</w:t>
      </w:r>
      <w:proofErr w:type="spellEnd"/>
      <w:r w:rsidR="006270D0">
        <w:t>, a leading historian of race, slavery, and the Civil War</w:t>
      </w:r>
      <w:r w:rsidR="00F65A1D">
        <w:t xml:space="preserve"> in Appalachia,</w:t>
      </w:r>
      <w:r w:rsidR="00A83E7D">
        <w:t xml:space="preserve"> readily acknowledges </w:t>
      </w:r>
      <w:r w:rsidR="009C50A5">
        <w:t>the prevalence of</w:t>
      </w:r>
      <w:r w:rsidR="00A83E7D">
        <w:t xml:space="preserve"> </w:t>
      </w:r>
      <w:r w:rsidR="009C50A5">
        <w:t xml:space="preserve">popular depictions </w:t>
      </w:r>
      <w:r w:rsidR="00A83E7D">
        <w:t>of Appalachia as populated by backward, ignorant degenerates</w:t>
      </w:r>
      <w:r w:rsidR="00321137">
        <w:t>,</w:t>
      </w:r>
      <w:r w:rsidR="00A83E7D">
        <w:t xml:space="preserve"> yet h</w:t>
      </w:r>
      <w:r w:rsidR="00321137">
        <w:t xml:space="preserve">is “contention” is </w:t>
      </w:r>
      <w:r w:rsidR="009C50A5">
        <w:t>movies have done “</w:t>
      </w:r>
      <w:r w:rsidR="00321137">
        <w:t>more than</w:t>
      </w:r>
      <w:r w:rsidR="009C50A5">
        <w:t>”</w:t>
      </w:r>
      <w:r w:rsidR="00321137">
        <w:t xml:space="preserve"> </w:t>
      </w:r>
      <w:r w:rsidR="009C50A5">
        <w:t>merely promulgate “</w:t>
      </w:r>
      <w:r w:rsidR="00321137">
        <w:t xml:space="preserve">crude and demeaning stereotypes of mountain people” (3). Following Robert Bent </w:t>
      </w:r>
      <w:proofErr w:type="spellStart"/>
      <w:r w:rsidR="00321137">
        <w:t>Toplin’s</w:t>
      </w:r>
      <w:proofErr w:type="spellEnd"/>
      <w:r w:rsidR="00321137">
        <w:t xml:space="preserve"> </w:t>
      </w:r>
      <w:r w:rsidR="00321137" w:rsidRPr="00321137">
        <w:rPr>
          <w:i/>
          <w:iCs/>
        </w:rPr>
        <w:t>Reel History</w:t>
      </w:r>
      <w:r w:rsidR="00321137">
        <w:rPr>
          <w:i/>
          <w:iCs/>
        </w:rPr>
        <w:t>: In Defense of Hollywood</w:t>
      </w:r>
      <w:r w:rsidR="00321137">
        <w:t xml:space="preserve"> (2002), </w:t>
      </w:r>
      <w:proofErr w:type="spellStart"/>
      <w:r w:rsidR="00321137">
        <w:t>Inscoe</w:t>
      </w:r>
      <w:proofErr w:type="spellEnd"/>
      <w:r w:rsidR="00321137">
        <w:t xml:space="preserve"> advocates “cinema as a teaching tool” in </w:t>
      </w:r>
      <w:r w:rsidR="009C50A5">
        <w:t xml:space="preserve">large </w:t>
      </w:r>
      <w:r w:rsidR="00321137">
        <w:t xml:space="preserve">part because </w:t>
      </w:r>
      <w:r w:rsidR="00907FF5">
        <w:t xml:space="preserve">storytelling on </w:t>
      </w:r>
      <w:r w:rsidR="00321137">
        <w:t>film invites audiences’ attention to tone and emotion, giving students access to “sympathetic and often complex Appalachian characters” in a range of times and places (3)</w:t>
      </w:r>
      <w:r w:rsidR="00907FF5">
        <w:t xml:space="preserve"> and </w:t>
      </w:r>
      <w:r w:rsidR="009C50A5">
        <w:t>inviting them “</w:t>
      </w:r>
      <w:r w:rsidR="00907FF5">
        <w:t>into discussions of the realities conveyed—or merely suggested—onscreen” (4)</w:t>
      </w:r>
      <w:r w:rsidR="00321137">
        <w:t xml:space="preserve">. </w:t>
      </w:r>
      <w:proofErr w:type="spellStart"/>
      <w:r w:rsidR="009C50A5">
        <w:t>Inscoe</w:t>
      </w:r>
      <w:proofErr w:type="spellEnd"/>
      <w:r w:rsidR="009C50A5">
        <w:t xml:space="preserve"> selected f</w:t>
      </w:r>
      <w:r w:rsidR="00321137">
        <w:t xml:space="preserve">ilms for inclusion based on whether “central characters come across as admirable or identifiable to American audiences at least as often as they are diminished or demeaned” (4). </w:t>
      </w:r>
    </w:p>
    <w:p w14:paraId="0FF816E1" w14:textId="413DEDF4" w:rsidR="00C060E1" w:rsidRDefault="00907FF5">
      <w:r w:rsidRPr="00907FF5">
        <w:rPr>
          <w:i/>
          <w:iCs/>
        </w:rPr>
        <w:t>Movie-Made Appalachia</w:t>
      </w:r>
      <w:r>
        <w:t xml:space="preserve"> is comprised predominantly of close readings of the selected films</w:t>
      </w:r>
      <w:r w:rsidR="009C50A5">
        <w:t>,</w:t>
      </w:r>
      <w:r>
        <w:t xml:space="preserve"> interwoven with welcome attention to critical reception and the ways in which production details such as filming locations, directors, screen writers, and actors likely shaped content and reception. </w:t>
      </w:r>
      <w:proofErr w:type="spellStart"/>
      <w:r w:rsidR="00A56161">
        <w:t>Inscoe</w:t>
      </w:r>
      <w:proofErr w:type="spellEnd"/>
      <w:r w:rsidR="00A56161">
        <w:t xml:space="preserve"> organizes</w:t>
      </w:r>
      <w:r w:rsidR="0032774D">
        <w:t xml:space="preserve"> his</w:t>
      </w:r>
      <w:r w:rsidR="00A56161">
        <w:t xml:space="preserve"> chapters according to themes: attachment to farmland, African American experiences, the Civil War, feuds, missionaries, and coal mining</w:t>
      </w:r>
      <w:r>
        <w:t>, a</w:t>
      </w:r>
      <w:r w:rsidR="00A56161">
        <w:t>llowing him to situate the Appalachian-set films</w:t>
      </w:r>
      <w:r w:rsidR="00323742">
        <w:t xml:space="preserve"> in conversation with other similarly themed films</w:t>
      </w:r>
      <w:r w:rsidR="00A56161">
        <w:t xml:space="preserve"> set elsewhere.</w:t>
      </w:r>
    </w:p>
    <w:p w14:paraId="441A7442" w14:textId="352CF793" w:rsidR="009856B7" w:rsidRDefault="007A0C09">
      <w:r>
        <w:t>Among</w:t>
      </w:r>
      <w:r w:rsidR="00C02ECF">
        <w:t xml:space="preserve"> my favorite</w:t>
      </w:r>
      <w:r>
        <w:t xml:space="preserve"> of </w:t>
      </w:r>
      <w:proofErr w:type="spellStart"/>
      <w:r>
        <w:t>Inscoe’s</w:t>
      </w:r>
      <w:proofErr w:type="spellEnd"/>
      <w:r w:rsidR="00C02ECF">
        <w:t xml:space="preserve"> insights </w:t>
      </w:r>
      <w:r>
        <w:t>is</w:t>
      </w:r>
      <w:r w:rsidR="00C02ECF">
        <w:t xml:space="preserve"> the way in which </w:t>
      </w:r>
      <w:r w:rsidR="00C02ECF" w:rsidRPr="007A0C09">
        <w:rPr>
          <w:i/>
          <w:iCs/>
        </w:rPr>
        <w:t>The Journey of August King</w:t>
      </w:r>
      <w:r w:rsidR="00C02ECF">
        <w:t xml:space="preserve"> </w:t>
      </w:r>
      <w:r>
        <w:t xml:space="preserve">(1995) can be used to highlight </w:t>
      </w:r>
      <w:r w:rsidR="009C50A5">
        <w:t xml:space="preserve">vibrant </w:t>
      </w:r>
      <w:r>
        <w:t xml:space="preserve">trade and commerce in antebellum Appalachia via scenes at “trading posts; drover stands; and along roads, fords, and campsites” more so than in the ‘wilderness’ or on isolated farms (59). Another is the extent to which Appalachian-set </w:t>
      </w:r>
      <w:r w:rsidR="009C50A5">
        <w:t xml:space="preserve">Civil War </w:t>
      </w:r>
      <w:r>
        <w:t xml:space="preserve">films like </w:t>
      </w:r>
      <w:r w:rsidRPr="007A0C09">
        <w:rPr>
          <w:i/>
          <w:iCs/>
        </w:rPr>
        <w:t>Cold Mountain</w:t>
      </w:r>
      <w:r>
        <w:t xml:space="preserve"> (2003) </w:t>
      </w:r>
      <w:r w:rsidR="00C060E1">
        <w:t xml:space="preserve">realistically </w:t>
      </w:r>
      <w:r>
        <w:t xml:space="preserve">emphasize grueling experiences on the home front versus the </w:t>
      </w:r>
      <w:r w:rsidR="00F65A1D">
        <w:t xml:space="preserve">official </w:t>
      </w:r>
      <w:r>
        <w:t>battlefield, lending them</w:t>
      </w:r>
      <w:r w:rsidR="009C50A5">
        <w:t>selves</w:t>
      </w:r>
      <w:r>
        <w:t xml:space="preserve"> to anti-war sentiments.</w:t>
      </w:r>
      <w:r w:rsidR="00C060E1">
        <w:t xml:space="preserve"> Though uneven in its efforts, </w:t>
      </w:r>
      <w:proofErr w:type="spellStart"/>
      <w:r w:rsidR="00C060E1" w:rsidRPr="00C060E1">
        <w:rPr>
          <w:i/>
          <w:iCs/>
        </w:rPr>
        <w:t>Hatfields</w:t>
      </w:r>
      <w:proofErr w:type="spellEnd"/>
      <w:r w:rsidR="00C060E1" w:rsidRPr="00C060E1">
        <w:rPr>
          <w:i/>
          <w:iCs/>
        </w:rPr>
        <w:t xml:space="preserve"> &amp; </w:t>
      </w:r>
      <w:proofErr w:type="spellStart"/>
      <w:r w:rsidR="00C060E1" w:rsidRPr="00C060E1">
        <w:rPr>
          <w:i/>
          <w:iCs/>
        </w:rPr>
        <w:t>McCoys</w:t>
      </w:r>
      <w:proofErr w:type="spellEnd"/>
      <w:r w:rsidR="00C060E1">
        <w:t xml:space="preserve"> (2012) does at least attempt to complicate popular understandings of feuds by acknowledging the role of economic competition (“control of land and its resources” and </w:t>
      </w:r>
      <w:r w:rsidR="00F65A1D">
        <w:t xml:space="preserve">ensuing </w:t>
      </w:r>
      <w:r w:rsidR="00C060E1">
        <w:t xml:space="preserve">profits [132]) in </w:t>
      </w:r>
      <w:r w:rsidR="009C50A5">
        <w:t xml:space="preserve">the </w:t>
      </w:r>
      <w:r w:rsidR="00C060E1">
        <w:t>escalati</w:t>
      </w:r>
      <w:r w:rsidR="009C50A5">
        <w:t>o</w:t>
      </w:r>
      <w:r w:rsidR="00C060E1">
        <w:t>n</w:t>
      </w:r>
      <w:r w:rsidR="009C50A5">
        <w:t xml:space="preserve"> of</w:t>
      </w:r>
      <w:r w:rsidR="00C060E1">
        <w:t xml:space="preserve"> longstanding </w:t>
      </w:r>
      <w:r w:rsidR="00480803">
        <w:t>contests for power</w:t>
      </w:r>
      <w:r w:rsidR="00C060E1">
        <w:t>.</w:t>
      </w:r>
      <w:r>
        <w:t xml:space="preserve"> </w:t>
      </w:r>
      <w:proofErr w:type="spellStart"/>
      <w:r>
        <w:t>Inscoe</w:t>
      </w:r>
      <w:proofErr w:type="spellEnd"/>
      <w:r w:rsidR="00F65A1D">
        <w:t xml:space="preserve"> </w:t>
      </w:r>
      <w:r>
        <w:t>offer</w:t>
      </w:r>
      <w:r w:rsidR="00F65A1D">
        <w:t>s</w:t>
      </w:r>
      <w:r>
        <w:t xml:space="preserve"> details of African American</w:t>
      </w:r>
      <w:r w:rsidR="009C50A5">
        <w:t xml:space="preserve">s’ actual </w:t>
      </w:r>
      <w:r>
        <w:t>experience</w:t>
      </w:r>
      <w:r w:rsidR="00F65A1D">
        <w:t>s</w:t>
      </w:r>
      <w:r>
        <w:t xml:space="preserve"> in Appalachia that are </w:t>
      </w:r>
      <w:r w:rsidR="00F65A1D">
        <w:t>altered</w:t>
      </w:r>
      <w:r>
        <w:t xml:space="preserve"> in the films, including historical </w:t>
      </w:r>
      <w:proofErr w:type="spellStart"/>
      <w:r>
        <w:t>freedpeople’s</w:t>
      </w:r>
      <w:proofErr w:type="spellEnd"/>
      <w:r>
        <w:t xml:space="preserve"> agricultural settlements that serve as a contrast to the fictional and idealized bi-racial collaboration romanticized in </w:t>
      </w:r>
      <w:proofErr w:type="spellStart"/>
      <w:r w:rsidRPr="001E2248">
        <w:rPr>
          <w:i/>
          <w:iCs/>
        </w:rPr>
        <w:t>Sommersby</w:t>
      </w:r>
      <w:proofErr w:type="spellEnd"/>
      <w:r>
        <w:t xml:space="preserve"> (1993) (69), </w:t>
      </w:r>
      <w:r w:rsidR="00F65A1D">
        <w:t>and t</w:t>
      </w:r>
      <w:r>
        <w:t>he historical Black United Mine Workers of America organizer Dan Chain, known as “Few Clothes</w:t>
      </w:r>
      <w:r w:rsidR="00F65A1D">
        <w:t>,</w:t>
      </w:r>
      <w:r>
        <w:t>”</w:t>
      </w:r>
      <w:r w:rsidR="00F65A1D">
        <w:t xml:space="preserve"> who is adapted</w:t>
      </w:r>
      <w:r>
        <w:t xml:space="preserve"> into a fictional character in </w:t>
      </w:r>
      <w:proofErr w:type="spellStart"/>
      <w:r w:rsidRPr="001E2248">
        <w:rPr>
          <w:i/>
          <w:iCs/>
        </w:rPr>
        <w:t>Matewan</w:t>
      </w:r>
      <w:proofErr w:type="spellEnd"/>
      <w:r>
        <w:rPr>
          <w:i/>
          <w:iCs/>
        </w:rPr>
        <w:t xml:space="preserve"> </w:t>
      </w:r>
      <w:r w:rsidRPr="001E2248">
        <w:t>(74-5)</w:t>
      </w:r>
      <w:r>
        <w:t>.</w:t>
      </w:r>
      <w:r w:rsidR="00C060E1">
        <w:t xml:space="preserve"> </w:t>
      </w:r>
    </w:p>
    <w:p w14:paraId="7F379835" w14:textId="0B7BF525" w:rsidR="00315687" w:rsidRPr="0032774D" w:rsidRDefault="00F65A1D" w:rsidP="00904948">
      <w:pPr>
        <w:rPr>
          <w:rFonts w:ascii="Source Sans Pro" w:hAnsi="Source Sans Pro"/>
          <w:color w:val="1A1A1A"/>
        </w:rPr>
      </w:pPr>
      <w:proofErr w:type="spellStart"/>
      <w:r>
        <w:t>Incoe’s</w:t>
      </w:r>
      <w:proofErr w:type="spellEnd"/>
      <w:r w:rsidR="00A56161">
        <w:t xml:space="preserve"> important contribution to the ongoing “invention of Appalachia”</w:t>
      </w:r>
      <w:r w:rsidR="00762C36">
        <w:t xml:space="preserve"> (Batteau 1990) appears at a moment when examination of race in Appalachia is </w:t>
      </w:r>
      <w:r w:rsidR="00904948">
        <w:t xml:space="preserve">expanding and when Appalachian Studies appears on the cusp of </w:t>
      </w:r>
      <w:r>
        <w:t>incorporating</w:t>
      </w:r>
      <w:r w:rsidR="00B046B6">
        <w:t xml:space="preserve"> a</w:t>
      </w:r>
      <w:r w:rsidR="00904948">
        <w:t xml:space="preserve"> postcolonial</w:t>
      </w:r>
      <w:r w:rsidR="00B046B6">
        <w:t xml:space="preserve"> lens</w:t>
      </w:r>
      <w:r w:rsidR="00904948">
        <w:t xml:space="preserve">. As such, </w:t>
      </w:r>
      <w:proofErr w:type="spellStart"/>
      <w:r w:rsidR="00B046B6">
        <w:t>Inscoe’s</w:t>
      </w:r>
      <w:proofErr w:type="spellEnd"/>
      <w:r w:rsidR="00B046B6">
        <w:t xml:space="preserve"> careful attention to the presence and absence of Black characters</w:t>
      </w:r>
      <w:r w:rsidR="00904948">
        <w:t xml:space="preserve"> is usefully p</w:t>
      </w:r>
      <w:r w:rsidR="00A83E7D">
        <w:t xml:space="preserve">aired with </w:t>
      </w:r>
      <w:hyperlink r:id="rId4" w:history="1">
        <w:r w:rsidR="00A83E7D" w:rsidRPr="00315687">
          <w:t xml:space="preserve">Meredith </w:t>
        </w:r>
        <w:proofErr w:type="spellStart"/>
        <w:r w:rsidR="00A83E7D" w:rsidRPr="00315687">
          <w:t>McCarroll</w:t>
        </w:r>
      </w:hyperlink>
      <w:r w:rsidR="00A83E7D">
        <w:t>’s</w:t>
      </w:r>
      <w:proofErr w:type="spellEnd"/>
      <w:r w:rsidR="00A83E7D">
        <w:t xml:space="preserve"> </w:t>
      </w:r>
      <w:r w:rsidR="00315687" w:rsidRPr="00315687">
        <w:rPr>
          <w:i/>
          <w:iCs/>
        </w:rPr>
        <w:t>Unwhite:</w:t>
      </w:r>
      <w:r w:rsidR="00315687">
        <w:t xml:space="preserve"> </w:t>
      </w:r>
      <w:r w:rsidR="00315687" w:rsidRPr="00315687">
        <w:rPr>
          <w:i/>
          <w:iCs/>
        </w:rPr>
        <w:t xml:space="preserve">Appalachia, Race, and </w:t>
      </w:r>
      <w:r w:rsidR="00315687" w:rsidRPr="00315687">
        <w:rPr>
          <w:i/>
          <w:iCs/>
        </w:rPr>
        <w:lastRenderedPageBreak/>
        <w:t>Film</w:t>
      </w:r>
      <w:r w:rsidR="00A83E7D">
        <w:t>, which examines ways in which Appalachian whites are racialized in feature film</w:t>
      </w:r>
      <w:r w:rsidR="00904948">
        <w:t xml:space="preserve">s, and </w:t>
      </w:r>
      <w:r w:rsidR="00B046B6">
        <w:t>with</w:t>
      </w:r>
      <w:r w:rsidR="00904948">
        <w:t xml:space="preserve"> </w:t>
      </w:r>
      <w:r w:rsidR="00B046B6">
        <w:t>recent</w:t>
      </w:r>
      <w:r w:rsidR="00904948">
        <w:t xml:space="preserve"> work by Stephen Pearson and others on settler colonialism and regional identity</w:t>
      </w:r>
      <w:r w:rsidR="00B046B6">
        <w:t xml:space="preserve"> that </w:t>
      </w:r>
      <w:r w:rsidR="00904948">
        <w:t>offer stark reminder</w:t>
      </w:r>
      <w:r>
        <w:t>s</w:t>
      </w:r>
      <w:r w:rsidR="00904948">
        <w:t xml:space="preserve"> of the context </w:t>
      </w:r>
      <w:r w:rsidR="00B046B6">
        <w:t xml:space="preserve">for </w:t>
      </w:r>
      <w:r w:rsidR="009C50A5">
        <w:t xml:space="preserve">white </w:t>
      </w:r>
      <w:r w:rsidR="00B046B6">
        <w:t xml:space="preserve">Appalachian </w:t>
      </w:r>
      <w:r w:rsidR="009C50A5">
        <w:t>characters</w:t>
      </w:r>
      <w:r w:rsidR="00B046B6">
        <w:t>’ land claims.</w:t>
      </w:r>
    </w:p>
    <w:p w14:paraId="2ECF59A1" w14:textId="31F81F8C" w:rsidR="00315687" w:rsidRDefault="00204FB4">
      <w:proofErr w:type="spellStart"/>
      <w:r>
        <w:t>Inscoe</w:t>
      </w:r>
      <w:proofErr w:type="spellEnd"/>
      <w:r>
        <w:t xml:space="preserve"> recognizes that “positive images of the region may be no more historically accurate than the negative images,” but argues that the films he discusses “humanize and complicate mountain people” (17). Given scholarship warning that dehumanization </w:t>
      </w:r>
      <w:r w:rsidR="005A68C4">
        <w:t>of</w:t>
      </w:r>
      <w:r>
        <w:t xml:space="preserve"> the region’s inhabitants</w:t>
      </w:r>
      <w:r w:rsidR="005A68C4">
        <w:t xml:space="preserve"> </w:t>
      </w:r>
      <w:r>
        <w:t xml:space="preserve">likely exacerbates and accelerates American acceptance </w:t>
      </w:r>
      <w:r w:rsidR="005A68C4">
        <w:t>of suffering in Appalachia</w:t>
      </w:r>
      <w:r w:rsidR="00F65A1D">
        <w:t>—</w:t>
      </w:r>
      <w:r w:rsidR="005A68C4">
        <w:t>including</w:t>
      </w:r>
      <w:r w:rsidR="00F65A1D">
        <w:t xml:space="preserve"> </w:t>
      </w:r>
      <w:r w:rsidR="005A68C4">
        <w:t xml:space="preserve">the suffering of poor, Black, </w:t>
      </w:r>
      <w:r w:rsidR="00F65A1D">
        <w:t>I</w:t>
      </w:r>
      <w:r w:rsidR="005A68C4">
        <w:t xml:space="preserve">ndigenous, Latinx, </w:t>
      </w:r>
      <w:proofErr w:type="spellStart"/>
      <w:r w:rsidR="005A68C4">
        <w:t>AppalAsian</w:t>
      </w:r>
      <w:proofErr w:type="spellEnd"/>
      <w:r w:rsidR="005A68C4">
        <w:t>, queer, disabled, and other stigmatized residents—</w:t>
      </w:r>
      <w:proofErr w:type="spellStart"/>
      <w:r w:rsidR="005A68C4">
        <w:t>Inscoe’s</w:t>
      </w:r>
      <w:proofErr w:type="spellEnd"/>
      <w:r w:rsidR="005A68C4">
        <w:t xml:space="preserve"> effort to draw students and readers into sympathetic conversation about the </w:t>
      </w:r>
      <w:r w:rsidR="0032774D">
        <w:t xml:space="preserve">people of the </w:t>
      </w:r>
      <w:r w:rsidR="005A68C4">
        <w:t xml:space="preserve">region is a valuable addition. </w:t>
      </w:r>
    </w:p>
    <w:p w14:paraId="19C22F48" w14:textId="0CD760D7" w:rsidR="00475999" w:rsidRDefault="00475999">
      <w:r>
        <w:t>Emily Satterwhite, Virginia Tech</w:t>
      </w:r>
    </w:p>
    <w:p w14:paraId="3DAAE20F" w14:textId="5FAF3E00" w:rsidR="00A83E7D" w:rsidRDefault="00A83E7D"/>
    <w:p w14:paraId="60EA7D0F" w14:textId="3CF6D4AA" w:rsidR="00A83E7D" w:rsidRDefault="00762C36" w:rsidP="00B046B6">
      <w:pPr>
        <w:spacing w:after="0" w:line="480" w:lineRule="auto"/>
        <w:ind w:left="720" w:hanging="720"/>
      </w:pPr>
      <w:r>
        <w:t xml:space="preserve">Allen Batteau. </w:t>
      </w:r>
      <w:r w:rsidRPr="00762C36">
        <w:rPr>
          <w:i/>
          <w:iCs/>
        </w:rPr>
        <w:t>The Invention of Appalachia</w:t>
      </w:r>
      <w:r>
        <w:t xml:space="preserve">. </w:t>
      </w:r>
      <w:r>
        <w:rPr>
          <w:rFonts w:ascii="Arial Unicode MS" w:hAnsi="Arial Unicode MS"/>
          <w:color w:val="000000"/>
          <w:sz w:val="20"/>
          <w:szCs w:val="20"/>
          <w:shd w:val="clear" w:color="auto" w:fill="FFFFFF"/>
        </w:rPr>
        <w:t>Tucson: University of Arizona Press, 1990.</w:t>
      </w:r>
    </w:p>
    <w:p w14:paraId="2A49D90B" w14:textId="715D30CB" w:rsidR="00A83E7D" w:rsidRDefault="00A83E7D" w:rsidP="00B046B6">
      <w:pPr>
        <w:spacing w:after="0" w:line="480" w:lineRule="auto"/>
        <w:ind w:left="720" w:hanging="720"/>
        <w:rPr>
          <w:rFonts w:cstheme="minorHAnsi"/>
          <w:shd w:val="clear" w:color="auto" w:fill="FFFFFF"/>
        </w:rPr>
      </w:pPr>
      <w:r w:rsidRPr="00A83E7D">
        <w:rPr>
          <w:rFonts w:cstheme="minorHAnsi"/>
          <w:shd w:val="clear" w:color="auto" w:fill="FFFFFF"/>
        </w:rPr>
        <w:t xml:space="preserve">Meredith McCarroll. </w:t>
      </w:r>
      <w:r w:rsidRPr="00A83E7D">
        <w:rPr>
          <w:rStyle w:val="Emphasis"/>
          <w:rFonts w:cstheme="minorHAnsi"/>
          <w:color w:val="0A0A0A"/>
          <w:shd w:val="clear" w:color="auto" w:fill="FFFFFF"/>
        </w:rPr>
        <w:t>Unwhite: Appalachia, Race, and Film</w:t>
      </w:r>
      <w:r w:rsidRPr="00A83E7D">
        <w:rPr>
          <w:rFonts w:cstheme="minorHAnsi"/>
          <w:shd w:val="clear" w:color="auto" w:fill="FFFFFF"/>
        </w:rPr>
        <w:t>. Athens: University of Georgia Press, 2018. </w:t>
      </w:r>
    </w:p>
    <w:p w14:paraId="1F25C5C6" w14:textId="4CD119B5" w:rsidR="00A56161" w:rsidRPr="00A83E7D" w:rsidRDefault="00A56161" w:rsidP="00B046B6">
      <w:pPr>
        <w:spacing w:after="0" w:line="480" w:lineRule="auto"/>
        <w:ind w:left="720" w:hanging="720"/>
        <w:rPr>
          <w:rFonts w:cstheme="minorHAnsi"/>
          <w:shd w:val="clear" w:color="auto" w:fill="FFFFFF"/>
        </w:rPr>
      </w:pPr>
      <w:r>
        <w:t xml:space="preserve">Robert Bent </w:t>
      </w:r>
      <w:proofErr w:type="spellStart"/>
      <w:r>
        <w:t>Toplin</w:t>
      </w:r>
      <w:proofErr w:type="spellEnd"/>
      <w:r>
        <w:t xml:space="preserve">. </w:t>
      </w:r>
      <w:r w:rsidRPr="00321137">
        <w:rPr>
          <w:i/>
          <w:iCs/>
        </w:rPr>
        <w:t>Reel History</w:t>
      </w:r>
      <w:r>
        <w:rPr>
          <w:i/>
          <w:iCs/>
        </w:rPr>
        <w:t>: In Defense of Hollywood.</w:t>
      </w:r>
      <w:r>
        <w:t xml:space="preserve"> Lawrence: University Press of Kansas, 2002.</w:t>
      </w:r>
    </w:p>
    <w:p w14:paraId="77C5CF49" w14:textId="4021E26E" w:rsidR="00A83E7D" w:rsidRPr="00A83E7D" w:rsidRDefault="00A83E7D" w:rsidP="00B046B6">
      <w:pPr>
        <w:spacing w:after="0" w:line="480" w:lineRule="auto"/>
        <w:ind w:left="720" w:hanging="720"/>
        <w:rPr>
          <w:rFonts w:cstheme="minorHAnsi"/>
        </w:rPr>
      </w:pPr>
      <w:r w:rsidRPr="00A83E7D">
        <w:rPr>
          <w:rFonts w:cstheme="minorHAnsi"/>
          <w:color w:val="000000"/>
          <w:spacing w:val="-5"/>
          <w:shd w:val="clear" w:color="auto" w:fill="FFFFFF"/>
        </w:rPr>
        <w:t>J. W. Williamson.</w:t>
      </w:r>
      <w:r w:rsidRPr="00A83E7D">
        <w:rPr>
          <w:rStyle w:val="HTMLCite"/>
          <w:rFonts w:cstheme="minorHAnsi"/>
          <w:color w:val="000000"/>
          <w:spacing w:val="-5"/>
          <w:shd w:val="clear" w:color="auto" w:fill="FFFFFF"/>
        </w:rPr>
        <w:t xml:space="preserve"> </w:t>
      </w:r>
      <w:proofErr w:type="spellStart"/>
      <w:r w:rsidRPr="00A83E7D">
        <w:rPr>
          <w:rStyle w:val="HTMLCite"/>
          <w:rFonts w:cstheme="minorHAnsi"/>
          <w:color w:val="000000"/>
          <w:spacing w:val="-5"/>
          <w:shd w:val="clear" w:color="auto" w:fill="FFFFFF"/>
        </w:rPr>
        <w:t>Hillbillyland</w:t>
      </w:r>
      <w:proofErr w:type="spellEnd"/>
      <w:r w:rsidRPr="00A83E7D">
        <w:rPr>
          <w:rStyle w:val="HTMLCite"/>
          <w:rFonts w:cstheme="minorHAnsi"/>
          <w:color w:val="000000"/>
          <w:spacing w:val="-5"/>
          <w:shd w:val="clear" w:color="auto" w:fill="FFFFFF"/>
        </w:rPr>
        <w:t>. What the Movies Did to the Mountains and What the Mountains Did to the Movies</w:t>
      </w:r>
      <w:r w:rsidRPr="00A83E7D">
        <w:rPr>
          <w:rFonts w:cstheme="minorHAnsi"/>
          <w:color w:val="000000"/>
          <w:spacing w:val="-5"/>
          <w:shd w:val="clear" w:color="auto" w:fill="FFFFFF"/>
        </w:rPr>
        <w:t>. Chapel Hill: University of North Carolina Press, 1995.</w:t>
      </w:r>
    </w:p>
    <w:sectPr w:rsidR="00A83E7D" w:rsidRPr="00A83E7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ource Sans Pro">
    <w:altName w:val="Source Sans Pro"/>
    <w:charset w:val="00"/>
    <w:family w:val="swiss"/>
    <w:pitch w:val="variable"/>
    <w:sig w:usb0="600002F7" w:usb1="02000001" w:usb2="00000000" w:usb3="00000000" w:csb0="0000019F" w:csb1="00000000"/>
  </w:font>
  <w:font w:name="Arial Unicode MS">
    <w:altName w:val="Arial"/>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5999"/>
    <w:rsid w:val="00084674"/>
    <w:rsid w:val="0016257D"/>
    <w:rsid w:val="001E2248"/>
    <w:rsid w:val="00204FB4"/>
    <w:rsid w:val="0021561F"/>
    <w:rsid w:val="00263E91"/>
    <w:rsid w:val="002E1EB2"/>
    <w:rsid w:val="00315687"/>
    <w:rsid w:val="00321137"/>
    <w:rsid w:val="00323742"/>
    <w:rsid w:val="0032774D"/>
    <w:rsid w:val="00350F16"/>
    <w:rsid w:val="00475999"/>
    <w:rsid w:val="00480803"/>
    <w:rsid w:val="005A68C4"/>
    <w:rsid w:val="005F43C3"/>
    <w:rsid w:val="006270D0"/>
    <w:rsid w:val="00762C36"/>
    <w:rsid w:val="007A0C09"/>
    <w:rsid w:val="0085559E"/>
    <w:rsid w:val="008D39D4"/>
    <w:rsid w:val="00904948"/>
    <w:rsid w:val="00907FF5"/>
    <w:rsid w:val="009856B7"/>
    <w:rsid w:val="009C50A5"/>
    <w:rsid w:val="00A56161"/>
    <w:rsid w:val="00A83E7D"/>
    <w:rsid w:val="00B046B6"/>
    <w:rsid w:val="00C02ECF"/>
    <w:rsid w:val="00C060E1"/>
    <w:rsid w:val="00F65A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B5CC27"/>
  <w15:chartTrackingRefBased/>
  <w15:docId w15:val="{976703C3-B143-4C20-9A60-A1E5D7FB78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31568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15687"/>
    <w:rPr>
      <w:rFonts w:ascii="Times New Roman" w:eastAsia="Times New Roman" w:hAnsi="Times New Roman" w:cs="Times New Roman"/>
      <w:b/>
      <w:bCs/>
      <w:kern w:val="36"/>
      <w:sz w:val="48"/>
      <w:szCs w:val="48"/>
    </w:rPr>
  </w:style>
  <w:style w:type="paragraph" w:customStyle="1" w:styleId="sp-productsubtitle">
    <w:name w:val="sp-product__subtitle"/>
    <w:basedOn w:val="Normal"/>
    <w:rsid w:val="0031568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productthe-authors">
    <w:name w:val="sp-product__the-authors"/>
    <w:basedOn w:val="Normal"/>
    <w:rsid w:val="00315687"/>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315687"/>
    <w:rPr>
      <w:color w:val="0000FF"/>
      <w:u w:val="single"/>
    </w:rPr>
  </w:style>
  <w:style w:type="character" w:styleId="Emphasis">
    <w:name w:val="Emphasis"/>
    <w:basedOn w:val="DefaultParagraphFont"/>
    <w:uiPriority w:val="20"/>
    <w:qFormat/>
    <w:rsid w:val="00A83E7D"/>
    <w:rPr>
      <w:i/>
      <w:iCs/>
    </w:rPr>
  </w:style>
  <w:style w:type="character" w:styleId="HTMLCite">
    <w:name w:val="HTML Cite"/>
    <w:basedOn w:val="DefaultParagraphFont"/>
    <w:uiPriority w:val="99"/>
    <w:semiHidden/>
    <w:unhideWhenUsed/>
    <w:rsid w:val="00A83E7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69018595">
      <w:bodyDiv w:val="1"/>
      <w:marLeft w:val="0"/>
      <w:marRight w:val="0"/>
      <w:marTop w:val="0"/>
      <w:marBottom w:val="0"/>
      <w:divBdr>
        <w:top w:val="none" w:sz="0" w:space="0" w:color="auto"/>
        <w:left w:val="none" w:sz="0" w:space="0" w:color="auto"/>
        <w:bottom w:val="none" w:sz="0" w:space="0" w:color="auto"/>
        <w:right w:val="none" w:sz="0" w:space="0" w:color="auto"/>
      </w:divBdr>
    </w:div>
    <w:div w:id="1253782497">
      <w:bodyDiv w:val="1"/>
      <w:marLeft w:val="0"/>
      <w:marRight w:val="0"/>
      <w:marTop w:val="0"/>
      <w:marBottom w:val="0"/>
      <w:divBdr>
        <w:top w:val="none" w:sz="0" w:space="0" w:color="auto"/>
        <w:left w:val="none" w:sz="0" w:space="0" w:color="auto"/>
        <w:bottom w:val="none" w:sz="0" w:space="0" w:color="auto"/>
        <w:right w:val="none" w:sz="0" w:space="0" w:color="auto"/>
      </w:divBdr>
      <w:divsChild>
        <w:div w:id="7199822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ugapress.org/author/meredith-mccarrol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300</TotalTime>
  <Pages>2</Pages>
  <Words>794</Words>
  <Characters>4527</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Satterwhite, Emily</dc:creator>
  <cp:keywords/>
  <dc:description/>
  <cp:lastModifiedBy>Satterwhite, Emily</cp:lastModifiedBy>
  <cp:revision>6</cp:revision>
  <dcterms:created xsi:type="dcterms:W3CDTF">2021-07-09T13:27:00Z</dcterms:created>
  <dcterms:modified xsi:type="dcterms:W3CDTF">2021-07-14T19:45:00Z</dcterms:modified>
</cp:coreProperties>
</file>