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3FB396" w14:textId="77777777" w:rsidR="00932179" w:rsidRDefault="5B79CB3B" w:rsidP="00932179">
      <w:pPr>
        <w:spacing w:line="480" w:lineRule="auto"/>
        <w:jc w:val="center"/>
        <w:rPr>
          <w:b/>
          <w:bCs/>
        </w:rPr>
      </w:pPr>
      <w:r w:rsidRPr="5B79CB3B">
        <w:rPr>
          <w:b/>
          <w:bCs/>
        </w:rPr>
        <w:t xml:space="preserve">Developmental Relationships That Encourage Generativity </w:t>
      </w:r>
    </w:p>
    <w:p w14:paraId="4C3C8373" w14:textId="651A4152" w:rsidR="006B7C5F" w:rsidRPr="006B7C5F" w:rsidRDefault="006B7C5F" w:rsidP="006B7C5F">
      <w:pPr>
        <w:spacing w:line="480" w:lineRule="auto"/>
        <w:jc w:val="center"/>
      </w:pPr>
      <w:r>
        <w:t>Lindsay J. Hastings, Hannah M. Sunderman, &amp; Nick Knopik</w:t>
      </w:r>
    </w:p>
    <w:p w14:paraId="6751A055" w14:textId="0DB0A1D1" w:rsidR="005F3CE2" w:rsidRDefault="005F3CE2" w:rsidP="00D12B88">
      <w:pPr>
        <w:spacing w:line="480" w:lineRule="auto"/>
        <w:jc w:val="center"/>
        <w:rPr>
          <w:b/>
          <w:bCs/>
        </w:rPr>
      </w:pPr>
      <w:r>
        <w:rPr>
          <w:b/>
          <w:bCs/>
        </w:rPr>
        <w:t>Abstract</w:t>
      </w:r>
    </w:p>
    <w:p w14:paraId="7556FF2B" w14:textId="08628122" w:rsidR="00AF4C0C" w:rsidRPr="00156E4A" w:rsidRDefault="5B79CB3B" w:rsidP="00C537A6">
      <w:pPr>
        <w:spacing w:line="480" w:lineRule="auto"/>
        <w:ind w:firstLine="720"/>
      </w:pPr>
      <w:r>
        <w:t xml:space="preserve">Early leader and leadership development experiences that develop generativity - and therefore social responsibility - will become increasingly imperative in preparing a young workforce to shoulder the burden of a substantial leadership transfer in the wake of Baby Boomer retirements. While generativity is considered a midlife construct, recent and emergent research is documenting an association between developmental relationships – such as mentoring, coaching, and advising – and generativity in young adults. The current article highlights this recent research and addresses its implications for leadership practitioners, scholars, and educators. The article concludes with a discourse on future research directions that considers the nuances of particular methodological approaches that will be needed to understand </w:t>
      </w:r>
      <w:r w:rsidRPr="5B79CB3B">
        <w:rPr>
          <w:i/>
          <w:iCs/>
        </w:rPr>
        <w:t>how</w:t>
      </w:r>
      <w:r>
        <w:t xml:space="preserve"> developmental relationships encourage generativity over time.</w:t>
      </w:r>
    </w:p>
    <w:p w14:paraId="5C2C153E" w14:textId="569C8E8F" w:rsidR="00AF4C0C" w:rsidRPr="00AF4C0C" w:rsidRDefault="00AF4C0C" w:rsidP="006B7C5F">
      <w:pPr>
        <w:spacing w:line="480" w:lineRule="auto"/>
        <w:jc w:val="center"/>
        <w:rPr>
          <w:b/>
          <w:bCs/>
        </w:rPr>
      </w:pPr>
      <w:r w:rsidRPr="32098E55">
        <w:rPr>
          <w:b/>
          <w:bCs/>
        </w:rPr>
        <w:t>The Importance of Generativity and Generativity Development to Leadership</w:t>
      </w:r>
    </w:p>
    <w:p w14:paraId="4E068910" w14:textId="278C4305" w:rsidR="00156E4A" w:rsidRPr="00156E4A" w:rsidRDefault="3911E409" w:rsidP="32098E55">
      <w:pPr>
        <w:spacing w:line="480" w:lineRule="auto"/>
        <w:ind w:firstLine="720"/>
        <w:rPr>
          <w:rFonts w:ascii="Times New Roman" w:eastAsia="Times New Roman" w:hAnsi="Times New Roman" w:cs="Times New Roman"/>
          <w:color w:val="000000" w:themeColor="text1"/>
        </w:rPr>
      </w:pPr>
      <w:r w:rsidRPr="3911E409">
        <w:rPr>
          <w:rFonts w:ascii="Times New Roman" w:eastAsia="Times New Roman" w:hAnsi="Times New Roman" w:cs="Times New Roman"/>
          <w:color w:val="000000" w:themeColor="text1"/>
        </w:rPr>
        <w:t xml:space="preserve">In 2022, individuals aged 45 and older held 54% of all management occupations in the American workforce (U.S. Bureau of Labor Statistics, 2023), signaling a transition of more than half of management positions to younger generations in the next 20 years. This leadership transition poses a risk of knowledge loss across </w:t>
      </w:r>
      <w:r w:rsidR="006B7C5F">
        <w:rPr>
          <w:rFonts w:ascii="Times New Roman" w:eastAsia="Times New Roman" w:hAnsi="Times New Roman" w:cs="Times New Roman"/>
          <w:color w:val="000000" w:themeColor="text1"/>
        </w:rPr>
        <w:t>U.S.</w:t>
      </w:r>
      <w:r w:rsidRPr="3911E409">
        <w:rPr>
          <w:rFonts w:ascii="Times New Roman" w:eastAsia="Times New Roman" w:hAnsi="Times New Roman" w:cs="Times New Roman"/>
          <w:color w:val="000000" w:themeColor="text1"/>
        </w:rPr>
        <w:t xml:space="preserve"> industries. The United States will also transfer $75 trillion from older generations to younger generations between 2010 and 2060 (Macke et al., 2011). To promote social responsibility among those who inherit this transfer of leadership and wealth, the development of generativity, defined as “primarily the concern in establishing and guiding the next generation” (Erikson, 1950, 1963, p. 267), will be critical.</w:t>
      </w:r>
    </w:p>
    <w:p w14:paraId="667146B7" w14:textId="62D6CB75" w:rsidR="00156E4A" w:rsidRPr="00156E4A" w:rsidRDefault="65621EA6" w:rsidP="32098E55">
      <w:pPr>
        <w:spacing w:line="480" w:lineRule="auto"/>
        <w:ind w:firstLine="720"/>
        <w:rPr>
          <w:rFonts w:ascii="Times New Roman" w:eastAsia="Times New Roman" w:hAnsi="Times New Roman" w:cs="Times New Roman"/>
          <w:color w:val="000000" w:themeColor="text1"/>
        </w:rPr>
      </w:pPr>
      <w:r w:rsidRPr="65621EA6">
        <w:rPr>
          <w:rFonts w:ascii="Times New Roman" w:eastAsia="Times New Roman" w:hAnsi="Times New Roman" w:cs="Times New Roman"/>
          <w:color w:val="000000" w:themeColor="text1"/>
        </w:rPr>
        <w:lastRenderedPageBreak/>
        <w:t>As the seventh of eight stages in Erikson’s (1950, 1963) psychosocial development model, generativity is commonly expressed in midlife through parenting, mentoring, leadership, shared cultural understanding, and service to others (Azarow et al., 2003; Doerwald et al., 2021; Huta &amp; Zuroff, 2007; McAdams, 2001). Generative behaviors connect older and younger generations through care rather than control (Imada, 2004), and some scholars argue that without generative actions, “our communities would grind to a halt” (Huta &amp; Zuroff, 2007, p. 47). Generativity is the most significant predictor of social responsibility in work and family contexts (Rossi, 2001). In other words, individuals who possess generative concern and demonstrate generative behavior are more likely to invest their time and money into developing strong families, communities, and workplaces (Hastings &amp; Sunderman, 2019). Generativity is a crucial element in our social fabric. In a similar way that generativity involves establishing and guiding the next generation, expressions of social responsibility allow the next generation to form and reform society (Imada, 2004).</w:t>
      </w:r>
    </w:p>
    <w:p w14:paraId="0A432E1E" w14:textId="6D37DCC4" w:rsidR="00156E4A" w:rsidRPr="00C537A6" w:rsidRDefault="65621EA6" w:rsidP="00C537A6">
      <w:pPr>
        <w:spacing w:line="480" w:lineRule="auto"/>
        <w:ind w:firstLine="720"/>
        <w:rPr>
          <w:rFonts w:ascii="Times New Roman" w:eastAsia="Times New Roman" w:hAnsi="Times New Roman" w:cs="Times New Roman"/>
          <w:color w:val="000000" w:themeColor="text1"/>
        </w:rPr>
      </w:pPr>
      <w:r w:rsidRPr="65621EA6">
        <w:rPr>
          <w:rFonts w:ascii="Times New Roman" w:eastAsia="Times New Roman" w:hAnsi="Times New Roman" w:cs="Times New Roman"/>
          <w:color w:val="000000" w:themeColor="text1"/>
        </w:rPr>
        <w:t xml:space="preserve">Preparing a young workforce to shoulder the burden of a substantial leadership transfer will require early leader and leadership development experiences that promote generativity, which, in turn, has implications for social responsibility. </w:t>
      </w:r>
      <w:r w:rsidR="006B7C5F">
        <w:rPr>
          <w:rFonts w:ascii="Times New Roman" w:eastAsia="Times New Roman" w:hAnsi="Times New Roman" w:cs="Times New Roman"/>
          <w:color w:val="000000" w:themeColor="text1"/>
        </w:rPr>
        <w:t xml:space="preserve">Unfortunately, fewer than 16% of youth have exposure to a meaningful leadership development program by age 25 (Dugan et al., 2023). </w:t>
      </w:r>
      <w:r w:rsidRPr="65621EA6">
        <w:rPr>
          <w:rFonts w:ascii="Times New Roman" w:eastAsia="Times New Roman" w:hAnsi="Times New Roman" w:cs="Times New Roman"/>
          <w:color w:val="000000" w:themeColor="text1"/>
        </w:rPr>
        <w:t>Fortunately</w:t>
      </w:r>
      <w:r w:rsidR="00C32B31">
        <w:rPr>
          <w:rFonts w:ascii="Times New Roman" w:eastAsia="Times New Roman" w:hAnsi="Times New Roman" w:cs="Times New Roman"/>
          <w:color w:val="000000" w:themeColor="text1"/>
        </w:rPr>
        <w:t>, r</w:t>
      </w:r>
      <w:r w:rsidRPr="65621EA6">
        <w:rPr>
          <w:rFonts w:ascii="Times New Roman" w:eastAsia="Times New Roman" w:hAnsi="Times New Roman" w:cs="Times New Roman"/>
          <w:color w:val="000000" w:themeColor="text1"/>
        </w:rPr>
        <w:t xml:space="preserve">ecent research suggests that we may not need to wait until midlife for individuals to develop generative concerns and demonstrate generative behaviors. Studies that have examined how generativity develops in young adults suggest that developmental relationships can play a significant role in the development of generativity in early adulthood (Hastings et al., 2015, 2023; Peterson &amp; Stewart, 1996; Sunderman &amp; Hastings, 2023). Thus, leadership scholars, educators, and practitioners can be emboldened to encourage generativity development through </w:t>
      </w:r>
      <w:r w:rsidRPr="65621EA6">
        <w:rPr>
          <w:rFonts w:ascii="Times New Roman" w:eastAsia="Times New Roman" w:hAnsi="Times New Roman" w:cs="Times New Roman"/>
          <w:color w:val="000000" w:themeColor="text1"/>
        </w:rPr>
        <w:lastRenderedPageBreak/>
        <w:t>developmental relationships as a method to promote social responsibility within the next generation of leaders.</w:t>
      </w:r>
    </w:p>
    <w:p w14:paraId="7EF529EC" w14:textId="587A4FBB" w:rsidR="00932179" w:rsidRDefault="00932179" w:rsidP="00C32B31">
      <w:pPr>
        <w:spacing w:line="480" w:lineRule="auto"/>
        <w:jc w:val="center"/>
        <w:rPr>
          <w:b/>
          <w:bCs/>
        </w:rPr>
      </w:pPr>
      <w:r>
        <w:rPr>
          <w:b/>
          <w:bCs/>
        </w:rPr>
        <w:t>Generativity Development in Young Adults Through Developmental Relationships</w:t>
      </w:r>
    </w:p>
    <w:p w14:paraId="0E8C674B" w14:textId="3A965C6A" w:rsidR="002F4395" w:rsidRPr="00C537A6" w:rsidRDefault="65621EA6" w:rsidP="00C537A6">
      <w:pPr>
        <w:spacing w:line="480" w:lineRule="auto"/>
        <w:ind w:firstLine="720"/>
        <w:rPr>
          <w:rFonts w:ascii="Times New Roman" w:eastAsia="Times New Roman" w:hAnsi="Times New Roman" w:cs="Times New Roman"/>
          <w:color w:val="000000" w:themeColor="text1"/>
        </w:rPr>
      </w:pPr>
      <w:r>
        <w:t>Several scholarly inquiries have documented indications and demonstrations of generativity among young adults (</w:t>
      </w:r>
      <w:r w:rsidRPr="65621EA6">
        <w:rPr>
          <w:color w:val="000000" w:themeColor="text1"/>
        </w:rPr>
        <w:t xml:space="preserve">e.g., Lawford et al., 2005; Lawford &amp; Ramey, 2015; McAdams, 2001; Peterson &amp; Stewart, 1993; Ryff &amp; Heincke, 1983); however, only a few studies have narrowed specifically on generativity in young adults who are (or were) involved in developmental relationships (Hastings et al., 2015, 2023; Peterson &amp; Stewart, 1996; Sunderman &amp; Hastings, 2023). Peterson and Stewart’s (1996) research examined generativity motivation among professional young adult women, indicating a significant association between generativity motivation in adulthood and being mentored as a youth. </w:t>
      </w:r>
      <w:r>
        <w:t xml:space="preserve">Hastings et al.’s (2015) research focused on young adults (specifically, collegians) who were serving as mentors, revealing higher generativity among college student leaders who mentored compared to their non-mentoring peers. Subsequent growth curve analyses using multilevel modeling demonstrated that collegiate leadership mentors experienced growth in generative behavior over the course of two years (Sunderman &amp; Hastings, 2023). A concurrent qualitative exploration within the same population (Hastings et al., 2023) offered a nuanced understanding of the growth of generativity, where collegiate leadership mentors not only acknowledged and attributed generativity growth to their mentoring experience, but also clarified the dimension and structure of that generativity development in a mentoring context, indicating that generativity develops not just to a higher point, but develops in a cyclical pattern that resembles a ripple effect. </w:t>
      </w:r>
      <w:r w:rsidRPr="65621EA6">
        <w:rPr>
          <w:rFonts w:ascii="Times New Roman" w:eastAsia="Times New Roman" w:hAnsi="Times New Roman" w:cs="Times New Roman"/>
          <w:color w:val="000000" w:themeColor="text1"/>
        </w:rPr>
        <w:t>New research efforts to model proximal and distal outcomes of leadership mentoring (Hastings &amp; Mpore, 2023</w:t>
      </w:r>
      <w:r w:rsidR="00096315">
        <w:rPr>
          <w:rFonts w:ascii="Times New Roman" w:eastAsia="Times New Roman" w:hAnsi="Times New Roman" w:cs="Times New Roman"/>
          <w:color w:val="000000" w:themeColor="text1"/>
        </w:rPr>
        <w:t>; Hastings &amp; Knopik, 2024</w:t>
      </w:r>
      <w:r w:rsidRPr="65621EA6">
        <w:rPr>
          <w:rFonts w:ascii="Times New Roman" w:eastAsia="Times New Roman" w:hAnsi="Times New Roman" w:cs="Times New Roman"/>
          <w:color w:val="000000" w:themeColor="text1"/>
        </w:rPr>
        <w:t xml:space="preserve">) are revealing both first-order changes in intrapersonal and interpersonal </w:t>
      </w:r>
      <w:r w:rsidRPr="65621EA6">
        <w:rPr>
          <w:rFonts w:ascii="Times New Roman" w:eastAsia="Times New Roman" w:hAnsi="Times New Roman" w:cs="Times New Roman"/>
          <w:color w:val="000000" w:themeColor="text1"/>
        </w:rPr>
        <w:lastRenderedPageBreak/>
        <w:t>competencies as well as second-order changes in mindset, psychosocial maturity, and identity (Wallace et al., 2021). In these studies, mentors experience first-order changes (i.e., active listening skills, ability to identify strengths in others) seamlessly integrated into higher-order competencies (i.e., leader identity, generativity). Recent research suggests that these higher-order outcomes of mentoring, such as generativity, result when mentors and mentees are paired together for the long term (Sunderman &amp; Hastings, 2023), with mentors reporting the most significant second-order outcomes after two years of the mentoring relationship (Hastings &amp; Mpore, 2023</w:t>
      </w:r>
      <w:r w:rsidR="00096315">
        <w:rPr>
          <w:rFonts w:ascii="Times New Roman" w:eastAsia="Times New Roman" w:hAnsi="Times New Roman" w:cs="Times New Roman"/>
          <w:color w:val="000000" w:themeColor="text1"/>
        </w:rPr>
        <w:t>; Hastings &amp; Knopik, 2024</w:t>
      </w:r>
      <w:r w:rsidRPr="65621EA6">
        <w:rPr>
          <w:rFonts w:ascii="Times New Roman" w:eastAsia="Times New Roman" w:hAnsi="Times New Roman" w:cs="Times New Roman"/>
          <w:color w:val="000000" w:themeColor="text1"/>
        </w:rPr>
        <w:t>).</w:t>
      </w:r>
    </w:p>
    <w:p w14:paraId="3FFBEFF7" w14:textId="126A966E" w:rsidR="00A426A2" w:rsidRDefault="3911E409" w:rsidP="00D50884">
      <w:pPr>
        <w:spacing w:line="480" w:lineRule="auto"/>
        <w:ind w:firstLine="720"/>
      </w:pPr>
      <w:r>
        <w:t>This line of generativity research further confirms the relationship between generativity and developmental relationships like mentoring (Chan &amp; Nakamura, 2016; Doerwald et al., 2021; Musselman &amp; Becker, 2023)</w:t>
      </w:r>
      <w:r w:rsidR="00C45D6F">
        <w:t xml:space="preserve">. Additionally, this line of research confirms </w:t>
      </w:r>
      <w:r>
        <w:t xml:space="preserve">Komives et al.’s (2006) model of leadership identity development among college students, theorizing generativity as the fifth of six stages of leadership identity development whereby a leader begins mentoring future leaders. While this line of research helps to articulate longitudinal patterns of generativity development through developmental relationships and clarifies the benefits of long-term developmental relationships, advancing understanding of generativity development through developmental relationships will require more true longitudinal research. </w:t>
      </w:r>
    </w:p>
    <w:p w14:paraId="5859685E" w14:textId="438AED3E" w:rsidR="00AF4C0C" w:rsidRPr="00AF4C0C" w:rsidRDefault="00AF4C0C" w:rsidP="00096315">
      <w:pPr>
        <w:spacing w:line="480" w:lineRule="auto"/>
        <w:jc w:val="center"/>
        <w:rPr>
          <w:b/>
          <w:bCs/>
        </w:rPr>
      </w:pPr>
      <w:r w:rsidRPr="32098E55">
        <w:rPr>
          <w:b/>
          <w:bCs/>
        </w:rPr>
        <w:t xml:space="preserve">How Can Leadership Practitioners, Scholars, and Educators Develop Generativity in Current </w:t>
      </w:r>
      <w:r w:rsidR="0066483F" w:rsidRPr="32098E55">
        <w:rPr>
          <w:b/>
          <w:bCs/>
        </w:rPr>
        <w:t>and</w:t>
      </w:r>
      <w:r w:rsidRPr="32098E55">
        <w:rPr>
          <w:b/>
          <w:bCs/>
        </w:rPr>
        <w:t xml:space="preserve"> Future Leaders via Developmental Relationships?</w:t>
      </w:r>
    </w:p>
    <w:p w14:paraId="5DEC71EA" w14:textId="68C1E8E5" w:rsidR="00AF4C0C" w:rsidRPr="00A426A2" w:rsidRDefault="62BFC793" w:rsidP="32098E55">
      <w:pPr>
        <w:spacing w:line="480" w:lineRule="auto"/>
        <w:ind w:firstLine="720"/>
        <w:rPr>
          <w:rFonts w:ascii="Times New Roman" w:eastAsia="Times New Roman" w:hAnsi="Times New Roman" w:cs="Times New Roman"/>
          <w:color w:val="000000" w:themeColor="text1"/>
        </w:rPr>
      </w:pPr>
      <w:r w:rsidRPr="32098E55">
        <w:rPr>
          <w:rFonts w:ascii="Times New Roman" w:eastAsia="Times New Roman" w:hAnsi="Times New Roman" w:cs="Times New Roman"/>
          <w:color w:val="000000" w:themeColor="text1"/>
        </w:rPr>
        <w:t xml:space="preserve">Leadership practitioners, scholars, and educators can use existing research on three types of developmental relationships (i.e., mentoring, coaching, and advising) to promote generativity - and, therefore, social responsibility - in current and future leaders. Mentoring is one of the most promising practices for leader and leadership development (LD) due to its effectiveness in </w:t>
      </w:r>
      <w:r w:rsidRPr="32098E55">
        <w:rPr>
          <w:rFonts w:ascii="Times New Roman" w:eastAsia="Times New Roman" w:hAnsi="Times New Roman" w:cs="Times New Roman"/>
          <w:color w:val="000000" w:themeColor="text1"/>
        </w:rPr>
        <w:lastRenderedPageBreak/>
        <w:t>embedding LD within the ongoing experiences of a developing leader</w:t>
      </w:r>
      <w:r w:rsidR="65666565" w:rsidRPr="32098E55">
        <w:rPr>
          <w:rFonts w:ascii="Times New Roman" w:eastAsia="Times New Roman" w:hAnsi="Times New Roman" w:cs="Times New Roman"/>
          <w:color w:val="000000" w:themeColor="text1"/>
        </w:rPr>
        <w:t xml:space="preserve"> - </w:t>
      </w:r>
      <w:r w:rsidRPr="32098E55">
        <w:rPr>
          <w:rFonts w:ascii="Times New Roman" w:eastAsia="Times New Roman" w:hAnsi="Times New Roman" w:cs="Times New Roman"/>
          <w:color w:val="000000" w:themeColor="text1"/>
        </w:rPr>
        <w:t>a desired feature in LD interventions (Day &amp; Liu, 2019). While mentoring is intended to develop the mentee, it creates unique LD experiences and outcomes such that the mentor and mentee mutually benefit (Crisp &amp; Cruz, 2009). Keystones of effective mentoring practice include (a) long-term commitment from both mentor and mentee, (b) regular and consistent interactions, (c) formal and informal investments in personal development and leadership empowerment, and (d) just-in-time reflective processing opportunities for the mentee (</w:t>
      </w:r>
      <w:r w:rsidRPr="00F41907">
        <w:rPr>
          <w:rFonts w:ascii="Times New Roman" w:eastAsia="Times New Roman" w:hAnsi="Times New Roman" w:cs="Times New Roman"/>
          <w:color w:val="000000" w:themeColor="text1"/>
        </w:rPr>
        <w:t>Crisp &amp; Alvarado</w:t>
      </w:r>
      <w:r w:rsidR="00C537A6" w:rsidRPr="00F41907">
        <w:rPr>
          <w:rFonts w:ascii="Times New Roman" w:eastAsia="Times New Roman" w:hAnsi="Times New Roman" w:cs="Times New Roman"/>
          <w:color w:val="000000" w:themeColor="text1"/>
        </w:rPr>
        <w:t>-Young</w:t>
      </w:r>
      <w:r w:rsidRPr="00F41907">
        <w:rPr>
          <w:rFonts w:ascii="Times New Roman" w:eastAsia="Times New Roman" w:hAnsi="Times New Roman" w:cs="Times New Roman"/>
          <w:color w:val="000000" w:themeColor="text1"/>
        </w:rPr>
        <w:t xml:space="preserve">, 2018; </w:t>
      </w:r>
      <w:r w:rsidRPr="32098E55">
        <w:rPr>
          <w:rFonts w:ascii="Times New Roman" w:eastAsia="Times New Roman" w:hAnsi="Times New Roman" w:cs="Times New Roman"/>
          <w:color w:val="000000" w:themeColor="text1"/>
        </w:rPr>
        <w:t xml:space="preserve">Crisp &amp; Cruz, 2009; </w:t>
      </w:r>
      <w:r w:rsidRPr="00F41907">
        <w:rPr>
          <w:rFonts w:ascii="Times New Roman" w:eastAsia="Times New Roman" w:hAnsi="Times New Roman" w:cs="Times New Roman"/>
          <w:color w:val="000000" w:themeColor="text1"/>
        </w:rPr>
        <w:t xml:space="preserve">Hastings &amp; Kane, 2018; </w:t>
      </w:r>
      <w:r w:rsidRPr="32098E55">
        <w:rPr>
          <w:rFonts w:ascii="Times New Roman" w:eastAsia="Times New Roman" w:hAnsi="Times New Roman" w:cs="Times New Roman"/>
          <w:color w:val="000000" w:themeColor="text1"/>
        </w:rPr>
        <w:t xml:space="preserve">Hastings &amp; Sunderman, 2020). </w:t>
      </w:r>
    </w:p>
    <w:p w14:paraId="2C32FB56" w14:textId="5071FD8B" w:rsidR="00AF4C0C" w:rsidRPr="00A426A2" w:rsidRDefault="62BFC793" w:rsidP="32098E55">
      <w:pPr>
        <w:spacing w:line="480" w:lineRule="auto"/>
        <w:ind w:firstLine="720"/>
        <w:rPr>
          <w:rFonts w:ascii="Times New Roman" w:eastAsia="Times New Roman" w:hAnsi="Times New Roman" w:cs="Times New Roman"/>
          <w:color w:val="000000" w:themeColor="text1"/>
        </w:rPr>
      </w:pPr>
      <w:r w:rsidRPr="32098E55">
        <w:rPr>
          <w:rFonts w:ascii="Times New Roman" w:eastAsia="Times New Roman" w:hAnsi="Times New Roman" w:cs="Times New Roman"/>
          <w:color w:val="000000" w:themeColor="text1"/>
        </w:rPr>
        <w:t>While mentoring has been the most studied developmental relationship associated with generativity, other types of relationships (i.e., coaching and advising) hold promise in developing generativity. Leadership coaching is a custom-tailored developmental relationship focused on developing the coachee’s understanding of leadership behaviors and the impact of their behaviors on others (</w:t>
      </w:r>
      <w:r w:rsidRPr="00282664">
        <w:rPr>
          <w:rFonts w:ascii="Times New Roman" w:eastAsia="Times New Roman" w:hAnsi="Times New Roman" w:cs="Times New Roman"/>
          <w:color w:val="000000" w:themeColor="text1"/>
        </w:rPr>
        <w:t>Korotov, 2016; Ladegard &amp; Gjerde, 2014</w:t>
      </w:r>
      <w:r w:rsidRPr="32098E55">
        <w:rPr>
          <w:rFonts w:ascii="Times New Roman" w:eastAsia="Times New Roman" w:hAnsi="Times New Roman" w:cs="Times New Roman"/>
          <w:color w:val="000000" w:themeColor="text1"/>
        </w:rPr>
        <w:t>). Leadership coaching is particularly effective when the relationship incorporates meaningful assessment, challenge, and support (</w:t>
      </w:r>
      <w:r w:rsidRPr="009B5CF0">
        <w:rPr>
          <w:rFonts w:ascii="Times New Roman" w:eastAsia="Times New Roman" w:hAnsi="Times New Roman" w:cs="Times New Roman"/>
          <w:color w:val="000000" w:themeColor="text1"/>
        </w:rPr>
        <w:t>Ting &amp; Riddle, 2006</w:t>
      </w:r>
      <w:r w:rsidRPr="32098E55">
        <w:rPr>
          <w:rFonts w:ascii="Times New Roman" w:eastAsia="Times New Roman" w:hAnsi="Times New Roman" w:cs="Times New Roman"/>
          <w:color w:val="000000" w:themeColor="text1"/>
        </w:rPr>
        <w:t>). Extending leadership coaching’s association with knowledge transfer and skill enhancement as well as self-awareness, self-efficacy, and leader role efficacy (</w:t>
      </w:r>
      <w:r w:rsidRPr="00282664">
        <w:rPr>
          <w:rFonts w:ascii="Times New Roman" w:eastAsia="Times New Roman" w:hAnsi="Times New Roman" w:cs="Times New Roman"/>
          <w:color w:val="000000" w:themeColor="text1"/>
        </w:rPr>
        <w:t>Ely et al., 2010; Korotov, 2016; Ladegard &amp; Gjerde, 2014; Passmore, 2015</w:t>
      </w:r>
      <w:r w:rsidRPr="32098E55">
        <w:rPr>
          <w:rFonts w:ascii="Times New Roman" w:eastAsia="Times New Roman" w:hAnsi="Times New Roman" w:cs="Times New Roman"/>
          <w:color w:val="000000" w:themeColor="text1"/>
        </w:rPr>
        <w:t>), it stands to reason that a leadership coaching relationship specifically tailored to focus on generativity holds promise for enhancing awareness and efficacy of generative concern, commitment, and behavior.</w:t>
      </w:r>
    </w:p>
    <w:p w14:paraId="0D0A1F24" w14:textId="698BAA65" w:rsidR="00AF4C0C" w:rsidRPr="00A426A2" w:rsidRDefault="3911E409" w:rsidP="3911E409">
      <w:pPr>
        <w:spacing w:line="480" w:lineRule="auto"/>
        <w:ind w:firstLine="720"/>
        <w:rPr>
          <w:rFonts w:ascii="Times New Roman" w:eastAsia="Times New Roman" w:hAnsi="Times New Roman" w:cs="Times New Roman"/>
          <w:color w:val="000000" w:themeColor="text1"/>
        </w:rPr>
      </w:pPr>
      <w:r w:rsidRPr="3911E409">
        <w:rPr>
          <w:rFonts w:ascii="Times New Roman" w:eastAsia="Times New Roman" w:hAnsi="Times New Roman" w:cs="Times New Roman"/>
          <w:color w:val="000000" w:themeColor="text1"/>
        </w:rPr>
        <w:t xml:space="preserve">Advising - in particular, student organization advising - augurs well for generativity development when advisors support group development and the success of individual leaders in facilitating group processes (Dunkel et al., 2014). Whereas mentoring and coaching are more focused on individual development and, thus, hold promise for cultivating individual generativity </w:t>
      </w:r>
      <w:r w:rsidRPr="3911E409">
        <w:rPr>
          <w:rFonts w:ascii="Times New Roman" w:eastAsia="Times New Roman" w:hAnsi="Times New Roman" w:cs="Times New Roman"/>
          <w:color w:val="000000" w:themeColor="text1"/>
        </w:rPr>
        <w:lastRenderedPageBreak/>
        <w:t>development, student organization advisors are in a unique position to develop a culture of generative leadership within a group. Advisors can develop generativity by encouraging student leaders to model and teach leadership skills to younger students in their organizations.</w:t>
      </w:r>
      <w:r w:rsidR="00096315">
        <w:rPr>
          <w:rFonts w:ascii="Times New Roman" w:eastAsia="Times New Roman" w:hAnsi="Times New Roman" w:cs="Times New Roman"/>
          <w:color w:val="000000" w:themeColor="text1"/>
        </w:rPr>
        <w:t xml:space="preserve"> Additionally, advisors can develop generativity not only in individual leaders but also can cultivate and foster group-level generative attitudes and behaviors.</w:t>
      </w:r>
      <w:r w:rsidRPr="3911E409">
        <w:rPr>
          <w:rFonts w:ascii="Times New Roman" w:eastAsia="Times New Roman" w:hAnsi="Times New Roman" w:cs="Times New Roman"/>
          <w:color w:val="000000" w:themeColor="text1"/>
        </w:rPr>
        <w:t xml:space="preserve"> Incorporating reflective thinking exercises focused on the impact of supporting the leadership development of other students can further promote generative behaviors (Chrystal-Green, 2018; see Wabash National Study Conversation Guide, Baxter Magolda &amp; King, 2008). </w:t>
      </w:r>
    </w:p>
    <w:p w14:paraId="7FE1C06F" w14:textId="67BAF496" w:rsidR="006F23AE" w:rsidRPr="0042592C" w:rsidRDefault="0042592C" w:rsidP="00096315">
      <w:pPr>
        <w:spacing w:line="480" w:lineRule="auto"/>
        <w:jc w:val="center"/>
        <w:rPr>
          <w:b/>
          <w:bCs/>
        </w:rPr>
      </w:pPr>
      <w:r>
        <w:rPr>
          <w:b/>
          <w:bCs/>
        </w:rPr>
        <w:t>Future Research Directions</w:t>
      </w:r>
    </w:p>
    <w:p w14:paraId="264DF2D8" w14:textId="74EB93DD" w:rsidR="007B000E" w:rsidRDefault="00447307" w:rsidP="007B000E">
      <w:pPr>
        <w:spacing w:line="480" w:lineRule="auto"/>
        <w:ind w:firstLine="720"/>
      </w:pPr>
      <w:r w:rsidRPr="00447307">
        <w:t xml:space="preserve">Inquiry into </w:t>
      </w:r>
      <w:r w:rsidR="00D06DB4">
        <w:t xml:space="preserve">the </w:t>
      </w:r>
      <w:r w:rsidRPr="00447307">
        <w:t>outcomes of developmental relationships has largely involved cross-sectional, single-source data, with theorized relationships between antecedents, correlates, and effects derived largely from meta-analytic reviews of previous literature (Allen &amp; Eby, 2010; Eby et al., 2013)</w:t>
      </w:r>
      <w:r>
        <w:t xml:space="preserve">. In the fields of both mentoring and leadership, there have been recent calls for longitudinal research to </w:t>
      </w:r>
      <w:r w:rsidRPr="00447307">
        <w:t>capture dynamic processes over time, formulate multilevel models and theories, and address causality</w:t>
      </w:r>
      <w:r w:rsidR="007B000E">
        <w:t xml:space="preserve"> </w:t>
      </w:r>
      <w:r w:rsidR="00383495">
        <w:t>to</w:t>
      </w:r>
      <w:r>
        <w:t xml:space="preserve"> </w:t>
      </w:r>
      <w:r w:rsidRPr="00447307">
        <w:t xml:space="preserve">offer more complete explanations for various developmental trajectories throughout </w:t>
      </w:r>
      <w:r w:rsidR="007B000E">
        <w:t>the</w:t>
      </w:r>
      <w:r w:rsidRPr="00447307">
        <w:t xml:space="preserve"> life course </w:t>
      </w:r>
      <w:r w:rsidR="007B000E">
        <w:t>of</w:t>
      </w:r>
      <w:r w:rsidRPr="00447307">
        <w:t xml:space="preserve"> leaders (</w:t>
      </w:r>
      <w:r w:rsidR="007B000E" w:rsidRPr="00447307">
        <w:t>Allen et al., 2017</w:t>
      </w:r>
      <w:r w:rsidR="007B000E">
        <w:t xml:space="preserve">; </w:t>
      </w:r>
      <w:r w:rsidRPr="00447307">
        <w:t>Lord, 2019; Riggio &amp; Mumford, 2011).</w:t>
      </w:r>
      <w:r w:rsidR="007B000E">
        <w:t xml:space="preserve"> </w:t>
      </w:r>
      <w:r w:rsidR="007B000E" w:rsidRPr="007B000E">
        <w:t>Longitudinal methods will be necessary to fully understand the impact of developmental relationships on psychosocial development</w:t>
      </w:r>
      <w:r w:rsidR="005F3CE2">
        <w:t xml:space="preserve"> – </w:t>
      </w:r>
      <w:r w:rsidR="007B000E" w:rsidRPr="007B000E">
        <w:t>generativity</w:t>
      </w:r>
      <w:r w:rsidR="005F3CE2">
        <w:t xml:space="preserve"> </w:t>
      </w:r>
      <w:r w:rsidR="007B000E" w:rsidRPr="007B000E">
        <w:t>being a key component of that psychosocial developmental process.</w:t>
      </w:r>
    </w:p>
    <w:p w14:paraId="795C2B7C" w14:textId="15433F38" w:rsidR="007B000E" w:rsidRPr="007B000E" w:rsidRDefault="007B000E" w:rsidP="007B000E">
      <w:pPr>
        <w:spacing w:line="480" w:lineRule="auto"/>
        <w:ind w:firstLine="720"/>
      </w:pPr>
      <w:r w:rsidRPr="007B000E">
        <w:t xml:space="preserve">Because generativity is a function of a psychosocial maturation process </w:t>
      </w:r>
      <w:r>
        <w:t xml:space="preserve">and </w:t>
      </w:r>
      <w:r w:rsidRPr="007B000E">
        <w:t xml:space="preserve">not a skill or competency that is gained or learned, developmental relationships become a critical antecedent consideration. Not only will longitudinal methods, broadly, be necessary to confirm the direction of a developmental relationship’s influence on generativity, but also the nuances of particular </w:t>
      </w:r>
      <w:r w:rsidRPr="007B000E">
        <w:lastRenderedPageBreak/>
        <w:t xml:space="preserve">longitudinal methodological approaches will be needed to understand </w:t>
      </w:r>
      <w:r w:rsidRPr="007B000E">
        <w:rPr>
          <w:i/>
          <w:iCs/>
        </w:rPr>
        <w:t>how</w:t>
      </w:r>
      <w:r w:rsidRPr="007B000E">
        <w:t xml:space="preserve"> developmental relationships encourage generativity over time. For example, latent change score modeling might be necessary to understand how changes in aspects of the developmental relationship</w:t>
      </w:r>
      <w:r>
        <w:t xml:space="preserve">, </w:t>
      </w:r>
      <w:r w:rsidRPr="007B000E">
        <w:t>such as trust</w:t>
      </w:r>
      <w:r>
        <w:t xml:space="preserve">, </w:t>
      </w:r>
      <w:r w:rsidRPr="007B000E">
        <w:t>result in differen</w:t>
      </w:r>
      <w:r w:rsidR="00FF7FF0">
        <w:t xml:space="preserve">tial </w:t>
      </w:r>
      <w:r w:rsidRPr="007B000E">
        <w:t>rates of change in generativity levels.</w:t>
      </w:r>
    </w:p>
    <w:p w14:paraId="781283EE" w14:textId="223870AD" w:rsidR="007B000E" w:rsidRDefault="00FF7FF0" w:rsidP="00096315">
      <w:pPr>
        <w:spacing w:line="480" w:lineRule="auto"/>
        <w:jc w:val="center"/>
        <w:rPr>
          <w:b/>
          <w:bCs/>
        </w:rPr>
      </w:pPr>
      <w:r>
        <w:rPr>
          <w:b/>
          <w:bCs/>
        </w:rPr>
        <w:t>Conclusion</w:t>
      </w:r>
    </w:p>
    <w:p w14:paraId="21CFC3FE" w14:textId="3F5891EA" w:rsidR="00244BB1" w:rsidRPr="00244BB1" w:rsidRDefault="00244BB1" w:rsidP="00244BB1">
      <w:pPr>
        <w:spacing w:line="480" w:lineRule="auto"/>
      </w:pPr>
      <w:r>
        <w:tab/>
      </w:r>
      <w:r w:rsidRPr="00244BB1">
        <w:t>The sizeable leadership transfer (U.S. Bureau of Labor Statistics, 20</w:t>
      </w:r>
      <w:r w:rsidR="433DE196" w:rsidRPr="00244BB1">
        <w:t>23</w:t>
      </w:r>
      <w:r w:rsidRPr="00244BB1">
        <w:t xml:space="preserve">) in conjunction with the impending $75 trillion wealth transfer (Macke et al., 2011) between older and younger generations makes developing generativity, and therefore social responsibility (Rossi, 2001) and socially responsible leadership (Hastings &amp; Sunderman, 2019), a critical imperative among young adults. </w:t>
      </w:r>
      <w:r w:rsidR="000B2437">
        <w:t>Leadership practitioners, scholars, and educators</w:t>
      </w:r>
      <w:r w:rsidRPr="00244BB1">
        <w:t xml:space="preserve"> </w:t>
      </w:r>
      <w:r w:rsidR="000B2437">
        <w:t>are</w:t>
      </w:r>
      <w:r w:rsidRPr="00244BB1">
        <w:t xml:space="preserve"> well poised to influence strategic direction of </w:t>
      </w:r>
      <w:r w:rsidR="0080462D">
        <w:t>LD</w:t>
      </w:r>
      <w:r w:rsidRPr="00244BB1">
        <w:t xml:space="preserve"> programs to </w:t>
      </w:r>
      <w:r w:rsidR="000B2437">
        <w:t>encourage</w:t>
      </w:r>
      <w:r w:rsidR="000B2437" w:rsidRPr="000B2437">
        <w:t xml:space="preserve"> generativity </w:t>
      </w:r>
      <w:r w:rsidR="000B2437">
        <w:t xml:space="preserve">development via developmental relationships, thus </w:t>
      </w:r>
      <w:r w:rsidR="00AB3CE6">
        <w:t xml:space="preserve">better </w:t>
      </w:r>
      <w:r w:rsidR="000B2437">
        <w:t>preparing young adults</w:t>
      </w:r>
      <w:r w:rsidRPr="00244BB1">
        <w:t xml:space="preserve"> </w:t>
      </w:r>
      <w:r w:rsidR="00AB3CE6">
        <w:t>f</w:t>
      </w:r>
      <w:r w:rsidRPr="00244BB1">
        <w:t xml:space="preserve">or early career leadership roles where social responsibility and socially responsible leadership will be demanded of them. Establishing generativity growth as a stated and desired outcome of </w:t>
      </w:r>
      <w:r w:rsidR="0080462D">
        <w:t>LD</w:t>
      </w:r>
      <w:r w:rsidRPr="00244BB1">
        <w:t xml:space="preserve"> programs </w:t>
      </w:r>
      <w:r w:rsidR="00AB3CE6">
        <w:t>that involve mentoring, coaching, and/or advising</w:t>
      </w:r>
      <w:r w:rsidRPr="00244BB1">
        <w:t xml:space="preserve"> could not only improve precision in documenting the impact of </w:t>
      </w:r>
      <w:r w:rsidR="00AB3CE6">
        <w:t>these developmental relationships</w:t>
      </w:r>
      <w:r w:rsidRPr="00244BB1">
        <w:t xml:space="preserve"> but also in documenting </w:t>
      </w:r>
      <w:r w:rsidR="00AB3CE6">
        <w:t>the role of developmental relationships</w:t>
      </w:r>
      <w:r w:rsidRPr="00244BB1">
        <w:t xml:space="preserve"> in </w:t>
      </w:r>
      <w:r w:rsidR="00AB3CE6">
        <w:t>advancing</w:t>
      </w:r>
      <w:r w:rsidRPr="00244BB1">
        <w:t xml:space="preserve"> leadership capacity and social responsibility in young adults.</w:t>
      </w:r>
    </w:p>
    <w:p w14:paraId="38D942E4" w14:textId="77777777" w:rsidR="00A422CB" w:rsidRDefault="00A422CB">
      <w:r>
        <w:br w:type="page"/>
      </w:r>
    </w:p>
    <w:p w14:paraId="5F37FDC5" w14:textId="3505C166" w:rsidR="009403B9" w:rsidRPr="00A422CB" w:rsidRDefault="3911E409" w:rsidP="00096315">
      <w:pPr>
        <w:spacing w:line="480" w:lineRule="auto"/>
        <w:jc w:val="center"/>
      </w:pPr>
      <w:r w:rsidRPr="3911E409">
        <w:rPr>
          <w:b/>
          <w:bCs/>
        </w:rPr>
        <w:lastRenderedPageBreak/>
        <w:t>References</w:t>
      </w:r>
    </w:p>
    <w:p w14:paraId="265C8BDC" w14:textId="77777777" w:rsidR="003010E9" w:rsidRDefault="3911E409" w:rsidP="00A422CB">
      <w:pPr>
        <w:spacing w:line="480" w:lineRule="auto"/>
        <w:outlineLvl w:val="0"/>
      </w:pPr>
      <w:r>
        <w:t xml:space="preserve">Allen, T. D., &amp; Eby, L. T. (2010). Common bonds: An integrative view of </w:t>
      </w:r>
    </w:p>
    <w:p w14:paraId="670B211F" w14:textId="645AA652" w:rsidR="003010E9" w:rsidRDefault="3911E409" w:rsidP="3911E409">
      <w:pPr>
        <w:spacing w:line="480" w:lineRule="auto"/>
        <w:ind w:left="720"/>
        <w:outlineLvl w:val="0"/>
      </w:pPr>
      <w:r>
        <w:t xml:space="preserve">mentoring relationships. In T. D. Allen, &amp; L. T. Eby (Eds.), </w:t>
      </w:r>
      <w:r w:rsidRPr="3911E409">
        <w:rPr>
          <w:i/>
          <w:iCs/>
        </w:rPr>
        <w:t>The Blackwell handbook of mentoring: A multiple perspectives approach</w:t>
      </w:r>
      <w:r>
        <w:t xml:space="preserve"> (pp. 397-419). Blackwell Publishing. </w:t>
      </w:r>
    </w:p>
    <w:p w14:paraId="1C009CCE" w14:textId="6F8DAD9B" w:rsidR="003010E9" w:rsidRDefault="3911E409" w:rsidP="00A422CB">
      <w:pPr>
        <w:spacing w:line="480" w:lineRule="auto"/>
        <w:outlineLvl w:val="0"/>
      </w:pPr>
      <w:r>
        <w:t xml:space="preserve">Allen, T. D., Eby, L. T., Chao, G. T., &amp; Bauer, T. N. (2017). Taking stock of two relational </w:t>
      </w:r>
    </w:p>
    <w:p w14:paraId="5E8C3B50" w14:textId="77777777" w:rsidR="003010E9" w:rsidRDefault="003010E9" w:rsidP="003010E9">
      <w:pPr>
        <w:spacing w:line="480" w:lineRule="auto"/>
        <w:ind w:firstLine="720"/>
        <w:outlineLvl w:val="0"/>
      </w:pPr>
      <w:r w:rsidRPr="00FB2FA5">
        <w:t xml:space="preserve">aspects of organizational life: Tracing the history and shaping the future of socialization </w:t>
      </w:r>
    </w:p>
    <w:p w14:paraId="44CC59E8" w14:textId="77777777" w:rsidR="003010E9" w:rsidRDefault="003010E9" w:rsidP="003010E9">
      <w:pPr>
        <w:spacing w:line="480" w:lineRule="auto"/>
        <w:ind w:firstLine="720"/>
        <w:outlineLvl w:val="0"/>
      </w:pPr>
      <w:r w:rsidRPr="00FB2FA5">
        <w:t>and mentoring research. </w:t>
      </w:r>
      <w:r w:rsidRPr="00FB2FA5">
        <w:rPr>
          <w:i/>
          <w:iCs/>
        </w:rPr>
        <w:t>Journal of Applied Psychology</w:t>
      </w:r>
      <w:r w:rsidRPr="00FB2FA5">
        <w:t>, </w:t>
      </w:r>
      <w:r w:rsidRPr="00FB2FA5">
        <w:rPr>
          <w:i/>
          <w:iCs/>
        </w:rPr>
        <w:t>102</w:t>
      </w:r>
      <w:r w:rsidRPr="00FB2FA5">
        <w:t>(3), 324.</w:t>
      </w:r>
      <w:r>
        <w:t xml:space="preserve"> </w:t>
      </w:r>
    </w:p>
    <w:p w14:paraId="6EA1FE0F" w14:textId="5B68E9AB" w:rsidR="003010E9" w:rsidRDefault="3911E409" w:rsidP="003010E9">
      <w:pPr>
        <w:spacing w:line="480" w:lineRule="auto"/>
        <w:ind w:firstLine="720"/>
        <w:outlineLvl w:val="0"/>
      </w:pPr>
      <w:r>
        <w:t xml:space="preserve">http://dx.doi.org/10.1037/apl0000086 </w:t>
      </w:r>
    </w:p>
    <w:p w14:paraId="4CB20FA5" w14:textId="5A809331" w:rsidR="1E387E20" w:rsidRDefault="1E387E20" w:rsidP="32098E55">
      <w:r w:rsidRPr="32098E55">
        <w:rPr>
          <w:rFonts w:ascii="Times New Roman" w:eastAsia="Times New Roman" w:hAnsi="Times New Roman" w:cs="Times New Roman"/>
          <w:color w:val="000000" w:themeColor="text1"/>
        </w:rPr>
        <w:t>Azarow, J., Manley, M. J., Koopman, C., Platt-Ross, A., Butler, L. D., &amp; Spiegel, D. (2003).</w:t>
      </w:r>
    </w:p>
    <w:p w14:paraId="2F32D44B" w14:textId="60689EBB" w:rsidR="32098E55" w:rsidRDefault="32098E55" w:rsidP="32098E55">
      <w:pPr>
        <w:rPr>
          <w:rFonts w:ascii="Times New Roman" w:eastAsia="Times New Roman" w:hAnsi="Times New Roman" w:cs="Times New Roman"/>
          <w:color w:val="000000" w:themeColor="text1"/>
        </w:rPr>
      </w:pPr>
    </w:p>
    <w:p w14:paraId="48A0735C" w14:textId="08045520" w:rsidR="1E387E20" w:rsidRDefault="1E387E20" w:rsidP="32098E55">
      <w:pPr>
        <w:spacing w:line="480" w:lineRule="auto"/>
        <w:ind w:firstLine="720"/>
        <w:rPr>
          <w:rFonts w:ascii="Times New Roman" w:eastAsia="Times New Roman" w:hAnsi="Times New Roman" w:cs="Times New Roman"/>
          <w:color w:val="000000" w:themeColor="text1"/>
        </w:rPr>
      </w:pPr>
      <w:r w:rsidRPr="32098E55">
        <w:rPr>
          <w:rFonts w:ascii="Times New Roman" w:eastAsia="Times New Roman" w:hAnsi="Times New Roman" w:cs="Times New Roman"/>
          <w:color w:val="000000" w:themeColor="text1"/>
        </w:rPr>
        <w:t xml:space="preserve">American expressions of altruism and generativity in the aftermath of the September 11, </w:t>
      </w:r>
    </w:p>
    <w:p w14:paraId="0D990229" w14:textId="3FF5847C" w:rsidR="1E387E20" w:rsidRDefault="3911E409" w:rsidP="32098E55">
      <w:pPr>
        <w:spacing w:line="480" w:lineRule="auto"/>
        <w:ind w:firstLine="720"/>
        <w:rPr>
          <w:rFonts w:ascii="Times New Roman" w:eastAsia="Times New Roman" w:hAnsi="Times New Roman" w:cs="Times New Roman"/>
          <w:color w:val="000000" w:themeColor="text1"/>
        </w:rPr>
      </w:pPr>
      <w:r w:rsidRPr="3911E409">
        <w:rPr>
          <w:rFonts w:ascii="Times New Roman" w:eastAsia="Times New Roman" w:hAnsi="Times New Roman" w:cs="Times New Roman"/>
          <w:color w:val="000000" w:themeColor="text1"/>
        </w:rPr>
        <w:t>2001 terrorist attacks</w:t>
      </w:r>
      <w:r w:rsidRPr="3911E409">
        <w:rPr>
          <w:rFonts w:ascii="Times New Roman" w:eastAsia="Times New Roman" w:hAnsi="Times New Roman" w:cs="Times New Roman"/>
          <w:i/>
          <w:iCs/>
          <w:color w:val="000000" w:themeColor="text1"/>
        </w:rPr>
        <w:t>. Psicologia Politica, 27</w:t>
      </w:r>
      <w:r w:rsidRPr="3911E409">
        <w:rPr>
          <w:rFonts w:ascii="Times New Roman" w:eastAsia="Times New Roman" w:hAnsi="Times New Roman" w:cs="Times New Roman"/>
          <w:color w:val="000000" w:themeColor="text1"/>
        </w:rPr>
        <w:t>, 37–58.</w:t>
      </w:r>
    </w:p>
    <w:p w14:paraId="2626370A" w14:textId="1EFA8531" w:rsidR="7D9A8F56" w:rsidRDefault="7D9A8F56" w:rsidP="32098E55">
      <w:pPr>
        <w:spacing w:line="480" w:lineRule="auto"/>
      </w:pPr>
      <w:r w:rsidRPr="32098E55">
        <w:rPr>
          <w:rFonts w:ascii="Times New Roman" w:eastAsia="Times New Roman" w:hAnsi="Times New Roman" w:cs="Times New Roman"/>
          <w:color w:val="333333"/>
        </w:rPr>
        <w:t xml:space="preserve">Baxter Magolda M. B., &amp; King P. M. (2008). Toward reflective conversations: An advising </w:t>
      </w:r>
    </w:p>
    <w:p w14:paraId="5D6AAD87" w14:textId="07C5287B" w:rsidR="7D9A8F56" w:rsidRDefault="7D9A8F56" w:rsidP="32098E55">
      <w:pPr>
        <w:spacing w:line="480" w:lineRule="auto"/>
        <w:ind w:firstLine="720"/>
      </w:pPr>
      <w:r w:rsidRPr="32098E55">
        <w:rPr>
          <w:rFonts w:ascii="Times New Roman" w:eastAsia="Times New Roman" w:hAnsi="Times New Roman" w:cs="Times New Roman"/>
          <w:color w:val="333333"/>
        </w:rPr>
        <w:t xml:space="preserve">approach that promotes self-authorship. </w:t>
      </w:r>
      <w:r w:rsidRPr="32098E55">
        <w:rPr>
          <w:rFonts w:ascii="Times New Roman" w:eastAsia="Times New Roman" w:hAnsi="Times New Roman" w:cs="Times New Roman"/>
          <w:i/>
          <w:iCs/>
          <w:color w:val="333333"/>
        </w:rPr>
        <w:t>Peer Review</w:t>
      </w:r>
      <w:r w:rsidRPr="32098E55">
        <w:rPr>
          <w:rFonts w:ascii="Times New Roman" w:eastAsia="Times New Roman" w:hAnsi="Times New Roman" w:cs="Times New Roman"/>
          <w:color w:val="333333"/>
        </w:rPr>
        <w:t>, 10(1), 8–11.</w:t>
      </w:r>
    </w:p>
    <w:p w14:paraId="390DA79D" w14:textId="174C8F23" w:rsidR="009403B9" w:rsidRDefault="00A426A2" w:rsidP="006F23AE">
      <w:pPr>
        <w:spacing w:line="480" w:lineRule="auto"/>
      </w:pPr>
      <w:r w:rsidRPr="00A426A2">
        <w:t>Chan, T. M., &amp; Nakamura, J. (2016). A generativity track to life meaning in retirement: Ego-</w:t>
      </w:r>
    </w:p>
    <w:p w14:paraId="52FF4C35" w14:textId="77777777" w:rsidR="009403B9" w:rsidRDefault="00A426A2" w:rsidP="009403B9">
      <w:pPr>
        <w:spacing w:line="480" w:lineRule="auto"/>
        <w:ind w:firstLine="720"/>
        <w:rPr>
          <w:i/>
          <w:iCs/>
        </w:rPr>
      </w:pPr>
      <w:r w:rsidRPr="00A426A2">
        <w:t>integrity returns on past academic mentoring investments. </w:t>
      </w:r>
      <w:r w:rsidRPr="00A426A2">
        <w:rPr>
          <w:i/>
          <w:iCs/>
        </w:rPr>
        <w:t xml:space="preserve">Work, Aging and </w:t>
      </w:r>
    </w:p>
    <w:p w14:paraId="2E2FE3F2" w14:textId="645D020A" w:rsidR="006F23AE" w:rsidRDefault="3911E409" w:rsidP="009403B9">
      <w:pPr>
        <w:spacing w:line="480" w:lineRule="auto"/>
        <w:ind w:firstLine="720"/>
      </w:pPr>
      <w:r w:rsidRPr="3911E409">
        <w:rPr>
          <w:i/>
          <w:iCs/>
        </w:rPr>
        <w:t>Retirement</w:t>
      </w:r>
      <w:r>
        <w:t>, </w:t>
      </w:r>
      <w:r w:rsidRPr="3911E409">
        <w:rPr>
          <w:i/>
          <w:iCs/>
        </w:rPr>
        <w:t>2</w:t>
      </w:r>
      <w:r>
        <w:t>(1), 24-37. http://doi.org/10.1093/workar/wav025</w:t>
      </w:r>
    </w:p>
    <w:p w14:paraId="76B7ABD6" w14:textId="06AFB343" w:rsidR="6AEAFE4C" w:rsidRDefault="3911E409" w:rsidP="32098E55">
      <w:pPr>
        <w:spacing w:line="480" w:lineRule="auto"/>
      </w:pPr>
      <w:r w:rsidRPr="3911E409">
        <w:rPr>
          <w:rFonts w:ascii="Times New Roman" w:eastAsia="Times New Roman" w:hAnsi="Times New Roman" w:cs="Times New Roman"/>
          <w:color w:val="333333"/>
        </w:rPr>
        <w:t>Chrystal-Green, N. (2018). The role of advising in leadership development. In L. Hastings, &amp;</w:t>
      </w:r>
    </w:p>
    <w:p w14:paraId="4B4CEDDE" w14:textId="55D10085" w:rsidR="6AEAFE4C" w:rsidRDefault="3911E409" w:rsidP="32098E55">
      <w:pPr>
        <w:spacing w:line="480" w:lineRule="auto"/>
        <w:ind w:firstLine="720"/>
      </w:pPr>
      <w:r w:rsidRPr="3911E409">
        <w:rPr>
          <w:rFonts w:ascii="Times New Roman" w:eastAsia="Times New Roman" w:hAnsi="Times New Roman" w:cs="Times New Roman"/>
          <w:color w:val="333333"/>
        </w:rPr>
        <w:t xml:space="preserve">C. Kane (Eds.), </w:t>
      </w:r>
      <w:r w:rsidRPr="3911E409">
        <w:rPr>
          <w:rFonts w:ascii="Times New Roman" w:eastAsia="Times New Roman" w:hAnsi="Times New Roman" w:cs="Times New Roman"/>
          <w:i/>
          <w:iCs/>
          <w:color w:val="333333"/>
        </w:rPr>
        <w:t>New Directions for Student Leadership, N</w:t>
      </w:r>
      <w:r w:rsidRPr="3911E409">
        <w:rPr>
          <w:rFonts w:ascii="Times New Roman" w:eastAsia="Times New Roman" w:hAnsi="Times New Roman" w:cs="Times New Roman"/>
          <w:color w:val="333333"/>
        </w:rPr>
        <w:t>o. 158</w:t>
      </w:r>
      <w:r w:rsidRPr="3911E409">
        <w:rPr>
          <w:rFonts w:ascii="Times New Roman" w:eastAsia="Times New Roman" w:hAnsi="Times New Roman" w:cs="Times New Roman"/>
          <w:i/>
          <w:iCs/>
          <w:color w:val="333333"/>
        </w:rPr>
        <w:t xml:space="preserve"> (</w:t>
      </w:r>
      <w:r w:rsidRPr="3911E409">
        <w:rPr>
          <w:rFonts w:ascii="Times New Roman" w:eastAsia="Times New Roman" w:hAnsi="Times New Roman" w:cs="Times New Roman"/>
          <w:color w:val="333333"/>
        </w:rPr>
        <w:t xml:space="preserve">pp. 63 - 72). Wiley </w:t>
      </w:r>
    </w:p>
    <w:p w14:paraId="579B8BE5" w14:textId="14CB2CCE" w:rsidR="6AEAFE4C" w:rsidRDefault="6AEAFE4C" w:rsidP="32098E55">
      <w:pPr>
        <w:spacing w:line="480" w:lineRule="auto"/>
        <w:ind w:firstLine="720"/>
        <w:rPr>
          <w:rFonts w:ascii="Times New Roman" w:eastAsia="Times New Roman" w:hAnsi="Times New Roman" w:cs="Times New Roman"/>
          <w:color w:val="333333"/>
        </w:rPr>
      </w:pPr>
      <w:r w:rsidRPr="32098E55">
        <w:rPr>
          <w:rFonts w:ascii="Times New Roman" w:eastAsia="Times New Roman" w:hAnsi="Times New Roman" w:cs="Times New Roman"/>
          <w:color w:val="333333"/>
        </w:rPr>
        <w:t>Online Library.</w:t>
      </w:r>
    </w:p>
    <w:p w14:paraId="1374C9B0" w14:textId="77777777" w:rsidR="009C6382" w:rsidRDefault="009C6382" w:rsidP="009C6382">
      <w:pPr>
        <w:spacing w:line="480" w:lineRule="auto"/>
        <w:outlineLvl w:val="0"/>
        <w:rPr>
          <w:i/>
          <w:iCs/>
        </w:rPr>
      </w:pPr>
      <w:r w:rsidRPr="00F41907">
        <w:t xml:space="preserve">Crisp, G., &amp; Alvarado-Young, K. (2018). The role of mentoring in leadership development. </w:t>
      </w:r>
      <w:r w:rsidRPr="00F41907">
        <w:rPr>
          <w:i/>
          <w:iCs/>
        </w:rPr>
        <w:t xml:space="preserve">New </w:t>
      </w:r>
    </w:p>
    <w:p w14:paraId="4B08F9C5" w14:textId="4E0DD784" w:rsidR="009C6382" w:rsidRPr="009C6382" w:rsidRDefault="3911E409" w:rsidP="009C6382">
      <w:pPr>
        <w:spacing w:line="480" w:lineRule="auto"/>
        <w:ind w:firstLine="720"/>
        <w:outlineLvl w:val="0"/>
      </w:pPr>
      <w:r w:rsidRPr="3911E409">
        <w:rPr>
          <w:i/>
          <w:iCs/>
        </w:rPr>
        <w:t xml:space="preserve">Directions for Student Leadership, 158, </w:t>
      </w:r>
      <w:r>
        <w:t>37 – 47</w:t>
      </w:r>
      <w:r w:rsidRPr="3911E409">
        <w:rPr>
          <w:i/>
          <w:iCs/>
        </w:rPr>
        <w:t xml:space="preserve">. </w:t>
      </w:r>
      <w:r>
        <w:t>https://doi.org/10.1002/yd.20286</w:t>
      </w:r>
    </w:p>
    <w:p w14:paraId="49C8D080" w14:textId="7F21BC84" w:rsidR="6AEAFE4C" w:rsidRDefault="3911E409" w:rsidP="32098E55">
      <w:pPr>
        <w:spacing w:line="480" w:lineRule="auto"/>
        <w:rPr>
          <w:rFonts w:ascii="Times New Roman" w:eastAsia="Times New Roman" w:hAnsi="Times New Roman" w:cs="Times New Roman"/>
          <w:color w:val="333333"/>
        </w:rPr>
      </w:pPr>
      <w:r w:rsidRPr="3911E409">
        <w:rPr>
          <w:rFonts w:ascii="Times New Roman" w:eastAsia="Times New Roman" w:hAnsi="Times New Roman" w:cs="Times New Roman"/>
          <w:color w:val="333333"/>
        </w:rPr>
        <w:t xml:space="preserve">Crisp, G., &amp; Cruz I. (2009). Mentoring college students: A critical review of the literature </w:t>
      </w:r>
      <w:r w:rsidR="6AEAFE4C">
        <w:tab/>
      </w:r>
    </w:p>
    <w:p w14:paraId="3E5703D1" w14:textId="3688C903" w:rsidR="6AEAFE4C" w:rsidRDefault="6AEAFE4C" w:rsidP="32098E55">
      <w:pPr>
        <w:spacing w:line="480" w:lineRule="auto"/>
        <w:ind w:firstLine="720"/>
        <w:rPr>
          <w:rFonts w:ascii="Times New Roman" w:eastAsia="Times New Roman" w:hAnsi="Times New Roman" w:cs="Times New Roman"/>
          <w:color w:val="333333"/>
        </w:rPr>
      </w:pPr>
      <w:r w:rsidRPr="32098E55">
        <w:rPr>
          <w:rFonts w:ascii="Times New Roman" w:eastAsia="Times New Roman" w:hAnsi="Times New Roman" w:cs="Times New Roman"/>
          <w:color w:val="333333"/>
        </w:rPr>
        <w:t xml:space="preserve">between 1990 and 2007. </w:t>
      </w:r>
      <w:r w:rsidRPr="32098E55">
        <w:rPr>
          <w:rFonts w:ascii="Times New Roman" w:eastAsia="Times New Roman" w:hAnsi="Times New Roman" w:cs="Times New Roman"/>
          <w:i/>
          <w:iCs/>
          <w:color w:val="333333"/>
        </w:rPr>
        <w:t>Research in Higher Education</w:t>
      </w:r>
      <w:r w:rsidRPr="32098E55">
        <w:rPr>
          <w:rFonts w:ascii="Times New Roman" w:eastAsia="Times New Roman" w:hAnsi="Times New Roman" w:cs="Times New Roman"/>
          <w:color w:val="333333"/>
        </w:rPr>
        <w:t>, 50, 525–545.</w:t>
      </w:r>
    </w:p>
    <w:p w14:paraId="5C41851F" w14:textId="66D7073F" w:rsidR="17E1865A" w:rsidRDefault="17E1865A" w:rsidP="32098E55">
      <w:pPr>
        <w:spacing w:line="480" w:lineRule="auto"/>
      </w:pPr>
      <w:r w:rsidRPr="32098E55">
        <w:rPr>
          <w:rFonts w:ascii="Times New Roman" w:eastAsia="Times New Roman" w:hAnsi="Times New Roman" w:cs="Times New Roman"/>
          <w:color w:val="333333"/>
        </w:rPr>
        <w:lastRenderedPageBreak/>
        <w:t xml:space="preserve">Day, D. V., &amp; Liu, Z. (2019). What is wrong with leadership development and what might be </w:t>
      </w:r>
    </w:p>
    <w:p w14:paraId="4B50B0AE" w14:textId="33257F5A" w:rsidR="17E1865A" w:rsidRDefault="17E1865A" w:rsidP="32098E55">
      <w:pPr>
        <w:spacing w:line="480" w:lineRule="auto"/>
        <w:ind w:firstLine="720"/>
      </w:pPr>
      <w:r w:rsidRPr="32098E55">
        <w:rPr>
          <w:rFonts w:ascii="Times New Roman" w:eastAsia="Times New Roman" w:hAnsi="Times New Roman" w:cs="Times New Roman"/>
          <w:color w:val="333333"/>
        </w:rPr>
        <w:t>done about it? In R. E. Riggio (Ed.), What’s wrong with leadership? Improving</w:t>
      </w:r>
    </w:p>
    <w:p w14:paraId="3FA39A29" w14:textId="0411BDB2" w:rsidR="17E1865A" w:rsidRDefault="3911E409" w:rsidP="32098E55">
      <w:pPr>
        <w:spacing w:line="480" w:lineRule="auto"/>
        <w:ind w:firstLine="720"/>
      </w:pPr>
      <w:r w:rsidRPr="3911E409">
        <w:rPr>
          <w:rFonts w:ascii="Times New Roman" w:eastAsia="Times New Roman" w:hAnsi="Times New Roman" w:cs="Times New Roman"/>
          <w:color w:val="333333"/>
        </w:rPr>
        <w:t>leadership research and practice (pp. 226–240). Routledge.</w:t>
      </w:r>
    </w:p>
    <w:p w14:paraId="46860B3D" w14:textId="37A707DE" w:rsidR="009403B9" w:rsidRPr="003A02F9" w:rsidRDefault="3911E409" w:rsidP="009403B9">
      <w:pPr>
        <w:spacing w:line="480" w:lineRule="auto"/>
        <w:ind w:left="720" w:hanging="720"/>
        <w:rPr>
          <w:rFonts w:eastAsia="Times New Roman" w:cs="Times New Roman"/>
          <w:color w:val="000000" w:themeColor="text1"/>
        </w:rPr>
      </w:pPr>
      <w:r w:rsidRPr="3911E409">
        <w:rPr>
          <w:rFonts w:eastAsia="Times New Roman" w:cs="Times New Roman"/>
          <w:color w:val="000000" w:themeColor="text1"/>
        </w:rPr>
        <w:t xml:space="preserve">Doerwald, F., Zacher, H., Van Yperen, N. W., &amp; Scheibe, S. (2021). Generativity at work: A meta-analysis. </w:t>
      </w:r>
      <w:r w:rsidRPr="3911E409">
        <w:rPr>
          <w:rFonts w:eastAsia="Times New Roman" w:cs="Times New Roman"/>
          <w:i/>
          <w:iCs/>
          <w:color w:val="000000" w:themeColor="text1"/>
        </w:rPr>
        <w:t>Journal of Vocational Behavior</w:t>
      </w:r>
      <w:r w:rsidRPr="3911E409">
        <w:rPr>
          <w:rFonts w:eastAsia="Times New Roman" w:cs="Times New Roman"/>
          <w:color w:val="000000" w:themeColor="text1"/>
        </w:rPr>
        <w:t xml:space="preserve">, </w:t>
      </w:r>
      <w:r w:rsidRPr="3911E409">
        <w:rPr>
          <w:rFonts w:eastAsia="Times New Roman" w:cs="Times New Roman"/>
          <w:i/>
          <w:iCs/>
          <w:color w:val="000000" w:themeColor="text1"/>
        </w:rPr>
        <w:t>125</w:t>
      </w:r>
      <w:r w:rsidRPr="3911E409">
        <w:rPr>
          <w:rFonts w:eastAsia="Times New Roman" w:cs="Times New Roman"/>
          <w:color w:val="000000" w:themeColor="text1"/>
        </w:rPr>
        <w:t xml:space="preserve">, 103521. https://doi.org/10.1016/j.jvb.2020.103521. </w:t>
      </w:r>
    </w:p>
    <w:p w14:paraId="7DDC47C0" w14:textId="77777777" w:rsidR="00975551" w:rsidRDefault="00975551" w:rsidP="009C6382">
      <w:pPr>
        <w:spacing w:line="480" w:lineRule="auto"/>
        <w:rPr>
          <w:rFonts w:ascii="Times New Roman" w:hAnsi="Times New Roman" w:cs="Times New Roman"/>
          <w:i/>
          <w:iCs/>
          <w:noProof/>
        </w:rPr>
      </w:pPr>
      <w:r w:rsidRPr="00975551">
        <w:rPr>
          <w:rFonts w:ascii="Times New Roman" w:hAnsi="Times New Roman" w:cs="Times New Roman"/>
          <w:noProof/>
        </w:rPr>
        <w:t xml:space="preserve">Dugan, J. P., Patterson, S., Skendall, K. C., Lockhart, P., &amp; Associates. (2023). </w:t>
      </w:r>
      <w:r w:rsidRPr="00975551">
        <w:rPr>
          <w:rFonts w:ascii="Times New Roman" w:hAnsi="Times New Roman" w:cs="Times New Roman"/>
          <w:i/>
          <w:iCs/>
          <w:noProof/>
        </w:rPr>
        <w:t xml:space="preserve">The future of </w:t>
      </w:r>
    </w:p>
    <w:p w14:paraId="18ACEA5F" w14:textId="77777777" w:rsidR="00975551" w:rsidRDefault="00975551" w:rsidP="00975551">
      <w:pPr>
        <w:spacing w:line="480" w:lineRule="auto"/>
        <w:ind w:firstLine="720"/>
        <w:rPr>
          <w:rFonts w:ascii="Times New Roman" w:hAnsi="Times New Roman" w:cs="Times New Roman"/>
          <w:noProof/>
        </w:rPr>
      </w:pPr>
      <w:r w:rsidRPr="00975551">
        <w:rPr>
          <w:rFonts w:ascii="Times New Roman" w:hAnsi="Times New Roman" w:cs="Times New Roman"/>
          <w:i/>
          <w:iCs/>
          <w:noProof/>
        </w:rPr>
        <w:t>youth leadership development practice: A call to increase access and quality.</w:t>
      </w:r>
      <w:r w:rsidRPr="00975551">
        <w:rPr>
          <w:rFonts w:ascii="Times New Roman" w:hAnsi="Times New Roman" w:cs="Times New Roman"/>
          <w:noProof/>
        </w:rPr>
        <w:t xml:space="preserve"> Aspen </w:t>
      </w:r>
    </w:p>
    <w:p w14:paraId="2BDD7ABF" w14:textId="06B9959A" w:rsidR="00975551" w:rsidRDefault="00975551" w:rsidP="00975551">
      <w:pPr>
        <w:spacing w:line="480" w:lineRule="auto"/>
        <w:ind w:firstLine="720"/>
        <w:rPr>
          <w:rFonts w:ascii="Times New Roman" w:hAnsi="Times New Roman" w:cs="Times New Roman"/>
          <w:noProof/>
        </w:rPr>
      </w:pPr>
      <w:r w:rsidRPr="00975551">
        <w:rPr>
          <w:rFonts w:ascii="Times New Roman" w:hAnsi="Times New Roman" w:cs="Times New Roman"/>
          <w:noProof/>
        </w:rPr>
        <w:t>Institute.</w:t>
      </w:r>
    </w:p>
    <w:p w14:paraId="602C1A29" w14:textId="5947A04C" w:rsidR="009C6382" w:rsidRDefault="009C6382" w:rsidP="009C6382">
      <w:pPr>
        <w:spacing w:line="480" w:lineRule="auto"/>
        <w:rPr>
          <w:rFonts w:ascii="Times New Roman" w:hAnsi="Times New Roman" w:cs="Times New Roman"/>
          <w:i/>
          <w:iCs/>
          <w:noProof/>
        </w:rPr>
      </w:pPr>
      <w:r w:rsidRPr="008929EE">
        <w:rPr>
          <w:rFonts w:ascii="Times New Roman" w:hAnsi="Times New Roman" w:cs="Times New Roman"/>
          <w:noProof/>
        </w:rPr>
        <w:t xml:space="preserve">Dunkel, N. W., Schuh, J. H., &amp; Chrystal-Green, N. E. (2014). </w:t>
      </w:r>
      <w:r w:rsidRPr="008929EE">
        <w:rPr>
          <w:rFonts w:ascii="Times New Roman" w:hAnsi="Times New Roman" w:cs="Times New Roman"/>
          <w:i/>
          <w:iCs/>
          <w:noProof/>
        </w:rPr>
        <w:t xml:space="preserve">Advising </w:t>
      </w:r>
      <w:r>
        <w:rPr>
          <w:rFonts w:ascii="Times New Roman" w:hAnsi="Times New Roman" w:cs="Times New Roman"/>
          <w:i/>
          <w:iCs/>
          <w:noProof/>
        </w:rPr>
        <w:t>s</w:t>
      </w:r>
      <w:r w:rsidRPr="008929EE">
        <w:rPr>
          <w:rFonts w:ascii="Times New Roman" w:hAnsi="Times New Roman" w:cs="Times New Roman"/>
          <w:i/>
          <w:iCs/>
          <w:noProof/>
        </w:rPr>
        <w:t xml:space="preserve">tudent </w:t>
      </w:r>
      <w:r>
        <w:rPr>
          <w:rFonts w:ascii="Times New Roman" w:hAnsi="Times New Roman" w:cs="Times New Roman"/>
          <w:i/>
          <w:iCs/>
          <w:noProof/>
        </w:rPr>
        <w:t>g</w:t>
      </w:r>
      <w:r w:rsidRPr="008929EE">
        <w:rPr>
          <w:rFonts w:ascii="Times New Roman" w:hAnsi="Times New Roman" w:cs="Times New Roman"/>
          <w:i/>
          <w:iCs/>
          <w:noProof/>
        </w:rPr>
        <w:t xml:space="preserve">roups and </w:t>
      </w:r>
    </w:p>
    <w:p w14:paraId="36EA9392" w14:textId="4D80DFA4" w:rsidR="009C6382" w:rsidRPr="009C6382" w:rsidRDefault="009C6382" w:rsidP="009C6382">
      <w:pPr>
        <w:spacing w:line="480" w:lineRule="auto"/>
        <w:ind w:firstLine="720"/>
        <w:rPr>
          <w:rFonts w:ascii="Times New Roman" w:hAnsi="Times New Roman" w:cs="Times New Roman"/>
          <w:noProof/>
        </w:rPr>
      </w:pPr>
      <w:r>
        <w:rPr>
          <w:rFonts w:ascii="Times New Roman" w:hAnsi="Times New Roman" w:cs="Times New Roman"/>
          <w:i/>
          <w:iCs/>
          <w:noProof/>
        </w:rPr>
        <w:t>o</w:t>
      </w:r>
      <w:r w:rsidRPr="008929EE">
        <w:rPr>
          <w:rFonts w:ascii="Times New Roman" w:hAnsi="Times New Roman" w:cs="Times New Roman"/>
          <w:i/>
          <w:iCs/>
          <w:noProof/>
        </w:rPr>
        <w:t>rganizations</w:t>
      </w:r>
      <w:r w:rsidRPr="008929EE">
        <w:rPr>
          <w:rFonts w:ascii="Times New Roman" w:hAnsi="Times New Roman" w:cs="Times New Roman"/>
          <w:noProof/>
        </w:rPr>
        <w:t xml:space="preserve"> (</w:t>
      </w:r>
      <w:r>
        <w:rPr>
          <w:rFonts w:ascii="Times New Roman" w:hAnsi="Times New Roman" w:cs="Times New Roman"/>
          <w:noProof/>
        </w:rPr>
        <w:t>2nd</w:t>
      </w:r>
      <w:r w:rsidRPr="008929EE">
        <w:rPr>
          <w:rFonts w:ascii="Times New Roman" w:hAnsi="Times New Roman" w:cs="Times New Roman"/>
          <w:noProof/>
        </w:rPr>
        <w:t xml:space="preserve"> ed). Jossey-Bass.</w:t>
      </w:r>
    </w:p>
    <w:p w14:paraId="3F2B94D6" w14:textId="1DE59DF3" w:rsidR="32098E55" w:rsidRPr="009C6382" w:rsidRDefault="3911E409" w:rsidP="3911E409">
      <w:pPr>
        <w:spacing w:line="480" w:lineRule="auto"/>
        <w:ind w:left="720" w:hanging="720"/>
        <w:rPr>
          <w:rFonts w:cs="Times New Roman"/>
        </w:rPr>
      </w:pPr>
      <w:r w:rsidRPr="3911E409">
        <w:rPr>
          <w:rFonts w:cs="Times New Roman"/>
        </w:rPr>
        <w:t>Eby, L. T. D. T., Allen, T. D., Hoffman, B. J., Baranik, L. E., Sauer, J. B., Baldwin, S., ... &amp; Evans, S. C. (2013). An interdisciplinary meta-analysis of the potential antecedents, correlates, and consequences of protégé perceptions of mentoring. </w:t>
      </w:r>
      <w:r w:rsidRPr="3911E409">
        <w:rPr>
          <w:rFonts w:cs="Times New Roman"/>
          <w:i/>
          <w:iCs/>
        </w:rPr>
        <w:t>Psychological Bulletin</w:t>
      </w:r>
      <w:r w:rsidRPr="3911E409">
        <w:rPr>
          <w:rFonts w:cs="Times New Roman"/>
        </w:rPr>
        <w:t>, </w:t>
      </w:r>
      <w:r w:rsidRPr="3911E409">
        <w:rPr>
          <w:rFonts w:cs="Times New Roman"/>
          <w:i/>
          <w:iCs/>
        </w:rPr>
        <w:t>139</w:t>
      </w:r>
      <w:r w:rsidRPr="3911E409">
        <w:rPr>
          <w:rFonts w:cs="Times New Roman"/>
        </w:rPr>
        <w:t>(2), 441 - 476. https://doi.org/10.1037/a0029279</w:t>
      </w:r>
    </w:p>
    <w:p w14:paraId="09F4271A" w14:textId="77777777" w:rsidR="009C6382" w:rsidRPr="008929EE" w:rsidRDefault="009C6382" w:rsidP="009C6382">
      <w:pPr>
        <w:spacing w:line="480" w:lineRule="auto"/>
        <w:rPr>
          <w:rFonts w:ascii="Times New Roman" w:hAnsi="Times New Roman" w:cs="Times New Roman"/>
        </w:rPr>
      </w:pPr>
      <w:r w:rsidRPr="008929EE">
        <w:rPr>
          <w:rFonts w:ascii="Times New Roman" w:hAnsi="Times New Roman" w:cs="Times New Roman"/>
        </w:rPr>
        <w:t>Ely, K., Boyce, L. A., Nelson, J. K., Zaccaro, S. J., Hernez-Broome, G., &amp; Whyman, W. (2010).</w:t>
      </w:r>
    </w:p>
    <w:p w14:paraId="768CC75D" w14:textId="77777777" w:rsidR="009C6382" w:rsidRPr="008126A0" w:rsidRDefault="009C6382" w:rsidP="009C6382">
      <w:pPr>
        <w:spacing w:line="480" w:lineRule="auto"/>
        <w:ind w:firstLine="720"/>
        <w:outlineLvl w:val="0"/>
        <w:rPr>
          <w:rFonts w:ascii="Times New Roman" w:hAnsi="Times New Roman" w:cs="Times New Roman"/>
          <w:i/>
          <w:iCs/>
        </w:rPr>
      </w:pPr>
      <w:r w:rsidRPr="008929EE">
        <w:rPr>
          <w:rFonts w:ascii="Times New Roman" w:hAnsi="Times New Roman" w:cs="Times New Roman"/>
        </w:rPr>
        <w:t xml:space="preserve">Evaluating leadership coaching: A review and integrated framework. </w:t>
      </w:r>
      <w:r w:rsidRPr="00073B40">
        <w:rPr>
          <w:rFonts w:ascii="Times New Roman" w:hAnsi="Times New Roman" w:cs="Times New Roman"/>
          <w:i/>
          <w:iCs/>
        </w:rPr>
        <w:t xml:space="preserve">Leadership </w:t>
      </w:r>
    </w:p>
    <w:p w14:paraId="6875CADB" w14:textId="2DB2A8EB" w:rsidR="009C6382" w:rsidRPr="009C6382" w:rsidRDefault="009C6382" w:rsidP="009C6382">
      <w:pPr>
        <w:spacing w:line="480" w:lineRule="auto"/>
        <w:ind w:firstLine="720"/>
        <w:rPr>
          <w:rFonts w:ascii="Times New Roman" w:hAnsi="Times New Roman" w:cs="Times New Roman"/>
        </w:rPr>
      </w:pPr>
      <w:r w:rsidRPr="00073B40">
        <w:rPr>
          <w:rFonts w:ascii="Times New Roman" w:hAnsi="Times New Roman" w:cs="Times New Roman"/>
          <w:i/>
          <w:iCs/>
        </w:rPr>
        <w:t>Quarterly</w:t>
      </w:r>
      <w:r w:rsidRPr="008929EE">
        <w:rPr>
          <w:rFonts w:ascii="Times New Roman" w:hAnsi="Times New Roman" w:cs="Times New Roman"/>
        </w:rPr>
        <w:t xml:space="preserve">, </w:t>
      </w:r>
      <w:r w:rsidRPr="00073B40">
        <w:rPr>
          <w:rFonts w:ascii="Times New Roman" w:hAnsi="Times New Roman" w:cs="Times New Roman"/>
          <w:i/>
          <w:iCs/>
        </w:rPr>
        <w:t>21</w:t>
      </w:r>
      <w:r w:rsidRPr="008929EE">
        <w:rPr>
          <w:rFonts w:ascii="Times New Roman" w:hAnsi="Times New Roman" w:cs="Times New Roman"/>
        </w:rPr>
        <w:t>, 585 – 599.</w:t>
      </w:r>
    </w:p>
    <w:p w14:paraId="63929F16" w14:textId="364C9D91" w:rsidR="1598B3E3" w:rsidRDefault="1598B3E3" w:rsidP="32098E55">
      <w:pPr>
        <w:spacing w:line="480" w:lineRule="auto"/>
        <w:ind w:left="720" w:hanging="720"/>
        <w:rPr>
          <w:color w:val="000000" w:themeColor="text1"/>
        </w:rPr>
      </w:pPr>
      <w:r w:rsidRPr="32098E55">
        <w:rPr>
          <w:rFonts w:ascii="Times New Roman" w:eastAsia="Times New Roman" w:hAnsi="Times New Roman" w:cs="Times New Roman"/>
          <w:color w:val="000000" w:themeColor="text1"/>
        </w:rPr>
        <w:t xml:space="preserve">Erikson, E. H. (1950, 1963). </w:t>
      </w:r>
      <w:r w:rsidRPr="32098E55">
        <w:rPr>
          <w:rFonts w:ascii="Times New Roman" w:eastAsia="Times New Roman" w:hAnsi="Times New Roman" w:cs="Times New Roman"/>
          <w:i/>
          <w:iCs/>
          <w:color w:val="000000" w:themeColor="text1"/>
        </w:rPr>
        <w:t>Childhood and society</w:t>
      </w:r>
      <w:r w:rsidRPr="32098E55">
        <w:rPr>
          <w:rFonts w:ascii="Times New Roman" w:eastAsia="Times New Roman" w:hAnsi="Times New Roman" w:cs="Times New Roman"/>
          <w:color w:val="000000" w:themeColor="text1"/>
        </w:rPr>
        <w:t>. Norton.</w:t>
      </w:r>
    </w:p>
    <w:p w14:paraId="400D69B4" w14:textId="0CE94600" w:rsidR="009403B9" w:rsidRPr="003A02F9" w:rsidRDefault="3911E409" w:rsidP="009403B9">
      <w:pPr>
        <w:spacing w:line="480" w:lineRule="auto"/>
        <w:ind w:left="720" w:hanging="720"/>
        <w:rPr>
          <w:rFonts w:eastAsia="Times New Roman" w:cs="Times New Roman"/>
          <w:color w:val="000000" w:themeColor="text1"/>
        </w:rPr>
      </w:pPr>
      <w:r w:rsidRPr="3911E409">
        <w:rPr>
          <w:rFonts w:eastAsia="Times New Roman" w:cs="Times New Roman"/>
          <w:color w:val="000000" w:themeColor="text1"/>
        </w:rPr>
        <w:t xml:space="preserve">Hastings, L. J., Griesen, J. V., Hoover, R. E., Creswell, J. W., &amp; Dlugosh, L. L. (2015). Generativity in college students: Comparing and explaining the impact of mentoring. </w:t>
      </w:r>
      <w:r w:rsidRPr="3911E409">
        <w:rPr>
          <w:rFonts w:eastAsia="Times New Roman" w:cs="Times New Roman"/>
          <w:i/>
          <w:iCs/>
          <w:color w:val="000000" w:themeColor="text1"/>
        </w:rPr>
        <w:t>Journal of College Student Development, 56</w:t>
      </w:r>
      <w:r w:rsidRPr="3911E409">
        <w:rPr>
          <w:rFonts w:eastAsia="Times New Roman" w:cs="Times New Roman"/>
          <w:color w:val="000000" w:themeColor="text1"/>
        </w:rPr>
        <w:t xml:space="preserve">(7), 651-669. https://doi.org/10.1353/csd.2015.0070 </w:t>
      </w:r>
    </w:p>
    <w:p w14:paraId="58401707" w14:textId="77777777" w:rsidR="009C6382" w:rsidRDefault="009C6382" w:rsidP="009C6382">
      <w:pPr>
        <w:spacing w:line="480" w:lineRule="auto"/>
        <w:outlineLvl w:val="0"/>
      </w:pPr>
      <w:r w:rsidRPr="00F41907">
        <w:lastRenderedPageBreak/>
        <w:t xml:space="preserve">Hastings, L. J., &amp; Kane, C. (2018). Distinguishing mentoring, coaching, and </w:t>
      </w:r>
    </w:p>
    <w:p w14:paraId="2DC0437B" w14:textId="77777777" w:rsidR="009C6382" w:rsidRDefault="009C6382" w:rsidP="009C6382">
      <w:pPr>
        <w:spacing w:line="480" w:lineRule="auto"/>
        <w:ind w:firstLine="720"/>
        <w:outlineLvl w:val="0"/>
      </w:pPr>
      <w:r w:rsidRPr="00F41907">
        <w:t xml:space="preserve">advising for developing leadership. </w:t>
      </w:r>
      <w:r w:rsidRPr="00F41907">
        <w:rPr>
          <w:i/>
          <w:iCs/>
        </w:rPr>
        <w:t xml:space="preserve">New Directions for Student Leadership, 158, </w:t>
      </w:r>
      <w:r w:rsidRPr="00F41907">
        <w:t xml:space="preserve">9 – 22. </w:t>
      </w:r>
    </w:p>
    <w:p w14:paraId="767DEED3" w14:textId="6C2F35DB" w:rsidR="009C6382" w:rsidRPr="009C6382" w:rsidRDefault="3911E409" w:rsidP="009C6382">
      <w:pPr>
        <w:spacing w:line="480" w:lineRule="auto"/>
        <w:ind w:firstLine="720"/>
        <w:outlineLvl w:val="0"/>
      </w:pPr>
      <w:r>
        <w:t xml:space="preserve">https://doi.org/10.1002/yd.20284 </w:t>
      </w:r>
    </w:p>
    <w:p w14:paraId="5D643BE6" w14:textId="3040DE1F" w:rsidR="00096315" w:rsidRDefault="00096315" w:rsidP="002F54B1">
      <w:pPr>
        <w:spacing w:line="480" w:lineRule="auto"/>
        <w:ind w:left="720" w:hanging="720"/>
        <w:rPr>
          <w:rFonts w:cs="Times New Roman"/>
          <w:color w:val="000000" w:themeColor="text1"/>
        </w:rPr>
      </w:pPr>
      <w:r>
        <w:rPr>
          <w:rFonts w:cs="Times New Roman"/>
          <w:color w:val="000000" w:themeColor="text1"/>
        </w:rPr>
        <w:t xml:space="preserve">Hastings, L. J., &amp; Knopik, N. (2024). </w:t>
      </w:r>
      <w:r w:rsidRPr="002F54B1">
        <w:rPr>
          <w:rFonts w:cs="Times New Roman"/>
          <w:i/>
          <w:iCs/>
          <w:color w:val="000000" w:themeColor="text1"/>
        </w:rPr>
        <w:t>How developmental relationships change leadership learners: two-year study of the dimension, structure, and levels of change over time from leadership mentoring experiences</w:t>
      </w:r>
      <w:r w:rsidR="002F54B1">
        <w:rPr>
          <w:rFonts w:cs="Times New Roman"/>
          <w:color w:val="000000" w:themeColor="text1"/>
        </w:rPr>
        <w:t xml:space="preserve"> [Manuscript in preparation]. Department of Agricultural Leadership, Education, and Communication.</w:t>
      </w:r>
    </w:p>
    <w:p w14:paraId="047F791D" w14:textId="35642174" w:rsidR="003F170E" w:rsidRPr="003F170E" w:rsidRDefault="3911E409" w:rsidP="003F170E">
      <w:pPr>
        <w:spacing w:line="480" w:lineRule="auto"/>
        <w:ind w:left="720" w:hanging="720"/>
        <w:rPr>
          <w:rFonts w:cs="Times New Roman"/>
          <w:color w:val="000000" w:themeColor="text1"/>
        </w:rPr>
      </w:pPr>
      <w:r w:rsidRPr="3911E409">
        <w:rPr>
          <w:rFonts w:cs="Times New Roman"/>
          <w:color w:val="000000" w:themeColor="text1"/>
        </w:rPr>
        <w:t xml:space="preserve">Hastings, L. J., &amp; Sunderman, H. M. (2019). Generativity and socially responsible leadership among college student leaders who mentor. </w:t>
      </w:r>
      <w:r w:rsidRPr="3911E409">
        <w:rPr>
          <w:rFonts w:cs="Times New Roman"/>
          <w:i/>
          <w:iCs/>
          <w:color w:val="000000" w:themeColor="text1"/>
        </w:rPr>
        <w:t>Journal of Leadership Education, 18</w:t>
      </w:r>
      <w:r w:rsidRPr="3911E409">
        <w:rPr>
          <w:rFonts w:cs="Times New Roman"/>
          <w:color w:val="000000" w:themeColor="text1"/>
        </w:rPr>
        <w:t>(3), 1 – 14. https://doi.org/10.12806/V18/I3/R1</w:t>
      </w:r>
    </w:p>
    <w:p w14:paraId="28706388" w14:textId="3E9C5904" w:rsidR="6AD3723B" w:rsidRDefault="6AD3723B" w:rsidP="32098E55">
      <w:pPr>
        <w:spacing w:line="480" w:lineRule="auto"/>
      </w:pPr>
      <w:r w:rsidRPr="32098E55">
        <w:rPr>
          <w:rFonts w:ascii="Times New Roman" w:eastAsia="Times New Roman" w:hAnsi="Times New Roman" w:cs="Times New Roman"/>
          <w:color w:val="333333"/>
        </w:rPr>
        <w:t xml:space="preserve">Hastings, L. J., &amp; Sunderman, H. M. (2020). Evidence-based practices in mentorship for </w:t>
      </w:r>
    </w:p>
    <w:p w14:paraId="1E4CE3B8" w14:textId="4926A180" w:rsidR="6AD3723B" w:rsidRDefault="3911E409" w:rsidP="32098E55">
      <w:pPr>
        <w:spacing w:line="480" w:lineRule="auto"/>
        <w:ind w:firstLine="720"/>
      </w:pPr>
      <w:r w:rsidRPr="3911E409">
        <w:rPr>
          <w:rFonts w:ascii="Times New Roman" w:eastAsia="Times New Roman" w:hAnsi="Times New Roman" w:cs="Times New Roman"/>
          <w:color w:val="333333"/>
        </w:rPr>
        <w:t xml:space="preserve">leadership development. In M. D. Johnson, &amp; K. M. Soria (Eds.), </w:t>
      </w:r>
      <w:r w:rsidRPr="3911E409">
        <w:rPr>
          <w:rFonts w:ascii="Times New Roman" w:eastAsia="Times New Roman" w:hAnsi="Times New Roman" w:cs="Times New Roman"/>
          <w:i/>
          <w:iCs/>
          <w:color w:val="333333"/>
        </w:rPr>
        <w:t xml:space="preserve">New Directions for  </w:t>
      </w:r>
      <w:r w:rsidR="6AD3723B">
        <w:tab/>
      </w:r>
      <w:r w:rsidRPr="3911E409">
        <w:rPr>
          <w:rFonts w:ascii="Times New Roman" w:eastAsia="Times New Roman" w:hAnsi="Times New Roman" w:cs="Times New Roman"/>
          <w:i/>
          <w:iCs/>
          <w:color w:val="333333"/>
        </w:rPr>
        <w:t>Student Leadership</w:t>
      </w:r>
      <w:r w:rsidRPr="3911E409">
        <w:rPr>
          <w:rFonts w:ascii="Times New Roman" w:eastAsia="Times New Roman" w:hAnsi="Times New Roman" w:cs="Times New Roman"/>
          <w:color w:val="333333"/>
        </w:rPr>
        <w:t>, No. 168, (pp. 75–84). Wiley.</w:t>
      </w:r>
    </w:p>
    <w:p w14:paraId="5D9D0797" w14:textId="5DB63101" w:rsidR="009403B9" w:rsidRDefault="009403B9" w:rsidP="009403B9">
      <w:pPr>
        <w:spacing w:line="480" w:lineRule="auto"/>
        <w:ind w:left="720" w:hanging="720"/>
        <w:rPr>
          <w:rFonts w:cs="Times New Roman"/>
          <w:color w:val="000000" w:themeColor="text1"/>
        </w:rPr>
      </w:pPr>
      <w:r w:rsidRPr="008B357F">
        <w:rPr>
          <w:rFonts w:cs="Times New Roman"/>
          <w:color w:val="000000" w:themeColor="text1"/>
        </w:rPr>
        <w:t xml:space="preserve">Hastings, L. J., Sunderman, H. M., &amp; Sellon, A. E. (2023). Applying methodological innovation to explore generativity development among collegiate leadership mentors. </w:t>
      </w:r>
      <w:r w:rsidRPr="008B357F">
        <w:rPr>
          <w:rFonts w:cs="Times New Roman"/>
          <w:i/>
          <w:iCs/>
          <w:color w:val="000000" w:themeColor="text1"/>
        </w:rPr>
        <w:t>International Journal of Mentoring and Coaching in Education</w:t>
      </w:r>
      <w:r w:rsidRPr="008B357F">
        <w:rPr>
          <w:rFonts w:cs="Times New Roman"/>
          <w:color w:val="000000" w:themeColor="text1"/>
        </w:rPr>
        <w:t>. Advance online publication.</w:t>
      </w:r>
    </w:p>
    <w:p w14:paraId="25E0D681" w14:textId="71DBFD7F" w:rsidR="00B94EBF" w:rsidRDefault="3911E409" w:rsidP="32098E55">
      <w:pPr>
        <w:spacing w:line="480" w:lineRule="auto"/>
        <w:ind w:left="720" w:hanging="720"/>
        <w:rPr>
          <w:color w:val="000000" w:themeColor="text1"/>
        </w:rPr>
      </w:pPr>
      <w:r w:rsidRPr="3911E409">
        <w:rPr>
          <w:color w:val="000000" w:themeColor="text1"/>
        </w:rPr>
        <w:t xml:space="preserve">Hastings, L. J., &amp; Mpore, V. (2023, October). </w:t>
      </w:r>
      <w:r w:rsidRPr="3911E409">
        <w:rPr>
          <w:i/>
          <w:iCs/>
          <w:color w:val="000000" w:themeColor="text1"/>
        </w:rPr>
        <w:t xml:space="preserve">Exploring dimension, structure, and levels of change over time from leadership mentoring experiences. </w:t>
      </w:r>
      <w:r w:rsidRPr="3911E409">
        <w:rPr>
          <w:color w:val="000000" w:themeColor="text1"/>
        </w:rPr>
        <w:t>Paper presentation for the 25</w:t>
      </w:r>
      <w:r w:rsidRPr="3911E409">
        <w:rPr>
          <w:color w:val="000000" w:themeColor="text1"/>
          <w:vertAlign w:val="superscript"/>
        </w:rPr>
        <w:t>th</w:t>
      </w:r>
      <w:r w:rsidRPr="3911E409">
        <w:rPr>
          <w:color w:val="000000" w:themeColor="text1"/>
        </w:rPr>
        <w:t xml:space="preserve"> Annual International Leadership Association Conference.</w:t>
      </w:r>
      <w:r w:rsidRPr="3911E409">
        <w:rPr>
          <w:b/>
          <w:bCs/>
          <w:color w:val="000000" w:themeColor="text1"/>
        </w:rPr>
        <w:t xml:space="preserve"> </w:t>
      </w:r>
      <w:r w:rsidRPr="3911E409">
        <w:rPr>
          <w:color w:val="000000" w:themeColor="text1"/>
        </w:rPr>
        <w:t xml:space="preserve">Vancouver, BC. </w:t>
      </w:r>
    </w:p>
    <w:p w14:paraId="33D739C8" w14:textId="399E3FC9" w:rsidR="6844BABC" w:rsidRDefault="6844BABC" w:rsidP="32098E55">
      <w:pPr>
        <w:spacing w:line="480" w:lineRule="auto"/>
      </w:pPr>
      <w:r w:rsidRPr="32098E55">
        <w:rPr>
          <w:rFonts w:ascii="Times New Roman" w:eastAsia="Times New Roman" w:hAnsi="Times New Roman" w:cs="Times New Roman"/>
          <w:color w:val="000000" w:themeColor="text1"/>
        </w:rPr>
        <w:t>Huta, V., &amp; Zuroff, D. C. (2007). Examining mediators of the link between generativity and</w:t>
      </w:r>
    </w:p>
    <w:p w14:paraId="08AFE36F" w14:textId="4CCA4D7F" w:rsidR="6844BABC" w:rsidRDefault="3911E409" w:rsidP="32098E55">
      <w:pPr>
        <w:spacing w:line="480" w:lineRule="auto"/>
        <w:ind w:firstLine="720"/>
      </w:pPr>
      <w:r w:rsidRPr="3911E409">
        <w:rPr>
          <w:rFonts w:ascii="Times New Roman" w:eastAsia="Times New Roman" w:hAnsi="Times New Roman" w:cs="Times New Roman"/>
          <w:color w:val="000000" w:themeColor="text1"/>
        </w:rPr>
        <w:t xml:space="preserve">well-being. </w:t>
      </w:r>
      <w:r w:rsidRPr="3911E409">
        <w:rPr>
          <w:rFonts w:ascii="Times New Roman" w:eastAsia="Times New Roman" w:hAnsi="Times New Roman" w:cs="Times New Roman"/>
          <w:i/>
          <w:iCs/>
          <w:color w:val="000000" w:themeColor="text1"/>
        </w:rPr>
        <w:t>Journal of Adult Development, 14</w:t>
      </w:r>
      <w:r w:rsidRPr="3911E409">
        <w:rPr>
          <w:rFonts w:ascii="Times New Roman" w:eastAsia="Times New Roman" w:hAnsi="Times New Roman" w:cs="Times New Roman"/>
          <w:color w:val="000000" w:themeColor="text1"/>
        </w:rPr>
        <w:t>, 47–52.</w:t>
      </w:r>
    </w:p>
    <w:p w14:paraId="718A0D57" w14:textId="175212CA" w:rsidR="6844BABC" w:rsidRDefault="6844BABC" w:rsidP="32098E55">
      <w:pPr>
        <w:spacing w:line="480" w:lineRule="auto"/>
      </w:pPr>
      <w:r w:rsidRPr="32098E55">
        <w:rPr>
          <w:rFonts w:ascii="Times New Roman" w:eastAsia="Times New Roman" w:hAnsi="Times New Roman" w:cs="Times New Roman"/>
          <w:color w:val="000000" w:themeColor="text1"/>
        </w:rPr>
        <w:t xml:space="preserve">Imada, T. (2004). Generativity as social responsibility: The role of generations in societal </w:t>
      </w:r>
    </w:p>
    <w:p w14:paraId="5818AA10" w14:textId="3E5521D4" w:rsidR="6844BABC" w:rsidRDefault="6844BABC" w:rsidP="32098E55">
      <w:pPr>
        <w:spacing w:line="480" w:lineRule="auto"/>
        <w:ind w:firstLine="720"/>
      </w:pPr>
      <w:r w:rsidRPr="32098E55">
        <w:rPr>
          <w:rFonts w:ascii="Times New Roman" w:eastAsia="Times New Roman" w:hAnsi="Times New Roman" w:cs="Times New Roman"/>
          <w:color w:val="000000" w:themeColor="text1"/>
        </w:rPr>
        <w:t xml:space="preserve">continuity and change. In E. de St. Aubin, D. P. McAdams, &amp; T-C. Kim (Eds.), </w:t>
      </w:r>
      <w:r w:rsidRPr="32098E55">
        <w:rPr>
          <w:rFonts w:ascii="Times New Roman" w:eastAsia="Times New Roman" w:hAnsi="Times New Roman" w:cs="Times New Roman"/>
          <w:i/>
          <w:iCs/>
          <w:color w:val="000000" w:themeColor="text1"/>
        </w:rPr>
        <w:t xml:space="preserve">The </w:t>
      </w:r>
    </w:p>
    <w:p w14:paraId="3B735B35" w14:textId="4C495E8F" w:rsidR="00383495" w:rsidRDefault="3911E409" w:rsidP="00383495">
      <w:pPr>
        <w:spacing w:line="480" w:lineRule="auto"/>
        <w:ind w:firstLine="720"/>
        <w:rPr>
          <w:rFonts w:ascii="Times New Roman" w:eastAsia="Times New Roman" w:hAnsi="Times New Roman" w:cs="Times New Roman"/>
          <w:color w:val="000000" w:themeColor="text1"/>
        </w:rPr>
      </w:pPr>
      <w:r w:rsidRPr="3911E409">
        <w:rPr>
          <w:rFonts w:ascii="Times New Roman" w:eastAsia="Times New Roman" w:hAnsi="Times New Roman" w:cs="Times New Roman"/>
          <w:i/>
          <w:iCs/>
          <w:color w:val="000000" w:themeColor="text1"/>
        </w:rPr>
        <w:lastRenderedPageBreak/>
        <w:t>generative society: Caring for future generations</w:t>
      </w:r>
      <w:r w:rsidRPr="3911E409">
        <w:rPr>
          <w:rFonts w:ascii="Times New Roman" w:eastAsia="Times New Roman" w:hAnsi="Times New Roman" w:cs="Times New Roman"/>
          <w:color w:val="000000" w:themeColor="text1"/>
        </w:rPr>
        <w:t xml:space="preserve"> (pp. 15–32). American Psychological </w:t>
      </w:r>
    </w:p>
    <w:p w14:paraId="1CD3CDF1" w14:textId="61314D67" w:rsidR="6844BABC" w:rsidRDefault="6844BABC" w:rsidP="00383495">
      <w:pPr>
        <w:spacing w:line="480" w:lineRule="auto"/>
        <w:ind w:firstLine="720"/>
        <w:rPr>
          <w:rFonts w:ascii="Times New Roman" w:eastAsia="Times New Roman" w:hAnsi="Times New Roman" w:cs="Times New Roman"/>
          <w:i/>
          <w:iCs/>
          <w:color w:val="000000" w:themeColor="text1"/>
        </w:rPr>
      </w:pPr>
      <w:r w:rsidRPr="32098E55">
        <w:rPr>
          <w:rFonts w:ascii="Times New Roman" w:eastAsia="Times New Roman" w:hAnsi="Times New Roman" w:cs="Times New Roman"/>
          <w:color w:val="000000" w:themeColor="text1"/>
        </w:rPr>
        <w:t>Association.</w:t>
      </w:r>
    </w:p>
    <w:p w14:paraId="62BECDC8" w14:textId="77777777" w:rsidR="009403B9" w:rsidRPr="003A02F9" w:rsidRDefault="009403B9" w:rsidP="009403B9">
      <w:pPr>
        <w:spacing w:line="480" w:lineRule="auto"/>
        <w:ind w:left="720" w:hanging="720"/>
        <w:rPr>
          <w:rFonts w:eastAsia="Times New Roman" w:cs="Times New Roman"/>
          <w:color w:val="000000" w:themeColor="text1"/>
        </w:rPr>
      </w:pPr>
      <w:r w:rsidRPr="003A02F9">
        <w:rPr>
          <w:rFonts w:eastAsia="Times New Roman" w:cs="Times New Roman"/>
          <w:color w:val="000000" w:themeColor="text1"/>
        </w:rPr>
        <w:t xml:space="preserve">Komives, S. R., Longerbeam, S. D., Owen, J. E., Mainella, F. C., &amp; Osteen, L. (2006). A leadership identity development model: Applications from a grounded theory. </w:t>
      </w:r>
      <w:r w:rsidRPr="003A02F9">
        <w:rPr>
          <w:rFonts w:eastAsia="Times New Roman" w:cs="Times New Roman"/>
          <w:i/>
          <w:color w:val="000000" w:themeColor="text1"/>
        </w:rPr>
        <w:t>Journal of College Student Development, 47</w:t>
      </w:r>
      <w:r w:rsidRPr="003A02F9">
        <w:rPr>
          <w:rFonts w:eastAsia="Times New Roman" w:cs="Times New Roman"/>
          <w:color w:val="000000" w:themeColor="text1"/>
        </w:rPr>
        <w:t xml:space="preserve">(4), 401-418. </w:t>
      </w:r>
    </w:p>
    <w:p w14:paraId="31C38539" w14:textId="77777777" w:rsidR="009C6382" w:rsidRPr="008929EE" w:rsidRDefault="009C6382" w:rsidP="009C6382">
      <w:pPr>
        <w:spacing w:line="480" w:lineRule="auto"/>
        <w:rPr>
          <w:rFonts w:ascii="Times New Roman" w:hAnsi="Times New Roman" w:cs="Times New Roman"/>
        </w:rPr>
      </w:pPr>
      <w:r w:rsidRPr="008929EE">
        <w:rPr>
          <w:rFonts w:ascii="Times New Roman" w:hAnsi="Times New Roman" w:cs="Times New Roman"/>
        </w:rPr>
        <w:t>Korotov, K. (2016). Coaching for leadership development. In T. Bachkirova, G. Spence, &amp; D.</w:t>
      </w:r>
    </w:p>
    <w:p w14:paraId="34DAA3F0" w14:textId="3DED7E48" w:rsidR="009C6382" w:rsidRPr="008929EE" w:rsidRDefault="3911E409" w:rsidP="009C6382">
      <w:pPr>
        <w:spacing w:line="480" w:lineRule="auto"/>
        <w:ind w:firstLine="720"/>
        <w:rPr>
          <w:rFonts w:ascii="Times New Roman" w:hAnsi="Times New Roman" w:cs="Times New Roman"/>
        </w:rPr>
      </w:pPr>
      <w:r w:rsidRPr="3911E409">
        <w:rPr>
          <w:rFonts w:ascii="Times New Roman" w:hAnsi="Times New Roman" w:cs="Times New Roman"/>
        </w:rPr>
        <w:t xml:space="preserve">Drake (Eds.), </w:t>
      </w:r>
      <w:r w:rsidRPr="3911E409">
        <w:rPr>
          <w:rFonts w:ascii="Times New Roman" w:hAnsi="Times New Roman" w:cs="Times New Roman"/>
          <w:i/>
          <w:iCs/>
        </w:rPr>
        <w:t xml:space="preserve">The SAGE handbook of coaching </w:t>
      </w:r>
      <w:r w:rsidRPr="3911E409">
        <w:rPr>
          <w:rFonts w:ascii="Times New Roman" w:hAnsi="Times New Roman" w:cs="Times New Roman"/>
        </w:rPr>
        <w:t>(pp. 139–158). Sage.</w:t>
      </w:r>
    </w:p>
    <w:p w14:paraId="42D00BEC" w14:textId="77777777" w:rsidR="009C6382" w:rsidRPr="008929EE" w:rsidRDefault="009C6382" w:rsidP="009C6382">
      <w:pPr>
        <w:spacing w:line="480" w:lineRule="auto"/>
        <w:rPr>
          <w:rFonts w:ascii="Times New Roman" w:hAnsi="Times New Roman" w:cs="Times New Roman"/>
        </w:rPr>
      </w:pPr>
      <w:r w:rsidRPr="008929EE">
        <w:rPr>
          <w:rFonts w:ascii="Times New Roman" w:hAnsi="Times New Roman" w:cs="Times New Roman"/>
        </w:rPr>
        <w:t xml:space="preserve">Ladegard, G., &amp; Gjerde, S. (2014). Leadership coaching, leader role-efficacy, and trust in </w:t>
      </w:r>
    </w:p>
    <w:p w14:paraId="42663F7D" w14:textId="77777777" w:rsidR="009C6382" w:rsidRPr="008929EE" w:rsidRDefault="009C6382" w:rsidP="009C6382">
      <w:pPr>
        <w:spacing w:line="480" w:lineRule="auto"/>
        <w:rPr>
          <w:rFonts w:ascii="Times New Roman" w:hAnsi="Times New Roman" w:cs="Times New Roman"/>
        </w:rPr>
      </w:pPr>
      <w:r w:rsidRPr="008929EE">
        <w:rPr>
          <w:rFonts w:ascii="Times New Roman" w:hAnsi="Times New Roman" w:cs="Times New Roman"/>
        </w:rPr>
        <w:tab/>
        <w:t xml:space="preserve">subordinates: A mixed methods study assessing leadership coaching as a leadership </w:t>
      </w:r>
    </w:p>
    <w:p w14:paraId="0743092C" w14:textId="47C82648" w:rsidR="009C6382" w:rsidRPr="009C6382" w:rsidRDefault="009C6382" w:rsidP="009C6382">
      <w:pPr>
        <w:spacing w:line="480" w:lineRule="auto"/>
        <w:rPr>
          <w:rFonts w:ascii="Times New Roman" w:hAnsi="Times New Roman" w:cs="Times New Roman"/>
        </w:rPr>
      </w:pPr>
      <w:r w:rsidRPr="008929EE">
        <w:rPr>
          <w:rFonts w:ascii="Times New Roman" w:hAnsi="Times New Roman" w:cs="Times New Roman"/>
        </w:rPr>
        <w:tab/>
        <w:t xml:space="preserve">development tool. </w:t>
      </w:r>
      <w:r w:rsidRPr="00073B40">
        <w:rPr>
          <w:rFonts w:ascii="Times New Roman" w:hAnsi="Times New Roman" w:cs="Times New Roman"/>
          <w:i/>
          <w:iCs/>
        </w:rPr>
        <w:t>Leadership Quarterly, 25</w:t>
      </w:r>
      <w:r w:rsidRPr="008929EE">
        <w:rPr>
          <w:rFonts w:ascii="Times New Roman" w:hAnsi="Times New Roman" w:cs="Times New Roman"/>
        </w:rPr>
        <w:t>, 631 – 646.</w:t>
      </w:r>
    </w:p>
    <w:p w14:paraId="31072A83" w14:textId="6B59BA3D" w:rsidR="009403B9" w:rsidRPr="003A02F9" w:rsidRDefault="3911E409" w:rsidP="00985EDD">
      <w:pPr>
        <w:spacing w:line="480" w:lineRule="auto"/>
        <w:ind w:left="720" w:hanging="720"/>
        <w:rPr>
          <w:rFonts w:eastAsia="Times New Roman" w:cs="Times New Roman"/>
          <w:color w:val="000000" w:themeColor="text1"/>
        </w:rPr>
      </w:pPr>
      <w:r w:rsidRPr="3911E409">
        <w:rPr>
          <w:rFonts w:eastAsia="Times New Roman" w:cs="Times New Roman"/>
          <w:color w:val="000000" w:themeColor="text1"/>
        </w:rPr>
        <w:t xml:space="preserve">Lawford, H., Pratt, M. W., Hunsberger, B., &amp; Pancer, S. M. (2005). Adolescent generativity: A longitudinal study of two possible contexts for learning concern for future generations. </w:t>
      </w:r>
      <w:r w:rsidRPr="3911E409">
        <w:rPr>
          <w:rFonts w:eastAsia="Times New Roman" w:cs="Times New Roman"/>
          <w:i/>
          <w:iCs/>
          <w:color w:val="000000" w:themeColor="text1"/>
        </w:rPr>
        <w:t>Journal of Research on Adolescence, 15</w:t>
      </w:r>
      <w:r w:rsidRPr="3911E409">
        <w:rPr>
          <w:rFonts w:eastAsia="Times New Roman" w:cs="Times New Roman"/>
          <w:color w:val="000000" w:themeColor="text1"/>
        </w:rPr>
        <w:t>(3), 261–273.</w:t>
      </w:r>
    </w:p>
    <w:p w14:paraId="78944838" w14:textId="6C4AAC05" w:rsidR="32098E55" w:rsidRPr="009C6382" w:rsidRDefault="3911E409" w:rsidP="009C6382">
      <w:pPr>
        <w:spacing w:line="480" w:lineRule="auto"/>
        <w:ind w:left="720" w:hanging="720"/>
        <w:rPr>
          <w:color w:val="000000" w:themeColor="text1"/>
        </w:rPr>
      </w:pPr>
      <w:r w:rsidRPr="3911E409">
        <w:rPr>
          <w:color w:val="191B0E"/>
        </w:rPr>
        <w:t xml:space="preserve">Lawford, H. L., &amp; Ramey, H. L. (2015). Now I know I can make a difference: Generativity and activity engagement as predictors of meaning making in adolescents and emerging adults. </w:t>
      </w:r>
      <w:r w:rsidRPr="3911E409">
        <w:rPr>
          <w:i/>
          <w:iCs/>
          <w:color w:val="191B0E"/>
        </w:rPr>
        <w:t>Developmental Psychology, 51</w:t>
      </w:r>
      <w:r w:rsidRPr="3911E409">
        <w:rPr>
          <w:color w:val="191B0E"/>
        </w:rPr>
        <w:t>(10), 1395-1406.</w:t>
      </w:r>
      <w:hyperlink r:id="rId5">
        <w:r w:rsidRPr="3911E409">
          <w:rPr>
            <w:color w:val="000000" w:themeColor="text1"/>
          </w:rPr>
          <w:t xml:space="preserve"> </w:t>
        </w:r>
      </w:hyperlink>
      <w:r>
        <w:t xml:space="preserve">http://dx.doi.org/10.1037/dev0000034 </w:t>
      </w:r>
    </w:p>
    <w:p w14:paraId="4D1F4710" w14:textId="77777777" w:rsidR="00342A1D" w:rsidRDefault="00342A1D" w:rsidP="00342A1D">
      <w:pPr>
        <w:spacing w:line="480" w:lineRule="auto"/>
        <w:outlineLvl w:val="0"/>
        <w:rPr>
          <w:i/>
          <w:iCs/>
        </w:rPr>
      </w:pPr>
      <w:r w:rsidRPr="00342A1D">
        <w:t>Lord, R. G. (2019). Leadership and the medium of time. In R. E. Riggio (Ed.), </w:t>
      </w:r>
      <w:r w:rsidRPr="00342A1D">
        <w:rPr>
          <w:i/>
          <w:iCs/>
        </w:rPr>
        <w:t xml:space="preserve">What’s wrong </w:t>
      </w:r>
    </w:p>
    <w:p w14:paraId="34C73526" w14:textId="5D13FD26" w:rsidR="00342A1D" w:rsidRPr="00342A1D" w:rsidRDefault="00342A1D" w:rsidP="00342A1D">
      <w:pPr>
        <w:spacing w:line="480" w:lineRule="auto"/>
        <w:ind w:firstLine="720"/>
        <w:outlineLvl w:val="0"/>
      </w:pPr>
      <w:r w:rsidRPr="32098E55">
        <w:rPr>
          <w:i/>
          <w:iCs/>
        </w:rPr>
        <w:t>with leadership? Improving leadership research and practice</w:t>
      </w:r>
      <w:r>
        <w:t xml:space="preserve"> (pp. 150 – 172). </w:t>
      </w:r>
    </w:p>
    <w:p w14:paraId="6FBD52D2" w14:textId="7A8D27AE" w:rsidR="00342A1D" w:rsidRPr="00342A1D" w:rsidRDefault="00342A1D" w:rsidP="00342A1D">
      <w:pPr>
        <w:spacing w:line="480" w:lineRule="auto"/>
        <w:ind w:firstLine="720"/>
        <w:outlineLvl w:val="0"/>
      </w:pPr>
      <w:r>
        <w:t>Routledge.</w:t>
      </w:r>
    </w:p>
    <w:p w14:paraId="2686D235" w14:textId="07B63162" w:rsidR="003F170E" w:rsidRDefault="3911E409" w:rsidP="003F170E">
      <w:pPr>
        <w:spacing w:line="480" w:lineRule="auto"/>
        <w:ind w:left="720" w:hanging="720"/>
        <w:rPr>
          <w:rFonts w:cs="Times New Roman"/>
          <w:color w:val="000000" w:themeColor="text1"/>
        </w:rPr>
      </w:pPr>
      <w:r w:rsidRPr="3911E409">
        <w:rPr>
          <w:rFonts w:cs="Times New Roman"/>
          <w:color w:val="000000" w:themeColor="text1"/>
        </w:rPr>
        <w:t xml:space="preserve">Macke, D., Markley, D., &amp; Binerer, A. (2011). </w:t>
      </w:r>
      <w:r w:rsidRPr="3911E409">
        <w:rPr>
          <w:rFonts w:cs="Times New Roman"/>
          <w:i/>
          <w:iCs/>
          <w:color w:val="000000" w:themeColor="text1"/>
        </w:rPr>
        <w:t>Transfer of wealth in rural America</w:t>
      </w:r>
      <w:r w:rsidRPr="3911E409">
        <w:rPr>
          <w:rFonts w:cs="Times New Roman"/>
          <w:color w:val="000000" w:themeColor="text1"/>
        </w:rPr>
        <w:t xml:space="preserve">. Center for Rural Entrepreneurship. </w:t>
      </w:r>
    </w:p>
    <w:p w14:paraId="7AF6AB71" w14:textId="5D4B22E7" w:rsidR="009403B9" w:rsidRDefault="009403B9" w:rsidP="009403B9">
      <w:pPr>
        <w:spacing w:line="480" w:lineRule="auto"/>
        <w:ind w:left="720" w:hanging="720"/>
        <w:rPr>
          <w:rFonts w:cs="Times New Roman"/>
          <w:color w:val="000000" w:themeColor="text1"/>
        </w:rPr>
      </w:pPr>
      <w:r w:rsidRPr="003A02F9">
        <w:rPr>
          <w:rFonts w:cs="Times New Roman"/>
          <w:color w:val="000000" w:themeColor="text1"/>
        </w:rPr>
        <w:t xml:space="preserve">McAdams, D. P. (2001). Generativity in midlife. In M. Lachman (Ed.), </w:t>
      </w:r>
      <w:r w:rsidRPr="003A02F9">
        <w:rPr>
          <w:rFonts w:cs="Times New Roman"/>
          <w:i/>
          <w:color w:val="000000" w:themeColor="text1"/>
        </w:rPr>
        <w:t>Handbook of midlife development</w:t>
      </w:r>
      <w:r w:rsidRPr="003A02F9">
        <w:rPr>
          <w:rFonts w:cs="Times New Roman"/>
          <w:color w:val="000000" w:themeColor="text1"/>
        </w:rPr>
        <w:t xml:space="preserve"> (pp. 395 – 443). Wiley.</w:t>
      </w:r>
    </w:p>
    <w:p w14:paraId="517BB129" w14:textId="73912FED" w:rsidR="005A67C9" w:rsidRPr="005A67C9" w:rsidRDefault="3911E409" w:rsidP="3911E409">
      <w:pPr>
        <w:spacing w:line="480" w:lineRule="auto"/>
        <w:ind w:left="720" w:hanging="720"/>
      </w:pPr>
      <w:r w:rsidRPr="3911E409">
        <w:rPr>
          <w:color w:val="000000" w:themeColor="text1"/>
        </w:rPr>
        <w:lastRenderedPageBreak/>
        <w:t>Musselman, R., &amp; Becker, W. J. (2023). Resolving the double-edged sword of mentoring: the role of generativity. </w:t>
      </w:r>
      <w:r w:rsidRPr="3911E409">
        <w:rPr>
          <w:i/>
          <w:iCs/>
          <w:color w:val="000000" w:themeColor="text1"/>
        </w:rPr>
        <w:t>Journal of Managerial Psychology</w:t>
      </w:r>
      <w:r w:rsidRPr="3911E409">
        <w:rPr>
          <w:color w:val="000000" w:themeColor="text1"/>
        </w:rPr>
        <w:t xml:space="preserve">. </w:t>
      </w:r>
      <w:r>
        <w:t>https://doi.org/10.1108/JMP-01-2023-0067</w:t>
      </w:r>
    </w:p>
    <w:p w14:paraId="396E98A7" w14:textId="77777777" w:rsidR="009C6382" w:rsidRPr="008126A0" w:rsidRDefault="009C6382" w:rsidP="009C6382">
      <w:pPr>
        <w:spacing w:line="480" w:lineRule="auto"/>
        <w:rPr>
          <w:rFonts w:ascii="Times New Roman" w:hAnsi="Times New Roman" w:cs="Times New Roman"/>
          <w:i/>
          <w:iCs/>
        </w:rPr>
      </w:pPr>
      <w:r w:rsidRPr="008929EE">
        <w:rPr>
          <w:rFonts w:ascii="Times New Roman" w:hAnsi="Times New Roman" w:cs="Times New Roman"/>
        </w:rPr>
        <w:t xml:space="preserve">Passmore, J. (Ed.). (2015). </w:t>
      </w:r>
      <w:r w:rsidRPr="00073B40">
        <w:rPr>
          <w:rFonts w:ascii="Times New Roman" w:hAnsi="Times New Roman" w:cs="Times New Roman"/>
          <w:i/>
          <w:iCs/>
        </w:rPr>
        <w:t xml:space="preserve">Leadership coaching: Working with leaders to </w:t>
      </w:r>
      <w:r w:rsidRPr="00F10887">
        <w:rPr>
          <w:rFonts w:ascii="Times New Roman" w:hAnsi="Times New Roman" w:cs="Times New Roman"/>
          <w:i/>
          <w:iCs/>
        </w:rPr>
        <w:t>develop elite</w:t>
      </w:r>
    </w:p>
    <w:p w14:paraId="50F3F0ED" w14:textId="17E50A28" w:rsidR="009C6382" w:rsidRPr="009C6382" w:rsidRDefault="009C6382" w:rsidP="009C6382">
      <w:pPr>
        <w:spacing w:line="480" w:lineRule="auto"/>
        <w:ind w:firstLine="720"/>
        <w:rPr>
          <w:rFonts w:ascii="Times New Roman" w:hAnsi="Times New Roman" w:cs="Times New Roman"/>
        </w:rPr>
      </w:pPr>
      <w:r w:rsidRPr="00073B40">
        <w:rPr>
          <w:rFonts w:ascii="Times New Roman" w:hAnsi="Times New Roman" w:cs="Times New Roman"/>
          <w:i/>
          <w:iCs/>
        </w:rPr>
        <w:t xml:space="preserve">performance </w:t>
      </w:r>
      <w:r w:rsidRPr="008929EE">
        <w:rPr>
          <w:rFonts w:ascii="Times New Roman" w:hAnsi="Times New Roman" w:cs="Times New Roman"/>
        </w:rPr>
        <w:t>(2</w:t>
      </w:r>
      <w:r w:rsidRPr="008929EE">
        <w:rPr>
          <w:rFonts w:ascii="Times New Roman" w:hAnsi="Times New Roman" w:cs="Times New Roman"/>
          <w:vertAlign w:val="superscript"/>
        </w:rPr>
        <w:t>nd</w:t>
      </w:r>
      <w:r w:rsidRPr="008929EE">
        <w:rPr>
          <w:rFonts w:ascii="Times New Roman" w:hAnsi="Times New Roman" w:cs="Times New Roman"/>
        </w:rPr>
        <w:t xml:space="preserve"> ed.). Kogan Page.</w:t>
      </w:r>
    </w:p>
    <w:p w14:paraId="2478387C" w14:textId="29B13CCC" w:rsidR="009403B9" w:rsidRPr="003A02F9" w:rsidRDefault="3911E409" w:rsidP="3911E409">
      <w:pPr>
        <w:spacing w:line="480" w:lineRule="auto"/>
        <w:ind w:left="720" w:hanging="720"/>
        <w:rPr>
          <w:i/>
          <w:iCs/>
          <w:color w:val="000000" w:themeColor="text1"/>
        </w:rPr>
      </w:pPr>
      <w:r w:rsidRPr="3911E409">
        <w:rPr>
          <w:color w:val="000000" w:themeColor="text1"/>
        </w:rPr>
        <w:t xml:space="preserve">Peterson, B. E., &amp; Stewart, A. J. (1993). Generativity and social motives in young adults. </w:t>
      </w:r>
      <w:r w:rsidRPr="3911E409">
        <w:rPr>
          <w:i/>
          <w:iCs/>
          <w:color w:val="000000" w:themeColor="text1"/>
        </w:rPr>
        <w:t xml:space="preserve">Journal of Personality and Social Psychology, 65, </w:t>
      </w:r>
      <w:r w:rsidRPr="3911E409">
        <w:rPr>
          <w:color w:val="000000" w:themeColor="text1"/>
        </w:rPr>
        <w:t>186–198.</w:t>
      </w:r>
    </w:p>
    <w:p w14:paraId="331BAE16" w14:textId="77777777" w:rsidR="009403B9" w:rsidRPr="003A02F9" w:rsidRDefault="009403B9" w:rsidP="009403B9">
      <w:pPr>
        <w:spacing w:line="480" w:lineRule="auto"/>
        <w:ind w:left="720" w:hanging="720"/>
        <w:rPr>
          <w:color w:val="000000" w:themeColor="text1"/>
          <w:shd w:val="clear" w:color="auto" w:fill="FFFFFF"/>
        </w:rPr>
      </w:pPr>
      <w:r w:rsidRPr="003A02F9">
        <w:rPr>
          <w:color w:val="000000" w:themeColor="text1"/>
          <w:shd w:val="clear" w:color="auto" w:fill="FFFFFF"/>
        </w:rPr>
        <w:t xml:space="preserve">Peterson, B. E., &amp; Stewart, A. J. (1996). Antecedents and contexts of generativity motivation at midlife. </w:t>
      </w:r>
      <w:r w:rsidRPr="003A02F9">
        <w:rPr>
          <w:i/>
          <w:iCs/>
          <w:color w:val="000000" w:themeColor="text1"/>
          <w:shd w:val="clear" w:color="auto" w:fill="FFFFFF"/>
        </w:rPr>
        <w:t xml:space="preserve">Psychology and Aging, 11, </w:t>
      </w:r>
      <w:r w:rsidRPr="003A02F9">
        <w:rPr>
          <w:color w:val="000000" w:themeColor="text1"/>
          <w:shd w:val="clear" w:color="auto" w:fill="FFFFFF"/>
        </w:rPr>
        <w:t>21-33.</w:t>
      </w:r>
    </w:p>
    <w:p w14:paraId="19BD6BFE" w14:textId="1155212C" w:rsidR="00342A1D" w:rsidRDefault="00342A1D" w:rsidP="00342A1D">
      <w:pPr>
        <w:spacing w:line="480" w:lineRule="auto"/>
        <w:ind w:left="720" w:hanging="720"/>
        <w:rPr>
          <w:color w:val="000000" w:themeColor="text1"/>
        </w:rPr>
      </w:pPr>
      <w:r w:rsidRPr="00342A1D">
        <w:rPr>
          <w:color w:val="000000" w:themeColor="text1"/>
        </w:rPr>
        <w:t xml:space="preserve">Riggio, R. E., &amp; Mumford, M. D. (2011). Introduction to the special issue: Longitudinal studies </w:t>
      </w:r>
    </w:p>
    <w:p w14:paraId="45D6387E" w14:textId="4372EC4A" w:rsidR="00342A1D" w:rsidRDefault="3911E409" w:rsidP="00342A1D">
      <w:pPr>
        <w:spacing w:line="480" w:lineRule="auto"/>
        <w:ind w:firstLine="720"/>
        <w:rPr>
          <w:color w:val="000000" w:themeColor="text1"/>
        </w:rPr>
      </w:pPr>
      <w:r w:rsidRPr="3911E409">
        <w:rPr>
          <w:color w:val="000000" w:themeColor="text1"/>
        </w:rPr>
        <w:t xml:space="preserve">of leadership development. </w:t>
      </w:r>
      <w:r w:rsidRPr="3911E409">
        <w:rPr>
          <w:i/>
          <w:iCs/>
          <w:color w:val="000000" w:themeColor="text1"/>
        </w:rPr>
        <w:t>The Leadership Quarterly, 22</w:t>
      </w:r>
      <w:r w:rsidRPr="3911E409">
        <w:rPr>
          <w:color w:val="000000" w:themeColor="text1"/>
        </w:rPr>
        <w:t>(3), 453–456.</w:t>
      </w:r>
    </w:p>
    <w:p w14:paraId="0CF11F9B" w14:textId="3DA60C7D" w:rsidR="508D384D" w:rsidRDefault="3911E409" w:rsidP="32098E55">
      <w:pPr>
        <w:spacing w:line="480" w:lineRule="auto"/>
      </w:pPr>
      <w:r w:rsidRPr="3911E409">
        <w:rPr>
          <w:rFonts w:ascii="Times New Roman" w:eastAsia="Times New Roman" w:hAnsi="Times New Roman" w:cs="Times New Roman"/>
          <w:color w:val="000000" w:themeColor="text1"/>
        </w:rPr>
        <w:t>Rossi, A. S. (2001). Domains and dimensions of social responsibility: A sociodemographic</w:t>
      </w:r>
    </w:p>
    <w:p w14:paraId="02EC6BB2" w14:textId="2ADFA1B6" w:rsidR="508D384D" w:rsidRDefault="3911E409" w:rsidP="32098E55">
      <w:pPr>
        <w:spacing w:line="480" w:lineRule="auto"/>
        <w:ind w:firstLine="720"/>
      </w:pPr>
      <w:r w:rsidRPr="3911E409">
        <w:rPr>
          <w:rFonts w:ascii="Times New Roman" w:eastAsia="Times New Roman" w:hAnsi="Times New Roman" w:cs="Times New Roman"/>
          <w:color w:val="000000" w:themeColor="text1"/>
        </w:rPr>
        <w:t xml:space="preserve">Profile   In A. S. Rossi (Ed.), </w:t>
      </w:r>
      <w:r w:rsidRPr="3911E409">
        <w:rPr>
          <w:rFonts w:ascii="Times New Roman" w:eastAsia="Times New Roman" w:hAnsi="Times New Roman" w:cs="Times New Roman"/>
          <w:i/>
          <w:iCs/>
          <w:color w:val="000000" w:themeColor="text1"/>
        </w:rPr>
        <w:t xml:space="preserve">Caring and doing for others: Social </w:t>
      </w:r>
    </w:p>
    <w:p w14:paraId="6B536BFF" w14:textId="604B79E3" w:rsidR="508D384D" w:rsidRDefault="3911E409" w:rsidP="3911E409">
      <w:pPr>
        <w:spacing w:line="480" w:lineRule="auto"/>
        <w:ind w:firstLine="720"/>
        <w:rPr>
          <w:rFonts w:ascii="Times New Roman" w:eastAsia="Times New Roman" w:hAnsi="Times New Roman" w:cs="Times New Roman"/>
          <w:color w:val="000000" w:themeColor="text1"/>
        </w:rPr>
      </w:pPr>
      <w:r w:rsidRPr="3911E409">
        <w:rPr>
          <w:rFonts w:ascii="Times New Roman" w:eastAsia="Times New Roman" w:hAnsi="Times New Roman" w:cs="Times New Roman"/>
          <w:i/>
          <w:iCs/>
          <w:color w:val="000000" w:themeColor="text1"/>
        </w:rPr>
        <w:t xml:space="preserve">responsibility in the domains of family, work, and community </w:t>
      </w:r>
      <w:r w:rsidRPr="3911E409">
        <w:rPr>
          <w:rFonts w:ascii="Times New Roman" w:eastAsia="Times New Roman" w:hAnsi="Times New Roman" w:cs="Times New Roman"/>
          <w:color w:val="000000" w:themeColor="text1"/>
        </w:rPr>
        <w:t>(pp. 97-134)</w:t>
      </w:r>
      <w:r w:rsidRPr="3911E409">
        <w:rPr>
          <w:rFonts w:ascii="Times New Roman" w:eastAsia="Times New Roman" w:hAnsi="Times New Roman" w:cs="Times New Roman"/>
          <w:i/>
          <w:iCs/>
          <w:color w:val="000000" w:themeColor="text1"/>
        </w:rPr>
        <w:t xml:space="preserve">. </w:t>
      </w:r>
      <w:r w:rsidRPr="3911E409">
        <w:rPr>
          <w:rFonts w:ascii="Times New Roman" w:eastAsia="Times New Roman" w:hAnsi="Times New Roman" w:cs="Times New Roman"/>
          <w:color w:val="000000" w:themeColor="text1"/>
        </w:rPr>
        <w:t>University of</w:t>
      </w:r>
    </w:p>
    <w:p w14:paraId="056D4D77" w14:textId="11D59842" w:rsidR="32098E55" w:rsidRDefault="508D384D" w:rsidP="009C6382">
      <w:pPr>
        <w:spacing w:line="480" w:lineRule="auto"/>
        <w:ind w:firstLine="720"/>
      </w:pPr>
      <w:r w:rsidRPr="32098E55">
        <w:rPr>
          <w:rFonts w:ascii="Times New Roman" w:eastAsia="Times New Roman" w:hAnsi="Times New Roman" w:cs="Times New Roman"/>
          <w:color w:val="000000" w:themeColor="text1"/>
        </w:rPr>
        <w:t>Chicago Press.</w:t>
      </w:r>
    </w:p>
    <w:p w14:paraId="47F24EF2" w14:textId="0F251569" w:rsidR="009403B9" w:rsidRPr="003A02F9" w:rsidRDefault="3911E409" w:rsidP="009403B9">
      <w:pPr>
        <w:spacing w:line="480" w:lineRule="auto"/>
        <w:ind w:left="720" w:hanging="720"/>
        <w:rPr>
          <w:color w:val="000000" w:themeColor="text1"/>
        </w:rPr>
      </w:pPr>
      <w:r w:rsidRPr="3911E409">
        <w:rPr>
          <w:color w:val="000000" w:themeColor="text1"/>
        </w:rPr>
        <w:t xml:space="preserve">Ryff, C. D., &amp; Heincke, S. G. (1983). Subjective organization of personality in adulthood and aging. </w:t>
      </w:r>
      <w:r w:rsidRPr="3911E409">
        <w:rPr>
          <w:i/>
          <w:iCs/>
          <w:color w:val="000000" w:themeColor="text1"/>
        </w:rPr>
        <w:t>Journal of Personality and Social Psychology, 44</w:t>
      </w:r>
      <w:r w:rsidRPr="3911E409">
        <w:rPr>
          <w:color w:val="000000" w:themeColor="text1"/>
        </w:rPr>
        <w:t>(4)</w:t>
      </w:r>
      <w:r w:rsidRPr="3911E409">
        <w:rPr>
          <w:i/>
          <w:iCs/>
          <w:color w:val="000000" w:themeColor="text1"/>
        </w:rPr>
        <w:t xml:space="preserve">, </w:t>
      </w:r>
      <w:r w:rsidRPr="3911E409">
        <w:rPr>
          <w:color w:val="000000" w:themeColor="text1"/>
        </w:rPr>
        <w:t>807–816.</w:t>
      </w:r>
    </w:p>
    <w:p w14:paraId="61D01B71" w14:textId="1333DF9C" w:rsidR="32098E55" w:rsidRPr="00E44C19" w:rsidRDefault="3911E409" w:rsidP="00E44C19">
      <w:pPr>
        <w:spacing w:line="480" w:lineRule="auto"/>
        <w:ind w:left="720" w:hanging="720"/>
        <w:rPr>
          <w:rFonts w:cs="Times New Roman"/>
          <w:color w:val="000000" w:themeColor="text1"/>
        </w:rPr>
      </w:pPr>
      <w:r w:rsidRPr="3911E409">
        <w:rPr>
          <w:rFonts w:cs="Times New Roman"/>
          <w:color w:val="000000" w:themeColor="text1"/>
        </w:rPr>
        <w:t xml:space="preserve">Sunderman, H. M., &amp; Hastings, L. J. (2023). Generativity development among college students who mentor: A sequential multi-method quantitative study. </w:t>
      </w:r>
      <w:r w:rsidRPr="3911E409">
        <w:rPr>
          <w:rFonts w:cs="Times New Roman"/>
          <w:i/>
          <w:iCs/>
          <w:color w:val="000000" w:themeColor="text1"/>
        </w:rPr>
        <w:t>International Journal of Mentoring and Coaching in Education, 12</w:t>
      </w:r>
      <w:r w:rsidRPr="3911E409">
        <w:rPr>
          <w:rFonts w:cs="Times New Roman"/>
          <w:color w:val="000000" w:themeColor="text1"/>
        </w:rPr>
        <w:t xml:space="preserve">(2), 145–161. https://doi.org/10.1108/IJMCE-07-2022-0055  </w:t>
      </w:r>
    </w:p>
    <w:p w14:paraId="223EF760" w14:textId="77777777" w:rsidR="00033127" w:rsidRDefault="3911E409" w:rsidP="00033127">
      <w:pPr>
        <w:spacing w:line="480" w:lineRule="auto"/>
        <w:rPr>
          <w:rFonts w:ascii="Times New Roman" w:eastAsia="Times New Roman" w:hAnsi="Times New Roman" w:cs="Times New Roman"/>
          <w:color w:val="000000" w:themeColor="text1"/>
        </w:rPr>
      </w:pPr>
      <w:r w:rsidRPr="3911E409">
        <w:rPr>
          <w:rFonts w:ascii="Times New Roman" w:eastAsia="Times New Roman" w:hAnsi="Times New Roman" w:cs="Times New Roman"/>
          <w:color w:val="000000" w:themeColor="text1"/>
        </w:rPr>
        <w:t xml:space="preserve">Ting, S., &amp; Riddle, D. (2006). A framework for leadership development coaching. In S. Ting, &amp; </w:t>
      </w:r>
    </w:p>
    <w:p w14:paraId="2AB71F89" w14:textId="77777777" w:rsidR="00033127" w:rsidRDefault="3911E409" w:rsidP="00033127">
      <w:pPr>
        <w:spacing w:line="480" w:lineRule="auto"/>
        <w:ind w:firstLine="720"/>
        <w:rPr>
          <w:rFonts w:ascii="Times New Roman" w:eastAsia="Times New Roman" w:hAnsi="Times New Roman" w:cs="Times New Roman"/>
          <w:color w:val="000000" w:themeColor="text1"/>
        </w:rPr>
      </w:pPr>
      <w:r w:rsidRPr="3911E409">
        <w:rPr>
          <w:rFonts w:ascii="Times New Roman" w:eastAsia="Times New Roman" w:hAnsi="Times New Roman" w:cs="Times New Roman"/>
          <w:color w:val="000000" w:themeColor="text1"/>
        </w:rPr>
        <w:t xml:space="preserve">P. </w:t>
      </w:r>
      <w:r w:rsidR="00282664">
        <w:rPr>
          <w:rFonts w:ascii="Times New Roman" w:eastAsia="Times New Roman" w:hAnsi="Times New Roman" w:cs="Times New Roman"/>
          <w:color w:val="000000" w:themeColor="text1"/>
        </w:rPr>
        <w:t>Tsisco (Eds.),</w:t>
      </w:r>
      <w:r w:rsidR="00282664" w:rsidRPr="00282664">
        <w:rPr>
          <w:rFonts w:ascii="Times New Roman" w:eastAsia="Times New Roman" w:hAnsi="Times New Roman" w:cs="Times New Roman"/>
          <w:color w:val="000000" w:themeColor="text1"/>
        </w:rPr>
        <w:t> </w:t>
      </w:r>
      <w:r w:rsidR="00282664" w:rsidRPr="00282664">
        <w:rPr>
          <w:rFonts w:ascii="Times New Roman" w:eastAsia="Times New Roman" w:hAnsi="Times New Roman" w:cs="Times New Roman"/>
          <w:i/>
          <w:iCs/>
          <w:color w:val="000000" w:themeColor="text1"/>
        </w:rPr>
        <w:t>The CCL handbook of coaching: A guide for the leader coach</w:t>
      </w:r>
      <w:r w:rsidR="00282664" w:rsidRPr="00282664">
        <w:rPr>
          <w:rFonts w:ascii="Times New Roman" w:eastAsia="Times New Roman" w:hAnsi="Times New Roman" w:cs="Times New Roman"/>
          <w:color w:val="000000" w:themeColor="text1"/>
        </w:rPr>
        <w:t>, 34-62.</w:t>
      </w:r>
      <w:r w:rsidR="00282664">
        <w:rPr>
          <w:rFonts w:ascii="Times New Roman" w:eastAsia="Times New Roman" w:hAnsi="Times New Roman" w:cs="Times New Roman"/>
          <w:color w:val="000000" w:themeColor="text1"/>
        </w:rPr>
        <w:t xml:space="preserve"> </w:t>
      </w:r>
    </w:p>
    <w:p w14:paraId="4FF5784A" w14:textId="3FDD5FF5" w:rsidR="00282664" w:rsidRDefault="00282664" w:rsidP="00033127">
      <w:pPr>
        <w:spacing w:line="480" w:lineRule="auto"/>
        <w:ind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Center for Creative Leadership.</w:t>
      </w:r>
    </w:p>
    <w:p w14:paraId="7908091B" w14:textId="717927B6" w:rsidR="331A12A5" w:rsidRDefault="331A12A5" w:rsidP="009C6382">
      <w:pPr>
        <w:spacing w:line="480" w:lineRule="auto"/>
      </w:pPr>
      <w:r w:rsidRPr="32098E55">
        <w:rPr>
          <w:rFonts w:ascii="Times New Roman" w:eastAsia="Times New Roman" w:hAnsi="Times New Roman" w:cs="Times New Roman"/>
          <w:color w:val="000000" w:themeColor="text1"/>
        </w:rPr>
        <w:t xml:space="preserve">U.S. Bureau of Labor Statistics. (2023). </w:t>
      </w:r>
      <w:r w:rsidRPr="32098E55">
        <w:rPr>
          <w:rFonts w:ascii="Times New Roman" w:eastAsia="Times New Roman" w:hAnsi="Times New Roman" w:cs="Times New Roman"/>
          <w:i/>
          <w:iCs/>
          <w:color w:val="000000" w:themeColor="text1"/>
        </w:rPr>
        <w:t xml:space="preserve">Labor force statistics from the current population </w:t>
      </w:r>
    </w:p>
    <w:p w14:paraId="2BE90D22" w14:textId="7B024393" w:rsidR="331A12A5" w:rsidRDefault="331A12A5" w:rsidP="009C6382">
      <w:pPr>
        <w:spacing w:line="480" w:lineRule="auto"/>
        <w:ind w:firstLine="720"/>
        <w:rPr>
          <w:rFonts w:ascii="Times New Roman" w:eastAsia="Times New Roman" w:hAnsi="Times New Roman" w:cs="Times New Roman"/>
          <w:i/>
          <w:iCs/>
          <w:color w:val="000000" w:themeColor="text1"/>
        </w:rPr>
      </w:pPr>
      <w:r w:rsidRPr="32098E55">
        <w:rPr>
          <w:rFonts w:ascii="Times New Roman" w:eastAsia="Times New Roman" w:hAnsi="Times New Roman" w:cs="Times New Roman"/>
          <w:i/>
          <w:iCs/>
          <w:color w:val="000000" w:themeColor="text1"/>
        </w:rPr>
        <w:t>Survey</w:t>
      </w:r>
      <w:r w:rsidRPr="32098E55">
        <w:rPr>
          <w:rFonts w:ascii="Times New Roman" w:eastAsia="Times New Roman" w:hAnsi="Times New Roman" w:cs="Times New Roman"/>
          <w:color w:val="000000" w:themeColor="text1"/>
        </w:rPr>
        <w:t xml:space="preserve">. U.S. Bureau of Labor Statistics. Retrieved from: </w:t>
      </w:r>
      <w:r>
        <w:tab/>
      </w:r>
      <w:r>
        <w:tab/>
      </w:r>
      <w:r w:rsidRPr="32098E55">
        <w:rPr>
          <w:rFonts w:ascii="Times New Roman" w:eastAsia="Times New Roman" w:hAnsi="Times New Roman" w:cs="Times New Roman"/>
          <w:color w:val="000000" w:themeColor="text1"/>
        </w:rPr>
        <w:t xml:space="preserve"> </w:t>
      </w:r>
    </w:p>
    <w:p w14:paraId="3333305D" w14:textId="481623E3" w:rsidR="331A12A5" w:rsidRDefault="3911E409" w:rsidP="3911E409">
      <w:pPr>
        <w:spacing w:line="480" w:lineRule="auto"/>
        <w:ind w:firstLine="720"/>
        <w:rPr>
          <w:rFonts w:ascii="Times New Roman" w:eastAsia="Times New Roman" w:hAnsi="Times New Roman" w:cs="Times New Roman"/>
        </w:rPr>
      </w:pPr>
      <w:r w:rsidRPr="3911E409">
        <w:rPr>
          <w:rFonts w:ascii="Times New Roman" w:eastAsia="Times New Roman" w:hAnsi="Times New Roman" w:cs="Times New Roman"/>
        </w:rPr>
        <w:t>www.bls.gov/cps/cpsaat11b.htm</w:t>
      </w:r>
    </w:p>
    <w:p w14:paraId="4CB03D4C" w14:textId="6F1AD174" w:rsidR="005A67C9" w:rsidRDefault="005A67C9" w:rsidP="005A67C9">
      <w:pPr>
        <w:spacing w:line="480" w:lineRule="auto"/>
      </w:pPr>
      <w:r>
        <w:t xml:space="preserve">Wallace, D. M., Torres, E. M., &amp; Zaccaro, S. J. (2021). Just what do we think we are doing? </w:t>
      </w:r>
    </w:p>
    <w:p w14:paraId="202C664D" w14:textId="77777777" w:rsidR="005A67C9" w:rsidRDefault="005A67C9" w:rsidP="005A67C9">
      <w:pPr>
        <w:spacing w:line="480" w:lineRule="auto"/>
        <w:ind w:firstLine="720"/>
        <w:rPr>
          <w:i/>
          <w:iCs/>
        </w:rPr>
      </w:pPr>
      <w:r>
        <w:t xml:space="preserve">Learning outcomes of leader and leadership development. </w:t>
      </w:r>
      <w:r>
        <w:rPr>
          <w:i/>
          <w:iCs/>
        </w:rPr>
        <w:t xml:space="preserve">The Leadership Quarterly, </w:t>
      </w:r>
    </w:p>
    <w:p w14:paraId="12C2B23D" w14:textId="3AAD7860" w:rsidR="00932179" w:rsidRPr="00A422CB" w:rsidRDefault="3911E409" w:rsidP="00A422CB">
      <w:pPr>
        <w:spacing w:line="480" w:lineRule="auto"/>
        <w:ind w:firstLine="720"/>
      </w:pPr>
      <w:r w:rsidRPr="3911E409">
        <w:rPr>
          <w:i/>
          <w:iCs/>
        </w:rPr>
        <w:t>32</w:t>
      </w:r>
      <w:r>
        <w:t xml:space="preserve">(5), 1 – 13. </w:t>
      </w:r>
    </w:p>
    <w:p w14:paraId="7B5EAEB3" w14:textId="1BA36534" w:rsidR="3911E409" w:rsidRDefault="3911E409" w:rsidP="006B7C5F">
      <w:pPr>
        <w:spacing w:line="480" w:lineRule="auto"/>
      </w:pPr>
    </w:p>
    <w:p w14:paraId="3E6256C8" w14:textId="77777777" w:rsidR="00B01BA1" w:rsidRDefault="00B01BA1" w:rsidP="00B01BA1">
      <w:pPr>
        <w:spacing w:line="480" w:lineRule="auto"/>
        <w:ind w:firstLine="720"/>
        <w:rPr>
          <w:color w:val="000000" w:themeColor="text1"/>
        </w:rPr>
      </w:pPr>
      <w:r w:rsidRPr="00A47272">
        <w:rPr>
          <w:color w:val="000000" w:themeColor="text1"/>
        </w:rPr>
        <w:t>Lindsay J. Hastings holds a Ph.D. in Education Leadership in Higher Education from the University of Nebraska – Lincoln.  She currently serves as the Clifton Professor in Mentoring Research and Research Director for NHRI Leadership Mentoring. The focal points of Dr. Hastings’ research include advancing scholar and practitioner knowledge in leadership mentoring, community leadership development, and youth leadership.</w:t>
      </w:r>
    </w:p>
    <w:p w14:paraId="4A3D2D78" w14:textId="77777777" w:rsidR="00B01BA1" w:rsidRDefault="00B01BA1" w:rsidP="00B01BA1">
      <w:pPr>
        <w:spacing w:line="480" w:lineRule="auto"/>
        <w:ind w:firstLine="720"/>
        <w:rPr>
          <w:color w:val="000000" w:themeColor="text1"/>
        </w:rPr>
      </w:pPr>
      <w:r w:rsidRPr="00CD5D8C">
        <w:rPr>
          <w:color w:val="000000" w:themeColor="text1"/>
        </w:rPr>
        <w:t>Hannah M. Sunderman is an Assistant Professor at Virginia Tech in the Department of Agricultural, Leadership, Education, and Communication. Dr. Sunderman received a Ph.D. in Human Sciences with a Leadership Studies specialization from the University of Nebraska – Lincoln in May 2020. Her work is centered on leader(ship) education and development</w:t>
      </w:r>
      <w:r>
        <w:rPr>
          <w:color w:val="000000" w:themeColor="text1"/>
        </w:rPr>
        <w:t xml:space="preserve"> </w:t>
      </w:r>
      <w:r w:rsidRPr="00CD5D8C">
        <w:rPr>
          <w:color w:val="000000" w:themeColor="text1"/>
        </w:rPr>
        <w:t>and seeks to answer the question: What processes and experiences (e.g., being a mentor, formal leadership positions) affect leader(ship) development and </w:t>
      </w:r>
      <w:r w:rsidRPr="00CD5D8C">
        <w:rPr>
          <w:i/>
          <w:iCs/>
          <w:color w:val="000000" w:themeColor="text1"/>
        </w:rPr>
        <w:t>why</w:t>
      </w:r>
      <w:r w:rsidRPr="00CD5D8C">
        <w:rPr>
          <w:color w:val="000000" w:themeColor="text1"/>
        </w:rPr>
        <w:t xml:space="preserve">? </w:t>
      </w:r>
    </w:p>
    <w:p w14:paraId="32EA65E0" w14:textId="28C743CC" w:rsidR="00B01BA1" w:rsidRPr="00B01BA1" w:rsidRDefault="00B01BA1" w:rsidP="00B01BA1">
      <w:pPr>
        <w:spacing w:line="480" w:lineRule="auto"/>
        <w:ind w:firstLine="720"/>
      </w:pPr>
      <w:r w:rsidRPr="00B01BA1">
        <w:t>Nick</w:t>
      </w:r>
      <w:r>
        <w:t xml:space="preserve"> Knopik</w:t>
      </w:r>
      <w:r w:rsidRPr="00B01BA1">
        <w:t xml:space="preserve"> is pursuing a Ph.D. in Human Sciences with a specialization in Leadership Studies in the Department of Agricultural Leadership, Education, and Communication at the University of Nebraska-Lincoln. Nick has a background in student affairs and leadership education. He is interested in college student development and understanding how college </w:t>
      </w:r>
      <w:r w:rsidRPr="00B01BA1">
        <w:lastRenderedPageBreak/>
        <w:t>students develop their leadership identities, particularly through mentoring experiences. Nick also works with college students and young alumni on developing leisure skills to find purpose in their free time outside of school and work.</w:t>
      </w:r>
    </w:p>
    <w:p w14:paraId="4460C723" w14:textId="77777777" w:rsidR="00B01BA1" w:rsidRDefault="00B01BA1" w:rsidP="006B7C5F">
      <w:pPr>
        <w:spacing w:line="480" w:lineRule="auto"/>
      </w:pPr>
    </w:p>
    <w:sectPr w:rsidR="00B01B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DBF112A"/>
    <w:multiLevelType w:val="hybridMultilevel"/>
    <w:tmpl w:val="E36EB08E"/>
    <w:lvl w:ilvl="0" w:tplc="A3A0AF1A">
      <w:start w:val="1"/>
      <w:numFmt w:val="upperRoman"/>
      <w:lvlText w:val="%1."/>
      <w:lvlJc w:val="left"/>
      <w:pPr>
        <w:ind w:left="1080" w:hanging="720"/>
      </w:pPr>
      <w:rPr>
        <w:rFonts w:hint="default"/>
      </w:rPr>
    </w:lvl>
    <w:lvl w:ilvl="1" w:tplc="FFFFFFFF">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92826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6"/>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2179"/>
    <w:rsid w:val="00033127"/>
    <w:rsid w:val="00096315"/>
    <w:rsid w:val="000B2437"/>
    <w:rsid w:val="000B343B"/>
    <w:rsid w:val="000F4C49"/>
    <w:rsid w:val="00156E4A"/>
    <w:rsid w:val="00206152"/>
    <w:rsid w:val="00244BB1"/>
    <w:rsid w:val="00282664"/>
    <w:rsid w:val="002D5E3D"/>
    <w:rsid w:val="002F4395"/>
    <w:rsid w:val="002F54B1"/>
    <w:rsid w:val="003010E9"/>
    <w:rsid w:val="00342A1D"/>
    <w:rsid w:val="0038152C"/>
    <w:rsid w:val="00383495"/>
    <w:rsid w:val="003A581B"/>
    <w:rsid w:val="003F170E"/>
    <w:rsid w:val="003F55D4"/>
    <w:rsid w:val="0042592C"/>
    <w:rsid w:val="00447307"/>
    <w:rsid w:val="004531EA"/>
    <w:rsid w:val="00454229"/>
    <w:rsid w:val="004C6AF9"/>
    <w:rsid w:val="00506AEC"/>
    <w:rsid w:val="0052086A"/>
    <w:rsid w:val="005709CC"/>
    <w:rsid w:val="005A67C9"/>
    <w:rsid w:val="005E10C8"/>
    <w:rsid w:val="005F3CE2"/>
    <w:rsid w:val="00636FD4"/>
    <w:rsid w:val="0064715A"/>
    <w:rsid w:val="0066483F"/>
    <w:rsid w:val="00676216"/>
    <w:rsid w:val="006B7C5F"/>
    <w:rsid w:val="006E577B"/>
    <w:rsid w:val="006F23AE"/>
    <w:rsid w:val="00757AC7"/>
    <w:rsid w:val="00761585"/>
    <w:rsid w:val="007B000E"/>
    <w:rsid w:val="0080462D"/>
    <w:rsid w:val="008513E4"/>
    <w:rsid w:val="00932179"/>
    <w:rsid w:val="009403B9"/>
    <w:rsid w:val="00975551"/>
    <w:rsid w:val="00985EDD"/>
    <w:rsid w:val="009B5CF0"/>
    <w:rsid w:val="009C6382"/>
    <w:rsid w:val="00A422CB"/>
    <w:rsid w:val="00A426A2"/>
    <w:rsid w:val="00AB3CE6"/>
    <w:rsid w:val="00AC0591"/>
    <w:rsid w:val="00AF4C0C"/>
    <w:rsid w:val="00B01BA1"/>
    <w:rsid w:val="00B93898"/>
    <w:rsid w:val="00B94EBF"/>
    <w:rsid w:val="00C00853"/>
    <w:rsid w:val="00C32B31"/>
    <w:rsid w:val="00C45D6F"/>
    <w:rsid w:val="00C537A6"/>
    <w:rsid w:val="00D06DB4"/>
    <w:rsid w:val="00D12B88"/>
    <w:rsid w:val="00D3657B"/>
    <w:rsid w:val="00D50884"/>
    <w:rsid w:val="00E44C19"/>
    <w:rsid w:val="00E66B9C"/>
    <w:rsid w:val="00E943DF"/>
    <w:rsid w:val="00EE3FC7"/>
    <w:rsid w:val="00F063ED"/>
    <w:rsid w:val="00F21A43"/>
    <w:rsid w:val="00F41907"/>
    <w:rsid w:val="00F5262A"/>
    <w:rsid w:val="00FF7FF0"/>
    <w:rsid w:val="046C7916"/>
    <w:rsid w:val="08832C0B"/>
    <w:rsid w:val="0909D13C"/>
    <w:rsid w:val="0B7FA4BB"/>
    <w:rsid w:val="144A6980"/>
    <w:rsid w:val="1598B3E3"/>
    <w:rsid w:val="17E1865A"/>
    <w:rsid w:val="1B6B805A"/>
    <w:rsid w:val="1D32305E"/>
    <w:rsid w:val="1E387E20"/>
    <w:rsid w:val="2069D120"/>
    <w:rsid w:val="27BF2695"/>
    <w:rsid w:val="2930B972"/>
    <w:rsid w:val="2B121894"/>
    <w:rsid w:val="2B5D426D"/>
    <w:rsid w:val="2D865AAB"/>
    <w:rsid w:val="2E94E32F"/>
    <w:rsid w:val="3030B390"/>
    <w:rsid w:val="31C5A07E"/>
    <w:rsid w:val="32098E55"/>
    <w:rsid w:val="331A12A5"/>
    <w:rsid w:val="33B4D325"/>
    <w:rsid w:val="33DC73D2"/>
    <w:rsid w:val="37141494"/>
    <w:rsid w:val="385CDA5D"/>
    <w:rsid w:val="3911E409"/>
    <w:rsid w:val="433DE196"/>
    <w:rsid w:val="508D384D"/>
    <w:rsid w:val="5347859B"/>
    <w:rsid w:val="53C7290E"/>
    <w:rsid w:val="54AD3CFF"/>
    <w:rsid w:val="57C0BB76"/>
    <w:rsid w:val="57E4DDC1"/>
    <w:rsid w:val="593CA128"/>
    <w:rsid w:val="5A7374F6"/>
    <w:rsid w:val="5B529780"/>
    <w:rsid w:val="5B79CB3B"/>
    <w:rsid w:val="5C0F4557"/>
    <w:rsid w:val="5F3A3336"/>
    <w:rsid w:val="62BFC793"/>
    <w:rsid w:val="64A8196F"/>
    <w:rsid w:val="65621EA6"/>
    <w:rsid w:val="65666565"/>
    <w:rsid w:val="6844BABC"/>
    <w:rsid w:val="6AD3723B"/>
    <w:rsid w:val="6AE360F3"/>
    <w:rsid w:val="6AEAFE4C"/>
    <w:rsid w:val="6BDC9394"/>
    <w:rsid w:val="6C7F3154"/>
    <w:rsid w:val="74752D73"/>
    <w:rsid w:val="74FE62B9"/>
    <w:rsid w:val="75B41F29"/>
    <w:rsid w:val="7ABDF2F2"/>
    <w:rsid w:val="7C616730"/>
    <w:rsid w:val="7D9A8F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A5ACA"/>
  <w15:chartTrackingRefBased/>
  <w15:docId w15:val="{6D6CB2BF-4231-B644-ABF5-790C3070C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217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4395"/>
    <w:pPr>
      <w:ind w:left="720"/>
      <w:contextualSpacing/>
    </w:pPr>
  </w:style>
  <w:style w:type="character" w:styleId="Hyperlink">
    <w:name w:val="Hyperlink"/>
    <w:basedOn w:val="DefaultParagraphFont"/>
    <w:uiPriority w:val="99"/>
    <w:unhideWhenUsed/>
    <w:rsid w:val="009403B9"/>
    <w:rPr>
      <w:color w:val="0563C1" w:themeColor="hyperlink"/>
      <w:u w:val="single"/>
    </w:rPr>
  </w:style>
  <w:style w:type="character" w:styleId="UnresolvedMention">
    <w:name w:val="Unresolved Mention"/>
    <w:basedOn w:val="DefaultParagraphFont"/>
    <w:uiPriority w:val="99"/>
    <w:semiHidden/>
    <w:unhideWhenUsed/>
    <w:rsid w:val="00B94EBF"/>
    <w:rPr>
      <w:color w:val="605E5C"/>
      <w:shd w:val="clear" w:color="auto" w:fill="E1DFDD"/>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character" w:styleId="FollowedHyperlink">
    <w:name w:val="FollowedHyperlink"/>
    <w:basedOn w:val="DefaultParagraphFont"/>
    <w:uiPriority w:val="99"/>
    <w:semiHidden/>
    <w:unhideWhenUsed/>
    <w:rsid w:val="00F41907"/>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E44C19"/>
    <w:rPr>
      <w:b/>
      <w:bCs/>
    </w:rPr>
  </w:style>
  <w:style w:type="character" w:customStyle="1" w:styleId="CommentSubjectChar">
    <w:name w:val="Comment Subject Char"/>
    <w:basedOn w:val="CommentTextChar"/>
    <w:link w:val="CommentSubject"/>
    <w:uiPriority w:val="99"/>
    <w:semiHidden/>
    <w:rsid w:val="00E44C19"/>
    <w:rPr>
      <w:b/>
      <w:bCs/>
      <w:sz w:val="20"/>
      <w:szCs w:val="20"/>
    </w:rPr>
  </w:style>
  <w:style w:type="paragraph" w:styleId="Revision">
    <w:name w:val="Revision"/>
    <w:hidden/>
    <w:uiPriority w:val="99"/>
    <w:semiHidden/>
    <w:rsid w:val="002061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7675932">
      <w:bodyDiv w:val="1"/>
      <w:marLeft w:val="0"/>
      <w:marRight w:val="0"/>
      <w:marTop w:val="0"/>
      <w:marBottom w:val="0"/>
      <w:divBdr>
        <w:top w:val="none" w:sz="0" w:space="0" w:color="auto"/>
        <w:left w:val="none" w:sz="0" w:space="0" w:color="auto"/>
        <w:bottom w:val="none" w:sz="0" w:space="0" w:color="auto"/>
        <w:right w:val="none" w:sz="0" w:space="0" w:color="auto"/>
      </w:divBdr>
    </w:div>
    <w:div w:id="213413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x.doi.org/10.1037/dev000003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3556</Words>
  <Characters>20274</Characters>
  <Application>Microsoft Office Word</Application>
  <DocSecurity>4</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Lindsay Hastings</dc:creator>
  <cp:keywords/>
  <dc:description/>
  <cp:lastModifiedBy>Sunderman, Hannah</cp:lastModifiedBy>
  <cp:revision>2</cp:revision>
  <cp:lastPrinted>2024-01-26T19:36:00Z</cp:lastPrinted>
  <dcterms:created xsi:type="dcterms:W3CDTF">2025-01-17T16:11:00Z</dcterms:created>
  <dcterms:modified xsi:type="dcterms:W3CDTF">2025-01-17T16:11:00Z</dcterms:modified>
</cp:coreProperties>
</file>