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1CEAB6A" w14:textId="77777777" w:rsidR="00E250D7" w:rsidRDefault="00E250D7" w:rsidP="00947652">
      <w:pPr>
        <w:contextualSpacing/>
        <w:jc w:val="center"/>
      </w:pPr>
    </w:p>
    <w:p w14:paraId="0092DA61" w14:textId="77777777" w:rsidR="00E250D7" w:rsidRDefault="00E250D7" w:rsidP="00947652">
      <w:pPr>
        <w:contextualSpacing/>
        <w:jc w:val="center"/>
      </w:pPr>
    </w:p>
    <w:p w14:paraId="1CD058B0" w14:textId="77777777" w:rsidR="00E250D7" w:rsidRDefault="00E250D7" w:rsidP="00947652">
      <w:pPr>
        <w:contextualSpacing/>
        <w:jc w:val="center"/>
      </w:pPr>
    </w:p>
    <w:p w14:paraId="7FE71A2C" w14:textId="77777777" w:rsidR="00452DD1" w:rsidRDefault="00452DD1" w:rsidP="00545802">
      <w:pPr>
        <w:spacing w:line="480" w:lineRule="auto"/>
        <w:contextualSpacing/>
        <w:jc w:val="center"/>
      </w:pPr>
    </w:p>
    <w:p w14:paraId="5FE40534" w14:textId="77777777" w:rsidR="00452DD1" w:rsidRDefault="00452DD1" w:rsidP="00545802">
      <w:pPr>
        <w:spacing w:line="480" w:lineRule="auto"/>
        <w:contextualSpacing/>
        <w:jc w:val="center"/>
      </w:pPr>
    </w:p>
    <w:p w14:paraId="49A87DD2" w14:textId="77777777" w:rsidR="00452DD1" w:rsidRDefault="00452DD1" w:rsidP="00545802">
      <w:pPr>
        <w:spacing w:line="480" w:lineRule="auto"/>
        <w:contextualSpacing/>
        <w:jc w:val="center"/>
      </w:pPr>
    </w:p>
    <w:p w14:paraId="5FEFCAA3" w14:textId="77777777" w:rsidR="00452DD1" w:rsidRDefault="00452DD1" w:rsidP="00545802">
      <w:pPr>
        <w:spacing w:line="480" w:lineRule="auto"/>
        <w:contextualSpacing/>
        <w:jc w:val="center"/>
      </w:pPr>
    </w:p>
    <w:p w14:paraId="0D3DB7E5" w14:textId="77777777" w:rsidR="00947652" w:rsidRDefault="004074CA" w:rsidP="00545802">
      <w:pPr>
        <w:spacing w:line="480" w:lineRule="auto"/>
        <w:contextualSpacing/>
        <w:jc w:val="center"/>
      </w:pPr>
      <w:r>
        <w:t>Follow the Money</w:t>
      </w:r>
      <w:r w:rsidR="005E1217" w:rsidRPr="00BA51A2">
        <w:t xml:space="preserve">: </w:t>
      </w:r>
      <w:r>
        <w:t>Analyzing</w:t>
      </w:r>
      <w:r w:rsidR="005E1217" w:rsidRPr="00BA51A2">
        <w:t xml:space="preserve"> </w:t>
      </w:r>
      <w:r w:rsidR="00E42B32">
        <w:t>D</w:t>
      </w:r>
      <w:r w:rsidR="005E1217" w:rsidRPr="00BA51A2">
        <w:t xml:space="preserve">arknet </w:t>
      </w:r>
      <w:r w:rsidR="00E42B32">
        <w:t>A</w:t>
      </w:r>
      <w:r w:rsidR="005E1217" w:rsidRPr="00BA51A2">
        <w:t xml:space="preserve">ctivity by </w:t>
      </w:r>
      <w:r w:rsidR="00E42B32">
        <w:t>U</w:t>
      </w:r>
      <w:r>
        <w:t>sing</w:t>
      </w:r>
      <w:r w:rsidR="005E1217" w:rsidRPr="00BA51A2">
        <w:t xml:space="preserve"> </w:t>
      </w:r>
      <w:r w:rsidR="00E42B32">
        <w:t>C</w:t>
      </w:r>
      <w:r w:rsidR="005E1217" w:rsidRPr="00BA51A2">
        <w:t xml:space="preserve">ryptocurrency and the </w:t>
      </w:r>
      <w:r w:rsidR="008C66BD">
        <w:t xml:space="preserve">Bitcoin </w:t>
      </w:r>
      <w:r w:rsidR="00E42B32">
        <w:t>B</w:t>
      </w:r>
      <w:r w:rsidR="008C66BD">
        <w:t>lockchain</w:t>
      </w:r>
    </w:p>
    <w:p w14:paraId="13C47627" w14:textId="77777777" w:rsidR="002C78FA" w:rsidRDefault="002C78FA" w:rsidP="00545802">
      <w:pPr>
        <w:spacing w:line="480" w:lineRule="auto"/>
        <w:contextualSpacing/>
        <w:jc w:val="center"/>
      </w:pPr>
    </w:p>
    <w:p w14:paraId="72F58537" w14:textId="77777777" w:rsidR="00947652" w:rsidRDefault="00947652" w:rsidP="00947652">
      <w:pPr>
        <w:spacing w:line="480" w:lineRule="auto"/>
        <w:contextualSpacing/>
      </w:pPr>
    </w:p>
    <w:p w14:paraId="50048105" w14:textId="77777777" w:rsidR="00AC6546" w:rsidRDefault="00407F1F" w:rsidP="00947652">
      <w:pPr>
        <w:spacing w:line="480" w:lineRule="auto"/>
        <w:contextualSpacing/>
        <w:jc w:val="center"/>
      </w:pPr>
      <w:r>
        <w:br w:type="page"/>
      </w:r>
      <w:r w:rsidR="00AC6546">
        <w:lastRenderedPageBreak/>
        <w:t>Abstract</w:t>
      </w:r>
    </w:p>
    <w:p w14:paraId="57D68856" w14:textId="75F75C83" w:rsidR="00A524FD" w:rsidRDefault="00CE7957" w:rsidP="00947652">
      <w:pPr>
        <w:spacing w:line="480" w:lineRule="auto"/>
        <w:ind w:firstLine="720"/>
        <w:contextualSpacing/>
      </w:pPr>
      <w:r>
        <w:t xml:space="preserve">Transactions on the darknet are notoriously difficult to examine. Prior </w:t>
      </w:r>
      <w:r w:rsidR="00256FA9">
        <w:t xml:space="preserve">criminological </w:t>
      </w:r>
      <w:r>
        <w:t>research has generally used web scraping</w:t>
      </w:r>
      <w:r w:rsidR="00647547">
        <w:t xml:space="preserve"> and qualitative text analysis </w:t>
      </w:r>
      <w:r w:rsidR="00647547" w:rsidRPr="00256FA9">
        <w:t xml:space="preserve">(e.g., </w:t>
      </w:r>
      <w:r w:rsidR="00647547">
        <w:t xml:space="preserve">Holt &amp; Lampke, 2010, </w:t>
      </w:r>
      <w:r w:rsidR="00647547" w:rsidRPr="00256FA9">
        <w:t>H</w:t>
      </w:r>
      <w:r w:rsidR="00647547">
        <w:t>owell et al., 2022)</w:t>
      </w:r>
      <w:r>
        <w:t xml:space="preserve"> to examine illegal darknet </w:t>
      </w:r>
      <w:r w:rsidRPr="00256FA9">
        <w:t>markets</w:t>
      </w:r>
      <w:r>
        <w:t>. One disadvantage of this process is that individuals can lie.</w:t>
      </w:r>
      <w:r w:rsidR="00B72BED">
        <w:t xml:space="preserve"> </w:t>
      </w:r>
      <w:r w:rsidR="0070361C">
        <w:t>Fortunately</w:t>
      </w:r>
      <w:r w:rsidR="006B56AF">
        <w:t xml:space="preserve"> for researchers, </w:t>
      </w:r>
      <w:r w:rsidR="00A524FD">
        <w:t>the currency used for transactions on the darknet,</w:t>
      </w:r>
      <w:r w:rsidR="002C720D">
        <w:t xml:space="preserve"> </w:t>
      </w:r>
      <w:r w:rsidR="006B56AF">
        <w:t>cryptocurrency</w:t>
      </w:r>
      <w:r w:rsidR="00A524FD">
        <w:t>,</w:t>
      </w:r>
      <w:r w:rsidR="006B56AF">
        <w:t xml:space="preserve"> is </w:t>
      </w:r>
      <w:r w:rsidR="006B56AF">
        <w:rPr>
          <w:i/>
          <w:iCs/>
        </w:rPr>
        <w:t xml:space="preserve">designed </w:t>
      </w:r>
      <w:r w:rsidR="006B56AF">
        <w:t xml:space="preserve">to be tracked. </w:t>
      </w:r>
      <w:r w:rsidR="006D19DA">
        <w:t>In this paper</w:t>
      </w:r>
      <w:r w:rsidR="00A524FD">
        <w:t xml:space="preserve"> we examine transactions from a former darknet marketplace, AlphaBay</w:t>
      </w:r>
      <w:r w:rsidR="0070361C">
        <w:t xml:space="preserve">. </w:t>
      </w:r>
      <w:r>
        <w:t>Using the blockchain</w:t>
      </w:r>
      <w:r w:rsidR="00714456">
        <w:t>,</w:t>
      </w:r>
      <w:r>
        <w:t xml:space="preserve"> we examine the interconnectedness of </w:t>
      </w:r>
      <w:r w:rsidR="006B473A">
        <w:t>both legal and illegal cryptocurrency. In addition, w</w:t>
      </w:r>
      <w:r w:rsidR="0070361C">
        <w:t>e provide a structured approach to</w:t>
      </w:r>
      <w:r w:rsidR="00615282">
        <w:t xml:space="preserve"> quantitatively</w:t>
      </w:r>
      <w:r w:rsidR="0070361C">
        <w:t xml:space="preserve"> examin</w:t>
      </w:r>
      <w:r w:rsidR="00615282">
        <w:t>e</w:t>
      </w:r>
      <w:r w:rsidR="0070361C">
        <w:t xml:space="preserve"> the </w:t>
      </w:r>
      <w:r w:rsidR="008C075F">
        <w:t>B</w:t>
      </w:r>
      <w:r w:rsidR="0070361C">
        <w:t xml:space="preserve">itcoin </w:t>
      </w:r>
      <w:r w:rsidR="003A4738">
        <w:t xml:space="preserve">blockchain </w:t>
      </w:r>
      <w:r w:rsidR="0070361C">
        <w:t xml:space="preserve">ledger, </w:t>
      </w:r>
      <w:r w:rsidR="002C720D">
        <w:t xml:space="preserve">offering </w:t>
      </w:r>
      <w:r w:rsidR="0070361C">
        <w:t>both the tools and our own experiences for other researchers interested in such approaches. While cybersecurity</w:t>
      </w:r>
      <w:r w:rsidR="000E2B16">
        <w:t>, information technology, accounting</w:t>
      </w:r>
      <w:r w:rsidR="00E42B32">
        <w:t>,</w:t>
      </w:r>
      <w:r w:rsidR="000E2B16">
        <w:t xml:space="preserve"> and other disciplines can examine the financial data itself, we believe that criminologists can provide additional benefits in pattern analysis and organizing the context</w:t>
      </w:r>
      <w:r w:rsidR="006050D1">
        <w:t xml:space="preserve"> and theory</w:t>
      </w:r>
      <w:r w:rsidR="000E2B16">
        <w:t xml:space="preserve"> around the transactions.</w:t>
      </w:r>
      <w:r w:rsidR="006B473A">
        <w:t xml:space="preserve"> Our results show that cryptocurrency transactions are generally identifiable (90%) and involve likely illegal transactions, transactions that attempt to obfuscate </w:t>
      </w:r>
      <w:r w:rsidR="005B122E">
        <w:t>other</w:t>
      </w:r>
      <w:r w:rsidR="006B473A">
        <w:t xml:space="preserve"> transactions, and legal transactions. </w:t>
      </w:r>
      <w:r w:rsidR="000E2B16">
        <w:t xml:space="preserve">We end with a discussion of newer cryptocurrencies </w:t>
      </w:r>
      <w:r w:rsidR="00A61B74">
        <w:t xml:space="preserve">and related technology </w:t>
      </w:r>
      <w:r w:rsidR="000E2B16">
        <w:t xml:space="preserve">and how they will likely shape future work. </w:t>
      </w:r>
    </w:p>
    <w:p w14:paraId="5C393E2E" w14:textId="77777777" w:rsidR="00387655" w:rsidRPr="00387655" w:rsidRDefault="00387655" w:rsidP="00947652">
      <w:pPr>
        <w:spacing w:line="480" w:lineRule="auto"/>
        <w:ind w:firstLine="720"/>
        <w:contextualSpacing/>
      </w:pPr>
      <w:r>
        <w:rPr>
          <w:i/>
          <w:iCs/>
        </w:rPr>
        <w:t>Keywords: Dark Web,</w:t>
      </w:r>
      <w:r w:rsidR="003F6BF7">
        <w:rPr>
          <w:i/>
          <w:iCs/>
        </w:rPr>
        <w:t xml:space="preserve"> Darknet,</w:t>
      </w:r>
      <w:r>
        <w:rPr>
          <w:i/>
          <w:iCs/>
        </w:rPr>
        <w:t xml:space="preserve"> Cryptocurrency, Cybercrime,</w:t>
      </w:r>
      <w:r w:rsidR="003F6BF7">
        <w:rPr>
          <w:i/>
          <w:iCs/>
        </w:rPr>
        <w:t xml:space="preserve"> Bitcoin</w:t>
      </w:r>
    </w:p>
    <w:p w14:paraId="1B135CFB" w14:textId="77777777" w:rsidR="00AC6546" w:rsidRDefault="00AC6546" w:rsidP="00947652">
      <w:pPr>
        <w:spacing w:line="480" w:lineRule="auto"/>
        <w:contextualSpacing/>
      </w:pPr>
      <w:r>
        <w:br w:type="page"/>
      </w:r>
    </w:p>
    <w:p w14:paraId="50E2BCBC" w14:textId="77777777" w:rsidR="004074CA" w:rsidRPr="00BA51A2" w:rsidRDefault="004074CA" w:rsidP="00947652">
      <w:pPr>
        <w:spacing w:line="480" w:lineRule="auto"/>
        <w:contextualSpacing/>
        <w:jc w:val="center"/>
      </w:pPr>
      <w:r>
        <w:lastRenderedPageBreak/>
        <w:t>Follow the Money</w:t>
      </w:r>
      <w:r w:rsidRPr="00BA51A2">
        <w:t xml:space="preserve">: </w:t>
      </w:r>
      <w:r w:rsidR="0041309A">
        <w:t>Analyzing</w:t>
      </w:r>
      <w:r w:rsidR="0041309A" w:rsidRPr="00BA51A2">
        <w:t xml:space="preserve"> </w:t>
      </w:r>
      <w:r w:rsidR="0041309A">
        <w:t>D</w:t>
      </w:r>
      <w:r w:rsidR="0041309A" w:rsidRPr="00BA51A2">
        <w:t xml:space="preserve">arknet </w:t>
      </w:r>
      <w:r w:rsidR="0041309A">
        <w:t>A</w:t>
      </w:r>
      <w:r w:rsidR="0041309A" w:rsidRPr="00BA51A2">
        <w:t xml:space="preserve">ctivity by </w:t>
      </w:r>
      <w:r w:rsidR="0041309A">
        <w:t>Using</w:t>
      </w:r>
      <w:r w:rsidR="0041309A" w:rsidRPr="00BA51A2">
        <w:t xml:space="preserve"> </w:t>
      </w:r>
      <w:r w:rsidR="0041309A">
        <w:t>C</w:t>
      </w:r>
      <w:r w:rsidR="0041309A" w:rsidRPr="00BA51A2">
        <w:t xml:space="preserve">ryptocurrency and the </w:t>
      </w:r>
      <w:r w:rsidR="0041309A">
        <w:t>Bitcoin Blockchain</w:t>
      </w:r>
    </w:p>
    <w:p w14:paraId="256F50F0" w14:textId="77777777" w:rsidR="003E1042" w:rsidRDefault="002A6D68" w:rsidP="00947652">
      <w:pPr>
        <w:spacing w:line="480" w:lineRule="auto"/>
        <w:contextualSpacing/>
      </w:pPr>
      <w:r>
        <w:tab/>
      </w:r>
      <w:r w:rsidR="004074CA">
        <w:t>T</w:t>
      </w:r>
      <w:r w:rsidR="005E0A9F">
        <w:t xml:space="preserve">he </w:t>
      </w:r>
      <w:r w:rsidR="008053E9">
        <w:t>i</w:t>
      </w:r>
      <w:r w:rsidR="005E0A9F">
        <w:t xml:space="preserve">nternet and other </w:t>
      </w:r>
      <w:r w:rsidR="00920447">
        <w:t>technologies</w:t>
      </w:r>
      <w:r>
        <w:t xml:space="preserve"> </w:t>
      </w:r>
      <w:r w:rsidR="004074CA">
        <w:t>have</w:t>
      </w:r>
      <w:r>
        <w:t xml:space="preserve"> </w:t>
      </w:r>
      <w:r w:rsidR="005E0A9F">
        <w:t>create</w:t>
      </w:r>
      <w:r w:rsidR="000D080A">
        <w:t>d</w:t>
      </w:r>
      <w:r w:rsidR="00003576">
        <w:t xml:space="preserve"> an interdependent and </w:t>
      </w:r>
      <w:r w:rsidR="00920447">
        <w:t>interconnected world.</w:t>
      </w:r>
      <w:r w:rsidR="00A80D5F">
        <w:t xml:space="preserve"> Online</w:t>
      </w:r>
      <w:r w:rsidR="008053E9">
        <w:t>-</w:t>
      </w:r>
      <w:r w:rsidR="00A80D5F">
        <w:t xml:space="preserve">only businesses, banks, and communities are now </w:t>
      </w:r>
      <w:r w:rsidR="008C66BD">
        <w:t>mainstream</w:t>
      </w:r>
      <w:r w:rsidR="00A80D5F">
        <w:t>.</w:t>
      </w:r>
      <w:r w:rsidR="008C66BD">
        <w:t xml:space="preserve"> The increased adoption of technology has </w:t>
      </w:r>
      <w:r w:rsidR="008053E9">
        <w:t xml:space="preserve">also </w:t>
      </w:r>
      <w:r w:rsidR="008C66BD">
        <w:t xml:space="preserve">contributed to the development of new criminal opportunities. </w:t>
      </w:r>
      <w:r w:rsidR="00A80D5F">
        <w:t xml:space="preserve">This has given </w:t>
      </w:r>
      <w:r w:rsidR="00EE4880">
        <w:t xml:space="preserve">rise to a new area of criminology, </w:t>
      </w:r>
      <w:r w:rsidR="008C66BD">
        <w:t>aptly</w:t>
      </w:r>
      <w:r w:rsidR="00EE4880">
        <w:t xml:space="preserve"> called computer-facilitated crimes</w:t>
      </w:r>
      <w:r w:rsidR="00CE2039">
        <w:t xml:space="preserve"> </w:t>
      </w:r>
      <w:r w:rsidR="00CE2039" w:rsidRPr="00CE2039">
        <w:rPr>
          <w:noProof/>
        </w:rPr>
        <w:t>(Gordan et al., 2022)</w:t>
      </w:r>
      <w:r w:rsidR="00EE4880">
        <w:t xml:space="preserve">. </w:t>
      </w:r>
      <w:r w:rsidR="003D49FE">
        <w:t xml:space="preserve">Some </w:t>
      </w:r>
      <w:r w:rsidR="000D080A">
        <w:t>computer-facilitated</w:t>
      </w:r>
      <w:r w:rsidR="00EE4880">
        <w:t xml:space="preserve"> </w:t>
      </w:r>
      <w:r w:rsidR="00012DA0">
        <w:t>crimes</w:t>
      </w:r>
      <w:r w:rsidR="00EE4880">
        <w:t xml:space="preserve"> </w:t>
      </w:r>
      <w:r w:rsidR="003D49FE">
        <w:t xml:space="preserve">can be </w:t>
      </w:r>
      <w:r w:rsidR="00012DA0">
        <w:t>difficult for criminologists to examine</w:t>
      </w:r>
      <w:r w:rsidR="003D49FE">
        <w:t xml:space="preserve"> due to technological complexity. At the same time, </w:t>
      </w:r>
      <w:r w:rsidR="000D080A">
        <w:t>criminologists’</w:t>
      </w:r>
      <w:r w:rsidR="003D49FE">
        <w:t xml:space="preserve"> insights into human behavior and</w:t>
      </w:r>
      <w:r w:rsidR="0044653C">
        <w:t xml:space="preserve"> </w:t>
      </w:r>
      <w:r w:rsidR="000D080A">
        <w:t xml:space="preserve">sociological </w:t>
      </w:r>
      <w:r w:rsidR="0044653C">
        <w:t xml:space="preserve">patterns </w:t>
      </w:r>
      <w:r w:rsidR="000D080A">
        <w:t xml:space="preserve">are invaluable in understanding and addressing </w:t>
      </w:r>
      <w:r w:rsidR="00DC3A34">
        <w:t xml:space="preserve">the nature of crime. </w:t>
      </w:r>
      <w:r w:rsidR="00DF6038">
        <w:t xml:space="preserve">One example is the use of cryptocurrency in criminal transactions. Although </w:t>
      </w:r>
      <w:r w:rsidR="006050D1">
        <w:t xml:space="preserve">often </w:t>
      </w:r>
      <w:r w:rsidR="008C66BD">
        <w:t xml:space="preserve">technologically </w:t>
      </w:r>
      <w:r w:rsidR="00DF6038">
        <w:t xml:space="preserve">complex, the nature of </w:t>
      </w:r>
      <w:r w:rsidR="003B0F3B">
        <w:t>illegal transactions has been studied by criminologists for decades</w:t>
      </w:r>
      <w:r w:rsidR="00CE2039">
        <w:t xml:space="preserve"> (e.g., Donald Cressey’s Fraud Triangle)</w:t>
      </w:r>
      <w:r w:rsidR="003B0F3B">
        <w:t xml:space="preserve">. </w:t>
      </w:r>
      <w:r w:rsidR="0044653C">
        <w:t xml:space="preserve"> </w:t>
      </w:r>
      <w:r w:rsidR="003D49FE">
        <w:t xml:space="preserve"> </w:t>
      </w:r>
    </w:p>
    <w:p w14:paraId="3A80DC75" w14:textId="2D79BE62" w:rsidR="00EF75F3" w:rsidRDefault="00715E42" w:rsidP="00EF75F3">
      <w:pPr>
        <w:spacing w:line="480" w:lineRule="auto"/>
        <w:ind w:firstLine="720"/>
        <w:contextualSpacing/>
      </w:pPr>
      <w:r>
        <w:t xml:space="preserve">In this paper we have several goals. First, we want to </w:t>
      </w:r>
      <w:r w:rsidR="004E554E">
        <w:t>consider additional</w:t>
      </w:r>
      <w:r w:rsidR="006050D1">
        <w:t xml:space="preserve"> sources of</w:t>
      </w:r>
      <w:r w:rsidR="004E554E">
        <w:t xml:space="preserve"> data on </w:t>
      </w:r>
      <w:r w:rsidR="00714456">
        <w:t>d</w:t>
      </w:r>
      <w:r w:rsidR="004E554E">
        <w:t xml:space="preserve">arknet markets, specifically </w:t>
      </w:r>
      <w:r>
        <w:t xml:space="preserve">cryptocurrency. Despite technical sophistication, the overall ideas and use of cryptocurrency is easy to understand. We hope readers will become more comfortable viewing and understanding </w:t>
      </w:r>
      <w:r w:rsidR="00CA635A">
        <w:t xml:space="preserve">cryptocurrency </w:t>
      </w:r>
      <w:r>
        <w:t>transaction</w:t>
      </w:r>
      <w:r w:rsidR="003B0F3B">
        <w:t>s</w:t>
      </w:r>
      <w:r>
        <w:t>. To this end</w:t>
      </w:r>
      <w:r w:rsidR="00714456">
        <w:t>,</w:t>
      </w:r>
      <w:r>
        <w:t xml:space="preserve"> </w:t>
      </w:r>
      <w:r w:rsidR="003E1042">
        <w:t xml:space="preserve">we provide a structured approach to quantitatively examine the Bitcoin blockchain ledger, offering both the tools and our own experiences for other researchers interested in such approaches. </w:t>
      </w:r>
      <w:r w:rsidR="00EF75F3">
        <w:t>This leads to our first research question:</w:t>
      </w:r>
    </w:p>
    <w:p w14:paraId="7C96431A" w14:textId="77777777" w:rsidR="00EF75F3" w:rsidRPr="000C252D" w:rsidRDefault="00EF75F3" w:rsidP="00EF75F3">
      <w:pPr>
        <w:spacing w:line="480" w:lineRule="auto"/>
        <w:ind w:firstLine="720"/>
        <w:contextualSpacing/>
        <w:rPr>
          <w:i/>
          <w:iCs/>
        </w:rPr>
      </w:pPr>
      <w:r>
        <w:t xml:space="preserve"> </w:t>
      </w:r>
      <w:r w:rsidRPr="000C252D">
        <w:rPr>
          <w:i/>
          <w:iCs/>
        </w:rPr>
        <w:t>RQ1: How identifiable are illegal blockchain transactions?</w:t>
      </w:r>
    </w:p>
    <w:p w14:paraId="2B992B0B" w14:textId="0C48650F" w:rsidR="00EF75F3" w:rsidRDefault="003E1042" w:rsidP="00EF75F3">
      <w:pPr>
        <w:spacing w:line="480" w:lineRule="auto"/>
        <w:ind w:firstLine="720"/>
        <w:contextualSpacing/>
      </w:pPr>
      <w:r>
        <w:t xml:space="preserve">Second, </w:t>
      </w:r>
      <w:r w:rsidR="00715E42">
        <w:t xml:space="preserve">we believe that cryptocurrency, like all technological innovations, </w:t>
      </w:r>
      <w:r w:rsidR="00CA635A">
        <w:t xml:space="preserve">is </w:t>
      </w:r>
      <w:r w:rsidR="00715E42">
        <w:t>simply a tool. It must be understood in a larger context and not in isolation. In our article</w:t>
      </w:r>
      <w:r w:rsidR="00714456">
        <w:t>,</w:t>
      </w:r>
      <w:r w:rsidR="00715E42">
        <w:t xml:space="preserve"> </w:t>
      </w:r>
      <w:r>
        <w:t xml:space="preserve">we </w:t>
      </w:r>
      <w:r w:rsidR="00D34E37">
        <w:t>consider the contexts where criminal transactions take place</w:t>
      </w:r>
      <w:r>
        <w:t>.</w:t>
      </w:r>
      <w:r w:rsidR="00715E42">
        <w:t xml:space="preserve"> Rather than focusing</w:t>
      </w:r>
      <w:r w:rsidR="00E62B9C">
        <w:t xml:space="preserve"> only</w:t>
      </w:r>
      <w:r w:rsidR="00715E42">
        <w:t xml:space="preserve"> on building better </w:t>
      </w:r>
      <w:r w:rsidR="00715E42">
        <w:lastRenderedPageBreak/>
        <w:t xml:space="preserve">security through a technical </w:t>
      </w:r>
      <w:r w:rsidR="007E11BA">
        <w:t>approach</w:t>
      </w:r>
      <w:r w:rsidR="006050D1">
        <w:t xml:space="preserve">, </w:t>
      </w:r>
      <w:r w:rsidR="00714456">
        <w:t xml:space="preserve">developing </w:t>
      </w:r>
      <w:r w:rsidR="006050D1">
        <w:t>an</w:t>
      </w:r>
      <w:r w:rsidR="00D34E37">
        <w:t xml:space="preserve"> understanding of the situations where criminal transactions take place can help</w:t>
      </w:r>
      <w:r w:rsidR="00715E42">
        <w:t xml:space="preserve"> criminologists</w:t>
      </w:r>
      <w:r w:rsidR="00D34E37">
        <w:t xml:space="preserve"> and others</w:t>
      </w:r>
      <w:r w:rsidR="00715E42">
        <w:t xml:space="preserve"> understand how cryptocurrency is utilized in a larger </w:t>
      </w:r>
      <w:r w:rsidR="008C66BD">
        <w:t>decentralized</w:t>
      </w:r>
      <w:r w:rsidR="00BA51A2">
        <w:t xml:space="preserve"> network</w:t>
      </w:r>
      <w:r w:rsidR="006050D1">
        <w:t xml:space="preserve">. These environments include both </w:t>
      </w:r>
      <w:r w:rsidR="00714456">
        <w:t>legal</w:t>
      </w:r>
      <w:r w:rsidR="00BA51A2">
        <w:t xml:space="preserve"> and </w:t>
      </w:r>
      <w:r w:rsidR="00714456">
        <w:t>il</w:t>
      </w:r>
      <w:r w:rsidR="00BA51A2">
        <w:t xml:space="preserve">legal transactions. </w:t>
      </w:r>
      <w:r w:rsidR="00EF75F3">
        <w:t>This leads to our second research question:</w:t>
      </w:r>
    </w:p>
    <w:p w14:paraId="2E14FC5F" w14:textId="18BEFA9C" w:rsidR="00EF75F3" w:rsidRPr="000C252D" w:rsidRDefault="00EF75F3" w:rsidP="00EF75F3">
      <w:pPr>
        <w:spacing w:line="480" w:lineRule="auto"/>
        <w:ind w:left="720"/>
        <w:contextualSpacing/>
        <w:rPr>
          <w:i/>
          <w:iCs/>
        </w:rPr>
      </w:pPr>
      <w:r>
        <w:t xml:space="preserve"> </w:t>
      </w:r>
      <w:r w:rsidRPr="000C252D">
        <w:rPr>
          <w:i/>
          <w:iCs/>
        </w:rPr>
        <w:t xml:space="preserve">RQ2: What </w:t>
      </w:r>
      <w:r w:rsidR="00714456" w:rsidRPr="000C252D">
        <w:rPr>
          <w:i/>
          <w:iCs/>
        </w:rPr>
        <w:t>p</w:t>
      </w:r>
      <w:r w:rsidRPr="000C252D">
        <w:rPr>
          <w:i/>
          <w:iCs/>
        </w:rPr>
        <w:t xml:space="preserve">roportion of transactions on darknet market associated wallets are </w:t>
      </w:r>
    </w:p>
    <w:p w14:paraId="762284E7" w14:textId="1E2F08AE" w:rsidR="003E1042" w:rsidRPr="000C252D" w:rsidRDefault="00714456" w:rsidP="00EF75F3">
      <w:pPr>
        <w:spacing w:line="480" w:lineRule="auto"/>
        <w:ind w:firstLine="720"/>
        <w:contextualSpacing/>
        <w:rPr>
          <w:i/>
          <w:iCs/>
        </w:rPr>
      </w:pPr>
      <w:r w:rsidRPr="000C252D">
        <w:rPr>
          <w:i/>
          <w:iCs/>
        </w:rPr>
        <w:t xml:space="preserve">tied to </w:t>
      </w:r>
      <w:r w:rsidR="00EF75F3" w:rsidRPr="000C252D">
        <w:rPr>
          <w:i/>
          <w:iCs/>
        </w:rPr>
        <w:t>illegal</w:t>
      </w:r>
      <w:r w:rsidRPr="000C252D">
        <w:rPr>
          <w:i/>
          <w:iCs/>
        </w:rPr>
        <w:t xml:space="preserve"> activity</w:t>
      </w:r>
      <w:r w:rsidR="00EF75F3" w:rsidRPr="000C252D">
        <w:rPr>
          <w:i/>
          <w:iCs/>
        </w:rPr>
        <w:t>?</w:t>
      </w:r>
    </w:p>
    <w:p w14:paraId="25517B32" w14:textId="77777777" w:rsidR="009934D7" w:rsidRPr="00947652" w:rsidRDefault="00EF75F3" w:rsidP="00947652">
      <w:pPr>
        <w:spacing w:line="480" w:lineRule="auto"/>
        <w:ind w:firstLine="720"/>
        <w:contextualSpacing/>
      </w:pPr>
      <w:r>
        <w:t>W</w:t>
      </w:r>
      <w:r w:rsidR="00BA51A2">
        <w:t xml:space="preserve">e hope this article serves as </w:t>
      </w:r>
      <w:r w:rsidR="003E1042">
        <w:t>a guide for researchers interested in cryptocurrency</w:t>
      </w:r>
      <w:r w:rsidR="00BA51A2">
        <w:t xml:space="preserve"> and criminology. We offer numerous possibilities for future research. In addition, we highlight the potential pitfalls, advantages, and limitations of cryptocurrency. Just as a survey or experiment offers a way of analyzing data and understanding the world, we believe that cryptocurrency analysis can offer </w:t>
      </w:r>
      <w:r w:rsidR="008C66BD">
        <w:t>additional</w:t>
      </w:r>
      <w:r w:rsidR="00BA51A2">
        <w:t xml:space="preserve"> </w:t>
      </w:r>
      <w:r w:rsidR="009B3F7A">
        <w:t>insight</w:t>
      </w:r>
      <w:r w:rsidR="00BA51A2">
        <w:t>.</w:t>
      </w:r>
      <w:r w:rsidR="00673000">
        <w:t xml:space="preserve"> </w:t>
      </w:r>
    </w:p>
    <w:p w14:paraId="41EFE895" w14:textId="77777777" w:rsidR="00407F1F" w:rsidRDefault="00BA51A2" w:rsidP="00B97DC2">
      <w:pPr>
        <w:spacing w:line="480" w:lineRule="auto"/>
        <w:contextualSpacing/>
        <w:jc w:val="center"/>
        <w:rPr>
          <w:rFonts w:eastAsia="Times New Roman"/>
          <w:color w:val="000000"/>
        </w:rPr>
      </w:pPr>
      <w:r w:rsidRPr="00947652">
        <w:rPr>
          <w:b/>
          <w:bCs/>
        </w:rPr>
        <w:t>Literature Review</w:t>
      </w:r>
      <w:r w:rsidR="003D0213">
        <w:rPr>
          <w:rFonts w:eastAsia="Times New Roman"/>
          <w:color w:val="000000"/>
        </w:rPr>
        <w:t xml:space="preserve"> </w:t>
      </w:r>
    </w:p>
    <w:p w14:paraId="2BBA778B" w14:textId="6BD9E7AD" w:rsidR="00AA751C" w:rsidRDefault="009934D7" w:rsidP="00AA751C">
      <w:pPr>
        <w:spacing w:line="480" w:lineRule="auto"/>
        <w:ind w:firstLine="720"/>
        <w:contextualSpacing/>
        <w:rPr>
          <w:rFonts w:eastAsia="Times New Roman"/>
          <w:color w:val="000000"/>
        </w:rPr>
      </w:pPr>
      <w:r w:rsidRPr="00851EBC">
        <w:rPr>
          <w:rFonts w:eastAsia="Times New Roman"/>
          <w:color w:val="000000"/>
        </w:rPr>
        <w:t xml:space="preserve">Both the anonymity of the </w:t>
      </w:r>
      <w:r w:rsidR="00566CAC">
        <w:rPr>
          <w:rFonts w:eastAsia="Times New Roman"/>
          <w:color w:val="000000"/>
        </w:rPr>
        <w:t>d</w:t>
      </w:r>
      <w:r w:rsidRPr="00851EBC">
        <w:rPr>
          <w:rFonts w:eastAsia="Times New Roman"/>
          <w:color w:val="000000"/>
        </w:rPr>
        <w:t>arknet</w:t>
      </w:r>
      <w:r w:rsidR="00AA751C">
        <w:rPr>
          <w:rFonts w:eastAsia="Times New Roman"/>
          <w:color w:val="000000"/>
        </w:rPr>
        <w:t xml:space="preserve"> (also commonly referred to as the </w:t>
      </w:r>
      <w:r w:rsidR="00566CAC">
        <w:rPr>
          <w:rFonts w:eastAsia="Times New Roman"/>
          <w:color w:val="000000"/>
        </w:rPr>
        <w:t>d</w:t>
      </w:r>
      <w:r w:rsidR="00AA751C">
        <w:rPr>
          <w:rFonts w:eastAsia="Times New Roman"/>
          <w:color w:val="000000"/>
        </w:rPr>
        <w:t xml:space="preserve">ark </w:t>
      </w:r>
      <w:r w:rsidR="00566CAC">
        <w:rPr>
          <w:rFonts w:eastAsia="Times New Roman"/>
          <w:color w:val="000000"/>
        </w:rPr>
        <w:t>w</w:t>
      </w:r>
      <w:r w:rsidR="00AA751C">
        <w:rPr>
          <w:rFonts w:eastAsia="Times New Roman"/>
          <w:color w:val="000000"/>
        </w:rPr>
        <w:t>eb)</w:t>
      </w:r>
      <w:r w:rsidRPr="00851EBC">
        <w:rPr>
          <w:rFonts w:eastAsia="Times New Roman"/>
          <w:color w:val="000000"/>
        </w:rPr>
        <w:t xml:space="preserve"> and the pseudonymity of Bitcoin provide a space </w:t>
      </w:r>
      <w:r w:rsidR="00566CAC">
        <w:rPr>
          <w:rFonts w:eastAsia="Times New Roman"/>
          <w:color w:val="000000"/>
        </w:rPr>
        <w:t>conducive to criminality</w:t>
      </w:r>
      <w:r w:rsidRPr="00851EBC">
        <w:rPr>
          <w:rFonts w:eastAsia="Times New Roman"/>
          <w:color w:val="000000"/>
        </w:rPr>
        <w:t>.</w:t>
      </w:r>
      <w:r w:rsidR="003D0213">
        <w:rPr>
          <w:rFonts w:eastAsia="Times New Roman"/>
          <w:color w:val="000000"/>
        </w:rPr>
        <w:t xml:space="preserve"> Prior large </w:t>
      </w:r>
      <w:r w:rsidR="00566CAC">
        <w:rPr>
          <w:rFonts w:eastAsia="Times New Roman"/>
          <w:color w:val="000000"/>
        </w:rPr>
        <w:t>d</w:t>
      </w:r>
      <w:r w:rsidR="00F069D9">
        <w:rPr>
          <w:rFonts w:eastAsia="Times New Roman"/>
          <w:color w:val="000000"/>
        </w:rPr>
        <w:t>arknet</w:t>
      </w:r>
      <w:r w:rsidR="003D0213">
        <w:rPr>
          <w:rFonts w:eastAsia="Times New Roman"/>
          <w:color w:val="000000"/>
        </w:rPr>
        <w:t xml:space="preserve"> markets, such as Silk Road, have shown the potential viability of online sales of illegal goods, leading to a fairly new environment for illegal transactions (United States Department of Justice, 2018). </w:t>
      </w:r>
      <w:r w:rsidR="00AA751C">
        <w:rPr>
          <w:rFonts w:eastAsia="Times New Roman"/>
          <w:color w:val="000000"/>
        </w:rPr>
        <w:t xml:space="preserve">These online markets have led to a new area of research for criminologists. </w:t>
      </w:r>
    </w:p>
    <w:p w14:paraId="2B88DA0D" w14:textId="381F5BFF" w:rsidR="003D0213" w:rsidRDefault="00AA751C" w:rsidP="00407F1F">
      <w:pPr>
        <w:spacing w:line="480" w:lineRule="auto"/>
        <w:ind w:firstLine="720"/>
        <w:contextualSpacing/>
        <w:rPr>
          <w:rFonts w:eastAsia="Times New Roman"/>
          <w:color w:val="000000"/>
        </w:rPr>
      </w:pPr>
      <w:r>
        <w:rPr>
          <w:rFonts w:eastAsia="Times New Roman"/>
          <w:color w:val="000000"/>
        </w:rPr>
        <w:t>Davis and Arrigo (2021) provide context for criminologists, illustrating the types of illegal</w:t>
      </w:r>
      <w:r w:rsidR="00F069D9">
        <w:rPr>
          <w:rFonts w:eastAsia="Times New Roman"/>
          <w:color w:val="000000"/>
        </w:rPr>
        <w:t xml:space="preserve"> activity</w:t>
      </w:r>
      <w:r>
        <w:rPr>
          <w:rFonts w:eastAsia="Times New Roman"/>
          <w:color w:val="000000"/>
        </w:rPr>
        <w:t xml:space="preserve"> which </w:t>
      </w:r>
      <w:r w:rsidR="00F069D9">
        <w:rPr>
          <w:rFonts w:eastAsia="Times New Roman"/>
          <w:color w:val="000000"/>
        </w:rPr>
        <w:t>has been conducted</w:t>
      </w:r>
      <w:r>
        <w:rPr>
          <w:rFonts w:eastAsia="Times New Roman"/>
          <w:color w:val="000000"/>
        </w:rPr>
        <w:t xml:space="preserve"> on the darknet.</w:t>
      </w:r>
      <w:r w:rsidR="0089374A">
        <w:rPr>
          <w:rFonts w:eastAsia="Times New Roman"/>
          <w:color w:val="000000"/>
        </w:rPr>
        <w:t xml:space="preserve"> </w:t>
      </w:r>
      <w:r>
        <w:rPr>
          <w:rFonts w:eastAsia="Times New Roman"/>
          <w:color w:val="000000"/>
        </w:rPr>
        <w:t>These include</w:t>
      </w:r>
      <w:r w:rsidR="0089374A">
        <w:rPr>
          <w:rFonts w:eastAsia="Times New Roman"/>
          <w:color w:val="000000"/>
        </w:rPr>
        <w:t xml:space="preserve"> illegal behaviors such as</w:t>
      </w:r>
      <w:r>
        <w:rPr>
          <w:rFonts w:eastAsia="Times New Roman"/>
          <w:color w:val="000000"/>
        </w:rPr>
        <w:t xml:space="preserve"> </w:t>
      </w:r>
      <w:r w:rsidR="001F275A">
        <w:rPr>
          <w:rFonts w:eastAsia="Times New Roman"/>
          <w:color w:val="000000"/>
        </w:rPr>
        <w:t>trafficking</w:t>
      </w:r>
      <w:r w:rsidR="00F069D9">
        <w:rPr>
          <w:rFonts w:eastAsia="Times New Roman"/>
          <w:color w:val="000000"/>
        </w:rPr>
        <w:t xml:space="preserve"> narcotics</w:t>
      </w:r>
      <w:r w:rsidR="001F275A">
        <w:rPr>
          <w:rFonts w:eastAsia="Times New Roman"/>
          <w:color w:val="000000"/>
        </w:rPr>
        <w:t>,</w:t>
      </w:r>
      <w:r w:rsidR="00F069D9">
        <w:rPr>
          <w:rFonts w:eastAsia="Times New Roman"/>
          <w:color w:val="000000"/>
        </w:rPr>
        <w:t xml:space="preserve"> </w:t>
      </w:r>
      <w:r w:rsidR="001F275A">
        <w:rPr>
          <w:rFonts w:eastAsia="Times New Roman"/>
          <w:color w:val="000000"/>
        </w:rPr>
        <w:t>selling</w:t>
      </w:r>
      <w:r w:rsidR="00F069D9">
        <w:rPr>
          <w:rFonts w:eastAsia="Times New Roman"/>
          <w:color w:val="000000"/>
        </w:rPr>
        <w:t xml:space="preserve"> child abuse imagery, terrorism, </w:t>
      </w:r>
      <w:r w:rsidR="005440A6">
        <w:rPr>
          <w:rFonts w:eastAsia="Times New Roman"/>
          <w:color w:val="000000"/>
        </w:rPr>
        <w:t>murder for hire</w:t>
      </w:r>
      <w:r w:rsidR="00F069D9">
        <w:rPr>
          <w:rFonts w:eastAsia="Times New Roman"/>
          <w:color w:val="000000"/>
        </w:rPr>
        <w:t xml:space="preserve">, </w:t>
      </w:r>
      <w:r w:rsidR="001F275A">
        <w:rPr>
          <w:rFonts w:eastAsia="Times New Roman"/>
          <w:color w:val="000000"/>
        </w:rPr>
        <w:t xml:space="preserve">scams, </w:t>
      </w:r>
      <w:r w:rsidR="00F069D9">
        <w:rPr>
          <w:rFonts w:eastAsia="Times New Roman"/>
          <w:color w:val="000000"/>
        </w:rPr>
        <w:t xml:space="preserve">trading stolen goods, and illegal financial transactions (e.g., money laundering). </w:t>
      </w:r>
      <w:r w:rsidR="00353F65">
        <w:rPr>
          <w:rFonts w:eastAsia="Times New Roman"/>
          <w:color w:val="000000"/>
        </w:rPr>
        <w:t>Holt and Lampke (2010) examined stolen data markets, concluding that the sheer volume of stolen data has led to low market price compared to potential value</w:t>
      </w:r>
      <w:r w:rsidR="00312892">
        <w:rPr>
          <w:rFonts w:eastAsia="Times New Roman"/>
          <w:color w:val="000000"/>
        </w:rPr>
        <w:t>.</w:t>
      </w:r>
      <w:r w:rsidR="00353F65">
        <w:rPr>
          <w:rFonts w:eastAsia="Times New Roman"/>
          <w:color w:val="000000"/>
        </w:rPr>
        <w:t xml:space="preserve"> </w:t>
      </w:r>
      <w:r w:rsidR="001F275A">
        <w:rPr>
          <w:rFonts w:eastAsia="Times New Roman"/>
          <w:color w:val="000000"/>
        </w:rPr>
        <w:t xml:space="preserve">In short, the </w:t>
      </w:r>
      <w:r w:rsidR="00566CAC">
        <w:rPr>
          <w:rFonts w:eastAsia="Times New Roman"/>
          <w:color w:val="000000"/>
        </w:rPr>
        <w:t>d</w:t>
      </w:r>
      <w:r w:rsidR="001F275A">
        <w:rPr>
          <w:rFonts w:eastAsia="Times New Roman"/>
          <w:color w:val="000000"/>
        </w:rPr>
        <w:t xml:space="preserve">arknet </w:t>
      </w:r>
      <w:r w:rsidR="006050D1">
        <w:rPr>
          <w:rFonts w:eastAsia="Times New Roman"/>
          <w:color w:val="000000"/>
        </w:rPr>
        <w:t>offers a novel venue for</w:t>
      </w:r>
      <w:r w:rsidR="001F275A">
        <w:rPr>
          <w:rFonts w:eastAsia="Times New Roman"/>
          <w:color w:val="000000"/>
        </w:rPr>
        <w:t xml:space="preserve"> a </w:t>
      </w:r>
      <w:r w:rsidR="001F275A">
        <w:rPr>
          <w:rFonts w:eastAsia="Times New Roman"/>
          <w:color w:val="000000"/>
        </w:rPr>
        <w:lastRenderedPageBreak/>
        <w:t>variety of illegal ventures</w:t>
      </w:r>
      <w:r w:rsidR="00353F65">
        <w:rPr>
          <w:rFonts w:eastAsia="Times New Roman"/>
          <w:color w:val="000000"/>
        </w:rPr>
        <w:t xml:space="preserve">. One worthwhile caveat is the recognition that the darknet also offers a forum for positive or prosocial behaviors. These include encouraging shared freedoms and providing </w:t>
      </w:r>
      <w:r w:rsidR="004E7CCE">
        <w:rPr>
          <w:rFonts w:eastAsia="Times New Roman"/>
          <w:color w:val="000000"/>
        </w:rPr>
        <w:t xml:space="preserve">a </w:t>
      </w:r>
      <w:r w:rsidR="00353F65">
        <w:rPr>
          <w:rFonts w:eastAsia="Times New Roman"/>
          <w:color w:val="000000"/>
        </w:rPr>
        <w:t xml:space="preserve">voice to the underrepresented or disenfranchised (Davis and Arrigo 2021). </w:t>
      </w:r>
    </w:p>
    <w:p w14:paraId="3C21F44C" w14:textId="5475C424" w:rsidR="001F3FDB" w:rsidRDefault="00353F65" w:rsidP="007F1F32">
      <w:pPr>
        <w:spacing w:line="480" w:lineRule="auto"/>
        <w:ind w:firstLine="720"/>
        <w:contextualSpacing/>
        <w:rPr>
          <w:rFonts w:eastAsia="Times New Roman"/>
          <w:color w:val="000000"/>
        </w:rPr>
      </w:pPr>
      <w:r>
        <w:rPr>
          <w:rFonts w:eastAsia="Times New Roman"/>
          <w:color w:val="000000"/>
        </w:rPr>
        <w:t xml:space="preserve">Although </w:t>
      </w:r>
      <w:r w:rsidR="00312892">
        <w:rPr>
          <w:rFonts w:eastAsia="Times New Roman"/>
          <w:color w:val="000000"/>
        </w:rPr>
        <w:t>little</w:t>
      </w:r>
      <w:r>
        <w:rPr>
          <w:rFonts w:eastAsia="Times New Roman"/>
          <w:color w:val="000000"/>
        </w:rPr>
        <w:t xml:space="preserve"> criminological research has been conducted </w:t>
      </w:r>
      <w:r w:rsidR="00E63649">
        <w:rPr>
          <w:rFonts w:eastAsia="Times New Roman"/>
          <w:color w:val="000000"/>
        </w:rPr>
        <w:t xml:space="preserve">on darknet markets, what has been done typically </w:t>
      </w:r>
      <w:r>
        <w:rPr>
          <w:rFonts w:eastAsia="Times New Roman"/>
          <w:color w:val="000000"/>
        </w:rPr>
        <w:t>follows a proactive, policy-oriented approach.</w:t>
      </w:r>
      <w:r w:rsidR="0091040D">
        <w:rPr>
          <w:rFonts w:eastAsia="Times New Roman"/>
          <w:color w:val="000000"/>
        </w:rPr>
        <w:t xml:space="preserve"> </w:t>
      </w:r>
      <w:r w:rsidR="00E63649">
        <w:rPr>
          <w:rFonts w:eastAsia="Times New Roman"/>
          <w:color w:val="000000"/>
        </w:rPr>
        <w:t>This largely includes</w:t>
      </w:r>
      <w:r w:rsidR="009F4850">
        <w:rPr>
          <w:rFonts w:eastAsia="Times New Roman"/>
          <w:color w:val="000000"/>
        </w:rPr>
        <w:t xml:space="preserve"> the potential disruption of </w:t>
      </w:r>
      <w:r w:rsidR="0091040D">
        <w:rPr>
          <w:rFonts w:eastAsia="Times New Roman"/>
          <w:color w:val="000000"/>
        </w:rPr>
        <w:t>illegal marketplaces</w:t>
      </w:r>
      <w:r w:rsidR="009F4850">
        <w:rPr>
          <w:rFonts w:eastAsia="Times New Roman"/>
          <w:color w:val="000000"/>
        </w:rPr>
        <w:t xml:space="preserve">. </w:t>
      </w:r>
      <w:r w:rsidR="00312892">
        <w:rPr>
          <w:rFonts w:eastAsia="Times New Roman"/>
          <w:color w:val="000000"/>
        </w:rPr>
        <w:t>For example,</w:t>
      </w:r>
      <w:r w:rsidR="009F4850">
        <w:rPr>
          <w:rFonts w:eastAsia="Times New Roman"/>
          <w:color w:val="000000"/>
        </w:rPr>
        <w:t xml:space="preserve"> </w:t>
      </w:r>
      <w:r w:rsidR="00936A17">
        <w:rPr>
          <w:rFonts w:eastAsia="Times New Roman"/>
          <w:color w:val="000000"/>
        </w:rPr>
        <w:t>“lemonising the market” (Hoe et al., 2012; Hutchings &amp; Holt, 2017; Howell et al., 2022), fake sales, such as “fake peach attack” (</w:t>
      </w:r>
      <w:r w:rsidR="007F1F32">
        <w:rPr>
          <w:rFonts w:eastAsia="Times New Roman"/>
          <w:color w:val="000000"/>
        </w:rPr>
        <w:t xml:space="preserve">Hoe et al., 2012), and utilizing additional scripts to introduce new information into illegal markets (Hutchings &amp; Holt, 2015; Jardine, 2021). </w:t>
      </w:r>
      <w:r w:rsidR="0091040D">
        <w:rPr>
          <w:rFonts w:eastAsia="Times New Roman"/>
          <w:color w:val="000000"/>
        </w:rPr>
        <w:t>Generally speaking, t</w:t>
      </w:r>
      <w:r w:rsidR="007F1F32">
        <w:rPr>
          <w:rFonts w:eastAsia="Times New Roman"/>
          <w:color w:val="000000"/>
        </w:rPr>
        <w:t xml:space="preserve">hese methods involve introducing new information into criminal markets </w:t>
      </w:r>
      <w:r w:rsidR="006E626B">
        <w:rPr>
          <w:rFonts w:eastAsia="Times New Roman"/>
          <w:color w:val="000000"/>
        </w:rPr>
        <w:t xml:space="preserve">and are </w:t>
      </w:r>
      <w:r w:rsidR="0091040D">
        <w:rPr>
          <w:rFonts w:eastAsia="Times New Roman"/>
          <w:color w:val="000000"/>
        </w:rPr>
        <w:t>designed to</w:t>
      </w:r>
      <w:r w:rsidR="007F1F32">
        <w:rPr>
          <w:rFonts w:eastAsia="Times New Roman"/>
          <w:color w:val="000000"/>
        </w:rPr>
        <w:t xml:space="preserve"> erode trust. </w:t>
      </w:r>
    </w:p>
    <w:p w14:paraId="7DA5DDB3" w14:textId="77777777" w:rsidR="001F3FDB" w:rsidRPr="009934D7" w:rsidRDefault="00312892" w:rsidP="001F3FDB">
      <w:pPr>
        <w:spacing w:line="480" w:lineRule="auto"/>
        <w:ind w:firstLine="720"/>
        <w:contextualSpacing/>
        <w:rPr>
          <w:rFonts w:eastAsia="Times New Roman"/>
          <w:color w:val="000000"/>
        </w:rPr>
      </w:pPr>
      <w:r>
        <w:rPr>
          <w:rFonts w:eastAsia="Times New Roman"/>
          <w:color w:val="000000"/>
        </w:rPr>
        <w:t>This criminological research focuses on the human element. However, another aspect less explored is the transactions themselves. These financial t</w:t>
      </w:r>
      <w:r w:rsidR="001F3FDB">
        <w:rPr>
          <w:rFonts w:eastAsia="Times New Roman"/>
          <w:color w:val="000000"/>
        </w:rPr>
        <w:t xml:space="preserve">ransactions </w:t>
      </w:r>
      <w:r w:rsidR="00790EDB">
        <w:rPr>
          <w:rFonts w:eastAsia="Times New Roman"/>
          <w:color w:val="000000"/>
        </w:rPr>
        <w:t xml:space="preserve">occur asynchronously, without the need for an interaction between </w:t>
      </w:r>
      <w:r w:rsidR="00407F1F">
        <w:rPr>
          <w:rFonts w:eastAsia="Times New Roman"/>
          <w:color w:val="000000"/>
        </w:rPr>
        <w:t xml:space="preserve">any party involved. </w:t>
      </w:r>
      <w:r w:rsidR="00BF5661">
        <w:rPr>
          <w:rFonts w:eastAsia="Times New Roman"/>
          <w:color w:val="000000"/>
        </w:rPr>
        <w:t>A</w:t>
      </w:r>
      <w:r w:rsidR="009934D7">
        <w:rPr>
          <w:rFonts w:eastAsia="Times New Roman"/>
          <w:color w:val="000000"/>
        </w:rPr>
        <w:t>lternative currenc</w:t>
      </w:r>
      <w:r w:rsidR="004110C1">
        <w:rPr>
          <w:rFonts w:eastAsia="Times New Roman"/>
          <w:color w:val="000000"/>
        </w:rPr>
        <w:t>ies,</w:t>
      </w:r>
      <w:r w:rsidR="009934D7">
        <w:rPr>
          <w:rFonts w:eastAsia="Times New Roman"/>
          <w:color w:val="000000"/>
        </w:rPr>
        <w:t xml:space="preserve"> such as cryptocurrency</w:t>
      </w:r>
      <w:r w:rsidR="004110C1">
        <w:rPr>
          <w:rFonts w:eastAsia="Times New Roman"/>
          <w:color w:val="000000"/>
        </w:rPr>
        <w:t>,</w:t>
      </w:r>
      <w:r w:rsidR="009934D7">
        <w:rPr>
          <w:rFonts w:eastAsia="Times New Roman"/>
          <w:color w:val="000000"/>
        </w:rPr>
        <w:t xml:space="preserve"> are common in illegal transactions. Both the darknet and cryptocurrency environments serve as the host location for a series of legal and illegal activities.</w:t>
      </w:r>
      <w:r>
        <w:rPr>
          <w:rFonts w:eastAsia="Times New Roman"/>
          <w:color w:val="000000"/>
        </w:rPr>
        <w:t xml:space="preserve"> In order to understand the nature of these transactions we begin by providing a primer of the darknet, and Tor.</w:t>
      </w:r>
      <w:r w:rsidR="009934D7">
        <w:rPr>
          <w:rFonts w:eastAsia="Times New Roman"/>
          <w:color w:val="000000"/>
        </w:rPr>
        <w:t xml:space="preserve">  </w:t>
      </w:r>
    </w:p>
    <w:p w14:paraId="5F3710EA" w14:textId="77777777" w:rsidR="004E094C" w:rsidRPr="00A92DFC" w:rsidRDefault="004E094C" w:rsidP="00947652">
      <w:pPr>
        <w:spacing w:line="480" w:lineRule="auto"/>
        <w:contextualSpacing/>
        <w:rPr>
          <w:rFonts w:eastAsia="Times New Roman"/>
          <w:b/>
          <w:bCs/>
          <w:color w:val="000000"/>
        </w:rPr>
      </w:pPr>
      <w:r w:rsidRPr="00A92DFC">
        <w:rPr>
          <w:rFonts w:eastAsia="Times New Roman"/>
          <w:b/>
          <w:bCs/>
          <w:color w:val="000000"/>
        </w:rPr>
        <w:t>What is the darknet?</w:t>
      </w:r>
    </w:p>
    <w:p w14:paraId="5E90C8A2" w14:textId="312B578C" w:rsidR="004E094C" w:rsidRPr="00851EBC" w:rsidRDefault="004E094C" w:rsidP="00947652">
      <w:pPr>
        <w:spacing w:line="480" w:lineRule="auto"/>
        <w:contextualSpacing/>
        <w:rPr>
          <w:rFonts w:eastAsia="Times New Roman"/>
          <w:color w:val="000000"/>
        </w:rPr>
      </w:pPr>
      <w:r w:rsidRPr="00851EBC">
        <w:rPr>
          <w:rFonts w:eastAsia="Times New Roman"/>
          <w:color w:val="000000"/>
        </w:rPr>
        <w:tab/>
        <w:t xml:space="preserve">There exist three primary layers of the </w:t>
      </w:r>
      <w:r w:rsidR="00BF5661">
        <w:rPr>
          <w:rFonts w:eastAsia="Times New Roman"/>
          <w:color w:val="000000"/>
        </w:rPr>
        <w:t>i</w:t>
      </w:r>
      <w:r w:rsidRPr="00851EBC">
        <w:rPr>
          <w:rFonts w:eastAsia="Times New Roman"/>
          <w:color w:val="000000"/>
        </w:rPr>
        <w:t>nternet: the clearnet, the deep web, and the dark</w:t>
      </w:r>
      <w:r w:rsidR="004E7CCE">
        <w:rPr>
          <w:rFonts w:eastAsia="Times New Roman"/>
          <w:color w:val="000000"/>
        </w:rPr>
        <w:t xml:space="preserve"> </w:t>
      </w:r>
      <w:r w:rsidR="003F6BF7">
        <w:rPr>
          <w:rFonts w:eastAsia="Times New Roman"/>
          <w:color w:val="000000"/>
        </w:rPr>
        <w:t>web or darknet</w:t>
      </w:r>
      <w:r w:rsidRPr="00851EBC">
        <w:rPr>
          <w:rFonts w:eastAsia="Times New Roman"/>
          <w:color w:val="000000"/>
        </w:rPr>
        <w:t xml:space="preserve"> </w:t>
      </w:r>
      <w:r w:rsidR="007B3C23" w:rsidRPr="007B3C23">
        <w:rPr>
          <w:rFonts w:eastAsia="Times New Roman"/>
          <w:noProof/>
          <w:color w:val="000000"/>
        </w:rPr>
        <w:t>(Hatta, 2020)</w:t>
      </w:r>
      <w:r w:rsidRPr="00851EBC">
        <w:rPr>
          <w:rFonts w:eastAsia="Times New Roman"/>
          <w:color w:val="000000"/>
        </w:rPr>
        <w:t xml:space="preserve">. The clearnet is the indexed side of the </w:t>
      </w:r>
      <w:r w:rsidR="00BF5661">
        <w:rPr>
          <w:rFonts w:eastAsia="Times New Roman"/>
          <w:color w:val="000000"/>
        </w:rPr>
        <w:t>i</w:t>
      </w:r>
      <w:r w:rsidRPr="00851EBC">
        <w:rPr>
          <w:rFonts w:eastAsia="Times New Roman"/>
          <w:color w:val="000000"/>
        </w:rPr>
        <w:t xml:space="preserve">nternet, accessible by anyone, while the deep web lives behind a password, paywall, or other barrier. It makes up systems like online banking, academic and government databases, and individual email accounts, all of which require permission or authorization to access. While both of these layers are utilized </w:t>
      </w:r>
      <w:r w:rsidRPr="00851EBC">
        <w:rPr>
          <w:rFonts w:eastAsia="Times New Roman"/>
          <w:color w:val="000000"/>
        </w:rPr>
        <w:lastRenderedPageBreak/>
        <w:t xml:space="preserve">through ordinary </w:t>
      </w:r>
      <w:r w:rsidR="00A27F63">
        <w:rPr>
          <w:rFonts w:eastAsia="Times New Roman"/>
          <w:color w:val="000000"/>
        </w:rPr>
        <w:t>i</w:t>
      </w:r>
      <w:r w:rsidRPr="00851EBC">
        <w:rPr>
          <w:rFonts w:eastAsia="Times New Roman"/>
          <w:color w:val="000000"/>
        </w:rPr>
        <w:t xml:space="preserve">nternet use, the darknet requires a special browser to access and prioritizes anonymity, creating a breeding ground for illicit activity. </w:t>
      </w:r>
      <w:r w:rsidR="00E32D55" w:rsidRPr="00E32D55">
        <w:rPr>
          <w:rFonts w:eastAsia="Times New Roman"/>
          <w:color w:val="000000"/>
        </w:rPr>
        <w:t>The terms “dark</w:t>
      </w:r>
      <w:r w:rsidR="003C3728">
        <w:rPr>
          <w:rFonts w:eastAsia="Times New Roman"/>
          <w:color w:val="000000"/>
        </w:rPr>
        <w:t xml:space="preserve"> </w:t>
      </w:r>
      <w:r w:rsidR="00E32D55" w:rsidRPr="00E32D55">
        <w:rPr>
          <w:rFonts w:eastAsia="Times New Roman"/>
          <w:color w:val="000000"/>
        </w:rPr>
        <w:t>web” and “darknet” are often used interchangeably, though the darknet specifically refers to the numerous browsers (Tor, I2P, Freenet, Zeronet) used to access hidden services on the dark</w:t>
      </w:r>
      <w:r w:rsidR="003C3728">
        <w:rPr>
          <w:rFonts w:eastAsia="Times New Roman"/>
          <w:color w:val="000000"/>
        </w:rPr>
        <w:t xml:space="preserve"> </w:t>
      </w:r>
      <w:r w:rsidR="00E32D55" w:rsidRPr="00E32D55">
        <w:rPr>
          <w:rFonts w:eastAsia="Times New Roman"/>
          <w:color w:val="000000"/>
        </w:rPr>
        <w:t>web, including</w:t>
      </w:r>
      <w:r w:rsidRPr="00851EBC">
        <w:rPr>
          <w:rFonts w:eastAsia="Times New Roman"/>
          <w:color w:val="000000"/>
        </w:rPr>
        <w:t xml:space="preserve"> eBay-style drug markets which use cryptocurrency for sales </w:t>
      </w:r>
      <w:r w:rsidR="00E32D55" w:rsidRPr="00E32D55">
        <w:rPr>
          <w:rFonts w:eastAsia="Times New Roman"/>
          <w:color w:val="000000"/>
        </w:rPr>
        <w:t>(Badhwar, 2021; Kavallieros et al., 2021)</w:t>
      </w:r>
      <w:r w:rsidRPr="00851EBC">
        <w:rPr>
          <w:rFonts w:eastAsia="Times New Roman"/>
          <w:color w:val="000000"/>
        </w:rPr>
        <w:t>.</w:t>
      </w:r>
      <w:r w:rsidR="00E32D55">
        <w:rPr>
          <w:rFonts w:eastAsia="Times New Roman"/>
          <w:color w:val="000000"/>
        </w:rPr>
        <w:t xml:space="preserve"> </w:t>
      </w:r>
      <w:r w:rsidR="00E32D55" w:rsidRPr="00E32D55">
        <w:rPr>
          <w:rFonts w:eastAsia="Times New Roman"/>
          <w:color w:val="000000"/>
        </w:rPr>
        <w:t>The dark</w:t>
      </w:r>
      <w:r w:rsidR="003C3728">
        <w:rPr>
          <w:rFonts w:eastAsia="Times New Roman"/>
          <w:color w:val="000000"/>
        </w:rPr>
        <w:t xml:space="preserve"> </w:t>
      </w:r>
      <w:r w:rsidR="00E32D55" w:rsidRPr="00E32D55">
        <w:rPr>
          <w:rFonts w:eastAsia="Times New Roman"/>
          <w:color w:val="000000"/>
        </w:rPr>
        <w:t>web refers more broadly to the part of the deep web that is an anonymous, hidden space (Kavallieros et al., 2021). Essentially, the dark</w:t>
      </w:r>
      <w:r w:rsidR="003C3728">
        <w:rPr>
          <w:rFonts w:eastAsia="Times New Roman"/>
          <w:color w:val="000000"/>
        </w:rPr>
        <w:t xml:space="preserve"> </w:t>
      </w:r>
      <w:r w:rsidR="00E32D55" w:rsidRPr="00E32D55">
        <w:rPr>
          <w:rFonts w:eastAsia="Times New Roman"/>
          <w:color w:val="000000"/>
        </w:rPr>
        <w:t xml:space="preserve">web is made up of several darknets, each of which provide anonymity to users and host services like marketplaces, websites, and file sharing (Kavallieros et al., 2021; Moore &amp; Rid, 2016). </w:t>
      </w:r>
      <w:r w:rsidR="00E32D55">
        <w:rPr>
          <w:rFonts w:eastAsia="Times New Roman"/>
          <w:color w:val="000000"/>
        </w:rPr>
        <w:t>D</w:t>
      </w:r>
      <w:r w:rsidRPr="00851EBC">
        <w:rPr>
          <w:rFonts w:eastAsia="Times New Roman"/>
          <w:color w:val="000000"/>
        </w:rPr>
        <w:t>arknet</w:t>
      </w:r>
      <w:r w:rsidR="00E32D55">
        <w:rPr>
          <w:rFonts w:eastAsia="Times New Roman"/>
          <w:color w:val="000000"/>
        </w:rPr>
        <w:t>s are</w:t>
      </w:r>
      <w:r w:rsidRPr="00851EBC">
        <w:rPr>
          <w:rFonts w:eastAsia="Times New Roman"/>
          <w:color w:val="000000"/>
        </w:rPr>
        <w:t xml:space="preserve"> not indexed, forcing users to either know the URLs of websites of interest or know how to find them in order to use </w:t>
      </w:r>
      <w:r w:rsidR="00A27F63">
        <w:rPr>
          <w:rFonts w:eastAsia="Times New Roman"/>
          <w:color w:val="000000"/>
        </w:rPr>
        <w:t>them</w:t>
      </w:r>
      <w:r w:rsidRPr="00851EBC">
        <w:rPr>
          <w:rFonts w:eastAsia="Times New Roman"/>
          <w:color w:val="000000"/>
        </w:rPr>
        <w:t xml:space="preserve">. Although the darknet is typically discussed in reference to illegal activity, some users utilize it legitimately </w:t>
      </w:r>
      <w:r w:rsidR="00A27F63">
        <w:rPr>
          <w:rFonts w:eastAsia="Times New Roman"/>
          <w:color w:val="000000"/>
        </w:rPr>
        <w:t>because</w:t>
      </w:r>
      <w:r w:rsidRPr="00851EBC">
        <w:rPr>
          <w:rFonts w:eastAsia="Times New Roman"/>
          <w:color w:val="000000"/>
        </w:rPr>
        <w:t xml:space="preserve"> the anonymity it provides both obfuscates their identity and allows them to avoid censorship and other barriers to </w:t>
      </w:r>
      <w:r w:rsidR="00A27F63">
        <w:rPr>
          <w:rFonts w:eastAsia="Times New Roman"/>
          <w:color w:val="000000"/>
        </w:rPr>
        <w:t>i</w:t>
      </w:r>
      <w:r w:rsidRPr="00851EBC">
        <w:rPr>
          <w:rFonts w:eastAsia="Times New Roman"/>
          <w:color w:val="000000"/>
        </w:rPr>
        <w:t>nternet access (</w:t>
      </w:r>
      <w:r w:rsidR="007B3C23">
        <w:rPr>
          <w:rFonts w:eastAsia="Times New Roman"/>
          <w:color w:val="000000"/>
        </w:rPr>
        <w:t xml:space="preserve">e.g., Russians using VPNs and Tor to access information not </w:t>
      </w:r>
      <w:r w:rsidR="008C66BD">
        <w:rPr>
          <w:rFonts w:eastAsia="Times New Roman"/>
          <w:color w:val="000000"/>
        </w:rPr>
        <w:t>disseminated</w:t>
      </w:r>
      <w:r w:rsidR="007B3C23">
        <w:rPr>
          <w:rFonts w:eastAsia="Times New Roman"/>
          <w:color w:val="000000"/>
        </w:rPr>
        <w:t xml:space="preserve"> by state interest during the Ukraine war</w:t>
      </w:r>
      <w:r w:rsidRPr="00851EBC">
        <w:rPr>
          <w:rFonts w:eastAsia="Times New Roman"/>
          <w:color w:val="000000"/>
        </w:rPr>
        <w:t>). </w:t>
      </w:r>
    </w:p>
    <w:p w14:paraId="736DD0B5" w14:textId="77777777" w:rsidR="004E094C" w:rsidRPr="00851EBC" w:rsidRDefault="004E094C" w:rsidP="00947652">
      <w:pPr>
        <w:spacing w:line="480" w:lineRule="auto"/>
        <w:contextualSpacing/>
        <w:rPr>
          <w:rFonts w:eastAsia="Times New Roman"/>
          <w:color w:val="000000"/>
        </w:rPr>
      </w:pPr>
      <w:r w:rsidRPr="00851EBC">
        <w:rPr>
          <w:rFonts w:eastAsia="Times New Roman"/>
          <w:color w:val="000000"/>
        </w:rPr>
        <w:t>What is Tor?</w:t>
      </w:r>
    </w:p>
    <w:p w14:paraId="56EC9222" w14:textId="77777777" w:rsidR="004E094C" w:rsidRDefault="004E094C" w:rsidP="00947652">
      <w:pPr>
        <w:spacing w:line="480" w:lineRule="auto"/>
        <w:contextualSpacing/>
        <w:rPr>
          <w:rFonts w:eastAsia="Times New Roman"/>
          <w:color w:val="000000"/>
        </w:rPr>
      </w:pPr>
      <w:r w:rsidRPr="00851EBC">
        <w:rPr>
          <w:rFonts w:eastAsia="Times New Roman"/>
          <w:color w:val="000000"/>
        </w:rPr>
        <w:tab/>
        <w:t xml:space="preserve">Several darknets exist, but the most popular one is Tor—The Onion Router. Tor is a decentralized network focused on privacy which utilizes </w:t>
      </w:r>
      <w:r w:rsidR="00A27F63">
        <w:rPr>
          <w:rFonts w:eastAsia="Times New Roman"/>
          <w:color w:val="000000"/>
        </w:rPr>
        <w:t xml:space="preserve">a specialized kind of routing, called </w:t>
      </w:r>
      <w:r w:rsidRPr="00851EBC">
        <w:rPr>
          <w:rFonts w:eastAsia="Times New Roman"/>
          <w:color w:val="000000"/>
        </w:rPr>
        <w:t>onion routing</w:t>
      </w:r>
      <w:r w:rsidR="00A27F63">
        <w:rPr>
          <w:rFonts w:eastAsia="Times New Roman"/>
          <w:color w:val="000000"/>
        </w:rPr>
        <w:t>,</w:t>
      </w:r>
      <w:r w:rsidRPr="00851EBC">
        <w:rPr>
          <w:rFonts w:eastAsia="Times New Roman"/>
          <w:color w:val="000000"/>
        </w:rPr>
        <w:t xml:space="preserve"> to process requests, creating a space for users to browse without being tracked (Monk et al., 2018). The U.S. Naval Research Laboratory developed the idea of onion routing in the 1990s and the Tor Project, a nonprofit, built on this concept to develop the Tor browser as a mechanism for utilizing onion routing </w:t>
      </w:r>
      <w:r w:rsidR="006A334F">
        <w:rPr>
          <w:rFonts w:eastAsia="Times New Roman"/>
          <w:color w:val="000000"/>
        </w:rPr>
        <w:t>(torproject.org</w:t>
      </w:r>
      <w:r w:rsidRPr="00851EBC">
        <w:rPr>
          <w:rFonts w:eastAsia="Times New Roman"/>
          <w:color w:val="000000"/>
        </w:rPr>
        <w:t xml:space="preserve">). Tor functions by routing traffic through multiple layers of encryption, where one layer of encryption is decrypted at each relay; thus, no </w:t>
      </w:r>
      <w:r w:rsidRPr="00851EBC">
        <w:rPr>
          <w:rFonts w:eastAsia="Times New Roman"/>
          <w:color w:val="000000"/>
        </w:rPr>
        <w:lastRenderedPageBreak/>
        <w:t xml:space="preserve">single node knows both the origin and final destination (Hodge, 2021). The network is </w:t>
      </w:r>
      <w:r w:rsidR="005D5366" w:rsidRPr="00851EBC">
        <w:rPr>
          <w:rFonts w:eastAsia="Times New Roman"/>
          <w:color w:val="000000"/>
        </w:rPr>
        <w:t>volunteer run</w:t>
      </w:r>
      <w:r w:rsidRPr="00851EBC">
        <w:rPr>
          <w:rFonts w:eastAsia="Times New Roman"/>
          <w:color w:val="000000"/>
        </w:rPr>
        <w:t>, meaning that it relies on volunteered nodes through which to route traffic. </w:t>
      </w:r>
    </w:p>
    <w:p w14:paraId="4CAF0F39" w14:textId="77777777" w:rsidR="0065284B" w:rsidRPr="0065284B" w:rsidRDefault="003466CD" w:rsidP="00947652">
      <w:pPr>
        <w:spacing w:line="480" w:lineRule="auto"/>
        <w:contextualSpacing/>
        <w:rPr>
          <w:rFonts w:eastAsia="Times New Roman"/>
          <w:color w:val="000000"/>
        </w:rPr>
      </w:pPr>
      <w:r>
        <w:rPr>
          <w:rFonts w:eastAsia="Times New Roman"/>
          <w:color w:val="000000"/>
        </w:rPr>
        <w:tab/>
        <w:t xml:space="preserve">Tor </w:t>
      </w:r>
      <w:r w:rsidR="004110C1">
        <w:rPr>
          <w:rFonts w:eastAsia="Times New Roman"/>
          <w:color w:val="000000"/>
        </w:rPr>
        <w:t xml:space="preserve">utilizes </w:t>
      </w:r>
      <w:r>
        <w:rPr>
          <w:rFonts w:eastAsia="Times New Roman"/>
          <w:color w:val="000000"/>
        </w:rPr>
        <w:t xml:space="preserve">three </w:t>
      </w:r>
      <w:r w:rsidR="00D94279">
        <w:rPr>
          <w:rFonts w:eastAsia="Times New Roman"/>
          <w:color w:val="000000"/>
        </w:rPr>
        <w:t>relays to create the circuit through which traffic is routed (Srivathsav, 2018)</w:t>
      </w:r>
      <w:r>
        <w:rPr>
          <w:rFonts w:eastAsia="Times New Roman"/>
          <w:color w:val="000000"/>
        </w:rPr>
        <w:t xml:space="preserve">. The guard is the first relay used to build a Tor circuit and serves as the entry point for the network (Jonsson &amp; Edeby, 2021; “Types of Relays”, n.d.). </w:t>
      </w:r>
      <w:r w:rsidR="00023D1C">
        <w:rPr>
          <w:rFonts w:eastAsia="Times New Roman"/>
          <w:color w:val="000000"/>
        </w:rPr>
        <w:t>The middle relay operates as the second hop, while the exit relay “sends traffic out to its destination” (“Types of Relays”, n.d.).</w:t>
      </w:r>
      <w:r w:rsidR="007B3C23">
        <w:rPr>
          <w:rFonts w:eastAsia="Times New Roman"/>
          <w:color w:val="000000"/>
        </w:rPr>
        <w:t xml:space="preserve"> In short, </w:t>
      </w:r>
      <w:r w:rsidR="00EE64DE">
        <w:rPr>
          <w:rFonts w:eastAsia="Times New Roman"/>
          <w:color w:val="000000"/>
        </w:rPr>
        <w:t>instead of directly visiting a website</w:t>
      </w:r>
      <w:r w:rsidR="004110C1">
        <w:rPr>
          <w:rFonts w:eastAsia="Times New Roman"/>
          <w:color w:val="000000"/>
        </w:rPr>
        <w:t>,</w:t>
      </w:r>
      <w:r w:rsidR="00EE64DE">
        <w:rPr>
          <w:rFonts w:eastAsia="Times New Roman"/>
          <w:color w:val="000000"/>
        </w:rPr>
        <w:t xml:space="preserve"> the traffic is bounced around to several locations to make it more difficult to know what </w:t>
      </w:r>
      <w:r w:rsidR="005D5366">
        <w:rPr>
          <w:rFonts w:eastAsia="Times New Roman"/>
          <w:color w:val="000000"/>
        </w:rPr>
        <w:t>the result</w:t>
      </w:r>
      <w:r w:rsidR="004110C1">
        <w:rPr>
          <w:rFonts w:eastAsia="Times New Roman"/>
          <w:color w:val="000000"/>
        </w:rPr>
        <w:t>—</w:t>
      </w:r>
      <w:r w:rsidR="00EE64DE">
        <w:rPr>
          <w:rFonts w:eastAsia="Times New Roman"/>
          <w:color w:val="000000"/>
        </w:rPr>
        <w:t>the end website</w:t>
      </w:r>
      <w:r w:rsidR="004110C1">
        <w:rPr>
          <w:rFonts w:eastAsia="Times New Roman"/>
          <w:color w:val="000000"/>
        </w:rPr>
        <w:t>—</w:t>
      </w:r>
      <w:r w:rsidR="00EE64DE">
        <w:rPr>
          <w:rFonts w:eastAsia="Times New Roman"/>
          <w:color w:val="000000"/>
        </w:rPr>
        <w:t xml:space="preserve">is. </w:t>
      </w:r>
    </w:p>
    <w:p w14:paraId="72E7D49F" w14:textId="77777777" w:rsidR="00D0126B" w:rsidRDefault="00D0126B" w:rsidP="00947652">
      <w:pPr>
        <w:spacing w:line="480" w:lineRule="auto"/>
        <w:contextualSpacing/>
      </w:pPr>
      <w:r>
        <w:t>Cryptocurrency</w:t>
      </w:r>
    </w:p>
    <w:p w14:paraId="42D4CC93" w14:textId="77777777" w:rsidR="0014660B" w:rsidRDefault="0014660B" w:rsidP="00947652">
      <w:pPr>
        <w:spacing w:line="480" w:lineRule="auto"/>
        <w:contextualSpacing/>
      </w:pPr>
      <w:r>
        <w:tab/>
      </w:r>
      <w:r w:rsidR="007B49A4">
        <w:t xml:space="preserve">Cryptocurrency has been defined as “digital assets used as a medium of exchange” </w:t>
      </w:r>
      <w:r w:rsidR="00DF5367" w:rsidRPr="00DF5367">
        <w:rPr>
          <w:noProof/>
        </w:rPr>
        <w:t>(Young et al., 2016)</w:t>
      </w:r>
      <w:r w:rsidR="00FD6D44">
        <w:t xml:space="preserve">. </w:t>
      </w:r>
      <w:r>
        <w:t xml:space="preserve">The earliest modern cryptocurrency can be traced to </w:t>
      </w:r>
      <w:r w:rsidR="004110C1">
        <w:t xml:space="preserve">Satoshi </w:t>
      </w:r>
      <w:r w:rsidR="008E0299">
        <w:t xml:space="preserve">Nakamoto’s original </w:t>
      </w:r>
      <w:r w:rsidR="005D5366">
        <w:t>white paper</w:t>
      </w:r>
      <w:r w:rsidR="008E0299">
        <w:t xml:space="preserve"> on Bitcoin </w:t>
      </w:r>
      <w:r w:rsidR="008E0299" w:rsidRPr="008E0299">
        <w:rPr>
          <w:noProof/>
        </w:rPr>
        <w:t>(Nakamoto, 2008)</w:t>
      </w:r>
      <w:r w:rsidR="008E0299">
        <w:t>. Bitcoin combines many digital innovations to form a decentralized network of information</w:t>
      </w:r>
      <w:r w:rsidR="00B551B4">
        <w:t>. Despite being the first</w:t>
      </w:r>
      <w:r w:rsidR="004110C1">
        <w:t xml:space="preserve"> cryptocurrency</w:t>
      </w:r>
      <w:r w:rsidR="00B551B4">
        <w:t>, it is</w:t>
      </w:r>
      <w:r w:rsidR="008E0299">
        <w:t xml:space="preserve"> still </w:t>
      </w:r>
      <w:r w:rsidR="00214D4B">
        <w:t xml:space="preserve">in </w:t>
      </w:r>
      <w:r w:rsidR="008E0299">
        <w:t>use as of the writing of this article.</w:t>
      </w:r>
      <w:r w:rsidR="00B551B4">
        <w:t xml:space="preserve"> This attests to the combination of innovation and digital security </w:t>
      </w:r>
      <w:r w:rsidR="00791A03">
        <w:t>implemented</w:t>
      </w:r>
      <w:r w:rsidR="00B551B4">
        <w:t xml:space="preserve"> </w:t>
      </w:r>
      <w:r w:rsidR="004110C1">
        <w:t>by</w:t>
      </w:r>
      <w:r w:rsidR="00B551B4">
        <w:t xml:space="preserve"> Bitcoin. </w:t>
      </w:r>
      <w:r w:rsidR="008E0299">
        <w:t xml:space="preserve">In fact, this original cryptocurrency current holds the highest market cap of any </w:t>
      </w:r>
      <w:r w:rsidR="002E1F46">
        <w:t xml:space="preserve">digital “coin” at 650 billion USD </w:t>
      </w:r>
      <w:r w:rsidR="00DF5367" w:rsidRPr="00DF5367">
        <w:rPr>
          <w:noProof/>
        </w:rPr>
        <w:t>(</w:t>
      </w:r>
      <w:r w:rsidR="00DF5367" w:rsidRPr="00DF5367">
        <w:rPr>
          <w:i/>
          <w:noProof/>
        </w:rPr>
        <w:t>Cryptocurrency Prices, Charts And Market Capitalizations | CoinMarketCap</w:t>
      </w:r>
      <w:r w:rsidR="00DF5367" w:rsidRPr="00DF5367">
        <w:rPr>
          <w:noProof/>
        </w:rPr>
        <w:t>, n.d.)</w:t>
      </w:r>
      <w:r w:rsidR="002E1F46">
        <w:t xml:space="preserve">. Although this paper is not designed to provide a comprehensive explanation of how </w:t>
      </w:r>
      <w:r w:rsidR="004110C1">
        <w:t>B</w:t>
      </w:r>
      <w:r w:rsidR="002E1F46">
        <w:t xml:space="preserve">itcoin operates, a few specific elements are important for understanding why </w:t>
      </w:r>
      <w:r w:rsidR="004110C1">
        <w:t>B</w:t>
      </w:r>
      <w:r w:rsidR="002E1F46">
        <w:t>itcoin is an important tool for criminological researchers.</w:t>
      </w:r>
      <w:r w:rsidR="007B49A4">
        <w:t xml:space="preserve"> These include the nature of </w:t>
      </w:r>
      <w:r w:rsidR="004110C1">
        <w:t>B</w:t>
      </w:r>
      <w:r w:rsidR="007B49A4">
        <w:t xml:space="preserve">itcoin, the use of a decentralized ledger, and the use of </w:t>
      </w:r>
      <w:r w:rsidR="004110C1">
        <w:t>B</w:t>
      </w:r>
      <w:r w:rsidR="007B49A4">
        <w:t xml:space="preserve">itcoin on darknet markets. Each of these are explained below. </w:t>
      </w:r>
    </w:p>
    <w:p w14:paraId="78B90422" w14:textId="77777777" w:rsidR="004B58AB" w:rsidRDefault="007B49A4" w:rsidP="00947652">
      <w:pPr>
        <w:spacing w:line="480" w:lineRule="auto"/>
        <w:contextualSpacing/>
      </w:pPr>
      <w:r>
        <w:tab/>
      </w:r>
      <w:r w:rsidR="004B58AB">
        <w:t>Bitcoin is a digital asset stored in a virtual wallet. These wallets are a set of keys. A public key indicates a</w:t>
      </w:r>
      <w:r w:rsidR="0041309A">
        <w:t xml:space="preserve"> digital</w:t>
      </w:r>
      <w:r w:rsidR="004B58AB">
        <w:t xml:space="preserve"> address, and operates much like a street address, pointing to a </w:t>
      </w:r>
      <w:r w:rsidR="004B58AB">
        <w:lastRenderedPageBreak/>
        <w:t xml:space="preserve">specific (digital) location. A second key is a private key. This is a series of characters which serve as a password. If a user has both a public and private key, they can access the </w:t>
      </w:r>
      <w:r w:rsidR="004110C1">
        <w:t>b</w:t>
      </w:r>
      <w:r w:rsidR="004B58AB">
        <w:t>itcoins stored on the</w:t>
      </w:r>
      <w:r w:rsidR="00A854CB">
        <w:t>ir</w:t>
      </w:r>
      <w:r w:rsidR="004B58AB">
        <w:t xml:space="preserve"> wallet. These </w:t>
      </w:r>
      <w:r w:rsidR="004110C1">
        <w:t>b</w:t>
      </w:r>
      <w:r w:rsidR="004B58AB">
        <w:t xml:space="preserve">itcoins can then be transferred to other public addresses, forming the basis for transactions and the treatment of Bitcoin as a form of non-backed currency </w:t>
      </w:r>
      <w:r w:rsidR="004B58AB" w:rsidRPr="004B58AB">
        <w:rPr>
          <w:noProof/>
        </w:rPr>
        <w:t>(Nakamoto, 2008)</w:t>
      </w:r>
      <w:r w:rsidR="004B58AB">
        <w:t xml:space="preserve">. This is to say that </w:t>
      </w:r>
      <w:r w:rsidR="004110C1">
        <w:t>b</w:t>
      </w:r>
      <w:r w:rsidR="004B58AB">
        <w:t xml:space="preserve">itcoins </w:t>
      </w:r>
      <w:r w:rsidR="005D5366">
        <w:t>can</w:t>
      </w:r>
      <w:r w:rsidR="004B58AB">
        <w:t xml:space="preserve"> utilize trade and </w:t>
      </w:r>
      <w:r w:rsidR="00414310">
        <w:t>transactions but</w:t>
      </w:r>
      <w:r w:rsidR="004B58AB">
        <w:t xml:space="preserve"> are not backed by any </w:t>
      </w:r>
      <w:r w:rsidR="00B87244">
        <w:t>asset such as other currencies, commodities, or governments.</w:t>
      </w:r>
      <w:r w:rsidR="00414310">
        <w:t xml:space="preserve"> </w:t>
      </w:r>
      <w:r w:rsidR="0065284B">
        <w:t>Their</w:t>
      </w:r>
      <w:r w:rsidR="00414310">
        <w:t xml:space="preserve"> value is determined by trades from other currencies, leading to a highly speculative market which has extreme volatility. </w:t>
      </w:r>
    </w:p>
    <w:p w14:paraId="6CE0794B" w14:textId="14E05413" w:rsidR="00B87244" w:rsidRDefault="00B87244" w:rsidP="00947652">
      <w:pPr>
        <w:spacing w:line="480" w:lineRule="auto"/>
        <w:contextualSpacing/>
      </w:pPr>
      <w:r>
        <w:tab/>
        <w:t xml:space="preserve">Often it is this freedom from other institutions that cryptocurrency advocates value. Instead of </w:t>
      </w:r>
      <w:r w:rsidR="002E05C5">
        <w:t>utilizing</w:t>
      </w:r>
      <w:r>
        <w:t xml:space="preserve"> a third party for transactions (e.g., a bank), Bitcoin operates independently through a decentralized network. This decentralized network is the basis of a second important concept, the </w:t>
      </w:r>
      <w:r w:rsidR="008B4B83">
        <w:t xml:space="preserve">digital </w:t>
      </w:r>
      <w:r>
        <w:t xml:space="preserve">ledger. Instead of </w:t>
      </w:r>
      <w:r w:rsidR="002E05C5">
        <w:t>needing</w:t>
      </w:r>
      <w:r>
        <w:t xml:space="preserve"> a third party, </w:t>
      </w:r>
      <w:r w:rsidR="004110C1">
        <w:t>B</w:t>
      </w:r>
      <w:r>
        <w:t xml:space="preserve">itcoin uses a </w:t>
      </w:r>
      <w:r w:rsidR="002E05C5">
        <w:t xml:space="preserve">constantly </w:t>
      </w:r>
      <w:r>
        <w:t xml:space="preserve">running ledger </w:t>
      </w:r>
      <w:r w:rsidR="00695E30">
        <w:t>that</w:t>
      </w:r>
      <w:r>
        <w:t xml:space="preserve"> stores all transactions done on the Bitcoin blockchain.</w:t>
      </w:r>
      <w:r w:rsidR="002E05C5">
        <w:t xml:space="preserve"> This ledger only allows transactions to be added, not deleted.</w:t>
      </w:r>
      <w:r w:rsidR="00ED01CE">
        <w:t xml:space="preserve"> When transactions are completed, they are added to the Bitcoin block. Once this block becomes large, it is added as part of the history of Bitcoin through the </w:t>
      </w:r>
      <w:r w:rsidR="004110C1">
        <w:t>b</w:t>
      </w:r>
      <w:r w:rsidR="00ED01CE">
        <w:t xml:space="preserve">lockchain. This </w:t>
      </w:r>
      <w:r w:rsidR="004110C1">
        <w:t>b</w:t>
      </w:r>
      <w:r w:rsidR="00ED01CE">
        <w:t xml:space="preserve">lockchain becomes is a series of blocks, with header information that connects the blocks in a sequential order. </w:t>
      </w:r>
    </w:p>
    <w:p w14:paraId="7A9A36A4" w14:textId="5E8A9380" w:rsidR="004B58AB" w:rsidRDefault="00D12041" w:rsidP="00947652">
      <w:pPr>
        <w:spacing w:line="480" w:lineRule="auto"/>
        <w:ind w:firstLine="720"/>
        <w:contextualSpacing/>
      </w:pPr>
      <w:r>
        <w:t xml:space="preserve">This ledger leads to one of the most common misconceptions about Bitcoin. Although Bitcoin is </w:t>
      </w:r>
      <w:r w:rsidR="003655E8">
        <w:t>pseudonymous</w:t>
      </w:r>
      <w:r>
        <w:t xml:space="preserve">, it is extremely easy to track. The ledger provides all transactions for every address. These addresses are public, allowing for anyone to view how </w:t>
      </w:r>
      <w:r w:rsidR="0041309A">
        <w:t>many</w:t>
      </w:r>
      <w:r>
        <w:t xml:space="preserve"> </w:t>
      </w:r>
      <w:r w:rsidR="0022352F">
        <w:t>b</w:t>
      </w:r>
      <w:r>
        <w:t>itcoin</w:t>
      </w:r>
      <w:r w:rsidR="0041309A">
        <w:t>s</w:t>
      </w:r>
      <w:r>
        <w:t xml:space="preserve"> </w:t>
      </w:r>
      <w:r w:rsidR="0041309A">
        <w:t>were</w:t>
      </w:r>
      <w:r>
        <w:t xml:space="preserve"> sent from one address to another. In this way</w:t>
      </w:r>
      <w:r w:rsidR="0022352F">
        <w:t>,</w:t>
      </w:r>
      <w:r>
        <w:t xml:space="preserve"> Bitcoin is transparent. What makes Bitcoin </w:t>
      </w:r>
      <w:r w:rsidR="00163CAC">
        <w:t xml:space="preserve">pseudonymous </w:t>
      </w:r>
      <w:r>
        <w:t>is that specific addresses cannot be tied to individuals without external information.</w:t>
      </w:r>
    </w:p>
    <w:p w14:paraId="092F3049" w14:textId="77777777" w:rsidR="00D12041" w:rsidRDefault="007B49A4" w:rsidP="00B97DC2">
      <w:pPr>
        <w:spacing w:line="480" w:lineRule="auto"/>
        <w:ind w:firstLine="720"/>
        <w:contextualSpacing/>
      </w:pPr>
      <w:r>
        <w:lastRenderedPageBreak/>
        <w:t xml:space="preserve">Bitcoin is not the only </w:t>
      </w:r>
      <w:r w:rsidR="00EE64DE">
        <w:t>cryptocurrency;</w:t>
      </w:r>
      <w:r>
        <w:t xml:space="preserve"> it </w:t>
      </w:r>
      <w:r w:rsidR="00FD6D44">
        <w:t xml:space="preserve">was </w:t>
      </w:r>
      <w:r>
        <w:t>the first and</w:t>
      </w:r>
      <w:r w:rsidR="00B551B4">
        <w:t xml:space="preserve"> is currently the</w:t>
      </w:r>
      <w:r>
        <w:t xml:space="preserve"> most utilized.</w:t>
      </w:r>
      <w:r w:rsidR="00B551B4">
        <w:t xml:space="preserve"> Bitcoin was the cryptocurrency used </w:t>
      </w:r>
      <w:r w:rsidR="000623AB">
        <w:t xml:space="preserve">by the first </w:t>
      </w:r>
      <w:r w:rsidR="00B551B4">
        <w:t xml:space="preserve">major online darknet markets, such as Silk Road </w:t>
      </w:r>
      <w:r w:rsidR="00B551B4" w:rsidRPr="00B551B4">
        <w:rPr>
          <w:noProof/>
        </w:rPr>
        <w:t>(Dorit &amp; Shamir, 2014)</w:t>
      </w:r>
      <w:r w:rsidR="00B551B4">
        <w:t>.</w:t>
      </w:r>
      <w:r w:rsidR="004B58AB">
        <w:t xml:space="preserve"> </w:t>
      </w:r>
      <w:r w:rsidR="00EF4BFF">
        <w:t xml:space="preserve">While the future remains to be seen, there is evidence that other cryptocurrencies are becoming popular on the darknet. For example, a revival of the </w:t>
      </w:r>
      <w:r w:rsidR="000623AB">
        <w:t xml:space="preserve">darknet </w:t>
      </w:r>
      <w:r w:rsidR="00EF4BFF">
        <w:t xml:space="preserve">marketplace analyzed in the paper, AlphaBay, </w:t>
      </w:r>
      <w:r w:rsidR="000623AB">
        <w:t xml:space="preserve">now </w:t>
      </w:r>
      <w:r w:rsidR="00EF4BFF">
        <w:t>accept</w:t>
      </w:r>
      <w:r w:rsidR="000623AB">
        <w:t xml:space="preserve">s </w:t>
      </w:r>
      <w:r w:rsidR="00EF4BFF">
        <w:t xml:space="preserve">only Monero. Monero appears to be particularly appealing for darknet transactions as the ledger is </w:t>
      </w:r>
      <w:r w:rsidR="003347D4">
        <w:t xml:space="preserve">not publicly traceable (Monero, 2022). </w:t>
      </w:r>
    </w:p>
    <w:p w14:paraId="725C19FD" w14:textId="77777777" w:rsidR="00F84F8D" w:rsidRPr="00947652" w:rsidRDefault="00F84F8D" w:rsidP="00947652">
      <w:pPr>
        <w:spacing w:line="480" w:lineRule="auto"/>
        <w:contextualSpacing/>
        <w:rPr>
          <w:b/>
          <w:bCs/>
        </w:rPr>
      </w:pPr>
      <w:r w:rsidRPr="00947652">
        <w:rPr>
          <w:b/>
          <w:bCs/>
        </w:rPr>
        <w:t>Research Project</w:t>
      </w:r>
    </w:p>
    <w:p w14:paraId="525DE4F6" w14:textId="77777777" w:rsidR="001F49F2" w:rsidRDefault="000623AB" w:rsidP="004C1EB9">
      <w:pPr>
        <w:spacing w:line="480" w:lineRule="auto"/>
        <w:ind w:firstLine="720"/>
        <w:contextualSpacing/>
      </w:pPr>
      <w:r>
        <w:t>Cryptocurrency transactions</w:t>
      </w:r>
      <w:r w:rsidR="00F84F8D">
        <w:t xml:space="preserve"> are a perfect place to consider the intersection of legal and illegal situations. First, we know that cryptocurrency is the only way to buy illegal </w:t>
      </w:r>
      <w:r>
        <w:t>goods and services, like drugs, o</w:t>
      </w:r>
      <w:r w:rsidR="00F84F8D">
        <w:t>n many of these darknet marketplaces. AlphaBay only accept</w:t>
      </w:r>
      <w:r>
        <w:t>ed</w:t>
      </w:r>
      <w:r w:rsidR="00F84F8D">
        <w:t xml:space="preserve"> cryptocurrency</w:t>
      </w:r>
      <w:r>
        <w:t>,</w:t>
      </w:r>
      <w:r w:rsidR="00F84F8D">
        <w:t xml:space="preserve"> mean</w:t>
      </w:r>
      <w:r>
        <w:t>ing</w:t>
      </w:r>
      <w:r w:rsidR="00F84F8D">
        <w:t xml:space="preserve"> that all sales on AlphaBay show</w:t>
      </w:r>
      <w:r>
        <w:t>ed</w:t>
      </w:r>
      <w:r w:rsidR="00F84F8D">
        <w:t xml:space="preserve"> up on a ledger, Bitcoin or otherwise. Second, we also know that other </w:t>
      </w:r>
      <w:r w:rsidR="00F84F8D">
        <w:rPr>
          <w:i/>
          <w:iCs/>
        </w:rPr>
        <w:t>legal</w:t>
      </w:r>
      <w:r w:rsidR="00F84F8D">
        <w:t xml:space="preserve"> transactions are conducted on Bitcoin’s le</w:t>
      </w:r>
      <w:r>
        <w:t>d</w:t>
      </w:r>
      <w:r w:rsidR="00F84F8D">
        <w:t>ger. For example, Bitcoin can be used to purchase a vehicle (Livni</w:t>
      </w:r>
      <w:r>
        <w:t>,</w:t>
      </w:r>
      <w:r w:rsidR="00F84F8D">
        <w:t xml:space="preserve"> 2021). This environment is a shared space, where a combination of legal and illegal transactions occurs. </w:t>
      </w:r>
      <w:r w:rsidR="00EE64DE">
        <w:t xml:space="preserve">For this research project we </w:t>
      </w:r>
      <w:r w:rsidR="00791A03">
        <w:t>analyze</w:t>
      </w:r>
      <w:r w:rsidR="00EE64DE">
        <w:t xml:space="preserve"> transactions on AlphaBay. </w:t>
      </w:r>
      <w:r w:rsidR="001F49F2">
        <w:t xml:space="preserve">We had two research questions. </w:t>
      </w:r>
    </w:p>
    <w:p w14:paraId="77259A7D" w14:textId="77777777" w:rsidR="001F49F2" w:rsidRPr="000C252D" w:rsidRDefault="001F49F2" w:rsidP="001F49F2">
      <w:pPr>
        <w:spacing w:line="480" w:lineRule="auto"/>
        <w:ind w:left="720" w:firstLine="720"/>
        <w:contextualSpacing/>
        <w:rPr>
          <w:i/>
          <w:iCs/>
        </w:rPr>
      </w:pPr>
      <w:bookmarkStart w:id="0" w:name="_Hlk115162333"/>
      <w:r w:rsidRPr="000C252D">
        <w:rPr>
          <w:i/>
          <w:iCs/>
        </w:rPr>
        <w:t>RQ1: How identifiable are illegal blockchain transactions?</w:t>
      </w:r>
    </w:p>
    <w:p w14:paraId="4D427699" w14:textId="103C20EC" w:rsidR="009C5B8D" w:rsidRPr="000C252D" w:rsidRDefault="001F49F2" w:rsidP="009C5B8D">
      <w:pPr>
        <w:spacing w:line="480" w:lineRule="auto"/>
        <w:ind w:left="720" w:firstLine="720"/>
        <w:contextualSpacing/>
        <w:rPr>
          <w:i/>
          <w:iCs/>
        </w:rPr>
      </w:pPr>
      <w:r w:rsidRPr="000C252D">
        <w:rPr>
          <w:i/>
          <w:iCs/>
        </w:rPr>
        <w:t xml:space="preserve">RQ2: </w:t>
      </w:r>
      <w:r w:rsidR="009C5B8D" w:rsidRPr="000C252D">
        <w:rPr>
          <w:i/>
          <w:iCs/>
        </w:rPr>
        <w:t xml:space="preserve">What proportion of transactions on darknet market associated wallets are </w:t>
      </w:r>
    </w:p>
    <w:p w14:paraId="5FBC5C55" w14:textId="2818B164" w:rsidR="00EE64DE" w:rsidRPr="000C252D" w:rsidRDefault="009C5B8D" w:rsidP="009C5B8D">
      <w:pPr>
        <w:spacing w:line="480" w:lineRule="auto"/>
        <w:ind w:left="720" w:firstLine="720"/>
        <w:contextualSpacing/>
        <w:rPr>
          <w:i/>
          <w:iCs/>
        </w:rPr>
      </w:pPr>
      <w:r w:rsidRPr="000C252D">
        <w:rPr>
          <w:i/>
          <w:iCs/>
        </w:rPr>
        <w:t>tied to illegal activity?</w:t>
      </w:r>
    </w:p>
    <w:p w14:paraId="26D1F84B" w14:textId="5EC6F8B7" w:rsidR="00CB6F3E" w:rsidRDefault="00F02DA8" w:rsidP="00F02DA8">
      <w:pPr>
        <w:spacing w:line="480" w:lineRule="auto"/>
        <w:contextualSpacing/>
      </w:pPr>
      <w:r>
        <w:t>In order to examine these two research questions, we utilize cryptocurrency heuristics</w:t>
      </w:r>
      <w:r w:rsidR="00CB6F3E">
        <w:t xml:space="preserve"> in </w:t>
      </w:r>
      <w:r w:rsidR="008C6709">
        <w:t>transactions associated with a</w:t>
      </w:r>
      <w:r w:rsidR="00CB6F3E">
        <w:t xml:space="preserve"> former darknet marketplace</w:t>
      </w:r>
      <w:r w:rsidR="008C6709">
        <w:t>, Alphabay</w:t>
      </w:r>
      <w:r w:rsidR="00CB6F3E">
        <w:t xml:space="preserve">. Both heuristics and AlphaBay are briefly explained below. </w:t>
      </w:r>
    </w:p>
    <w:p w14:paraId="124064D7" w14:textId="77777777" w:rsidR="00A92DFC" w:rsidRDefault="00A92DFC" w:rsidP="00F02DA8">
      <w:pPr>
        <w:spacing w:line="480" w:lineRule="auto"/>
        <w:contextualSpacing/>
      </w:pPr>
    </w:p>
    <w:p w14:paraId="5BE55F1C" w14:textId="59CF4420" w:rsidR="00CB6F3E" w:rsidRPr="00CB6F3E" w:rsidRDefault="00CB6F3E" w:rsidP="00F02DA8">
      <w:pPr>
        <w:spacing w:line="480" w:lineRule="auto"/>
        <w:contextualSpacing/>
      </w:pPr>
      <w:r>
        <w:lastRenderedPageBreak/>
        <w:tab/>
      </w:r>
      <w:r>
        <w:rPr>
          <w:b/>
          <w:bCs/>
        </w:rPr>
        <w:t>Introduction to Cryptocurrency Heuristics</w:t>
      </w:r>
    </w:p>
    <w:p w14:paraId="3DC5AB22" w14:textId="39D4767A" w:rsidR="00F02DA8" w:rsidRDefault="00F02DA8" w:rsidP="00F02DA8">
      <w:pPr>
        <w:spacing w:line="480" w:lineRule="auto"/>
        <w:contextualSpacing/>
      </w:pPr>
      <w:r>
        <w:t xml:space="preserve">A key component of cryptocurrency tracing and analysis involves clustering—the act of identifying and grouping together different addresses held by the same individual or entity using data on the blockchain (Kim et al., 2022; Zhang et al., 2020). Researchers and industry professionals have developed numerous heuristics which utilize different elements of blockchain data for clustering. These data provide avenues through which to exploit the transparency of Bitcoin to gather on- and off-chain information of interest (Turner et al., 2020). Clustering heuristics allow for researchers and practitioners to draw inferences and conclusions surrounding individual and group spending patterns and the flow of money on the blockchain. Several heuristics exist, though the multiple input heuristic is the simplest and most common (Liu et al., 2021a). It functions by associating unspent transaction outputs (UTXOs), which are spent as inputs in Bitcoin transactions, under the premise that if multiple UTXOs are held under one private key, they must all belong to one entity (Liu et al., 2021a; Liu et al., 2021b). Harrigan and Fretter (2016) assert that this heuristic “can identify more than 69% of addresses in the wallets stored by lightweight clients” (p. 1). The change address heuristic is also centered around the function of UTXOs but focuses more closely on the outputs in a transaction. When a UTXO or sum of UTXOs is greater than the intended transaction, a change address is generated to return the additional funds to the sending wallet (Zhang et al., 2020). As the change address is generated to send funds back to the initial sender, the change address and the transaction UTXOs are controlled by the same entity (Androulaki et al., 2013; Reid &amp; Harrigan, 2011; Zhang et al., 2020). Thus, this heuristic links together differing addresses in a transaction to identify address ownership by a single entity. </w:t>
      </w:r>
    </w:p>
    <w:p w14:paraId="63431263" w14:textId="77777777" w:rsidR="00F02DA8" w:rsidRDefault="00F02DA8" w:rsidP="00F02DA8">
      <w:pPr>
        <w:spacing w:line="480" w:lineRule="auto"/>
        <w:ind w:firstLine="720"/>
        <w:contextualSpacing/>
      </w:pPr>
      <w:r>
        <w:lastRenderedPageBreak/>
        <w:t xml:space="preserve">Other heuristics have been designed and implemented, including address reuse, developed by Zhang et al. (2020) to expand beyond multiple input and single-use change address heuristics, and behavior-based heuristics (Wu et al., 2021). Heuristics have also been designed around other cryptocurrencies and blockchains, including Ether on the Ethereum blockchain (Liu et al., 2021a; Wu et al., 2021). </w:t>
      </w:r>
    </w:p>
    <w:p w14:paraId="2057A362" w14:textId="1F255468" w:rsidR="00F02DA8" w:rsidRDefault="00F02DA8" w:rsidP="00F02DA8">
      <w:pPr>
        <w:spacing w:line="480" w:lineRule="auto"/>
        <w:contextualSpacing/>
      </w:pPr>
      <w:r>
        <w:t>Although heuristics provide valuable insights for cryptocurrency tracing and analysis, they are imperfect methods and can be error-prone (Liu et al., 2021b). The multiple input heuristic is prone to under and overestimation errors, though the former is more common than the latter (Ron &amp; Shamir, 2013). Underestimation occurs when the common ownership of addresses fails to account for all addresses held by an entity, while overestimation can occur when multiple users pool resources (thus, one UTXO would be jointly held by multiple individuals) (Ron &amp; Shamir, 2013). As for the change address heuristic, if change addresses are incorrectly identified, cryptocurrency transactions could be clustered into groups controlled by more than one entity (Meiklejohn et al., 2013). Despite these limitations, cryptocurrency heuristics are important for understanding and attributing blockchain activity as they provide additional context to pseudonymous transactions.</w:t>
      </w:r>
    </w:p>
    <w:bookmarkEnd w:id="0"/>
    <w:p w14:paraId="582F04D1" w14:textId="49BBC7A8" w:rsidR="004E094C" w:rsidRPr="00947652" w:rsidRDefault="00AE6AFC" w:rsidP="00947652">
      <w:pPr>
        <w:spacing w:line="480" w:lineRule="auto"/>
        <w:ind w:firstLine="720"/>
        <w:contextualSpacing/>
        <w:rPr>
          <w:b/>
          <w:bCs/>
        </w:rPr>
      </w:pPr>
      <w:r w:rsidRPr="00947652">
        <w:rPr>
          <w:b/>
          <w:bCs/>
        </w:rPr>
        <w:t>Introduction to AlphaBay</w:t>
      </w:r>
    </w:p>
    <w:p w14:paraId="1ED89AE6" w14:textId="1BE07DE4" w:rsidR="009E5DCA" w:rsidRDefault="004E094C" w:rsidP="00947652">
      <w:pPr>
        <w:spacing w:line="480" w:lineRule="auto"/>
        <w:contextualSpacing/>
        <w:rPr>
          <w:rFonts w:eastAsia="Times New Roman"/>
          <w:color w:val="000000"/>
        </w:rPr>
      </w:pPr>
      <w:r w:rsidRPr="00851EBC">
        <w:rPr>
          <w:rFonts w:eastAsia="Times New Roman"/>
          <w:color w:val="000000"/>
        </w:rPr>
        <w:tab/>
      </w:r>
      <w:r w:rsidR="009E5DCA">
        <w:rPr>
          <w:rFonts w:eastAsia="Times New Roman"/>
          <w:color w:val="000000"/>
        </w:rPr>
        <w:t>Darknet marketplaces</w:t>
      </w:r>
      <w:r w:rsidR="001E0C5B">
        <w:rPr>
          <w:rFonts w:eastAsia="Times New Roman"/>
          <w:color w:val="000000"/>
        </w:rPr>
        <w:t xml:space="preserve">, often referred to as cryptomarkets, </w:t>
      </w:r>
      <w:r w:rsidR="009E5DCA">
        <w:rPr>
          <w:rFonts w:eastAsia="Times New Roman"/>
          <w:color w:val="000000"/>
        </w:rPr>
        <w:t xml:space="preserve">operate similarly to </w:t>
      </w:r>
      <w:r w:rsidR="000623AB">
        <w:rPr>
          <w:rFonts w:eastAsia="Times New Roman"/>
          <w:color w:val="000000"/>
        </w:rPr>
        <w:t>c</w:t>
      </w:r>
      <w:r w:rsidR="009E5DCA">
        <w:rPr>
          <w:rFonts w:eastAsia="Times New Roman"/>
          <w:color w:val="000000"/>
        </w:rPr>
        <w:t xml:space="preserve">learnet sites like Amazon and eBay, </w:t>
      </w:r>
      <w:r w:rsidR="00EE64DE">
        <w:rPr>
          <w:rFonts w:eastAsia="Times New Roman"/>
          <w:color w:val="000000"/>
        </w:rPr>
        <w:t>providing</w:t>
      </w:r>
      <w:r w:rsidR="009E5DCA">
        <w:rPr>
          <w:rFonts w:eastAsia="Times New Roman"/>
          <w:color w:val="000000"/>
        </w:rPr>
        <w:t xml:space="preserve"> buyers </w:t>
      </w:r>
      <w:r w:rsidR="009C5B8D">
        <w:rPr>
          <w:rFonts w:eastAsia="Times New Roman"/>
          <w:color w:val="000000"/>
        </w:rPr>
        <w:t xml:space="preserve">with </w:t>
      </w:r>
      <w:r w:rsidR="009E5DCA">
        <w:rPr>
          <w:rFonts w:eastAsia="Times New Roman"/>
          <w:color w:val="000000"/>
        </w:rPr>
        <w:t>a venue to purchase goods and services from various vendors</w:t>
      </w:r>
      <w:r w:rsidR="00352D13">
        <w:rPr>
          <w:rFonts w:eastAsia="Times New Roman"/>
          <w:color w:val="000000"/>
        </w:rPr>
        <w:t xml:space="preserve"> (Paquet-Clouston et al., 2018)</w:t>
      </w:r>
      <w:r w:rsidR="009E5DCA">
        <w:rPr>
          <w:rFonts w:eastAsia="Times New Roman"/>
          <w:color w:val="000000"/>
        </w:rPr>
        <w:t xml:space="preserve">. The difference between these marketplaces and </w:t>
      </w:r>
      <w:r w:rsidR="000623AB">
        <w:rPr>
          <w:rFonts w:eastAsia="Times New Roman"/>
          <w:color w:val="000000"/>
        </w:rPr>
        <w:t>c</w:t>
      </w:r>
      <w:r w:rsidR="009E5DCA">
        <w:rPr>
          <w:rFonts w:eastAsia="Times New Roman"/>
          <w:color w:val="000000"/>
        </w:rPr>
        <w:t xml:space="preserve">learnet </w:t>
      </w:r>
      <w:r w:rsidR="00155981">
        <w:rPr>
          <w:rFonts w:eastAsia="Times New Roman"/>
          <w:color w:val="000000"/>
        </w:rPr>
        <w:t>markets</w:t>
      </w:r>
      <w:r w:rsidR="009E5DCA">
        <w:rPr>
          <w:rFonts w:eastAsia="Times New Roman"/>
          <w:color w:val="000000"/>
        </w:rPr>
        <w:t xml:space="preserve"> like Amazon are the type of </w:t>
      </w:r>
      <w:r w:rsidR="006D2C4F">
        <w:rPr>
          <w:rFonts w:eastAsia="Times New Roman"/>
          <w:color w:val="000000"/>
        </w:rPr>
        <w:t>goods they offer</w:t>
      </w:r>
      <w:r w:rsidR="009E5DCA">
        <w:rPr>
          <w:rFonts w:eastAsia="Times New Roman"/>
          <w:color w:val="000000"/>
        </w:rPr>
        <w:t>, as darknet marketplaces primarily operate to sell illegal goods and services, like drugs</w:t>
      </w:r>
      <w:r w:rsidR="006D2C4F">
        <w:rPr>
          <w:rFonts w:eastAsia="Times New Roman"/>
          <w:color w:val="000000"/>
        </w:rPr>
        <w:t xml:space="preserve"> and stolen data</w:t>
      </w:r>
      <w:r w:rsidR="009E5DCA">
        <w:rPr>
          <w:rFonts w:eastAsia="Times New Roman"/>
          <w:color w:val="000000"/>
        </w:rPr>
        <w:t xml:space="preserve">. The first </w:t>
      </w:r>
      <w:r w:rsidR="004D1ED4">
        <w:rPr>
          <w:rFonts w:eastAsia="Times New Roman"/>
          <w:color w:val="000000"/>
        </w:rPr>
        <w:t>darknet marketplace</w:t>
      </w:r>
      <w:r w:rsidR="009E5DCA">
        <w:rPr>
          <w:rFonts w:eastAsia="Times New Roman"/>
          <w:color w:val="000000"/>
        </w:rPr>
        <w:t xml:space="preserve">, Silk Road, created a blueprint that darknet marketplaces continue to operate </w:t>
      </w:r>
      <w:r w:rsidR="009E5DCA">
        <w:rPr>
          <w:rFonts w:eastAsia="Times New Roman"/>
          <w:color w:val="000000"/>
        </w:rPr>
        <w:lastRenderedPageBreak/>
        <w:t xml:space="preserve">under—using cryptocurrency as tender, maintaining anonymity through encryption, and </w:t>
      </w:r>
      <w:r w:rsidR="003C3FB3">
        <w:rPr>
          <w:rFonts w:eastAsia="Times New Roman"/>
          <w:color w:val="000000"/>
        </w:rPr>
        <w:t xml:space="preserve">utilizing an escrow system to facilitate transactions. </w:t>
      </w:r>
      <w:r w:rsidR="001E0C5B">
        <w:rPr>
          <w:rFonts w:eastAsia="Times New Roman"/>
          <w:color w:val="000000"/>
        </w:rPr>
        <w:t xml:space="preserve">Much like the darknet more broadly, darknet marketplaces rely on both perceived and actual anonymity to function. </w:t>
      </w:r>
    </w:p>
    <w:p w14:paraId="76BB1C47" w14:textId="77777777" w:rsidR="004E094C" w:rsidRDefault="004E094C" w:rsidP="00947652">
      <w:pPr>
        <w:spacing w:line="480" w:lineRule="auto"/>
        <w:ind w:firstLine="720"/>
        <w:contextualSpacing/>
        <w:rPr>
          <w:rFonts w:eastAsia="Times New Roman"/>
          <w:color w:val="000000"/>
        </w:rPr>
      </w:pPr>
      <w:r w:rsidRPr="00851EBC">
        <w:rPr>
          <w:rFonts w:eastAsia="Times New Roman"/>
          <w:color w:val="000000"/>
        </w:rPr>
        <w:t>AlphaBay is a darknet marketplace that operated on Tor from December 2014 to July 2017, when it was taken offline by law enforcement and its founder, Alexandre Cazes, was arrested (Hiramoto &amp; Tsuchiya, 2020). Much like its predecessors, AlphaBay provided a venue for buying and selling illicit goods and services, especially drugs. Prior to being taken down, over 250,000 listings for drugs and chemicals and 100,000 listings for stolen identification, counterfeit goods, hacking, and other goods were on the marketplace (</w:t>
      </w:r>
      <w:r w:rsidR="00724AEB">
        <w:t>United States of America v. Alexandre Cazes, 2017</w:t>
      </w:r>
      <w:r w:rsidRPr="00851EBC">
        <w:rPr>
          <w:rFonts w:eastAsia="Times New Roman"/>
          <w:color w:val="000000"/>
        </w:rPr>
        <w:t>). </w:t>
      </w:r>
      <w:r w:rsidR="000A74AA">
        <w:rPr>
          <w:rFonts w:eastAsia="Times New Roman"/>
          <w:color w:val="000000"/>
        </w:rPr>
        <w:t>B</w:t>
      </w:r>
      <w:r w:rsidR="00BA060F">
        <w:rPr>
          <w:rFonts w:eastAsia="Times New Roman"/>
          <w:color w:val="000000"/>
        </w:rPr>
        <w:t xml:space="preserve">efore being shut down, </w:t>
      </w:r>
      <w:r w:rsidR="000A74AA">
        <w:rPr>
          <w:rFonts w:eastAsia="Times New Roman"/>
          <w:color w:val="000000"/>
        </w:rPr>
        <w:t xml:space="preserve">it was </w:t>
      </w:r>
      <w:r w:rsidR="00BA060F">
        <w:rPr>
          <w:rFonts w:eastAsia="Times New Roman"/>
          <w:color w:val="000000"/>
        </w:rPr>
        <w:t xml:space="preserve">the largest darknet marketplace of its time (Baravalle &amp; Lee, 2018). </w:t>
      </w:r>
    </w:p>
    <w:p w14:paraId="0338CEE0" w14:textId="77777777" w:rsidR="00FF61F5" w:rsidRPr="00BA0B14" w:rsidRDefault="009E5DCA" w:rsidP="00947652">
      <w:pPr>
        <w:spacing w:line="480" w:lineRule="auto"/>
        <w:contextualSpacing/>
        <w:rPr>
          <w:rFonts w:eastAsia="Times New Roman"/>
          <w:color w:val="000000"/>
        </w:rPr>
      </w:pPr>
      <w:r>
        <w:rPr>
          <w:rFonts w:eastAsia="Times New Roman"/>
          <w:color w:val="000000"/>
        </w:rPr>
        <w:tab/>
      </w:r>
      <w:r w:rsidR="000962A9">
        <w:rPr>
          <w:rFonts w:eastAsia="Times New Roman"/>
          <w:color w:val="000000"/>
        </w:rPr>
        <w:t xml:space="preserve">Numerous </w:t>
      </w:r>
      <w:r w:rsidR="000F7F74">
        <w:rPr>
          <w:rFonts w:eastAsia="Times New Roman"/>
          <w:color w:val="000000"/>
        </w:rPr>
        <w:t>darknet marketplaces have emerged to fill the gap left by the takedown</w:t>
      </w:r>
      <w:r w:rsidR="000962A9">
        <w:rPr>
          <w:rFonts w:eastAsia="Times New Roman"/>
          <w:color w:val="000000"/>
        </w:rPr>
        <w:t xml:space="preserve"> of AlphaBay</w:t>
      </w:r>
      <w:r w:rsidR="000F7F74">
        <w:rPr>
          <w:rFonts w:eastAsia="Times New Roman"/>
          <w:color w:val="000000"/>
        </w:rPr>
        <w:t xml:space="preserve">. </w:t>
      </w:r>
      <w:r w:rsidR="000A74AA">
        <w:rPr>
          <w:rFonts w:eastAsia="Times New Roman"/>
          <w:color w:val="000000"/>
        </w:rPr>
        <w:t>T</w:t>
      </w:r>
      <w:r w:rsidR="000F7F74">
        <w:rPr>
          <w:rFonts w:eastAsia="Times New Roman"/>
          <w:color w:val="000000"/>
        </w:rPr>
        <w:t xml:space="preserve">hese marketplaces are volatile and shut down often, both at the hands of law enforcement and by the administrators themselves. </w:t>
      </w:r>
      <w:r w:rsidR="000962A9">
        <w:rPr>
          <w:rFonts w:eastAsia="Times New Roman"/>
          <w:color w:val="000000"/>
        </w:rPr>
        <w:t xml:space="preserve">This volatility has driven some darknet users to branch out beyond Tor and develop marketplaces on other darknets like the Invisible Internet Project (I2P). </w:t>
      </w:r>
      <w:r w:rsidR="00E96518">
        <w:rPr>
          <w:rFonts w:eastAsia="Times New Roman"/>
          <w:color w:val="000000"/>
        </w:rPr>
        <w:tab/>
        <w:t xml:space="preserve"> </w:t>
      </w:r>
    </w:p>
    <w:p w14:paraId="35651D40" w14:textId="77777777" w:rsidR="001F31AB" w:rsidRPr="00947652" w:rsidRDefault="008C11FE" w:rsidP="00947652">
      <w:pPr>
        <w:spacing w:line="480" w:lineRule="auto"/>
        <w:contextualSpacing/>
        <w:jc w:val="center"/>
        <w:rPr>
          <w:b/>
          <w:bCs/>
        </w:rPr>
      </w:pPr>
      <w:r w:rsidRPr="00947652">
        <w:rPr>
          <w:b/>
          <w:bCs/>
        </w:rPr>
        <w:t>Method</w:t>
      </w:r>
    </w:p>
    <w:p w14:paraId="031FEABC" w14:textId="77777777" w:rsidR="00245E0C" w:rsidRDefault="001F31AB" w:rsidP="00947652">
      <w:pPr>
        <w:spacing w:line="480" w:lineRule="auto"/>
        <w:ind w:firstLine="720"/>
        <w:contextualSpacing/>
      </w:pPr>
      <w:r w:rsidRPr="00D97C96">
        <w:t xml:space="preserve">For </w:t>
      </w:r>
      <w:r w:rsidR="000623AB">
        <w:t>this study,</w:t>
      </w:r>
      <w:r w:rsidRPr="00D97C96">
        <w:t xml:space="preserve"> we</w:t>
      </w:r>
      <w:r w:rsidR="00254F59" w:rsidRPr="00D97C96">
        <w:t xml:space="preserve"> used</w:t>
      </w:r>
      <w:r w:rsidRPr="00D97C96">
        <w:t xml:space="preserve"> </w:t>
      </w:r>
      <w:r w:rsidR="000623AB">
        <w:t>publicly</w:t>
      </w:r>
      <w:r w:rsidR="000A74AA">
        <w:t xml:space="preserve"> </w:t>
      </w:r>
      <w:r w:rsidR="000623AB">
        <w:t xml:space="preserve">accessible </w:t>
      </w:r>
      <w:r w:rsidR="00245E0C" w:rsidRPr="00D97C96">
        <w:t>websites</w:t>
      </w:r>
      <w:r w:rsidR="000A74AA">
        <w:t>,</w:t>
      </w:r>
      <w:r w:rsidR="00245E0C" w:rsidRPr="00D97C96">
        <w:t xml:space="preserve"> which allowed us to </w:t>
      </w:r>
      <w:r w:rsidR="000623AB">
        <w:t>view</w:t>
      </w:r>
      <w:r w:rsidR="000623AB" w:rsidRPr="00D97C96">
        <w:t xml:space="preserve"> </w:t>
      </w:r>
      <w:r w:rsidR="00245E0C" w:rsidRPr="00D97C96">
        <w:t xml:space="preserve">the transactions associated with </w:t>
      </w:r>
      <w:r w:rsidR="000623AB">
        <w:t>B</w:t>
      </w:r>
      <w:r w:rsidR="00D97C96">
        <w:t xml:space="preserve">itcoin </w:t>
      </w:r>
      <w:r w:rsidR="00245E0C" w:rsidRPr="00D97C96">
        <w:t>wallet</w:t>
      </w:r>
      <w:r w:rsidR="00504B89">
        <w:t>s</w:t>
      </w:r>
      <w:r w:rsidR="00245E0C" w:rsidRPr="00D97C96">
        <w:t xml:space="preserve">. </w:t>
      </w:r>
      <w:r w:rsidR="00254F59" w:rsidRPr="00D97C96">
        <w:t xml:space="preserve">Because the transactions on the Bitcoin </w:t>
      </w:r>
      <w:r w:rsidR="000623AB">
        <w:t>blockchain</w:t>
      </w:r>
      <w:r w:rsidR="000623AB" w:rsidRPr="00D97C96">
        <w:t xml:space="preserve"> </w:t>
      </w:r>
      <w:r w:rsidR="00254F59" w:rsidRPr="00D97C96">
        <w:t xml:space="preserve">are </w:t>
      </w:r>
      <w:r w:rsidR="00233FD4" w:rsidRPr="00D97C96">
        <w:t>immutable</w:t>
      </w:r>
      <w:r w:rsidR="00254F59" w:rsidRPr="00D97C96">
        <w:t xml:space="preserve">, even though </w:t>
      </w:r>
      <w:r w:rsidR="00B1250D" w:rsidRPr="00D97C96">
        <w:t xml:space="preserve">AlphaBay </w:t>
      </w:r>
      <w:r w:rsidR="00254F59" w:rsidRPr="00D97C96">
        <w:t xml:space="preserve">was taken down, the transactions still exist. </w:t>
      </w:r>
      <w:r w:rsidR="002A540A" w:rsidRPr="00D97C96">
        <w:t>While the extent of AlphaBay is not known, estimates place the number of users at 20,000 and vendors at 40,000</w:t>
      </w:r>
      <w:r w:rsidR="00DF5367" w:rsidRPr="00D97C96">
        <w:t xml:space="preserve"> </w:t>
      </w:r>
      <w:r w:rsidR="00504B89">
        <w:t xml:space="preserve">at the time of </w:t>
      </w:r>
      <w:r w:rsidR="000F7F74">
        <w:t>its</w:t>
      </w:r>
      <w:r w:rsidR="00504B89">
        <w:t xml:space="preserve"> takedown </w:t>
      </w:r>
      <w:r w:rsidR="00DF5367" w:rsidRPr="00D97C96">
        <w:rPr>
          <w:noProof/>
        </w:rPr>
        <w:t>(Office of Public Affairs, 2017)</w:t>
      </w:r>
      <w:r w:rsidR="002A540A" w:rsidRPr="00D97C96">
        <w:t xml:space="preserve">. As such, we decided to randomly sample the </w:t>
      </w:r>
      <w:r w:rsidR="008632FB">
        <w:t>B</w:t>
      </w:r>
      <w:r w:rsidR="002A540A" w:rsidRPr="00D97C96">
        <w:t xml:space="preserve">itcoin addresses. </w:t>
      </w:r>
      <w:r w:rsidR="00D97C96">
        <w:t xml:space="preserve">We wanted to start at the beginning of AlphaBay to </w:t>
      </w:r>
      <w:r w:rsidR="00D97C96">
        <w:lastRenderedPageBreak/>
        <w:t xml:space="preserve">better understand initial transactions. We considered the first two days of AlphaBay, September 2-3, 2015. There were more than 5,200 transactions associated with AlphaBay wallets in </w:t>
      </w:r>
      <w:r w:rsidR="008632FB">
        <w:t xml:space="preserve">these </w:t>
      </w:r>
      <w:r w:rsidR="00D97C96">
        <w:t xml:space="preserve">first two days </w:t>
      </w:r>
      <w:r w:rsidR="004C58B7">
        <w:t>alone</w:t>
      </w:r>
      <w:r w:rsidR="00D97C96">
        <w:t>. We randomly sampled 50 transactions</w:t>
      </w:r>
      <w:r w:rsidR="00695E30">
        <w:t xml:space="preserve"> from </w:t>
      </w:r>
      <w:r w:rsidR="008632FB">
        <w:t xml:space="preserve">the </w:t>
      </w:r>
      <w:r w:rsidR="00695E30">
        <w:t xml:space="preserve">5,200 transactions that occurred on </w:t>
      </w:r>
      <w:r w:rsidR="008632FB">
        <w:t>AlphaBay during this timeframe</w:t>
      </w:r>
      <w:r w:rsidR="00D97C96">
        <w:t xml:space="preserve">. </w:t>
      </w:r>
      <w:r w:rsidR="00971833" w:rsidRPr="00D97C96">
        <w:t xml:space="preserve">For each </w:t>
      </w:r>
      <w:r w:rsidR="00504B89">
        <w:t>transaction</w:t>
      </w:r>
      <w:r w:rsidR="008632FB">
        <w:t>,</w:t>
      </w:r>
      <w:r w:rsidR="00D97C96">
        <w:t xml:space="preserve"> we analyzed the transaction ID, number of inputs, outputs, known associated websites, and whether AlphaBay was a sender or receiver in the transaction. Interested researchers can email the author to obtain the dataset including all transactions IDs. These transaction IDs can be reviewed on numerous websites (e.g., blockchain.com) to </w:t>
      </w:r>
      <w:r w:rsidR="00695E30">
        <w:t>replicate</w:t>
      </w:r>
      <w:r w:rsidR="00D97C96">
        <w:t xml:space="preserve"> our analysis.</w:t>
      </w:r>
    </w:p>
    <w:p w14:paraId="7A7CE78A" w14:textId="77777777" w:rsidR="00504B89" w:rsidRDefault="00504B89" w:rsidP="00947652">
      <w:pPr>
        <w:spacing w:line="480" w:lineRule="auto"/>
        <w:ind w:firstLine="720"/>
        <w:contextualSpacing/>
      </w:pPr>
      <w:r>
        <w:t>The first step in our analysis was simply to consider the number of known addresses associated with AlphaBay. We wanted to see how many non-AlphaBay vendors, services, or other websites were directly tied to AlphaBay through a transaction. In essence, we followed the money to see where money for AlphaBay came from and went</w:t>
      </w:r>
      <w:r w:rsidR="004C58B7">
        <w:t xml:space="preserve"> to</w:t>
      </w:r>
      <w:r>
        <w:t xml:space="preserve">. </w:t>
      </w:r>
    </w:p>
    <w:p w14:paraId="3078EFEC" w14:textId="50E68B6C" w:rsidR="00E32D55" w:rsidRDefault="00504B89" w:rsidP="00AE2CEE">
      <w:pPr>
        <w:spacing w:line="480" w:lineRule="auto"/>
        <w:ind w:firstLine="720"/>
        <w:contextualSpacing/>
      </w:pPr>
      <w:r>
        <w:t>Second, f</w:t>
      </w:r>
      <w:r w:rsidR="00D97C96">
        <w:t>or each transaction we considered a heuristic of what the transaction likely involved.</w:t>
      </w:r>
      <w:r>
        <w:t xml:space="preserve"> Heuristics are a common tool used in cybersecurity to better understand cryptocurrency. We see potential for these tools to better help criminologists understand the behavior around cryptocurrency. We were informed in heuristic design by</w:t>
      </w:r>
      <w:r w:rsidR="00B270AC">
        <w:t xml:space="preserve"> computer science work examining transactions through theoretical and mathematical modeling</w:t>
      </w:r>
      <w:r w:rsidR="00F65D70">
        <w:t xml:space="preserve"> </w:t>
      </w:r>
      <w:r w:rsidR="00B270AC" w:rsidRPr="00B270AC">
        <w:rPr>
          <w:noProof/>
        </w:rPr>
        <w:t>(Meiklejohn et al., 2013; Turner et al., 2020; Zhang et al., 2020)</w:t>
      </w:r>
      <w:r w:rsidR="00B270AC">
        <w:t xml:space="preserve">. </w:t>
      </w:r>
      <w:r w:rsidR="00CB6F3E">
        <w:t>Generally, the</w:t>
      </w:r>
      <w:r w:rsidR="00B270AC">
        <w:t xml:space="preserve"> design is to consider common inputs and outputs in a transaction. Conclusions can be drawn from how many inputs are utilized (i.e., all inputs likely came from the same owner), </w:t>
      </w:r>
      <w:r w:rsidR="00593BED">
        <w:t>how many outputs exist (e.g., change address is likely to be owned by input owner</w:t>
      </w:r>
      <w:r w:rsidR="00695E30">
        <w:t xml:space="preserve"> than different owners</w:t>
      </w:r>
      <w:r w:rsidR="00593BED">
        <w:t xml:space="preserve">) </w:t>
      </w:r>
      <w:r w:rsidR="00593BED" w:rsidRPr="00593BED">
        <w:rPr>
          <w:noProof/>
        </w:rPr>
        <w:t>(Zhang et al., 2020)</w:t>
      </w:r>
      <w:r w:rsidR="00593BED">
        <w:t xml:space="preserve">, and the amount of cryptocurrency in the transaction (e.g., reducing </w:t>
      </w:r>
      <w:r w:rsidR="008632FB">
        <w:t>B</w:t>
      </w:r>
      <w:r w:rsidR="00593BED">
        <w:t xml:space="preserve">itcoin in layers to increase anonymity – known as peeling) </w:t>
      </w:r>
      <w:r w:rsidR="007267BF" w:rsidRPr="007267BF">
        <w:rPr>
          <w:noProof/>
        </w:rPr>
        <w:t>(Chen et al., 2019; Meiklejohn et al., 2013)</w:t>
      </w:r>
      <w:r w:rsidR="00593BED">
        <w:t>.</w:t>
      </w:r>
      <w:r w:rsidR="00DD1120">
        <w:t xml:space="preserve"> </w:t>
      </w:r>
    </w:p>
    <w:p w14:paraId="257406C2" w14:textId="2E3FDDF2" w:rsidR="00BA0B14" w:rsidRDefault="00DD1120" w:rsidP="00947652">
      <w:pPr>
        <w:spacing w:line="480" w:lineRule="auto"/>
        <w:ind w:firstLine="720"/>
        <w:contextualSpacing/>
      </w:pPr>
      <w:r>
        <w:lastRenderedPageBreak/>
        <w:t>For our research</w:t>
      </w:r>
      <w:r w:rsidR="008632FB">
        <w:t>,</w:t>
      </w:r>
      <w:r>
        <w:t xml:space="preserve"> we considered the heuristics mentioned above and the nature of </w:t>
      </w:r>
      <w:r w:rsidR="008632FB">
        <w:t xml:space="preserve">darknet </w:t>
      </w:r>
      <w:r>
        <w:t>marketplaces.</w:t>
      </w:r>
      <w:r w:rsidR="00D97C96">
        <w:t xml:space="preserve"> For example, when AlphaBay received </w:t>
      </w:r>
      <w:r w:rsidR="00241AC2">
        <w:t>b</w:t>
      </w:r>
      <w:r w:rsidR="00D97C96">
        <w:t>itcoin</w:t>
      </w:r>
      <w:r w:rsidR="00241AC2">
        <w:t>s</w:t>
      </w:r>
      <w:r w:rsidR="00D97C96">
        <w:t xml:space="preserve"> into two separate wallets from one wallet, with 2-4% of the transaction going to one of the wallets</w:t>
      </w:r>
      <w:r>
        <w:t xml:space="preserve"> owned by AlphaBay</w:t>
      </w:r>
      <w:r w:rsidR="00657CA2">
        <w:t>,</w:t>
      </w:r>
      <w:r w:rsidR="00D97C96">
        <w:t xml:space="preserve"> </w:t>
      </w:r>
      <w:r w:rsidR="00657CA2">
        <w:t>this</w:t>
      </w:r>
      <w:r w:rsidR="00D97C96">
        <w:t xml:space="preserve"> is likely a sale of drugs</w:t>
      </w:r>
      <w:r w:rsidR="00791A03">
        <w:t xml:space="preserve"> or potentially other illegal products</w:t>
      </w:r>
      <w:r w:rsidR="00D97C96">
        <w:t>. In this situation</w:t>
      </w:r>
      <w:r w:rsidR="008632FB">
        <w:t>,</w:t>
      </w:r>
      <w:r w:rsidR="00D97C96">
        <w:t xml:space="preserve"> a buyer </w:t>
      </w:r>
      <w:r w:rsidR="00657CA2">
        <w:t>sends</w:t>
      </w:r>
      <w:r w:rsidR="00D97C96">
        <w:t xml:space="preserve"> bitcoins to both the vendor (or </w:t>
      </w:r>
      <w:r w:rsidR="00657CA2">
        <w:t>escrow) and associated fee directly to AlphaBay. This sale is visually represented in chart 1 below.</w:t>
      </w:r>
      <w:r w:rsidR="00F5121B">
        <w:t xml:space="preserve"> In addition, all heuristics can be found in table </w:t>
      </w:r>
      <w:r w:rsidR="004C1EB9">
        <w:t>1</w:t>
      </w:r>
      <w:r w:rsidR="00F5121B">
        <w:t xml:space="preserve">. </w:t>
      </w:r>
    </w:p>
    <w:p w14:paraId="6F340C14" w14:textId="77777777" w:rsidR="004C1EB9" w:rsidRPr="00D258B4" w:rsidRDefault="004C1EB9" w:rsidP="004C1EB9">
      <w:pPr>
        <w:contextualSpacing/>
        <w:rPr>
          <w:i/>
          <w:iCs/>
        </w:rPr>
      </w:pPr>
      <w:r w:rsidRPr="00D258B4">
        <w:rPr>
          <w:i/>
          <w:iCs/>
        </w:rPr>
        <w:t>Chart 1: Sample Sale Transaction Heuristic</w:t>
      </w:r>
    </w:p>
    <w:p w14:paraId="3AC03FAC" w14:textId="77777777" w:rsidR="004C1EB9" w:rsidRDefault="004C1EB9" w:rsidP="004C1EB9">
      <w:pPr>
        <w:contextualSpacing/>
      </w:pPr>
    </w:p>
    <w:p w14:paraId="7C576C3E" w14:textId="2C48AF99" w:rsidR="004C1EB9" w:rsidRDefault="00873DDD" w:rsidP="004C1EB9">
      <w:pPr>
        <w:contextualSpacing/>
      </w:pPr>
      <w:r>
        <w:rPr>
          <w:noProof/>
        </w:rPr>
        <mc:AlternateContent>
          <mc:Choice Requires="wps">
            <w:drawing>
              <wp:anchor distT="0" distB="0" distL="114300" distR="114300" simplePos="0" relativeHeight="251657728" behindDoc="0" locked="0" layoutInCell="1" allowOverlap="1" wp14:anchorId="5A94E7B7" wp14:editId="7950D001">
                <wp:simplePos x="0" y="0"/>
                <wp:positionH relativeFrom="column">
                  <wp:posOffset>245110</wp:posOffset>
                </wp:positionH>
                <wp:positionV relativeFrom="paragraph">
                  <wp:posOffset>79375</wp:posOffset>
                </wp:positionV>
                <wp:extent cx="6059805" cy="313690"/>
                <wp:effectExtent l="26035" t="27940" r="38735" b="48895"/>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59805" cy="313690"/>
                        </a:xfrm>
                        <a:prstGeom prst="rect">
                          <a:avLst/>
                        </a:prstGeom>
                        <a:solidFill>
                          <a:srgbClr val="4472C4"/>
                        </a:solidFill>
                        <a:ln w="38100">
                          <a:solidFill>
                            <a:srgbClr val="F2F2F2"/>
                          </a:solidFill>
                          <a:miter lim="800000"/>
                          <a:headEnd/>
                          <a:tailEnd/>
                        </a:ln>
                        <a:effectLst>
                          <a:outerShdw dist="28398" dir="3806097" algn="ctr" rotWithShape="0">
                            <a:srgbClr val="1F3763">
                              <a:alpha val="50000"/>
                            </a:srgbClr>
                          </a:outerShdw>
                        </a:effectLst>
                      </wps:spPr>
                      <wps:txbx>
                        <w:txbxContent>
                          <w:p w14:paraId="2B3C8682" w14:textId="77777777" w:rsidR="004C1EB9" w:rsidRPr="00D03A8A" w:rsidRDefault="004C1EB9" w:rsidP="004C1EB9">
                            <w:pPr>
                              <w:rPr>
                                <w:color w:val="000000"/>
                              </w:rPr>
                            </w:pPr>
                            <w:r w:rsidRPr="00D03A8A">
                              <w:rPr>
                                <w:color w:val="000000"/>
                              </w:rPr>
                              <w:t xml:space="preserve">Transaction ID: </w:t>
                            </w:r>
                            <w:r w:rsidRPr="00D03A8A">
                              <w:rPr>
                                <w:rStyle w:val="sc-1ryi78w-0"/>
                                <w:color w:val="000000"/>
                              </w:rPr>
                              <w:t>4e2fe06a4c3af420a3d2b1f70142c9075ac5c6bcc9f6ba77d32c1db465652f74</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w14:anchorId="5A94E7B7" id="Rectangle 2" o:spid="_x0000_s1026" style="position:absolute;margin-left:19.3pt;margin-top:6.25pt;width:477.15pt;height:24.7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" fillcolor="#4472c4" strokecolor="#f2f2f2" strokeweight="3pt">
                <v:shadow on="t" color="#1f3763" opacity=".5" offset="1pt"/>
                <v:textbox>
                  <w:txbxContent>
                    <w:p w14:paraId="2B3C8682" w14:textId="77777777" w:rsidR="004C1EB9" w:rsidRPr="00D03A8A" w:rsidRDefault="004C1EB9" w:rsidP="004C1EB9">
                      <w:pPr>
                        <w:rPr>
                          <w:color w:val="000000"/>
                        </w:rPr>
                      </w:pPr>
                      <w:r w:rsidRPr="00D03A8A">
                        <w:rPr>
                          <w:color w:val="000000"/>
                        </w:rPr>
                        <w:t xml:space="preserve">Transaction ID: </w:t>
                      </w:r>
                      <w:r w:rsidRPr="00D03A8A">
                        <w:rPr>
                          <w:rStyle w:val="sc-1ryi78w-0"/>
                          <w:color w:val="000000"/>
                        </w:rPr>
                        <w:t>4e2fe06a4c3af420a3d2b1f70142c9075ac5c6bcc9f6ba77d32c1db465652f74</w:t>
                      </w:r>
                    </w:p>
                  </w:txbxContent>
                </v:textbox>
              </v:rect>
            </w:pict>
          </mc:Fallback>
        </mc:AlternateContent>
      </w:r>
      <w:r>
        <w:rPr>
          <w:noProof/>
        </w:rPr>
        <w:drawing>
          <wp:inline distT="0" distB="0" distL="0" distR="0" wp14:anchorId="0C546EF9" wp14:editId="606FDC11">
            <wp:extent cx="6472555" cy="3200400"/>
            <wp:effectExtent l="38100" t="0" r="23495" b="0"/>
            <wp:docPr id="1" name="Diagram 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14:paraId="40E080A8" w14:textId="77777777" w:rsidR="004C1EB9" w:rsidRDefault="004C1EB9" w:rsidP="004C1EB9">
      <w:pPr>
        <w:contextualSpacing/>
      </w:pPr>
    </w:p>
    <w:p w14:paraId="7FB489DD" w14:textId="77777777" w:rsidR="008C11FE" w:rsidRPr="00947652" w:rsidRDefault="008C11FE" w:rsidP="00947652">
      <w:pPr>
        <w:spacing w:line="480" w:lineRule="auto"/>
        <w:contextualSpacing/>
        <w:jc w:val="center"/>
        <w:rPr>
          <w:b/>
          <w:bCs/>
        </w:rPr>
      </w:pPr>
      <w:r w:rsidRPr="00947652">
        <w:rPr>
          <w:b/>
          <w:bCs/>
        </w:rPr>
        <w:t>Results</w:t>
      </w:r>
    </w:p>
    <w:p w14:paraId="4C19E583" w14:textId="77777777" w:rsidR="0079595F" w:rsidRDefault="00DD1120" w:rsidP="00947652">
      <w:pPr>
        <w:spacing w:line="480" w:lineRule="auto"/>
        <w:contextualSpacing/>
      </w:pPr>
      <w:r>
        <w:tab/>
        <w:t xml:space="preserve">In our review of 50 transactions, we found </w:t>
      </w:r>
      <w:r w:rsidR="00430F54">
        <w:t>1</w:t>
      </w:r>
      <w:r w:rsidR="00183111">
        <w:t>4</w:t>
      </w:r>
      <w:r w:rsidR="00430F54">
        <w:t xml:space="preserve"> different other known websites, vendors, or crypto services that were directly associated with AlphaBay through a </w:t>
      </w:r>
      <w:r w:rsidR="008632FB">
        <w:t>B</w:t>
      </w:r>
      <w:r w:rsidR="00430F54">
        <w:t>itcoin transaction.</w:t>
      </w:r>
      <w:r w:rsidR="001F70C8">
        <w:t xml:space="preserve"> These include other </w:t>
      </w:r>
      <w:r w:rsidR="008632FB">
        <w:t xml:space="preserve">darknet </w:t>
      </w:r>
      <w:r w:rsidR="001F70C8">
        <w:t>marketplaces (e.g., MiddleEarthMarket</w:t>
      </w:r>
      <w:r w:rsidR="00183111">
        <w:t>, Nucleus Market, Abraxas Market</w:t>
      </w:r>
      <w:r w:rsidR="001F70C8">
        <w:t>), wallet services (e.g., BitcoinWallet), anonymity services</w:t>
      </w:r>
      <w:r w:rsidR="00183111">
        <w:t xml:space="preserve"> or tumblers</w:t>
      </w:r>
      <w:r w:rsidR="001F70C8">
        <w:t xml:space="preserve"> (e.g.,</w:t>
      </w:r>
      <w:r w:rsidR="00183111">
        <w:t xml:space="preserve"> bitcoinfog), cryptocurrency exchanges (e.g., Kraken) and gambling services (e.g., NitrogenSprts.eu). Two caveats are worth mentioning here. First, these are only known addresses. Given the difficulty in </w:t>
      </w:r>
      <w:r w:rsidR="00183111">
        <w:lastRenderedPageBreak/>
        <w:t xml:space="preserve">deanonymizing wallets, this is likely an underestimation of other cryptocurrency websites. Second, these were only the </w:t>
      </w:r>
      <w:r w:rsidR="00791A03">
        <w:t>transactions</w:t>
      </w:r>
      <w:r w:rsidR="00183111">
        <w:t xml:space="preserve"> found </w:t>
      </w:r>
      <w:r w:rsidR="0079595F">
        <w:t>to directly interact with an AlphaBay wallet. If an unknown wallet was used in between a transaction, it would not have been found in our analysis.</w:t>
      </w:r>
    </w:p>
    <w:p w14:paraId="1886A0BE" w14:textId="615E3427" w:rsidR="004C1EB9" w:rsidRDefault="0079595F" w:rsidP="004C1EB9">
      <w:pPr>
        <w:spacing w:line="480" w:lineRule="auto"/>
        <w:contextualSpacing/>
      </w:pPr>
      <w:r>
        <w:tab/>
        <w:t xml:space="preserve"> </w:t>
      </w:r>
      <w:r w:rsidR="00704BF9">
        <w:t>Our second part of our analysis considered the types of transactions associated with Alpha</w:t>
      </w:r>
      <w:r w:rsidR="00E32D55">
        <w:t>B</w:t>
      </w:r>
      <w:r w:rsidR="00704BF9">
        <w:t>ay. In these 50 transactions</w:t>
      </w:r>
      <w:r w:rsidR="00AE2CEE">
        <w:t>,</w:t>
      </w:r>
      <w:r w:rsidR="00704BF9">
        <w:t xml:space="preserve"> we found </w:t>
      </w:r>
      <w:r w:rsidR="00A9685F">
        <w:t xml:space="preserve">six </w:t>
      </w:r>
      <w:r w:rsidR="00704BF9">
        <w:t>common types of transactions.  For a complete list and description</w:t>
      </w:r>
      <w:r w:rsidR="00D571D7">
        <w:t>,</w:t>
      </w:r>
      <w:r w:rsidR="00704BF9">
        <w:t xml:space="preserve"> see </w:t>
      </w:r>
      <w:r w:rsidR="008632FB">
        <w:t xml:space="preserve">table </w:t>
      </w:r>
      <w:r w:rsidR="00427C4B">
        <w:t>1</w:t>
      </w:r>
      <w:r w:rsidR="00704BF9">
        <w:t xml:space="preserve">. </w:t>
      </w:r>
      <w:r w:rsidR="00A9685F">
        <w:t>Ten</w:t>
      </w:r>
      <w:r w:rsidR="00704BF9">
        <w:t xml:space="preserve"> transactions</w:t>
      </w:r>
      <w:r w:rsidR="00A9685F">
        <w:t xml:space="preserve"> (20%)</w:t>
      </w:r>
      <w:r w:rsidR="00704BF9">
        <w:t xml:space="preserve"> appear to be drug sales, with a small commission being collected by AlphaBay. We also found 9 payouts </w:t>
      </w:r>
      <w:r w:rsidR="00A9685F">
        <w:t xml:space="preserve">from AlphaBay </w:t>
      </w:r>
      <w:r w:rsidR="00704BF9">
        <w:t>(18%), roughly matching the number of sales. Next, we found 11</w:t>
      </w:r>
      <w:r w:rsidR="00A9685F">
        <w:t xml:space="preserve"> AlphaBay inputs. Th</w:t>
      </w:r>
      <w:r w:rsidR="00AE2CEE">
        <w:t>ese are</w:t>
      </w:r>
      <w:r w:rsidR="00A9685F">
        <w:t xml:space="preserve"> likely users loading cryptocurrency into wallets on the AlphaBay platform for future purchases. </w:t>
      </w:r>
      <w:r w:rsidR="00D571D7">
        <w:t>W</w:t>
      </w:r>
      <w:r w:rsidR="00A9685F">
        <w:t xml:space="preserve">e also found seven transactions </w:t>
      </w:r>
      <w:r w:rsidR="008632FB">
        <w:t xml:space="preserve">(14%) </w:t>
      </w:r>
      <w:r w:rsidR="00A9685F">
        <w:t xml:space="preserve">which were part of a larger distribution. We believe these transactions are from cryptocurrency services, such as exchanges, sending multiple outputs to different locations. </w:t>
      </w:r>
      <w:r w:rsidR="000F594B">
        <w:t xml:space="preserve">We also found </w:t>
      </w:r>
      <w:r w:rsidR="00791A03">
        <w:t>typical</w:t>
      </w:r>
      <w:r w:rsidR="000F594B">
        <w:t xml:space="preserve"> cryptocurrency anonymizing behavior, such as </w:t>
      </w:r>
      <w:r w:rsidR="0073232E">
        <w:t>six</w:t>
      </w:r>
      <w:r w:rsidR="004870FA">
        <w:t xml:space="preserve"> (12%)</w:t>
      </w:r>
      <w:r w:rsidR="000F594B">
        <w:t xml:space="preserve"> transactions that appears to be pass through transactions and </w:t>
      </w:r>
      <w:r w:rsidR="0073232E">
        <w:t>two</w:t>
      </w:r>
      <w:r w:rsidR="004870FA">
        <w:t xml:space="preserve"> (4%)</w:t>
      </w:r>
      <w:r w:rsidR="000F594B">
        <w:t xml:space="preserve"> shifts.</w:t>
      </w:r>
      <w:r w:rsidR="0073232E">
        <w:t xml:space="preserve"> While </w:t>
      </w:r>
      <w:r w:rsidR="008632FB">
        <w:t xml:space="preserve">this analysis </w:t>
      </w:r>
      <w:r w:rsidR="0073232E">
        <w:t xml:space="preserve">is not perfect, these appear to be similar to anonymizing behavior </w:t>
      </w:r>
      <w:r w:rsidR="008D0304">
        <w:t xml:space="preserve">through utilizing new wallets frequently and mixing cryptocurrency to avoid easy traces (see discussion section for more information). </w:t>
      </w:r>
      <w:r w:rsidR="004870FA">
        <w:t xml:space="preserve">Finally, five transactions (10%) did not fit an easily identifiable pattern. </w:t>
      </w:r>
      <w:r w:rsidR="000F594B">
        <w:t xml:space="preserve"> </w:t>
      </w:r>
    </w:p>
    <w:p w14:paraId="7FD15DCE" w14:textId="77777777" w:rsidR="004C1EB9" w:rsidRPr="00C867FC" w:rsidRDefault="004C1EB9" w:rsidP="004C1EB9">
      <w:pPr>
        <w:contextualSpacing/>
        <w:rPr>
          <w:i/>
          <w:iCs/>
        </w:rPr>
      </w:pPr>
      <w:r>
        <w:rPr>
          <w:i/>
          <w:iCs/>
        </w:rPr>
        <w:t>Table</w:t>
      </w:r>
      <w:r w:rsidRPr="00C867FC">
        <w:rPr>
          <w:i/>
          <w:iCs/>
        </w:rPr>
        <w:t xml:space="preserve"> </w:t>
      </w:r>
      <w:r>
        <w:rPr>
          <w:i/>
          <w:iCs/>
        </w:rPr>
        <w:t>1</w:t>
      </w:r>
      <w:r w:rsidRPr="00C867FC">
        <w:rPr>
          <w:i/>
          <w:iCs/>
        </w:rPr>
        <w:t>: Heuristic Transactions</w:t>
      </w:r>
    </w:p>
    <w:p w14:paraId="1E089E4D" w14:textId="77777777" w:rsidR="004C1EB9" w:rsidRDefault="004C1EB9" w:rsidP="004C1EB9">
      <w:pPr>
        <w:contextualSpacing/>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95"/>
        <w:gridCol w:w="5940"/>
        <w:gridCol w:w="991"/>
      </w:tblGrid>
      <w:tr w:rsidR="004C1EB9" w:rsidRPr="00300629" w14:paraId="3CE07719" w14:textId="77777777" w:rsidTr="00E475A7">
        <w:trPr>
          <w:trHeight w:val="894"/>
        </w:trPr>
        <w:tc>
          <w:tcPr>
            <w:tcW w:w="1795" w:type="dxa"/>
            <w:shd w:val="clear" w:color="auto" w:fill="auto"/>
          </w:tcPr>
          <w:p w14:paraId="4BADAA31" w14:textId="77777777" w:rsidR="004C1EB9" w:rsidRPr="00300629" w:rsidRDefault="004C1EB9" w:rsidP="00E475A7">
            <w:pPr>
              <w:contextualSpacing/>
            </w:pPr>
            <w:r w:rsidRPr="00300629">
              <w:t>Heuristic Name</w:t>
            </w:r>
          </w:p>
        </w:tc>
        <w:tc>
          <w:tcPr>
            <w:tcW w:w="5940" w:type="dxa"/>
            <w:shd w:val="clear" w:color="auto" w:fill="auto"/>
          </w:tcPr>
          <w:p w14:paraId="6066F8CF" w14:textId="77777777" w:rsidR="004C1EB9" w:rsidRPr="00300629" w:rsidRDefault="004C1EB9" w:rsidP="00E475A7">
            <w:pPr>
              <w:contextualSpacing/>
            </w:pPr>
            <w:r w:rsidRPr="00300629">
              <w:t>Explanation</w:t>
            </w:r>
          </w:p>
        </w:tc>
        <w:tc>
          <w:tcPr>
            <w:tcW w:w="991" w:type="dxa"/>
            <w:shd w:val="clear" w:color="auto" w:fill="auto"/>
          </w:tcPr>
          <w:p w14:paraId="69640353" w14:textId="77777777" w:rsidR="004C1EB9" w:rsidRPr="00300629" w:rsidRDefault="004C1EB9" w:rsidP="00E475A7">
            <w:pPr>
              <w:contextualSpacing/>
            </w:pPr>
            <w:r w:rsidRPr="00300629">
              <w:t>Volume</w:t>
            </w:r>
          </w:p>
        </w:tc>
      </w:tr>
      <w:tr w:rsidR="004C1EB9" w:rsidRPr="00300629" w14:paraId="2CA1DDEC" w14:textId="77777777" w:rsidTr="00E475A7">
        <w:trPr>
          <w:trHeight w:val="894"/>
        </w:trPr>
        <w:tc>
          <w:tcPr>
            <w:tcW w:w="1795" w:type="dxa"/>
            <w:shd w:val="clear" w:color="auto" w:fill="auto"/>
          </w:tcPr>
          <w:p w14:paraId="0A45BBCC" w14:textId="77777777" w:rsidR="004C1EB9" w:rsidRPr="00300629" w:rsidRDefault="004C1EB9" w:rsidP="00E475A7">
            <w:pPr>
              <w:contextualSpacing/>
            </w:pPr>
            <w:r w:rsidRPr="00300629">
              <w:t>Sale</w:t>
            </w:r>
          </w:p>
        </w:tc>
        <w:tc>
          <w:tcPr>
            <w:tcW w:w="5940" w:type="dxa"/>
            <w:shd w:val="clear" w:color="auto" w:fill="auto"/>
          </w:tcPr>
          <w:p w14:paraId="3042400D" w14:textId="77777777" w:rsidR="004C1EB9" w:rsidRPr="00300629" w:rsidRDefault="004C1EB9" w:rsidP="00E475A7">
            <w:pPr>
              <w:contextualSpacing/>
            </w:pPr>
            <w:r w:rsidRPr="00300629">
              <w:t>When wallet(s) are used to make a transaction to two wallets</w:t>
            </w:r>
            <w:r>
              <w:t xml:space="preserve"> where</w:t>
            </w:r>
            <w:r w:rsidRPr="00300629">
              <w:t xml:space="preserve"> one wallet</w:t>
            </w:r>
            <w:r>
              <w:t xml:space="preserve"> is</w:t>
            </w:r>
            <w:r w:rsidRPr="00300629">
              <w:t xml:space="preserve"> associated with AlphaBay representing 1-6% (fee) of the total transaction</w:t>
            </w:r>
          </w:p>
        </w:tc>
        <w:tc>
          <w:tcPr>
            <w:tcW w:w="991" w:type="dxa"/>
            <w:shd w:val="clear" w:color="auto" w:fill="auto"/>
          </w:tcPr>
          <w:p w14:paraId="789FFC60" w14:textId="77777777" w:rsidR="004C1EB9" w:rsidRPr="00300629" w:rsidRDefault="004C1EB9" w:rsidP="00E475A7">
            <w:pPr>
              <w:contextualSpacing/>
            </w:pPr>
            <w:r w:rsidRPr="00300629">
              <w:t>10</w:t>
            </w:r>
          </w:p>
        </w:tc>
      </w:tr>
      <w:tr w:rsidR="004C1EB9" w:rsidRPr="00300629" w14:paraId="1CF182EF" w14:textId="77777777" w:rsidTr="00E475A7">
        <w:trPr>
          <w:trHeight w:val="858"/>
        </w:trPr>
        <w:tc>
          <w:tcPr>
            <w:tcW w:w="1795" w:type="dxa"/>
            <w:shd w:val="clear" w:color="auto" w:fill="auto"/>
          </w:tcPr>
          <w:p w14:paraId="58CB61B4" w14:textId="77777777" w:rsidR="004C1EB9" w:rsidRPr="00300629" w:rsidRDefault="004C1EB9" w:rsidP="00E475A7">
            <w:pPr>
              <w:contextualSpacing/>
            </w:pPr>
            <w:r w:rsidRPr="00300629">
              <w:t>Passthrough</w:t>
            </w:r>
          </w:p>
        </w:tc>
        <w:tc>
          <w:tcPr>
            <w:tcW w:w="5940" w:type="dxa"/>
            <w:shd w:val="clear" w:color="auto" w:fill="auto"/>
          </w:tcPr>
          <w:p w14:paraId="0D700E5C" w14:textId="77777777" w:rsidR="004C1EB9" w:rsidRPr="00300629" w:rsidRDefault="004C1EB9" w:rsidP="00E475A7">
            <w:pPr>
              <w:contextualSpacing/>
            </w:pPr>
            <w:r w:rsidRPr="00300629">
              <w:t>When cryptocurrency is directly transferred from one wallet to another and inputs match outputs, with a small deduction for bitcoin fees</w:t>
            </w:r>
          </w:p>
        </w:tc>
        <w:tc>
          <w:tcPr>
            <w:tcW w:w="991" w:type="dxa"/>
            <w:shd w:val="clear" w:color="auto" w:fill="auto"/>
          </w:tcPr>
          <w:p w14:paraId="1EE39C57" w14:textId="77777777" w:rsidR="004C1EB9" w:rsidRPr="00300629" w:rsidRDefault="004C1EB9" w:rsidP="00E475A7">
            <w:pPr>
              <w:contextualSpacing/>
            </w:pPr>
            <w:r w:rsidRPr="00300629">
              <w:t>6</w:t>
            </w:r>
          </w:p>
        </w:tc>
      </w:tr>
      <w:tr w:rsidR="004C1EB9" w:rsidRPr="00300629" w14:paraId="769A89E2" w14:textId="77777777" w:rsidTr="00E475A7">
        <w:trPr>
          <w:trHeight w:val="894"/>
        </w:trPr>
        <w:tc>
          <w:tcPr>
            <w:tcW w:w="1795" w:type="dxa"/>
            <w:shd w:val="clear" w:color="auto" w:fill="auto"/>
          </w:tcPr>
          <w:p w14:paraId="7838CFAE" w14:textId="77777777" w:rsidR="004C1EB9" w:rsidRPr="00300629" w:rsidRDefault="004C1EB9" w:rsidP="00E475A7">
            <w:pPr>
              <w:contextualSpacing/>
            </w:pPr>
            <w:r w:rsidRPr="00300629">
              <w:lastRenderedPageBreak/>
              <w:t>Distribution</w:t>
            </w:r>
          </w:p>
        </w:tc>
        <w:tc>
          <w:tcPr>
            <w:tcW w:w="5940" w:type="dxa"/>
            <w:shd w:val="clear" w:color="auto" w:fill="auto"/>
          </w:tcPr>
          <w:p w14:paraId="368443A4" w14:textId="77777777" w:rsidR="004C1EB9" w:rsidRPr="00300629" w:rsidRDefault="004C1EB9" w:rsidP="00E475A7">
            <w:pPr>
              <w:contextualSpacing/>
            </w:pPr>
            <w:r w:rsidRPr="00300629">
              <w:t>One input with five or more outputs. We believe these represent a distribution from a larger cryptocurrency player – such as an exchange sending cryptocurrency to multiple wallets in one transaction.</w:t>
            </w:r>
          </w:p>
        </w:tc>
        <w:tc>
          <w:tcPr>
            <w:tcW w:w="991" w:type="dxa"/>
            <w:shd w:val="clear" w:color="auto" w:fill="auto"/>
          </w:tcPr>
          <w:p w14:paraId="0B23C71E" w14:textId="77777777" w:rsidR="004C1EB9" w:rsidRPr="00300629" w:rsidRDefault="004C1EB9" w:rsidP="00E475A7">
            <w:pPr>
              <w:contextualSpacing/>
            </w:pPr>
            <w:r w:rsidRPr="00300629">
              <w:t>7</w:t>
            </w:r>
          </w:p>
        </w:tc>
      </w:tr>
      <w:tr w:rsidR="004C1EB9" w:rsidRPr="00300629" w14:paraId="3A193296" w14:textId="77777777" w:rsidTr="00E475A7">
        <w:trPr>
          <w:trHeight w:val="894"/>
        </w:trPr>
        <w:tc>
          <w:tcPr>
            <w:tcW w:w="1795" w:type="dxa"/>
            <w:shd w:val="clear" w:color="auto" w:fill="auto"/>
          </w:tcPr>
          <w:p w14:paraId="21A8A7F4" w14:textId="77777777" w:rsidR="004C1EB9" w:rsidRPr="00300629" w:rsidRDefault="004C1EB9" w:rsidP="00E475A7">
            <w:pPr>
              <w:contextualSpacing/>
            </w:pPr>
            <w:r w:rsidRPr="00300629">
              <w:t>Shift</w:t>
            </w:r>
          </w:p>
        </w:tc>
        <w:tc>
          <w:tcPr>
            <w:tcW w:w="5940" w:type="dxa"/>
            <w:shd w:val="clear" w:color="auto" w:fill="auto"/>
          </w:tcPr>
          <w:p w14:paraId="5E3FF110" w14:textId="77777777" w:rsidR="004C1EB9" w:rsidRPr="00300629" w:rsidRDefault="004C1EB9" w:rsidP="00E475A7">
            <w:pPr>
              <w:contextualSpacing/>
            </w:pPr>
            <w:r w:rsidRPr="00300629">
              <w:t>When an equal number of inputs and outputs are used, and input wallet amounts do not directly match output wallet amounts.</w:t>
            </w:r>
          </w:p>
        </w:tc>
        <w:tc>
          <w:tcPr>
            <w:tcW w:w="991" w:type="dxa"/>
            <w:shd w:val="clear" w:color="auto" w:fill="auto"/>
          </w:tcPr>
          <w:p w14:paraId="560FE035" w14:textId="77777777" w:rsidR="004C1EB9" w:rsidRPr="00300629" w:rsidRDefault="004C1EB9" w:rsidP="00E475A7">
            <w:pPr>
              <w:contextualSpacing/>
            </w:pPr>
            <w:r w:rsidRPr="00300629">
              <w:t>2</w:t>
            </w:r>
          </w:p>
        </w:tc>
      </w:tr>
      <w:tr w:rsidR="004C1EB9" w:rsidRPr="00300629" w14:paraId="750E260F" w14:textId="77777777" w:rsidTr="00E475A7">
        <w:trPr>
          <w:trHeight w:val="894"/>
        </w:trPr>
        <w:tc>
          <w:tcPr>
            <w:tcW w:w="1795" w:type="dxa"/>
            <w:shd w:val="clear" w:color="auto" w:fill="auto"/>
          </w:tcPr>
          <w:p w14:paraId="73B67C75" w14:textId="77777777" w:rsidR="004C1EB9" w:rsidRPr="00300629" w:rsidRDefault="004C1EB9" w:rsidP="00E475A7">
            <w:pPr>
              <w:contextualSpacing/>
            </w:pPr>
            <w:r w:rsidRPr="00300629">
              <w:t>AlphaBay Input</w:t>
            </w:r>
          </w:p>
        </w:tc>
        <w:tc>
          <w:tcPr>
            <w:tcW w:w="5940" w:type="dxa"/>
            <w:shd w:val="clear" w:color="auto" w:fill="auto"/>
          </w:tcPr>
          <w:p w14:paraId="3AD177C9" w14:textId="77777777" w:rsidR="004C1EB9" w:rsidRPr="00300629" w:rsidRDefault="004C1EB9" w:rsidP="00E475A7">
            <w:pPr>
              <w:contextualSpacing/>
            </w:pPr>
            <w:r w:rsidRPr="00300629">
              <w:t xml:space="preserve">When wallet(s) inputs lead to an AlphaBay address and change is provided to a non-AlphaBay address. We believe this could be someone loading a user wallet on AlphaBay. </w:t>
            </w:r>
          </w:p>
        </w:tc>
        <w:tc>
          <w:tcPr>
            <w:tcW w:w="991" w:type="dxa"/>
            <w:shd w:val="clear" w:color="auto" w:fill="auto"/>
          </w:tcPr>
          <w:p w14:paraId="10ED276C" w14:textId="77777777" w:rsidR="004C1EB9" w:rsidRPr="00300629" w:rsidRDefault="004C1EB9" w:rsidP="00E475A7">
            <w:pPr>
              <w:contextualSpacing/>
            </w:pPr>
            <w:r w:rsidRPr="00300629">
              <w:t>11</w:t>
            </w:r>
          </w:p>
        </w:tc>
      </w:tr>
      <w:tr w:rsidR="004C1EB9" w:rsidRPr="00300629" w14:paraId="52898F19" w14:textId="77777777" w:rsidTr="00E475A7">
        <w:trPr>
          <w:trHeight w:val="894"/>
        </w:trPr>
        <w:tc>
          <w:tcPr>
            <w:tcW w:w="1795" w:type="dxa"/>
            <w:shd w:val="clear" w:color="auto" w:fill="auto"/>
          </w:tcPr>
          <w:p w14:paraId="3AD706C2" w14:textId="77777777" w:rsidR="004C1EB9" w:rsidRPr="00300629" w:rsidRDefault="004C1EB9" w:rsidP="00E475A7">
            <w:pPr>
              <w:contextualSpacing/>
            </w:pPr>
            <w:r w:rsidRPr="00300629">
              <w:t>Payout</w:t>
            </w:r>
          </w:p>
        </w:tc>
        <w:tc>
          <w:tcPr>
            <w:tcW w:w="5940" w:type="dxa"/>
            <w:shd w:val="clear" w:color="auto" w:fill="auto"/>
          </w:tcPr>
          <w:p w14:paraId="662B1D50" w14:textId="77777777" w:rsidR="004C1EB9" w:rsidRPr="00300629" w:rsidRDefault="004C1EB9" w:rsidP="00E475A7">
            <w:pPr>
              <w:contextualSpacing/>
            </w:pPr>
            <w:r w:rsidRPr="00300629">
              <w:t>When the sending address is an AlphaBay address, and output goes to an unknown wallet(s) or anonymizing service</w:t>
            </w:r>
          </w:p>
        </w:tc>
        <w:tc>
          <w:tcPr>
            <w:tcW w:w="991" w:type="dxa"/>
            <w:shd w:val="clear" w:color="auto" w:fill="auto"/>
          </w:tcPr>
          <w:p w14:paraId="1F1061ED" w14:textId="77777777" w:rsidR="004C1EB9" w:rsidRPr="00300629" w:rsidRDefault="004C1EB9" w:rsidP="00E475A7">
            <w:pPr>
              <w:contextualSpacing/>
            </w:pPr>
            <w:r w:rsidRPr="00300629">
              <w:t>9</w:t>
            </w:r>
          </w:p>
        </w:tc>
      </w:tr>
      <w:tr w:rsidR="004C1EB9" w:rsidRPr="00300629" w14:paraId="1EBD876A" w14:textId="77777777" w:rsidTr="00E475A7">
        <w:trPr>
          <w:trHeight w:val="894"/>
        </w:trPr>
        <w:tc>
          <w:tcPr>
            <w:tcW w:w="1795" w:type="dxa"/>
            <w:shd w:val="clear" w:color="auto" w:fill="auto"/>
          </w:tcPr>
          <w:p w14:paraId="02438F4C" w14:textId="77777777" w:rsidR="004C1EB9" w:rsidRPr="00300629" w:rsidRDefault="004C1EB9" w:rsidP="00E475A7">
            <w:pPr>
              <w:contextualSpacing/>
            </w:pPr>
            <w:r w:rsidRPr="00300629">
              <w:t>Unknown</w:t>
            </w:r>
          </w:p>
        </w:tc>
        <w:tc>
          <w:tcPr>
            <w:tcW w:w="5940" w:type="dxa"/>
            <w:shd w:val="clear" w:color="auto" w:fill="auto"/>
          </w:tcPr>
          <w:p w14:paraId="74DD0895" w14:textId="77777777" w:rsidR="004C1EB9" w:rsidRPr="00300629" w:rsidRDefault="004C1EB9" w:rsidP="00E475A7">
            <w:pPr>
              <w:contextualSpacing/>
            </w:pPr>
            <w:r w:rsidRPr="00300629">
              <w:t>Did not fit a current pattern and cannot infer without more detail</w:t>
            </w:r>
          </w:p>
        </w:tc>
        <w:tc>
          <w:tcPr>
            <w:tcW w:w="991" w:type="dxa"/>
            <w:shd w:val="clear" w:color="auto" w:fill="auto"/>
          </w:tcPr>
          <w:p w14:paraId="5E9F4240" w14:textId="77777777" w:rsidR="004C1EB9" w:rsidRPr="00300629" w:rsidRDefault="004C1EB9" w:rsidP="00E475A7">
            <w:pPr>
              <w:contextualSpacing/>
            </w:pPr>
            <w:r w:rsidRPr="00300629">
              <w:t>5</w:t>
            </w:r>
          </w:p>
        </w:tc>
      </w:tr>
    </w:tbl>
    <w:p w14:paraId="6800B224" w14:textId="77777777" w:rsidR="004C1EB9" w:rsidRDefault="004C1EB9" w:rsidP="004C1EB9">
      <w:pPr>
        <w:contextualSpacing/>
      </w:pPr>
    </w:p>
    <w:p w14:paraId="7DBEF79A" w14:textId="77777777" w:rsidR="004E094C" w:rsidRPr="00947652" w:rsidRDefault="008C11FE" w:rsidP="00947652">
      <w:pPr>
        <w:spacing w:line="480" w:lineRule="auto"/>
        <w:contextualSpacing/>
        <w:jc w:val="center"/>
        <w:rPr>
          <w:b/>
          <w:bCs/>
        </w:rPr>
      </w:pPr>
      <w:r w:rsidRPr="00947652">
        <w:rPr>
          <w:b/>
          <w:bCs/>
        </w:rPr>
        <w:t>Discussion</w:t>
      </w:r>
    </w:p>
    <w:p w14:paraId="222DB7B2" w14:textId="0C75034B" w:rsidR="00673000" w:rsidRDefault="00BA0B14" w:rsidP="00947652">
      <w:pPr>
        <w:spacing w:line="480" w:lineRule="auto"/>
        <w:contextualSpacing/>
      </w:pPr>
      <w:r>
        <w:tab/>
        <w:t>In our analysis</w:t>
      </w:r>
      <w:r w:rsidR="008632FB">
        <w:t>,</w:t>
      </w:r>
      <w:r>
        <w:t xml:space="preserve"> we revealed common transactions associated with Alpha</w:t>
      </w:r>
      <w:r w:rsidR="008632FB">
        <w:t>B</w:t>
      </w:r>
      <w:r>
        <w:t xml:space="preserve">ay using publicly available information. </w:t>
      </w:r>
      <w:r w:rsidR="00473ED2">
        <w:t xml:space="preserve">We also found a series of associated </w:t>
      </w:r>
      <w:r w:rsidR="008C29B0">
        <w:t xml:space="preserve">services and other known cryptocurrency websites </w:t>
      </w:r>
      <w:r w:rsidR="00695E30">
        <w:t>that</w:t>
      </w:r>
      <w:r w:rsidR="008C29B0">
        <w:t xml:space="preserve"> had directly transacted with an AlphaBay address</w:t>
      </w:r>
      <w:r w:rsidR="00A6014D">
        <w:t xml:space="preserve">. </w:t>
      </w:r>
      <w:r w:rsidR="00976340">
        <w:t xml:space="preserve">Our </w:t>
      </w:r>
      <w:r w:rsidR="005419B2">
        <w:t>analysis shows the int</w:t>
      </w:r>
      <w:r w:rsidR="00976340">
        <w:t xml:space="preserve">erconnectedness of </w:t>
      </w:r>
      <w:r w:rsidR="00082930">
        <w:t xml:space="preserve">darknet </w:t>
      </w:r>
      <w:r w:rsidR="00976340">
        <w:t xml:space="preserve">marketplaces on </w:t>
      </w:r>
      <w:r w:rsidR="00082930">
        <w:t>Tor</w:t>
      </w:r>
      <w:r w:rsidR="00976340">
        <w:t xml:space="preserve">. </w:t>
      </w:r>
      <w:r w:rsidR="00976340" w:rsidRPr="00B41343">
        <w:t xml:space="preserve">While </w:t>
      </w:r>
      <w:r w:rsidR="0031256E">
        <w:t xml:space="preserve">previous </w:t>
      </w:r>
      <w:r w:rsidR="00976340" w:rsidRPr="00B41343">
        <w:t xml:space="preserve">studies have asked users if they frequent the darknet and purchase online drugs </w:t>
      </w:r>
      <w:r w:rsidR="00B41343" w:rsidRPr="00B41343">
        <w:rPr>
          <w:noProof/>
        </w:rPr>
        <w:t>(e.g., Van Buskirk et al., 2016)</w:t>
      </w:r>
      <w:r w:rsidR="00976340" w:rsidRPr="00B41343">
        <w:t>, these studies have an inherent limitation</w:t>
      </w:r>
      <w:r w:rsidR="00082930">
        <w:t>—</w:t>
      </w:r>
      <w:r w:rsidR="00976340" w:rsidRPr="00B41343">
        <w:t xml:space="preserve">participants can and do lie. Following </w:t>
      </w:r>
      <w:r w:rsidR="00082930">
        <w:t>Bitcoin</w:t>
      </w:r>
      <w:r w:rsidR="00082930" w:rsidRPr="00B41343">
        <w:t xml:space="preserve"> </w:t>
      </w:r>
      <w:r w:rsidR="00976340" w:rsidRPr="00B41343">
        <w:t>transactions remove</w:t>
      </w:r>
      <w:r w:rsidR="00CF49ED" w:rsidRPr="00B41343">
        <w:t>s</w:t>
      </w:r>
      <w:r w:rsidR="00976340" w:rsidRPr="00B41343">
        <w:t xml:space="preserve"> this limitation</w:t>
      </w:r>
      <w:r w:rsidR="00082930">
        <w:t xml:space="preserve">, as these transactions are publicly viewable and immutable. Thus, they do not rely on the veracity of the individuals conducting </w:t>
      </w:r>
      <w:r w:rsidR="00FF7810">
        <w:t xml:space="preserve">the </w:t>
      </w:r>
      <w:r w:rsidR="00082930">
        <w:t>transactions</w:t>
      </w:r>
      <w:r w:rsidR="003F0D3E">
        <w:t>.</w:t>
      </w:r>
    </w:p>
    <w:p w14:paraId="4EECFF1B" w14:textId="77777777" w:rsidR="008274B6" w:rsidRDefault="00976340" w:rsidP="00B97DC2">
      <w:pPr>
        <w:spacing w:line="480" w:lineRule="auto"/>
        <w:ind w:firstLine="720"/>
        <w:contextualSpacing/>
      </w:pPr>
      <w:r>
        <w:t xml:space="preserve">In only 50 random transactions during the first two days of </w:t>
      </w:r>
      <w:r w:rsidRPr="00CF49ED">
        <w:t>operation, AlphaBay was associated with 1</w:t>
      </w:r>
      <w:r w:rsidR="00291048" w:rsidRPr="00CF49ED">
        <w:t>4</w:t>
      </w:r>
      <w:r w:rsidRPr="00CF49ED">
        <w:t xml:space="preserve"> </w:t>
      </w:r>
      <w:r w:rsidR="00FF7810">
        <w:t>d</w:t>
      </w:r>
      <w:r w:rsidRPr="00CF49ED">
        <w:t xml:space="preserve">ifferent known </w:t>
      </w:r>
      <w:r w:rsidR="00776395">
        <w:t>To</w:t>
      </w:r>
      <w:r w:rsidR="00330BDB">
        <w:t>r</w:t>
      </w:r>
      <w:r w:rsidR="00776395" w:rsidRPr="00CF49ED">
        <w:t xml:space="preserve"> </w:t>
      </w:r>
      <w:r w:rsidRPr="00CF49ED">
        <w:t xml:space="preserve">and </w:t>
      </w:r>
      <w:r w:rsidR="00776395">
        <w:t>c</w:t>
      </w:r>
      <w:r w:rsidRPr="00CF49ED">
        <w:t>learnet websites. Given the difficult</w:t>
      </w:r>
      <w:r w:rsidR="00FF7810">
        <w:t>y</w:t>
      </w:r>
      <w:r w:rsidRPr="00CF49ED">
        <w:t xml:space="preserve"> of associating </w:t>
      </w:r>
      <w:r w:rsidR="009076F4">
        <w:t>B</w:t>
      </w:r>
      <w:r w:rsidRPr="00CF49ED">
        <w:t>itcoin wallets with users, this is a conservative estimate</w:t>
      </w:r>
      <w:r w:rsidR="00CF49ED">
        <w:t xml:space="preserve">. To visualize this event, one can </w:t>
      </w:r>
      <w:r w:rsidR="009076F4">
        <w:t>imagine</w:t>
      </w:r>
      <w:r w:rsidR="00CF49ED">
        <w:t xml:space="preserve"> </w:t>
      </w:r>
      <w:r w:rsidR="00E349D1">
        <w:t>an individual walking around a city with money in their pocket. They may spend money at a legitimate organization (e.g., McDonald</w:t>
      </w:r>
      <w:r w:rsidR="009076F4">
        <w:t>’</w:t>
      </w:r>
      <w:r w:rsidR="00E349D1">
        <w:t xml:space="preserve">s) or use a banking service. They </w:t>
      </w:r>
      <w:r w:rsidR="009076F4">
        <w:t>might then</w:t>
      </w:r>
      <w:r w:rsidR="00E349D1">
        <w:t xml:space="preserve"> use the </w:t>
      </w:r>
      <w:r w:rsidR="00E349D1">
        <w:lastRenderedPageBreak/>
        <w:t>rest of their money to buy illegal drugs</w:t>
      </w:r>
      <w:r w:rsidR="00553F80">
        <w:t xml:space="preserve">. We found a similar pattern in these online transactions. The legal transactions, and organizations, are closely tied to the illegal </w:t>
      </w:r>
      <w:r w:rsidR="00AE4E88">
        <w:t xml:space="preserve">transactions and organizations. We do not suggest that the legal cryptocurrency organizations are directly involved in illegal transactions, but that the people involved in cryptocurrency utilize both legal and illegal services. </w:t>
      </w:r>
      <w:r w:rsidR="00584EA3">
        <w:t xml:space="preserve">To further explore this </w:t>
      </w:r>
      <w:r w:rsidR="00B41343">
        <w:t>idea,</w:t>
      </w:r>
      <w:r w:rsidR="00584EA3">
        <w:t xml:space="preserve"> we consider both legal and illegal uses of cryptocurrency below. </w:t>
      </w:r>
    </w:p>
    <w:p w14:paraId="750387AC" w14:textId="77777777" w:rsidR="00251DAF" w:rsidRPr="004C1EB9" w:rsidRDefault="00251DAF" w:rsidP="00947652">
      <w:pPr>
        <w:spacing w:line="480" w:lineRule="auto"/>
        <w:contextualSpacing/>
        <w:rPr>
          <w:b/>
          <w:bCs/>
        </w:rPr>
      </w:pPr>
      <w:r w:rsidRPr="004C1EB9">
        <w:rPr>
          <w:b/>
          <w:bCs/>
        </w:rPr>
        <w:t xml:space="preserve">Legal </w:t>
      </w:r>
      <w:r w:rsidR="004C1EB9">
        <w:rPr>
          <w:b/>
          <w:bCs/>
        </w:rPr>
        <w:t>V</w:t>
      </w:r>
      <w:r w:rsidRPr="004C1EB9">
        <w:rPr>
          <w:b/>
          <w:bCs/>
        </w:rPr>
        <w:t xml:space="preserve">s. </w:t>
      </w:r>
      <w:r w:rsidR="004C1EB9">
        <w:rPr>
          <w:b/>
          <w:bCs/>
        </w:rPr>
        <w:t>I</w:t>
      </w:r>
      <w:r w:rsidRPr="004C1EB9">
        <w:rPr>
          <w:b/>
          <w:bCs/>
        </w:rPr>
        <w:t xml:space="preserve">llegal </w:t>
      </w:r>
      <w:r w:rsidR="004C1EB9">
        <w:rPr>
          <w:b/>
          <w:bCs/>
        </w:rPr>
        <w:t>U</w:t>
      </w:r>
      <w:r w:rsidRPr="004C1EB9">
        <w:rPr>
          <w:b/>
          <w:bCs/>
        </w:rPr>
        <w:t xml:space="preserve">ses of </w:t>
      </w:r>
      <w:r w:rsidR="004C1EB9">
        <w:rPr>
          <w:b/>
          <w:bCs/>
        </w:rPr>
        <w:t>C</w:t>
      </w:r>
      <w:r w:rsidRPr="004C1EB9">
        <w:rPr>
          <w:b/>
          <w:bCs/>
        </w:rPr>
        <w:t>rypto</w:t>
      </w:r>
      <w:r w:rsidR="00B04370" w:rsidRPr="004C1EB9">
        <w:rPr>
          <w:b/>
          <w:bCs/>
        </w:rPr>
        <w:t>currency</w:t>
      </w:r>
    </w:p>
    <w:p w14:paraId="2378BBA9" w14:textId="77777777" w:rsidR="00C95690" w:rsidRDefault="00C95690" w:rsidP="00947652">
      <w:pPr>
        <w:spacing w:line="480" w:lineRule="auto"/>
        <w:contextualSpacing/>
      </w:pPr>
      <w:r>
        <w:tab/>
        <w:t>Not all transactions in cryptocurrency are illegal</w:t>
      </w:r>
      <w:r w:rsidR="00B04370">
        <w:t>—in fact, the</w:t>
      </w:r>
      <w:r w:rsidR="00A6014D">
        <w:t xml:space="preserve"> </w:t>
      </w:r>
      <w:r w:rsidR="00B04370">
        <w:t>majority of cryptocurrency transactions are conducted licitly</w:t>
      </w:r>
      <w:r>
        <w:t xml:space="preserve">. </w:t>
      </w:r>
      <w:r w:rsidR="00B04370">
        <w:t xml:space="preserve">In 2021, Chainalysis found that only 0.15% of cryptocurrency transactions involved illicit addresses (Chainalysis, 2022). </w:t>
      </w:r>
      <w:r>
        <w:t>Cryptocurrency and other trading tools based on cryptocurrency are now being traded on common investment platforms. For example,</w:t>
      </w:r>
      <w:r w:rsidR="007C788A">
        <w:t xml:space="preserve"> </w:t>
      </w:r>
      <w:r w:rsidR="00966893">
        <w:t xml:space="preserve">average investors can buy into </w:t>
      </w:r>
      <w:r w:rsidR="007C788A">
        <w:t>mutual funds such as First Bitcoin Mutual Fund</w:t>
      </w:r>
      <w:r w:rsidR="00966893">
        <w:t>, which</w:t>
      </w:r>
      <w:r w:rsidR="007C788A">
        <w:t xml:space="preserve"> are based on cryptocurrency futures (Ballentine, 2021).</w:t>
      </w:r>
      <w:r w:rsidR="001265D0">
        <w:t xml:space="preserve"> Consumer commodities are also available for purchase with cryptocurrency. There are an extensive number of companies which allow for Bitcoin as a purchase tool. These include large organizations such as Microsoft, Wikipedia (donations), </w:t>
      </w:r>
      <w:r w:rsidR="0089204A">
        <w:t>BMW, AT&amp;T, Rakuten, and Newegg (paybis.com, 2021)</w:t>
      </w:r>
      <w:r w:rsidR="00721E5C">
        <w:t xml:space="preserve">. Due to the convenience and increasing acceptance of cryptocurrency, the President of the United States, Joe Biden, signed an executive order in March 2022 </w:t>
      </w:r>
      <w:r w:rsidR="00695E30">
        <w:t>to</w:t>
      </w:r>
      <w:r w:rsidR="00721E5C">
        <w:t xml:space="preserve"> explore </w:t>
      </w:r>
      <w:r w:rsidR="00695E30">
        <w:t xml:space="preserve">if the </w:t>
      </w:r>
      <w:r w:rsidR="00721E5C">
        <w:t>Federal Reserve should create its own cryptocurrency</w:t>
      </w:r>
      <w:r w:rsidR="00E12E79">
        <w:t xml:space="preserve"> (Hussein, 2022)</w:t>
      </w:r>
      <w:r w:rsidR="00721E5C">
        <w:t xml:space="preserve">. </w:t>
      </w:r>
      <w:r w:rsidR="001265D0">
        <w:t xml:space="preserve"> </w:t>
      </w:r>
    </w:p>
    <w:p w14:paraId="69C404B4" w14:textId="03C5F492" w:rsidR="0003728E" w:rsidRDefault="0003728E" w:rsidP="00947652">
      <w:pPr>
        <w:spacing w:line="480" w:lineRule="auto"/>
        <w:contextualSpacing/>
      </w:pPr>
      <w:r>
        <w:tab/>
        <w:t xml:space="preserve">Beyond convenience, there are other advantages that cryptocurrency yields for legitimate transactions. The obfuscation of the purchaser can be used to help individuals purchase items when they are concerned about tracking from oppressive regimes. For example, purchasing </w:t>
      </w:r>
      <w:r w:rsidR="00A45C71">
        <w:t xml:space="preserve">a </w:t>
      </w:r>
      <w:r>
        <w:t xml:space="preserve">VPN or other privacy software via Bitcoin is common and may help those with highly regulated </w:t>
      </w:r>
      <w:r>
        <w:lastRenderedPageBreak/>
        <w:t xml:space="preserve">internet access non-controlled media. </w:t>
      </w:r>
      <w:r w:rsidR="00111577">
        <w:t xml:space="preserve">Cryptocurrencies can also be </w:t>
      </w:r>
      <w:r w:rsidR="00465239">
        <w:t>near instantaneous</w:t>
      </w:r>
      <w:r w:rsidR="00111577">
        <w:t xml:space="preserve">, </w:t>
      </w:r>
      <w:r w:rsidR="00966893">
        <w:t xml:space="preserve">as </w:t>
      </w:r>
      <w:r w:rsidR="00111577">
        <w:t xml:space="preserve">without the need for a third party, the money sent can be accessed </w:t>
      </w:r>
      <w:r w:rsidR="00966893">
        <w:t xml:space="preserve">almost </w:t>
      </w:r>
      <w:r w:rsidR="00111577">
        <w:t>instantly. This was readily apparent in donations to Ukraine during the war with Russia, where crypto</w:t>
      </w:r>
      <w:r w:rsidR="00966893">
        <w:t>currency</w:t>
      </w:r>
      <w:r w:rsidR="00111577">
        <w:t xml:space="preserve"> donations were readily available without limitation for Ukraine’s use (Lopatto, 2022).</w:t>
      </w:r>
    </w:p>
    <w:p w14:paraId="1FF56414" w14:textId="5C443524" w:rsidR="00D926B7" w:rsidRDefault="00966893" w:rsidP="00947652">
      <w:pPr>
        <w:spacing w:line="480" w:lineRule="auto"/>
        <w:ind w:firstLine="720"/>
        <w:contextualSpacing/>
      </w:pPr>
      <w:r>
        <w:t>Moreover</w:t>
      </w:r>
      <w:r w:rsidR="005B0CB0">
        <w:t>, w</w:t>
      </w:r>
      <w:r w:rsidR="00C95690">
        <w:t xml:space="preserve">hile the anonymity features can cater to those trying to hide identity in a transaction, there are some elements of cryptocurrency </w:t>
      </w:r>
      <w:r w:rsidR="00695E30">
        <w:t>that</w:t>
      </w:r>
      <w:r w:rsidR="00C95690">
        <w:t xml:space="preserve"> may hinder some forms of crime</w:t>
      </w:r>
      <w:r w:rsidR="005B0CB0">
        <w:t xml:space="preserve">. Transactions on most ledgers, including Bitcoin, are </w:t>
      </w:r>
      <w:r w:rsidR="000B7E94">
        <w:t xml:space="preserve">visible and do not utilize a third party. This may limit the </w:t>
      </w:r>
      <w:r w:rsidR="00465239">
        <w:t>opportunity for</w:t>
      </w:r>
      <w:r w:rsidR="000B7E94">
        <w:t xml:space="preserve"> embezzlement, as there is no third party to reroute money. While fraud still can occur, the ability to track </w:t>
      </w:r>
      <w:r w:rsidR="004F18E3">
        <w:t>B</w:t>
      </w:r>
      <w:r w:rsidR="000B7E94">
        <w:t xml:space="preserve">itcoin may limit the ability for offenders to readily spend money. As an example, the Bitcoin paid for a ransomware attack of the Colonial </w:t>
      </w:r>
      <w:r w:rsidR="005D5366">
        <w:t>P</w:t>
      </w:r>
      <w:r w:rsidR="000B7E94">
        <w:t xml:space="preserve">ipeline in 2021 have largely been recovered </w:t>
      </w:r>
      <w:r w:rsidR="004F18E3">
        <w:t>by following</w:t>
      </w:r>
      <w:r w:rsidR="000B7E94">
        <w:t xml:space="preserve"> transactions on the blockchain (Perlroth, N., Griffith, E., and Benner, K., 2021). </w:t>
      </w:r>
    </w:p>
    <w:p w14:paraId="240D2251" w14:textId="77777777" w:rsidR="0033766F" w:rsidRDefault="00D0346F" w:rsidP="00947652">
      <w:pPr>
        <w:spacing w:line="480" w:lineRule="auto"/>
        <w:ind w:firstLine="720"/>
        <w:contextualSpacing/>
      </w:pPr>
      <w:r>
        <w:t xml:space="preserve">  </w:t>
      </w:r>
      <w:r w:rsidR="00E525A1">
        <w:t xml:space="preserve">Of course, illegal uses </w:t>
      </w:r>
      <w:r w:rsidR="0033766F">
        <w:t xml:space="preserve">of cryptocurrency </w:t>
      </w:r>
      <w:r w:rsidR="00E525A1">
        <w:t>also exist</w:t>
      </w:r>
      <w:r w:rsidR="0033766F">
        <w:t xml:space="preserve">, including the purchase of illegal </w:t>
      </w:r>
      <w:r w:rsidR="004F18E3">
        <w:t xml:space="preserve">goods, </w:t>
      </w:r>
      <w:r w:rsidR="0033766F">
        <w:t>as discussed in this paper</w:t>
      </w:r>
      <w:r w:rsidR="00E525A1">
        <w:t xml:space="preserve">. </w:t>
      </w:r>
      <w:r w:rsidR="0033766F">
        <w:t>Beyond the purchase of illegal goods, other criminal possibilities are created. First, it appears that the largely unregulated environment and ability to create new cryptocurrencies has led to a series of cryptocurrency</w:t>
      </w:r>
      <w:r w:rsidR="004F18E3">
        <w:t>-related</w:t>
      </w:r>
      <w:r w:rsidR="0033766F">
        <w:t xml:space="preserve"> scams. One common example is pump-and-dump scams. These scams involve inflating the value of a cryptocurrency artificially through marketing, endorsements, or other deceptive techniques. When the price of the cryptocurrency increase</w:t>
      </w:r>
      <w:r w:rsidR="004F18E3">
        <w:t>s</w:t>
      </w:r>
      <w:r w:rsidR="0033766F">
        <w:t>, the fraudster sells considerable volume, causing a quick decrease in the value of the currency</w:t>
      </w:r>
      <w:r w:rsidR="002B5DCE">
        <w:t xml:space="preserve"> </w:t>
      </w:r>
      <w:r w:rsidR="002B5DCE" w:rsidRPr="002B5DCE">
        <w:rPr>
          <w:noProof/>
        </w:rPr>
        <w:t>(Dhawan &amp; Putnins, 2020; Kamps &amp; Kleinberg, 2018; Li et al., 2018)</w:t>
      </w:r>
      <w:r w:rsidR="0033766F">
        <w:t xml:space="preserve">. </w:t>
      </w:r>
      <w:r w:rsidR="00871E62">
        <w:t xml:space="preserve">This type of </w:t>
      </w:r>
      <w:r w:rsidR="002B5DCE">
        <w:t>scam did not originate in cryptocurrency</w:t>
      </w:r>
      <w:r w:rsidR="00695E30">
        <w:t>, but cryptocurrency does appear to be a suitable location to conduct</w:t>
      </w:r>
      <w:r w:rsidR="00465239">
        <w:t xml:space="preserve"> </w:t>
      </w:r>
      <w:r w:rsidR="00871E62">
        <w:t xml:space="preserve">this type of </w:t>
      </w:r>
      <w:r w:rsidR="00695E30">
        <w:t>scam</w:t>
      </w:r>
      <w:r w:rsidR="002670FB">
        <w:t>.</w:t>
      </w:r>
    </w:p>
    <w:p w14:paraId="26EA491B" w14:textId="77777777" w:rsidR="00D926B7" w:rsidRDefault="00251DAF" w:rsidP="00947652">
      <w:pPr>
        <w:spacing w:line="480" w:lineRule="auto"/>
        <w:ind w:firstLine="720"/>
        <w:contextualSpacing/>
      </w:pPr>
      <w:r>
        <w:lastRenderedPageBreak/>
        <w:t xml:space="preserve">The pseudonymous nature of Bitcoin and privacy focus </w:t>
      </w:r>
      <w:r w:rsidR="002265B0">
        <w:t>of</w:t>
      </w:r>
      <w:r>
        <w:t xml:space="preserve"> altcoins like Monero makes this technology attractive for use in criminality. Despite </w:t>
      </w:r>
      <w:r w:rsidR="00136D5C">
        <w:t>illegal use</w:t>
      </w:r>
      <w:r>
        <w:t xml:space="preserve">, </w:t>
      </w:r>
      <w:r w:rsidR="00B41343">
        <w:t xml:space="preserve">most </w:t>
      </w:r>
      <w:r>
        <w:t>cryptocurrency use</w:t>
      </w:r>
      <w:r w:rsidR="00B41343">
        <w:t xml:space="preserve">s are legitimate and most countries </w:t>
      </w:r>
      <w:r w:rsidR="00136D5C">
        <w:t>do not heavily</w:t>
      </w:r>
      <w:r w:rsidR="00B41343">
        <w:t xml:space="preserve"> regulate or eliminate cryptocurrency use (exceptions include China, </w:t>
      </w:r>
      <w:r w:rsidR="00136D5C">
        <w:t>Bangladesh</w:t>
      </w:r>
      <w:r w:rsidR="002265B0">
        <w:t>,</w:t>
      </w:r>
      <w:r w:rsidR="00136D5C">
        <w:t xml:space="preserve"> and Nigeria). This environment provides a new way to consider the </w:t>
      </w:r>
      <w:r w:rsidR="00E32D55">
        <w:t>routines of offenders</w:t>
      </w:r>
      <w:r w:rsidR="00136D5C">
        <w:t>. We show a series of legitimate organizations connected to the former darknet marketplace AlphaBay through cryptocurrency transactions.</w:t>
      </w:r>
    </w:p>
    <w:p w14:paraId="050355D2" w14:textId="77777777" w:rsidR="008812BF" w:rsidRDefault="008812BF" w:rsidP="00947652">
      <w:pPr>
        <w:spacing w:line="480" w:lineRule="auto"/>
        <w:contextualSpacing/>
        <w:rPr>
          <w:b/>
          <w:bCs/>
        </w:rPr>
      </w:pPr>
      <w:r>
        <w:rPr>
          <w:b/>
          <w:bCs/>
        </w:rPr>
        <w:t>Strengths</w:t>
      </w:r>
    </w:p>
    <w:p w14:paraId="6C0017ED" w14:textId="373EEC7E" w:rsidR="008812BF" w:rsidRDefault="008812BF" w:rsidP="00947652">
      <w:pPr>
        <w:spacing w:line="480" w:lineRule="auto"/>
        <w:contextualSpacing/>
      </w:pPr>
      <w:r>
        <w:rPr>
          <w:b/>
          <w:bCs/>
        </w:rPr>
        <w:tab/>
      </w:r>
      <w:r>
        <w:t xml:space="preserve">To our knowledge, this is the first criminological paper which examines the blockchain as a source of data. </w:t>
      </w:r>
      <w:bookmarkStart w:id="1" w:name="_Hlk113442502"/>
      <w:r w:rsidR="00673000">
        <w:t xml:space="preserve">Our paper utilizes a novel method to examine the </w:t>
      </w:r>
      <w:r w:rsidR="003F0D3E">
        <w:t>d</w:t>
      </w:r>
      <w:r w:rsidR="00673000">
        <w:t>arknet, answering a specific call from this special issue</w:t>
      </w:r>
      <w:bookmarkEnd w:id="1"/>
      <w:r w:rsidR="00673000">
        <w:t xml:space="preserve">. </w:t>
      </w:r>
      <w:r>
        <w:t xml:space="preserve">There are several strengths in this approach. First, the blockchain is </w:t>
      </w:r>
      <w:r w:rsidR="00324D4A">
        <w:t xml:space="preserve">generally </w:t>
      </w:r>
      <w:r>
        <w:t>considered to be immutable</w:t>
      </w:r>
      <w:r w:rsidR="00324D4A">
        <w:t xml:space="preserve"> (</w:t>
      </w:r>
      <w:r w:rsidR="003F0D3E">
        <w:t>P</w:t>
      </w:r>
      <w:r w:rsidR="00324D4A">
        <w:t>olitou et al., 2019)</w:t>
      </w:r>
      <w:r>
        <w:t xml:space="preserve">. For researchers, this means that the data is </w:t>
      </w:r>
      <w:r w:rsidR="00396F7F">
        <w:t xml:space="preserve">both </w:t>
      </w:r>
      <w:r>
        <w:t>reliable</w:t>
      </w:r>
      <w:r w:rsidR="00396F7F">
        <w:t xml:space="preserve"> and valid</w:t>
      </w:r>
      <w:r>
        <w:t xml:space="preserve">. All transactions conducted on the blockchain are </w:t>
      </w:r>
      <w:r w:rsidR="003F0D3E">
        <w:t>precisely</w:t>
      </w:r>
      <w:r>
        <w:t xml:space="preserve"> recorded and preserved. </w:t>
      </w:r>
      <w:r w:rsidR="00025C6F">
        <w:t xml:space="preserve">As part of the blockchain reward system, users preserve these transactions and store them via “blocks.” As such, the data is verified by a large number of users before being recorded. </w:t>
      </w:r>
    </w:p>
    <w:p w14:paraId="5AA2D99B" w14:textId="7901F983" w:rsidR="008812BF" w:rsidRDefault="008812BF" w:rsidP="00947652">
      <w:pPr>
        <w:spacing w:line="480" w:lineRule="auto"/>
        <w:contextualSpacing/>
      </w:pPr>
      <w:r>
        <w:tab/>
        <w:t xml:space="preserve">Second, </w:t>
      </w:r>
      <w:r w:rsidR="00025C6F">
        <w:t>cryptocurrency transactions</w:t>
      </w:r>
      <w:r>
        <w:t xml:space="preserve"> inform us about human behavior but </w:t>
      </w:r>
      <w:r w:rsidR="0042130C">
        <w:t>do</w:t>
      </w:r>
      <w:r>
        <w:t xml:space="preserve"> not rely on </w:t>
      </w:r>
      <w:r w:rsidR="0042130C">
        <w:t xml:space="preserve">memory </w:t>
      </w:r>
      <w:r>
        <w:t>recall or honesty. Given the nature of many of these transactions are illegal, simply asking participants about their</w:t>
      </w:r>
      <w:r w:rsidR="00025C6F">
        <w:t xml:space="preserve"> transactions may lead to deliberate or accidental falsehoods. By viewing transactions on the blockchain, we avoid these issues and are able to examine all transactions, including transaction</w:t>
      </w:r>
      <w:r w:rsidR="00C37D14">
        <w:t>s</w:t>
      </w:r>
      <w:r w:rsidR="00025C6F">
        <w:t xml:space="preserve"> </w:t>
      </w:r>
      <w:r w:rsidR="00C37D14">
        <w:t xml:space="preserve">involving illicit activity </w:t>
      </w:r>
      <w:r w:rsidR="00025C6F">
        <w:t xml:space="preserve">on the blockchain. </w:t>
      </w:r>
    </w:p>
    <w:p w14:paraId="3482E88D" w14:textId="77777777" w:rsidR="00025C6F" w:rsidRPr="00B97DC2" w:rsidRDefault="00025C6F" w:rsidP="00947652">
      <w:pPr>
        <w:spacing w:line="480" w:lineRule="auto"/>
        <w:contextualSpacing/>
      </w:pPr>
      <w:r>
        <w:tab/>
        <w:t>Finally, although we are far from the first to examine illegal transactions on darknet markets (</w:t>
      </w:r>
      <w:r w:rsidR="00B70BDA">
        <w:t>e.g., Howell et al., 2022; Ouellet et al., 2022</w:t>
      </w:r>
      <w:r>
        <w:t xml:space="preserve">), our paper adds to the literature by </w:t>
      </w:r>
      <w:r>
        <w:lastRenderedPageBreak/>
        <w:t xml:space="preserve">examining these markets using novel and unique data. We are able to expand the understanding of criminologists by specifically considering heuristics within financial transactions. </w:t>
      </w:r>
    </w:p>
    <w:p w14:paraId="1D202983" w14:textId="77777777" w:rsidR="00B3270D" w:rsidRPr="004C1EB9" w:rsidRDefault="00B3270D" w:rsidP="00947652">
      <w:pPr>
        <w:spacing w:line="480" w:lineRule="auto"/>
        <w:contextualSpacing/>
        <w:rPr>
          <w:b/>
          <w:bCs/>
        </w:rPr>
      </w:pPr>
      <w:r w:rsidRPr="004C1EB9">
        <w:rPr>
          <w:b/>
          <w:bCs/>
        </w:rPr>
        <w:t>Limitations</w:t>
      </w:r>
    </w:p>
    <w:p w14:paraId="75E55A95" w14:textId="5BCE2028" w:rsidR="00442B92" w:rsidRPr="00442B92" w:rsidRDefault="00442B92" w:rsidP="00947652">
      <w:pPr>
        <w:spacing w:line="480" w:lineRule="auto"/>
        <w:contextualSpacing/>
      </w:pPr>
      <w:r>
        <w:tab/>
        <w:t>Our paper has numerous limitations. While some limitations are a result of our analytical strategy, other</w:t>
      </w:r>
      <w:r w:rsidR="00FB1440">
        <w:t xml:space="preserve">s </w:t>
      </w:r>
      <w:r>
        <w:t xml:space="preserve">are </w:t>
      </w:r>
      <w:r w:rsidR="00FB1440">
        <w:t>the</w:t>
      </w:r>
      <w:r>
        <w:t xml:space="preserve"> result of cryptocurrency </w:t>
      </w:r>
      <w:r w:rsidR="002265B0">
        <w:t>more broadly</w:t>
      </w:r>
      <w:r>
        <w:t>. We divide these into two areas below to help researchers understand the limitations of using cryptocurrency to understand cyber</w:t>
      </w:r>
      <w:r w:rsidR="00C37D14">
        <w:t xml:space="preserve"> </w:t>
      </w:r>
      <w:r>
        <w:t xml:space="preserve">criminology. </w:t>
      </w:r>
    </w:p>
    <w:p w14:paraId="7AD0F7B8" w14:textId="3D517218" w:rsidR="00442B92" w:rsidRDefault="00442B92" w:rsidP="00947652">
      <w:pPr>
        <w:spacing w:line="480" w:lineRule="auto"/>
        <w:contextualSpacing/>
      </w:pPr>
      <w:r>
        <w:tab/>
        <w:t xml:space="preserve">We deliberately chose to focus on free and easily </w:t>
      </w:r>
      <w:r w:rsidR="00FB1440">
        <w:t xml:space="preserve">accessible </w:t>
      </w:r>
      <w:r>
        <w:t xml:space="preserve">websites. As such, we </w:t>
      </w:r>
      <w:r w:rsidR="002265B0">
        <w:t>had</w:t>
      </w:r>
      <w:r>
        <w:t xml:space="preserve"> a limited amount of information available. This primarily impacted our ability to </w:t>
      </w:r>
      <w:r w:rsidR="00FB1440">
        <w:t xml:space="preserve">identify </w:t>
      </w:r>
      <w:r>
        <w:t xml:space="preserve">connections between wallets beyond heuristics and </w:t>
      </w:r>
      <w:r w:rsidR="002265B0">
        <w:t>publicly revealed</w:t>
      </w:r>
      <w:r>
        <w:t xml:space="preserve"> address/wallet relationships. In our analysis</w:t>
      </w:r>
      <w:r w:rsidR="00C37D14">
        <w:t>,</w:t>
      </w:r>
      <w:r>
        <w:t xml:space="preserve"> we found 11 connected T</w:t>
      </w:r>
      <w:r w:rsidR="00FB1440">
        <w:t>or</w:t>
      </w:r>
      <w:r>
        <w:t xml:space="preserve"> and </w:t>
      </w:r>
      <w:r w:rsidR="00FB1440">
        <w:t>c</w:t>
      </w:r>
      <w:r>
        <w:t xml:space="preserve">learnet websites through transactions. However, there are likely </w:t>
      </w:r>
      <w:r w:rsidR="0022661F">
        <w:t>significantly</w:t>
      </w:r>
      <w:r>
        <w:t xml:space="preserve"> more than 11 in these transactions as most wallet addresses are not publicly linked with their owner. This is a feature of cryptocurrency, but one that is often overcome through consistent manpower or </w:t>
      </w:r>
      <w:r w:rsidR="002265B0">
        <w:t>deep learning</w:t>
      </w:r>
      <w:r>
        <w:t xml:space="preserve"> efforts. For example, some paid analytical software includes more known connections. Likely the most </w:t>
      </w:r>
      <w:r w:rsidR="007267BF">
        <w:t>well-known</w:t>
      </w:r>
      <w:r>
        <w:t xml:space="preserve"> is Chainalysis (</w:t>
      </w:r>
      <w:hyperlink r:id="rId13" w:history="1">
        <w:r w:rsidRPr="00FF25DC">
          <w:rPr>
            <w:rStyle w:val="Hyperlink"/>
          </w:rPr>
          <w:t>https://www.chainalysis.com/</w:t>
        </w:r>
      </w:hyperlink>
      <w:r>
        <w:t>)</w:t>
      </w:r>
      <w:r w:rsidR="005726E4">
        <w:t>, but others include TRM Labs, Coinbase Analytics, Elliptic, and C</w:t>
      </w:r>
      <w:r w:rsidR="00C37D14">
        <w:t>i</w:t>
      </w:r>
      <w:r w:rsidR="005726E4">
        <w:t>pherTrace</w:t>
      </w:r>
      <w:r>
        <w:t>. Had we utilized software such as Chainalysis</w:t>
      </w:r>
      <w:r w:rsidR="00FB1440">
        <w:t xml:space="preserve"> Reactor,</w:t>
      </w:r>
      <w:r>
        <w:t xml:space="preserve"> we would have likely found more known </w:t>
      </w:r>
      <w:r w:rsidR="002265B0">
        <w:t>connections</w:t>
      </w:r>
      <w:r>
        <w:t xml:space="preserve">. However, this software is proprietary and not easily accessible for researchers. We chose not to utilize this </w:t>
      </w:r>
      <w:r w:rsidR="002265B0">
        <w:t>software</w:t>
      </w:r>
      <w:r w:rsidR="00FB1440">
        <w:t xml:space="preserve"> </w:t>
      </w:r>
      <w:r>
        <w:t xml:space="preserve">so our method </w:t>
      </w:r>
      <w:r w:rsidR="00C37D14">
        <w:t>would be</w:t>
      </w:r>
      <w:r>
        <w:t xml:space="preserve"> easily repeatable by </w:t>
      </w:r>
      <w:r w:rsidR="00FB1440">
        <w:t xml:space="preserve">other </w:t>
      </w:r>
      <w:r>
        <w:t>researcher</w:t>
      </w:r>
      <w:r w:rsidR="00FB1440">
        <w:t>s</w:t>
      </w:r>
      <w:r>
        <w:t xml:space="preserve">. </w:t>
      </w:r>
    </w:p>
    <w:p w14:paraId="3DBC35C5" w14:textId="30D871A0" w:rsidR="00442B92" w:rsidRDefault="00442B92" w:rsidP="00947652">
      <w:pPr>
        <w:spacing w:line="480" w:lineRule="auto"/>
        <w:contextualSpacing/>
      </w:pPr>
      <w:r>
        <w:tab/>
        <w:t xml:space="preserve">Related to our limitation, cryptocurrency is still </w:t>
      </w:r>
      <w:r w:rsidR="00FB1440">
        <w:t>pseudonymous</w:t>
      </w:r>
      <w:r>
        <w:t xml:space="preserve">. Furthermore, wallets are not restricted in any way. This means that a single user could </w:t>
      </w:r>
      <w:r w:rsidR="00A7760C">
        <w:t xml:space="preserve">create an unlimited amount of wallet addresses. As such, some transactions may be a single user transferring </w:t>
      </w:r>
      <w:r w:rsidR="00FB1440">
        <w:t>B</w:t>
      </w:r>
      <w:r w:rsidR="00A7760C">
        <w:t xml:space="preserve">itcoin from one </w:t>
      </w:r>
      <w:r w:rsidR="00A7760C">
        <w:lastRenderedPageBreak/>
        <w:t xml:space="preserve">of their own wallets to another. For increased safety and </w:t>
      </w:r>
      <w:r w:rsidR="002265B0">
        <w:t>obfuscation</w:t>
      </w:r>
      <w:r w:rsidR="00A7760C">
        <w:t xml:space="preserve">, AlphaBay was known for creating a new address every day for </w:t>
      </w:r>
      <w:r w:rsidR="00CC2E21">
        <w:t>its</w:t>
      </w:r>
      <w:r w:rsidR="00A7760C">
        <w:t xml:space="preserve"> users</w:t>
      </w:r>
      <w:r w:rsidR="00CC2E21">
        <w:t xml:space="preserve">. </w:t>
      </w:r>
      <w:r w:rsidR="000073AD">
        <w:t xml:space="preserve">This was likely the situation in passthrough transfers, where currency is directly transferred from one </w:t>
      </w:r>
      <w:r w:rsidR="003D7265">
        <w:t>wallet to</w:t>
      </w:r>
      <w:r w:rsidR="000073AD">
        <w:t xml:space="preserve"> another. We should warn future </w:t>
      </w:r>
      <w:r w:rsidR="0022661F">
        <w:t>researchers</w:t>
      </w:r>
      <w:r w:rsidR="000073AD">
        <w:t xml:space="preserve"> that this creates a difficult situation for scholars who wish to examine </w:t>
      </w:r>
      <w:r w:rsidR="00CC2E21">
        <w:t>individuals</w:t>
      </w:r>
      <w:r w:rsidR="000073AD">
        <w:t>’ use of cryptocurrency without additional data</w:t>
      </w:r>
      <w:r w:rsidR="00CC2E21">
        <w:t xml:space="preserve">. </w:t>
      </w:r>
      <w:r w:rsidR="003D7265">
        <w:t>I</w:t>
      </w:r>
      <w:r w:rsidR="00CC2E21">
        <w:t xml:space="preserve">t is difficult, or sometimes impossible, to know when </w:t>
      </w:r>
      <w:r w:rsidR="00632677">
        <w:t xml:space="preserve">a </w:t>
      </w:r>
      <w:r w:rsidR="00CC2E21">
        <w:t xml:space="preserve">transaction is across individuals or within an individual. </w:t>
      </w:r>
      <w:r w:rsidR="00FB1440">
        <w:t>Additionally</w:t>
      </w:r>
      <w:r w:rsidR="00CC2E21">
        <w:t xml:space="preserve">, mixers </w:t>
      </w:r>
      <w:r w:rsidR="00FB1440">
        <w:t>make</w:t>
      </w:r>
      <w:r w:rsidR="00CC2E21">
        <w:t xml:space="preserve"> it more difficult to trace direct lines of transactions on platforms. In the future, it may be worthwhile to consider other forms of cryptocurrency where this issue may be less likely to exist. One such currency, Loopring, tries to avoid high transaction fees by charging users an initial startup fee for each wallet. Given the relatively high cost of startup</w:t>
      </w:r>
      <w:r w:rsidR="00632677">
        <w:t>—</w:t>
      </w:r>
      <w:r w:rsidR="00CC2E21">
        <w:t xml:space="preserve">often more than $100 </w:t>
      </w:r>
      <w:r w:rsidR="00FB1440">
        <w:t xml:space="preserve">depending </w:t>
      </w:r>
      <w:r w:rsidR="00CC2E21">
        <w:t>on the cost of the cryptocurrency</w:t>
      </w:r>
      <w:r w:rsidR="00632677">
        <w:t>—</w:t>
      </w:r>
      <w:r w:rsidR="00CC2E21">
        <w:t xml:space="preserve">there may be significantly fewer individuals </w:t>
      </w:r>
      <w:r w:rsidR="002D2232">
        <w:t>who own</w:t>
      </w:r>
      <w:r w:rsidR="00CC2E21">
        <w:t xml:space="preserve"> multiple Loopring wallets. </w:t>
      </w:r>
    </w:p>
    <w:p w14:paraId="78679E01" w14:textId="77777777" w:rsidR="00F84F8D" w:rsidRPr="004C1EB9" w:rsidRDefault="002265B0" w:rsidP="00947652">
      <w:pPr>
        <w:spacing w:line="480" w:lineRule="auto"/>
        <w:contextualSpacing/>
        <w:rPr>
          <w:b/>
          <w:bCs/>
        </w:rPr>
      </w:pPr>
      <w:r w:rsidRPr="004C1EB9">
        <w:rPr>
          <w:b/>
          <w:bCs/>
        </w:rPr>
        <w:t xml:space="preserve">Future </w:t>
      </w:r>
      <w:r w:rsidR="00F84F8D" w:rsidRPr="004C1EB9">
        <w:rPr>
          <w:b/>
          <w:bCs/>
        </w:rPr>
        <w:t>Research Opportunity</w:t>
      </w:r>
    </w:p>
    <w:p w14:paraId="3A258B98" w14:textId="73E3FEC4" w:rsidR="00F84F8D" w:rsidRDefault="00F84F8D" w:rsidP="00947652">
      <w:pPr>
        <w:spacing w:line="480" w:lineRule="auto"/>
        <w:contextualSpacing/>
      </w:pPr>
      <w:r>
        <w:tab/>
        <w:t xml:space="preserve">A basic understanding of cryptocurrency is important for researchers interested in cybercrime and other computer-based crime. The public visibility of the ledger and the use of cryptocurrency for illegal transactions creates an avenue for understanding cybercrime. </w:t>
      </w:r>
      <w:r w:rsidR="0041309A">
        <w:t>There are</w:t>
      </w:r>
      <w:r>
        <w:t xml:space="preserve"> many </w:t>
      </w:r>
      <w:r w:rsidR="002B39B5">
        <w:t xml:space="preserve">potential </w:t>
      </w:r>
      <w:r>
        <w:t>uses for cryptocurrency</w:t>
      </w:r>
      <w:r w:rsidR="0041309A">
        <w:t xml:space="preserve"> in criminology research</w:t>
      </w:r>
      <w:r>
        <w:t>. First, the nature of cybercrime makes it difficult to track. Typical national metrics, such as the Uniform Crime Reports (UCR)</w:t>
      </w:r>
      <w:r w:rsidR="00FB1440">
        <w:t>,</w:t>
      </w:r>
      <w:r>
        <w:t xml:space="preserve"> are less accurate for cybercrime due to a myriad of technical issues, such as jurisdictional problems associated with computer-related crimes. The ledger allow</w:t>
      </w:r>
      <w:r w:rsidR="00FB1440">
        <w:t>s</w:t>
      </w:r>
      <w:r>
        <w:t xml:space="preserve"> for descriptive research on cybercrime</w:t>
      </w:r>
      <w:r w:rsidR="00FB1440">
        <w:t xml:space="preserve"> by</w:t>
      </w:r>
      <w:r>
        <w:t xml:space="preserve"> providing metrics on the volume, use, and nature of transactions. One such possibility is to analyze the transactions associated with darknet market</w:t>
      </w:r>
      <w:r w:rsidR="00FB1440">
        <w:t>place</w:t>
      </w:r>
      <w:r>
        <w:t>s. One could then determine the costs associated with illegal goods. On a more general level</w:t>
      </w:r>
      <w:r w:rsidR="00FB1440">
        <w:t>,</w:t>
      </w:r>
      <w:r>
        <w:t xml:space="preserve"> the ledger may </w:t>
      </w:r>
      <w:r>
        <w:lastRenderedPageBreak/>
        <w:t xml:space="preserve">provide information on the volume of illegal transactions online overall. This research is </w:t>
      </w:r>
      <w:r w:rsidR="002D2232">
        <w:t>being undertaken</w:t>
      </w:r>
      <w:r>
        <w:t xml:space="preserve"> and will serve as an additional point of data for those trying to understand cybercrime </w:t>
      </w:r>
      <w:r w:rsidRPr="00DF5367">
        <w:rPr>
          <w:noProof/>
        </w:rPr>
        <w:t>(e.g., Foley et al., 2019)</w:t>
      </w:r>
      <w:r>
        <w:t>.</w:t>
      </w:r>
    </w:p>
    <w:p w14:paraId="4D690A2E" w14:textId="77777777" w:rsidR="00F84F8D" w:rsidRDefault="00F84F8D" w:rsidP="00947652">
      <w:pPr>
        <w:spacing w:line="480" w:lineRule="auto"/>
        <w:contextualSpacing/>
      </w:pPr>
      <w:r>
        <w:tab/>
        <w:t>Additional opportunities exist in examining a more nuanced look at the flow of cryptocurrency. Given the potential to see transactions, a web of connections can be mad</w:t>
      </w:r>
      <w:r w:rsidR="002265B0">
        <w:t>e</w:t>
      </w:r>
      <w:r>
        <w:t>. This would be a digital form of a network analysis. Rather than examine people, a connection between crypto</w:t>
      </w:r>
      <w:r w:rsidR="00FB1440">
        <w:t>currency</w:t>
      </w:r>
      <w:r>
        <w:t xml:space="preserve"> wallets will reveal the movements between different wallets. </w:t>
      </w:r>
    </w:p>
    <w:p w14:paraId="51B856E2" w14:textId="267435BE" w:rsidR="00D21BAE" w:rsidRDefault="00D21BAE" w:rsidP="00D21BAE">
      <w:pPr>
        <w:spacing w:line="480" w:lineRule="auto"/>
        <w:ind w:firstLine="720"/>
        <w:contextualSpacing/>
      </w:pPr>
      <w:r>
        <w:t>New innovations in cryptocurrency may also provide additional preventative mechanisms for offending</w:t>
      </w:r>
      <w:r w:rsidR="006815EA">
        <w:t xml:space="preserve"> as compared to traditional money transactions</w:t>
      </w:r>
      <w:r>
        <w:t xml:space="preserve">. One such innovation is smart contracts. Much like cryptocurrency is typically decentralized, a smart contract is a mechanism that allows contracts to avoid the involvement of a third-party. Instead of a contract being drafted by a lawyer and enforced via the courts, a contract is written such that when one party fulfills the contract, the payment is automatically delivered. These contracts carry rules and are enforced by network peers. They hold the potential to lower the cost of contracts and potentially create increased security, without the need for contract disputes </w:t>
      </w:r>
      <w:r w:rsidRPr="0011615F">
        <w:rPr>
          <w:noProof/>
        </w:rPr>
        <w:t>(Delmolino et al., 2016)</w:t>
      </w:r>
      <w:r>
        <w:t>. We should note that this is limited to the security of the cryptocurrency and the rules of the contract. When the contract is complete</w:t>
      </w:r>
      <w:r w:rsidR="00427C9B">
        <w:t>,</w:t>
      </w:r>
      <w:r>
        <w:t xml:space="preserve"> the funds are sent with no recourse to recover funds. These contracts can serve as a protective factor, potentially mitigating some of the potential for fraud in cryptocurrency. While smart contracts were not involved in our research, these tools are currently being adopted in cryptocurrency and should be considered in future research studies.  </w:t>
      </w:r>
    </w:p>
    <w:p w14:paraId="27EA0394" w14:textId="77777777" w:rsidR="00D21BAE" w:rsidRDefault="00D21BAE" w:rsidP="00B97DC2">
      <w:pPr>
        <w:spacing w:line="480" w:lineRule="auto"/>
        <w:ind w:firstLine="720"/>
        <w:contextualSpacing/>
      </w:pPr>
      <w:r>
        <w:t xml:space="preserve">Directly tied to cryptocurrencies, non-fungible tokens, better known as NFTs, create situational opportunity for fraud. These tools utilize the blockchain to store information about the ownership of non-physical assets. Much like a deed, NFTs provide information on ownership </w:t>
      </w:r>
      <w:r>
        <w:lastRenderedPageBreak/>
        <w:t xml:space="preserve">without the necessity of direct possession of an item. Currently, NFTs are being used to fundraise for legitimate social ventures, including raising capital for Ukrainian charities during the invasion of Ukraine (Escalante-De Mattei, 2022). However, they have also been used to defraud investors (Manhattan DA’s Office, n.d.). These new tools highlight the changing landscape of cryptocurrency and should be considered by future criminologists. </w:t>
      </w:r>
    </w:p>
    <w:p w14:paraId="579818AF" w14:textId="60B73B9A" w:rsidR="00F84F8D" w:rsidRDefault="00F84F8D" w:rsidP="00947652">
      <w:pPr>
        <w:spacing w:line="480" w:lineRule="auto"/>
        <w:contextualSpacing/>
      </w:pPr>
      <w:r>
        <w:tab/>
        <w:t xml:space="preserve">Of course, putting research into context is important for criminologists. There are several opportunities for theory testing utilizing </w:t>
      </w:r>
      <w:r w:rsidR="00FB1440">
        <w:t>B</w:t>
      </w:r>
      <w:r>
        <w:t>itcoin transactions. The transactions in these wallets help us better</w:t>
      </w:r>
      <w:r w:rsidR="00F05565">
        <w:t xml:space="preserve"> the nature of these transactions</w:t>
      </w:r>
      <w:r>
        <w:t>.</w:t>
      </w:r>
      <w:r w:rsidR="006815EA">
        <w:t xml:space="preserve"> For example, convenience theory (Gottschalk, 2017)</w:t>
      </w:r>
      <w:r w:rsidR="00E31442">
        <w:t xml:space="preserve"> and routine activities theory both consider the environment in which crime takes place (Cohen &amp; Felson, 1979).</w:t>
      </w:r>
      <w:r>
        <w:t xml:space="preserve"> </w:t>
      </w:r>
    </w:p>
    <w:p w14:paraId="00F7DC34" w14:textId="2CC4882E" w:rsidR="00F05565" w:rsidRDefault="00F05565" w:rsidP="00947652">
      <w:pPr>
        <w:spacing w:line="480" w:lineRule="auto"/>
        <w:contextualSpacing/>
      </w:pPr>
      <w:r>
        <w:tab/>
        <w:t xml:space="preserve">There are natural </w:t>
      </w:r>
      <w:r w:rsidR="00B3518B">
        <w:t>links</w:t>
      </w:r>
      <w:r>
        <w:t xml:space="preserve"> to criminological literature. Our paper considered the context of these transactions. Although beyond the scope of this paper, future research can utilize criminological theory to </w:t>
      </w:r>
      <w:r w:rsidR="00FB4C25">
        <w:t>test whether traditional theory can explain cryptocurrency transactions. We see potential for opportunity theory and routine activities theory. In each case</w:t>
      </w:r>
      <w:r w:rsidR="00427C9B">
        <w:t>,</w:t>
      </w:r>
      <w:r w:rsidR="00FB4C25">
        <w:t xml:space="preserve"> the context of the </w:t>
      </w:r>
      <w:r w:rsidR="00A13C73">
        <w:t xml:space="preserve">illegal and legal transactions </w:t>
      </w:r>
      <w:r w:rsidR="00B3518B">
        <w:t>is</w:t>
      </w:r>
      <w:r w:rsidR="00FB4C25">
        <w:t xml:space="preserve"> important. </w:t>
      </w:r>
    </w:p>
    <w:p w14:paraId="3FC75636" w14:textId="77777777" w:rsidR="00F84F8D" w:rsidRDefault="00F84F8D" w:rsidP="00947652">
      <w:pPr>
        <w:spacing w:line="480" w:lineRule="auto"/>
        <w:contextualSpacing/>
      </w:pPr>
      <w:r>
        <w:tab/>
        <w:t>Finally, we see an opportunity for policy-oriented research. As more technological and social policies are implemented</w:t>
      </w:r>
      <w:r w:rsidR="00FB1440">
        <w:t>,</w:t>
      </w:r>
      <w:r>
        <w:t xml:space="preserve"> a key value in criminological research is an evaluation of said policy. For cryptocurrency</w:t>
      </w:r>
      <w:r w:rsidR="00FB1440">
        <w:t>,</w:t>
      </w:r>
      <w:r>
        <w:t xml:space="preserve"> tracking the flow of wallets from one </w:t>
      </w:r>
      <w:r w:rsidR="007230C6">
        <w:t xml:space="preserve">shuttered </w:t>
      </w:r>
      <w:r>
        <w:t>darknet market</w:t>
      </w:r>
      <w:r w:rsidR="00FB1440">
        <w:t>place</w:t>
      </w:r>
      <w:r>
        <w:t xml:space="preserve"> to another highlights the ineffectiveness of playing whack-a-mole with these markets</w:t>
      </w:r>
      <w:r w:rsidR="00F71BC9">
        <w:t xml:space="preserve"> (</w:t>
      </w:r>
      <w:r w:rsidR="00A030C3">
        <w:t xml:space="preserve">Decary-Hetu &amp; Giommoni, 2017; </w:t>
      </w:r>
      <w:r w:rsidR="00F71BC9">
        <w:t xml:space="preserve">Jardine, 2021). Instead, more sophisticated techniques are needed to </w:t>
      </w:r>
      <w:r w:rsidR="00FB1440">
        <w:t>a</w:t>
      </w:r>
      <w:r w:rsidR="00F71BC9">
        <w:t xml:space="preserve">ffect an overall change in the </w:t>
      </w:r>
      <w:r w:rsidR="005B3786">
        <w:t xml:space="preserve">drug and illegal product </w:t>
      </w:r>
      <w:r w:rsidR="008D4CE3">
        <w:t>sales through darknet market</w:t>
      </w:r>
      <w:r w:rsidR="00FB1440">
        <w:t>place</w:t>
      </w:r>
      <w:r w:rsidR="008D4CE3">
        <w:t>s (</w:t>
      </w:r>
      <w:r w:rsidR="00A030C3">
        <w:t xml:space="preserve">Van </w:t>
      </w:r>
      <w:r w:rsidR="008D4CE3">
        <w:t xml:space="preserve">Wegberg &amp; Verburgh, 2018). </w:t>
      </w:r>
    </w:p>
    <w:p w14:paraId="5D432C9C" w14:textId="3E7AEAF4" w:rsidR="00F84F8D" w:rsidRPr="00442B92" w:rsidRDefault="00F84F8D" w:rsidP="00947652">
      <w:pPr>
        <w:spacing w:line="480" w:lineRule="auto"/>
        <w:contextualSpacing/>
      </w:pPr>
      <w:r>
        <w:lastRenderedPageBreak/>
        <w:tab/>
        <w:t xml:space="preserve">We believe that one of the major hurdles for examining </w:t>
      </w:r>
      <w:r w:rsidR="00FB1440">
        <w:t>B</w:t>
      </w:r>
      <w:r>
        <w:t xml:space="preserve">itcoin and other cryptocurrencies in criminological research is the technological hurdles for </w:t>
      </w:r>
      <w:r w:rsidR="005B3786">
        <w:t>social scientists</w:t>
      </w:r>
      <w:r>
        <w:t>. To better demystify the technology associated with cryptocurrency and to provide a start to the research conversation</w:t>
      </w:r>
      <w:r w:rsidR="00FB1440">
        <w:t>,</w:t>
      </w:r>
      <w:r>
        <w:t xml:space="preserve"> we utilize </w:t>
      </w:r>
      <w:r w:rsidR="005726E4">
        <w:t>financial transactions to</w:t>
      </w:r>
      <w:r>
        <w:t xml:space="preserve"> examine </w:t>
      </w:r>
      <w:r w:rsidR="00FB1440">
        <w:t xml:space="preserve">darknet </w:t>
      </w:r>
      <w:r>
        <w:t xml:space="preserve">marketplaces. Our data </w:t>
      </w:r>
      <w:r w:rsidR="005B3786">
        <w:t>was</w:t>
      </w:r>
      <w:r>
        <w:t xml:space="preserve"> derived using standard tools criminologists are familiar with. </w:t>
      </w:r>
      <w:r w:rsidR="005726E4" w:rsidRPr="005726E4">
        <w:t>Although proprietary tools can provide more sophisticated analyses than those derived from more simplistic methods, we believe our methodology kept the research approachable for criminological researchers, regardless of their access to and experience with cryptocurrency tools</w:t>
      </w:r>
      <w:r w:rsidR="00427C9B">
        <w:t>.</w:t>
      </w:r>
      <w:r>
        <w:t xml:space="preserve"> Certainly, we also encourage those who wish to learn new technological skills and other</w:t>
      </w:r>
      <w:r w:rsidR="00427C9B">
        <w:t>s</w:t>
      </w:r>
      <w:r>
        <w:t xml:space="preserve"> who work on interdisciplinary teams</w:t>
      </w:r>
      <w:r w:rsidR="005726E4">
        <w:t xml:space="preserve"> to build on this facet of cryptocurrency research</w:t>
      </w:r>
      <w:r>
        <w:t xml:space="preserve">. </w:t>
      </w:r>
    </w:p>
    <w:p w14:paraId="75133D8D" w14:textId="4F08F4BC" w:rsidR="00DD6D5A" w:rsidRDefault="005726E4" w:rsidP="00CD4435">
      <w:pPr>
        <w:spacing w:line="480" w:lineRule="auto"/>
        <w:rPr>
          <w:b/>
          <w:bCs/>
        </w:rPr>
      </w:pPr>
      <w:r w:rsidRPr="005726E4">
        <w:rPr>
          <w:b/>
          <w:bCs/>
        </w:rPr>
        <w:t>Future of Cryptocurrency</w:t>
      </w:r>
      <w:r w:rsidR="00941F01">
        <w:rPr>
          <w:b/>
          <w:bCs/>
        </w:rPr>
        <w:t xml:space="preserve"> t</w:t>
      </w:r>
      <w:r w:rsidRPr="005726E4">
        <w:rPr>
          <w:b/>
          <w:bCs/>
        </w:rPr>
        <w:t>he Dark</w:t>
      </w:r>
      <w:r w:rsidR="00427C9B">
        <w:rPr>
          <w:b/>
          <w:bCs/>
        </w:rPr>
        <w:t xml:space="preserve"> W</w:t>
      </w:r>
      <w:r w:rsidRPr="005726E4">
        <w:rPr>
          <w:b/>
          <w:bCs/>
        </w:rPr>
        <w:t>eb and Darknets</w:t>
      </w:r>
    </w:p>
    <w:p w14:paraId="29C0F274" w14:textId="25A1A9D7" w:rsidR="008A1DA2" w:rsidRPr="00D926B7" w:rsidRDefault="00D926B7" w:rsidP="00427C9B">
      <w:pPr>
        <w:spacing w:line="480" w:lineRule="auto"/>
        <w:ind w:firstLine="360"/>
      </w:pPr>
      <w:r>
        <w:t xml:space="preserve">The Invisible Internet Project (I2P), another darknet, continues to grow in use as AlphaBay and other sites shift away from strictly relying on Tor. I2P lacks the ease of use that makes Tor favorable, but </w:t>
      </w:r>
      <w:r w:rsidR="00AA2C8A">
        <w:t xml:space="preserve">it is </w:t>
      </w:r>
      <w:r>
        <w:t xml:space="preserve">nonetheless becoming more mainstream among darknet users. Future research focusing exclusively on I2P could expand upon the existing body of literature surrounding the darknet to examine the influence different platforms have on criminality and behavior, particularly as it relates to darknet marketplaces and cryptocurrency use. </w:t>
      </w:r>
      <w:r w:rsidR="005726E4">
        <w:t xml:space="preserve">Considering other darknets in future research will allow both academics and industry professionals to better understand behavior surrounding online criminality and cryptocurrency, particularly as darknet users seek out less well-known, lower profile venues for engaging in cybercrime and utilizing cryptocurrency. </w:t>
      </w:r>
    </w:p>
    <w:p w14:paraId="6A22174B" w14:textId="77777777" w:rsidR="008C11FE" w:rsidRPr="00947652" w:rsidRDefault="008C11FE" w:rsidP="00947652">
      <w:pPr>
        <w:spacing w:line="480" w:lineRule="auto"/>
        <w:contextualSpacing/>
        <w:jc w:val="center"/>
        <w:rPr>
          <w:b/>
          <w:bCs/>
        </w:rPr>
      </w:pPr>
      <w:r w:rsidRPr="00947652">
        <w:rPr>
          <w:b/>
          <w:bCs/>
        </w:rPr>
        <w:t>Conclusion</w:t>
      </w:r>
    </w:p>
    <w:p w14:paraId="38E47934" w14:textId="1538AFEF" w:rsidR="00DB4218" w:rsidRDefault="00827909" w:rsidP="004C1EB9">
      <w:pPr>
        <w:spacing w:line="480" w:lineRule="auto"/>
        <w:contextualSpacing/>
      </w:pPr>
      <w:r>
        <w:lastRenderedPageBreak/>
        <w:tab/>
        <w:t xml:space="preserve">Cryptocurrency is one tool </w:t>
      </w:r>
      <w:r w:rsidR="00FC7921">
        <w:t xml:space="preserve">offenders use to finance illegal purchases. This paper examined </w:t>
      </w:r>
      <w:r w:rsidR="006C7FA0">
        <w:t xml:space="preserve">the </w:t>
      </w:r>
      <w:r w:rsidR="00FB1440">
        <w:t>B</w:t>
      </w:r>
      <w:r w:rsidR="006C7FA0">
        <w:t xml:space="preserve">itcoin </w:t>
      </w:r>
      <w:r w:rsidR="00FB1440">
        <w:t xml:space="preserve">blockchain </w:t>
      </w:r>
      <w:r w:rsidR="006C7FA0">
        <w:t xml:space="preserve">to better understand </w:t>
      </w:r>
      <w:r w:rsidR="00427C9B">
        <w:t>the</w:t>
      </w:r>
      <w:r w:rsidR="00B04CFB">
        <w:t xml:space="preserve"> movement </w:t>
      </w:r>
      <w:r w:rsidR="00427C9B">
        <w:t xml:space="preserve">of money </w:t>
      </w:r>
      <w:r w:rsidR="00B04CFB">
        <w:t>on one darknet marketplace</w:t>
      </w:r>
      <w:r w:rsidR="00FB1440">
        <w:t>—</w:t>
      </w:r>
      <w:r w:rsidR="00B04CFB">
        <w:t xml:space="preserve">AlphaBay. </w:t>
      </w:r>
      <w:r w:rsidR="005726E4">
        <w:t xml:space="preserve">Darknet marketplaces have provided a unique venue for understanding illicit finance and the use of cryptocurrency as they function under an intense focus on anonymity, privacy, and security. </w:t>
      </w:r>
      <w:r w:rsidR="00B04CFB">
        <w:t xml:space="preserve">Despite technological hurdles, criminologists </w:t>
      </w:r>
      <w:r w:rsidR="00382D1A">
        <w:t>and criminological theories provide additional understanding to computer</w:t>
      </w:r>
      <w:r w:rsidR="00FB1440">
        <w:t>-</w:t>
      </w:r>
      <w:r w:rsidR="00382D1A">
        <w:t>facilitated crimes.</w:t>
      </w:r>
      <w:r w:rsidR="00427C9B">
        <w:t xml:space="preserve"> </w:t>
      </w:r>
      <w:r w:rsidR="00CA0A9E" w:rsidRPr="00CA0A9E">
        <w:t xml:space="preserve">By manually analyzing the blockchain </w:t>
      </w:r>
      <w:r w:rsidR="00CA0A9E">
        <w:t>using</w:t>
      </w:r>
      <w:r w:rsidR="00CA0A9E" w:rsidRPr="00CA0A9E">
        <w:t xml:space="preserve"> existing analytical </w:t>
      </w:r>
      <w:r w:rsidR="00CA0A9E">
        <w:t xml:space="preserve">heuristic </w:t>
      </w:r>
      <w:r w:rsidR="00CA0A9E" w:rsidRPr="00CA0A9E">
        <w:t>techniques, we hope to provide additional insight into the use of cryptocurrency to further cybercrime. Technology and human behavior, when considered together, expand beyond a solely technological lens to provide a thoughtful perspective into the ever-changing world of criminality.</w:t>
      </w:r>
    </w:p>
    <w:p w14:paraId="300A9B61" w14:textId="77777777" w:rsidR="002A540A" w:rsidRDefault="004C1EB9" w:rsidP="00947652">
      <w:pPr>
        <w:contextualSpacing/>
      </w:pPr>
      <w:r>
        <w:br w:type="page"/>
      </w:r>
    </w:p>
    <w:p w14:paraId="21F7A9C3" w14:textId="77777777" w:rsidR="006226B1" w:rsidRPr="00300629" w:rsidRDefault="006226B1" w:rsidP="00947652">
      <w:pPr>
        <w:contextualSpacing/>
      </w:pPr>
    </w:p>
    <w:p w14:paraId="3538694B" w14:textId="77777777" w:rsidR="00965496" w:rsidRPr="00947652" w:rsidRDefault="00965496" w:rsidP="00947652">
      <w:pPr>
        <w:widowControl w:val="0"/>
        <w:autoSpaceDE w:val="0"/>
        <w:autoSpaceDN w:val="0"/>
        <w:adjustRightInd w:val="0"/>
        <w:ind w:left="480" w:hanging="480"/>
        <w:contextualSpacing/>
        <w:jc w:val="center"/>
      </w:pPr>
      <w:r w:rsidRPr="00947652">
        <w:t>References</w:t>
      </w:r>
    </w:p>
    <w:p w14:paraId="502C38B6" w14:textId="77777777" w:rsidR="005726E4" w:rsidRDefault="005726E4" w:rsidP="00CB73D6">
      <w:pPr>
        <w:pStyle w:val="NormalWeb"/>
        <w:spacing w:before="0" w:beforeAutospacing="0" w:after="0" w:afterAutospacing="0"/>
        <w:ind w:left="450" w:hanging="450"/>
        <w:rPr>
          <w:color w:val="000000"/>
        </w:rPr>
      </w:pPr>
      <w:r>
        <w:rPr>
          <w:color w:val="000000"/>
        </w:rPr>
        <w:t>Androulaki, E., Karame, G. O., Roeschlin, M., Scherer, T., &amp; Capkun, S. (2013). Evaluating user privacy in Bitcoin.</w:t>
      </w:r>
      <w:r>
        <w:rPr>
          <w:rStyle w:val="apple-converted-space"/>
          <w:color w:val="000000"/>
        </w:rPr>
        <w:t> </w:t>
      </w:r>
      <w:r>
        <w:rPr>
          <w:i/>
          <w:iCs/>
          <w:color w:val="000000"/>
        </w:rPr>
        <w:t>Financial cryptography and data security</w:t>
      </w:r>
      <w:r>
        <w:rPr>
          <w:rStyle w:val="apple-converted-space"/>
          <w:color w:val="000000"/>
        </w:rPr>
        <w:t> </w:t>
      </w:r>
      <w:r>
        <w:rPr>
          <w:color w:val="000000"/>
        </w:rPr>
        <w:t>(pp. 34-51). Berlin, Heidelberg: Springer Berlin Heidelberg. doi:10.1007/978-3-642-39884-1_4</w:t>
      </w:r>
    </w:p>
    <w:p w14:paraId="4B888F7C" w14:textId="77777777" w:rsidR="005726E4" w:rsidRDefault="005726E4" w:rsidP="00CB73D6">
      <w:pPr>
        <w:pStyle w:val="NormalWeb"/>
        <w:spacing w:before="0" w:beforeAutospacing="0" w:after="0" w:afterAutospacing="0"/>
        <w:ind w:left="450" w:hanging="450"/>
      </w:pPr>
      <w:r>
        <w:rPr>
          <w:color w:val="000000"/>
        </w:rPr>
        <w:t>Badhwar, R. (2021). Dark web &amp; dark net.</w:t>
      </w:r>
      <w:r>
        <w:rPr>
          <w:rStyle w:val="apple-converted-space"/>
          <w:color w:val="000000"/>
        </w:rPr>
        <w:t> </w:t>
      </w:r>
      <w:r>
        <w:rPr>
          <w:i/>
          <w:iCs/>
          <w:color w:val="000000"/>
        </w:rPr>
        <w:t>The CISO’s next frontier</w:t>
      </w:r>
      <w:r>
        <w:rPr>
          <w:rStyle w:val="apple-converted-space"/>
          <w:color w:val="000000"/>
        </w:rPr>
        <w:t> </w:t>
      </w:r>
      <w:r>
        <w:rPr>
          <w:color w:val="000000"/>
        </w:rPr>
        <w:t>(pp. 365-369). Cham: Springer International Publishing. doi:10.1007/978-3-030-75354-2_45</w:t>
      </w:r>
    </w:p>
    <w:p w14:paraId="50F55B11" w14:textId="77777777" w:rsidR="00C867FC" w:rsidRPr="00947652" w:rsidRDefault="00C867FC" w:rsidP="00CB73D6">
      <w:pPr>
        <w:contextualSpacing/>
      </w:pPr>
      <w:r w:rsidRPr="00947652">
        <w:t xml:space="preserve">Ballentine, C. (2021). A new Bitcoin mutual fund is making it easier to invest in crypto. </w:t>
      </w:r>
    </w:p>
    <w:p w14:paraId="6FB37EE7" w14:textId="77777777" w:rsidR="00C867FC" w:rsidRPr="00947652" w:rsidRDefault="00C867FC" w:rsidP="00CB73D6">
      <w:pPr>
        <w:ind w:left="540"/>
        <w:contextualSpacing/>
      </w:pPr>
      <w:r w:rsidRPr="00947652">
        <w:t xml:space="preserve">Bloomberg Wealth. Available at https://www.bloomberg.com/news/articles/2021-07-28/first-bitcoin-mutual-fund-btcfx-makes-it-easier-to-invest-in-largest-crypto. </w:t>
      </w:r>
    </w:p>
    <w:p w14:paraId="54185B0E" w14:textId="77777777" w:rsidR="00E77F9A" w:rsidRPr="00947652" w:rsidRDefault="00E77F9A" w:rsidP="00CB73D6">
      <w:pPr>
        <w:pStyle w:val="NormalWeb"/>
        <w:spacing w:before="0" w:beforeAutospacing="0" w:after="0" w:afterAutospacing="0"/>
        <w:ind w:left="450" w:hanging="450"/>
        <w:contextualSpacing/>
        <w:rPr>
          <w:color w:val="000000"/>
        </w:rPr>
      </w:pPr>
      <w:r w:rsidRPr="00947652">
        <w:rPr>
          <w:color w:val="000000"/>
        </w:rPr>
        <w:t>Baravalle, A., &amp; Lee, S. W. (2018). Dark web markets: Turning the lights on AlphaBay.</w:t>
      </w:r>
      <w:r w:rsidRPr="00947652">
        <w:rPr>
          <w:rStyle w:val="apple-converted-space"/>
          <w:color w:val="000000"/>
        </w:rPr>
        <w:t> </w:t>
      </w:r>
      <w:r w:rsidRPr="00947652">
        <w:rPr>
          <w:i/>
          <w:iCs/>
          <w:color w:val="000000"/>
        </w:rPr>
        <w:t>Web information systems engineering – WISE 2018</w:t>
      </w:r>
      <w:r w:rsidRPr="00947652">
        <w:rPr>
          <w:rStyle w:val="apple-converted-space"/>
          <w:color w:val="000000"/>
        </w:rPr>
        <w:t> </w:t>
      </w:r>
      <w:r w:rsidRPr="00947652">
        <w:rPr>
          <w:color w:val="000000"/>
        </w:rPr>
        <w:t>(pp. 502-514). Cham: Springer International Publishing. doi:10.1007/978-3-030-02925-8_35</w:t>
      </w:r>
    </w:p>
    <w:p w14:paraId="0892F408" w14:textId="51AE8504" w:rsidR="00E31442" w:rsidRDefault="00E31442" w:rsidP="00CB73D6">
      <w:pPr>
        <w:widowControl w:val="0"/>
        <w:autoSpaceDE w:val="0"/>
        <w:autoSpaceDN w:val="0"/>
        <w:adjustRightInd w:val="0"/>
        <w:ind w:left="480" w:hanging="480"/>
        <w:contextualSpacing/>
        <w:rPr>
          <w:noProof/>
        </w:rPr>
      </w:pPr>
      <w:r w:rsidRPr="00E31442">
        <w:rPr>
          <w:noProof/>
        </w:rPr>
        <w:t>Cohen, L., &amp; Felson, M. (1979). Social change and crimeratetrends:</w:t>
      </w:r>
      <w:r>
        <w:rPr>
          <w:noProof/>
        </w:rPr>
        <w:t xml:space="preserve"> </w:t>
      </w:r>
      <w:r w:rsidRPr="00E31442">
        <w:rPr>
          <w:noProof/>
        </w:rPr>
        <w:t>A</w:t>
      </w:r>
      <w:r>
        <w:rPr>
          <w:noProof/>
        </w:rPr>
        <w:t xml:space="preserve"> </w:t>
      </w:r>
      <w:r w:rsidRPr="00E31442">
        <w:rPr>
          <w:noProof/>
        </w:rPr>
        <w:t>routine</w:t>
      </w:r>
      <w:r>
        <w:rPr>
          <w:noProof/>
        </w:rPr>
        <w:t xml:space="preserve"> </w:t>
      </w:r>
      <w:r w:rsidRPr="00E31442">
        <w:rPr>
          <w:noProof/>
        </w:rPr>
        <w:t>activity</w:t>
      </w:r>
      <w:r>
        <w:rPr>
          <w:noProof/>
        </w:rPr>
        <w:t xml:space="preserve"> </w:t>
      </w:r>
      <w:r w:rsidRPr="00E31442">
        <w:rPr>
          <w:noProof/>
        </w:rPr>
        <w:t>approach.</w:t>
      </w:r>
      <w:r>
        <w:rPr>
          <w:noProof/>
        </w:rPr>
        <w:t xml:space="preserve"> </w:t>
      </w:r>
      <w:r w:rsidRPr="00E31442">
        <w:rPr>
          <w:i/>
          <w:iCs/>
          <w:noProof/>
        </w:rPr>
        <w:t>American Sociological Review</w:t>
      </w:r>
      <w:r w:rsidRPr="00E31442">
        <w:rPr>
          <w:noProof/>
        </w:rPr>
        <w:t>,</w:t>
      </w:r>
      <w:r>
        <w:rPr>
          <w:noProof/>
        </w:rPr>
        <w:t xml:space="preserve"> </w:t>
      </w:r>
      <w:r w:rsidRPr="00E31442">
        <w:rPr>
          <w:noProof/>
        </w:rPr>
        <w:t>44, 588–608.</w:t>
      </w:r>
    </w:p>
    <w:p w14:paraId="4569FABB" w14:textId="707661CD" w:rsidR="00E732DE" w:rsidRPr="00947652" w:rsidRDefault="00E732DE" w:rsidP="00CB73D6">
      <w:pPr>
        <w:widowControl w:val="0"/>
        <w:autoSpaceDE w:val="0"/>
        <w:autoSpaceDN w:val="0"/>
        <w:adjustRightInd w:val="0"/>
        <w:ind w:left="480" w:hanging="480"/>
        <w:contextualSpacing/>
        <w:rPr>
          <w:noProof/>
        </w:rPr>
      </w:pPr>
      <w:r w:rsidRPr="00947652">
        <w:rPr>
          <w:noProof/>
        </w:rPr>
        <w:t xml:space="preserve">Chainalysis. (2022). </w:t>
      </w:r>
      <w:r w:rsidRPr="00947652">
        <w:rPr>
          <w:i/>
          <w:iCs/>
          <w:noProof/>
        </w:rPr>
        <w:t>The 2022 crypto crime report</w:t>
      </w:r>
      <w:r w:rsidRPr="00947652">
        <w:rPr>
          <w:noProof/>
        </w:rPr>
        <w:t>. https://go.chainalysis.com/2022-Crypto-Crime-Report.html</w:t>
      </w:r>
    </w:p>
    <w:p w14:paraId="0DC4BF30" w14:textId="77777777" w:rsidR="007267BF" w:rsidRPr="00947652" w:rsidRDefault="007267BF" w:rsidP="00CB73D6">
      <w:pPr>
        <w:widowControl w:val="0"/>
        <w:autoSpaceDE w:val="0"/>
        <w:autoSpaceDN w:val="0"/>
        <w:adjustRightInd w:val="0"/>
        <w:ind w:left="480" w:hanging="480"/>
        <w:contextualSpacing/>
        <w:rPr>
          <w:noProof/>
        </w:rPr>
      </w:pPr>
      <w:r w:rsidRPr="00947652">
        <w:rPr>
          <w:noProof/>
        </w:rPr>
        <w:t xml:space="preserve">Chen, X., Hasan, M. Al, Wu, X., Skums, P., Feizollahi, M. J., Ouellet, M., Sevigny, E. L., Maimon, D., &amp; Wu, Y. (2019). Characteristics of Bitcoin Transactions on Cryptomarkets. </w:t>
      </w:r>
      <w:r w:rsidRPr="00947652">
        <w:rPr>
          <w:i/>
          <w:iCs/>
          <w:noProof/>
        </w:rPr>
        <w:t>Lecture Notes in Computer Science (Including Subseries Lecture Notes in Artificial Intelligence and Lecture Notes in Bioinformatics)</w:t>
      </w:r>
      <w:r w:rsidRPr="00947652">
        <w:rPr>
          <w:noProof/>
        </w:rPr>
        <w:t xml:space="preserve">, </w:t>
      </w:r>
      <w:r w:rsidRPr="00947652">
        <w:rPr>
          <w:i/>
          <w:iCs/>
          <w:noProof/>
        </w:rPr>
        <w:t>11611 LNCS</w:t>
      </w:r>
      <w:r w:rsidRPr="00947652">
        <w:rPr>
          <w:noProof/>
        </w:rPr>
        <w:t>, 261–276. https://doi.org/10.1007/978-3-030-24907-6_20</w:t>
      </w:r>
    </w:p>
    <w:p w14:paraId="4FE75374" w14:textId="77777777" w:rsidR="00E77F9A" w:rsidRPr="00947652" w:rsidRDefault="00E77F9A" w:rsidP="00CB73D6">
      <w:pPr>
        <w:pStyle w:val="NormalWeb"/>
        <w:spacing w:before="0" w:beforeAutospacing="0" w:after="0" w:afterAutospacing="0"/>
        <w:ind w:left="450" w:hanging="450"/>
        <w:contextualSpacing/>
        <w:rPr>
          <w:color w:val="000000"/>
        </w:rPr>
      </w:pPr>
      <w:bookmarkStart w:id="2" w:name="_Hlk113454130"/>
      <w:r w:rsidRPr="00947652">
        <w:rPr>
          <w:color w:val="000000"/>
        </w:rPr>
        <w:t>Choi, S., Choi, K., Sungu-Eryilmaz, Y., &amp; Park, H. (2020). Illegal gambling and its operation via the darknet and Bitcoin: An application of routine activity theory.</w:t>
      </w:r>
      <w:r w:rsidRPr="00947652">
        <w:rPr>
          <w:rStyle w:val="apple-converted-space"/>
          <w:i/>
          <w:iCs/>
          <w:color w:val="000000"/>
        </w:rPr>
        <w:t> </w:t>
      </w:r>
      <w:r w:rsidRPr="00947652">
        <w:rPr>
          <w:i/>
          <w:iCs/>
          <w:color w:val="000000"/>
        </w:rPr>
        <w:t>The International Journal of Cybersecurity Intelligence and Cybercrime,</w:t>
      </w:r>
      <w:r w:rsidRPr="00947652">
        <w:rPr>
          <w:rStyle w:val="apple-converted-space"/>
          <w:i/>
          <w:iCs/>
          <w:color w:val="000000"/>
        </w:rPr>
        <w:t> </w:t>
      </w:r>
      <w:r w:rsidRPr="00947652">
        <w:rPr>
          <w:i/>
          <w:iCs/>
          <w:color w:val="000000"/>
        </w:rPr>
        <w:t>3</w:t>
      </w:r>
      <w:r w:rsidRPr="00947652">
        <w:rPr>
          <w:color w:val="000000"/>
        </w:rPr>
        <w:t xml:space="preserve">(1), 3-23. </w:t>
      </w:r>
      <w:bookmarkEnd w:id="2"/>
      <w:r w:rsidRPr="00947652">
        <w:rPr>
          <w:color w:val="000000"/>
        </w:rPr>
        <w:t>doi:10.52306/03010220HTLI7653</w:t>
      </w:r>
    </w:p>
    <w:p w14:paraId="787959C3" w14:textId="77777777" w:rsidR="007267BF" w:rsidRPr="00947652" w:rsidRDefault="007267BF" w:rsidP="00CB73D6">
      <w:pPr>
        <w:widowControl w:val="0"/>
        <w:autoSpaceDE w:val="0"/>
        <w:autoSpaceDN w:val="0"/>
        <w:adjustRightInd w:val="0"/>
        <w:ind w:left="480" w:hanging="480"/>
        <w:contextualSpacing/>
        <w:rPr>
          <w:noProof/>
        </w:rPr>
      </w:pPr>
      <w:r w:rsidRPr="00947652">
        <w:rPr>
          <w:i/>
          <w:iCs/>
          <w:noProof/>
        </w:rPr>
        <w:t>Cryptocurrency Prices, Charts And Market Capitalizations | CoinMarketCap</w:t>
      </w:r>
      <w:r w:rsidRPr="00947652">
        <w:rPr>
          <w:noProof/>
        </w:rPr>
        <w:t>. (n.d.). Retrieved January 24, 2022, from https://coinmarketcap.com/</w:t>
      </w:r>
    </w:p>
    <w:p w14:paraId="627578C3" w14:textId="77777777" w:rsidR="00647547" w:rsidRDefault="00647547" w:rsidP="00CB73D6">
      <w:pPr>
        <w:widowControl w:val="0"/>
        <w:autoSpaceDE w:val="0"/>
        <w:autoSpaceDN w:val="0"/>
        <w:adjustRightInd w:val="0"/>
        <w:ind w:left="480" w:hanging="480"/>
        <w:contextualSpacing/>
        <w:rPr>
          <w:noProof/>
        </w:rPr>
      </w:pPr>
      <w:r>
        <w:t xml:space="preserve">Davis, S., &amp; Arrigo, B. (2021). The Dark Web and anonymizing technologies: Legal pitfalls, ethical prospects, and policy directions from radical criminology. </w:t>
      </w:r>
      <w:r>
        <w:rPr>
          <w:i/>
          <w:iCs/>
        </w:rPr>
        <w:t>Crime, Law and Social Change</w:t>
      </w:r>
      <w:r>
        <w:t xml:space="preserve">, </w:t>
      </w:r>
      <w:r>
        <w:rPr>
          <w:i/>
          <w:iCs/>
        </w:rPr>
        <w:t>76</w:t>
      </w:r>
      <w:r>
        <w:t>(4), 367-386.</w:t>
      </w:r>
    </w:p>
    <w:p w14:paraId="4FA6B279" w14:textId="77777777" w:rsidR="00DD0CA9" w:rsidRPr="00947652" w:rsidRDefault="00DD0CA9" w:rsidP="00CB73D6">
      <w:pPr>
        <w:widowControl w:val="0"/>
        <w:autoSpaceDE w:val="0"/>
        <w:autoSpaceDN w:val="0"/>
        <w:adjustRightInd w:val="0"/>
        <w:ind w:left="480" w:hanging="480"/>
        <w:contextualSpacing/>
        <w:rPr>
          <w:noProof/>
        </w:rPr>
      </w:pPr>
      <w:r w:rsidRPr="00947652">
        <w:rPr>
          <w:noProof/>
        </w:rPr>
        <w:t xml:space="preserve">Décary-Hétu, D. and L. Giommoni. (2017) Do police crackdowns disrupt drug cryptomarkets? A Longitudinal analysis of the effects of operation onymous. </w:t>
      </w:r>
      <w:r w:rsidRPr="00947652">
        <w:rPr>
          <w:i/>
          <w:iCs/>
          <w:noProof/>
        </w:rPr>
        <w:t>Crime, Law and Social Change</w:t>
      </w:r>
      <w:r w:rsidRPr="00947652">
        <w:rPr>
          <w:noProof/>
        </w:rPr>
        <w:t xml:space="preserve"> </w:t>
      </w:r>
      <w:r w:rsidRPr="00947652">
        <w:rPr>
          <w:i/>
          <w:iCs/>
          <w:noProof/>
        </w:rPr>
        <w:t>67</w:t>
      </w:r>
      <w:r w:rsidRPr="00947652">
        <w:rPr>
          <w:noProof/>
        </w:rPr>
        <w:t>(1):55–75.</w:t>
      </w:r>
    </w:p>
    <w:p w14:paraId="4919996F" w14:textId="77777777" w:rsidR="007267BF" w:rsidRPr="00947652" w:rsidRDefault="007267BF" w:rsidP="00CB73D6">
      <w:pPr>
        <w:widowControl w:val="0"/>
        <w:autoSpaceDE w:val="0"/>
        <w:autoSpaceDN w:val="0"/>
        <w:adjustRightInd w:val="0"/>
        <w:ind w:left="480" w:hanging="480"/>
        <w:contextualSpacing/>
        <w:rPr>
          <w:noProof/>
        </w:rPr>
      </w:pPr>
      <w:r w:rsidRPr="00947652">
        <w:rPr>
          <w:noProof/>
        </w:rPr>
        <w:t xml:space="preserve">Delmolino, K., Arnett, M., Kosba, A., Miller, A., &amp; Shi, E. (2016). Step by step towards creating a safe smart contract: Lessons and insights from a cryptocurrency lab. </w:t>
      </w:r>
      <w:r w:rsidRPr="00947652">
        <w:rPr>
          <w:i/>
          <w:iCs/>
          <w:noProof/>
        </w:rPr>
        <w:t>Lecture Notes in Computer Science (Including Subseries Lecture Notes in Artificial Intelligence and Lecture Notes in Bioinformatics)</w:t>
      </w:r>
      <w:r w:rsidRPr="00947652">
        <w:rPr>
          <w:noProof/>
        </w:rPr>
        <w:t xml:space="preserve">, </w:t>
      </w:r>
      <w:r w:rsidRPr="00947652">
        <w:rPr>
          <w:i/>
          <w:iCs/>
          <w:noProof/>
        </w:rPr>
        <w:t>9604 LNCS</w:t>
      </w:r>
      <w:r w:rsidRPr="00947652">
        <w:rPr>
          <w:noProof/>
        </w:rPr>
        <w:t>, 79–94. https://doi.org/10.1007/978-3-662-53357-4_6</w:t>
      </w:r>
    </w:p>
    <w:p w14:paraId="76200A1E" w14:textId="77777777" w:rsidR="007267BF" w:rsidRPr="00947652" w:rsidRDefault="007267BF" w:rsidP="00CB73D6">
      <w:pPr>
        <w:widowControl w:val="0"/>
        <w:autoSpaceDE w:val="0"/>
        <w:autoSpaceDN w:val="0"/>
        <w:adjustRightInd w:val="0"/>
        <w:ind w:left="480" w:hanging="480"/>
        <w:contextualSpacing/>
        <w:rPr>
          <w:noProof/>
        </w:rPr>
      </w:pPr>
      <w:bookmarkStart w:id="3" w:name="_Hlk113454150"/>
      <w:r w:rsidRPr="00947652">
        <w:rPr>
          <w:noProof/>
        </w:rPr>
        <w:t xml:space="preserve">Dhawan, A., &amp; Putnins, T. J. (2020). A New Wolf in Town? Pump-and-Dump Manipulation in Cryptocurrency Markets. </w:t>
      </w:r>
      <w:r w:rsidRPr="00947652">
        <w:rPr>
          <w:i/>
          <w:iCs/>
          <w:noProof/>
        </w:rPr>
        <w:t>SSRN Electronic Journal</w:t>
      </w:r>
      <w:r w:rsidRPr="00947652">
        <w:rPr>
          <w:noProof/>
        </w:rPr>
        <w:t>. https://doi.org/10.2139/ssrn.3670714</w:t>
      </w:r>
    </w:p>
    <w:bookmarkEnd w:id="3"/>
    <w:p w14:paraId="46311616" w14:textId="77777777" w:rsidR="007267BF" w:rsidRPr="00947652" w:rsidRDefault="007267BF" w:rsidP="00CB73D6">
      <w:pPr>
        <w:widowControl w:val="0"/>
        <w:autoSpaceDE w:val="0"/>
        <w:autoSpaceDN w:val="0"/>
        <w:adjustRightInd w:val="0"/>
        <w:ind w:left="480" w:hanging="480"/>
        <w:contextualSpacing/>
        <w:rPr>
          <w:noProof/>
        </w:rPr>
      </w:pPr>
      <w:r w:rsidRPr="00947652">
        <w:rPr>
          <w:noProof/>
        </w:rPr>
        <w:t xml:space="preserve">Dorit, R., &amp; Shamir, A. (2014). How did dread pirate roberts acquire and protect his bitcoin wealth? </w:t>
      </w:r>
      <w:r w:rsidRPr="00947652">
        <w:rPr>
          <w:i/>
          <w:iCs/>
          <w:noProof/>
        </w:rPr>
        <w:t>International Conference on Financial Cryptography and Data Security</w:t>
      </w:r>
      <w:r w:rsidRPr="00947652">
        <w:rPr>
          <w:noProof/>
        </w:rPr>
        <w:t>, 3–15.</w:t>
      </w:r>
    </w:p>
    <w:p w14:paraId="64292720" w14:textId="77777777" w:rsidR="00C867FC" w:rsidRPr="00947652" w:rsidRDefault="00C867FC" w:rsidP="00CB73D6">
      <w:pPr>
        <w:contextualSpacing/>
      </w:pPr>
      <w:r w:rsidRPr="00947652">
        <w:t xml:space="preserve">Escalante-De Mattei, S. (2022). NFT community fundraises for Ukraine: It’s about uniting to </w:t>
      </w:r>
    </w:p>
    <w:p w14:paraId="19CEEE5D" w14:textId="77777777" w:rsidR="00C867FC" w:rsidRPr="00947652" w:rsidRDefault="00C867FC" w:rsidP="00CB73D6">
      <w:pPr>
        <w:ind w:left="540"/>
        <w:contextualSpacing/>
      </w:pPr>
      <w:r w:rsidRPr="00947652">
        <w:t>save lives. ArtNews. Available at https://www.artnews.com/art-news/news/ukraine-nft-artist-projects-1234621221/</w:t>
      </w:r>
    </w:p>
    <w:p w14:paraId="329B234D" w14:textId="77777777" w:rsidR="007267BF" w:rsidRPr="00947652" w:rsidRDefault="007267BF" w:rsidP="00CB73D6">
      <w:pPr>
        <w:widowControl w:val="0"/>
        <w:autoSpaceDE w:val="0"/>
        <w:autoSpaceDN w:val="0"/>
        <w:adjustRightInd w:val="0"/>
        <w:ind w:left="480" w:hanging="480"/>
        <w:contextualSpacing/>
        <w:rPr>
          <w:noProof/>
        </w:rPr>
      </w:pPr>
      <w:r w:rsidRPr="00947652">
        <w:rPr>
          <w:noProof/>
        </w:rPr>
        <w:t xml:space="preserve">Foley, S., Karlsen, J. R., &amp; Putnins, T. J. (2019). Sex, Drugs, and Bitcoin: How Much Illegal </w:t>
      </w:r>
      <w:r w:rsidRPr="00947652">
        <w:rPr>
          <w:noProof/>
        </w:rPr>
        <w:lastRenderedPageBreak/>
        <w:t xml:space="preserve">Activity Is Financed through Cryptocurrencies? </w:t>
      </w:r>
      <w:r w:rsidRPr="00947652">
        <w:rPr>
          <w:i/>
          <w:iCs/>
          <w:noProof/>
        </w:rPr>
        <w:t>The Review of Financial Studies</w:t>
      </w:r>
      <w:r w:rsidRPr="00947652">
        <w:rPr>
          <w:noProof/>
        </w:rPr>
        <w:t xml:space="preserve">, </w:t>
      </w:r>
      <w:r w:rsidRPr="00947652">
        <w:rPr>
          <w:i/>
          <w:iCs/>
          <w:noProof/>
        </w:rPr>
        <w:t>32</w:t>
      </w:r>
      <w:r w:rsidRPr="00947652">
        <w:rPr>
          <w:noProof/>
        </w:rPr>
        <w:t>(5), 1798–1853. https://doi.org/10.1093/RFS/HHZ015</w:t>
      </w:r>
    </w:p>
    <w:p w14:paraId="04A61FB0" w14:textId="77777777" w:rsidR="007267BF" w:rsidRPr="00947652" w:rsidRDefault="007267BF" w:rsidP="00CB73D6">
      <w:pPr>
        <w:widowControl w:val="0"/>
        <w:autoSpaceDE w:val="0"/>
        <w:autoSpaceDN w:val="0"/>
        <w:adjustRightInd w:val="0"/>
        <w:ind w:left="480" w:hanging="480"/>
        <w:contextualSpacing/>
        <w:rPr>
          <w:noProof/>
        </w:rPr>
      </w:pPr>
      <w:r w:rsidRPr="00947652">
        <w:rPr>
          <w:noProof/>
        </w:rPr>
        <w:t xml:space="preserve">Gordan, F., McGovern, A., Thompson, C., &amp; Wood, M. A. (2022). Beyond Cybercrime: New Perspectives on Crime, Harm and Digital Technologies. </w:t>
      </w:r>
      <w:r w:rsidRPr="00947652">
        <w:rPr>
          <w:i/>
          <w:iCs/>
          <w:noProof/>
        </w:rPr>
        <w:t>International Journal for Crime, Justice and Social Democracy</w:t>
      </w:r>
      <w:r w:rsidRPr="00947652">
        <w:rPr>
          <w:noProof/>
        </w:rPr>
        <w:t xml:space="preserve">, </w:t>
      </w:r>
      <w:r w:rsidRPr="00947652">
        <w:rPr>
          <w:i/>
          <w:iCs/>
          <w:noProof/>
        </w:rPr>
        <w:t>11</w:t>
      </w:r>
      <w:r w:rsidRPr="00947652">
        <w:rPr>
          <w:noProof/>
        </w:rPr>
        <w:t>(1), 2022. https://doi.org/10.5204/ijcjsd.2215</w:t>
      </w:r>
    </w:p>
    <w:p w14:paraId="4D5ADB74" w14:textId="77777777" w:rsidR="006815EA" w:rsidRDefault="006815EA" w:rsidP="006815EA">
      <w:pPr>
        <w:rPr>
          <w:rFonts w:eastAsia="Times New Roman"/>
          <w:i/>
          <w:iCs/>
        </w:rPr>
      </w:pPr>
      <w:r w:rsidRPr="006815EA">
        <w:rPr>
          <w:rFonts w:eastAsia="Times New Roman"/>
        </w:rPr>
        <w:t xml:space="preserve">Gottschalk, P. (2017). Convenience in white-collar crime: Introducing a core concept. </w:t>
      </w:r>
      <w:r w:rsidRPr="006815EA">
        <w:rPr>
          <w:rFonts w:eastAsia="Times New Roman"/>
          <w:i/>
          <w:iCs/>
        </w:rPr>
        <w:t xml:space="preserve">Deviant </w:t>
      </w:r>
    </w:p>
    <w:p w14:paraId="65AF6900" w14:textId="1B0C991E" w:rsidR="006815EA" w:rsidRPr="006815EA" w:rsidRDefault="006815EA" w:rsidP="006815EA">
      <w:pPr>
        <w:ind w:firstLine="450"/>
        <w:rPr>
          <w:rFonts w:eastAsia="Times New Roman"/>
        </w:rPr>
      </w:pPr>
      <w:r w:rsidRPr="006815EA">
        <w:rPr>
          <w:rFonts w:eastAsia="Times New Roman"/>
          <w:i/>
          <w:iCs/>
        </w:rPr>
        <w:t>Behavior</w:t>
      </w:r>
      <w:r w:rsidRPr="006815EA">
        <w:rPr>
          <w:rFonts w:eastAsia="Times New Roman"/>
        </w:rPr>
        <w:t xml:space="preserve">, </w:t>
      </w:r>
      <w:r w:rsidRPr="006815EA">
        <w:rPr>
          <w:rFonts w:eastAsia="Times New Roman"/>
          <w:i/>
          <w:iCs/>
        </w:rPr>
        <w:t>38</w:t>
      </w:r>
      <w:r w:rsidRPr="006815EA">
        <w:rPr>
          <w:rFonts w:eastAsia="Times New Roman"/>
        </w:rPr>
        <w:t>(5), 605-619.</w:t>
      </w:r>
    </w:p>
    <w:p w14:paraId="741A46D3" w14:textId="322F8FE1" w:rsidR="005726E4" w:rsidRPr="00CB73D6" w:rsidRDefault="005726E4" w:rsidP="00CB73D6">
      <w:pPr>
        <w:pStyle w:val="NormalWeb"/>
        <w:spacing w:before="0" w:beforeAutospacing="0" w:after="0" w:afterAutospacing="0"/>
        <w:ind w:left="450" w:hanging="450"/>
        <w:rPr>
          <w:color w:val="000000"/>
        </w:rPr>
      </w:pPr>
      <w:r>
        <w:rPr>
          <w:color w:val="000000"/>
        </w:rPr>
        <w:t>Harrigan, M., &amp; Fretter, C. (2016). The unreasonable effectiveness of address clustering. Paper presented at the 368-373. doi:10.1109/UIC-ATC-ScalCom-CBDCom-IoP-SmartWorld.2016.0071</w:t>
      </w:r>
    </w:p>
    <w:p w14:paraId="2F1C0D15" w14:textId="77777777" w:rsidR="007267BF" w:rsidRPr="00947652" w:rsidRDefault="007267BF" w:rsidP="00CB73D6">
      <w:pPr>
        <w:widowControl w:val="0"/>
        <w:autoSpaceDE w:val="0"/>
        <w:autoSpaceDN w:val="0"/>
        <w:adjustRightInd w:val="0"/>
        <w:ind w:left="480" w:hanging="480"/>
        <w:contextualSpacing/>
        <w:rPr>
          <w:noProof/>
        </w:rPr>
      </w:pPr>
      <w:r w:rsidRPr="00947652">
        <w:rPr>
          <w:noProof/>
        </w:rPr>
        <w:t xml:space="preserve">Hatta, M. (2020). Deep web, dark web, dark net. </w:t>
      </w:r>
      <w:r w:rsidRPr="00947652">
        <w:rPr>
          <w:i/>
          <w:iCs/>
          <w:noProof/>
        </w:rPr>
        <w:t>Annals of Business Administrative Science</w:t>
      </w:r>
      <w:r w:rsidRPr="00947652">
        <w:rPr>
          <w:noProof/>
        </w:rPr>
        <w:t xml:space="preserve">, </w:t>
      </w:r>
      <w:r w:rsidRPr="00947652">
        <w:rPr>
          <w:i/>
          <w:iCs/>
          <w:noProof/>
        </w:rPr>
        <w:t>19</w:t>
      </w:r>
      <w:r w:rsidRPr="00947652">
        <w:rPr>
          <w:noProof/>
        </w:rPr>
        <w:t>(6), 277–292. https://doi.org/10.7880/abas.0200908a</w:t>
      </w:r>
    </w:p>
    <w:p w14:paraId="150D6BEB" w14:textId="77777777" w:rsidR="00E31442" w:rsidRDefault="00E31442" w:rsidP="00E31442">
      <w:pPr>
        <w:rPr>
          <w:rFonts w:eastAsia="Times New Roman"/>
          <w:i/>
          <w:iCs/>
        </w:rPr>
      </w:pPr>
      <w:r w:rsidRPr="00E31442">
        <w:rPr>
          <w:rFonts w:eastAsia="Times New Roman"/>
        </w:rPr>
        <w:t xml:space="preserve">Hindelang, M. J., Gottfredson, M. R., &amp; Garofalo, J. (1978). </w:t>
      </w:r>
      <w:r w:rsidRPr="00E31442">
        <w:rPr>
          <w:rFonts w:eastAsia="Times New Roman"/>
          <w:i/>
          <w:iCs/>
        </w:rPr>
        <w:t xml:space="preserve">Victims of personal crime: An </w:t>
      </w:r>
    </w:p>
    <w:p w14:paraId="2376AA3B" w14:textId="20AFD865" w:rsidR="00E31442" w:rsidRPr="00E31442" w:rsidRDefault="00E31442" w:rsidP="00E31442">
      <w:pPr>
        <w:ind w:firstLine="450"/>
        <w:rPr>
          <w:rFonts w:eastAsia="Times New Roman"/>
        </w:rPr>
      </w:pPr>
      <w:r w:rsidRPr="00E31442">
        <w:rPr>
          <w:rFonts w:eastAsia="Times New Roman"/>
          <w:i/>
          <w:iCs/>
        </w:rPr>
        <w:t>empirical foundation for a theory of personal victimization</w:t>
      </w:r>
      <w:r w:rsidRPr="00E31442">
        <w:rPr>
          <w:rFonts w:eastAsia="Times New Roman"/>
        </w:rPr>
        <w:t>. Cambridge, MA: Ballinger.</w:t>
      </w:r>
    </w:p>
    <w:p w14:paraId="622E9EFE" w14:textId="6659F0C5" w:rsidR="00936A17" w:rsidRDefault="00E77F9A" w:rsidP="00CB73D6">
      <w:pPr>
        <w:pStyle w:val="NormalWeb"/>
        <w:spacing w:before="0" w:beforeAutospacing="0" w:after="0" w:afterAutospacing="0"/>
        <w:ind w:left="450" w:hanging="450"/>
        <w:contextualSpacing/>
        <w:rPr>
          <w:color w:val="000000"/>
        </w:rPr>
      </w:pPr>
      <w:r w:rsidRPr="00947652">
        <w:rPr>
          <w:color w:val="000000"/>
        </w:rPr>
        <w:t>Hiramoto, N., &amp; Tsuchiya, Y. (2020). Measuring dark web marketplaces via Bitcoin transactions: From birth to independence.</w:t>
      </w:r>
      <w:r w:rsidRPr="00947652">
        <w:rPr>
          <w:rStyle w:val="apple-converted-space"/>
          <w:i/>
          <w:iCs/>
          <w:color w:val="000000"/>
        </w:rPr>
        <w:t> </w:t>
      </w:r>
      <w:r w:rsidRPr="00947652">
        <w:rPr>
          <w:i/>
          <w:iCs/>
          <w:color w:val="000000"/>
        </w:rPr>
        <w:t>Forensic Science International: Digital Investigation,</w:t>
      </w:r>
      <w:r w:rsidRPr="00947652">
        <w:rPr>
          <w:rStyle w:val="apple-converted-space"/>
          <w:i/>
          <w:iCs/>
          <w:color w:val="000000"/>
        </w:rPr>
        <w:t> </w:t>
      </w:r>
      <w:r w:rsidRPr="00947652">
        <w:rPr>
          <w:i/>
          <w:iCs/>
          <w:color w:val="000000"/>
        </w:rPr>
        <w:t>35</w:t>
      </w:r>
      <w:r w:rsidRPr="00947652">
        <w:rPr>
          <w:rStyle w:val="apple-converted-space"/>
          <w:color w:val="000000"/>
        </w:rPr>
        <w:t> </w:t>
      </w:r>
      <w:r w:rsidRPr="00947652">
        <w:rPr>
          <w:color w:val="000000"/>
        </w:rPr>
        <w:t>doi:10.1016/j.fsidi.2020.301086</w:t>
      </w:r>
    </w:p>
    <w:p w14:paraId="3196513D" w14:textId="50B499DB" w:rsidR="00E77F9A" w:rsidRDefault="00E77F9A" w:rsidP="00CB73D6">
      <w:pPr>
        <w:pStyle w:val="NormalWeb"/>
        <w:spacing w:before="0" w:beforeAutospacing="0" w:after="0" w:afterAutospacing="0"/>
        <w:ind w:left="450" w:hanging="450"/>
        <w:contextualSpacing/>
        <w:rPr>
          <w:color w:val="000000"/>
        </w:rPr>
      </w:pPr>
      <w:r w:rsidRPr="00947652">
        <w:rPr>
          <w:color w:val="000000"/>
        </w:rPr>
        <w:t>Hodge, R. (2021). Tor browser FAQ: What is it and how does it protect your privacy? Retrieved from</w:t>
      </w:r>
      <w:r w:rsidRPr="00947652">
        <w:rPr>
          <w:rStyle w:val="apple-converted-space"/>
          <w:color w:val="000000"/>
        </w:rPr>
        <w:t> </w:t>
      </w:r>
      <w:r w:rsidR="00936A17" w:rsidRPr="00CD4435">
        <w:t>https://www.cnet.com/news/privacy/tor-browser-faq-what-is-it-and-how-does-it-protect-your-privacy/</w:t>
      </w:r>
    </w:p>
    <w:p w14:paraId="6EB75844" w14:textId="77777777" w:rsidR="00936A17" w:rsidRPr="00947652" w:rsidRDefault="00936A17" w:rsidP="00CB73D6">
      <w:pPr>
        <w:pStyle w:val="NormalWeb"/>
        <w:spacing w:before="0" w:beforeAutospacing="0" w:after="0" w:afterAutospacing="0"/>
        <w:ind w:left="450" w:hanging="450"/>
        <w:contextualSpacing/>
        <w:rPr>
          <w:color w:val="000000"/>
        </w:rPr>
      </w:pPr>
      <w:r>
        <w:t xml:space="preserve">Hoe, S. C., Kantarcioglu, M., &amp; Bensoussan, A. (2012, November). A game theoretical analysis of lemonizing cybercriminal black markets. In </w:t>
      </w:r>
      <w:r>
        <w:rPr>
          <w:i/>
          <w:iCs/>
        </w:rPr>
        <w:t>International Conference on Decision and Game Theory for Security</w:t>
      </w:r>
      <w:r>
        <w:t xml:space="preserve"> (pp. 60-77). Springer, Berlin, Heidelberg.</w:t>
      </w:r>
    </w:p>
    <w:p w14:paraId="0AC21102" w14:textId="77777777" w:rsidR="00647547" w:rsidRDefault="00647547" w:rsidP="00CB73D6">
      <w:pPr>
        <w:rPr>
          <w:rFonts w:eastAsia="Times New Roman"/>
        </w:rPr>
      </w:pPr>
      <w:bookmarkStart w:id="4" w:name="_Hlk113454106"/>
      <w:r w:rsidRPr="00647547">
        <w:rPr>
          <w:rFonts w:eastAsia="Times New Roman"/>
        </w:rPr>
        <w:t xml:space="preserve">Holt, T. J., &amp; Lampke, E. (2010). Exploring stolen data markets online: products and market </w:t>
      </w:r>
    </w:p>
    <w:p w14:paraId="52132735" w14:textId="77777777" w:rsidR="00647547" w:rsidRPr="00CB73D6" w:rsidRDefault="00647547" w:rsidP="00CB73D6">
      <w:pPr>
        <w:ind w:firstLine="450"/>
        <w:rPr>
          <w:rFonts w:eastAsia="Times New Roman"/>
        </w:rPr>
      </w:pPr>
      <w:r w:rsidRPr="00647547">
        <w:rPr>
          <w:rFonts w:eastAsia="Times New Roman"/>
        </w:rPr>
        <w:t xml:space="preserve">forces. </w:t>
      </w:r>
      <w:r w:rsidRPr="00647547">
        <w:rPr>
          <w:rFonts w:eastAsia="Times New Roman"/>
          <w:i/>
          <w:iCs/>
        </w:rPr>
        <w:t>Criminal Justice Studies</w:t>
      </w:r>
      <w:r w:rsidRPr="00647547">
        <w:rPr>
          <w:rFonts w:eastAsia="Times New Roman"/>
        </w:rPr>
        <w:t xml:space="preserve">, </w:t>
      </w:r>
      <w:r w:rsidRPr="00647547">
        <w:rPr>
          <w:rFonts w:eastAsia="Times New Roman"/>
          <w:i/>
          <w:iCs/>
        </w:rPr>
        <w:t>23</w:t>
      </w:r>
      <w:r w:rsidRPr="00647547">
        <w:rPr>
          <w:rFonts w:eastAsia="Times New Roman"/>
        </w:rPr>
        <w:t>(1), 33-50.</w:t>
      </w:r>
    </w:p>
    <w:p w14:paraId="43D3FFE9" w14:textId="77777777" w:rsidR="00E77F9A" w:rsidRPr="00947652" w:rsidRDefault="00E77F9A" w:rsidP="00CB73D6">
      <w:pPr>
        <w:pStyle w:val="NormalWeb"/>
        <w:spacing w:before="0" w:beforeAutospacing="0" w:after="0" w:afterAutospacing="0"/>
        <w:ind w:left="450" w:hanging="450"/>
        <w:contextualSpacing/>
        <w:rPr>
          <w:color w:val="000000"/>
        </w:rPr>
      </w:pPr>
      <w:r w:rsidRPr="00947652">
        <w:rPr>
          <w:color w:val="000000"/>
        </w:rPr>
        <w:t>Holt, T. J., Leukfeldt, R., &amp; van de Weijer, S. (2020). An examination of motivation and routine activity theory to account for cyberattacks against Dutch web sites.</w:t>
      </w:r>
      <w:r w:rsidRPr="00947652">
        <w:rPr>
          <w:rStyle w:val="apple-converted-space"/>
          <w:i/>
          <w:iCs/>
          <w:color w:val="000000"/>
        </w:rPr>
        <w:t> </w:t>
      </w:r>
      <w:r w:rsidRPr="00947652">
        <w:rPr>
          <w:i/>
          <w:iCs/>
          <w:color w:val="000000"/>
        </w:rPr>
        <w:t>Criminal Justice and Behavior,</w:t>
      </w:r>
      <w:r w:rsidRPr="00947652">
        <w:rPr>
          <w:rStyle w:val="apple-converted-space"/>
          <w:i/>
          <w:iCs/>
          <w:color w:val="000000"/>
        </w:rPr>
        <w:t> </w:t>
      </w:r>
      <w:r w:rsidRPr="00947652">
        <w:rPr>
          <w:i/>
          <w:iCs/>
          <w:color w:val="000000"/>
        </w:rPr>
        <w:t>47</w:t>
      </w:r>
      <w:r w:rsidRPr="00947652">
        <w:rPr>
          <w:color w:val="000000"/>
        </w:rPr>
        <w:t>(4), 487-505. doi:10.1177/0093854819900322</w:t>
      </w:r>
    </w:p>
    <w:p w14:paraId="370D5773" w14:textId="77777777" w:rsidR="00256FA9" w:rsidRDefault="00256FA9" w:rsidP="00CB73D6">
      <w:pPr>
        <w:contextualSpacing/>
      </w:pPr>
      <w:r>
        <w:t xml:space="preserve">Howell, C. J., Maimon, D., Perkins, R. C., Burruss, G. W., Ouellet, M., &amp; Wu, Y. (2022). Risk </w:t>
      </w:r>
    </w:p>
    <w:p w14:paraId="15E0AD66" w14:textId="1C7B886C" w:rsidR="00256FA9" w:rsidRDefault="00256FA9" w:rsidP="00CB73D6">
      <w:pPr>
        <w:ind w:left="450"/>
        <w:contextualSpacing/>
      </w:pPr>
      <w:r>
        <w:t xml:space="preserve">Avoidance Behavior on Darknet Marketplaces. </w:t>
      </w:r>
      <w:r>
        <w:rPr>
          <w:i/>
          <w:iCs/>
        </w:rPr>
        <w:t>Crime &amp; Delinquency</w:t>
      </w:r>
      <w:r>
        <w:t xml:space="preserve">, </w:t>
      </w:r>
      <w:r w:rsidR="00407F1F" w:rsidRPr="00CD4435">
        <w:t>https://doi.org/10.1177/00111287221092713</w:t>
      </w:r>
    </w:p>
    <w:bookmarkEnd w:id="4"/>
    <w:p w14:paraId="6768D4A1" w14:textId="77777777" w:rsidR="00C867FC" w:rsidRPr="00947652" w:rsidRDefault="00C867FC" w:rsidP="00CB73D6">
      <w:pPr>
        <w:contextualSpacing/>
      </w:pPr>
      <w:r w:rsidRPr="00947652">
        <w:t xml:space="preserve">Hussein, F. (2022). Biden signs order on government oversight of cryptocurrency as its use </w:t>
      </w:r>
    </w:p>
    <w:p w14:paraId="3BB215A1" w14:textId="46307E72" w:rsidR="00C867FC" w:rsidRPr="00947652" w:rsidRDefault="00C867FC" w:rsidP="00CB73D6">
      <w:pPr>
        <w:ind w:left="540"/>
        <w:contextualSpacing/>
      </w:pPr>
      <w:r w:rsidRPr="00947652">
        <w:t xml:space="preserve">explodes. Baltimore Sun. Available at </w:t>
      </w:r>
      <w:r w:rsidR="00F71BC9" w:rsidRPr="00CD4435">
        <w:t>https://www.baltimoresun.com/news/nation-</w:t>
      </w:r>
      <w:r w:rsidRPr="00947652">
        <w:t xml:space="preserve">world/ct-aud-nw-biden-cryptocurrency-20220309-2slfgmkwendbzm2ebtjsjnxsci-story.html </w:t>
      </w:r>
    </w:p>
    <w:p w14:paraId="39F4A5F8" w14:textId="77777777" w:rsidR="007F1F32" w:rsidRDefault="007F1F32" w:rsidP="00CB73D6">
      <w:pPr>
        <w:rPr>
          <w:rFonts w:eastAsia="Times New Roman"/>
        </w:rPr>
      </w:pPr>
      <w:bookmarkStart w:id="5" w:name="_Hlk113454172"/>
      <w:r w:rsidRPr="007F1F32">
        <w:rPr>
          <w:rFonts w:eastAsia="Times New Roman"/>
        </w:rPr>
        <w:t xml:space="preserve">Hutchings, A., &amp; Holt, T. J. (2015). A crime script analysis of the online stolen data market. </w:t>
      </w:r>
    </w:p>
    <w:p w14:paraId="798FE4D2" w14:textId="77777777" w:rsidR="007F1F32" w:rsidRDefault="007F1F32" w:rsidP="00CB73D6">
      <w:pPr>
        <w:ind w:firstLine="360"/>
        <w:rPr>
          <w:rFonts w:eastAsia="Times New Roman"/>
        </w:rPr>
      </w:pPr>
      <w:r w:rsidRPr="007F1F32">
        <w:rPr>
          <w:rFonts w:eastAsia="Times New Roman"/>
          <w:i/>
          <w:iCs/>
        </w:rPr>
        <w:t>British Journal of Criminology</w:t>
      </w:r>
      <w:r w:rsidRPr="007F1F32">
        <w:rPr>
          <w:rFonts w:eastAsia="Times New Roman"/>
        </w:rPr>
        <w:t xml:space="preserve">, </w:t>
      </w:r>
      <w:r w:rsidRPr="007F1F32">
        <w:rPr>
          <w:rFonts w:eastAsia="Times New Roman"/>
          <w:i/>
          <w:iCs/>
        </w:rPr>
        <w:t>55</w:t>
      </w:r>
      <w:r w:rsidRPr="007F1F32">
        <w:rPr>
          <w:rFonts w:eastAsia="Times New Roman"/>
        </w:rPr>
        <w:t>(3), 596-614.</w:t>
      </w:r>
    </w:p>
    <w:p w14:paraId="204A424E" w14:textId="77777777" w:rsidR="00936A17" w:rsidRDefault="00936A17" w:rsidP="00CB73D6">
      <w:pPr>
        <w:rPr>
          <w:rFonts w:eastAsia="Times New Roman"/>
        </w:rPr>
      </w:pPr>
      <w:r w:rsidRPr="00936A17">
        <w:rPr>
          <w:rFonts w:eastAsia="Times New Roman"/>
        </w:rPr>
        <w:t xml:space="preserve">Hutchings, A., &amp; Holt, T. J. (2017). The online stolen data market: disruption and intervention </w:t>
      </w:r>
    </w:p>
    <w:p w14:paraId="5BDE611B" w14:textId="77777777" w:rsidR="00936A17" w:rsidRDefault="00936A17" w:rsidP="00CB73D6">
      <w:pPr>
        <w:ind w:firstLine="540"/>
        <w:rPr>
          <w:rFonts w:eastAsia="Times New Roman"/>
        </w:rPr>
      </w:pPr>
      <w:r w:rsidRPr="00936A17">
        <w:rPr>
          <w:rFonts w:eastAsia="Times New Roman"/>
        </w:rPr>
        <w:t xml:space="preserve">approaches. </w:t>
      </w:r>
      <w:r w:rsidRPr="00936A17">
        <w:rPr>
          <w:rFonts w:eastAsia="Times New Roman"/>
          <w:i/>
          <w:iCs/>
        </w:rPr>
        <w:t>Global Crime</w:t>
      </w:r>
      <w:r w:rsidRPr="00936A17">
        <w:rPr>
          <w:rFonts w:eastAsia="Times New Roman"/>
        </w:rPr>
        <w:t xml:space="preserve">, </w:t>
      </w:r>
      <w:r w:rsidRPr="00936A17">
        <w:rPr>
          <w:rFonts w:eastAsia="Times New Roman"/>
          <w:i/>
          <w:iCs/>
        </w:rPr>
        <w:t>18</w:t>
      </w:r>
      <w:r w:rsidRPr="00936A17">
        <w:rPr>
          <w:rFonts w:eastAsia="Times New Roman"/>
        </w:rPr>
        <w:t>(1), 11-30.</w:t>
      </w:r>
    </w:p>
    <w:bookmarkEnd w:id="5"/>
    <w:p w14:paraId="7D40408A" w14:textId="77777777" w:rsidR="00C867FC" w:rsidRPr="00947652" w:rsidRDefault="00C867FC" w:rsidP="00CB73D6">
      <w:pPr>
        <w:contextualSpacing/>
        <w:rPr>
          <w:rFonts w:eastAsia="Times New Roman"/>
        </w:rPr>
      </w:pPr>
      <w:r w:rsidRPr="00947652">
        <w:rPr>
          <w:rFonts w:eastAsia="Times New Roman"/>
        </w:rPr>
        <w:t xml:space="preserve">Janze, C. (2017). Are cryptocurrencies criminals best friends? Examining the co-evolution of </w:t>
      </w:r>
    </w:p>
    <w:p w14:paraId="24F8F861" w14:textId="77777777" w:rsidR="00C867FC" w:rsidRPr="00947652" w:rsidRDefault="00C867FC" w:rsidP="00CB73D6">
      <w:pPr>
        <w:ind w:firstLine="720"/>
        <w:contextualSpacing/>
        <w:rPr>
          <w:rFonts w:eastAsia="Times New Roman"/>
        </w:rPr>
      </w:pPr>
      <w:r w:rsidRPr="00947652">
        <w:rPr>
          <w:rFonts w:eastAsia="Times New Roman"/>
        </w:rPr>
        <w:t>bitcoin and darknet markets. Boston, MA. Americas Conference on Information Systems.</w:t>
      </w:r>
    </w:p>
    <w:p w14:paraId="7E5D59A8" w14:textId="77777777" w:rsidR="00F71BC9" w:rsidRPr="00947652" w:rsidRDefault="00F71BC9" w:rsidP="00CB73D6">
      <w:pPr>
        <w:contextualSpacing/>
        <w:rPr>
          <w:rFonts w:eastAsia="Times New Roman"/>
        </w:rPr>
      </w:pPr>
      <w:bookmarkStart w:id="6" w:name="_Hlk113454179"/>
      <w:r w:rsidRPr="00947652">
        <w:rPr>
          <w:rFonts w:eastAsia="Times New Roman"/>
        </w:rPr>
        <w:t xml:space="preserve">Jardine, E. (2021). Policing the cybercrime script of darknet drug markets: Methods of effective </w:t>
      </w:r>
    </w:p>
    <w:p w14:paraId="5E45799E" w14:textId="77777777" w:rsidR="00F71BC9" w:rsidRPr="00947652" w:rsidRDefault="00F71BC9" w:rsidP="00CB73D6">
      <w:pPr>
        <w:ind w:firstLine="720"/>
        <w:contextualSpacing/>
        <w:rPr>
          <w:rFonts w:eastAsia="Times New Roman"/>
        </w:rPr>
      </w:pPr>
      <w:r w:rsidRPr="00947652">
        <w:rPr>
          <w:rFonts w:eastAsia="Times New Roman"/>
        </w:rPr>
        <w:t xml:space="preserve">law enforcement intervention. </w:t>
      </w:r>
      <w:r w:rsidRPr="00947652">
        <w:rPr>
          <w:rFonts w:eastAsia="Times New Roman"/>
          <w:i/>
          <w:iCs/>
        </w:rPr>
        <w:t xml:space="preserve">American Journal of Criminal Justice, 46, </w:t>
      </w:r>
      <w:r w:rsidRPr="00947652">
        <w:rPr>
          <w:rFonts w:eastAsia="Times New Roman"/>
        </w:rPr>
        <w:t xml:space="preserve">980-1005. </w:t>
      </w:r>
    </w:p>
    <w:bookmarkEnd w:id="6"/>
    <w:p w14:paraId="2A577858" w14:textId="77777777" w:rsidR="00E77F9A" w:rsidRPr="00947652" w:rsidRDefault="00E77F9A" w:rsidP="00CB73D6">
      <w:pPr>
        <w:pStyle w:val="NormalWeb"/>
        <w:spacing w:before="0" w:beforeAutospacing="0" w:after="0" w:afterAutospacing="0"/>
        <w:ind w:left="450" w:hanging="450"/>
        <w:contextualSpacing/>
        <w:rPr>
          <w:color w:val="000000"/>
        </w:rPr>
      </w:pPr>
      <w:r w:rsidRPr="00947652">
        <w:rPr>
          <w:color w:val="000000"/>
        </w:rPr>
        <w:t>Jonsson, T., &amp;#38; Edeby, G. (2021). Collecting and analyzing Tor exit node traffic. (Dissertation). Retrieved from http://urn.kb.se/resolve?urn=urn:nbn:se:bth-21862</w:t>
      </w:r>
    </w:p>
    <w:p w14:paraId="78B0888E" w14:textId="77777777" w:rsidR="007267BF" w:rsidRPr="00947652" w:rsidRDefault="007267BF" w:rsidP="00CB73D6">
      <w:pPr>
        <w:widowControl w:val="0"/>
        <w:autoSpaceDE w:val="0"/>
        <w:autoSpaceDN w:val="0"/>
        <w:adjustRightInd w:val="0"/>
        <w:ind w:left="480" w:hanging="480"/>
        <w:contextualSpacing/>
        <w:rPr>
          <w:noProof/>
        </w:rPr>
      </w:pPr>
      <w:r w:rsidRPr="00947652">
        <w:rPr>
          <w:noProof/>
        </w:rPr>
        <w:t xml:space="preserve">Kamps, J., &amp; Kleinberg, B. (2018). To the moon: defining and detecting cryptocurrency pump-and-dumps. </w:t>
      </w:r>
      <w:r w:rsidRPr="00947652">
        <w:rPr>
          <w:i/>
          <w:iCs/>
          <w:noProof/>
        </w:rPr>
        <w:t>Crime Science</w:t>
      </w:r>
      <w:r w:rsidRPr="00947652">
        <w:rPr>
          <w:noProof/>
        </w:rPr>
        <w:t xml:space="preserve">, </w:t>
      </w:r>
      <w:r w:rsidRPr="00947652">
        <w:rPr>
          <w:i/>
          <w:iCs/>
          <w:noProof/>
        </w:rPr>
        <w:t>7</w:t>
      </w:r>
      <w:r w:rsidRPr="00947652">
        <w:rPr>
          <w:noProof/>
        </w:rPr>
        <w:t>(1), 18. https://doi.org/10.1186/s40163-018-0093-5</w:t>
      </w:r>
    </w:p>
    <w:p w14:paraId="19B90653" w14:textId="3B7F3E00" w:rsidR="005726E4" w:rsidRDefault="005726E4" w:rsidP="00CD4435">
      <w:pPr>
        <w:pStyle w:val="NormalWeb"/>
        <w:spacing w:before="0" w:beforeAutospacing="0" w:after="0" w:afterAutospacing="0"/>
        <w:ind w:left="720" w:hanging="720"/>
        <w:rPr>
          <w:color w:val="000000"/>
        </w:rPr>
      </w:pPr>
      <w:r>
        <w:rPr>
          <w:color w:val="000000"/>
        </w:rPr>
        <w:lastRenderedPageBreak/>
        <w:t>Kavallieros, D., Myttas, D., Kermitsis, E., Lissaris, E., Giataganas, G., &amp; Darra, E. (2021).</w:t>
      </w:r>
      <w:r>
        <w:rPr>
          <w:i/>
          <w:iCs/>
          <w:color w:val="000000"/>
        </w:rPr>
        <w:t xml:space="preserve"> </w:t>
      </w:r>
      <w:r>
        <w:rPr>
          <w:color w:val="000000"/>
        </w:rPr>
        <w:t>Understanding the dark web. In Akhgar, B., Gercke, M., Vrochidis, S., &amp; Gibson, H. (2021).</w:t>
      </w:r>
      <w:r>
        <w:rPr>
          <w:rStyle w:val="apple-converted-space"/>
          <w:color w:val="000000"/>
        </w:rPr>
        <w:t> </w:t>
      </w:r>
      <w:r>
        <w:rPr>
          <w:i/>
          <w:iCs/>
          <w:color w:val="000000"/>
        </w:rPr>
        <w:t>Dark web investigation</w:t>
      </w:r>
      <w:r>
        <w:rPr>
          <w:color w:val="000000"/>
        </w:rPr>
        <w:t xml:space="preserve"> (pp. 3-26). Cham: Springer International Publishing AG.</w:t>
      </w:r>
    </w:p>
    <w:p w14:paraId="6A34682E" w14:textId="77777777" w:rsidR="005726E4" w:rsidRPr="00CB73D6" w:rsidRDefault="005726E4" w:rsidP="00CB73D6">
      <w:pPr>
        <w:pStyle w:val="NormalWeb"/>
        <w:spacing w:before="0" w:beforeAutospacing="0" w:after="0" w:afterAutospacing="0"/>
        <w:ind w:left="450" w:hanging="450"/>
        <w:rPr>
          <w:color w:val="000000"/>
        </w:rPr>
      </w:pPr>
      <w:r>
        <w:rPr>
          <w:color w:val="000000"/>
        </w:rPr>
        <w:t>Kim, M., Lee, J., Kwon, H., &amp; Hur, J. (2022). Get off of chain: Unveiling dark web using multilayer Bitcoin address clustering.</w:t>
      </w:r>
      <w:r>
        <w:rPr>
          <w:rStyle w:val="apple-converted-space"/>
          <w:i/>
          <w:iCs/>
          <w:color w:val="000000"/>
        </w:rPr>
        <w:t> </w:t>
      </w:r>
      <w:r>
        <w:rPr>
          <w:i/>
          <w:iCs/>
          <w:color w:val="000000"/>
        </w:rPr>
        <w:t>IEEE Access,</w:t>
      </w:r>
      <w:r>
        <w:rPr>
          <w:rStyle w:val="apple-converted-space"/>
          <w:i/>
          <w:iCs/>
          <w:color w:val="000000"/>
        </w:rPr>
        <w:t> </w:t>
      </w:r>
      <w:r>
        <w:rPr>
          <w:i/>
          <w:iCs/>
          <w:color w:val="000000"/>
        </w:rPr>
        <w:t>10</w:t>
      </w:r>
      <w:r>
        <w:rPr>
          <w:color w:val="000000"/>
        </w:rPr>
        <w:t>, 70078-70091. doi:10.1109/ACCESS.2022.3187210</w:t>
      </w:r>
    </w:p>
    <w:p w14:paraId="778D983B" w14:textId="77777777" w:rsidR="007267BF" w:rsidRPr="00947652" w:rsidRDefault="007267BF" w:rsidP="00CB73D6">
      <w:pPr>
        <w:widowControl w:val="0"/>
        <w:autoSpaceDE w:val="0"/>
        <w:autoSpaceDN w:val="0"/>
        <w:adjustRightInd w:val="0"/>
        <w:ind w:left="480" w:hanging="480"/>
        <w:contextualSpacing/>
        <w:rPr>
          <w:noProof/>
        </w:rPr>
      </w:pPr>
      <w:r w:rsidRPr="00947652">
        <w:rPr>
          <w:noProof/>
        </w:rPr>
        <w:t xml:space="preserve">Li, T., Shin, D., &amp; Wang, B. (2018). Cryptocurrency Pump-and-Dump Schemes. </w:t>
      </w:r>
      <w:r w:rsidRPr="00947652">
        <w:rPr>
          <w:i/>
          <w:iCs/>
          <w:noProof/>
        </w:rPr>
        <w:t>SSRN Electronic Journal</w:t>
      </w:r>
      <w:r w:rsidRPr="00947652">
        <w:rPr>
          <w:noProof/>
        </w:rPr>
        <w:t>. https://doi.org/10.2139/ssrn.3267041</w:t>
      </w:r>
    </w:p>
    <w:p w14:paraId="0E160261" w14:textId="77777777" w:rsidR="005726E4" w:rsidRDefault="005726E4" w:rsidP="00CB73D6">
      <w:pPr>
        <w:pStyle w:val="NormalWeb"/>
        <w:spacing w:before="0" w:beforeAutospacing="0" w:after="0" w:afterAutospacing="0"/>
        <w:ind w:left="450" w:hanging="450"/>
        <w:rPr>
          <w:color w:val="000000"/>
        </w:rPr>
      </w:pPr>
      <w:r>
        <w:rPr>
          <w:color w:val="000000"/>
        </w:rPr>
        <w:t>Liu, X. F., Jiang, X., Liu, S., &amp; Tse, C. K. (2021a). Knowledge discovery in cryptocurrency transactions: A survey.</w:t>
      </w:r>
      <w:r>
        <w:rPr>
          <w:rStyle w:val="apple-converted-space"/>
          <w:i/>
          <w:iCs/>
          <w:color w:val="000000"/>
        </w:rPr>
        <w:t> </w:t>
      </w:r>
      <w:r>
        <w:rPr>
          <w:i/>
          <w:iCs/>
          <w:color w:val="000000"/>
        </w:rPr>
        <w:t>IEEE Access,</w:t>
      </w:r>
      <w:r>
        <w:rPr>
          <w:rStyle w:val="apple-converted-space"/>
          <w:i/>
          <w:iCs/>
          <w:color w:val="000000"/>
        </w:rPr>
        <w:t> </w:t>
      </w:r>
      <w:r>
        <w:rPr>
          <w:i/>
          <w:iCs/>
          <w:color w:val="000000"/>
        </w:rPr>
        <w:t>9</w:t>
      </w:r>
      <w:r>
        <w:rPr>
          <w:color w:val="000000"/>
        </w:rPr>
        <w:t>, 37229-37254. doi:10.1109/ACCESS.2021.3062652</w:t>
      </w:r>
    </w:p>
    <w:p w14:paraId="7D65E8EC" w14:textId="77777777" w:rsidR="005726E4" w:rsidRPr="00CB73D6" w:rsidRDefault="005726E4" w:rsidP="00CB73D6">
      <w:pPr>
        <w:pStyle w:val="NormalWeb"/>
        <w:spacing w:before="0" w:beforeAutospacing="0" w:after="0" w:afterAutospacing="0"/>
        <w:ind w:left="450" w:hanging="450"/>
        <w:rPr>
          <w:color w:val="000000"/>
        </w:rPr>
      </w:pPr>
      <w:r>
        <w:rPr>
          <w:color w:val="000000"/>
        </w:rPr>
        <w:t>Liu, X. F., Ren, H., Liu, S., &amp; Jiang, X. (2021b). Characterizing key agents in the cryptocurrency economy through blockchain transaction analysis.</w:t>
      </w:r>
      <w:r>
        <w:rPr>
          <w:rStyle w:val="apple-converted-space"/>
          <w:i/>
          <w:iCs/>
          <w:color w:val="000000"/>
        </w:rPr>
        <w:t> </w:t>
      </w:r>
      <w:r>
        <w:rPr>
          <w:i/>
          <w:iCs/>
          <w:color w:val="000000"/>
        </w:rPr>
        <w:t>EPJ Data Science,</w:t>
      </w:r>
      <w:r>
        <w:rPr>
          <w:rStyle w:val="apple-converted-space"/>
          <w:i/>
          <w:iCs/>
          <w:color w:val="000000"/>
        </w:rPr>
        <w:t> </w:t>
      </w:r>
      <w:r>
        <w:rPr>
          <w:i/>
          <w:iCs/>
          <w:color w:val="000000"/>
        </w:rPr>
        <w:t>10</w:t>
      </w:r>
      <w:r>
        <w:rPr>
          <w:color w:val="000000"/>
        </w:rPr>
        <w:t>(1), 1-13. doi:10.1140/epjds/s13688-021-00276-9</w:t>
      </w:r>
    </w:p>
    <w:p w14:paraId="49A5B3F3" w14:textId="77777777" w:rsidR="00C867FC" w:rsidRPr="00947652" w:rsidRDefault="00C867FC" w:rsidP="00CB73D6">
      <w:pPr>
        <w:contextualSpacing/>
        <w:rPr>
          <w:rFonts w:eastAsia="Times New Roman"/>
        </w:rPr>
      </w:pPr>
      <w:r w:rsidRPr="00947652">
        <w:rPr>
          <w:rFonts w:eastAsia="Times New Roman"/>
        </w:rPr>
        <w:t xml:space="preserve">Livni, E. (2021). Tesla will accept Bitcoin as payment, Elon Musk says. The New York Times. </w:t>
      </w:r>
    </w:p>
    <w:p w14:paraId="74F541D3" w14:textId="77777777" w:rsidR="00C867FC" w:rsidRPr="00947652" w:rsidRDefault="00C867FC" w:rsidP="00CB73D6">
      <w:pPr>
        <w:widowControl w:val="0"/>
        <w:autoSpaceDE w:val="0"/>
        <w:autoSpaceDN w:val="0"/>
        <w:adjustRightInd w:val="0"/>
        <w:ind w:firstLine="480"/>
        <w:contextualSpacing/>
        <w:rPr>
          <w:noProof/>
        </w:rPr>
      </w:pPr>
      <w:r w:rsidRPr="00947652">
        <w:rPr>
          <w:rFonts w:eastAsia="Times New Roman"/>
        </w:rPr>
        <w:t xml:space="preserve">Available at https://www.nytimes.com/2021/03/24/business/elon-musk-tesla-bitcoin.html  </w:t>
      </w:r>
    </w:p>
    <w:p w14:paraId="7FEB1F9A" w14:textId="77777777" w:rsidR="00C867FC" w:rsidRPr="00947652" w:rsidRDefault="00C867FC" w:rsidP="00CB73D6">
      <w:pPr>
        <w:contextualSpacing/>
      </w:pPr>
      <w:r w:rsidRPr="00947652">
        <w:t xml:space="preserve">Lopatto, E. (2022). Hy Ukrainians are fundraising in cryptocurrency. The Verge. Available at </w:t>
      </w:r>
    </w:p>
    <w:p w14:paraId="7A286322" w14:textId="77777777" w:rsidR="00C867FC" w:rsidRPr="00947652" w:rsidRDefault="00C867FC" w:rsidP="00CB73D6">
      <w:pPr>
        <w:tabs>
          <w:tab w:val="left" w:pos="450"/>
        </w:tabs>
        <w:ind w:left="720" w:hanging="270"/>
        <w:contextualSpacing/>
      </w:pPr>
      <w:r w:rsidRPr="00947652">
        <w:t>https://www.theverge.com/2022/2/26/22952357/ukraine-bitcoin-ethereum-donation-vitalikbuterin</w:t>
      </w:r>
    </w:p>
    <w:p w14:paraId="7A7009DB" w14:textId="77777777" w:rsidR="00C867FC" w:rsidRPr="00947652" w:rsidRDefault="00C867FC" w:rsidP="00CB73D6">
      <w:pPr>
        <w:contextualSpacing/>
      </w:pPr>
      <w:r w:rsidRPr="00947652">
        <w:t xml:space="preserve">Manhattan’s DA Office (n.d.). NFT Scans and Frauds. Available at </w:t>
      </w:r>
    </w:p>
    <w:p w14:paraId="3737162A" w14:textId="77777777" w:rsidR="00C867FC" w:rsidRPr="00947652" w:rsidRDefault="00C867FC" w:rsidP="00CB73D6">
      <w:pPr>
        <w:ind w:firstLine="450"/>
        <w:contextualSpacing/>
      </w:pPr>
      <w:r w:rsidRPr="00947652">
        <w:t xml:space="preserve">https://www.manhattanda.org/nft-scams-and-frauds/ </w:t>
      </w:r>
    </w:p>
    <w:p w14:paraId="575A099F" w14:textId="77777777" w:rsidR="007267BF" w:rsidRPr="00947652" w:rsidRDefault="007267BF" w:rsidP="00CB73D6">
      <w:pPr>
        <w:widowControl w:val="0"/>
        <w:autoSpaceDE w:val="0"/>
        <w:autoSpaceDN w:val="0"/>
        <w:adjustRightInd w:val="0"/>
        <w:ind w:left="480" w:hanging="480"/>
        <w:contextualSpacing/>
        <w:rPr>
          <w:noProof/>
        </w:rPr>
      </w:pPr>
      <w:r w:rsidRPr="00947652">
        <w:rPr>
          <w:noProof/>
        </w:rPr>
        <w:t xml:space="preserve">Meiklejohn, S., Pomarole, M., Jordan, G., Levchenko, K., McCoy, D., Voelker, G. M., &amp; Savage, S. (2013). A fistful of bitcoins: Characterizing payments among men with no names. </w:t>
      </w:r>
      <w:r w:rsidRPr="00947652">
        <w:rPr>
          <w:i/>
          <w:iCs/>
          <w:noProof/>
        </w:rPr>
        <w:t>Proceedings of the ACM SIGCOMM Internet Measurement Conference, IMC</w:t>
      </w:r>
      <w:r w:rsidRPr="00947652">
        <w:rPr>
          <w:noProof/>
        </w:rPr>
        <w:t>, 127–139. https://doi.org/10.1145/2504730.2504747</w:t>
      </w:r>
    </w:p>
    <w:p w14:paraId="342FF3BA" w14:textId="77777777" w:rsidR="00C867FC" w:rsidRPr="00947652" w:rsidRDefault="00C867FC" w:rsidP="00CB73D6">
      <w:pPr>
        <w:contextualSpacing/>
      </w:pPr>
      <w:r w:rsidRPr="00947652">
        <w:t xml:space="preserve">The Monero Project (2022). What is Monero (XMR)? Available at </w:t>
      </w:r>
    </w:p>
    <w:p w14:paraId="2EA5EDAE" w14:textId="77777777" w:rsidR="00C867FC" w:rsidRPr="00947652" w:rsidRDefault="00C867FC" w:rsidP="00CB73D6">
      <w:pPr>
        <w:ind w:firstLine="450"/>
        <w:contextualSpacing/>
      </w:pPr>
      <w:r w:rsidRPr="00947652">
        <w:t xml:space="preserve">https://www.getmonero.org/get-started/what-is-monero/ </w:t>
      </w:r>
    </w:p>
    <w:p w14:paraId="2E9BEE26" w14:textId="77777777" w:rsidR="00E77F9A" w:rsidRDefault="00E77F9A" w:rsidP="00CB73D6">
      <w:pPr>
        <w:pStyle w:val="NormalWeb"/>
        <w:spacing w:before="0" w:beforeAutospacing="0" w:after="0" w:afterAutospacing="0"/>
        <w:ind w:left="450" w:hanging="450"/>
        <w:contextualSpacing/>
        <w:rPr>
          <w:color w:val="000000"/>
        </w:rPr>
      </w:pPr>
      <w:r w:rsidRPr="00947652">
        <w:rPr>
          <w:color w:val="000000"/>
        </w:rPr>
        <w:t>Monk, B., Mitchell, J., Frank, R., &amp; Davies, G. (2018). Uncovering Tor: An examination of the network structure.</w:t>
      </w:r>
      <w:r w:rsidRPr="00947652">
        <w:rPr>
          <w:rStyle w:val="apple-converted-space"/>
          <w:i/>
          <w:iCs/>
          <w:color w:val="000000"/>
        </w:rPr>
        <w:t> </w:t>
      </w:r>
      <w:r w:rsidRPr="00947652">
        <w:rPr>
          <w:i/>
          <w:iCs/>
          <w:color w:val="000000"/>
        </w:rPr>
        <w:t>Security and Communication Networks,</w:t>
      </w:r>
      <w:r w:rsidRPr="00947652">
        <w:rPr>
          <w:rStyle w:val="apple-converted-space"/>
          <w:i/>
          <w:iCs/>
          <w:color w:val="000000"/>
        </w:rPr>
        <w:t> </w:t>
      </w:r>
      <w:r w:rsidRPr="00947652">
        <w:rPr>
          <w:i/>
          <w:iCs/>
          <w:color w:val="000000"/>
        </w:rPr>
        <w:t>2018</w:t>
      </w:r>
      <w:r w:rsidRPr="00947652">
        <w:rPr>
          <w:color w:val="000000"/>
        </w:rPr>
        <w:t>, 1-12. doi:10.1155/2018/4231326</w:t>
      </w:r>
    </w:p>
    <w:p w14:paraId="2F0BFBA7" w14:textId="77777777" w:rsidR="005726E4" w:rsidRPr="00947652" w:rsidRDefault="005726E4" w:rsidP="00CB73D6">
      <w:pPr>
        <w:pStyle w:val="NormalWeb"/>
        <w:spacing w:before="0" w:beforeAutospacing="0" w:after="0" w:afterAutospacing="0"/>
        <w:ind w:left="450" w:hanging="450"/>
        <w:rPr>
          <w:color w:val="000000"/>
        </w:rPr>
      </w:pPr>
      <w:r>
        <w:rPr>
          <w:color w:val="000000"/>
        </w:rPr>
        <w:t>Moore, D., &amp; Rid, T. (2016). Cryptopolitik and the darknet.</w:t>
      </w:r>
      <w:r>
        <w:rPr>
          <w:rStyle w:val="apple-converted-space"/>
          <w:i/>
          <w:iCs/>
          <w:color w:val="000000"/>
        </w:rPr>
        <w:t> </w:t>
      </w:r>
      <w:r>
        <w:rPr>
          <w:i/>
          <w:iCs/>
          <w:color w:val="000000"/>
        </w:rPr>
        <w:t>Survival (London),</w:t>
      </w:r>
      <w:r>
        <w:rPr>
          <w:rStyle w:val="apple-converted-space"/>
          <w:i/>
          <w:iCs/>
          <w:color w:val="000000"/>
        </w:rPr>
        <w:t> </w:t>
      </w:r>
      <w:r>
        <w:rPr>
          <w:i/>
          <w:iCs/>
          <w:color w:val="000000"/>
        </w:rPr>
        <w:t>58</w:t>
      </w:r>
      <w:r>
        <w:rPr>
          <w:color w:val="000000"/>
        </w:rPr>
        <w:t>(1), 7-38. doi:10.1080/00396338.2016.1142085</w:t>
      </w:r>
    </w:p>
    <w:p w14:paraId="79C1F2F5" w14:textId="77777777" w:rsidR="007267BF" w:rsidRPr="00947652" w:rsidRDefault="007267BF" w:rsidP="00CB73D6">
      <w:pPr>
        <w:widowControl w:val="0"/>
        <w:autoSpaceDE w:val="0"/>
        <w:autoSpaceDN w:val="0"/>
        <w:adjustRightInd w:val="0"/>
        <w:ind w:left="480" w:hanging="480"/>
        <w:contextualSpacing/>
        <w:rPr>
          <w:noProof/>
        </w:rPr>
      </w:pPr>
      <w:r w:rsidRPr="00947652">
        <w:rPr>
          <w:noProof/>
        </w:rPr>
        <w:t xml:space="preserve">Nakamoto, S. (2008). Re: Bitcoin P2P e-cash paper. </w:t>
      </w:r>
      <w:r w:rsidRPr="00947652">
        <w:rPr>
          <w:i/>
          <w:iCs/>
          <w:noProof/>
        </w:rPr>
        <w:t>The Cryptography Mailing List</w:t>
      </w:r>
      <w:r w:rsidRPr="00947652">
        <w:rPr>
          <w:noProof/>
        </w:rPr>
        <w:t>.</w:t>
      </w:r>
    </w:p>
    <w:p w14:paraId="2092912C" w14:textId="77777777" w:rsidR="007267BF" w:rsidRPr="00947652" w:rsidRDefault="007267BF" w:rsidP="00CB73D6">
      <w:pPr>
        <w:widowControl w:val="0"/>
        <w:autoSpaceDE w:val="0"/>
        <w:autoSpaceDN w:val="0"/>
        <w:adjustRightInd w:val="0"/>
        <w:ind w:left="480" w:hanging="480"/>
        <w:contextualSpacing/>
        <w:rPr>
          <w:noProof/>
        </w:rPr>
      </w:pPr>
      <w:r w:rsidRPr="00947652">
        <w:rPr>
          <w:noProof/>
        </w:rPr>
        <w:t xml:space="preserve">Office of Public Affairs. (2017). AlphaBay, the Largest Online “Dark Market,” Shut Down | OPA | Department of Justice. </w:t>
      </w:r>
      <w:r w:rsidRPr="00947652">
        <w:rPr>
          <w:i/>
          <w:iCs/>
          <w:noProof/>
        </w:rPr>
        <w:t>Justice News</w:t>
      </w:r>
      <w:r w:rsidRPr="00947652">
        <w:rPr>
          <w:noProof/>
        </w:rPr>
        <w:t>. https://www.justice.gov/opa/pr/alphabay-largest-online-dark-market-shut-down</w:t>
      </w:r>
    </w:p>
    <w:p w14:paraId="31D81BAD" w14:textId="77777777" w:rsidR="00077B7E" w:rsidRDefault="00077B7E" w:rsidP="00CB73D6">
      <w:pPr>
        <w:rPr>
          <w:rFonts w:eastAsia="Times New Roman"/>
        </w:rPr>
      </w:pPr>
      <w:r w:rsidRPr="00077B7E">
        <w:rPr>
          <w:rFonts w:eastAsia="Times New Roman"/>
        </w:rPr>
        <w:t xml:space="preserve">Ouellet, M., Maimon, D., Howell, C. J., &amp; Wu, Y. (2022). The network of online stolen data </w:t>
      </w:r>
    </w:p>
    <w:p w14:paraId="4AAA9BC1" w14:textId="77777777" w:rsidR="00077B7E" w:rsidRPr="00CB73D6" w:rsidRDefault="00077B7E" w:rsidP="00CB73D6">
      <w:pPr>
        <w:ind w:firstLine="450"/>
        <w:rPr>
          <w:rFonts w:eastAsia="Times New Roman"/>
        </w:rPr>
      </w:pPr>
      <w:r w:rsidRPr="00077B7E">
        <w:rPr>
          <w:rFonts w:eastAsia="Times New Roman"/>
        </w:rPr>
        <w:t>markets: How vendor flows connect digital marketplaces.</w:t>
      </w:r>
    </w:p>
    <w:p w14:paraId="0E262823" w14:textId="77777777" w:rsidR="00E77F9A" w:rsidRPr="00947652" w:rsidRDefault="00E77F9A" w:rsidP="00CB73D6">
      <w:pPr>
        <w:pStyle w:val="NormalWeb"/>
        <w:spacing w:before="0" w:beforeAutospacing="0" w:after="0" w:afterAutospacing="0"/>
        <w:ind w:left="450" w:hanging="450"/>
        <w:contextualSpacing/>
        <w:rPr>
          <w:color w:val="000000"/>
        </w:rPr>
      </w:pPr>
      <w:r w:rsidRPr="00947652">
        <w:rPr>
          <w:color w:val="000000"/>
        </w:rPr>
        <w:t>Paquet-Clouston, M., Décary-Hétu, D., &amp; Morselli, C. (2018). Assessing market competition and vendors’ size and scope on AlphaBay.</w:t>
      </w:r>
      <w:r w:rsidRPr="00947652">
        <w:rPr>
          <w:rStyle w:val="apple-converted-space"/>
          <w:i/>
          <w:iCs/>
          <w:color w:val="000000"/>
        </w:rPr>
        <w:t> </w:t>
      </w:r>
      <w:r w:rsidRPr="00947652">
        <w:rPr>
          <w:i/>
          <w:iCs/>
          <w:color w:val="000000"/>
        </w:rPr>
        <w:t>The International Journal of Drug Policy,</w:t>
      </w:r>
      <w:r w:rsidRPr="00947652">
        <w:rPr>
          <w:rStyle w:val="apple-converted-space"/>
          <w:i/>
          <w:iCs/>
          <w:color w:val="000000"/>
        </w:rPr>
        <w:t> </w:t>
      </w:r>
      <w:r w:rsidRPr="00947652">
        <w:rPr>
          <w:i/>
          <w:iCs/>
          <w:color w:val="000000"/>
        </w:rPr>
        <w:t>54</w:t>
      </w:r>
      <w:r w:rsidRPr="00947652">
        <w:rPr>
          <w:color w:val="000000"/>
        </w:rPr>
        <w:t>, 87-98. doi:10.1016/j.drugpo.2018.01.003</w:t>
      </w:r>
    </w:p>
    <w:p w14:paraId="68DE8534" w14:textId="77777777" w:rsidR="00C867FC" w:rsidRPr="00947652" w:rsidRDefault="00C867FC" w:rsidP="00CB73D6">
      <w:pPr>
        <w:contextualSpacing/>
        <w:rPr>
          <w:rStyle w:val="Hyperlink"/>
          <w:color w:val="auto"/>
          <w:u w:val="none"/>
        </w:rPr>
      </w:pPr>
      <w:r w:rsidRPr="00947652">
        <w:rPr>
          <w:rStyle w:val="Hyperlink"/>
          <w:color w:val="auto"/>
          <w:u w:val="none"/>
        </w:rPr>
        <w:t xml:space="preserve">Paybis.com (2021). 163 companies that accept bitcoin. Available at </w:t>
      </w:r>
    </w:p>
    <w:p w14:paraId="3BA90876" w14:textId="77777777" w:rsidR="00C867FC" w:rsidRPr="00947652" w:rsidRDefault="00C867FC" w:rsidP="00CB73D6">
      <w:pPr>
        <w:ind w:firstLine="540"/>
        <w:contextualSpacing/>
      </w:pPr>
      <w:r w:rsidRPr="00947652">
        <w:rPr>
          <w:rStyle w:val="Hyperlink"/>
          <w:color w:val="auto"/>
          <w:u w:val="none"/>
        </w:rPr>
        <w:t>https://paybis.com/blog/companies-that-accept-bitcoin/</w:t>
      </w:r>
    </w:p>
    <w:p w14:paraId="5EB67846" w14:textId="77777777" w:rsidR="00C867FC" w:rsidRPr="00947652" w:rsidRDefault="00C867FC" w:rsidP="00CB73D6">
      <w:pPr>
        <w:contextualSpacing/>
      </w:pPr>
      <w:r w:rsidRPr="00947652">
        <w:t xml:space="preserve">Perlroth, N., Griffith, E., and Benner, K. (2021). Pipeline investigation upends idea that Bitcoin </w:t>
      </w:r>
    </w:p>
    <w:p w14:paraId="1930F45E" w14:textId="77777777" w:rsidR="00C867FC" w:rsidRDefault="00C867FC" w:rsidP="00CB73D6">
      <w:pPr>
        <w:ind w:left="540"/>
        <w:contextualSpacing/>
      </w:pPr>
      <w:r w:rsidRPr="00947652">
        <w:t xml:space="preserve">is untraceable. The New York Times. Available at https://www.nytimes.com/2021/06/09/technology/bitcoin-untraceable-pipeline-ransomware.html </w:t>
      </w:r>
    </w:p>
    <w:p w14:paraId="061B72F3" w14:textId="77777777" w:rsidR="00CB73D6" w:rsidRDefault="00CB73D6" w:rsidP="00CB73D6">
      <w:pPr>
        <w:pStyle w:val="NormalWeb"/>
        <w:spacing w:before="0" w:beforeAutospacing="0" w:after="0" w:afterAutospacing="0"/>
        <w:ind w:left="450" w:hanging="450"/>
        <w:rPr>
          <w:color w:val="000000"/>
        </w:rPr>
      </w:pPr>
      <w:r>
        <w:rPr>
          <w:color w:val="000000"/>
        </w:rPr>
        <w:lastRenderedPageBreak/>
        <w:t>Reid, F., &amp; Harrigan, M. (2011). An analysis of anonymity in the Bitcoin system.</w:t>
      </w:r>
      <w:r>
        <w:rPr>
          <w:rStyle w:val="apple-converted-space"/>
          <w:color w:val="000000"/>
        </w:rPr>
        <w:t> </w:t>
      </w:r>
      <w:r>
        <w:rPr>
          <w:i/>
          <w:iCs/>
          <w:color w:val="000000"/>
        </w:rPr>
        <w:t>Security and privacy in social networks</w:t>
      </w:r>
      <w:r>
        <w:rPr>
          <w:rStyle w:val="apple-converted-space"/>
          <w:color w:val="000000"/>
        </w:rPr>
        <w:t> </w:t>
      </w:r>
      <w:r>
        <w:rPr>
          <w:color w:val="000000"/>
        </w:rPr>
        <w:t>(pp. 197-223). New York, NY: Springer New York. doi:10.1007/978-1-4614-4139-7_10</w:t>
      </w:r>
    </w:p>
    <w:p w14:paraId="66157B9D" w14:textId="77777777" w:rsidR="00324D4A" w:rsidRDefault="00324D4A" w:rsidP="00324D4A">
      <w:pPr>
        <w:rPr>
          <w:rFonts w:eastAsia="Times New Roman"/>
        </w:rPr>
      </w:pPr>
      <w:r w:rsidRPr="00324D4A">
        <w:rPr>
          <w:rFonts w:eastAsia="Times New Roman"/>
        </w:rPr>
        <w:t xml:space="preserve">Politou, E., Casino, F., Alepis, E., &amp; Patsakis, C. (2019). Blockchain mutability: Challenges and </w:t>
      </w:r>
    </w:p>
    <w:p w14:paraId="61341DBC" w14:textId="77777777" w:rsidR="00324D4A" w:rsidRPr="00324D4A" w:rsidRDefault="00324D4A" w:rsidP="00324D4A">
      <w:pPr>
        <w:ind w:firstLine="450"/>
        <w:rPr>
          <w:rFonts w:eastAsia="Times New Roman"/>
        </w:rPr>
      </w:pPr>
      <w:r w:rsidRPr="00324D4A">
        <w:rPr>
          <w:rFonts w:eastAsia="Times New Roman"/>
        </w:rPr>
        <w:t xml:space="preserve">proposed solutions. </w:t>
      </w:r>
      <w:r w:rsidRPr="00324D4A">
        <w:rPr>
          <w:rFonts w:eastAsia="Times New Roman"/>
          <w:i/>
          <w:iCs/>
        </w:rPr>
        <w:t>IEEE Transactions on Emerging Topics in Computing</w:t>
      </w:r>
      <w:r w:rsidRPr="00324D4A">
        <w:rPr>
          <w:rFonts w:eastAsia="Times New Roman"/>
        </w:rPr>
        <w:t xml:space="preserve">, </w:t>
      </w:r>
      <w:r w:rsidRPr="00324D4A">
        <w:rPr>
          <w:rFonts w:eastAsia="Times New Roman"/>
          <w:i/>
          <w:iCs/>
        </w:rPr>
        <w:t>9</w:t>
      </w:r>
      <w:r w:rsidRPr="00324D4A">
        <w:rPr>
          <w:rFonts w:eastAsia="Times New Roman"/>
        </w:rPr>
        <w:t>(4), 1972-1986.</w:t>
      </w:r>
    </w:p>
    <w:p w14:paraId="27659E20" w14:textId="77777777" w:rsidR="00CB73D6" w:rsidRPr="00CB73D6" w:rsidRDefault="00CB73D6" w:rsidP="00CB73D6">
      <w:pPr>
        <w:pStyle w:val="NormalWeb"/>
        <w:spacing w:before="0" w:beforeAutospacing="0" w:after="0" w:afterAutospacing="0"/>
        <w:ind w:left="450" w:hanging="450"/>
        <w:rPr>
          <w:color w:val="000000"/>
        </w:rPr>
      </w:pPr>
      <w:r>
        <w:rPr>
          <w:color w:val="000000"/>
        </w:rPr>
        <w:t>Ron, D., &amp; Shamir, A. (2013). Quantitative analysis of the full bitcoin transaction graph.</w:t>
      </w:r>
      <w:r>
        <w:rPr>
          <w:rStyle w:val="apple-converted-space"/>
          <w:color w:val="000000"/>
        </w:rPr>
        <w:t> </w:t>
      </w:r>
      <w:r>
        <w:rPr>
          <w:i/>
          <w:iCs/>
          <w:color w:val="000000"/>
        </w:rPr>
        <w:t>Financial cryptography and data security</w:t>
      </w:r>
      <w:r>
        <w:rPr>
          <w:rStyle w:val="apple-converted-space"/>
          <w:color w:val="000000"/>
        </w:rPr>
        <w:t> </w:t>
      </w:r>
      <w:r>
        <w:rPr>
          <w:color w:val="000000"/>
        </w:rPr>
        <w:t>(pp. 6-24). Berlin, Heidelberg: Springer Berlin Heidelberg. doi:10.1007/978-3-642-39884-1_2</w:t>
      </w:r>
    </w:p>
    <w:p w14:paraId="006FE987" w14:textId="77777777" w:rsidR="00E77F9A" w:rsidRPr="00947652" w:rsidRDefault="00E77F9A" w:rsidP="00CB73D6">
      <w:pPr>
        <w:pStyle w:val="NormalWeb"/>
        <w:spacing w:before="0" w:beforeAutospacing="0" w:after="0" w:afterAutospacing="0"/>
        <w:ind w:left="450" w:hanging="450"/>
        <w:contextualSpacing/>
        <w:rPr>
          <w:rStyle w:val="Hyperlink"/>
          <w:color w:val="000000"/>
          <w:u w:val="none"/>
        </w:rPr>
      </w:pPr>
      <w:r w:rsidRPr="00947652">
        <w:rPr>
          <w:color w:val="000000"/>
        </w:rPr>
        <w:t>Srivathsav, R. (2018). TOR nodes explained. Retrieved from</w:t>
      </w:r>
      <w:r w:rsidRPr="00947652">
        <w:rPr>
          <w:rStyle w:val="apple-converted-space"/>
          <w:color w:val="000000"/>
        </w:rPr>
        <w:t> </w:t>
      </w:r>
      <w:r w:rsidRPr="00947652">
        <w:rPr>
          <w:color w:val="000000"/>
        </w:rPr>
        <w:t>https://medium.com/</w:t>
      </w:r>
      <w:r w:rsidRPr="00947652">
        <w:rPr>
          <w:color w:val="000000"/>
        </w:rPr>
        <w:br/>
        <w:t>coinmonks/tor-nodes-explained-580808c29e2d</w:t>
      </w:r>
    </w:p>
    <w:p w14:paraId="605E807C" w14:textId="77777777" w:rsidR="00C867FC" w:rsidRPr="00947652" w:rsidRDefault="00C867FC" w:rsidP="00CB73D6">
      <w:pPr>
        <w:contextualSpacing/>
      </w:pPr>
      <w:r w:rsidRPr="00947652">
        <w:rPr>
          <w:rStyle w:val="Hyperlink"/>
          <w:color w:val="auto"/>
          <w:u w:val="none"/>
        </w:rPr>
        <w:t>Torproject.org (N.D.). TOR Project About. https://www.torproject.org/about</w:t>
      </w:r>
      <w:r w:rsidRPr="00947652">
        <w:t xml:space="preserve"> </w:t>
      </w:r>
    </w:p>
    <w:p w14:paraId="247407D7" w14:textId="77777777" w:rsidR="007267BF" w:rsidRPr="00947652" w:rsidRDefault="007267BF" w:rsidP="00CB73D6">
      <w:pPr>
        <w:widowControl w:val="0"/>
        <w:autoSpaceDE w:val="0"/>
        <w:autoSpaceDN w:val="0"/>
        <w:adjustRightInd w:val="0"/>
        <w:ind w:left="480" w:hanging="480"/>
        <w:contextualSpacing/>
        <w:rPr>
          <w:noProof/>
        </w:rPr>
      </w:pPr>
      <w:r w:rsidRPr="00947652">
        <w:rPr>
          <w:noProof/>
        </w:rPr>
        <w:t xml:space="preserve">Turner, A. B., McCombie, S., &amp; Uhlmann, A. J. (2020). Analysis Techniques for Illicit Bitcoin Transactions. </w:t>
      </w:r>
      <w:r w:rsidRPr="00947652">
        <w:rPr>
          <w:i/>
          <w:iCs/>
          <w:noProof/>
        </w:rPr>
        <w:t>Frontiers in Computer Science</w:t>
      </w:r>
      <w:r w:rsidRPr="00947652">
        <w:rPr>
          <w:noProof/>
        </w:rPr>
        <w:t xml:space="preserve">, </w:t>
      </w:r>
      <w:r w:rsidRPr="00947652">
        <w:rPr>
          <w:i/>
          <w:iCs/>
          <w:noProof/>
        </w:rPr>
        <w:t>2</w:t>
      </w:r>
      <w:r w:rsidRPr="00947652">
        <w:rPr>
          <w:noProof/>
        </w:rPr>
        <w:t>, 53. https://doi.org/10.3389/fcomp.2020.600596</w:t>
      </w:r>
    </w:p>
    <w:p w14:paraId="125D8C8A" w14:textId="77777777" w:rsidR="00672D1E" w:rsidRPr="00947652" w:rsidRDefault="00672D1E" w:rsidP="00CB73D6">
      <w:pPr>
        <w:pStyle w:val="NormalWeb"/>
        <w:spacing w:before="0" w:beforeAutospacing="0" w:after="0" w:afterAutospacing="0"/>
        <w:ind w:left="450" w:hanging="450"/>
        <w:contextualSpacing/>
        <w:rPr>
          <w:color w:val="000000"/>
        </w:rPr>
      </w:pPr>
      <w:r w:rsidRPr="00947652">
        <w:rPr>
          <w:color w:val="000000"/>
        </w:rPr>
        <w:t>Types of relays on the Tor network. Retrieved from</w:t>
      </w:r>
      <w:r w:rsidRPr="00947652">
        <w:rPr>
          <w:rStyle w:val="apple-converted-space"/>
          <w:color w:val="000000"/>
        </w:rPr>
        <w:t> </w:t>
      </w:r>
      <w:r w:rsidRPr="00947652">
        <w:rPr>
          <w:color w:val="000000"/>
        </w:rPr>
        <w:t>https://community.torproject.org/relay/types-of-relays/</w:t>
      </w:r>
    </w:p>
    <w:p w14:paraId="29E53DE9" w14:textId="77777777" w:rsidR="003D0213" w:rsidRDefault="003D0213" w:rsidP="00CB73D6">
      <w:pPr>
        <w:contextualSpacing/>
      </w:pPr>
      <w:r>
        <w:t xml:space="preserve">United States Department of Justice (USDOJ). (2018). Report of the Attorney General’s Cyber </w:t>
      </w:r>
    </w:p>
    <w:p w14:paraId="5A84DAD3" w14:textId="77777777" w:rsidR="003D0213" w:rsidRDefault="003D0213" w:rsidP="00CB73D6">
      <w:pPr>
        <w:ind w:firstLine="450"/>
        <w:contextualSpacing/>
      </w:pPr>
      <w:r>
        <w:t>Digital Task Force.</w:t>
      </w:r>
    </w:p>
    <w:p w14:paraId="35CBBFEC" w14:textId="77777777" w:rsidR="00C867FC" w:rsidRPr="00947652" w:rsidRDefault="00C867FC" w:rsidP="00CB73D6">
      <w:pPr>
        <w:contextualSpacing/>
      </w:pPr>
      <w:r w:rsidRPr="00947652">
        <w:t>United States of America v. Alexandre Cazes (Eastern District of California, 2017). moz-</w:t>
      </w:r>
    </w:p>
    <w:p w14:paraId="648E9075" w14:textId="77777777" w:rsidR="00C867FC" w:rsidRPr="00947652" w:rsidRDefault="00C867FC" w:rsidP="00CB73D6">
      <w:pPr>
        <w:ind w:left="480"/>
        <w:contextualSpacing/>
      </w:pPr>
      <w:r w:rsidRPr="00947652">
        <w:t xml:space="preserve">extension://0985a359-41c9-44cf-a2fc-9ef524a49fcb/enhanced-reader.html?openApp&amp;pdf=https%3A%2F%2Fwww.justice.gov%2Fopa%2Fpress-release%2Ffile%2F982821%2Fdownload  </w:t>
      </w:r>
    </w:p>
    <w:p w14:paraId="4C48BC88" w14:textId="77777777" w:rsidR="007267BF" w:rsidRPr="00947652" w:rsidRDefault="007267BF" w:rsidP="00CB73D6">
      <w:pPr>
        <w:widowControl w:val="0"/>
        <w:autoSpaceDE w:val="0"/>
        <w:autoSpaceDN w:val="0"/>
        <w:adjustRightInd w:val="0"/>
        <w:ind w:left="480" w:hanging="480"/>
        <w:contextualSpacing/>
        <w:rPr>
          <w:noProof/>
        </w:rPr>
      </w:pPr>
      <w:r w:rsidRPr="00947652">
        <w:rPr>
          <w:noProof/>
        </w:rPr>
        <w:t xml:space="preserve">Van Buskirk, J., Roxburgh, A., Bruno, R., Naicker, S., Lenton, S., Sutherland, R., Whittaker, E., Sindicich, N., Matthews, A., Butler, K., &amp; Burns, L. (2016). Characterising dark net marketplace purchasers in a sample of regular psychostimulant users. </w:t>
      </w:r>
      <w:r w:rsidRPr="00947652">
        <w:rPr>
          <w:i/>
          <w:iCs/>
          <w:noProof/>
        </w:rPr>
        <w:t>International Journal of Drug Policy</w:t>
      </w:r>
      <w:r w:rsidRPr="00947652">
        <w:rPr>
          <w:noProof/>
        </w:rPr>
        <w:t xml:space="preserve">, </w:t>
      </w:r>
      <w:r w:rsidRPr="00947652">
        <w:rPr>
          <w:i/>
          <w:iCs/>
          <w:noProof/>
        </w:rPr>
        <w:t>35</w:t>
      </w:r>
      <w:r w:rsidRPr="00947652">
        <w:rPr>
          <w:noProof/>
        </w:rPr>
        <w:t>, 32–37. https://doi.org/10.1016/j.drugpo.2016.01.010</w:t>
      </w:r>
    </w:p>
    <w:p w14:paraId="1D759A0E" w14:textId="77777777" w:rsidR="008D4CE3" w:rsidRPr="00947652" w:rsidRDefault="008D4CE3" w:rsidP="00CB73D6">
      <w:pPr>
        <w:widowControl w:val="0"/>
        <w:autoSpaceDE w:val="0"/>
        <w:autoSpaceDN w:val="0"/>
        <w:adjustRightInd w:val="0"/>
        <w:ind w:left="480" w:hanging="480"/>
        <w:contextualSpacing/>
        <w:rPr>
          <w:noProof/>
        </w:rPr>
      </w:pPr>
      <w:r w:rsidRPr="00947652">
        <w:rPr>
          <w:noProof/>
        </w:rPr>
        <w:t xml:space="preserve">Van Wegberg, R., &amp; Verburgh, T. (2018). Lost in the dream? Measuring the effects of Operaion Beyonet on vendors migrating to Dream Market. In </w:t>
      </w:r>
      <w:r w:rsidRPr="00947652">
        <w:rPr>
          <w:i/>
          <w:iCs/>
          <w:noProof/>
        </w:rPr>
        <w:t>Evolution of the Darknet Workshop at the Web Science Conference (WebSci 18) (</w:t>
      </w:r>
      <w:r w:rsidRPr="00947652">
        <w:rPr>
          <w:noProof/>
        </w:rPr>
        <w:t xml:space="preserve">pp. 1-5). Association for Computing Machinary (ACM). </w:t>
      </w:r>
    </w:p>
    <w:p w14:paraId="43A3CD19" w14:textId="77777777" w:rsidR="00CB73D6" w:rsidRPr="00CB73D6" w:rsidRDefault="00CB73D6" w:rsidP="00CB73D6">
      <w:pPr>
        <w:pStyle w:val="NormalWeb"/>
        <w:spacing w:before="0" w:beforeAutospacing="0" w:after="0" w:afterAutospacing="0"/>
        <w:ind w:left="450" w:hanging="450"/>
        <w:rPr>
          <w:color w:val="000000"/>
        </w:rPr>
      </w:pPr>
      <w:r>
        <w:rPr>
          <w:color w:val="000000"/>
        </w:rPr>
        <w:t>Wu, J., Liu, J., Zhao, Y., &amp; Zheng, Z. (2021). Analysis of cryptocurrency transactions from a network perspective: An overview.</w:t>
      </w:r>
      <w:r>
        <w:rPr>
          <w:rStyle w:val="apple-converted-space"/>
          <w:i/>
          <w:iCs/>
          <w:color w:val="000000"/>
        </w:rPr>
        <w:t> </w:t>
      </w:r>
      <w:r>
        <w:rPr>
          <w:i/>
          <w:iCs/>
          <w:color w:val="000000"/>
        </w:rPr>
        <w:t>Journal of Network and Computer Applications,</w:t>
      </w:r>
      <w:r>
        <w:rPr>
          <w:rStyle w:val="apple-converted-space"/>
          <w:i/>
          <w:iCs/>
          <w:color w:val="000000"/>
        </w:rPr>
        <w:t> </w:t>
      </w:r>
      <w:r>
        <w:rPr>
          <w:i/>
          <w:iCs/>
          <w:color w:val="000000"/>
        </w:rPr>
        <w:t>190</w:t>
      </w:r>
      <w:r>
        <w:rPr>
          <w:color w:val="000000"/>
        </w:rPr>
        <w:t>, 103139. doi:10.1016/j.jnca.2021.103139</w:t>
      </w:r>
    </w:p>
    <w:p w14:paraId="7E0012E4" w14:textId="77777777" w:rsidR="007267BF" w:rsidRPr="00947652" w:rsidRDefault="007267BF" w:rsidP="00CB73D6">
      <w:pPr>
        <w:widowControl w:val="0"/>
        <w:autoSpaceDE w:val="0"/>
        <w:autoSpaceDN w:val="0"/>
        <w:adjustRightInd w:val="0"/>
        <w:ind w:left="480" w:hanging="480"/>
        <w:contextualSpacing/>
        <w:rPr>
          <w:noProof/>
        </w:rPr>
      </w:pPr>
      <w:r w:rsidRPr="00947652">
        <w:rPr>
          <w:noProof/>
        </w:rPr>
        <w:t xml:space="preserve">Young, M. D., Donley, M. A., Rubin, G. A., &amp; Kneller, T. M. (2016). </w:t>
      </w:r>
      <w:r w:rsidRPr="00947652">
        <w:rPr>
          <w:i/>
          <w:iCs/>
          <w:noProof/>
        </w:rPr>
        <w:t>Bitcoins and the Blockchain : The CFTC Takes Notice of Virtual Currencies Bitcoins and the Blockchain : The CFTC Takes Notice of Virtual Currencies</w:t>
      </w:r>
      <w:r w:rsidRPr="00947652">
        <w:rPr>
          <w:noProof/>
        </w:rPr>
        <w:t>. https://www.skadden.com/-/media/files/publications/2016/01/bitcoinsandtheblockchainthecftctakesnoticeofvirtua.pdf</w:t>
      </w:r>
    </w:p>
    <w:p w14:paraId="63E1BAB9" w14:textId="77777777" w:rsidR="007267BF" w:rsidRPr="00947652" w:rsidRDefault="007267BF" w:rsidP="00CB73D6">
      <w:pPr>
        <w:widowControl w:val="0"/>
        <w:autoSpaceDE w:val="0"/>
        <w:autoSpaceDN w:val="0"/>
        <w:adjustRightInd w:val="0"/>
        <w:ind w:left="480" w:hanging="480"/>
        <w:contextualSpacing/>
        <w:rPr>
          <w:noProof/>
        </w:rPr>
      </w:pPr>
      <w:r w:rsidRPr="00947652">
        <w:rPr>
          <w:noProof/>
        </w:rPr>
        <w:t xml:space="preserve">Zhang, Y., Wang, J., &amp; Luo, J. (2020). Heuristic-Based Address Clustering in Bitcoin. </w:t>
      </w:r>
      <w:r w:rsidRPr="00947652">
        <w:rPr>
          <w:i/>
          <w:iCs/>
          <w:noProof/>
        </w:rPr>
        <w:t>IEEE Access</w:t>
      </w:r>
      <w:r w:rsidRPr="00947652">
        <w:rPr>
          <w:noProof/>
        </w:rPr>
        <w:t xml:space="preserve">, </w:t>
      </w:r>
      <w:r w:rsidRPr="00947652">
        <w:rPr>
          <w:i/>
          <w:iCs/>
          <w:noProof/>
        </w:rPr>
        <w:t>8</w:t>
      </w:r>
      <w:r w:rsidRPr="00947652">
        <w:rPr>
          <w:noProof/>
        </w:rPr>
        <w:t>, 210582–210591. https://doi.org/10.1109/ACCESS.2020.3039570</w:t>
      </w:r>
      <w:r w:rsidR="00FE42FF" w:rsidRPr="00947652">
        <w:rPr>
          <w:noProof/>
        </w:rPr>
        <w:t xml:space="preserve"> </w:t>
      </w:r>
    </w:p>
    <w:p w14:paraId="65C53BD3" w14:textId="77777777" w:rsidR="006226B1" w:rsidRDefault="006226B1" w:rsidP="00947652">
      <w:pPr>
        <w:spacing w:line="480" w:lineRule="auto"/>
        <w:contextualSpacing/>
      </w:pPr>
    </w:p>
    <w:sectPr w:rsidR="006226B1">
      <w:headerReference w:type="default" r:id="rId14"/>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E2D5B7B" w14:textId="77777777" w:rsidR="00873053" w:rsidRDefault="00873053" w:rsidP="00E250D7">
      <w:r>
        <w:separator/>
      </w:r>
    </w:p>
  </w:endnote>
  <w:endnote w:type="continuationSeparator" w:id="0">
    <w:p w14:paraId="4C588898" w14:textId="77777777" w:rsidR="00873053" w:rsidRDefault="00873053" w:rsidP="00E250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22F8E95" w14:textId="77777777" w:rsidR="00873053" w:rsidRDefault="00873053" w:rsidP="00E250D7">
      <w:r>
        <w:separator/>
      </w:r>
    </w:p>
  </w:footnote>
  <w:footnote w:type="continuationSeparator" w:id="0">
    <w:p w14:paraId="7F4AB285" w14:textId="77777777" w:rsidR="00873053" w:rsidRDefault="00873053" w:rsidP="00E250D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A737DD" w14:textId="77777777" w:rsidR="00FB1440" w:rsidRDefault="00FB1440" w:rsidP="00E250D7">
    <w:pPr>
      <w:pStyle w:val="Header"/>
    </w:pPr>
    <w:r>
      <w:t>ANALYZING CRYP</w:t>
    </w:r>
    <w:r w:rsidR="00DD6D5A">
      <w:t>TO</w:t>
    </w:r>
    <w:r>
      <w:t xml:space="preserve">CURRENCY AND THE </w:t>
    </w:r>
    <w:r w:rsidR="008C66BD">
      <w:t>BITCOIN BLOCKCHAIN</w:t>
    </w:r>
    <w:r>
      <w:tab/>
      <w:t xml:space="preserve">  </w:t>
    </w:r>
    <w:r>
      <w:fldChar w:fldCharType="begin"/>
    </w:r>
    <w:r>
      <w:instrText xml:space="preserve"> PAGE   \* MERGEFORMAT </w:instrText>
    </w:r>
    <w:r>
      <w:fldChar w:fldCharType="separate"/>
    </w:r>
    <w:r>
      <w:rPr>
        <w:noProof/>
      </w:rPr>
      <w:t>2</w:t>
    </w:r>
    <w:r>
      <w:rPr>
        <w:noProof/>
      </w:rPr>
      <w:fldChar w:fldCharType="end"/>
    </w:r>
  </w:p>
  <w:p w14:paraId="6316C7F7" w14:textId="77777777" w:rsidR="00FB1440" w:rsidRDefault="00FB144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6E52B46"/>
    <w:multiLevelType w:val="hybridMultilevel"/>
    <w:tmpl w:val="A5925DE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0F530F9"/>
    <w:multiLevelType w:val="hybridMultilevel"/>
    <w:tmpl w:val="0978BA3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58C2415A"/>
    <w:multiLevelType w:val="multilevel"/>
    <w:tmpl w:val="B490A4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080373121">
    <w:abstractNumId w:val="1"/>
  </w:num>
  <w:num w:numId="2" w16cid:durableId="1103889404">
    <w:abstractNumId w:val="0"/>
  </w:num>
  <w:num w:numId="3" w16cid:durableId="60295764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1217"/>
    <w:rsid w:val="00003576"/>
    <w:rsid w:val="000073AD"/>
    <w:rsid w:val="00012DA0"/>
    <w:rsid w:val="00023D1C"/>
    <w:rsid w:val="00025C6F"/>
    <w:rsid w:val="0003728E"/>
    <w:rsid w:val="00057626"/>
    <w:rsid w:val="000607AC"/>
    <w:rsid w:val="000623AB"/>
    <w:rsid w:val="000756E4"/>
    <w:rsid w:val="00077B7E"/>
    <w:rsid w:val="00082930"/>
    <w:rsid w:val="00085451"/>
    <w:rsid w:val="000962A9"/>
    <w:rsid w:val="000A74AA"/>
    <w:rsid w:val="000B7E94"/>
    <w:rsid w:val="000C252D"/>
    <w:rsid w:val="000D080A"/>
    <w:rsid w:val="000E2B16"/>
    <w:rsid w:val="000E5453"/>
    <w:rsid w:val="000F0F6F"/>
    <w:rsid w:val="000F594B"/>
    <w:rsid w:val="000F61B9"/>
    <w:rsid w:val="000F7F74"/>
    <w:rsid w:val="00106183"/>
    <w:rsid w:val="00111577"/>
    <w:rsid w:val="00112AA3"/>
    <w:rsid w:val="00114AF9"/>
    <w:rsid w:val="0011615F"/>
    <w:rsid w:val="001265D0"/>
    <w:rsid w:val="00131212"/>
    <w:rsid w:val="00136D5C"/>
    <w:rsid w:val="001378C3"/>
    <w:rsid w:val="0014237B"/>
    <w:rsid w:val="0014660B"/>
    <w:rsid w:val="00147E0A"/>
    <w:rsid w:val="001555CC"/>
    <w:rsid w:val="00155981"/>
    <w:rsid w:val="00163CAC"/>
    <w:rsid w:val="00164002"/>
    <w:rsid w:val="00164772"/>
    <w:rsid w:val="00164D63"/>
    <w:rsid w:val="00175A26"/>
    <w:rsid w:val="00183111"/>
    <w:rsid w:val="00185C0A"/>
    <w:rsid w:val="00191FF7"/>
    <w:rsid w:val="001978F2"/>
    <w:rsid w:val="001D3EA3"/>
    <w:rsid w:val="001D4C54"/>
    <w:rsid w:val="001E0C5B"/>
    <w:rsid w:val="001F1962"/>
    <w:rsid w:val="001F275A"/>
    <w:rsid w:val="001F31AB"/>
    <w:rsid w:val="001F37D7"/>
    <w:rsid w:val="001F3FDB"/>
    <w:rsid w:val="001F49F2"/>
    <w:rsid w:val="001F70C8"/>
    <w:rsid w:val="0020046B"/>
    <w:rsid w:val="00214D4B"/>
    <w:rsid w:val="0022352F"/>
    <w:rsid w:val="002265B0"/>
    <w:rsid w:val="0022661F"/>
    <w:rsid w:val="00233FD4"/>
    <w:rsid w:val="00241AC2"/>
    <w:rsid w:val="002441B2"/>
    <w:rsid w:val="00245E0C"/>
    <w:rsid w:val="00251DAF"/>
    <w:rsid w:val="00253FB9"/>
    <w:rsid w:val="002549C0"/>
    <w:rsid w:val="00254F59"/>
    <w:rsid w:val="00256FA9"/>
    <w:rsid w:val="002670FB"/>
    <w:rsid w:val="00277328"/>
    <w:rsid w:val="00291048"/>
    <w:rsid w:val="002A049C"/>
    <w:rsid w:val="002A540A"/>
    <w:rsid w:val="002A6D68"/>
    <w:rsid w:val="002B15C8"/>
    <w:rsid w:val="002B39B5"/>
    <w:rsid w:val="002B5DCE"/>
    <w:rsid w:val="002C720D"/>
    <w:rsid w:val="002C76E1"/>
    <w:rsid w:val="002C78FA"/>
    <w:rsid w:val="002D0D04"/>
    <w:rsid w:val="002D2232"/>
    <w:rsid w:val="002D5514"/>
    <w:rsid w:val="002D6538"/>
    <w:rsid w:val="002E05C5"/>
    <w:rsid w:val="002E1F46"/>
    <w:rsid w:val="002E3A0C"/>
    <w:rsid w:val="002E5E8C"/>
    <w:rsid w:val="002F2C82"/>
    <w:rsid w:val="003005CF"/>
    <w:rsid w:val="00300629"/>
    <w:rsid w:val="00300F86"/>
    <w:rsid w:val="0031256E"/>
    <w:rsid w:val="00312892"/>
    <w:rsid w:val="00323C62"/>
    <w:rsid w:val="00324D4A"/>
    <w:rsid w:val="00326AC4"/>
    <w:rsid w:val="00330BDB"/>
    <w:rsid w:val="003347D4"/>
    <w:rsid w:val="0033766F"/>
    <w:rsid w:val="003466CD"/>
    <w:rsid w:val="00352D13"/>
    <w:rsid w:val="00353E4D"/>
    <w:rsid w:val="00353F65"/>
    <w:rsid w:val="003655E8"/>
    <w:rsid w:val="00374B0B"/>
    <w:rsid w:val="00382D1A"/>
    <w:rsid w:val="003855A5"/>
    <w:rsid w:val="00386CC4"/>
    <w:rsid w:val="00387655"/>
    <w:rsid w:val="003921AA"/>
    <w:rsid w:val="00396F7F"/>
    <w:rsid w:val="003A4738"/>
    <w:rsid w:val="003B0F3B"/>
    <w:rsid w:val="003B3CDE"/>
    <w:rsid w:val="003B5D11"/>
    <w:rsid w:val="003C3728"/>
    <w:rsid w:val="003C3FB3"/>
    <w:rsid w:val="003D0213"/>
    <w:rsid w:val="003D49FE"/>
    <w:rsid w:val="003D7265"/>
    <w:rsid w:val="003E1042"/>
    <w:rsid w:val="003E4EAE"/>
    <w:rsid w:val="003E667D"/>
    <w:rsid w:val="003F0D3E"/>
    <w:rsid w:val="003F6BF7"/>
    <w:rsid w:val="003F79DE"/>
    <w:rsid w:val="0040215D"/>
    <w:rsid w:val="00406CD0"/>
    <w:rsid w:val="004074CA"/>
    <w:rsid w:val="00407F1F"/>
    <w:rsid w:val="004110C1"/>
    <w:rsid w:val="0041309A"/>
    <w:rsid w:val="00414310"/>
    <w:rsid w:val="0042130C"/>
    <w:rsid w:val="00427C4B"/>
    <w:rsid w:val="00427C9B"/>
    <w:rsid w:val="00430F54"/>
    <w:rsid w:val="00442B92"/>
    <w:rsid w:val="0044653C"/>
    <w:rsid w:val="00447C20"/>
    <w:rsid w:val="00452DD1"/>
    <w:rsid w:val="00461D3E"/>
    <w:rsid w:val="00465239"/>
    <w:rsid w:val="004670E4"/>
    <w:rsid w:val="00471B1E"/>
    <w:rsid w:val="00473ED2"/>
    <w:rsid w:val="004870FA"/>
    <w:rsid w:val="00493811"/>
    <w:rsid w:val="004A7F5C"/>
    <w:rsid w:val="004B58AB"/>
    <w:rsid w:val="004C1EB9"/>
    <w:rsid w:val="004C58B7"/>
    <w:rsid w:val="004D1ED4"/>
    <w:rsid w:val="004D3391"/>
    <w:rsid w:val="004E094C"/>
    <w:rsid w:val="004E554E"/>
    <w:rsid w:val="004E7CCE"/>
    <w:rsid w:val="004F18E3"/>
    <w:rsid w:val="00501AB0"/>
    <w:rsid w:val="00504B89"/>
    <w:rsid w:val="0051065C"/>
    <w:rsid w:val="00510D4B"/>
    <w:rsid w:val="00514599"/>
    <w:rsid w:val="00520179"/>
    <w:rsid w:val="005214F7"/>
    <w:rsid w:val="005419B2"/>
    <w:rsid w:val="005440A6"/>
    <w:rsid w:val="00545802"/>
    <w:rsid w:val="005521AE"/>
    <w:rsid w:val="00553F80"/>
    <w:rsid w:val="00555C66"/>
    <w:rsid w:val="00560093"/>
    <w:rsid w:val="00562950"/>
    <w:rsid w:val="00566CAC"/>
    <w:rsid w:val="00570B0D"/>
    <w:rsid w:val="005726E4"/>
    <w:rsid w:val="00584EA3"/>
    <w:rsid w:val="00593BED"/>
    <w:rsid w:val="00594AFF"/>
    <w:rsid w:val="005B0CB0"/>
    <w:rsid w:val="005B122E"/>
    <w:rsid w:val="005B12B9"/>
    <w:rsid w:val="005B35A6"/>
    <w:rsid w:val="005B3786"/>
    <w:rsid w:val="005B6281"/>
    <w:rsid w:val="005D5366"/>
    <w:rsid w:val="005E02B5"/>
    <w:rsid w:val="005E0A9F"/>
    <w:rsid w:val="005E1217"/>
    <w:rsid w:val="005E340E"/>
    <w:rsid w:val="005F6148"/>
    <w:rsid w:val="006010A4"/>
    <w:rsid w:val="006050D1"/>
    <w:rsid w:val="00615282"/>
    <w:rsid w:val="0062228A"/>
    <w:rsid w:val="006226B1"/>
    <w:rsid w:val="00623F6F"/>
    <w:rsid w:val="00632677"/>
    <w:rsid w:val="0063770A"/>
    <w:rsid w:val="006440A6"/>
    <w:rsid w:val="00647547"/>
    <w:rsid w:val="0065284B"/>
    <w:rsid w:val="00657CA2"/>
    <w:rsid w:val="00672D1E"/>
    <w:rsid w:val="00673000"/>
    <w:rsid w:val="006777E3"/>
    <w:rsid w:val="006815EA"/>
    <w:rsid w:val="00687751"/>
    <w:rsid w:val="00692151"/>
    <w:rsid w:val="00695E30"/>
    <w:rsid w:val="006A334F"/>
    <w:rsid w:val="006B0B29"/>
    <w:rsid w:val="006B473A"/>
    <w:rsid w:val="006B56AF"/>
    <w:rsid w:val="006C7FA0"/>
    <w:rsid w:val="006D19DA"/>
    <w:rsid w:val="006D2688"/>
    <w:rsid w:val="006D2C4F"/>
    <w:rsid w:val="006E1E8A"/>
    <w:rsid w:val="006E518D"/>
    <w:rsid w:val="006E626B"/>
    <w:rsid w:val="006F4F57"/>
    <w:rsid w:val="0070361C"/>
    <w:rsid w:val="00704BF9"/>
    <w:rsid w:val="00714456"/>
    <w:rsid w:val="00715E42"/>
    <w:rsid w:val="00721E5C"/>
    <w:rsid w:val="007230C6"/>
    <w:rsid w:val="00724AEB"/>
    <w:rsid w:val="007267BF"/>
    <w:rsid w:val="0073232E"/>
    <w:rsid w:val="007332CF"/>
    <w:rsid w:val="00737CAF"/>
    <w:rsid w:val="0075188E"/>
    <w:rsid w:val="007579EF"/>
    <w:rsid w:val="00764D35"/>
    <w:rsid w:val="00776395"/>
    <w:rsid w:val="00786A40"/>
    <w:rsid w:val="00790EDB"/>
    <w:rsid w:val="00791A03"/>
    <w:rsid w:val="0079595F"/>
    <w:rsid w:val="007A173F"/>
    <w:rsid w:val="007B3C23"/>
    <w:rsid w:val="007B49A4"/>
    <w:rsid w:val="007C788A"/>
    <w:rsid w:val="007D26C8"/>
    <w:rsid w:val="007D2CFD"/>
    <w:rsid w:val="007D32EA"/>
    <w:rsid w:val="007E11BA"/>
    <w:rsid w:val="007E7611"/>
    <w:rsid w:val="007F02FB"/>
    <w:rsid w:val="007F1F32"/>
    <w:rsid w:val="00802EB2"/>
    <w:rsid w:val="008053E9"/>
    <w:rsid w:val="00812903"/>
    <w:rsid w:val="0081495D"/>
    <w:rsid w:val="008274B6"/>
    <w:rsid w:val="00827909"/>
    <w:rsid w:val="0083285C"/>
    <w:rsid w:val="0084314C"/>
    <w:rsid w:val="00855918"/>
    <w:rsid w:val="008632FB"/>
    <w:rsid w:val="00871C47"/>
    <w:rsid w:val="00871E62"/>
    <w:rsid w:val="00873053"/>
    <w:rsid w:val="00873DDD"/>
    <w:rsid w:val="008812BF"/>
    <w:rsid w:val="0089204A"/>
    <w:rsid w:val="0089374A"/>
    <w:rsid w:val="008A1DA2"/>
    <w:rsid w:val="008A21C2"/>
    <w:rsid w:val="008B4B83"/>
    <w:rsid w:val="008C075F"/>
    <w:rsid w:val="008C11FE"/>
    <w:rsid w:val="008C29B0"/>
    <w:rsid w:val="008C6145"/>
    <w:rsid w:val="008C66BD"/>
    <w:rsid w:val="008C6709"/>
    <w:rsid w:val="008D0304"/>
    <w:rsid w:val="008D4CE3"/>
    <w:rsid w:val="008D647D"/>
    <w:rsid w:val="008D7B01"/>
    <w:rsid w:val="008E0299"/>
    <w:rsid w:val="008E1FC4"/>
    <w:rsid w:val="008E31E7"/>
    <w:rsid w:val="008F0216"/>
    <w:rsid w:val="008F09B2"/>
    <w:rsid w:val="009038DA"/>
    <w:rsid w:val="0090538C"/>
    <w:rsid w:val="009076F4"/>
    <w:rsid w:val="0091040D"/>
    <w:rsid w:val="00920447"/>
    <w:rsid w:val="00920774"/>
    <w:rsid w:val="00930F03"/>
    <w:rsid w:val="0093141F"/>
    <w:rsid w:val="00936A17"/>
    <w:rsid w:val="00941F01"/>
    <w:rsid w:val="00945C9E"/>
    <w:rsid w:val="00947652"/>
    <w:rsid w:val="009558A6"/>
    <w:rsid w:val="00964EA8"/>
    <w:rsid w:val="00965496"/>
    <w:rsid w:val="00966893"/>
    <w:rsid w:val="00971833"/>
    <w:rsid w:val="00976340"/>
    <w:rsid w:val="009774B5"/>
    <w:rsid w:val="0098397B"/>
    <w:rsid w:val="00984617"/>
    <w:rsid w:val="00987952"/>
    <w:rsid w:val="009934D7"/>
    <w:rsid w:val="00997C8C"/>
    <w:rsid w:val="00997F4E"/>
    <w:rsid w:val="009A0473"/>
    <w:rsid w:val="009B3F7A"/>
    <w:rsid w:val="009C4439"/>
    <w:rsid w:val="009C5B8D"/>
    <w:rsid w:val="009E5DCA"/>
    <w:rsid w:val="009F4850"/>
    <w:rsid w:val="00A030C3"/>
    <w:rsid w:val="00A13C73"/>
    <w:rsid w:val="00A27F63"/>
    <w:rsid w:val="00A40976"/>
    <w:rsid w:val="00A45C71"/>
    <w:rsid w:val="00A524FD"/>
    <w:rsid w:val="00A6014D"/>
    <w:rsid w:val="00A61B74"/>
    <w:rsid w:val="00A65346"/>
    <w:rsid w:val="00A76CC3"/>
    <w:rsid w:val="00A7760C"/>
    <w:rsid w:val="00A80D5F"/>
    <w:rsid w:val="00A854CB"/>
    <w:rsid w:val="00A85BD8"/>
    <w:rsid w:val="00A85D50"/>
    <w:rsid w:val="00A91342"/>
    <w:rsid w:val="00A92DFC"/>
    <w:rsid w:val="00A9685F"/>
    <w:rsid w:val="00AA2C8A"/>
    <w:rsid w:val="00AA5AF3"/>
    <w:rsid w:val="00AA751C"/>
    <w:rsid w:val="00AC1E46"/>
    <w:rsid w:val="00AC5DE0"/>
    <w:rsid w:val="00AC6546"/>
    <w:rsid w:val="00AD29CA"/>
    <w:rsid w:val="00AD6BCF"/>
    <w:rsid w:val="00AE2CEE"/>
    <w:rsid w:val="00AE4E88"/>
    <w:rsid w:val="00AE6AFC"/>
    <w:rsid w:val="00AE7927"/>
    <w:rsid w:val="00AF2BF8"/>
    <w:rsid w:val="00B03EDE"/>
    <w:rsid w:val="00B04370"/>
    <w:rsid w:val="00B04A41"/>
    <w:rsid w:val="00B04CFB"/>
    <w:rsid w:val="00B0669F"/>
    <w:rsid w:val="00B1250D"/>
    <w:rsid w:val="00B270AC"/>
    <w:rsid w:val="00B3142A"/>
    <w:rsid w:val="00B3241F"/>
    <w:rsid w:val="00B3270D"/>
    <w:rsid w:val="00B3518B"/>
    <w:rsid w:val="00B351B4"/>
    <w:rsid w:val="00B41343"/>
    <w:rsid w:val="00B43471"/>
    <w:rsid w:val="00B551B4"/>
    <w:rsid w:val="00B70BDA"/>
    <w:rsid w:val="00B72BED"/>
    <w:rsid w:val="00B73007"/>
    <w:rsid w:val="00B743CA"/>
    <w:rsid w:val="00B87244"/>
    <w:rsid w:val="00B906B2"/>
    <w:rsid w:val="00B97DC2"/>
    <w:rsid w:val="00BA060F"/>
    <w:rsid w:val="00BA0B14"/>
    <w:rsid w:val="00BA51A2"/>
    <w:rsid w:val="00BD36A5"/>
    <w:rsid w:val="00BD460E"/>
    <w:rsid w:val="00BE38FC"/>
    <w:rsid w:val="00BE5016"/>
    <w:rsid w:val="00BF4132"/>
    <w:rsid w:val="00BF5661"/>
    <w:rsid w:val="00C20E64"/>
    <w:rsid w:val="00C22DD1"/>
    <w:rsid w:val="00C27D60"/>
    <w:rsid w:val="00C37D14"/>
    <w:rsid w:val="00C53BDC"/>
    <w:rsid w:val="00C813C1"/>
    <w:rsid w:val="00C867FC"/>
    <w:rsid w:val="00C90A81"/>
    <w:rsid w:val="00C954AB"/>
    <w:rsid w:val="00C95690"/>
    <w:rsid w:val="00C969EB"/>
    <w:rsid w:val="00C97074"/>
    <w:rsid w:val="00CA0A9E"/>
    <w:rsid w:val="00CA635A"/>
    <w:rsid w:val="00CB6F3E"/>
    <w:rsid w:val="00CB73D6"/>
    <w:rsid w:val="00CB7B29"/>
    <w:rsid w:val="00CC2E21"/>
    <w:rsid w:val="00CD4435"/>
    <w:rsid w:val="00CE2039"/>
    <w:rsid w:val="00CE7957"/>
    <w:rsid w:val="00CE7982"/>
    <w:rsid w:val="00CF49ED"/>
    <w:rsid w:val="00D0126B"/>
    <w:rsid w:val="00D02F7F"/>
    <w:rsid w:val="00D0346F"/>
    <w:rsid w:val="00D03A8A"/>
    <w:rsid w:val="00D12041"/>
    <w:rsid w:val="00D21BAE"/>
    <w:rsid w:val="00D258B4"/>
    <w:rsid w:val="00D34E37"/>
    <w:rsid w:val="00D41CF2"/>
    <w:rsid w:val="00D513D9"/>
    <w:rsid w:val="00D571D7"/>
    <w:rsid w:val="00D640A7"/>
    <w:rsid w:val="00D66F97"/>
    <w:rsid w:val="00D81C00"/>
    <w:rsid w:val="00D84967"/>
    <w:rsid w:val="00D87A1D"/>
    <w:rsid w:val="00D926B7"/>
    <w:rsid w:val="00D94279"/>
    <w:rsid w:val="00D97C96"/>
    <w:rsid w:val="00DB4218"/>
    <w:rsid w:val="00DC3A34"/>
    <w:rsid w:val="00DD0CA9"/>
    <w:rsid w:val="00DD1120"/>
    <w:rsid w:val="00DD5827"/>
    <w:rsid w:val="00DD6D5A"/>
    <w:rsid w:val="00DD79E4"/>
    <w:rsid w:val="00DE01ED"/>
    <w:rsid w:val="00DE7BB6"/>
    <w:rsid w:val="00DF5367"/>
    <w:rsid w:val="00DF6038"/>
    <w:rsid w:val="00E12E79"/>
    <w:rsid w:val="00E2234A"/>
    <w:rsid w:val="00E250D7"/>
    <w:rsid w:val="00E25275"/>
    <w:rsid w:val="00E31442"/>
    <w:rsid w:val="00E32D55"/>
    <w:rsid w:val="00E349D1"/>
    <w:rsid w:val="00E35EDF"/>
    <w:rsid w:val="00E42B32"/>
    <w:rsid w:val="00E475A7"/>
    <w:rsid w:val="00E525A1"/>
    <w:rsid w:val="00E62B9C"/>
    <w:rsid w:val="00E63649"/>
    <w:rsid w:val="00E732DE"/>
    <w:rsid w:val="00E76079"/>
    <w:rsid w:val="00E77F9A"/>
    <w:rsid w:val="00E873E1"/>
    <w:rsid w:val="00E93B1E"/>
    <w:rsid w:val="00E95434"/>
    <w:rsid w:val="00E96518"/>
    <w:rsid w:val="00EA3C5A"/>
    <w:rsid w:val="00EC228F"/>
    <w:rsid w:val="00ED01CE"/>
    <w:rsid w:val="00EE4880"/>
    <w:rsid w:val="00EE64DE"/>
    <w:rsid w:val="00EF165C"/>
    <w:rsid w:val="00EF4BFF"/>
    <w:rsid w:val="00EF75F3"/>
    <w:rsid w:val="00F02DA8"/>
    <w:rsid w:val="00F05565"/>
    <w:rsid w:val="00F069D9"/>
    <w:rsid w:val="00F243C8"/>
    <w:rsid w:val="00F33DAF"/>
    <w:rsid w:val="00F35028"/>
    <w:rsid w:val="00F5121B"/>
    <w:rsid w:val="00F65D70"/>
    <w:rsid w:val="00F701B2"/>
    <w:rsid w:val="00F71BC9"/>
    <w:rsid w:val="00F84F8D"/>
    <w:rsid w:val="00F87F8D"/>
    <w:rsid w:val="00F908CB"/>
    <w:rsid w:val="00F966B5"/>
    <w:rsid w:val="00FB1440"/>
    <w:rsid w:val="00FB479E"/>
    <w:rsid w:val="00FB4C25"/>
    <w:rsid w:val="00FB7009"/>
    <w:rsid w:val="00FC6335"/>
    <w:rsid w:val="00FC7921"/>
    <w:rsid w:val="00FD080A"/>
    <w:rsid w:val="00FD23B8"/>
    <w:rsid w:val="00FD6D44"/>
    <w:rsid w:val="00FE42FF"/>
    <w:rsid w:val="00FF332B"/>
    <w:rsid w:val="00FF61F5"/>
    <w:rsid w:val="00FF781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ADF7A8C"/>
  <w15:chartTrackingRefBased/>
  <w15:docId w15:val="{E654142C-7719-D640-90AF-7516C0A160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Calibri"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2234A"/>
    <w:pPr>
      <w:ind w:left="720"/>
      <w:contextualSpacing/>
    </w:pPr>
  </w:style>
  <w:style w:type="character" w:styleId="Hyperlink">
    <w:name w:val="Hyperlink"/>
    <w:uiPriority w:val="99"/>
    <w:unhideWhenUsed/>
    <w:rsid w:val="00B72BED"/>
    <w:rPr>
      <w:color w:val="0563C1"/>
      <w:u w:val="single"/>
    </w:rPr>
  </w:style>
  <w:style w:type="character" w:styleId="UnresolvedMention">
    <w:name w:val="Unresolved Mention"/>
    <w:uiPriority w:val="99"/>
    <w:semiHidden/>
    <w:unhideWhenUsed/>
    <w:rsid w:val="00B72BED"/>
    <w:rPr>
      <w:color w:val="605E5C"/>
      <w:shd w:val="clear" w:color="auto" w:fill="E1DFDD"/>
    </w:rPr>
  </w:style>
  <w:style w:type="paragraph" w:styleId="BalloonText">
    <w:name w:val="Balloon Text"/>
    <w:basedOn w:val="Normal"/>
    <w:link w:val="BalloonTextChar"/>
    <w:uiPriority w:val="99"/>
    <w:semiHidden/>
    <w:unhideWhenUsed/>
    <w:rsid w:val="009C4439"/>
    <w:rPr>
      <w:sz w:val="18"/>
      <w:szCs w:val="18"/>
    </w:rPr>
  </w:style>
  <w:style w:type="character" w:customStyle="1" w:styleId="BalloonTextChar">
    <w:name w:val="Balloon Text Char"/>
    <w:link w:val="BalloonText"/>
    <w:uiPriority w:val="99"/>
    <w:semiHidden/>
    <w:rsid w:val="009C4439"/>
    <w:rPr>
      <w:sz w:val="18"/>
      <w:szCs w:val="18"/>
    </w:rPr>
  </w:style>
  <w:style w:type="character" w:styleId="CommentReference">
    <w:name w:val="annotation reference"/>
    <w:uiPriority w:val="99"/>
    <w:semiHidden/>
    <w:unhideWhenUsed/>
    <w:rsid w:val="009C4439"/>
    <w:rPr>
      <w:sz w:val="16"/>
      <w:szCs w:val="16"/>
    </w:rPr>
  </w:style>
  <w:style w:type="paragraph" w:styleId="CommentText">
    <w:name w:val="annotation text"/>
    <w:basedOn w:val="Normal"/>
    <w:link w:val="CommentTextChar"/>
    <w:uiPriority w:val="99"/>
    <w:unhideWhenUsed/>
    <w:rsid w:val="009C4439"/>
    <w:rPr>
      <w:sz w:val="20"/>
      <w:szCs w:val="20"/>
    </w:rPr>
  </w:style>
  <w:style w:type="character" w:customStyle="1" w:styleId="CommentTextChar">
    <w:name w:val="Comment Text Char"/>
    <w:link w:val="CommentText"/>
    <w:uiPriority w:val="99"/>
    <w:rsid w:val="009C4439"/>
    <w:rPr>
      <w:sz w:val="20"/>
      <w:szCs w:val="20"/>
    </w:rPr>
  </w:style>
  <w:style w:type="paragraph" w:styleId="CommentSubject">
    <w:name w:val="annotation subject"/>
    <w:basedOn w:val="CommentText"/>
    <w:next w:val="CommentText"/>
    <w:link w:val="CommentSubjectChar"/>
    <w:uiPriority w:val="99"/>
    <w:semiHidden/>
    <w:unhideWhenUsed/>
    <w:rsid w:val="009C4439"/>
    <w:rPr>
      <w:b/>
      <w:bCs/>
    </w:rPr>
  </w:style>
  <w:style w:type="character" w:customStyle="1" w:styleId="CommentSubjectChar">
    <w:name w:val="Comment Subject Char"/>
    <w:link w:val="CommentSubject"/>
    <w:uiPriority w:val="99"/>
    <w:semiHidden/>
    <w:rsid w:val="009C4439"/>
    <w:rPr>
      <w:b/>
      <w:bCs/>
      <w:sz w:val="20"/>
      <w:szCs w:val="20"/>
    </w:rPr>
  </w:style>
  <w:style w:type="paragraph" w:styleId="Revision">
    <w:name w:val="Revision"/>
    <w:hidden/>
    <w:uiPriority w:val="99"/>
    <w:semiHidden/>
    <w:rsid w:val="003005CF"/>
    <w:rPr>
      <w:sz w:val="24"/>
      <w:szCs w:val="24"/>
    </w:rPr>
  </w:style>
  <w:style w:type="paragraph" w:styleId="Header">
    <w:name w:val="header"/>
    <w:basedOn w:val="Normal"/>
    <w:link w:val="HeaderChar"/>
    <w:uiPriority w:val="99"/>
    <w:unhideWhenUsed/>
    <w:rsid w:val="00E250D7"/>
    <w:pPr>
      <w:tabs>
        <w:tab w:val="center" w:pos="4680"/>
        <w:tab w:val="right" w:pos="9360"/>
      </w:tabs>
    </w:pPr>
  </w:style>
  <w:style w:type="character" w:customStyle="1" w:styleId="HeaderChar">
    <w:name w:val="Header Char"/>
    <w:basedOn w:val="DefaultParagraphFont"/>
    <w:link w:val="Header"/>
    <w:uiPriority w:val="99"/>
    <w:rsid w:val="00E250D7"/>
  </w:style>
  <w:style w:type="paragraph" w:styleId="Footer">
    <w:name w:val="footer"/>
    <w:basedOn w:val="Normal"/>
    <w:link w:val="FooterChar"/>
    <w:uiPriority w:val="99"/>
    <w:unhideWhenUsed/>
    <w:rsid w:val="00E250D7"/>
    <w:pPr>
      <w:tabs>
        <w:tab w:val="center" w:pos="4680"/>
        <w:tab w:val="right" w:pos="9360"/>
      </w:tabs>
    </w:pPr>
  </w:style>
  <w:style w:type="character" w:customStyle="1" w:styleId="FooterChar">
    <w:name w:val="Footer Char"/>
    <w:basedOn w:val="DefaultParagraphFont"/>
    <w:link w:val="Footer"/>
    <w:uiPriority w:val="99"/>
    <w:rsid w:val="00E250D7"/>
  </w:style>
  <w:style w:type="character" w:styleId="Strong">
    <w:name w:val="Strong"/>
    <w:uiPriority w:val="22"/>
    <w:qFormat/>
    <w:rsid w:val="00185C0A"/>
    <w:rPr>
      <w:b/>
      <w:bCs/>
    </w:rPr>
  </w:style>
  <w:style w:type="table" w:styleId="TableGrid">
    <w:name w:val="Table Grid"/>
    <w:basedOn w:val="TableNormal"/>
    <w:uiPriority w:val="39"/>
    <w:rsid w:val="0083285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c-1ryi78w-0">
    <w:name w:val="sc-1ryi78w-0"/>
    <w:basedOn w:val="DefaultParagraphFont"/>
    <w:rsid w:val="00520179"/>
  </w:style>
  <w:style w:type="table" w:styleId="PlainTable5">
    <w:name w:val="Plain Table 5"/>
    <w:basedOn w:val="TableNormal"/>
    <w:uiPriority w:val="45"/>
    <w:rsid w:val="00B1250D"/>
    <w:tblPr>
      <w:tblStyleRowBandSize w:val="1"/>
      <w:tblStyleColBandSize w:val="1"/>
    </w:tblPr>
    <w:tblStylePr w:type="firstRow">
      <w:rPr>
        <w:rFonts w:ascii="Calibri Light" w:eastAsia="Times New Roman" w:hAnsi="Calibri Light" w:cs="Times New Roman"/>
        <w:i/>
        <w:iCs/>
        <w:sz w:val="26"/>
      </w:rPr>
      <w:tblPr/>
      <w:tcPr>
        <w:tcBorders>
          <w:bottom w:val="single" w:sz="4" w:space="0" w:color="7F7F7F"/>
        </w:tcBorders>
        <w:shd w:val="clear" w:color="auto" w:fill="FFFFFF"/>
      </w:tcPr>
    </w:tblStylePr>
    <w:tblStylePr w:type="lastRow">
      <w:rPr>
        <w:rFonts w:ascii="Calibri Light" w:eastAsia="Times New Roman" w:hAnsi="Calibri Light" w:cs="Times New Roman"/>
        <w:i/>
        <w:iCs/>
        <w:sz w:val="26"/>
      </w:rPr>
      <w:tblPr/>
      <w:tcPr>
        <w:tcBorders>
          <w:top w:val="single" w:sz="4" w:space="0" w:color="7F7F7F"/>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7F7F7F"/>
        </w:tcBorders>
        <w:shd w:val="clear" w:color="auto" w:fill="FFFFFF"/>
      </w:tcPr>
    </w:tblStylePr>
    <w:tblStylePr w:type="lastCol">
      <w:rPr>
        <w:rFonts w:ascii="Calibri Light" w:eastAsia="Times New Roman" w:hAnsi="Calibri Light"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FootnoteText">
    <w:name w:val="footnote text"/>
    <w:basedOn w:val="Normal"/>
    <w:link w:val="FootnoteTextChar"/>
    <w:uiPriority w:val="99"/>
    <w:semiHidden/>
    <w:unhideWhenUsed/>
    <w:rsid w:val="00802EB2"/>
    <w:rPr>
      <w:sz w:val="20"/>
      <w:szCs w:val="20"/>
    </w:rPr>
  </w:style>
  <w:style w:type="character" w:customStyle="1" w:styleId="FootnoteTextChar">
    <w:name w:val="Footnote Text Char"/>
    <w:link w:val="FootnoteText"/>
    <w:uiPriority w:val="99"/>
    <w:semiHidden/>
    <w:rsid w:val="00802EB2"/>
    <w:rPr>
      <w:sz w:val="20"/>
      <w:szCs w:val="20"/>
    </w:rPr>
  </w:style>
  <w:style w:type="character" w:styleId="FootnoteReference">
    <w:name w:val="footnote reference"/>
    <w:uiPriority w:val="99"/>
    <w:semiHidden/>
    <w:unhideWhenUsed/>
    <w:rsid w:val="00802EB2"/>
    <w:rPr>
      <w:vertAlign w:val="superscript"/>
    </w:rPr>
  </w:style>
  <w:style w:type="paragraph" w:styleId="NormalWeb">
    <w:name w:val="Normal (Web)"/>
    <w:basedOn w:val="Normal"/>
    <w:uiPriority w:val="99"/>
    <w:unhideWhenUsed/>
    <w:rsid w:val="00E77F9A"/>
    <w:pPr>
      <w:spacing w:before="100" w:beforeAutospacing="1" w:after="100" w:afterAutospacing="1"/>
    </w:pPr>
    <w:rPr>
      <w:rFonts w:eastAsia="Times New Roman"/>
    </w:rPr>
  </w:style>
  <w:style w:type="character" w:customStyle="1" w:styleId="apple-converted-space">
    <w:name w:val="apple-converted-space"/>
    <w:basedOn w:val="DefaultParagraphFont"/>
    <w:rsid w:val="00E77F9A"/>
  </w:style>
  <w:style w:type="character" w:customStyle="1" w:styleId="go">
    <w:name w:val="go"/>
    <w:basedOn w:val="DefaultParagraphFont"/>
    <w:rsid w:val="00B743C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8164823">
      <w:bodyDiv w:val="1"/>
      <w:marLeft w:val="0"/>
      <w:marRight w:val="0"/>
      <w:marTop w:val="0"/>
      <w:marBottom w:val="0"/>
      <w:divBdr>
        <w:top w:val="none" w:sz="0" w:space="0" w:color="auto"/>
        <w:left w:val="none" w:sz="0" w:space="0" w:color="auto"/>
        <w:bottom w:val="none" w:sz="0" w:space="0" w:color="auto"/>
        <w:right w:val="none" w:sz="0" w:space="0" w:color="auto"/>
      </w:divBdr>
    </w:div>
    <w:div w:id="231935213">
      <w:bodyDiv w:val="1"/>
      <w:marLeft w:val="0"/>
      <w:marRight w:val="0"/>
      <w:marTop w:val="0"/>
      <w:marBottom w:val="0"/>
      <w:divBdr>
        <w:top w:val="none" w:sz="0" w:space="0" w:color="auto"/>
        <w:left w:val="none" w:sz="0" w:space="0" w:color="auto"/>
        <w:bottom w:val="none" w:sz="0" w:space="0" w:color="auto"/>
        <w:right w:val="none" w:sz="0" w:space="0" w:color="auto"/>
      </w:divBdr>
      <w:divsChild>
        <w:div w:id="351106784">
          <w:marLeft w:val="0"/>
          <w:marRight w:val="0"/>
          <w:marTop w:val="0"/>
          <w:marBottom w:val="0"/>
          <w:divBdr>
            <w:top w:val="none" w:sz="0" w:space="0" w:color="auto"/>
            <w:left w:val="none" w:sz="0" w:space="0" w:color="auto"/>
            <w:bottom w:val="none" w:sz="0" w:space="0" w:color="auto"/>
            <w:right w:val="none" w:sz="0" w:space="0" w:color="auto"/>
          </w:divBdr>
        </w:div>
      </w:divsChild>
    </w:div>
    <w:div w:id="311757457">
      <w:bodyDiv w:val="1"/>
      <w:marLeft w:val="0"/>
      <w:marRight w:val="0"/>
      <w:marTop w:val="0"/>
      <w:marBottom w:val="0"/>
      <w:divBdr>
        <w:top w:val="none" w:sz="0" w:space="0" w:color="auto"/>
        <w:left w:val="none" w:sz="0" w:space="0" w:color="auto"/>
        <w:bottom w:val="none" w:sz="0" w:space="0" w:color="auto"/>
        <w:right w:val="none" w:sz="0" w:space="0" w:color="auto"/>
      </w:divBdr>
      <w:divsChild>
        <w:div w:id="1734699199">
          <w:marLeft w:val="0"/>
          <w:marRight w:val="0"/>
          <w:marTop w:val="0"/>
          <w:marBottom w:val="0"/>
          <w:divBdr>
            <w:top w:val="none" w:sz="0" w:space="0" w:color="auto"/>
            <w:left w:val="none" w:sz="0" w:space="0" w:color="auto"/>
            <w:bottom w:val="none" w:sz="0" w:space="0" w:color="auto"/>
            <w:right w:val="none" w:sz="0" w:space="0" w:color="auto"/>
          </w:divBdr>
        </w:div>
      </w:divsChild>
    </w:div>
    <w:div w:id="331684244">
      <w:bodyDiv w:val="1"/>
      <w:marLeft w:val="0"/>
      <w:marRight w:val="0"/>
      <w:marTop w:val="0"/>
      <w:marBottom w:val="0"/>
      <w:divBdr>
        <w:top w:val="none" w:sz="0" w:space="0" w:color="auto"/>
        <w:left w:val="none" w:sz="0" w:space="0" w:color="auto"/>
        <w:bottom w:val="none" w:sz="0" w:space="0" w:color="auto"/>
        <w:right w:val="none" w:sz="0" w:space="0" w:color="auto"/>
      </w:divBdr>
      <w:divsChild>
        <w:div w:id="321668168">
          <w:marLeft w:val="0"/>
          <w:marRight w:val="0"/>
          <w:marTop w:val="0"/>
          <w:marBottom w:val="0"/>
          <w:divBdr>
            <w:top w:val="none" w:sz="0" w:space="0" w:color="auto"/>
            <w:left w:val="none" w:sz="0" w:space="0" w:color="auto"/>
            <w:bottom w:val="none" w:sz="0" w:space="0" w:color="auto"/>
            <w:right w:val="none" w:sz="0" w:space="0" w:color="auto"/>
          </w:divBdr>
        </w:div>
      </w:divsChild>
    </w:div>
    <w:div w:id="350182927">
      <w:bodyDiv w:val="1"/>
      <w:marLeft w:val="0"/>
      <w:marRight w:val="0"/>
      <w:marTop w:val="0"/>
      <w:marBottom w:val="0"/>
      <w:divBdr>
        <w:top w:val="none" w:sz="0" w:space="0" w:color="auto"/>
        <w:left w:val="none" w:sz="0" w:space="0" w:color="auto"/>
        <w:bottom w:val="none" w:sz="0" w:space="0" w:color="auto"/>
        <w:right w:val="none" w:sz="0" w:space="0" w:color="auto"/>
      </w:divBdr>
    </w:div>
    <w:div w:id="358629203">
      <w:bodyDiv w:val="1"/>
      <w:marLeft w:val="0"/>
      <w:marRight w:val="0"/>
      <w:marTop w:val="0"/>
      <w:marBottom w:val="0"/>
      <w:divBdr>
        <w:top w:val="none" w:sz="0" w:space="0" w:color="auto"/>
        <w:left w:val="none" w:sz="0" w:space="0" w:color="auto"/>
        <w:bottom w:val="none" w:sz="0" w:space="0" w:color="auto"/>
        <w:right w:val="none" w:sz="0" w:space="0" w:color="auto"/>
      </w:divBdr>
      <w:divsChild>
        <w:div w:id="965046010">
          <w:marLeft w:val="0"/>
          <w:marRight w:val="0"/>
          <w:marTop w:val="0"/>
          <w:marBottom w:val="0"/>
          <w:divBdr>
            <w:top w:val="none" w:sz="0" w:space="0" w:color="auto"/>
            <w:left w:val="none" w:sz="0" w:space="0" w:color="auto"/>
            <w:bottom w:val="none" w:sz="0" w:space="0" w:color="auto"/>
            <w:right w:val="none" w:sz="0" w:space="0" w:color="auto"/>
          </w:divBdr>
        </w:div>
      </w:divsChild>
    </w:div>
    <w:div w:id="454719822">
      <w:bodyDiv w:val="1"/>
      <w:marLeft w:val="0"/>
      <w:marRight w:val="0"/>
      <w:marTop w:val="0"/>
      <w:marBottom w:val="0"/>
      <w:divBdr>
        <w:top w:val="none" w:sz="0" w:space="0" w:color="auto"/>
        <w:left w:val="none" w:sz="0" w:space="0" w:color="auto"/>
        <w:bottom w:val="none" w:sz="0" w:space="0" w:color="auto"/>
        <w:right w:val="none" w:sz="0" w:space="0" w:color="auto"/>
      </w:divBdr>
    </w:div>
    <w:div w:id="460656665">
      <w:bodyDiv w:val="1"/>
      <w:marLeft w:val="0"/>
      <w:marRight w:val="0"/>
      <w:marTop w:val="0"/>
      <w:marBottom w:val="0"/>
      <w:divBdr>
        <w:top w:val="none" w:sz="0" w:space="0" w:color="auto"/>
        <w:left w:val="none" w:sz="0" w:space="0" w:color="auto"/>
        <w:bottom w:val="none" w:sz="0" w:space="0" w:color="auto"/>
        <w:right w:val="none" w:sz="0" w:space="0" w:color="auto"/>
      </w:divBdr>
    </w:div>
    <w:div w:id="591203185">
      <w:bodyDiv w:val="1"/>
      <w:marLeft w:val="0"/>
      <w:marRight w:val="0"/>
      <w:marTop w:val="0"/>
      <w:marBottom w:val="0"/>
      <w:divBdr>
        <w:top w:val="none" w:sz="0" w:space="0" w:color="auto"/>
        <w:left w:val="none" w:sz="0" w:space="0" w:color="auto"/>
        <w:bottom w:val="none" w:sz="0" w:space="0" w:color="auto"/>
        <w:right w:val="none" w:sz="0" w:space="0" w:color="auto"/>
      </w:divBdr>
    </w:div>
    <w:div w:id="591622357">
      <w:bodyDiv w:val="1"/>
      <w:marLeft w:val="0"/>
      <w:marRight w:val="0"/>
      <w:marTop w:val="0"/>
      <w:marBottom w:val="0"/>
      <w:divBdr>
        <w:top w:val="none" w:sz="0" w:space="0" w:color="auto"/>
        <w:left w:val="none" w:sz="0" w:space="0" w:color="auto"/>
        <w:bottom w:val="none" w:sz="0" w:space="0" w:color="auto"/>
        <w:right w:val="none" w:sz="0" w:space="0" w:color="auto"/>
      </w:divBdr>
    </w:div>
    <w:div w:id="681397950">
      <w:bodyDiv w:val="1"/>
      <w:marLeft w:val="0"/>
      <w:marRight w:val="0"/>
      <w:marTop w:val="0"/>
      <w:marBottom w:val="0"/>
      <w:divBdr>
        <w:top w:val="none" w:sz="0" w:space="0" w:color="auto"/>
        <w:left w:val="none" w:sz="0" w:space="0" w:color="auto"/>
        <w:bottom w:val="none" w:sz="0" w:space="0" w:color="auto"/>
        <w:right w:val="none" w:sz="0" w:space="0" w:color="auto"/>
      </w:divBdr>
    </w:div>
    <w:div w:id="822087966">
      <w:bodyDiv w:val="1"/>
      <w:marLeft w:val="0"/>
      <w:marRight w:val="0"/>
      <w:marTop w:val="0"/>
      <w:marBottom w:val="0"/>
      <w:divBdr>
        <w:top w:val="none" w:sz="0" w:space="0" w:color="auto"/>
        <w:left w:val="none" w:sz="0" w:space="0" w:color="auto"/>
        <w:bottom w:val="none" w:sz="0" w:space="0" w:color="auto"/>
        <w:right w:val="none" w:sz="0" w:space="0" w:color="auto"/>
      </w:divBdr>
    </w:div>
    <w:div w:id="870655229">
      <w:bodyDiv w:val="1"/>
      <w:marLeft w:val="0"/>
      <w:marRight w:val="0"/>
      <w:marTop w:val="0"/>
      <w:marBottom w:val="0"/>
      <w:divBdr>
        <w:top w:val="none" w:sz="0" w:space="0" w:color="auto"/>
        <w:left w:val="none" w:sz="0" w:space="0" w:color="auto"/>
        <w:bottom w:val="none" w:sz="0" w:space="0" w:color="auto"/>
        <w:right w:val="none" w:sz="0" w:space="0" w:color="auto"/>
      </w:divBdr>
    </w:div>
    <w:div w:id="915094035">
      <w:bodyDiv w:val="1"/>
      <w:marLeft w:val="0"/>
      <w:marRight w:val="0"/>
      <w:marTop w:val="0"/>
      <w:marBottom w:val="0"/>
      <w:divBdr>
        <w:top w:val="none" w:sz="0" w:space="0" w:color="auto"/>
        <w:left w:val="none" w:sz="0" w:space="0" w:color="auto"/>
        <w:bottom w:val="none" w:sz="0" w:space="0" w:color="auto"/>
        <w:right w:val="none" w:sz="0" w:space="0" w:color="auto"/>
      </w:divBdr>
      <w:divsChild>
        <w:div w:id="873805832">
          <w:marLeft w:val="0"/>
          <w:marRight w:val="0"/>
          <w:marTop w:val="0"/>
          <w:marBottom w:val="0"/>
          <w:divBdr>
            <w:top w:val="none" w:sz="0" w:space="0" w:color="auto"/>
            <w:left w:val="none" w:sz="0" w:space="0" w:color="auto"/>
            <w:bottom w:val="none" w:sz="0" w:space="0" w:color="auto"/>
            <w:right w:val="none" w:sz="0" w:space="0" w:color="auto"/>
          </w:divBdr>
        </w:div>
      </w:divsChild>
    </w:div>
    <w:div w:id="985819898">
      <w:bodyDiv w:val="1"/>
      <w:marLeft w:val="0"/>
      <w:marRight w:val="0"/>
      <w:marTop w:val="0"/>
      <w:marBottom w:val="0"/>
      <w:divBdr>
        <w:top w:val="none" w:sz="0" w:space="0" w:color="auto"/>
        <w:left w:val="none" w:sz="0" w:space="0" w:color="auto"/>
        <w:bottom w:val="none" w:sz="0" w:space="0" w:color="auto"/>
        <w:right w:val="none" w:sz="0" w:space="0" w:color="auto"/>
      </w:divBdr>
    </w:div>
    <w:div w:id="1082029165">
      <w:bodyDiv w:val="1"/>
      <w:marLeft w:val="0"/>
      <w:marRight w:val="0"/>
      <w:marTop w:val="0"/>
      <w:marBottom w:val="0"/>
      <w:divBdr>
        <w:top w:val="none" w:sz="0" w:space="0" w:color="auto"/>
        <w:left w:val="none" w:sz="0" w:space="0" w:color="auto"/>
        <w:bottom w:val="none" w:sz="0" w:space="0" w:color="auto"/>
        <w:right w:val="none" w:sz="0" w:space="0" w:color="auto"/>
      </w:divBdr>
      <w:divsChild>
        <w:div w:id="1277561038">
          <w:marLeft w:val="0"/>
          <w:marRight w:val="0"/>
          <w:marTop w:val="0"/>
          <w:marBottom w:val="0"/>
          <w:divBdr>
            <w:top w:val="none" w:sz="0" w:space="0" w:color="auto"/>
            <w:left w:val="none" w:sz="0" w:space="0" w:color="auto"/>
            <w:bottom w:val="none" w:sz="0" w:space="0" w:color="auto"/>
            <w:right w:val="none" w:sz="0" w:space="0" w:color="auto"/>
          </w:divBdr>
        </w:div>
      </w:divsChild>
    </w:div>
    <w:div w:id="1267620043">
      <w:bodyDiv w:val="1"/>
      <w:marLeft w:val="0"/>
      <w:marRight w:val="0"/>
      <w:marTop w:val="0"/>
      <w:marBottom w:val="0"/>
      <w:divBdr>
        <w:top w:val="none" w:sz="0" w:space="0" w:color="auto"/>
        <w:left w:val="none" w:sz="0" w:space="0" w:color="auto"/>
        <w:bottom w:val="none" w:sz="0" w:space="0" w:color="auto"/>
        <w:right w:val="none" w:sz="0" w:space="0" w:color="auto"/>
      </w:divBdr>
    </w:div>
    <w:div w:id="1347902946">
      <w:bodyDiv w:val="1"/>
      <w:marLeft w:val="0"/>
      <w:marRight w:val="0"/>
      <w:marTop w:val="0"/>
      <w:marBottom w:val="0"/>
      <w:divBdr>
        <w:top w:val="none" w:sz="0" w:space="0" w:color="auto"/>
        <w:left w:val="none" w:sz="0" w:space="0" w:color="auto"/>
        <w:bottom w:val="none" w:sz="0" w:space="0" w:color="auto"/>
        <w:right w:val="none" w:sz="0" w:space="0" w:color="auto"/>
      </w:divBdr>
    </w:div>
    <w:div w:id="1353337546">
      <w:bodyDiv w:val="1"/>
      <w:marLeft w:val="0"/>
      <w:marRight w:val="0"/>
      <w:marTop w:val="0"/>
      <w:marBottom w:val="0"/>
      <w:divBdr>
        <w:top w:val="none" w:sz="0" w:space="0" w:color="auto"/>
        <w:left w:val="none" w:sz="0" w:space="0" w:color="auto"/>
        <w:bottom w:val="none" w:sz="0" w:space="0" w:color="auto"/>
        <w:right w:val="none" w:sz="0" w:space="0" w:color="auto"/>
      </w:divBdr>
    </w:div>
    <w:div w:id="1504197731">
      <w:bodyDiv w:val="1"/>
      <w:marLeft w:val="0"/>
      <w:marRight w:val="0"/>
      <w:marTop w:val="0"/>
      <w:marBottom w:val="0"/>
      <w:divBdr>
        <w:top w:val="none" w:sz="0" w:space="0" w:color="auto"/>
        <w:left w:val="none" w:sz="0" w:space="0" w:color="auto"/>
        <w:bottom w:val="none" w:sz="0" w:space="0" w:color="auto"/>
        <w:right w:val="none" w:sz="0" w:space="0" w:color="auto"/>
      </w:divBdr>
    </w:div>
    <w:div w:id="1528300563">
      <w:bodyDiv w:val="1"/>
      <w:marLeft w:val="0"/>
      <w:marRight w:val="0"/>
      <w:marTop w:val="0"/>
      <w:marBottom w:val="0"/>
      <w:divBdr>
        <w:top w:val="none" w:sz="0" w:space="0" w:color="auto"/>
        <w:left w:val="none" w:sz="0" w:space="0" w:color="auto"/>
        <w:bottom w:val="none" w:sz="0" w:space="0" w:color="auto"/>
        <w:right w:val="none" w:sz="0" w:space="0" w:color="auto"/>
      </w:divBdr>
    </w:div>
    <w:div w:id="1529683160">
      <w:bodyDiv w:val="1"/>
      <w:marLeft w:val="0"/>
      <w:marRight w:val="0"/>
      <w:marTop w:val="0"/>
      <w:marBottom w:val="0"/>
      <w:divBdr>
        <w:top w:val="none" w:sz="0" w:space="0" w:color="auto"/>
        <w:left w:val="none" w:sz="0" w:space="0" w:color="auto"/>
        <w:bottom w:val="none" w:sz="0" w:space="0" w:color="auto"/>
        <w:right w:val="none" w:sz="0" w:space="0" w:color="auto"/>
      </w:divBdr>
    </w:div>
    <w:div w:id="1589464862">
      <w:bodyDiv w:val="1"/>
      <w:marLeft w:val="0"/>
      <w:marRight w:val="0"/>
      <w:marTop w:val="0"/>
      <w:marBottom w:val="0"/>
      <w:divBdr>
        <w:top w:val="none" w:sz="0" w:space="0" w:color="auto"/>
        <w:left w:val="none" w:sz="0" w:space="0" w:color="auto"/>
        <w:bottom w:val="none" w:sz="0" w:space="0" w:color="auto"/>
        <w:right w:val="none" w:sz="0" w:space="0" w:color="auto"/>
      </w:divBdr>
      <w:divsChild>
        <w:div w:id="368382469">
          <w:marLeft w:val="0"/>
          <w:marRight w:val="0"/>
          <w:marTop w:val="0"/>
          <w:marBottom w:val="0"/>
          <w:divBdr>
            <w:top w:val="none" w:sz="0" w:space="0" w:color="auto"/>
            <w:left w:val="none" w:sz="0" w:space="0" w:color="auto"/>
            <w:bottom w:val="none" w:sz="0" w:space="0" w:color="auto"/>
            <w:right w:val="none" w:sz="0" w:space="0" w:color="auto"/>
          </w:divBdr>
        </w:div>
      </w:divsChild>
    </w:div>
    <w:div w:id="1612544164">
      <w:bodyDiv w:val="1"/>
      <w:marLeft w:val="0"/>
      <w:marRight w:val="0"/>
      <w:marTop w:val="0"/>
      <w:marBottom w:val="0"/>
      <w:divBdr>
        <w:top w:val="none" w:sz="0" w:space="0" w:color="auto"/>
        <w:left w:val="none" w:sz="0" w:space="0" w:color="auto"/>
        <w:bottom w:val="none" w:sz="0" w:space="0" w:color="auto"/>
        <w:right w:val="none" w:sz="0" w:space="0" w:color="auto"/>
      </w:divBdr>
    </w:div>
    <w:div w:id="1663390597">
      <w:bodyDiv w:val="1"/>
      <w:marLeft w:val="0"/>
      <w:marRight w:val="0"/>
      <w:marTop w:val="0"/>
      <w:marBottom w:val="0"/>
      <w:divBdr>
        <w:top w:val="none" w:sz="0" w:space="0" w:color="auto"/>
        <w:left w:val="none" w:sz="0" w:space="0" w:color="auto"/>
        <w:bottom w:val="none" w:sz="0" w:space="0" w:color="auto"/>
        <w:right w:val="none" w:sz="0" w:space="0" w:color="auto"/>
      </w:divBdr>
      <w:divsChild>
        <w:div w:id="1458990527">
          <w:marLeft w:val="0"/>
          <w:marRight w:val="0"/>
          <w:marTop w:val="0"/>
          <w:marBottom w:val="0"/>
          <w:divBdr>
            <w:top w:val="none" w:sz="0" w:space="0" w:color="auto"/>
            <w:left w:val="none" w:sz="0" w:space="0" w:color="auto"/>
            <w:bottom w:val="none" w:sz="0" w:space="0" w:color="auto"/>
            <w:right w:val="none" w:sz="0" w:space="0" w:color="auto"/>
          </w:divBdr>
        </w:div>
      </w:divsChild>
    </w:div>
    <w:div w:id="1834757973">
      <w:bodyDiv w:val="1"/>
      <w:marLeft w:val="0"/>
      <w:marRight w:val="0"/>
      <w:marTop w:val="0"/>
      <w:marBottom w:val="0"/>
      <w:divBdr>
        <w:top w:val="none" w:sz="0" w:space="0" w:color="auto"/>
        <w:left w:val="none" w:sz="0" w:space="0" w:color="auto"/>
        <w:bottom w:val="none" w:sz="0" w:space="0" w:color="auto"/>
        <w:right w:val="none" w:sz="0" w:space="0" w:color="auto"/>
      </w:divBdr>
    </w:div>
    <w:div w:id="1836143252">
      <w:bodyDiv w:val="1"/>
      <w:marLeft w:val="0"/>
      <w:marRight w:val="0"/>
      <w:marTop w:val="0"/>
      <w:marBottom w:val="0"/>
      <w:divBdr>
        <w:top w:val="none" w:sz="0" w:space="0" w:color="auto"/>
        <w:left w:val="none" w:sz="0" w:space="0" w:color="auto"/>
        <w:bottom w:val="none" w:sz="0" w:space="0" w:color="auto"/>
        <w:right w:val="none" w:sz="0" w:space="0" w:color="auto"/>
      </w:divBdr>
    </w:div>
    <w:div w:id="1840346278">
      <w:bodyDiv w:val="1"/>
      <w:marLeft w:val="0"/>
      <w:marRight w:val="0"/>
      <w:marTop w:val="0"/>
      <w:marBottom w:val="0"/>
      <w:divBdr>
        <w:top w:val="none" w:sz="0" w:space="0" w:color="auto"/>
        <w:left w:val="none" w:sz="0" w:space="0" w:color="auto"/>
        <w:bottom w:val="none" w:sz="0" w:space="0" w:color="auto"/>
        <w:right w:val="none" w:sz="0" w:space="0" w:color="auto"/>
      </w:divBdr>
    </w:div>
    <w:div w:id="1876501461">
      <w:bodyDiv w:val="1"/>
      <w:marLeft w:val="0"/>
      <w:marRight w:val="0"/>
      <w:marTop w:val="0"/>
      <w:marBottom w:val="0"/>
      <w:divBdr>
        <w:top w:val="none" w:sz="0" w:space="0" w:color="auto"/>
        <w:left w:val="none" w:sz="0" w:space="0" w:color="auto"/>
        <w:bottom w:val="none" w:sz="0" w:space="0" w:color="auto"/>
        <w:right w:val="none" w:sz="0" w:space="0" w:color="auto"/>
      </w:divBdr>
    </w:div>
    <w:div w:id="1924944832">
      <w:bodyDiv w:val="1"/>
      <w:marLeft w:val="0"/>
      <w:marRight w:val="0"/>
      <w:marTop w:val="0"/>
      <w:marBottom w:val="0"/>
      <w:divBdr>
        <w:top w:val="none" w:sz="0" w:space="0" w:color="auto"/>
        <w:left w:val="none" w:sz="0" w:space="0" w:color="auto"/>
        <w:bottom w:val="none" w:sz="0" w:space="0" w:color="auto"/>
        <w:right w:val="none" w:sz="0" w:space="0" w:color="auto"/>
      </w:divBdr>
      <w:divsChild>
        <w:div w:id="63838399">
          <w:marLeft w:val="0"/>
          <w:marRight w:val="0"/>
          <w:marTop w:val="0"/>
          <w:marBottom w:val="0"/>
          <w:divBdr>
            <w:top w:val="none" w:sz="0" w:space="0" w:color="auto"/>
            <w:left w:val="none" w:sz="0" w:space="0" w:color="auto"/>
            <w:bottom w:val="none" w:sz="0" w:space="0" w:color="auto"/>
            <w:right w:val="none" w:sz="0" w:space="0" w:color="auto"/>
          </w:divBdr>
        </w:div>
      </w:divsChild>
    </w:div>
    <w:div w:id="1970014526">
      <w:bodyDiv w:val="1"/>
      <w:marLeft w:val="0"/>
      <w:marRight w:val="0"/>
      <w:marTop w:val="0"/>
      <w:marBottom w:val="0"/>
      <w:divBdr>
        <w:top w:val="none" w:sz="0" w:space="0" w:color="auto"/>
        <w:left w:val="none" w:sz="0" w:space="0" w:color="auto"/>
        <w:bottom w:val="none" w:sz="0" w:space="0" w:color="auto"/>
        <w:right w:val="none" w:sz="0" w:space="0" w:color="auto"/>
      </w:divBdr>
    </w:div>
    <w:div w:id="1994524659">
      <w:bodyDiv w:val="1"/>
      <w:marLeft w:val="0"/>
      <w:marRight w:val="0"/>
      <w:marTop w:val="0"/>
      <w:marBottom w:val="0"/>
      <w:divBdr>
        <w:top w:val="none" w:sz="0" w:space="0" w:color="auto"/>
        <w:left w:val="none" w:sz="0" w:space="0" w:color="auto"/>
        <w:bottom w:val="none" w:sz="0" w:space="0" w:color="auto"/>
        <w:right w:val="none" w:sz="0" w:space="0" w:color="auto"/>
      </w:divBdr>
      <w:divsChild>
        <w:div w:id="1282303697">
          <w:marLeft w:val="0"/>
          <w:marRight w:val="0"/>
          <w:marTop w:val="0"/>
          <w:marBottom w:val="0"/>
          <w:divBdr>
            <w:top w:val="none" w:sz="0" w:space="0" w:color="auto"/>
            <w:left w:val="none" w:sz="0" w:space="0" w:color="auto"/>
            <w:bottom w:val="none" w:sz="0" w:space="0" w:color="auto"/>
            <w:right w:val="none" w:sz="0" w:space="0" w:color="auto"/>
          </w:divBdr>
        </w:div>
      </w:divsChild>
    </w:div>
    <w:div w:id="20373404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hyperlink" Target="https://www.chainalysis.com/" TargetMode="External"/><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diagramDrawing" Target="diagrams/drawing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diagramQuickStyle" Target="diagrams/quickStyle1.xm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header" Target="header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2F53AE7-F4A9-4260-9D0A-70C98B25FF50}" type="doc">
      <dgm:prSet loTypeId="urn:microsoft.com/office/officeart/2009/3/layout/HorizontalOrganizationChart" loCatId="hierarchy" qsTypeId="urn:microsoft.com/office/officeart/2005/8/quickstyle/simple1" qsCatId="simple" csTypeId="urn:microsoft.com/office/officeart/2005/8/colors/accent1_2" csCatId="accent1" phldr="1"/>
      <dgm:spPr/>
      <dgm:t>
        <a:bodyPr/>
        <a:lstStyle/>
        <a:p>
          <a:endParaRPr lang="en-US"/>
        </a:p>
      </dgm:t>
    </dgm:pt>
    <dgm:pt modelId="{0C46EB46-67F5-41D8-A2C9-DE97704605F9}">
      <dgm:prSet phldrT="[Text]"/>
      <dgm:spPr>
        <a:xfrm>
          <a:off x="3159" y="1152148"/>
          <a:ext cx="2938043" cy="896103"/>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n-US">
              <a:solidFill>
                <a:sysClr val="window" lastClr="FFFFFF"/>
              </a:solidFill>
              <a:latin typeface="Calibri" panose="020F0502020204030204"/>
              <a:ea typeface="+mn-ea"/>
              <a:cs typeface="+mn-cs"/>
            </a:rPr>
            <a:t>Wallet: ...anUH</a:t>
          </a:r>
        </a:p>
        <a:p>
          <a:pPr>
            <a:buNone/>
          </a:pPr>
          <a:r>
            <a:rPr lang="en-US">
              <a:solidFill>
                <a:sysClr val="window" lastClr="FFFFFF"/>
              </a:solidFill>
              <a:latin typeface="Calibri" panose="020F0502020204030204"/>
              <a:ea typeface="+mn-ea"/>
              <a:cs typeface="+mn-cs"/>
            </a:rPr>
            <a:t>Sent: .321 Bitcoins (~$73.68)</a:t>
          </a:r>
        </a:p>
      </dgm:t>
    </dgm:pt>
    <dgm:pt modelId="{3FCBD4AA-9B28-470E-A38D-4061F387CB80}" type="parTrans" cxnId="{831747E9-2F1B-4887-939D-E5078F91BC28}">
      <dgm:prSet/>
      <dgm:spPr/>
      <dgm:t>
        <a:bodyPr/>
        <a:lstStyle/>
        <a:p>
          <a:endParaRPr lang="en-US"/>
        </a:p>
      </dgm:t>
    </dgm:pt>
    <dgm:pt modelId="{2B46789F-1212-4C00-8613-CB2408319D02}" type="sibTrans" cxnId="{831747E9-2F1B-4887-939D-E5078F91BC28}">
      <dgm:prSet/>
      <dgm:spPr/>
      <dgm:t>
        <a:bodyPr/>
        <a:lstStyle/>
        <a:p>
          <a:endParaRPr lang="en-US"/>
        </a:p>
      </dgm:t>
    </dgm:pt>
    <dgm:pt modelId="{9386871D-15AE-4235-BE19-2D1899BEEF67}">
      <dgm:prSet phldrT="[Text]"/>
      <dgm:spPr>
        <a:xfrm>
          <a:off x="3528811" y="520468"/>
          <a:ext cx="2938043" cy="896103"/>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n-US">
              <a:solidFill>
                <a:sysClr val="window" lastClr="FFFFFF"/>
              </a:solidFill>
              <a:latin typeface="Calibri" panose="020F0502020204030204"/>
              <a:ea typeface="+mn-ea"/>
              <a:cs typeface="+mn-cs"/>
            </a:rPr>
            <a:t>Wallet: ...K2UC </a:t>
          </a:r>
        </a:p>
        <a:p>
          <a:pPr>
            <a:buNone/>
          </a:pPr>
          <a:r>
            <a:rPr lang="en-US">
              <a:solidFill>
                <a:sysClr val="window" lastClr="FFFFFF"/>
              </a:solidFill>
              <a:latin typeface="Calibri" panose="020F0502020204030204"/>
              <a:ea typeface="+mn-ea"/>
              <a:cs typeface="+mn-cs"/>
            </a:rPr>
            <a:t>Received: .310 Bitcoins</a:t>
          </a:r>
        </a:p>
      </dgm:t>
    </dgm:pt>
    <dgm:pt modelId="{F8B4D9FA-E87F-4A01-AF06-C5DA5386C871}" type="parTrans" cxnId="{88A77AF3-BC73-42AC-A099-011A77245158}">
      <dgm:prSet/>
      <dgm:spPr>
        <a:xfrm>
          <a:off x="2941203" y="968520"/>
          <a:ext cx="587608" cy="631679"/>
        </a:xfrm>
        <a:custGeom>
          <a:avLst/>
          <a:gdLst/>
          <a:ahLst/>
          <a:cxnLst/>
          <a:rect l="0" t="0" r="0" b="0"/>
          <a:pathLst>
            <a:path>
              <a:moveTo>
                <a:pt x="0" y="630917"/>
              </a:moveTo>
              <a:lnTo>
                <a:pt x="293450" y="630917"/>
              </a:lnTo>
              <a:lnTo>
                <a:pt x="293450" y="0"/>
              </a:lnTo>
              <a:lnTo>
                <a:pt x="586900" y="0"/>
              </a:lnTo>
            </a:path>
          </a:pathLst>
        </a:custGeom>
        <a:noFill/>
        <a:ln w="12700" cap="flat" cmpd="sng" algn="ctr">
          <a:solidFill>
            <a:srgbClr val="4472C4">
              <a:shade val="60000"/>
              <a:hueOff val="0"/>
              <a:satOff val="0"/>
              <a:lumOff val="0"/>
              <a:alphaOff val="0"/>
            </a:srgbClr>
          </a:solidFill>
          <a:prstDash val="solid"/>
          <a:miter lim="800000"/>
        </a:ln>
        <a:effectLst/>
      </dgm:spPr>
      <dgm:t>
        <a:bodyPr/>
        <a:lstStyle/>
        <a:p>
          <a:endParaRPr lang="en-US"/>
        </a:p>
      </dgm:t>
    </dgm:pt>
    <dgm:pt modelId="{C126A9ED-1B8D-48B4-9CD1-9D27B0D4457F}" type="sibTrans" cxnId="{88A77AF3-BC73-42AC-A099-011A77245158}">
      <dgm:prSet/>
      <dgm:spPr/>
      <dgm:t>
        <a:bodyPr/>
        <a:lstStyle/>
        <a:p>
          <a:endParaRPr lang="en-US"/>
        </a:p>
      </dgm:t>
    </dgm:pt>
    <dgm:pt modelId="{BB10EE6F-F7C7-4BA8-B2A8-A83A305D70FE}">
      <dgm:prSet phldrT="[Text]"/>
      <dgm:spPr>
        <a:xfrm>
          <a:off x="3528811" y="1783827"/>
          <a:ext cx="2938043" cy="896103"/>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n-US">
              <a:solidFill>
                <a:sysClr val="window" lastClr="FFFFFF"/>
              </a:solidFill>
              <a:latin typeface="Calibri" panose="020F0502020204030204"/>
              <a:ea typeface="+mn-ea"/>
              <a:cs typeface="+mn-cs"/>
            </a:rPr>
            <a:t>Wallet: ...sXZm </a:t>
          </a:r>
        </a:p>
        <a:p>
          <a:pPr>
            <a:buNone/>
          </a:pPr>
          <a:r>
            <a:rPr lang="en-US">
              <a:solidFill>
                <a:sysClr val="window" lastClr="FFFFFF"/>
              </a:solidFill>
              <a:latin typeface="Calibri" panose="020F0502020204030204"/>
              <a:ea typeface="+mn-ea"/>
              <a:cs typeface="+mn-cs"/>
            </a:rPr>
            <a:t>Received: .01 Bitcoin </a:t>
          </a:r>
        </a:p>
      </dgm:t>
    </dgm:pt>
    <dgm:pt modelId="{BEEA96C0-3904-40ED-882A-35004C219E4E}" type="parTrans" cxnId="{3CC75357-DFD3-4B94-A21E-1AB594DA485B}">
      <dgm:prSet/>
      <dgm:spPr>
        <a:xfrm>
          <a:off x="2941203" y="1600200"/>
          <a:ext cx="587608" cy="631679"/>
        </a:xfrm>
        <a:custGeom>
          <a:avLst/>
          <a:gdLst/>
          <a:ahLst/>
          <a:cxnLst/>
          <a:rect l="0" t="0" r="0" b="0"/>
          <a:pathLst>
            <a:path>
              <a:moveTo>
                <a:pt x="0" y="0"/>
              </a:moveTo>
              <a:lnTo>
                <a:pt x="293450" y="0"/>
              </a:lnTo>
              <a:lnTo>
                <a:pt x="293450" y="630917"/>
              </a:lnTo>
              <a:lnTo>
                <a:pt x="586900" y="630917"/>
              </a:lnTo>
            </a:path>
          </a:pathLst>
        </a:custGeom>
        <a:noFill/>
        <a:ln w="12700" cap="flat" cmpd="sng" algn="ctr">
          <a:solidFill>
            <a:srgbClr val="4472C4">
              <a:shade val="60000"/>
              <a:hueOff val="0"/>
              <a:satOff val="0"/>
              <a:lumOff val="0"/>
              <a:alphaOff val="0"/>
            </a:srgbClr>
          </a:solidFill>
          <a:prstDash val="solid"/>
          <a:miter lim="800000"/>
        </a:ln>
        <a:effectLst/>
      </dgm:spPr>
      <dgm:t>
        <a:bodyPr/>
        <a:lstStyle/>
        <a:p>
          <a:endParaRPr lang="en-US"/>
        </a:p>
      </dgm:t>
    </dgm:pt>
    <dgm:pt modelId="{B1016242-0713-4DE3-9198-62BACA102A95}" type="sibTrans" cxnId="{3CC75357-DFD3-4B94-A21E-1AB594DA485B}">
      <dgm:prSet/>
      <dgm:spPr/>
      <dgm:t>
        <a:bodyPr/>
        <a:lstStyle/>
        <a:p>
          <a:endParaRPr lang="en-US"/>
        </a:p>
      </dgm:t>
    </dgm:pt>
    <dgm:pt modelId="{D503EDDA-A0D8-4BF9-9750-3AA0DC8E426A}" type="pres">
      <dgm:prSet presAssocID="{82F53AE7-F4A9-4260-9D0A-70C98B25FF50}" presName="hierChild1" presStyleCnt="0">
        <dgm:presLayoutVars>
          <dgm:orgChart val="1"/>
          <dgm:chPref val="1"/>
          <dgm:dir/>
          <dgm:animOne val="branch"/>
          <dgm:animLvl val="lvl"/>
          <dgm:resizeHandles/>
        </dgm:presLayoutVars>
      </dgm:prSet>
      <dgm:spPr/>
    </dgm:pt>
    <dgm:pt modelId="{A38F459A-1893-418B-A58D-389D3855CD21}" type="pres">
      <dgm:prSet presAssocID="{0C46EB46-67F5-41D8-A2C9-DE97704605F9}" presName="hierRoot1" presStyleCnt="0">
        <dgm:presLayoutVars>
          <dgm:hierBranch val="init"/>
        </dgm:presLayoutVars>
      </dgm:prSet>
      <dgm:spPr/>
    </dgm:pt>
    <dgm:pt modelId="{BE29E9CD-0618-4BF6-A06C-793EC822B3C0}" type="pres">
      <dgm:prSet presAssocID="{0C46EB46-67F5-41D8-A2C9-DE97704605F9}" presName="rootComposite1" presStyleCnt="0"/>
      <dgm:spPr/>
    </dgm:pt>
    <dgm:pt modelId="{AB12BB06-9AEA-42EB-BC1E-14962C24AC9C}" type="pres">
      <dgm:prSet presAssocID="{0C46EB46-67F5-41D8-A2C9-DE97704605F9}" presName="rootText1" presStyleLbl="node0" presStyleIdx="0" presStyleCnt="1">
        <dgm:presLayoutVars>
          <dgm:chPref val="3"/>
        </dgm:presLayoutVars>
      </dgm:prSet>
      <dgm:spPr/>
    </dgm:pt>
    <dgm:pt modelId="{03A55298-C1C7-4931-8D79-85A2D60AC0C2}" type="pres">
      <dgm:prSet presAssocID="{0C46EB46-67F5-41D8-A2C9-DE97704605F9}" presName="rootConnector1" presStyleLbl="node1" presStyleIdx="0" presStyleCnt="0"/>
      <dgm:spPr/>
    </dgm:pt>
    <dgm:pt modelId="{1B947D37-668B-4010-801C-D2B1EB52787E}" type="pres">
      <dgm:prSet presAssocID="{0C46EB46-67F5-41D8-A2C9-DE97704605F9}" presName="hierChild2" presStyleCnt="0"/>
      <dgm:spPr/>
    </dgm:pt>
    <dgm:pt modelId="{A7113BD8-6E86-49FC-8155-4989F89C8545}" type="pres">
      <dgm:prSet presAssocID="{F8B4D9FA-E87F-4A01-AF06-C5DA5386C871}" presName="Name64" presStyleLbl="parChTrans1D2" presStyleIdx="0" presStyleCnt="2"/>
      <dgm:spPr/>
    </dgm:pt>
    <dgm:pt modelId="{12C22261-BA6B-41FA-90AD-7E4AD0322244}" type="pres">
      <dgm:prSet presAssocID="{9386871D-15AE-4235-BE19-2D1899BEEF67}" presName="hierRoot2" presStyleCnt="0">
        <dgm:presLayoutVars>
          <dgm:hierBranch val="init"/>
        </dgm:presLayoutVars>
      </dgm:prSet>
      <dgm:spPr/>
    </dgm:pt>
    <dgm:pt modelId="{1DA03046-11E9-4401-A1E3-510775A8DEA5}" type="pres">
      <dgm:prSet presAssocID="{9386871D-15AE-4235-BE19-2D1899BEEF67}" presName="rootComposite" presStyleCnt="0"/>
      <dgm:spPr/>
    </dgm:pt>
    <dgm:pt modelId="{FCA72939-9446-466D-9F93-CE479C36668B}" type="pres">
      <dgm:prSet presAssocID="{9386871D-15AE-4235-BE19-2D1899BEEF67}" presName="rootText" presStyleLbl="node2" presStyleIdx="0" presStyleCnt="2">
        <dgm:presLayoutVars>
          <dgm:chPref val="3"/>
        </dgm:presLayoutVars>
      </dgm:prSet>
      <dgm:spPr/>
    </dgm:pt>
    <dgm:pt modelId="{19C2697C-5893-45CF-82C1-102D8660602F}" type="pres">
      <dgm:prSet presAssocID="{9386871D-15AE-4235-BE19-2D1899BEEF67}" presName="rootConnector" presStyleLbl="node2" presStyleIdx="0" presStyleCnt="2"/>
      <dgm:spPr/>
    </dgm:pt>
    <dgm:pt modelId="{E89A903D-0069-449B-8016-C91226F5FA58}" type="pres">
      <dgm:prSet presAssocID="{9386871D-15AE-4235-BE19-2D1899BEEF67}" presName="hierChild4" presStyleCnt="0"/>
      <dgm:spPr/>
    </dgm:pt>
    <dgm:pt modelId="{085B6482-B2BA-41E9-94EA-5B62383776E7}" type="pres">
      <dgm:prSet presAssocID="{9386871D-15AE-4235-BE19-2D1899BEEF67}" presName="hierChild5" presStyleCnt="0"/>
      <dgm:spPr/>
    </dgm:pt>
    <dgm:pt modelId="{DF46F225-DEC8-424F-AA4B-F529CF6A4CEF}" type="pres">
      <dgm:prSet presAssocID="{BEEA96C0-3904-40ED-882A-35004C219E4E}" presName="Name64" presStyleLbl="parChTrans1D2" presStyleIdx="1" presStyleCnt="2"/>
      <dgm:spPr/>
    </dgm:pt>
    <dgm:pt modelId="{735AFC54-55A8-408A-8F56-914AE34DEA8A}" type="pres">
      <dgm:prSet presAssocID="{BB10EE6F-F7C7-4BA8-B2A8-A83A305D70FE}" presName="hierRoot2" presStyleCnt="0">
        <dgm:presLayoutVars>
          <dgm:hierBranch val="init"/>
        </dgm:presLayoutVars>
      </dgm:prSet>
      <dgm:spPr/>
    </dgm:pt>
    <dgm:pt modelId="{350E06CA-F172-47FA-B6E8-84D80521B096}" type="pres">
      <dgm:prSet presAssocID="{BB10EE6F-F7C7-4BA8-B2A8-A83A305D70FE}" presName="rootComposite" presStyleCnt="0"/>
      <dgm:spPr/>
    </dgm:pt>
    <dgm:pt modelId="{A1795FDD-F21B-4219-BAA8-D6647C0A6BEF}" type="pres">
      <dgm:prSet presAssocID="{BB10EE6F-F7C7-4BA8-B2A8-A83A305D70FE}" presName="rootText" presStyleLbl="node2" presStyleIdx="1" presStyleCnt="2">
        <dgm:presLayoutVars>
          <dgm:chPref val="3"/>
        </dgm:presLayoutVars>
      </dgm:prSet>
      <dgm:spPr/>
    </dgm:pt>
    <dgm:pt modelId="{881712FD-1B4A-4D65-933E-E715E5A0A142}" type="pres">
      <dgm:prSet presAssocID="{BB10EE6F-F7C7-4BA8-B2A8-A83A305D70FE}" presName="rootConnector" presStyleLbl="node2" presStyleIdx="1" presStyleCnt="2"/>
      <dgm:spPr/>
    </dgm:pt>
    <dgm:pt modelId="{4CE315B7-2734-4C9F-AC85-54D70B59E65E}" type="pres">
      <dgm:prSet presAssocID="{BB10EE6F-F7C7-4BA8-B2A8-A83A305D70FE}" presName="hierChild4" presStyleCnt="0"/>
      <dgm:spPr/>
    </dgm:pt>
    <dgm:pt modelId="{D50F6E71-41CF-4A71-BB24-0327619AC22A}" type="pres">
      <dgm:prSet presAssocID="{BB10EE6F-F7C7-4BA8-B2A8-A83A305D70FE}" presName="hierChild5" presStyleCnt="0"/>
      <dgm:spPr/>
    </dgm:pt>
    <dgm:pt modelId="{643AAC54-B101-4430-881F-FB8BAC77957D}" type="pres">
      <dgm:prSet presAssocID="{0C46EB46-67F5-41D8-A2C9-DE97704605F9}" presName="hierChild3" presStyleCnt="0"/>
      <dgm:spPr/>
    </dgm:pt>
  </dgm:ptLst>
  <dgm:cxnLst>
    <dgm:cxn modelId="{0AEDA607-0AF1-495D-9B72-05E70F888267}" type="presOf" srcId="{82F53AE7-F4A9-4260-9D0A-70C98B25FF50}" destId="{D503EDDA-A0D8-4BF9-9750-3AA0DC8E426A}" srcOrd="0" destOrd="0" presId="urn:microsoft.com/office/officeart/2009/3/layout/HorizontalOrganizationChart"/>
    <dgm:cxn modelId="{ECCE8A08-5CE6-4811-B99A-A8363F4432B1}" type="presOf" srcId="{BEEA96C0-3904-40ED-882A-35004C219E4E}" destId="{DF46F225-DEC8-424F-AA4B-F529CF6A4CEF}" srcOrd="0" destOrd="0" presId="urn:microsoft.com/office/officeart/2009/3/layout/HorizontalOrganizationChart"/>
    <dgm:cxn modelId="{3561F81C-D245-4D8D-91B6-A8FCF0FEF82D}" type="presOf" srcId="{F8B4D9FA-E87F-4A01-AF06-C5DA5386C871}" destId="{A7113BD8-6E86-49FC-8155-4989F89C8545}" srcOrd="0" destOrd="0" presId="urn:microsoft.com/office/officeart/2009/3/layout/HorizontalOrganizationChart"/>
    <dgm:cxn modelId="{8025802A-E1BD-470E-8DA3-12CC711B29A3}" type="presOf" srcId="{9386871D-15AE-4235-BE19-2D1899BEEF67}" destId="{19C2697C-5893-45CF-82C1-102D8660602F}" srcOrd="1" destOrd="0" presId="urn:microsoft.com/office/officeart/2009/3/layout/HorizontalOrganizationChart"/>
    <dgm:cxn modelId="{39CE5430-0DC0-46CE-92D3-49ECAE90D27E}" type="presOf" srcId="{BB10EE6F-F7C7-4BA8-B2A8-A83A305D70FE}" destId="{881712FD-1B4A-4D65-933E-E715E5A0A142}" srcOrd="1" destOrd="0" presId="urn:microsoft.com/office/officeart/2009/3/layout/HorizontalOrganizationChart"/>
    <dgm:cxn modelId="{864C3D32-9B9D-4DA4-9EAA-F516E7CD4815}" type="presOf" srcId="{0C46EB46-67F5-41D8-A2C9-DE97704605F9}" destId="{AB12BB06-9AEA-42EB-BC1E-14962C24AC9C}" srcOrd="0" destOrd="0" presId="urn:microsoft.com/office/officeart/2009/3/layout/HorizontalOrganizationChart"/>
    <dgm:cxn modelId="{3CC75357-DFD3-4B94-A21E-1AB594DA485B}" srcId="{0C46EB46-67F5-41D8-A2C9-DE97704605F9}" destId="{BB10EE6F-F7C7-4BA8-B2A8-A83A305D70FE}" srcOrd="1" destOrd="0" parTransId="{BEEA96C0-3904-40ED-882A-35004C219E4E}" sibTransId="{B1016242-0713-4DE3-9198-62BACA102A95}"/>
    <dgm:cxn modelId="{38F25587-0678-4834-A8F8-C88C38A61E94}" type="presOf" srcId="{BB10EE6F-F7C7-4BA8-B2A8-A83A305D70FE}" destId="{A1795FDD-F21B-4219-BAA8-D6647C0A6BEF}" srcOrd="0" destOrd="0" presId="urn:microsoft.com/office/officeart/2009/3/layout/HorizontalOrganizationChart"/>
    <dgm:cxn modelId="{BD30F598-CFEB-4B0E-8E74-9E724871E316}" type="presOf" srcId="{9386871D-15AE-4235-BE19-2D1899BEEF67}" destId="{FCA72939-9446-466D-9F93-CE479C36668B}" srcOrd="0" destOrd="0" presId="urn:microsoft.com/office/officeart/2009/3/layout/HorizontalOrganizationChart"/>
    <dgm:cxn modelId="{831747E9-2F1B-4887-939D-E5078F91BC28}" srcId="{82F53AE7-F4A9-4260-9D0A-70C98B25FF50}" destId="{0C46EB46-67F5-41D8-A2C9-DE97704605F9}" srcOrd="0" destOrd="0" parTransId="{3FCBD4AA-9B28-470E-A38D-4061F387CB80}" sibTransId="{2B46789F-1212-4C00-8613-CB2408319D02}"/>
    <dgm:cxn modelId="{88A77AF3-BC73-42AC-A099-011A77245158}" srcId="{0C46EB46-67F5-41D8-A2C9-DE97704605F9}" destId="{9386871D-15AE-4235-BE19-2D1899BEEF67}" srcOrd="0" destOrd="0" parTransId="{F8B4D9FA-E87F-4A01-AF06-C5DA5386C871}" sibTransId="{C126A9ED-1B8D-48B4-9CD1-9D27B0D4457F}"/>
    <dgm:cxn modelId="{2B9384F4-7460-4739-91BE-F74AC6D920F7}" type="presOf" srcId="{0C46EB46-67F5-41D8-A2C9-DE97704605F9}" destId="{03A55298-C1C7-4931-8D79-85A2D60AC0C2}" srcOrd="1" destOrd="0" presId="urn:microsoft.com/office/officeart/2009/3/layout/HorizontalOrganizationChart"/>
    <dgm:cxn modelId="{6B723EDB-2529-432C-B63D-8C5AAB8FD5FE}" type="presParOf" srcId="{D503EDDA-A0D8-4BF9-9750-3AA0DC8E426A}" destId="{A38F459A-1893-418B-A58D-389D3855CD21}" srcOrd="0" destOrd="0" presId="urn:microsoft.com/office/officeart/2009/3/layout/HorizontalOrganizationChart"/>
    <dgm:cxn modelId="{A9FBD93A-6C12-47D0-AD7C-0E89AA4AEF1B}" type="presParOf" srcId="{A38F459A-1893-418B-A58D-389D3855CD21}" destId="{BE29E9CD-0618-4BF6-A06C-793EC822B3C0}" srcOrd="0" destOrd="0" presId="urn:microsoft.com/office/officeart/2009/3/layout/HorizontalOrganizationChart"/>
    <dgm:cxn modelId="{179EF37E-ABC0-4ABC-9DC8-2B4684BB8490}" type="presParOf" srcId="{BE29E9CD-0618-4BF6-A06C-793EC822B3C0}" destId="{AB12BB06-9AEA-42EB-BC1E-14962C24AC9C}" srcOrd="0" destOrd="0" presId="urn:microsoft.com/office/officeart/2009/3/layout/HorizontalOrganizationChart"/>
    <dgm:cxn modelId="{3378F660-FB89-4159-AA42-C19D3E37834C}" type="presParOf" srcId="{BE29E9CD-0618-4BF6-A06C-793EC822B3C0}" destId="{03A55298-C1C7-4931-8D79-85A2D60AC0C2}" srcOrd="1" destOrd="0" presId="urn:microsoft.com/office/officeart/2009/3/layout/HorizontalOrganizationChart"/>
    <dgm:cxn modelId="{16DC660F-D669-48C9-8E08-B347F7F5370F}" type="presParOf" srcId="{A38F459A-1893-418B-A58D-389D3855CD21}" destId="{1B947D37-668B-4010-801C-D2B1EB52787E}" srcOrd="1" destOrd="0" presId="urn:microsoft.com/office/officeart/2009/3/layout/HorizontalOrganizationChart"/>
    <dgm:cxn modelId="{889EE82C-5767-4B8D-AA98-2D6A94407665}" type="presParOf" srcId="{1B947D37-668B-4010-801C-D2B1EB52787E}" destId="{A7113BD8-6E86-49FC-8155-4989F89C8545}" srcOrd="0" destOrd="0" presId="urn:microsoft.com/office/officeart/2009/3/layout/HorizontalOrganizationChart"/>
    <dgm:cxn modelId="{679353CA-72E3-4D5C-83E3-3994BE5E2413}" type="presParOf" srcId="{1B947D37-668B-4010-801C-D2B1EB52787E}" destId="{12C22261-BA6B-41FA-90AD-7E4AD0322244}" srcOrd="1" destOrd="0" presId="urn:microsoft.com/office/officeart/2009/3/layout/HorizontalOrganizationChart"/>
    <dgm:cxn modelId="{9D8CEEEA-479E-4119-BF1F-789FE9F5E722}" type="presParOf" srcId="{12C22261-BA6B-41FA-90AD-7E4AD0322244}" destId="{1DA03046-11E9-4401-A1E3-510775A8DEA5}" srcOrd="0" destOrd="0" presId="urn:microsoft.com/office/officeart/2009/3/layout/HorizontalOrganizationChart"/>
    <dgm:cxn modelId="{AFC446A2-3388-41E8-B902-302DEAE0EADC}" type="presParOf" srcId="{1DA03046-11E9-4401-A1E3-510775A8DEA5}" destId="{FCA72939-9446-466D-9F93-CE479C36668B}" srcOrd="0" destOrd="0" presId="urn:microsoft.com/office/officeart/2009/3/layout/HorizontalOrganizationChart"/>
    <dgm:cxn modelId="{598B9AA5-B3EA-4B69-A618-726E28CC43FD}" type="presParOf" srcId="{1DA03046-11E9-4401-A1E3-510775A8DEA5}" destId="{19C2697C-5893-45CF-82C1-102D8660602F}" srcOrd="1" destOrd="0" presId="urn:microsoft.com/office/officeart/2009/3/layout/HorizontalOrganizationChart"/>
    <dgm:cxn modelId="{F08BCFAE-B1E7-4E0E-B535-C75BADA9E4DF}" type="presParOf" srcId="{12C22261-BA6B-41FA-90AD-7E4AD0322244}" destId="{E89A903D-0069-449B-8016-C91226F5FA58}" srcOrd="1" destOrd="0" presId="urn:microsoft.com/office/officeart/2009/3/layout/HorizontalOrganizationChart"/>
    <dgm:cxn modelId="{573F775C-26F2-4BD9-86C6-63242B386192}" type="presParOf" srcId="{12C22261-BA6B-41FA-90AD-7E4AD0322244}" destId="{085B6482-B2BA-41E9-94EA-5B62383776E7}" srcOrd="2" destOrd="0" presId="urn:microsoft.com/office/officeart/2009/3/layout/HorizontalOrganizationChart"/>
    <dgm:cxn modelId="{AE355A88-C7ED-46BC-9866-F0CDACEB70B8}" type="presParOf" srcId="{1B947D37-668B-4010-801C-D2B1EB52787E}" destId="{DF46F225-DEC8-424F-AA4B-F529CF6A4CEF}" srcOrd="2" destOrd="0" presId="urn:microsoft.com/office/officeart/2009/3/layout/HorizontalOrganizationChart"/>
    <dgm:cxn modelId="{9D0C807E-E4D9-4282-9B2E-608695B0B585}" type="presParOf" srcId="{1B947D37-668B-4010-801C-D2B1EB52787E}" destId="{735AFC54-55A8-408A-8F56-914AE34DEA8A}" srcOrd="3" destOrd="0" presId="urn:microsoft.com/office/officeart/2009/3/layout/HorizontalOrganizationChart"/>
    <dgm:cxn modelId="{2BE4D391-866C-4C3F-98FD-E34FAFA3BA7F}" type="presParOf" srcId="{735AFC54-55A8-408A-8F56-914AE34DEA8A}" destId="{350E06CA-F172-47FA-B6E8-84D80521B096}" srcOrd="0" destOrd="0" presId="urn:microsoft.com/office/officeart/2009/3/layout/HorizontalOrganizationChart"/>
    <dgm:cxn modelId="{BA4CBA51-2FDB-4D78-984C-91C3DAC88CF6}" type="presParOf" srcId="{350E06CA-F172-47FA-B6E8-84D80521B096}" destId="{A1795FDD-F21B-4219-BAA8-D6647C0A6BEF}" srcOrd="0" destOrd="0" presId="urn:microsoft.com/office/officeart/2009/3/layout/HorizontalOrganizationChart"/>
    <dgm:cxn modelId="{9C030A89-9E60-4D28-89D2-16514E40AD5A}" type="presParOf" srcId="{350E06CA-F172-47FA-B6E8-84D80521B096}" destId="{881712FD-1B4A-4D65-933E-E715E5A0A142}" srcOrd="1" destOrd="0" presId="urn:microsoft.com/office/officeart/2009/3/layout/HorizontalOrganizationChart"/>
    <dgm:cxn modelId="{7384E7AF-8E79-49EA-B020-111389FC5847}" type="presParOf" srcId="{735AFC54-55A8-408A-8F56-914AE34DEA8A}" destId="{4CE315B7-2734-4C9F-AC85-54D70B59E65E}" srcOrd="1" destOrd="0" presId="urn:microsoft.com/office/officeart/2009/3/layout/HorizontalOrganizationChart"/>
    <dgm:cxn modelId="{31813475-AC19-4589-92A9-13EC650FBD63}" type="presParOf" srcId="{735AFC54-55A8-408A-8F56-914AE34DEA8A}" destId="{D50F6E71-41CF-4A71-BB24-0327619AC22A}" srcOrd="2" destOrd="0" presId="urn:microsoft.com/office/officeart/2009/3/layout/HorizontalOrganizationChart"/>
    <dgm:cxn modelId="{29E78148-2296-4457-947A-AFEBC3775AD8}" type="presParOf" srcId="{A38F459A-1893-418B-A58D-389D3855CD21}" destId="{643AAC54-B101-4430-881F-FB8BAC77957D}" srcOrd="2" destOrd="0" presId="urn:microsoft.com/office/officeart/2009/3/layout/HorizontalOrganizationChart"/>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F46F225-DEC8-424F-AA4B-F529CF6A4CEF}">
      <dsp:nvSpPr>
        <dsp:cNvPr id="0" name=""/>
        <dsp:cNvSpPr/>
      </dsp:nvSpPr>
      <dsp:spPr>
        <a:xfrm>
          <a:off x="2942357" y="1600200"/>
          <a:ext cx="587839" cy="631927"/>
        </a:xfrm>
        <a:custGeom>
          <a:avLst/>
          <a:gdLst/>
          <a:ahLst/>
          <a:cxnLst/>
          <a:rect l="0" t="0" r="0" b="0"/>
          <a:pathLst>
            <a:path>
              <a:moveTo>
                <a:pt x="0" y="0"/>
              </a:moveTo>
              <a:lnTo>
                <a:pt x="293450" y="0"/>
              </a:lnTo>
              <a:lnTo>
                <a:pt x="293450" y="630917"/>
              </a:lnTo>
              <a:lnTo>
                <a:pt x="586900" y="630917"/>
              </a:lnTo>
            </a:path>
          </a:pathLst>
        </a:custGeom>
        <a:noFill/>
        <a:ln w="12700" cap="flat" cmpd="sng" algn="ctr">
          <a:solidFill>
            <a:srgbClr val="4472C4">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A7113BD8-6E86-49FC-8155-4989F89C8545}">
      <dsp:nvSpPr>
        <dsp:cNvPr id="0" name=""/>
        <dsp:cNvSpPr/>
      </dsp:nvSpPr>
      <dsp:spPr>
        <a:xfrm>
          <a:off x="2942357" y="968272"/>
          <a:ext cx="587839" cy="631927"/>
        </a:xfrm>
        <a:custGeom>
          <a:avLst/>
          <a:gdLst/>
          <a:ahLst/>
          <a:cxnLst/>
          <a:rect l="0" t="0" r="0" b="0"/>
          <a:pathLst>
            <a:path>
              <a:moveTo>
                <a:pt x="0" y="630917"/>
              </a:moveTo>
              <a:lnTo>
                <a:pt x="293450" y="630917"/>
              </a:lnTo>
              <a:lnTo>
                <a:pt x="293450" y="0"/>
              </a:lnTo>
              <a:lnTo>
                <a:pt x="586900" y="0"/>
              </a:lnTo>
            </a:path>
          </a:pathLst>
        </a:custGeom>
        <a:noFill/>
        <a:ln w="12700" cap="flat" cmpd="sng" algn="ctr">
          <a:solidFill>
            <a:srgbClr val="4472C4">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AB12BB06-9AEA-42EB-BC1E-14962C24AC9C}">
      <dsp:nvSpPr>
        <dsp:cNvPr id="0" name=""/>
        <dsp:cNvSpPr/>
      </dsp:nvSpPr>
      <dsp:spPr>
        <a:xfrm>
          <a:off x="3160" y="1151972"/>
          <a:ext cx="2939197" cy="896455"/>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065" tIns="12065" rIns="12065" bIns="12065" numCol="1" spcCol="1270" anchor="ctr" anchorCtr="0">
          <a:noAutofit/>
        </a:bodyPr>
        <a:lstStyle/>
        <a:p>
          <a:pPr marL="0" lvl="0" indent="0" algn="ctr" defTabSz="844550">
            <a:lnSpc>
              <a:spcPct val="90000"/>
            </a:lnSpc>
            <a:spcBef>
              <a:spcPct val="0"/>
            </a:spcBef>
            <a:spcAft>
              <a:spcPct val="35000"/>
            </a:spcAft>
            <a:buNone/>
          </a:pPr>
          <a:r>
            <a:rPr lang="en-US" sz="1900" kern="1200">
              <a:solidFill>
                <a:sysClr val="window" lastClr="FFFFFF"/>
              </a:solidFill>
              <a:latin typeface="Calibri" panose="020F0502020204030204"/>
              <a:ea typeface="+mn-ea"/>
              <a:cs typeface="+mn-cs"/>
            </a:rPr>
            <a:t>Wallet: ...anUH</a:t>
          </a:r>
        </a:p>
        <a:p>
          <a:pPr marL="0" lvl="0" indent="0" algn="ctr" defTabSz="844550">
            <a:lnSpc>
              <a:spcPct val="90000"/>
            </a:lnSpc>
            <a:spcBef>
              <a:spcPct val="0"/>
            </a:spcBef>
            <a:spcAft>
              <a:spcPct val="35000"/>
            </a:spcAft>
            <a:buNone/>
          </a:pPr>
          <a:r>
            <a:rPr lang="en-US" sz="1900" kern="1200">
              <a:solidFill>
                <a:sysClr val="window" lastClr="FFFFFF"/>
              </a:solidFill>
              <a:latin typeface="Calibri" panose="020F0502020204030204"/>
              <a:ea typeface="+mn-ea"/>
              <a:cs typeface="+mn-cs"/>
            </a:rPr>
            <a:t>Sent: .321 Bitcoins (~$73.68)</a:t>
          </a:r>
        </a:p>
      </dsp:txBody>
      <dsp:txXfrm>
        <a:off x="3160" y="1151972"/>
        <a:ext cx="2939197" cy="896455"/>
      </dsp:txXfrm>
    </dsp:sp>
    <dsp:sp modelId="{FCA72939-9446-466D-9F93-CE479C36668B}">
      <dsp:nvSpPr>
        <dsp:cNvPr id="0" name=""/>
        <dsp:cNvSpPr/>
      </dsp:nvSpPr>
      <dsp:spPr>
        <a:xfrm>
          <a:off x="3530197" y="520044"/>
          <a:ext cx="2939197" cy="896455"/>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065" tIns="12065" rIns="12065" bIns="12065" numCol="1" spcCol="1270" anchor="ctr" anchorCtr="0">
          <a:noAutofit/>
        </a:bodyPr>
        <a:lstStyle/>
        <a:p>
          <a:pPr marL="0" lvl="0" indent="0" algn="ctr" defTabSz="844550">
            <a:lnSpc>
              <a:spcPct val="90000"/>
            </a:lnSpc>
            <a:spcBef>
              <a:spcPct val="0"/>
            </a:spcBef>
            <a:spcAft>
              <a:spcPct val="35000"/>
            </a:spcAft>
            <a:buNone/>
          </a:pPr>
          <a:r>
            <a:rPr lang="en-US" sz="1900" kern="1200">
              <a:solidFill>
                <a:sysClr val="window" lastClr="FFFFFF"/>
              </a:solidFill>
              <a:latin typeface="Calibri" panose="020F0502020204030204"/>
              <a:ea typeface="+mn-ea"/>
              <a:cs typeface="+mn-cs"/>
            </a:rPr>
            <a:t>Wallet: ...K2UC </a:t>
          </a:r>
        </a:p>
        <a:p>
          <a:pPr marL="0" lvl="0" indent="0" algn="ctr" defTabSz="844550">
            <a:lnSpc>
              <a:spcPct val="90000"/>
            </a:lnSpc>
            <a:spcBef>
              <a:spcPct val="0"/>
            </a:spcBef>
            <a:spcAft>
              <a:spcPct val="35000"/>
            </a:spcAft>
            <a:buNone/>
          </a:pPr>
          <a:r>
            <a:rPr lang="en-US" sz="1900" kern="1200">
              <a:solidFill>
                <a:sysClr val="window" lastClr="FFFFFF"/>
              </a:solidFill>
              <a:latin typeface="Calibri" panose="020F0502020204030204"/>
              <a:ea typeface="+mn-ea"/>
              <a:cs typeface="+mn-cs"/>
            </a:rPr>
            <a:t>Received: .310 Bitcoins</a:t>
          </a:r>
        </a:p>
      </dsp:txBody>
      <dsp:txXfrm>
        <a:off x="3530197" y="520044"/>
        <a:ext cx="2939197" cy="896455"/>
      </dsp:txXfrm>
    </dsp:sp>
    <dsp:sp modelId="{A1795FDD-F21B-4219-BAA8-D6647C0A6BEF}">
      <dsp:nvSpPr>
        <dsp:cNvPr id="0" name=""/>
        <dsp:cNvSpPr/>
      </dsp:nvSpPr>
      <dsp:spPr>
        <a:xfrm>
          <a:off x="3530197" y="1783899"/>
          <a:ext cx="2939197" cy="896455"/>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065" tIns="12065" rIns="12065" bIns="12065" numCol="1" spcCol="1270" anchor="ctr" anchorCtr="0">
          <a:noAutofit/>
        </a:bodyPr>
        <a:lstStyle/>
        <a:p>
          <a:pPr marL="0" lvl="0" indent="0" algn="ctr" defTabSz="844550">
            <a:lnSpc>
              <a:spcPct val="90000"/>
            </a:lnSpc>
            <a:spcBef>
              <a:spcPct val="0"/>
            </a:spcBef>
            <a:spcAft>
              <a:spcPct val="35000"/>
            </a:spcAft>
            <a:buNone/>
          </a:pPr>
          <a:r>
            <a:rPr lang="en-US" sz="1900" kern="1200">
              <a:solidFill>
                <a:sysClr val="window" lastClr="FFFFFF"/>
              </a:solidFill>
              <a:latin typeface="Calibri" panose="020F0502020204030204"/>
              <a:ea typeface="+mn-ea"/>
              <a:cs typeface="+mn-cs"/>
            </a:rPr>
            <a:t>Wallet: ...sXZm </a:t>
          </a:r>
        </a:p>
        <a:p>
          <a:pPr marL="0" lvl="0" indent="0" algn="ctr" defTabSz="844550">
            <a:lnSpc>
              <a:spcPct val="90000"/>
            </a:lnSpc>
            <a:spcBef>
              <a:spcPct val="0"/>
            </a:spcBef>
            <a:spcAft>
              <a:spcPct val="35000"/>
            </a:spcAft>
            <a:buNone/>
          </a:pPr>
          <a:r>
            <a:rPr lang="en-US" sz="1900" kern="1200">
              <a:solidFill>
                <a:sysClr val="window" lastClr="FFFFFF"/>
              </a:solidFill>
              <a:latin typeface="Calibri" panose="020F0502020204030204"/>
              <a:ea typeface="+mn-ea"/>
              <a:cs typeface="+mn-cs"/>
            </a:rPr>
            <a:t>Received: .01 Bitcoin </a:t>
          </a:r>
        </a:p>
      </dsp:txBody>
      <dsp:txXfrm>
        <a:off x="3530197" y="1783899"/>
        <a:ext cx="2939197" cy="896455"/>
      </dsp:txXfrm>
    </dsp:sp>
  </dsp:spTree>
</dsp:drawing>
</file>

<file path=word/diagrams/layout1.xml><?xml version="1.0" encoding="utf-8"?>
<dgm:layoutDef xmlns:dgm="http://schemas.openxmlformats.org/drawingml/2006/diagram" xmlns:a="http://schemas.openxmlformats.org/drawingml/2006/main" uniqueId="urn:microsoft.com/office/officeart/2009/3/layout/HorizontalOrganizationChart">
  <dgm:title val=""/>
  <dgm:desc val=""/>
  <dgm:catLst>
    <dgm:cat type="hierarchy" pri="43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305"/>
      <dgm:constr type="w" for="des" forName="rootComposite" refType="w" fact="10"/>
      <dgm:constr type="h" for="des" forName="rootComposite" refType="w" refFor="des" refForName="rootComposite1" fact="0.305"/>
      <dgm:constr type="w" for="des" forName="rootComposite3" refType="w" fact="10"/>
      <dgm:constr type="h" for="des" forName="rootComposite3" refType="w" refFor="des" refForName="rootComposite1" fact="0.305"/>
      <dgm:constr type="primFontSz" for="des" ptType="node" op="equ"/>
      <dgm:constr type="sp" for="des" op="equ"/>
      <dgm:constr type="sp" for="des" forName="hierRoot1" refType="w" refFor="des" refForName="rootComposite1" fact="0.2"/>
      <dgm:constr type="sp" for="des" forName="hierRoot2" refType="sp" refFor="des" refForName="hierRoot1"/>
      <dgm:constr type="sp" for="des" forName="hierRoot3" refType="sp" refFor="des" refForName="hierRoot1"/>
      <dgm:constr type="sibSp" refType="w" refFor="des" refForName="rootComposite1" fact="0.125"/>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125"/>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func="var" arg="dir" op="equ" val="norm">
                  <dgm:alg type="hierRoot">
                    <dgm:param type="hierAlign" val="lT"/>
                  </dgm:alg>
                  <dgm:constrLst>
                    <dgm:constr type="alignOff" val="0.75"/>
                  </dgm:constrLst>
                </dgm:if>
                <dgm:else name="Name9">
                  <dgm:alg type="hierRoot">
                    <dgm:param type="hierAlign" val="rT"/>
                  </dgm:alg>
                  <dgm:constrLst>
                    <dgm:constr type="alignOff" val="0.75"/>
                  </dgm:constrLst>
                </dgm:else>
              </dgm:choose>
            </dgm:if>
            <dgm:if name="Name10" func="var" arg="hierBranch" op="equ" val="r">
              <dgm:choose name="Name11">
                <dgm:if name="Name12" func="var" arg="dir" op="equ" val="norm">
                  <dgm:alg type="hierRoot">
                    <dgm:param type="hierAlign" val="lB"/>
                  </dgm:alg>
                  <dgm:constrLst>
                    <dgm:constr type="alignOff" val="0.75"/>
                  </dgm:constrLst>
                </dgm:if>
                <dgm:else name="Name13">
                  <dgm:alg type="hierRoot">
                    <dgm:param type="hierAlign" val="rB"/>
                  </dgm:alg>
                  <dgm:constrLst>
                    <dgm:constr type="alignOff" val="0.75"/>
                  </dgm:constrLst>
                </dgm:else>
              </dgm:choose>
            </dgm:if>
            <dgm:if name="Name14" func="var" arg="hierBranch" op="equ" val="hang">
              <dgm:choose name="Name15">
                <dgm:if name="Name16" func="var" arg="dir" op="equ" val="norm">
                  <dgm:alg type="hierRoot">
                    <dgm:param type="hierAlign" val="lCtrCh"/>
                  </dgm:alg>
                  <dgm:constrLst>
                    <dgm:constr type="alignOff" val="0.65"/>
                  </dgm:constrLst>
                </dgm:if>
                <dgm:else name="Name17">
                  <dgm:alg type="hierRoot">
                    <dgm:param type="hierAlign" val="rCtrCh"/>
                  </dgm:alg>
                  <dgm:constrLst>
                    <dgm:constr type="alignOff" val="0.65"/>
                  </dgm:constrLst>
                </dgm:else>
              </dgm:choose>
            </dgm:if>
            <dgm:else name="Name18">
              <dgm:choose name="Name19">
                <dgm:if name="Name20" func="var" arg="dir" op="equ" val="norm">
                  <dgm:alg type="hierRoot">
                    <dgm:param type="hierAlign" val="lCtrCh"/>
                  </dgm:alg>
                  <dgm:constrLst>
                    <dgm:constr type="alignOff"/>
                    <dgm:constr type="bendDist" for="des" ptType="parTrans" refType="sp" fact="0.5"/>
                  </dgm:constrLst>
                </dgm:if>
                <dgm:else name="Name21">
                  <dgm:alg type="hierRoot">
                    <dgm:param type="hierAlign" val="rCtrCh"/>
                  </dgm:alg>
                  <dgm:constrLst>
                    <dgm:constr type="alignOff"/>
                    <dgm:constr type="bendDist" for="des" ptType="parTrans" refType="sp" fact="0.5"/>
                  </dgm:constrLst>
                </dgm:else>
              </dgm:choose>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22">
              <dgm:if name="Name23"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24"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25"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6">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7">
              <dgm:if name="Name28" func="var" arg="hierBranch" op="equ" val="l">
                <dgm:choose name="Name29">
                  <dgm:if name="Name30" func="var" arg="dir" op="equ" val="norm">
                    <dgm:alg type="hierChild">
                      <dgm:param type="chAlign" val="t"/>
                      <dgm:param type="linDir" val="fromL"/>
                    </dgm:alg>
                  </dgm:if>
                  <dgm:else name="Name31">
                    <dgm:alg type="hierChild">
                      <dgm:param type="chAlign" val="t"/>
                      <dgm:param type="linDir" val="fromR"/>
                    </dgm:alg>
                  </dgm:else>
                </dgm:choose>
              </dgm:if>
              <dgm:if name="Name32" func="var" arg="hierBranch" op="equ" val="r">
                <dgm:choose name="Name33">
                  <dgm:if name="Name34" func="var" arg="dir" op="equ" val="norm">
                    <dgm:alg type="hierChild">
                      <dgm:param type="chAlign" val="b"/>
                      <dgm:param type="linDir" val="fromL"/>
                    </dgm:alg>
                  </dgm:if>
                  <dgm:else name="Name35">
                    <dgm:alg type="hierChild">
                      <dgm:param type="chAlign" val="b"/>
                      <dgm:param type="linDir" val="fromR"/>
                    </dgm:alg>
                  </dgm:else>
                </dgm:choose>
              </dgm:if>
              <dgm:if name="Name36" func="var" arg="hierBranch" op="equ" val="hang">
                <dgm:choose name="Name37">
                  <dgm:if name="Name38" func="var" arg="dir" op="equ" val="norm">
                    <dgm:alg type="hierChild">
                      <dgm:param type="chAlign" val="l"/>
                      <dgm:param type="linDir" val="fromT"/>
                      <dgm:param type="secChAlign" val="t"/>
                      <dgm:param type="secLinDir" val="fromL"/>
                    </dgm:alg>
                  </dgm:if>
                  <dgm:else name="Name39">
                    <dgm:alg type="hierChild">
                      <dgm:param type="chAlign" val="r"/>
                      <dgm:param type="linDir" val="fromT"/>
                      <dgm:param type="secChAlign" val="t"/>
                      <dgm:param type="secLinDir" val="fromR"/>
                    </dgm:alg>
                  </dgm:else>
                </dgm:choose>
              </dgm:if>
              <dgm:else name="Name40">
                <dgm:choose name="Name41">
                  <dgm:if name="Name42" func="var" arg="dir" op="equ" val="norm">
                    <dgm:alg type="hierChild">
                      <dgm:param type="linDir" val="fromT"/>
                      <dgm:param type="chAlign" val="l"/>
                    </dgm:alg>
                  </dgm:if>
                  <dgm:else name="Name43">
                    <dgm:alg type="hierChild">
                      <dgm:param type="linDir" val="fromT"/>
                      <dgm:param type="chAlign" val="r"/>
                    </dgm:alg>
                  </dgm:else>
                </dgm:choose>
              </dgm:else>
            </dgm:choose>
            <dgm:shape xmlns:r="http://schemas.openxmlformats.org/officeDocument/2006/relationships" r:blip="">
              <dgm:adjLst/>
            </dgm:shape>
            <dgm:presOf/>
            <dgm:constrLst/>
            <dgm:ruleLst/>
            <dgm:forEach name="rep2a" axis="ch" ptType="nonAsst">
              <dgm:forEach name="Name44" axis="precedSib" ptType="parTrans" st="-1" cnt="1">
                <dgm:choose name="Name45">
                  <dgm:if name="Name46" func="var" arg="hierBranch" op="equ" val="hang">
                    <dgm:layoutNode name="Name47">
                      <dgm:choose name="Name48">
                        <dgm:if name="Name49" func="var" arg="dir" op="equ" val="norm">
                          <dgm:alg type="conn">
                            <dgm:param type="connRout" val="bend"/>
                            <dgm:param type="dim" val="1D"/>
                            <dgm:param type="endSty" val="noArr"/>
                            <dgm:param type="begPts" val="midR"/>
                            <dgm:param type="endPts" val="bCtr tCtr"/>
                          </dgm:alg>
                        </dgm:if>
                        <dgm:else name="Name50">
                          <dgm:alg type="conn">
                            <dgm:param type="connRout" val="bend"/>
                            <dgm:param type="dim" val="1D"/>
                            <dgm:param type="endSty" val="noArr"/>
                            <dgm:param type="begPts" val="midL"/>
                            <dgm:param type="endPts" val="bCtr tCtr"/>
                          </dgm:alg>
                        </dgm:else>
                      </dgm:choose>
                      <dgm:shape xmlns:r="http://schemas.openxmlformats.org/officeDocument/2006/relationships" type="conn" r:blip="" zOrderOff="-99999">
                        <dgm:adjLst/>
                      </dgm:shape>
                      <dgm:presOf axis="self"/>
                      <dgm:constrLst>
                        <dgm:constr type="begPad"/>
                        <dgm:constr type="endPad"/>
                      </dgm:constrLst>
                      <dgm:ruleLst/>
                    </dgm:layoutNode>
                  </dgm:if>
                  <dgm:if name="Name51" func="var" arg="hierBranch" op="equ" val="l">
                    <dgm:layoutNode name="Name52">
                      <dgm:choose name="Name53">
                        <dgm:if name="Name54" func="var" arg="dir" op="equ" val="norm">
                          <dgm:alg type="conn">
                            <dgm:param type="connRout" val="bend"/>
                            <dgm:param type="dim" val="1D"/>
                            <dgm:param type="endSty" val="noArr"/>
                            <dgm:param type="begPts" val="midR"/>
                            <dgm:param type="endPts" val="tCtr"/>
                          </dgm:alg>
                        </dgm:if>
                        <dgm:else name="Name55">
                          <dgm:alg type="conn">
                            <dgm:param type="connRout" val="bend"/>
                            <dgm:param type="dim" val="1D"/>
                            <dgm:param type="endSty" val="noArr"/>
                            <dgm:param type="begPts" val="midL"/>
                            <dgm:param type="endPts" val="tCtr"/>
                          </dgm:alg>
                        </dgm:else>
                      </dgm:choose>
                      <dgm:shape xmlns:r="http://schemas.openxmlformats.org/officeDocument/2006/relationships" type="conn" r:blip="" zOrderOff="-99999">
                        <dgm:adjLst/>
                      </dgm:shape>
                      <dgm:presOf axis="self"/>
                      <dgm:constrLst>
                        <dgm:constr type="begPad"/>
                        <dgm:constr type="endPad"/>
                      </dgm:constrLst>
                      <dgm:ruleLst/>
                    </dgm:layoutNode>
                  </dgm:if>
                  <dgm:if name="Name56" func="var" arg="hierBranch" op="equ" val="r">
                    <dgm:layoutNode name="Name57">
                      <dgm:choose name="Name58">
                        <dgm:if name="Name59" func="var" arg="dir" op="equ" val="norm">
                          <dgm:alg type="conn">
                            <dgm:param type="connRout" val="bend"/>
                            <dgm:param type="dim" val="1D"/>
                            <dgm:param type="endSty" val="noArr"/>
                            <dgm:param type="begPts" val="midR"/>
                            <dgm:param type="endPts" val="bCtr"/>
                          </dgm:alg>
                        </dgm:if>
                        <dgm:else name="Name60">
                          <dgm:alg type="conn">
                            <dgm:param type="connRout" val="bend"/>
                            <dgm:param type="dim" val="1D"/>
                            <dgm:param type="endSty" val="noArr"/>
                            <dgm:param type="begPts" val="midL"/>
                            <dgm:param type="endPts" val="bCtr"/>
                          </dgm:alg>
                        </dgm:else>
                      </dgm:choose>
                      <dgm:shape xmlns:r="http://schemas.openxmlformats.org/officeDocument/2006/relationships" type="conn" r:blip="" zOrderOff="-99999">
                        <dgm:adjLst/>
                      </dgm:shape>
                      <dgm:presOf axis="self"/>
                      <dgm:constrLst>
                        <dgm:constr type="begPad"/>
                        <dgm:constr type="endPad"/>
                      </dgm:constrLst>
                      <dgm:ruleLst/>
                    </dgm:layoutNode>
                  </dgm:if>
                  <dgm:else name="Name61">
                    <dgm:choose name="Name62">
                      <dgm:if name="Name63" func="var" arg="dir" op="equ" val="norm">
                        <dgm:layoutNode name="Name64">
                          <dgm:alg type="conn">
                            <dgm:param type="connRout" val="bend"/>
                            <dgm:param type="dim" val="1D"/>
                            <dgm:param type="endSty" val="noArr"/>
                            <dgm:param type="begPts" val="midR"/>
                            <dgm:param type="endPts" val="midL"/>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else name="Name65">
                        <dgm:layoutNode name="Name66">
                          <dgm:alg type="conn">
                            <dgm:param type="connRout" val="bend"/>
                            <dgm:param type="dim" val="1D"/>
                            <dgm:param type="endSty" val="noArr"/>
                            <dgm:param type="begPts" val="midL"/>
                            <dgm:param type="endPts" val="midR"/>
                            <dgm:param type="bendPt" val="end"/>
                          </dgm:alg>
                          <dgm:shape xmlns:r="http://schemas.openxmlformats.org/officeDocument/2006/relationships" type="conn" r:blip="" zOrderOff="-99999">
                            <dgm:adjLst/>
                          </dgm:shape>
                          <dgm:presOf axis="self"/>
                          <dgm:constrLst>
                            <dgm:constr type="begPad"/>
                            <dgm:constr type="endPad"/>
                          </dgm:constrLst>
                          <dgm:ruleLst/>
                        </dgm:layoutNode>
                      </dgm:else>
                    </dgm:choose>
                  </dgm:else>
                </dgm:choose>
              </dgm:forEach>
              <dgm:layoutNode name="hierRoot2">
                <dgm:varLst>
                  <dgm:hierBranch val="init"/>
                </dgm:varLst>
                <dgm:choose name="Name67">
                  <dgm:if name="Name68" func="var" arg="hierBranch" op="equ" val="l">
                    <dgm:choose name="Name69">
                      <dgm:if name="Name70" func="var" arg="dir" op="equ" val="norm">
                        <dgm:alg type="hierRoot">
                          <dgm:param type="hierAlign" val="lT"/>
                        </dgm:alg>
                        <dgm:constrLst>
                          <dgm:constr type="alignOff" val="0.75"/>
                        </dgm:constrLst>
                      </dgm:if>
                      <dgm:else name="Name71">
                        <dgm:alg type="hierRoot">
                          <dgm:param type="hierAlign" val="rT"/>
                        </dgm:alg>
                        <dgm:constrLst>
                          <dgm:constr type="alignOff" val="0.75"/>
                        </dgm:constrLst>
                      </dgm:else>
                    </dgm:choose>
                  </dgm:if>
                  <dgm:if name="Name72" func="var" arg="hierBranch" op="equ" val="r">
                    <dgm:choose name="Name73">
                      <dgm:if name="Name74" func="var" arg="dir" op="equ" val="norm">
                        <dgm:alg type="hierRoot">
                          <dgm:param type="hierAlign" val="lB"/>
                        </dgm:alg>
                        <dgm:constrLst>
                          <dgm:constr type="alignOff" val="0.75"/>
                        </dgm:constrLst>
                      </dgm:if>
                      <dgm:else name="Name75">
                        <dgm:alg type="hierRoot">
                          <dgm:param type="hierAlign" val="rB"/>
                        </dgm:alg>
                        <dgm:constrLst>
                          <dgm:constr type="alignOff" val="0.75"/>
                        </dgm:constrLst>
                      </dgm:else>
                    </dgm:choose>
                  </dgm:if>
                  <dgm:if name="Name76" func="var" arg="hierBranch" op="equ" val="hang">
                    <dgm:choose name="Name77">
                      <dgm:if name="Name78" func="var" arg="dir" op="equ" val="norm">
                        <dgm:alg type="hierRoot">
                          <dgm:param type="hierAlign" val="lCtrCh"/>
                        </dgm:alg>
                        <dgm:constrLst>
                          <dgm:constr type="alignOff" val="0.65"/>
                        </dgm:constrLst>
                      </dgm:if>
                      <dgm:else name="Name79">
                        <dgm:alg type="hierRoot">
                          <dgm:param type="hierAlign" val="rCtrCh"/>
                        </dgm:alg>
                        <dgm:constrLst>
                          <dgm:constr type="alignOff" val="0.65"/>
                        </dgm:constrLst>
                      </dgm:else>
                    </dgm:choose>
                  </dgm:if>
                  <dgm:else name="Name80">
                    <dgm:choose name="Name81">
                      <dgm:if name="Name82" func="var" arg="dir" op="equ" val="norm">
                        <dgm:alg type="hierRoot">
                          <dgm:param type="hierAlign" val="lCtrCh"/>
                        </dgm:alg>
                        <dgm:constrLst>
                          <dgm:constr type="alignOff"/>
                          <dgm:constr type="bendDist" for="des" ptType="parTrans" refType="sp" fact="0.5"/>
                        </dgm:constrLst>
                      </dgm:if>
                      <dgm:else name="Name83">
                        <dgm:alg type="hierRoot">
                          <dgm:param type="hierAlign" val="rCtrCh"/>
                        </dgm:alg>
                        <dgm:constrLst>
                          <dgm:constr type="alignOff"/>
                          <dgm:constr type="bendDist" for="des" ptType="parTrans" refType="sp" fact="0.5"/>
                        </dgm:constrLst>
                      </dgm:else>
                    </dgm:choose>
                  </dgm:else>
                </dgm:choose>
                <dgm:shape xmlns:r="http://schemas.openxmlformats.org/officeDocument/2006/relationships" r:blip="">
                  <dgm:adjLst/>
                </dgm:shape>
                <dgm:presOf/>
                <dgm:ruleLst/>
                <dgm:layoutNode name="rootComposite">
                  <dgm:alg type="composite"/>
                  <dgm:shape xmlns:r="http://schemas.openxmlformats.org/officeDocument/2006/relationships" r:blip="">
                    <dgm:adjLst/>
                  </dgm:shape>
                  <dgm:presOf axis="self" ptType="node" cnt="1"/>
                  <dgm:choose name="Name84">
                    <dgm:if name="Name85"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6"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7"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8">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9">
                    <dgm:if name="Name90" func="var" arg="hierBranch" op="equ" val="l">
                      <dgm:choose name="Name91">
                        <dgm:if name="Name92" func="var" arg="dir" op="equ" val="norm">
                          <dgm:alg type="hierChild">
                            <dgm:param type="chAlign" val="t"/>
                            <dgm:param type="linDir" val="fromL"/>
                          </dgm:alg>
                        </dgm:if>
                        <dgm:else name="Name93">
                          <dgm:alg type="hierChild">
                            <dgm:param type="chAlign" val="t"/>
                            <dgm:param type="linDir" val="fromR"/>
                          </dgm:alg>
                        </dgm:else>
                      </dgm:choose>
                    </dgm:if>
                    <dgm:if name="Name94" func="var" arg="hierBranch" op="equ" val="r">
                      <dgm:choose name="Name95">
                        <dgm:if name="Name96" func="var" arg="dir" op="equ" val="norm">
                          <dgm:alg type="hierChild">
                            <dgm:param type="chAlign" val="b"/>
                            <dgm:param type="linDir" val="fromL"/>
                          </dgm:alg>
                        </dgm:if>
                        <dgm:else name="Name97">
                          <dgm:alg type="hierChild">
                            <dgm:param type="chAlign" val="b"/>
                            <dgm:param type="linDir" val="fromR"/>
                          </dgm:alg>
                        </dgm:else>
                      </dgm:choose>
                    </dgm:if>
                    <dgm:if name="Name98" func="var" arg="hierBranch" op="equ" val="hang">
                      <dgm:choose name="Name99">
                        <dgm:if name="Name100" func="var" arg="dir" op="equ" val="norm">
                          <dgm:alg type="hierChild">
                            <dgm:param type="chAlign" val="l"/>
                            <dgm:param type="linDir" val="fromT"/>
                            <dgm:param type="secChAlign" val="t"/>
                            <dgm:param type="secLinDir" val="fromL"/>
                          </dgm:alg>
                        </dgm:if>
                        <dgm:else name="Name101">
                          <dgm:alg type="hierChild">
                            <dgm:param type="chAlign" val="r"/>
                            <dgm:param type="linDir" val="fromT"/>
                            <dgm:param type="secChAlign" val="t"/>
                            <dgm:param type="secLinDir" val="fromR"/>
                          </dgm:alg>
                        </dgm:else>
                      </dgm:choose>
                    </dgm:if>
                    <dgm:else name="Name102">
                      <dgm:choose name="Name103">
                        <dgm:if name="Name104" func="var" arg="dir" op="equ" val="norm">
                          <dgm:alg type="hierChild">
                            <dgm:param type="linDir" val="fromT"/>
                            <dgm:param type="chAlign" val="l"/>
                          </dgm:alg>
                        </dgm:if>
                        <dgm:else name="Name105">
                          <dgm:alg type="hierChild">
                            <dgm:param type="linDir" val="fromT"/>
                            <dgm:param type="chAlign" val="r"/>
                          </dgm:alg>
                        </dgm:else>
                      </dgm:choose>
                    </dgm:else>
                  </dgm:choose>
                  <dgm:shape xmlns:r="http://schemas.openxmlformats.org/officeDocument/2006/relationships" r:blip="">
                    <dgm:adjLst/>
                  </dgm:shape>
                  <dgm:presOf/>
                  <dgm:constrLst/>
                  <dgm:ruleLst/>
                  <dgm:forEach name="Name106" ref="rep2a"/>
                </dgm:layoutNode>
                <dgm:layoutNode name="hierChild5">
                  <dgm:choose name="Name107">
                    <dgm:if name="Name108" func="var" arg="dir" op="equ" val="norm">
                      <dgm:alg type="hierChild">
                        <dgm:param type="chAlign" val="l"/>
                        <dgm:param type="linDir" val="fromT"/>
                        <dgm:param type="secChAlign" val="t"/>
                        <dgm:param type="secLinDir" val="fromL"/>
                      </dgm:alg>
                    </dgm:if>
                    <dgm:else name="Name109">
                      <dgm:alg type="hierChild">
                        <dgm:param type="chAlign" val="r"/>
                        <dgm:param type="linDir" val="fromT"/>
                        <dgm:param type="secChAlign" val="t"/>
                        <dgm:param type="secLinDir" val="fromR"/>
                      </dgm:alg>
                    </dgm:else>
                  </dgm:choose>
                  <dgm:shape xmlns:r="http://schemas.openxmlformats.org/officeDocument/2006/relationships" r:blip="">
                    <dgm:adjLst/>
                  </dgm:shape>
                  <dgm:presOf/>
                  <dgm:constrLst/>
                  <dgm:ruleLst/>
                  <dgm:forEach name="Name110" ref="rep2b"/>
                </dgm:layoutNode>
              </dgm:layoutNode>
            </dgm:forEach>
          </dgm:layoutNode>
          <dgm:layoutNode name="hierChild3">
            <dgm:choose name="Name111">
              <dgm:if name="Name112" func="var" arg="dir" op="equ" val="norm">
                <dgm:alg type="hierChild">
                  <dgm:param type="chAlign" val="l"/>
                  <dgm:param type="linDir" val="fromT"/>
                  <dgm:param type="secChAlign" val="t"/>
                  <dgm:param type="secLinDir" val="fromL"/>
                </dgm:alg>
              </dgm:if>
              <dgm:else name="Name113">
                <dgm:alg type="hierChild">
                  <dgm:param type="chAlign" val="r"/>
                  <dgm:param type="linDir" val="fromT"/>
                  <dgm:param type="secChAlign" val="t"/>
                  <dgm:param type="secLinDir" val="fromR"/>
                </dgm:alg>
              </dgm:else>
            </dgm:choose>
            <dgm:shape xmlns:r="http://schemas.openxmlformats.org/officeDocument/2006/relationships" r:blip="">
              <dgm:adjLst/>
            </dgm:shape>
            <dgm:presOf/>
            <dgm:constrLst/>
            <dgm:ruleLst/>
            <dgm:forEach name="rep2b" axis="ch" ptType="asst">
              <dgm:forEach name="Name114" axis="precedSib" ptType="parTrans" st="-1" cnt="1">
                <dgm:layoutNode name="Name115">
                  <dgm:choose name="Name116">
                    <dgm:if name="Name117" func="var" arg="dir" op="equ" val="norm">
                      <dgm:alg type="conn">
                        <dgm:param type="connRout" val="bend"/>
                        <dgm:param type="dim" val="1D"/>
                        <dgm:param type="endSty" val="noArr"/>
                        <dgm:param type="begPts" val="midR"/>
                        <dgm:param type="endPts" val="bCtr tCtr"/>
                      </dgm:alg>
                    </dgm:if>
                    <dgm:else name="Name118">
                      <dgm:alg type="conn">
                        <dgm:param type="connRout" val="bend"/>
                        <dgm:param type="dim" val="1D"/>
                        <dgm:param type="endSty" val="noArr"/>
                        <dgm:param type="begPts" val="midL"/>
                        <dgm:param type="endPts" val="bCtr tCtr"/>
                      </dgm:alg>
                    </dgm:else>
                  </dgm:choose>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9">
                  <dgm:if name="Name120" func="var" arg="hierBranch" op="equ" val="l">
                    <dgm:choose name="Name121">
                      <dgm:if name="Name122" func="var" arg="dir" op="equ" val="norm">
                        <dgm:alg type="hierRoot">
                          <dgm:param type="hierAlign" val="lT"/>
                        </dgm:alg>
                        <dgm:constrLst>
                          <dgm:constr type="alignOff" val="0.75"/>
                        </dgm:constrLst>
                      </dgm:if>
                      <dgm:else name="Name123">
                        <dgm:alg type="hierRoot">
                          <dgm:param type="hierAlign" val="rT"/>
                        </dgm:alg>
                        <dgm:constrLst>
                          <dgm:constr type="alignOff" val="0.75"/>
                        </dgm:constrLst>
                      </dgm:else>
                    </dgm:choose>
                  </dgm:if>
                  <dgm:if name="Name124" func="var" arg="hierBranch" op="equ" val="r">
                    <dgm:choose name="Name125">
                      <dgm:if name="Name126" func="var" arg="dir" op="equ" val="norm">
                        <dgm:alg type="hierRoot">
                          <dgm:param type="hierAlign" val="lB"/>
                        </dgm:alg>
                        <dgm:constrLst>
                          <dgm:constr type="alignOff" val="0.75"/>
                        </dgm:constrLst>
                      </dgm:if>
                      <dgm:else name="Name127">
                        <dgm:alg type="hierRoot">
                          <dgm:param type="hierAlign" val="rB"/>
                        </dgm:alg>
                        <dgm:constrLst>
                          <dgm:constr type="alignOff" val="0.75"/>
                        </dgm:constrLst>
                      </dgm:else>
                    </dgm:choose>
                  </dgm:if>
                  <dgm:if name="Name128" func="var" arg="hierBranch" op="equ" val="hang">
                    <dgm:choose name="Name129">
                      <dgm:if name="Name130" func="var" arg="dir" op="equ" val="norm">
                        <dgm:alg type="hierRoot">
                          <dgm:param type="hierAlign" val="lCtrCh"/>
                        </dgm:alg>
                        <dgm:constrLst>
                          <dgm:constr type="alignOff" val="0.65"/>
                        </dgm:constrLst>
                      </dgm:if>
                      <dgm:else name="Name131">
                        <dgm:alg type="hierRoot">
                          <dgm:param type="hierAlign" val="rCtrCh"/>
                        </dgm:alg>
                        <dgm:constrLst>
                          <dgm:constr type="alignOff" val="0.65"/>
                        </dgm:constrLst>
                      </dgm:else>
                    </dgm:choose>
                  </dgm:if>
                  <dgm:else name="Name132">
                    <dgm:choose name="Name133">
                      <dgm:if name="Name134" func="var" arg="dir" op="equ" val="norm">
                        <dgm:alg type="hierRoot">
                          <dgm:param type="hierAlign" val="lCtrCh"/>
                        </dgm:alg>
                        <dgm:constrLst>
                          <dgm:constr type="alignOff"/>
                          <dgm:constr type="bendDist" for="des" ptType="parTrans" refType="sp" fact="0.5"/>
                        </dgm:constrLst>
                      </dgm:if>
                      <dgm:else name="Name135">
                        <dgm:alg type="hierRoot">
                          <dgm:param type="hierAlign" val="rCtrCh"/>
                        </dgm:alg>
                        <dgm:constrLst>
                          <dgm:constr type="alignOff"/>
                          <dgm:constr type="bendDist" for="des" ptType="parTrans" refType="sp" fact="0.5"/>
                        </dgm:constrLst>
                      </dgm:else>
                    </dgm:choose>
                  </dgm:else>
                </dgm:choose>
                <dgm:shape xmlns:r="http://schemas.openxmlformats.org/officeDocument/2006/relationships" r:blip="">
                  <dgm:adjLst/>
                </dgm:shape>
                <dgm:presOf/>
                <dgm:ruleLst/>
                <dgm:layoutNode name="rootComposite3">
                  <dgm:alg type="composite"/>
                  <dgm:shape xmlns:r="http://schemas.openxmlformats.org/officeDocument/2006/relationships" r:blip="">
                    <dgm:adjLst/>
                  </dgm:shape>
                  <dgm:presOf axis="self" ptType="node" cnt="1"/>
                  <dgm:choose name="Name136">
                    <dgm:if name="Name137"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38"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39"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40">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41">
                    <dgm:if name="Name142" func="var" arg="hierBranch" op="equ" val="l">
                      <dgm:choose name="Name143">
                        <dgm:if name="Name144" func="var" arg="dir" op="equ" val="norm">
                          <dgm:alg type="hierChild">
                            <dgm:param type="chAlign" val="t"/>
                            <dgm:param type="linDir" val="fromL"/>
                          </dgm:alg>
                        </dgm:if>
                        <dgm:else name="Name145">
                          <dgm:alg type="hierChild">
                            <dgm:param type="chAlign" val="t"/>
                            <dgm:param type="linDir" val="fromR"/>
                          </dgm:alg>
                        </dgm:else>
                      </dgm:choose>
                    </dgm:if>
                    <dgm:if name="Name146" func="var" arg="hierBranch" op="equ" val="r">
                      <dgm:choose name="Name147">
                        <dgm:if name="Name148" func="var" arg="dir" op="equ" val="norm">
                          <dgm:alg type="hierChild">
                            <dgm:param type="chAlign" val="b"/>
                            <dgm:param type="linDir" val="fromL"/>
                          </dgm:alg>
                        </dgm:if>
                        <dgm:else name="Name149">
                          <dgm:alg type="hierChild">
                            <dgm:param type="chAlign" val="b"/>
                            <dgm:param type="linDir" val="fromR"/>
                          </dgm:alg>
                        </dgm:else>
                      </dgm:choose>
                    </dgm:if>
                    <dgm:if name="Name150" func="var" arg="hierBranch" op="equ" val="hang">
                      <dgm:choose name="Name151">
                        <dgm:if name="Name152" func="var" arg="dir" op="equ" val="norm">
                          <dgm:alg type="hierChild">
                            <dgm:param type="chAlign" val="l"/>
                            <dgm:param type="linDir" val="fromT"/>
                            <dgm:param type="secChAlign" val="t"/>
                            <dgm:param type="secLinDir" val="fromL"/>
                          </dgm:alg>
                        </dgm:if>
                        <dgm:else name="Name153">
                          <dgm:alg type="hierChild">
                            <dgm:param type="chAlign" val="r"/>
                            <dgm:param type="linDir" val="fromT"/>
                            <dgm:param type="secChAlign" val="t"/>
                            <dgm:param type="secLinDir" val="fromR"/>
                          </dgm:alg>
                        </dgm:else>
                      </dgm:choose>
                    </dgm:if>
                    <dgm:else name="Name154">
                      <dgm:choose name="Name155">
                        <dgm:if name="Name156" func="var" arg="dir" op="equ" val="norm">
                          <dgm:alg type="hierChild">
                            <dgm:param type="linDir" val="fromT"/>
                            <dgm:param type="chAlign" val="l"/>
                          </dgm:alg>
                        </dgm:if>
                        <dgm:else name="Name157">
                          <dgm:alg type="hierChild">
                            <dgm:param type="linDir" val="fromT"/>
                            <dgm:param type="chAlign" val="r"/>
                          </dgm:alg>
                        </dgm:else>
                      </dgm:choose>
                    </dgm:else>
                  </dgm:choose>
                  <dgm:shape xmlns:r="http://schemas.openxmlformats.org/officeDocument/2006/relationships" r:blip="">
                    <dgm:adjLst/>
                  </dgm:shape>
                  <dgm:presOf/>
                  <dgm:constrLst/>
                  <dgm:ruleLst/>
                  <dgm:forEach name="Name158" ref="rep2a"/>
                </dgm:layoutNode>
                <dgm:layoutNode name="hierChild7">
                  <dgm:choose name="Name159">
                    <dgm:if name="Name160" func="var" arg="dir" op="equ" val="norm">
                      <dgm:alg type="hierChild">
                        <dgm:param type="chAlign" val="l"/>
                        <dgm:param type="linDir" val="fromT"/>
                        <dgm:param type="secChAlign" val="t"/>
                        <dgm:param type="secLinDir" val="fromL"/>
                      </dgm:alg>
                    </dgm:if>
                    <dgm:else name="Name161">
                      <dgm:alg type="hierChild">
                        <dgm:param type="chAlign" val="r"/>
                        <dgm:param type="linDir" val="fromT"/>
                        <dgm:param type="secChAlign" val="t"/>
                        <dgm:param type="secLinDir" val="fromR"/>
                      </dgm:alg>
                    </dgm:else>
                  </dgm:choose>
                  <dgm:shape xmlns:r="http://schemas.openxmlformats.org/officeDocument/2006/relationships" r:blip="">
                    <dgm:adjLst/>
                  </dgm:shape>
                  <dgm:presOf/>
                  <dgm:constrLst/>
                  <dgm:ruleLst/>
                  <dgm:forEach name="Name162"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63D5070-FABA-440C-9965-700E606BE0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29</Pages>
  <Words>8514</Words>
  <Characters>48536</Characters>
  <Application>Microsoft Office Word</Application>
  <DocSecurity>0</DocSecurity>
  <Lines>404</Lines>
  <Paragraphs>113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56937</CharactersWithSpaces>
  <SharedDoc>false</SharedDoc>
  <HLinks>
    <vt:vector size="24" baseType="variant">
      <vt:variant>
        <vt:i4>65621</vt:i4>
      </vt:variant>
      <vt:variant>
        <vt:i4>9</vt:i4>
      </vt:variant>
      <vt:variant>
        <vt:i4>0</vt:i4>
      </vt:variant>
      <vt:variant>
        <vt:i4>5</vt:i4>
      </vt:variant>
      <vt:variant>
        <vt:lpwstr>https://www.baltimoresun.com/news/nation-</vt:lpwstr>
      </vt:variant>
      <vt:variant>
        <vt:lpwstr/>
      </vt:variant>
      <vt:variant>
        <vt:i4>8192107</vt:i4>
      </vt:variant>
      <vt:variant>
        <vt:i4>6</vt:i4>
      </vt:variant>
      <vt:variant>
        <vt:i4>0</vt:i4>
      </vt:variant>
      <vt:variant>
        <vt:i4>5</vt:i4>
      </vt:variant>
      <vt:variant>
        <vt:lpwstr>https://doi.org/10.1177%2F00111287221092713</vt:lpwstr>
      </vt:variant>
      <vt:variant>
        <vt:lpwstr/>
      </vt:variant>
      <vt:variant>
        <vt:i4>6815779</vt:i4>
      </vt:variant>
      <vt:variant>
        <vt:i4>3</vt:i4>
      </vt:variant>
      <vt:variant>
        <vt:i4>0</vt:i4>
      </vt:variant>
      <vt:variant>
        <vt:i4>5</vt:i4>
      </vt:variant>
      <vt:variant>
        <vt:lpwstr>https://www.cnet.com/news/privacy/tor-browser-faq-what-is-it-and-how-does-it-protect-your-privacy/</vt:lpwstr>
      </vt:variant>
      <vt:variant>
        <vt:lpwstr/>
      </vt:variant>
      <vt:variant>
        <vt:i4>5636174</vt:i4>
      </vt:variant>
      <vt:variant>
        <vt:i4>0</vt:i4>
      </vt:variant>
      <vt:variant>
        <vt:i4>0</vt:i4>
      </vt:variant>
      <vt:variant>
        <vt:i4>5</vt:i4>
      </vt:variant>
      <vt:variant>
        <vt:lpwstr>https://www.chainalysis.com/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Dearden, Thomas</dc:creator>
  <cp:keywords/>
  <dc:description/>
  <cp:lastModifiedBy>Thomas Dearden</cp:lastModifiedBy>
  <cp:revision>4</cp:revision>
  <dcterms:created xsi:type="dcterms:W3CDTF">2022-09-29T13:11:00Z</dcterms:created>
  <dcterms:modified xsi:type="dcterms:W3CDTF">2023-02-15T14:10:00Z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http://www.zotero.org/styles/apa</vt:lpwstr>
  </property>
  <property fmtid="{D5CDD505-2E9C-101B-9397-08002B2CF9AE}" pid="3" name="Mendeley Recent Style Name 0_1">
    <vt:lpwstr>American Psychological Association 7th edition</vt:lpwstr>
  </property>
  <property fmtid="{D5CDD505-2E9C-101B-9397-08002B2CF9AE}" pid="4" name="Mendeley Recent Style Id 1_1">
    <vt:lpwstr>http://www.zotero.org/styles/american-sociological-association</vt:lpwstr>
  </property>
  <property fmtid="{D5CDD505-2E9C-101B-9397-08002B2CF9AE}" pid="5" name="Mendeley Recent Style Name 1_1">
    <vt:lpwstr>American Sociological Association</vt:lpwstr>
  </property>
  <property fmtid="{D5CDD505-2E9C-101B-9397-08002B2CF9AE}" pid="6" name="Mendeley Recent Style Id 2_1">
    <vt:lpwstr>http://www.zotero.org/styles/chicago-author-date</vt:lpwstr>
  </property>
  <property fmtid="{D5CDD505-2E9C-101B-9397-08002B2CF9AE}" pid="7" name="Mendeley Recent Style Name 2_1">
    <vt:lpwstr>Chicago Manual of Style 17th edition (author-date)</vt:lpwstr>
  </property>
  <property fmtid="{D5CDD505-2E9C-101B-9397-08002B2CF9AE}" pid="8" name="Mendeley Recent Style Id 3_1">
    <vt:lpwstr>http://www.zotero.org/styles/harvard-cite-them-right</vt:lpwstr>
  </property>
  <property fmtid="{D5CDD505-2E9C-101B-9397-08002B2CF9AE}" pid="9" name="Mendeley Recent Style Name 3_1">
    <vt:lpwstr>Cite Them Right 10th edition - Harvard</vt:lpwstr>
  </property>
  <property fmtid="{D5CDD505-2E9C-101B-9397-08002B2CF9AE}" pid="10" name="Mendeley Recent Style Id 4_1">
    <vt:lpwstr>http://www.zotero.org/styles/computers-in-human-behavior</vt:lpwstr>
  </property>
  <property fmtid="{D5CDD505-2E9C-101B-9397-08002B2CF9AE}" pid="11" name="Mendeley Recent Style Name 4_1">
    <vt:lpwstr>Computers in Human Behavior</vt:lpwstr>
  </property>
  <property fmtid="{D5CDD505-2E9C-101B-9397-08002B2CF9AE}" pid="12" name="Mendeley Recent Style Id 5_1">
    <vt:lpwstr>http://www.zotero.org/styles/decision-support-systems</vt:lpwstr>
  </property>
  <property fmtid="{D5CDD505-2E9C-101B-9397-08002B2CF9AE}" pid="13" name="Mendeley Recent Style Name 5_1">
    <vt:lpwstr>Decision Support Systems</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ies>
</file>