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038B" w:rsidRPr="00D52D06" w:rsidRDefault="003D038B" w:rsidP="003D038B">
      <w:pPr>
        <w:pStyle w:val="NoSpacing"/>
        <w:ind w:left="7200"/>
        <w:rPr>
          <w:rFonts w:ascii="Times New Roman" w:hAnsi="Times New Roman" w:cs="Times New Roman"/>
          <w:sz w:val="24"/>
          <w:szCs w:val="24"/>
        </w:rPr>
      </w:pPr>
      <w:r w:rsidRPr="00D52D06">
        <w:rPr>
          <w:rFonts w:ascii="Times New Roman" w:hAnsi="Times New Roman" w:cs="Times New Roman"/>
          <w:sz w:val="24"/>
          <w:szCs w:val="24"/>
        </w:rPr>
        <w:t>Sharon P Johnson</w:t>
      </w:r>
    </w:p>
    <w:p w:rsidR="003D038B" w:rsidRPr="00D52D06" w:rsidRDefault="003D038B" w:rsidP="003D038B">
      <w:pPr>
        <w:pStyle w:val="NoSpacing"/>
        <w:ind w:left="7200"/>
        <w:rPr>
          <w:rFonts w:ascii="Times New Roman" w:hAnsi="Times New Roman" w:cs="Times New Roman"/>
          <w:sz w:val="24"/>
          <w:szCs w:val="24"/>
        </w:rPr>
      </w:pPr>
      <w:hyperlink r:id="rId4" w:history="1">
        <w:r w:rsidRPr="00D52D06">
          <w:rPr>
            <w:rStyle w:val="Hyperlink"/>
            <w:rFonts w:ascii="Times New Roman" w:hAnsi="Times New Roman" w:cs="Times New Roman"/>
            <w:sz w:val="24"/>
            <w:szCs w:val="24"/>
          </w:rPr>
          <w:t>spjohnson@vt.edu</w:t>
        </w:r>
      </w:hyperlink>
    </w:p>
    <w:p w:rsidR="003D038B" w:rsidRPr="00D52D06" w:rsidRDefault="003D038B" w:rsidP="003D038B">
      <w:pPr>
        <w:pStyle w:val="NoSpacing"/>
        <w:ind w:left="7200"/>
        <w:rPr>
          <w:rFonts w:ascii="Times New Roman" w:hAnsi="Times New Roman" w:cs="Times New Roman"/>
          <w:sz w:val="24"/>
          <w:szCs w:val="24"/>
          <w:lang w:val="fr-FR"/>
        </w:rPr>
      </w:pPr>
      <w:r>
        <w:rPr>
          <w:rFonts w:ascii="Times New Roman" w:hAnsi="Times New Roman" w:cs="Times New Roman"/>
          <w:sz w:val="24"/>
          <w:szCs w:val="24"/>
          <w:lang w:val="fr-FR"/>
        </w:rPr>
        <w:t>500</w:t>
      </w:r>
      <w:r w:rsidRPr="00D52D06">
        <w:rPr>
          <w:rFonts w:ascii="Times New Roman" w:hAnsi="Times New Roman" w:cs="Times New Roman"/>
          <w:sz w:val="24"/>
          <w:szCs w:val="24"/>
          <w:lang w:val="fr-FR"/>
        </w:rPr>
        <w:t xml:space="preserve"> words</w:t>
      </w:r>
    </w:p>
    <w:p w:rsidR="003D038B" w:rsidRPr="00D52D06" w:rsidRDefault="003D038B" w:rsidP="003D038B">
      <w:pPr>
        <w:rPr>
          <w:rFonts w:ascii="Times New Roman" w:hAnsi="Times New Roman" w:cs="Times New Roman"/>
          <w:sz w:val="24"/>
          <w:szCs w:val="24"/>
          <w:lang w:val="fr-FR"/>
        </w:rPr>
      </w:pPr>
    </w:p>
    <w:p w:rsidR="003D038B" w:rsidRPr="00D52D06" w:rsidRDefault="003D038B" w:rsidP="003D038B">
      <w:pPr>
        <w:pStyle w:val="NoSpacing"/>
        <w:rPr>
          <w:rFonts w:ascii="Times New Roman" w:hAnsi="Times New Roman" w:cs="Times New Roman"/>
          <w:sz w:val="24"/>
          <w:szCs w:val="24"/>
        </w:rPr>
      </w:pPr>
      <w:r w:rsidRPr="00D52D06">
        <w:rPr>
          <w:rFonts w:ascii="Times New Roman" w:hAnsi="Times New Roman" w:cs="Times New Roman"/>
          <w:sz w:val="24"/>
          <w:szCs w:val="24"/>
          <w:lang w:val="fr-FR"/>
        </w:rPr>
        <w:t xml:space="preserve">MAS, MARION et FRANÇOIS KERLOUÉGAN, éd. </w:t>
      </w:r>
      <w:r w:rsidRPr="00D52D06">
        <w:rPr>
          <w:rFonts w:ascii="Times New Roman" w:hAnsi="Times New Roman" w:cs="Times New Roman"/>
          <w:sz w:val="24"/>
          <w:szCs w:val="24"/>
          <w:u w:val="single"/>
          <w:lang w:val="fr-FR"/>
        </w:rPr>
        <w:t>Le Code en toutes lettres: Écritures et réécritures du Code Civil au XIXe siècle</w:t>
      </w:r>
      <w:r w:rsidRPr="00D52D06">
        <w:rPr>
          <w:rFonts w:ascii="Times New Roman" w:hAnsi="Times New Roman" w:cs="Times New Roman"/>
          <w:sz w:val="24"/>
          <w:szCs w:val="24"/>
          <w:lang w:val="fr-FR"/>
        </w:rPr>
        <w:t xml:space="preserve">. </w:t>
      </w:r>
      <w:r w:rsidRPr="00D52D06">
        <w:rPr>
          <w:rFonts w:ascii="Times New Roman" w:hAnsi="Times New Roman" w:cs="Times New Roman"/>
          <w:sz w:val="24"/>
          <w:szCs w:val="24"/>
        </w:rPr>
        <w:t>Classiques Garnier, 2020. ISBN 978-2-406-10046-1. Pp. 309.</w:t>
      </w:r>
    </w:p>
    <w:p w:rsidR="003D038B" w:rsidRPr="00D52D06" w:rsidRDefault="003D038B" w:rsidP="003D038B">
      <w:pPr>
        <w:rPr>
          <w:rFonts w:ascii="Times New Roman" w:hAnsi="Times New Roman" w:cs="Times New Roman"/>
          <w:sz w:val="24"/>
          <w:szCs w:val="24"/>
        </w:rPr>
      </w:pPr>
    </w:p>
    <w:p w:rsidR="003D038B" w:rsidRDefault="003D038B" w:rsidP="003D038B">
      <w:pPr>
        <w:pStyle w:val="NoSpacing"/>
        <w:spacing w:line="480" w:lineRule="auto"/>
        <w:rPr>
          <w:rFonts w:ascii="Times New Roman" w:hAnsi="Times New Roman" w:cs="Times New Roman"/>
          <w:sz w:val="24"/>
          <w:szCs w:val="24"/>
        </w:rPr>
      </w:pPr>
      <w:r w:rsidRPr="00D52D06">
        <w:rPr>
          <w:rFonts w:ascii="Times New Roman" w:hAnsi="Times New Roman" w:cs="Times New Roman"/>
          <w:sz w:val="24"/>
          <w:szCs w:val="24"/>
        </w:rPr>
        <w:t>The study of law and literature elucidates commonalities, reciprocal inspirations or injustices found within both discourses and foregrounds the “narrativité du code civil</w:t>
      </w:r>
      <w:r>
        <w:rPr>
          <w:rFonts w:ascii="Times New Roman" w:hAnsi="Times New Roman" w:cs="Times New Roman"/>
          <w:sz w:val="24"/>
          <w:szCs w:val="24"/>
        </w:rPr>
        <w:t>”</w:t>
      </w:r>
      <w:r w:rsidRPr="00D52D06">
        <w:rPr>
          <w:rFonts w:ascii="Times New Roman" w:hAnsi="Times New Roman" w:cs="Times New Roman"/>
          <w:sz w:val="24"/>
          <w:szCs w:val="24"/>
        </w:rPr>
        <w:t xml:space="preserve"> </w:t>
      </w:r>
      <w:r>
        <w:rPr>
          <w:rFonts w:ascii="Times New Roman" w:hAnsi="Times New Roman" w:cs="Times New Roman"/>
          <w:sz w:val="24"/>
          <w:szCs w:val="24"/>
        </w:rPr>
        <w:t>and the “</w:t>
      </w:r>
      <w:r w:rsidRPr="00D52D06">
        <w:rPr>
          <w:rFonts w:ascii="Times New Roman" w:hAnsi="Times New Roman" w:cs="Times New Roman"/>
          <w:sz w:val="24"/>
          <w:szCs w:val="24"/>
        </w:rPr>
        <w:t xml:space="preserve">juridicité du roman” (Introduction  26). Social problems, moral issues and exegetic questions </w:t>
      </w:r>
      <w:r w:rsidR="00CA112F">
        <w:rPr>
          <w:rFonts w:ascii="Times New Roman" w:hAnsi="Times New Roman" w:cs="Times New Roman"/>
          <w:sz w:val="24"/>
          <w:szCs w:val="24"/>
        </w:rPr>
        <w:t>sharpen by studying literature</w:t>
      </w:r>
      <w:r w:rsidRPr="00D52D06">
        <w:rPr>
          <w:rFonts w:ascii="Times New Roman" w:hAnsi="Times New Roman" w:cs="Times New Roman"/>
          <w:sz w:val="24"/>
          <w:szCs w:val="24"/>
        </w:rPr>
        <w:t xml:space="preserve"> and the Code’s style, narratives or reception. This scholarly collection of 12 essays </w:t>
      </w:r>
      <w:r>
        <w:rPr>
          <w:rFonts w:ascii="Times New Roman" w:hAnsi="Times New Roman" w:cs="Times New Roman"/>
          <w:sz w:val="24"/>
          <w:szCs w:val="24"/>
        </w:rPr>
        <w:t xml:space="preserve">and </w:t>
      </w:r>
      <w:r w:rsidRPr="00D52D06">
        <w:rPr>
          <w:rFonts w:ascii="Times New Roman" w:hAnsi="Times New Roman" w:cs="Times New Roman"/>
          <w:sz w:val="24"/>
          <w:szCs w:val="24"/>
        </w:rPr>
        <w:t xml:space="preserve">introduction, </w:t>
      </w:r>
      <w:r>
        <w:rPr>
          <w:rFonts w:ascii="Times New Roman" w:hAnsi="Times New Roman" w:cs="Times New Roman"/>
          <w:sz w:val="24"/>
          <w:szCs w:val="24"/>
        </w:rPr>
        <w:t>each exquisitely researched</w:t>
      </w:r>
      <w:r w:rsidRPr="00D52D06">
        <w:rPr>
          <w:rFonts w:ascii="Times New Roman" w:hAnsi="Times New Roman" w:cs="Times New Roman"/>
          <w:sz w:val="24"/>
          <w:szCs w:val="24"/>
        </w:rPr>
        <w:t>, analyze</w:t>
      </w:r>
      <w:r>
        <w:rPr>
          <w:rFonts w:ascii="Times New Roman" w:hAnsi="Times New Roman" w:cs="Times New Roman"/>
          <w:sz w:val="24"/>
          <w:szCs w:val="24"/>
        </w:rPr>
        <w:t xml:space="preserve"> and interrogate</w:t>
      </w:r>
      <w:r w:rsidRPr="00D52D06">
        <w:rPr>
          <w:rFonts w:ascii="Times New Roman" w:hAnsi="Times New Roman" w:cs="Times New Roman"/>
          <w:sz w:val="24"/>
          <w:szCs w:val="24"/>
        </w:rPr>
        <w:t xml:space="preserve"> France’s 1804 </w:t>
      </w:r>
      <w:r w:rsidRPr="00D52D06">
        <w:rPr>
          <w:rFonts w:ascii="Times New Roman" w:hAnsi="Times New Roman" w:cs="Times New Roman"/>
          <w:i/>
          <w:sz w:val="24"/>
          <w:szCs w:val="24"/>
        </w:rPr>
        <w:t>Code civil</w:t>
      </w:r>
      <w:r w:rsidRPr="00D52D06">
        <w:rPr>
          <w:rFonts w:ascii="Times New Roman" w:hAnsi="Times New Roman" w:cs="Times New Roman"/>
          <w:sz w:val="24"/>
          <w:szCs w:val="24"/>
        </w:rPr>
        <w:t>, an evolving, living document. When focusing solely on the Code, contributors enlighten readers how 19</w:t>
      </w:r>
      <w:r w:rsidRPr="00D52D06">
        <w:rPr>
          <w:rFonts w:ascii="Times New Roman" w:hAnsi="Times New Roman" w:cs="Times New Roman"/>
          <w:sz w:val="24"/>
          <w:szCs w:val="24"/>
          <w:vertAlign w:val="superscript"/>
        </w:rPr>
        <w:t>th</w:t>
      </w:r>
      <w:r w:rsidRPr="00D52D06">
        <w:rPr>
          <w:rFonts w:ascii="Times New Roman" w:hAnsi="Times New Roman" w:cs="Times New Roman"/>
          <w:sz w:val="24"/>
          <w:szCs w:val="24"/>
        </w:rPr>
        <w:t xml:space="preserve">-century authors celebrated its poetic and lapidary qualities. When rearticulated in verse to popularize the law, the Code’s “imperialism” of the French language was secured (Le Bos 89). The blurring of the articles’ descriptions, definitions and prescriptions, not all meant to be normative, sometimes have that function, allowing revisions over time (Dissaux). Likewise, articles’ clarifications </w:t>
      </w:r>
      <w:r>
        <w:rPr>
          <w:rFonts w:ascii="Times New Roman" w:hAnsi="Times New Roman" w:cs="Times New Roman"/>
          <w:sz w:val="24"/>
          <w:szCs w:val="24"/>
        </w:rPr>
        <w:t xml:space="preserve">and specifications </w:t>
      </w:r>
      <w:r w:rsidRPr="00D52D06">
        <w:rPr>
          <w:rFonts w:ascii="Times New Roman" w:hAnsi="Times New Roman" w:cs="Times New Roman"/>
          <w:sz w:val="24"/>
          <w:szCs w:val="24"/>
        </w:rPr>
        <w:t>can paradoxically muddle the law, creating a slippage that also opens up their interpretation (Chantepie). Stylistic indeterminacy occasionally bears the mark of 19</w:t>
      </w:r>
      <w:r w:rsidRPr="00D52D06">
        <w:rPr>
          <w:rFonts w:ascii="Times New Roman" w:hAnsi="Times New Roman" w:cs="Times New Roman"/>
          <w:sz w:val="24"/>
          <w:szCs w:val="24"/>
          <w:vertAlign w:val="superscript"/>
        </w:rPr>
        <w:t>th</w:t>
      </w:r>
      <w:r w:rsidRPr="00D52D06">
        <w:rPr>
          <w:rFonts w:ascii="Times New Roman" w:hAnsi="Times New Roman" w:cs="Times New Roman"/>
          <w:sz w:val="24"/>
          <w:szCs w:val="24"/>
        </w:rPr>
        <w:t xml:space="preserve">-century norm; article 1374 states a business manager must uphold all his dealings with the care of a </w:t>
      </w:r>
      <w:r w:rsidRPr="00D52D06">
        <w:rPr>
          <w:rFonts w:ascii="Times New Roman" w:hAnsi="Times New Roman" w:cs="Times New Roman"/>
          <w:i/>
          <w:sz w:val="24"/>
          <w:szCs w:val="24"/>
        </w:rPr>
        <w:t>bon père de famille</w:t>
      </w:r>
      <w:r w:rsidRPr="00D52D06">
        <w:rPr>
          <w:rFonts w:ascii="Times New Roman" w:hAnsi="Times New Roman" w:cs="Times New Roman"/>
          <w:sz w:val="24"/>
          <w:szCs w:val="24"/>
        </w:rPr>
        <w:t>, a standard or an ideal with which legislators interpreted the law (Chantipie, my emphasis 74-75). While the Civil code inspired literary imagination, Glaumaud-Carbonnier and Defferrand demonstrate five cases where literary narratives and new genres influenced the law. Sand’s texts often interrogated marital laws, and when critiqued by Nisard in 1826, the author’s astute</w:t>
      </w:r>
      <w:r>
        <w:rPr>
          <w:rFonts w:ascii="Times New Roman" w:hAnsi="Times New Roman" w:cs="Times New Roman"/>
          <w:sz w:val="24"/>
          <w:szCs w:val="24"/>
        </w:rPr>
        <w:t>, swift</w:t>
      </w:r>
      <w:r w:rsidRPr="00D52D06">
        <w:rPr>
          <w:rFonts w:ascii="Times New Roman" w:hAnsi="Times New Roman" w:cs="Times New Roman"/>
          <w:sz w:val="24"/>
          <w:szCs w:val="24"/>
        </w:rPr>
        <w:t xml:space="preserve"> response leads McCall to conclude that Sand’s fiction promulgated a more “civil” code and thus a civil nation (239, 241)</w:t>
      </w:r>
      <w:r w:rsidRPr="00D52D06">
        <w:rPr>
          <w:rFonts w:ascii="Times New Roman" w:hAnsi="Times New Roman" w:cs="Times New Roman"/>
          <w:i/>
          <w:sz w:val="24"/>
          <w:szCs w:val="24"/>
        </w:rPr>
        <w:t xml:space="preserve">. </w:t>
      </w:r>
      <w:r>
        <w:rPr>
          <w:rFonts w:ascii="Times New Roman" w:hAnsi="Times New Roman" w:cs="Times New Roman"/>
          <w:sz w:val="24"/>
          <w:szCs w:val="24"/>
        </w:rPr>
        <w:t>Vé</w:t>
      </w:r>
      <w:r w:rsidRPr="00D52D06">
        <w:rPr>
          <w:rFonts w:ascii="Times New Roman" w:hAnsi="Times New Roman" w:cs="Times New Roman"/>
          <w:sz w:val="24"/>
          <w:szCs w:val="24"/>
        </w:rPr>
        <w:t xml:space="preserve">ron </w:t>
      </w:r>
      <w:r w:rsidRPr="00D52D06">
        <w:rPr>
          <w:rFonts w:ascii="Times New Roman" w:hAnsi="Times New Roman" w:cs="Times New Roman"/>
          <w:sz w:val="24"/>
          <w:szCs w:val="24"/>
        </w:rPr>
        <w:lastRenderedPageBreak/>
        <w:t>highlights three balzacian novels that wove together his textual poetics with judicial discourses, dramatizing legal dilemmas that resisted the patriarchal order of the Code. (198). Zola buttressed his naturalist vision employing the law and legal events to reflect characters’ machinations and destinies. His depictions of the Code underscored his ridicule for France’s social system and his pessimism (Coutant 260). Throughout the century many conduct books (</w:t>
      </w:r>
      <w:r w:rsidRPr="00D52D06">
        <w:rPr>
          <w:rFonts w:ascii="Times New Roman" w:hAnsi="Times New Roman" w:cs="Times New Roman"/>
          <w:i/>
          <w:sz w:val="24"/>
          <w:szCs w:val="24"/>
        </w:rPr>
        <w:t>Codes</w:t>
      </w:r>
      <w:r w:rsidRPr="00D52D06">
        <w:rPr>
          <w:rFonts w:ascii="Times New Roman" w:hAnsi="Times New Roman" w:cs="Times New Roman"/>
          <w:sz w:val="24"/>
          <w:szCs w:val="24"/>
        </w:rPr>
        <w:t xml:space="preserve">) appeared. Patriarchal norms undergirded Guichard’s presentation of marital laws in </w:t>
      </w:r>
      <w:r w:rsidRPr="00D52D06">
        <w:rPr>
          <w:rFonts w:ascii="Times New Roman" w:hAnsi="Times New Roman" w:cs="Times New Roman"/>
          <w:i/>
          <w:sz w:val="24"/>
          <w:szCs w:val="24"/>
        </w:rPr>
        <w:t xml:space="preserve">Le Code des femmes </w:t>
      </w:r>
      <w:r w:rsidRPr="00D52D06">
        <w:rPr>
          <w:rFonts w:ascii="Times New Roman" w:hAnsi="Times New Roman" w:cs="Times New Roman"/>
          <w:sz w:val="24"/>
          <w:szCs w:val="24"/>
        </w:rPr>
        <w:t xml:space="preserve">(1823). Newly created legal booklets and the press’s judicial columns, summaries or table of contents appeared in numerous newspapers; their treatment of the Code varied from serious, novelistic and comical to copy resembling the society pages. The hybridization and porous boundaries between the factual and fictional was a common trait of </w:t>
      </w:r>
      <w:r>
        <w:rPr>
          <w:rFonts w:ascii="Times New Roman" w:hAnsi="Times New Roman" w:cs="Times New Roman"/>
          <w:sz w:val="24"/>
          <w:szCs w:val="24"/>
        </w:rPr>
        <w:t xml:space="preserve">many </w:t>
      </w:r>
      <w:r w:rsidRPr="00D52D06">
        <w:rPr>
          <w:rFonts w:ascii="Times New Roman" w:hAnsi="Times New Roman" w:cs="Times New Roman"/>
          <w:sz w:val="24"/>
          <w:szCs w:val="24"/>
        </w:rPr>
        <w:t xml:space="preserve">press reports (Chabrier). This same hybridity existed in </w:t>
      </w:r>
      <w:r w:rsidRPr="00D52D06">
        <w:rPr>
          <w:rFonts w:ascii="Times New Roman" w:hAnsi="Times New Roman" w:cs="Times New Roman"/>
          <w:i/>
          <w:sz w:val="24"/>
          <w:szCs w:val="24"/>
        </w:rPr>
        <w:t>Le Code des femmes</w:t>
      </w:r>
      <w:r w:rsidR="00CA112F">
        <w:rPr>
          <w:rFonts w:ascii="Times New Roman" w:hAnsi="Times New Roman" w:cs="Times New Roman"/>
          <w:sz w:val="24"/>
          <w:szCs w:val="24"/>
        </w:rPr>
        <w:t>,</w:t>
      </w:r>
      <w:r w:rsidRPr="00D52D06">
        <w:rPr>
          <w:rFonts w:ascii="Times New Roman" w:hAnsi="Times New Roman" w:cs="Times New Roman"/>
          <w:sz w:val="24"/>
          <w:szCs w:val="24"/>
        </w:rPr>
        <w:t xml:space="preserve"> which took legal cases related to marital issues and fictionalized them for didactic purposes (Mas). Raisson’s </w:t>
      </w:r>
      <w:r w:rsidRPr="00D52D06">
        <w:rPr>
          <w:rFonts w:ascii="Times New Roman" w:hAnsi="Times New Roman" w:cs="Times New Roman"/>
          <w:i/>
          <w:sz w:val="24"/>
          <w:szCs w:val="24"/>
        </w:rPr>
        <w:t xml:space="preserve">Code Gourmand </w:t>
      </w:r>
      <w:r w:rsidRPr="00D52D06">
        <w:rPr>
          <w:rFonts w:ascii="Times New Roman" w:hAnsi="Times New Roman" w:cs="Times New Roman"/>
          <w:sz w:val="24"/>
          <w:szCs w:val="24"/>
        </w:rPr>
        <w:t xml:space="preserve">(1827) codified </w:t>
      </w:r>
      <w:r w:rsidRPr="00D52D06">
        <w:rPr>
          <w:rFonts w:ascii="Times New Roman" w:hAnsi="Times New Roman" w:cs="Times New Roman"/>
          <w:i/>
          <w:sz w:val="24"/>
          <w:szCs w:val="24"/>
        </w:rPr>
        <w:t>l’art de la table</w:t>
      </w:r>
      <w:r w:rsidRPr="00D52D06">
        <w:rPr>
          <w:rFonts w:ascii="Times New Roman" w:hAnsi="Times New Roman" w:cs="Times New Roman"/>
          <w:sz w:val="24"/>
          <w:szCs w:val="24"/>
        </w:rPr>
        <w:t>,</w:t>
      </w:r>
      <w:r w:rsidRPr="00D52D06">
        <w:rPr>
          <w:rFonts w:ascii="Times New Roman" w:hAnsi="Times New Roman" w:cs="Times New Roman"/>
          <w:i/>
          <w:sz w:val="24"/>
          <w:szCs w:val="24"/>
        </w:rPr>
        <w:t xml:space="preserve"> </w:t>
      </w:r>
      <w:r w:rsidRPr="00D52D06">
        <w:rPr>
          <w:rFonts w:ascii="Times New Roman" w:hAnsi="Times New Roman" w:cs="Times New Roman"/>
          <w:sz w:val="24"/>
          <w:szCs w:val="24"/>
        </w:rPr>
        <w:t>modeling its etiquette of civility after the</w:t>
      </w:r>
      <w:r>
        <w:rPr>
          <w:rFonts w:ascii="Times New Roman" w:hAnsi="Times New Roman" w:cs="Times New Roman"/>
          <w:sz w:val="24"/>
          <w:szCs w:val="24"/>
        </w:rPr>
        <w:t xml:space="preserve"> law’s </w:t>
      </w:r>
      <w:r w:rsidRPr="00D52D06">
        <w:rPr>
          <w:rFonts w:ascii="Times New Roman" w:hAnsi="Times New Roman" w:cs="Times New Roman"/>
          <w:sz w:val="24"/>
          <w:szCs w:val="24"/>
        </w:rPr>
        <w:t xml:space="preserve">authority (Marquer 158). Raisson’s </w:t>
      </w:r>
      <w:r w:rsidRPr="00D52D06">
        <w:rPr>
          <w:rFonts w:ascii="Times New Roman" w:hAnsi="Times New Roman" w:cs="Times New Roman"/>
          <w:i/>
          <w:sz w:val="24"/>
          <w:szCs w:val="24"/>
        </w:rPr>
        <w:t xml:space="preserve">Code Civil </w:t>
      </w:r>
      <w:r w:rsidRPr="00D52D06">
        <w:rPr>
          <w:rFonts w:ascii="Times New Roman" w:hAnsi="Times New Roman" w:cs="Times New Roman"/>
          <w:sz w:val="24"/>
          <w:szCs w:val="24"/>
        </w:rPr>
        <w:t>(1828) did the same when defining social comportments. While the “Petit code” and the “Grand code” were ethically and esthetically similar, the latter</w:t>
      </w:r>
      <w:r w:rsidRPr="00D52D06">
        <w:rPr>
          <w:rFonts w:ascii="Times New Roman" w:hAnsi="Times New Roman" w:cs="Times New Roman"/>
          <w:i/>
          <w:sz w:val="24"/>
          <w:szCs w:val="24"/>
        </w:rPr>
        <w:t xml:space="preserve"> </w:t>
      </w:r>
      <w:r w:rsidRPr="00D52D06">
        <w:rPr>
          <w:rFonts w:ascii="Times New Roman" w:hAnsi="Times New Roman" w:cs="Times New Roman"/>
          <w:sz w:val="24"/>
          <w:szCs w:val="24"/>
        </w:rPr>
        <w:t xml:space="preserve">sought to “conquer social space,” while the former sought to construct social distinction with satire and ironic distance (Kerlouégan 164, 168, 171). This erudite anthology will interest experts in fields such as Cultural Studies, law, literature, journalism and history.  </w:t>
      </w:r>
    </w:p>
    <w:p w:rsidR="003D038B" w:rsidRDefault="003D038B" w:rsidP="003D038B">
      <w:pPr>
        <w:pStyle w:val="NoSpacing"/>
        <w:spacing w:line="480" w:lineRule="auto"/>
        <w:rPr>
          <w:rFonts w:ascii="Times New Roman" w:hAnsi="Times New Roman" w:cs="Times New Roman"/>
          <w:sz w:val="24"/>
          <w:szCs w:val="24"/>
        </w:rPr>
      </w:pPr>
      <w:bookmarkStart w:id="0" w:name="_GoBack"/>
      <w:bookmarkEnd w:id="0"/>
    </w:p>
    <w:p w:rsidR="003D038B" w:rsidRPr="00D52D06" w:rsidRDefault="003D038B" w:rsidP="003D038B">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Virginia Tech</w:t>
      </w:r>
    </w:p>
    <w:p w:rsidR="00795753" w:rsidRDefault="00795753"/>
    <w:sectPr w:rsidR="007957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38B"/>
    <w:rsid w:val="003D038B"/>
    <w:rsid w:val="00795753"/>
    <w:rsid w:val="00CA11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98392"/>
  <w15:chartTrackingRefBased/>
  <w15:docId w15:val="{3D92C03D-1A7A-4A34-B2E8-CFB1EF949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03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D038B"/>
    <w:pPr>
      <w:spacing w:after="0" w:line="240" w:lineRule="auto"/>
    </w:pPr>
  </w:style>
  <w:style w:type="character" w:styleId="Hyperlink">
    <w:name w:val="Hyperlink"/>
    <w:basedOn w:val="DefaultParagraphFont"/>
    <w:uiPriority w:val="99"/>
    <w:unhideWhenUsed/>
    <w:rsid w:val="003D038B"/>
    <w:rPr>
      <w:color w:val="0563C1" w:themeColor="hyperlink"/>
      <w:u w:val="single"/>
    </w:rPr>
  </w:style>
  <w:style w:type="character" w:styleId="CommentReference">
    <w:name w:val="annotation reference"/>
    <w:basedOn w:val="DefaultParagraphFont"/>
    <w:uiPriority w:val="99"/>
    <w:semiHidden/>
    <w:unhideWhenUsed/>
    <w:rsid w:val="003D038B"/>
    <w:rPr>
      <w:sz w:val="16"/>
      <w:szCs w:val="16"/>
    </w:rPr>
  </w:style>
  <w:style w:type="paragraph" w:styleId="CommentText">
    <w:name w:val="annotation text"/>
    <w:basedOn w:val="Normal"/>
    <w:link w:val="CommentTextChar"/>
    <w:uiPriority w:val="99"/>
    <w:semiHidden/>
    <w:unhideWhenUsed/>
    <w:rsid w:val="003D038B"/>
    <w:pPr>
      <w:spacing w:line="240" w:lineRule="auto"/>
    </w:pPr>
    <w:rPr>
      <w:sz w:val="20"/>
      <w:szCs w:val="20"/>
    </w:rPr>
  </w:style>
  <w:style w:type="character" w:customStyle="1" w:styleId="CommentTextChar">
    <w:name w:val="Comment Text Char"/>
    <w:basedOn w:val="DefaultParagraphFont"/>
    <w:link w:val="CommentText"/>
    <w:uiPriority w:val="99"/>
    <w:semiHidden/>
    <w:rsid w:val="003D038B"/>
    <w:rPr>
      <w:sz w:val="20"/>
      <w:szCs w:val="20"/>
    </w:rPr>
  </w:style>
  <w:style w:type="paragraph" w:styleId="BalloonText">
    <w:name w:val="Balloon Text"/>
    <w:basedOn w:val="Normal"/>
    <w:link w:val="BalloonTextChar"/>
    <w:uiPriority w:val="99"/>
    <w:semiHidden/>
    <w:unhideWhenUsed/>
    <w:rsid w:val="003D03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038B"/>
    <w:rPr>
      <w:rFonts w:ascii="Segoe UI" w:hAnsi="Segoe UI" w:cs="Segoe UI"/>
      <w:sz w:val="18"/>
      <w:szCs w:val="18"/>
    </w:rPr>
  </w:style>
  <w:style w:type="paragraph" w:styleId="Revision">
    <w:name w:val="Revision"/>
    <w:hidden/>
    <w:uiPriority w:val="99"/>
    <w:semiHidden/>
    <w:rsid w:val="003D03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pjohnson@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545</Words>
  <Characters>3220</Characters>
  <Application>Microsoft Office Word</Application>
  <DocSecurity>0</DocSecurity>
  <Lines>161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Sharon</dc:creator>
  <cp:keywords/>
  <dc:description/>
  <cp:lastModifiedBy>Johnson, Sharon</cp:lastModifiedBy>
  <cp:revision>2</cp:revision>
  <dcterms:created xsi:type="dcterms:W3CDTF">2021-01-30T00:29:00Z</dcterms:created>
  <dcterms:modified xsi:type="dcterms:W3CDTF">2021-01-30T00:37:00Z</dcterms:modified>
</cp:coreProperties>
</file>