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667C" w:rsidRDefault="008E07B9">
      <w:pPr>
        <w:pBdr>
          <w:top w:val="nil"/>
          <w:left w:val="nil"/>
          <w:bottom w:val="nil"/>
          <w:right w:val="nil"/>
          <w:between w:val="nil"/>
        </w:pBdr>
        <w:spacing w:before="0" w:line="240" w:lineRule="auto"/>
        <w:rPr>
          <w:b/>
          <w:color w:val="00AB44"/>
          <w:sz w:val="28"/>
          <w:szCs w:val="28"/>
        </w:rPr>
      </w:pPr>
      <w:bookmarkStart w:id="0" w:name="_GoBack"/>
      <w:bookmarkEnd w:id="0"/>
      <w:r>
        <w:rPr>
          <w:b/>
          <w:color w:val="00AB44"/>
          <w:sz w:val="28"/>
          <w:szCs w:val="28"/>
        </w:rPr>
        <w:t>Jamie King, University Arborist</w:t>
      </w:r>
    </w:p>
    <w:p w:rsidR="0052667C" w:rsidRDefault="008E07B9">
      <w:pPr>
        <w:pBdr>
          <w:top w:val="nil"/>
          <w:left w:val="nil"/>
          <w:bottom w:val="nil"/>
          <w:right w:val="nil"/>
          <w:between w:val="nil"/>
        </w:pBdr>
        <w:spacing w:before="0" w:line="240" w:lineRule="auto"/>
        <w:rPr>
          <w:color w:val="666666"/>
          <w:sz w:val="20"/>
          <w:szCs w:val="20"/>
        </w:rPr>
      </w:pPr>
      <w:r>
        <w:rPr>
          <w:color w:val="666666"/>
          <w:sz w:val="20"/>
          <w:szCs w:val="20"/>
        </w:rPr>
        <w:t>VT Facilities Department</w:t>
      </w:r>
    </w:p>
    <w:p w:rsidR="0052667C" w:rsidRDefault="008E07B9">
      <w:pPr>
        <w:pBdr>
          <w:top w:val="nil"/>
          <w:left w:val="nil"/>
          <w:bottom w:val="nil"/>
          <w:right w:val="nil"/>
          <w:between w:val="nil"/>
        </w:pBdr>
        <w:spacing w:before="0" w:line="240" w:lineRule="auto"/>
        <w:rPr>
          <w:color w:val="666666"/>
          <w:sz w:val="20"/>
          <w:szCs w:val="20"/>
        </w:rPr>
      </w:pPr>
      <w:proofErr w:type="spellStart"/>
      <w:r>
        <w:rPr>
          <w:color w:val="666666"/>
          <w:sz w:val="20"/>
          <w:szCs w:val="20"/>
        </w:rPr>
        <w:t>Sterrett</w:t>
      </w:r>
      <w:proofErr w:type="spellEnd"/>
      <w:r>
        <w:rPr>
          <w:color w:val="666666"/>
          <w:sz w:val="20"/>
          <w:szCs w:val="20"/>
        </w:rPr>
        <w:t xml:space="preserve"> Center, room 38C</w:t>
      </w:r>
    </w:p>
    <w:p w:rsidR="0052667C" w:rsidRDefault="008E07B9">
      <w:pPr>
        <w:pBdr>
          <w:top w:val="nil"/>
          <w:left w:val="nil"/>
          <w:bottom w:val="nil"/>
          <w:right w:val="nil"/>
          <w:between w:val="nil"/>
        </w:pBdr>
        <w:spacing w:before="0" w:line="240" w:lineRule="auto"/>
        <w:rPr>
          <w:color w:val="666666"/>
          <w:sz w:val="20"/>
          <w:szCs w:val="20"/>
        </w:rPr>
      </w:pPr>
      <w:r>
        <w:rPr>
          <w:color w:val="666666"/>
          <w:sz w:val="20"/>
          <w:szCs w:val="20"/>
        </w:rPr>
        <w:t>(540) 231-3718</w:t>
      </w:r>
    </w:p>
    <w:p w:rsidR="0052667C" w:rsidRDefault="008E07B9">
      <w:pPr>
        <w:pStyle w:val="Title"/>
        <w:pBdr>
          <w:top w:val="nil"/>
          <w:left w:val="nil"/>
          <w:bottom w:val="nil"/>
          <w:right w:val="nil"/>
          <w:between w:val="nil"/>
        </w:pBdr>
        <w:rPr>
          <w:sz w:val="44"/>
          <w:szCs w:val="44"/>
        </w:rPr>
      </w:pPr>
      <w:bookmarkStart w:id="1" w:name="_5x0d5h95i329" w:colFirst="0" w:colLast="0"/>
      <w:bookmarkEnd w:id="1"/>
      <w:r>
        <w:rPr>
          <w:sz w:val="44"/>
          <w:szCs w:val="44"/>
        </w:rPr>
        <w:t>Alumni Mall Soil Renovation</w:t>
      </w:r>
    </w:p>
    <w:p w:rsidR="0052667C" w:rsidRDefault="008E07B9">
      <w:pPr>
        <w:pStyle w:val="Subtitle"/>
        <w:pBdr>
          <w:top w:val="nil"/>
          <w:left w:val="nil"/>
          <w:bottom w:val="nil"/>
          <w:right w:val="nil"/>
          <w:between w:val="nil"/>
        </w:pBdr>
        <w:rPr>
          <w:b/>
          <w:sz w:val="28"/>
          <w:szCs w:val="28"/>
        </w:rPr>
      </w:pPr>
      <w:bookmarkStart w:id="2" w:name="_af80tl7prv5v" w:colFirst="0" w:colLast="0"/>
      <w:bookmarkEnd w:id="2"/>
      <w:r>
        <w:rPr>
          <w:b/>
          <w:sz w:val="28"/>
          <w:szCs w:val="28"/>
        </w:rPr>
        <w:t>January 29, 2020</w:t>
      </w:r>
    </w:p>
    <w:p w:rsidR="0052667C" w:rsidRDefault="008E07B9">
      <w:pPr>
        <w:pStyle w:val="Heading1"/>
        <w:pBdr>
          <w:top w:val="nil"/>
          <w:left w:val="nil"/>
          <w:bottom w:val="nil"/>
          <w:right w:val="nil"/>
          <w:between w:val="nil"/>
        </w:pBdr>
      </w:pPr>
      <w:bookmarkStart w:id="3" w:name="_14mpx6a8znb7" w:colFirst="0" w:colLast="0"/>
      <w:bookmarkEnd w:id="3"/>
      <w:r>
        <w:t>OVERVIEW</w:t>
      </w:r>
    </w:p>
    <w:p w:rsidR="0052667C" w:rsidRDefault="008E07B9">
      <w:pPr>
        <w:pBdr>
          <w:top w:val="nil"/>
          <w:left w:val="nil"/>
          <w:bottom w:val="nil"/>
          <w:right w:val="nil"/>
          <w:between w:val="nil"/>
        </w:pBdr>
      </w:pPr>
      <w:r>
        <w:t>The Alumni Mall promenade located in the northeast quadrant of Virginia Tech’s Blacksburg campus represents an opportunity for improving the urban tree canopy at the University. Planting trees along this spacious median strip and along both sides of the st</w:t>
      </w:r>
      <w:r>
        <w:t>reet in tree wells will beautify the campus while adding much needed green infrastructure to this region of campus. Previous efforts to improve the site have reportedly suffered high mortality rates and low success. Over the winter of 2019/2020 Jamie King,</w:t>
      </w:r>
      <w:r>
        <w:t xml:space="preserve"> University Arborist, conducted a soil structure and chemical analysis to help develop a plan towards improving the Alumni Mall area, this report details the results of that study.</w:t>
      </w:r>
    </w:p>
    <w:p w:rsidR="0052667C" w:rsidRDefault="008E07B9">
      <w:pPr>
        <w:pStyle w:val="Heading1"/>
        <w:pBdr>
          <w:top w:val="nil"/>
          <w:left w:val="nil"/>
          <w:bottom w:val="nil"/>
          <w:right w:val="nil"/>
          <w:between w:val="nil"/>
        </w:pBdr>
      </w:pPr>
      <w:bookmarkStart w:id="4" w:name="_oymnw3nlvwib" w:colFirst="0" w:colLast="0"/>
      <w:bookmarkEnd w:id="4"/>
      <w:r>
        <w:t>METHODS</w:t>
      </w:r>
    </w:p>
    <w:p w:rsidR="0052667C" w:rsidRDefault="008E07B9">
      <w:pPr>
        <w:numPr>
          <w:ilvl w:val="0"/>
          <w:numId w:val="1"/>
        </w:numPr>
      </w:pPr>
      <w:r>
        <w:t>Soil core samples were collected at sites throughout Alumni Mall fo</w:t>
      </w:r>
      <w:r>
        <w:t>r bulk density testing.</w:t>
      </w:r>
    </w:p>
    <w:p w:rsidR="0052667C" w:rsidRDefault="008E07B9">
      <w:pPr>
        <w:numPr>
          <w:ilvl w:val="0"/>
          <w:numId w:val="1"/>
        </w:numPr>
        <w:spacing w:before="0"/>
      </w:pPr>
      <w:r>
        <w:t>Core samples were oven-dried and weighed for bulk density testing in the FREC UF lab.</w:t>
      </w:r>
    </w:p>
    <w:p w:rsidR="0052667C" w:rsidRDefault="008E07B9">
      <w:pPr>
        <w:numPr>
          <w:ilvl w:val="0"/>
          <w:numId w:val="1"/>
        </w:numPr>
        <w:spacing w:before="0"/>
      </w:pPr>
      <w:r>
        <w:t>Soil samples were aggregated by zones for chemical analysis.</w:t>
      </w:r>
    </w:p>
    <w:p w:rsidR="0052667C" w:rsidRDefault="008E07B9">
      <w:pPr>
        <w:numPr>
          <w:ilvl w:val="0"/>
          <w:numId w:val="1"/>
        </w:numPr>
        <w:spacing w:before="0"/>
      </w:pPr>
      <w:r>
        <w:t>Aggregated samples were sent to the Bartlett Tree Experts lab for chemical analysis.</w:t>
      </w:r>
    </w:p>
    <w:p w:rsidR="0052667C" w:rsidRDefault="008E07B9">
      <w:pPr>
        <w:pStyle w:val="Heading1"/>
      </w:pPr>
      <w:bookmarkStart w:id="5" w:name="_x5u0l8hx0kbh" w:colFirst="0" w:colLast="0"/>
      <w:bookmarkEnd w:id="5"/>
      <w:r>
        <w:t>RESULTS</w:t>
      </w:r>
    </w:p>
    <w:p w:rsidR="0052667C" w:rsidRDefault="008E07B9">
      <w:pPr>
        <w:pStyle w:val="Heading2"/>
      </w:pPr>
      <w:bookmarkStart w:id="6" w:name="_61dt5olll30m" w:colFirst="0" w:colLast="0"/>
      <w:bookmarkEnd w:id="6"/>
      <w:r>
        <w:t>Soil Density</w:t>
      </w:r>
    </w:p>
    <w:p w:rsidR="0052667C" w:rsidRDefault="008E07B9">
      <w:r>
        <w:t>Bulk density is the measured density of soil in a specific volume and is used to determine the proportion of soil particles to void spaces in a sample. The spaces between soil particles are pathways for water and air movement, they ena</w:t>
      </w:r>
      <w:r>
        <w:t>ble plants to access these essential elements for plant growth. Relative high bulk densities have little to no spaces for water and air and thus are inhospitable for plant health. Foot traffic, vehicle traffic, and heavy equipment movement compact soils an</w:t>
      </w:r>
      <w:r>
        <w:t>d increase bulk density.</w:t>
      </w:r>
    </w:p>
    <w:p w:rsidR="0052667C" w:rsidRDefault="008E07B9">
      <w:r>
        <w:t>Figure 1 illustrates the sites where the samples were collected and Table 1 shows the measured results. Soils with a bulk density higher than 1.6 g/cm3 restrict root growth; every site tested measured as moderate to high bulk densi</w:t>
      </w:r>
      <w:r>
        <w:t xml:space="preserve">ty. The average bulk density for the median at the </w:t>
      </w:r>
      <w:r>
        <w:lastRenderedPageBreak/>
        <w:t>Alumni Mall was calculated as 1.46 g/cm3, this level of compaction significantly limits the health of most plants.</w:t>
      </w:r>
    </w:p>
    <w:p w:rsidR="0052667C" w:rsidRDefault="008E07B9">
      <w:r>
        <w:t>Figure 1: Soil sample sites.</w:t>
      </w:r>
      <w:r>
        <w:rPr>
          <w:noProof/>
          <w:lang w:val="en-US"/>
        </w:rPr>
        <w:drawing>
          <wp:inline distT="114300" distB="114300" distL="114300" distR="114300">
            <wp:extent cx="4680610" cy="2924175"/>
            <wp:effectExtent l="0" t="0" r="0" b="0"/>
            <wp:docPr id="5"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7"/>
                    <a:srcRect b="11186"/>
                    <a:stretch>
                      <a:fillRect/>
                    </a:stretch>
                  </pic:blipFill>
                  <pic:spPr>
                    <a:xfrm>
                      <a:off x="0" y="0"/>
                      <a:ext cx="4680610" cy="2924175"/>
                    </a:xfrm>
                    <a:prstGeom prst="rect">
                      <a:avLst/>
                    </a:prstGeom>
                    <a:ln/>
                  </pic:spPr>
                </pic:pic>
              </a:graphicData>
            </a:graphic>
          </wp:inline>
        </w:drawing>
      </w:r>
    </w:p>
    <w:p w:rsidR="0052667C" w:rsidRDefault="008E07B9">
      <w:r>
        <w:t>Table 1: Soil bulk density results.</w:t>
      </w:r>
    </w:p>
    <w:tbl>
      <w:tblPr>
        <w:tblStyle w:val="a"/>
        <w:tblW w:w="5730" w:type="dxa"/>
        <w:tblBorders>
          <w:top w:val="nil"/>
          <w:left w:val="nil"/>
          <w:bottom w:val="nil"/>
          <w:right w:val="nil"/>
          <w:insideH w:val="nil"/>
          <w:insideV w:val="nil"/>
        </w:tblBorders>
        <w:tblLayout w:type="fixed"/>
        <w:tblLook w:val="0600" w:firstRow="0" w:lastRow="0" w:firstColumn="0" w:lastColumn="0" w:noHBand="1" w:noVBand="1"/>
      </w:tblPr>
      <w:tblGrid>
        <w:gridCol w:w="1500"/>
        <w:gridCol w:w="1935"/>
        <w:gridCol w:w="2295"/>
      </w:tblGrid>
      <w:tr w:rsidR="0052667C">
        <w:trPr>
          <w:trHeight w:val="405"/>
        </w:trPr>
        <w:tc>
          <w:tcPr>
            <w:tcW w:w="15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8E07B9">
            <w:pPr>
              <w:widowControl w:val="0"/>
              <w:spacing w:before="0" w:line="276" w:lineRule="auto"/>
              <w:rPr>
                <w:rFonts w:ascii="Arial" w:eastAsia="Arial" w:hAnsi="Arial" w:cs="Arial"/>
                <w:color w:val="000000"/>
                <w:sz w:val="20"/>
                <w:szCs w:val="20"/>
              </w:rPr>
            </w:pPr>
            <w:r>
              <w:rPr>
                <w:rFonts w:ascii="Arial" w:eastAsia="Arial" w:hAnsi="Arial" w:cs="Arial"/>
                <w:color w:val="000000"/>
                <w:sz w:val="20"/>
                <w:szCs w:val="20"/>
              </w:rPr>
              <w:t>Site ID</w:t>
            </w:r>
          </w:p>
        </w:tc>
        <w:tc>
          <w:tcPr>
            <w:tcW w:w="193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8E07B9">
            <w:pPr>
              <w:widowControl w:val="0"/>
              <w:spacing w:before="0" w:line="276" w:lineRule="auto"/>
              <w:rPr>
                <w:rFonts w:ascii="Arial" w:eastAsia="Arial" w:hAnsi="Arial" w:cs="Arial"/>
                <w:color w:val="000000"/>
                <w:sz w:val="20"/>
                <w:szCs w:val="20"/>
              </w:rPr>
            </w:pPr>
            <w:r>
              <w:rPr>
                <w:rFonts w:ascii="Arial" w:eastAsia="Arial" w:hAnsi="Arial" w:cs="Arial"/>
                <w:color w:val="000000"/>
                <w:sz w:val="20"/>
                <w:szCs w:val="20"/>
              </w:rPr>
              <w:t>Site Average g/c</w:t>
            </w:r>
            <w:r>
              <w:rPr>
                <w:rFonts w:ascii="Arial" w:eastAsia="Arial" w:hAnsi="Arial" w:cs="Arial"/>
                <w:color w:val="000000"/>
                <w:sz w:val="20"/>
                <w:szCs w:val="20"/>
              </w:rPr>
              <w:t>m3</w:t>
            </w:r>
          </w:p>
        </w:tc>
        <w:tc>
          <w:tcPr>
            <w:tcW w:w="22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8E07B9">
            <w:pPr>
              <w:widowControl w:val="0"/>
              <w:spacing w:before="0" w:line="276" w:lineRule="auto"/>
              <w:rPr>
                <w:rFonts w:ascii="Arial" w:eastAsia="Arial" w:hAnsi="Arial" w:cs="Arial"/>
                <w:color w:val="000000"/>
                <w:sz w:val="20"/>
                <w:szCs w:val="20"/>
              </w:rPr>
            </w:pPr>
            <w:r>
              <w:rPr>
                <w:rFonts w:ascii="Arial" w:eastAsia="Arial" w:hAnsi="Arial" w:cs="Arial"/>
                <w:color w:val="000000"/>
                <w:sz w:val="20"/>
                <w:szCs w:val="20"/>
              </w:rPr>
              <w:t>Overall Average g/cm3</w:t>
            </w:r>
          </w:p>
        </w:tc>
      </w:tr>
      <w:tr w:rsidR="0052667C">
        <w:trPr>
          <w:trHeight w:val="315"/>
        </w:trPr>
        <w:tc>
          <w:tcPr>
            <w:tcW w:w="15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8E07B9">
            <w:pPr>
              <w:widowControl w:val="0"/>
              <w:spacing w:before="0" w:line="276" w:lineRule="auto"/>
              <w:rPr>
                <w:rFonts w:ascii="Arial" w:eastAsia="Arial" w:hAnsi="Arial" w:cs="Arial"/>
                <w:color w:val="000000"/>
                <w:sz w:val="20"/>
                <w:szCs w:val="20"/>
              </w:rPr>
            </w:pPr>
            <w:r>
              <w:rPr>
                <w:rFonts w:ascii="Arial" w:eastAsia="Arial" w:hAnsi="Arial" w:cs="Arial"/>
                <w:b/>
                <w:color w:val="000000"/>
                <w:sz w:val="20"/>
                <w:szCs w:val="20"/>
              </w:rPr>
              <w:t>A1</w:t>
            </w:r>
          </w:p>
        </w:tc>
        <w:tc>
          <w:tcPr>
            <w:tcW w:w="193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8E07B9">
            <w:pPr>
              <w:widowControl w:val="0"/>
              <w:spacing w:before="0" w:line="276" w:lineRule="auto"/>
              <w:jc w:val="right"/>
              <w:rPr>
                <w:rFonts w:ascii="Arial" w:eastAsia="Arial" w:hAnsi="Arial" w:cs="Arial"/>
                <w:color w:val="000000"/>
                <w:sz w:val="20"/>
                <w:szCs w:val="20"/>
              </w:rPr>
            </w:pPr>
            <w:r>
              <w:rPr>
                <w:rFonts w:ascii="Arial" w:eastAsia="Arial" w:hAnsi="Arial" w:cs="Arial"/>
                <w:color w:val="000000"/>
                <w:sz w:val="20"/>
                <w:szCs w:val="20"/>
              </w:rPr>
              <w:t>1.532554348</w:t>
            </w:r>
          </w:p>
        </w:tc>
        <w:tc>
          <w:tcPr>
            <w:tcW w:w="22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8E07B9">
            <w:pPr>
              <w:widowControl w:val="0"/>
              <w:spacing w:before="0" w:line="276" w:lineRule="auto"/>
              <w:jc w:val="right"/>
              <w:rPr>
                <w:rFonts w:ascii="Arial" w:eastAsia="Arial" w:hAnsi="Arial" w:cs="Arial"/>
                <w:color w:val="000000"/>
                <w:sz w:val="20"/>
                <w:szCs w:val="20"/>
              </w:rPr>
            </w:pPr>
            <w:r>
              <w:rPr>
                <w:rFonts w:ascii="Arial" w:eastAsia="Arial" w:hAnsi="Arial" w:cs="Arial"/>
                <w:color w:val="000000"/>
                <w:sz w:val="20"/>
                <w:szCs w:val="20"/>
              </w:rPr>
              <w:t>1.462366601</w:t>
            </w:r>
          </w:p>
        </w:tc>
      </w:tr>
      <w:tr w:rsidR="0052667C">
        <w:trPr>
          <w:trHeight w:val="315"/>
        </w:trPr>
        <w:tc>
          <w:tcPr>
            <w:tcW w:w="15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8E07B9">
            <w:pPr>
              <w:widowControl w:val="0"/>
              <w:spacing w:before="0" w:line="276" w:lineRule="auto"/>
              <w:rPr>
                <w:rFonts w:ascii="Arial" w:eastAsia="Arial" w:hAnsi="Arial" w:cs="Arial"/>
                <w:color w:val="000000"/>
                <w:sz w:val="20"/>
                <w:szCs w:val="20"/>
              </w:rPr>
            </w:pPr>
            <w:r>
              <w:rPr>
                <w:rFonts w:ascii="Arial" w:eastAsia="Arial" w:hAnsi="Arial" w:cs="Arial"/>
                <w:b/>
                <w:color w:val="000000"/>
                <w:sz w:val="20"/>
                <w:szCs w:val="20"/>
              </w:rPr>
              <w:t>A2</w:t>
            </w:r>
          </w:p>
        </w:tc>
        <w:tc>
          <w:tcPr>
            <w:tcW w:w="193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8E07B9">
            <w:pPr>
              <w:widowControl w:val="0"/>
              <w:spacing w:before="0" w:line="276" w:lineRule="auto"/>
              <w:jc w:val="right"/>
              <w:rPr>
                <w:rFonts w:ascii="Arial" w:eastAsia="Arial" w:hAnsi="Arial" w:cs="Arial"/>
                <w:color w:val="000000"/>
                <w:sz w:val="20"/>
                <w:szCs w:val="20"/>
              </w:rPr>
            </w:pPr>
            <w:r>
              <w:rPr>
                <w:rFonts w:ascii="Arial" w:eastAsia="Arial" w:hAnsi="Arial" w:cs="Arial"/>
                <w:color w:val="000000"/>
                <w:sz w:val="20"/>
                <w:szCs w:val="20"/>
              </w:rPr>
              <w:t>1.400923913</w:t>
            </w:r>
          </w:p>
        </w:tc>
        <w:tc>
          <w:tcPr>
            <w:tcW w:w="22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52667C">
            <w:pPr>
              <w:widowControl w:val="0"/>
              <w:spacing w:before="0" w:line="276" w:lineRule="auto"/>
              <w:rPr>
                <w:rFonts w:ascii="Arial" w:eastAsia="Arial" w:hAnsi="Arial" w:cs="Arial"/>
                <w:color w:val="000000"/>
                <w:sz w:val="20"/>
                <w:szCs w:val="20"/>
              </w:rPr>
            </w:pPr>
          </w:p>
        </w:tc>
      </w:tr>
      <w:tr w:rsidR="0052667C">
        <w:trPr>
          <w:trHeight w:val="315"/>
        </w:trPr>
        <w:tc>
          <w:tcPr>
            <w:tcW w:w="15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8E07B9">
            <w:pPr>
              <w:widowControl w:val="0"/>
              <w:spacing w:before="0" w:line="276" w:lineRule="auto"/>
              <w:rPr>
                <w:rFonts w:ascii="Arial" w:eastAsia="Arial" w:hAnsi="Arial" w:cs="Arial"/>
                <w:color w:val="000000"/>
                <w:sz w:val="20"/>
                <w:szCs w:val="20"/>
              </w:rPr>
            </w:pPr>
            <w:r>
              <w:rPr>
                <w:rFonts w:ascii="Arial" w:eastAsia="Arial" w:hAnsi="Arial" w:cs="Arial"/>
                <w:b/>
                <w:color w:val="000000"/>
                <w:sz w:val="20"/>
                <w:szCs w:val="20"/>
              </w:rPr>
              <w:t>A3</w:t>
            </w:r>
          </w:p>
        </w:tc>
        <w:tc>
          <w:tcPr>
            <w:tcW w:w="193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8E07B9">
            <w:pPr>
              <w:widowControl w:val="0"/>
              <w:spacing w:before="0" w:line="276" w:lineRule="auto"/>
              <w:jc w:val="right"/>
              <w:rPr>
                <w:rFonts w:ascii="Arial" w:eastAsia="Arial" w:hAnsi="Arial" w:cs="Arial"/>
                <w:color w:val="000000"/>
                <w:sz w:val="20"/>
                <w:szCs w:val="20"/>
              </w:rPr>
            </w:pPr>
            <w:r>
              <w:rPr>
                <w:rFonts w:ascii="Arial" w:eastAsia="Arial" w:hAnsi="Arial" w:cs="Arial"/>
                <w:color w:val="000000"/>
                <w:sz w:val="20"/>
                <w:szCs w:val="20"/>
              </w:rPr>
              <w:t>1.324782609</w:t>
            </w:r>
          </w:p>
        </w:tc>
        <w:tc>
          <w:tcPr>
            <w:tcW w:w="22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52667C">
            <w:pPr>
              <w:widowControl w:val="0"/>
              <w:spacing w:before="0" w:line="276" w:lineRule="auto"/>
              <w:rPr>
                <w:rFonts w:ascii="Arial" w:eastAsia="Arial" w:hAnsi="Arial" w:cs="Arial"/>
                <w:color w:val="000000"/>
                <w:sz w:val="20"/>
                <w:szCs w:val="20"/>
              </w:rPr>
            </w:pPr>
          </w:p>
        </w:tc>
      </w:tr>
      <w:tr w:rsidR="0052667C">
        <w:trPr>
          <w:trHeight w:val="315"/>
        </w:trPr>
        <w:tc>
          <w:tcPr>
            <w:tcW w:w="15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8E07B9">
            <w:pPr>
              <w:widowControl w:val="0"/>
              <w:spacing w:before="0" w:line="276" w:lineRule="auto"/>
              <w:rPr>
                <w:rFonts w:ascii="Arial" w:eastAsia="Arial" w:hAnsi="Arial" w:cs="Arial"/>
                <w:color w:val="000000"/>
                <w:sz w:val="20"/>
                <w:szCs w:val="20"/>
              </w:rPr>
            </w:pPr>
            <w:r>
              <w:rPr>
                <w:rFonts w:ascii="Arial" w:eastAsia="Arial" w:hAnsi="Arial" w:cs="Arial"/>
                <w:b/>
                <w:color w:val="000000"/>
                <w:sz w:val="20"/>
                <w:szCs w:val="20"/>
              </w:rPr>
              <w:t>B1</w:t>
            </w:r>
          </w:p>
        </w:tc>
        <w:tc>
          <w:tcPr>
            <w:tcW w:w="193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8E07B9">
            <w:pPr>
              <w:widowControl w:val="0"/>
              <w:spacing w:before="0" w:line="276" w:lineRule="auto"/>
              <w:jc w:val="right"/>
              <w:rPr>
                <w:rFonts w:ascii="Arial" w:eastAsia="Arial" w:hAnsi="Arial" w:cs="Arial"/>
                <w:color w:val="000000"/>
                <w:sz w:val="20"/>
                <w:szCs w:val="20"/>
              </w:rPr>
            </w:pPr>
            <w:r>
              <w:rPr>
                <w:rFonts w:ascii="Arial" w:eastAsia="Arial" w:hAnsi="Arial" w:cs="Arial"/>
                <w:color w:val="000000"/>
                <w:sz w:val="20"/>
                <w:szCs w:val="20"/>
              </w:rPr>
              <w:t>1.391413043</w:t>
            </w:r>
          </w:p>
        </w:tc>
        <w:tc>
          <w:tcPr>
            <w:tcW w:w="22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52667C">
            <w:pPr>
              <w:widowControl w:val="0"/>
              <w:spacing w:before="0" w:line="276" w:lineRule="auto"/>
              <w:rPr>
                <w:rFonts w:ascii="Arial" w:eastAsia="Arial" w:hAnsi="Arial" w:cs="Arial"/>
                <w:color w:val="000000"/>
                <w:sz w:val="20"/>
                <w:szCs w:val="20"/>
              </w:rPr>
            </w:pPr>
          </w:p>
        </w:tc>
      </w:tr>
      <w:tr w:rsidR="0052667C">
        <w:trPr>
          <w:trHeight w:val="315"/>
        </w:trPr>
        <w:tc>
          <w:tcPr>
            <w:tcW w:w="15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8E07B9">
            <w:pPr>
              <w:widowControl w:val="0"/>
              <w:spacing w:before="0" w:line="276" w:lineRule="auto"/>
              <w:rPr>
                <w:rFonts w:ascii="Arial" w:eastAsia="Arial" w:hAnsi="Arial" w:cs="Arial"/>
                <w:color w:val="000000"/>
                <w:sz w:val="20"/>
                <w:szCs w:val="20"/>
              </w:rPr>
            </w:pPr>
            <w:r>
              <w:rPr>
                <w:rFonts w:ascii="Arial" w:eastAsia="Arial" w:hAnsi="Arial" w:cs="Arial"/>
                <w:b/>
                <w:color w:val="000000"/>
                <w:sz w:val="20"/>
                <w:szCs w:val="20"/>
              </w:rPr>
              <w:t>B2</w:t>
            </w:r>
          </w:p>
        </w:tc>
        <w:tc>
          <w:tcPr>
            <w:tcW w:w="193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8E07B9">
            <w:pPr>
              <w:widowControl w:val="0"/>
              <w:spacing w:before="0" w:line="276" w:lineRule="auto"/>
              <w:jc w:val="right"/>
              <w:rPr>
                <w:rFonts w:ascii="Arial" w:eastAsia="Arial" w:hAnsi="Arial" w:cs="Arial"/>
                <w:color w:val="000000"/>
                <w:sz w:val="20"/>
                <w:szCs w:val="20"/>
              </w:rPr>
            </w:pPr>
            <w:r>
              <w:rPr>
                <w:rFonts w:ascii="Arial" w:eastAsia="Arial" w:hAnsi="Arial" w:cs="Arial"/>
                <w:color w:val="000000"/>
                <w:sz w:val="20"/>
                <w:szCs w:val="20"/>
              </w:rPr>
              <w:t>1.558097826</w:t>
            </w:r>
          </w:p>
        </w:tc>
        <w:tc>
          <w:tcPr>
            <w:tcW w:w="22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52667C">
            <w:pPr>
              <w:widowControl w:val="0"/>
              <w:spacing w:before="0" w:line="276" w:lineRule="auto"/>
              <w:rPr>
                <w:rFonts w:ascii="Arial" w:eastAsia="Arial" w:hAnsi="Arial" w:cs="Arial"/>
                <w:color w:val="000000"/>
                <w:sz w:val="20"/>
                <w:szCs w:val="20"/>
              </w:rPr>
            </w:pPr>
          </w:p>
        </w:tc>
      </w:tr>
      <w:tr w:rsidR="0052667C">
        <w:trPr>
          <w:trHeight w:val="315"/>
        </w:trPr>
        <w:tc>
          <w:tcPr>
            <w:tcW w:w="15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8E07B9">
            <w:pPr>
              <w:widowControl w:val="0"/>
              <w:spacing w:before="0" w:line="276" w:lineRule="auto"/>
              <w:rPr>
                <w:rFonts w:ascii="Arial" w:eastAsia="Arial" w:hAnsi="Arial" w:cs="Arial"/>
                <w:color w:val="000000"/>
                <w:sz w:val="20"/>
                <w:szCs w:val="20"/>
              </w:rPr>
            </w:pPr>
            <w:r>
              <w:rPr>
                <w:rFonts w:ascii="Arial" w:eastAsia="Arial" w:hAnsi="Arial" w:cs="Arial"/>
                <w:b/>
                <w:color w:val="000000"/>
                <w:sz w:val="20"/>
                <w:szCs w:val="20"/>
              </w:rPr>
              <w:t>B3</w:t>
            </w:r>
          </w:p>
        </w:tc>
        <w:tc>
          <w:tcPr>
            <w:tcW w:w="193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8E07B9">
            <w:pPr>
              <w:widowControl w:val="0"/>
              <w:spacing w:before="0" w:line="276" w:lineRule="auto"/>
              <w:jc w:val="right"/>
              <w:rPr>
                <w:rFonts w:ascii="Arial" w:eastAsia="Arial" w:hAnsi="Arial" w:cs="Arial"/>
                <w:color w:val="000000"/>
                <w:sz w:val="20"/>
                <w:szCs w:val="20"/>
              </w:rPr>
            </w:pPr>
            <w:r>
              <w:rPr>
                <w:rFonts w:ascii="Arial" w:eastAsia="Arial" w:hAnsi="Arial" w:cs="Arial"/>
                <w:color w:val="000000"/>
                <w:sz w:val="20"/>
                <w:szCs w:val="20"/>
              </w:rPr>
              <w:t>1.388586957</w:t>
            </w:r>
          </w:p>
        </w:tc>
        <w:tc>
          <w:tcPr>
            <w:tcW w:w="22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52667C">
            <w:pPr>
              <w:widowControl w:val="0"/>
              <w:spacing w:before="0" w:line="276" w:lineRule="auto"/>
              <w:rPr>
                <w:rFonts w:ascii="Arial" w:eastAsia="Arial" w:hAnsi="Arial" w:cs="Arial"/>
                <w:color w:val="000000"/>
                <w:sz w:val="20"/>
                <w:szCs w:val="20"/>
              </w:rPr>
            </w:pPr>
          </w:p>
        </w:tc>
      </w:tr>
      <w:tr w:rsidR="0052667C">
        <w:trPr>
          <w:trHeight w:val="315"/>
        </w:trPr>
        <w:tc>
          <w:tcPr>
            <w:tcW w:w="15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8E07B9">
            <w:pPr>
              <w:widowControl w:val="0"/>
              <w:spacing w:before="0" w:line="276" w:lineRule="auto"/>
              <w:rPr>
                <w:rFonts w:ascii="Arial" w:eastAsia="Arial" w:hAnsi="Arial" w:cs="Arial"/>
                <w:color w:val="000000"/>
                <w:sz w:val="20"/>
                <w:szCs w:val="20"/>
              </w:rPr>
            </w:pPr>
            <w:r>
              <w:rPr>
                <w:rFonts w:ascii="Arial" w:eastAsia="Arial" w:hAnsi="Arial" w:cs="Arial"/>
                <w:b/>
                <w:color w:val="000000"/>
                <w:sz w:val="20"/>
                <w:szCs w:val="20"/>
              </w:rPr>
              <w:t>C1</w:t>
            </w:r>
          </w:p>
        </w:tc>
        <w:tc>
          <w:tcPr>
            <w:tcW w:w="193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8E07B9">
            <w:pPr>
              <w:widowControl w:val="0"/>
              <w:spacing w:before="0" w:line="276" w:lineRule="auto"/>
              <w:jc w:val="right"/>
              <w:rPr>
                <w:rFonts w:ascii="Arial" w:eastAsia="Arial" w:hAnsi="Arial" w:cs="Arial"/>
                <w:color w:val="000000"/>
                <w:sz w:val="20"/>
                <w:szCs w:val="20"/>
              </w:rPr>
            </w:pPr>
            <w:r>
              <w:rPr>
                <w:rFonts w:ascii="Arial" w:eastAsia="Arial" w:hAnsi="Arial" w:cs="Arial"/>
                <w:color w:val="000000"/>
                <w:sz w:val="20"/>
                <w:szCs w:val="20"/>
              </w:rPr>
              <w:t>1.502173913</w:t>
            </w:r>
          </w:p>
        </w:tc>
        <w:tc>
          <w:tcPr>
            <w:tcW w:w="22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52667C">
            <w:pPr>
              <w:widowControl w:val="0"/>
              <w:spacing w:before="0" w:line="276" w:lineRule="auto"/>
              <w:rPr>
                <w:rFonts w:ascii="Arial" w:eastAsia="Arial" w:hAnsi="Arial" w:cs="Arial"/>
                <w:color w:val="000000"/>
                <w:sz w:val="20"/>
                <w:szCs w:val="20"/>
              </w:rPr>
            </w:pPr>
          </w:p>
        </w:tc>
      </w:tr>
      <w:tr w:rsidR="0052667C">
        <w:trPr>
          <w:trHeight w:val="315"/>
        </w:trPr>
        <w:tc>
          <w:tcPr>
            <w:tcW w:w="15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8E07B9">
            <w:pPr>
              <w:widowControl w:val="0"/>
              <w:spacing w:before="0" w:line="276" w:lineRule="auto"/>
              <w:rPr>
                <w:rFonts w:ascii="Arial" w:eastAsia="Arial" w:hAnsi="Arial" w:cs="Arial"/>
                <w:color w:val="000000"/>
                <w:sz w:val="20"/>
                <w:szCs w:val="20"/>
              </w:rPr>
            </w:pPr>
            <w:r>
              <w:rPr>
                <w:rFonts w:ascii="Arial" w:eastAsia="Arial" w:hAnsi="Arial" w:cs="Arial"/>
                <w:b/>
                <w:color w:val="000000"/>
                <w:sz w:val="20"/>
                <w:szCs w:val="20"/>
              </w:rPr>
              <w:t>C2</w:t>
            </w:r>
          </w:p>
        </w:tc>
        <w:tc>
          <w:tcPr>
            <w:tcW w:w="193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8E07B9">
            <w:pPr>
              <w:widowControl w:val="0"/>
              <w:spacing w:before="0" w:line="276" w:lineRule="auto"/>
              <w:jc w:val="right"/>
              <w:rPr>
                <w:rFonts w:ascii="Arial" w:eastAsia="Arial" w:hAnsi="Arial" w:cs="Arial"/>
                <w:color w:val="000000"/>
                <w:sz w:val="20"/>
                <w:szCs w:val="20"/>
              </w:rPr>
            </w:pPr>
            <w:r>
              <w:rPr>
                <w:rFonts w:ascii="Arial" w:eastAsia="Arial" w:hAnsi="Arial" w:cs="Arial"/>
                <w:color w:val="000000"/>
                <w:sz w:val="20"/>
                <w:szCs w:val="20"/>
              </w:rPr>
              <w:t>1.476195652</w:t>
            </w:r>
          </w:p>
        </w:tc>
        <w:tc>
          <w:tcPr>
            <w:tcW w:w="22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52667C">
            <w:pPr>
              <w:widowControl w:val="0"/>
              <w:spacing w:before="0" w:line="276" w:lineRule="auto"/>
              <w:rPr>
                <w:rFonts w:ascii="Arial" w:eastAsia="Arial" w:hAnsi="Arial" w:cs="Arial"/>
                <w:color w:val="000000"/>
                <w:sz w:val="20"/>
                <w:szCs w:val="20"/>
              </w:rPr>
            </w:pPr>
          </w:p>
        </w:tc>
      </w:tr>
      <w:tr w:rsidR="0052667C">
        <w:trPr>
          <w:trHeight w:val="315"/>
        </w:trPr>
        <w:tc>
          <w:tcPr>
            <w:tcW w:w="15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8E07B9">
            <w:pPr>
              <w:widowControl w:val="0"/>
              <w:spacing w:before="0" w:line="276" w:lineRule="auto"/>
              <w:rPr>
                <w:rFonts w:ascii="Arial" w:eastAsia="Arial" w:hAnsi="Arial" w:cs="Arial"/>
                <w:color w:val="000000"/>
                <w:sz w:val="20"/>
                <w:szCs w:val="20"/>
              </w:rPr>
            </w:pPr>
            <w:r>
              <w:rPr>
                <w:rFonts w:ascii="Arial" w:eastAsia="Arial" w:hAnsi="Arial" w:cs="Arial"/>
                <w:b/>
                <w:color w:val="000000"/>
                <w:sz w:val="20"/>
                <w:szCs w:val="20"/>
              </w:rPr>
              <w:t>C3</w:t>
            </w:r>
          </w:p>
        </w:tc>
        <w:tc>
          <w:tcPr>
            <w:tcW w:w="193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8E07B9">
            <w:pPr>
              <w:widowControl w:val="0"/>
              <w:spacing w:before="0" w:line="276" w:lineRule="auto"/>
              <w:jc w:val="right"/>
              <w:rPr>
                <w:rFonts w:ascii="Arial" w:eastAsia="Arial" w:hAnsi="Arial" w:cs="Arial"/>
                <w:color w:val="000000"/>
                <w:sz w:val="20"/>
                <w:szCs w:val="20"/>
              </w:rPr>
            </w:pPr>
            <w:r>
              <w:rPr>
                <w:rFonts w:ascii="Arial" w:eastAsia="Arial" w:hAnsi="Arial" w:cs="Arial"/>
                <w:color w:val="000000"/>
                <w:sz w:val="20"/>
                <w:szCs w:val="20"/>
              </w:rPr>
              <w:t>1.533913043</w:t>
            </w:r>
          </w:p>
        </w:tc>
        <w:tc>
          <w:tcPr>
            <w:tcW w:w="22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52667C">
            <w:pPr>
              <w:widowControl w:val="0"/>
              <w:spacing w:before="0" w:line="276" w:lineRule="auto"/>
              <w:rPr>
                <w:rFonts w:ascii="Arial" w:eastAsia="Arial" w:hAnsi="Arial" w:cs="Arial"/>
                <w:color w:val="000000"/>
                <w:sz w:val="20"/>
                <w:szCs w:val="20"/>
              </w:rPr>
            </w:pPr>
          </w:p>
        </w:tc>
      </w:tr>
      <w:tr w:rsidR="0052667C">
        <w:trPr>
          <w:trHeight w:val="315"/>
        </w:trPr>
        <w:tc>
          <w:tcPr>
            <w:tcW w:w="15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8E07B9">
            <w:pPr>
              <w:widowControl w:val="0"/>
              <w:spacing w:before="0" w:line="276" w:lineRule="auto"/>
              <w:rPr>
                <w:rFonts w:ascii="Arial" w:eastAsia="Arial" w:hAnsi="Arial" w:cs="Arial"/>
                <w:color w:val="000000"/>
                <w:sz w:val="20"/>
                <w:szCs w:val="20"/>
              </w:rPr>
            </w:pPr>
            <w:r>
              <w:rPr>
                <w:rFonts w:ascii="Arial" w:eastAsia="Arial" w:hAnsi="Arial" w:cs="Arial"/>
                <w:b/>
                <w:color w:val="000000"/>
                <w:sz w:val="20"/>
                <w:szCs w:val="20"/>
              </w:rPr>
              <w:t>D1</w:t>
            </w:r>
          </w:p>
        </w:tc>
        <w:tc>
          <w:tcPr>
            <w:tcW w:w="193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8E07B9">
            <w:pPr>
              <w:widowControl w:val="0"/>
              <w:spacing w:before="0" w:line="276" w:lineRule="auto"/>
              <w:jc w:val="right"/>
              <w:rPr>
                <w:rFonts w:ascii="Arial" w:eastAsia="Arial" w:hAnsi="Arial" w:cs="Arial"/>
                <w:color w:val="000000"/>
                <w:sz w:val="20"/>
                <w:szCs w:val="20"/>
              </w:rPr>
            </w:pPr>
            <w:r>
              <w:rPr>
                <w:rFonts w:ascii="Arial" w:eastAsia="Arial" w:hAnsi="Arial" w:cs="Arial"/>
                <w:color w:val="000000"/>
                <w:sz w:val="20"/>
                <w:szCs w:val="20"/>
              </w:rPr>
              <w:t>1.433369565</w:t>
            </w:r>
          </w:p>
        </w:tc>
        <w:tc>
          <w:tcPr>
            <w:tcW w:w="22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52667C">
            <w:pPr>
              <w:widowControl w:val="0"/>
              <w:spacing w:before="0" w:line="276" w:lineRule="auto"/>
              <w:rPr>
                <w:rFonts w:ascii="Arial" w:eastAsia="Arial" w:hAnsi="Arial" w:cs="Arial"/>
                <w:color w:val="000000"/>
                <w:sz w:val="20"/>
                <w:szCs w:val="20"/>
              </w:rPr>
            </w:pPr>
          </w:p>
        </w:tc>
      </w:tr>
      <w:tr w:rsidR="0052667C">
        <w:trPr>
          <w:trHeight w:val="315"/>
        </w:trPr>
        <w:tc>
          <w:tcPr>
            <w:tcW w:w="1500"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8E07B9">
            <w:pPr>
              <w:widowControl w:val="0"/>
              <w:spacing w:before="0" w:line="276" w:lineRule="auto"/>
              <w:rPr>
                <w:rFonts w:ascii="Arial" w:eastAsia="Arial" w:hAnsi="Arial" w:cs="Arial"/>
                <w:color w:val="000000"/>
                <w:sz w:val="20"/>
                <w:szCs w:val="20"/>
              </w:rPr>
            </w:pPr>
            <w:r>
              <w:rPr>
                <w:rFonts w:ascii="Arial" w:eastAsia="Arial" w:hAnsi="Arial" w:cs="Arial"/>
                <w:b/>
                <w:color w:val="000000"/>
                <w:sz w:val="20"/>
                <w:szCs w:val="20"/>
              </w:rPr>
              <w:t>D2</w:t>
            </w:r>
          </w:p>
        </w:tc>
        <w:tc>
          <w:tcPr>
            <w:tcW w:w="193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8E07B9">
            <w:pPr>
              <w:widowControl w:val="0"/>
              <w:spacing w:before="0" w:line="276" w:lineRule="auto"/>
              <w:jc w:val="right"/>
              <w:rPr>
                <w:rFonts w:ascii="Arial" w:eastAsia="Arial" w:hAnsi="Arial" w:cs="Arial"/>
                <w:color w:val="000000"/>
                <w:sz w:val="20"/>
                <w:szCs w:val="20"/>
              </w:rPr>
            </w:pPr>
            <w:r>
              <w:rPr>
                <w:rFonts w:ascii="Arial" w:eastAsia="Arial" w:hAnsi="Arial" w:cs="Arial"/>
                <w:color w:val="000000"/>
                <w:sz w:val="20"/>
                <w:szCs w:val="20"/>
              </w:rPr>
              <w:t>1.544021739</w:t>
            </w:r>
          </w:p>
        </w:tc>
        <w:tc>
          <w:tcPr>
            <w:tcW w:w="2295" w:type="dxa"/>
            <w:tcBorders>
              <w:top w:val="single" w:sz="6" w:space="0" w:color="CCCCCC"/>
              <w:left w:val="single" w:sz="6" w:space="0" w:color="CCCCCC"/>
              <w:bottom w:val="single" w:sz="6" w:space="0" w:color="CCCCCC"/>
              <w:right w:val="single" w:sz="6" w:space="0" w:color="CCCCCC"/>
            </w:tcBorders>
            <w:tcMar>
              <w:top w:w="40" w:type="dxa"/>
              <w:left w:w="40" w:type="dxa"/>
              <w:bottom w:w="40" w:type="dxa"/>
              <w:right w:w="40" w:type="dxa"/>
            </w:tcMar>
            <w:vAlign w:val="bottom"/>
          </w:tcPr>
          <w:p w:rsidR="0052667C" w:rsidRDefault="0052667C">
            <w:pPr>
              <w:widowControl w:val="0"/>
              <w:spacing w:before="0" w:line="276" w:lineRule="auto"/>
              <w:rPr>
                <w:rFonts w:ascii="Arial" w:eastAsia="Arial" w:hAnsi="Arial" w:cs="Arial"/>
                <w:color w:val="000000"/>
                <w:sz w:val="20"/>
                <w:szCs w:val="20"/>
              </w:rPr>
            </w:pPr>
          </w:p>
        </w:tc>
      </w:tr>
    </w:tbl>
    <w:p w:rsidR="0052667C" w:rsidRDefault="008E07B9">
      <w:pPr>
        <w:pStyle w:val="Heading2"/>
      </w:pPr>
      <w:bookmarkStart w:id="7" w:name="_1glz2glkklc4" w:colFirst="0" w:colLast="0"/>
      <w:bookmarkEnd w:id="7"/>
      <w:r>
        <w:t>Soil Chemistry</w:t>
      </w:r>
    </w:p>
    <w:p w:rsidR="0052667C" w:rsidRDefault="008E07B9">
      <w:r>
        <w:t xml:space="preserve">The pH of soil is important to plant health; pH levels too high or too low can limit a plant’s ability to access available nutrients in soil. Figures 2, 3, 4, and 5 illustrate the measured soil pH levels </w:t>
      </w:r>
      <w:r>
        <w:lastRenderedPageBreak/>
        <w:t>from the sites sampled; the results are consistently</w:t>
      </w:r>
      <w:r>
        <w:t xml:space="preserve"> high/alkaline, average 7.3, and limit plant selection to trees that are tolerant of high pH levels.</w:t>
      </w:r>
    </w:p>
    <w:p w:rsidR="0052667C" w:rsidRDefault="008E07B9">
      <w:r>
        <w:t>Organic matter is a necessary soil component for plant growth and may be used as an indicator of biotic activity in the soil. High levels of organic matter</w:t>
      </w:r>
      <w:r>
        <w:t xml:space="preserve"> retain moisture longer for plant access and increase biotic activity that is important for soil health. Figures 2, 3, 4, and 5 illustrate the percentage of organic matter measured in the samples selected; the results are generally low, average 3.3%, and i</w:t>
      </w:r>
      <w:r>
        <w:t>ndicate low biotic activity and poor soil health.</w:t>
      </w:r>
    </w:p>
    <w:p w:rsidR="0052667C" w:rsidRDefault="008E07B9">
      <w:r>
        <w:t>Nutrient levels in soil must be sufficient to support plant health or plants will not grow. Figures 2, 3, 4, and 5 illustrate the measured nutrient levels from the sites sampled; the results show remarkable</w:t>
      </w:r>
      <w:r>
        <w:t xml:space="preserve"> deficiencies in some macronutrients and many micronutrients. These deficiencies will limit plant health and growth.</w:t>
      </w:r>
      <w:r>
        <w:rPr>
          <w:noProof/>
          <w:lang w:val="en-US"/>
        </w:rPr>
        <w:drawing>
          <wp:anchor distT="114300" distB="114300" distL="114300" distR="114300" simplePos="0" relativeHeight="251658240" behindDoc="0" locked="0" layoutInCell="1" hidden="0" allowOverlap="1">
            <wp:simplePos x="0" y="0"/>
            <wp:positionH relativeFrom="column">
              <wp:posOffset>1</wp:posOffset>
            </wp:positionH>
            <wp:positionV relativeFrom="paragraph">
              <wp:posOffset>1076325</wp:posOffset>
            </wp:positionV>
            <wp:extent cx="2715568" cy="3516312"/>
            <wp:effectExtent l="0" t="0" r="0" b="0"/>
            <wp:wrapSquare wrapText="bothSides" distT="114300" distB="114300" distL="114300" distR="114300"/>
            <wp:docPr id="2"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8"/>
                    <a:srcRect/>
                    <a:stretch>
                      <a:fillRect/>
                    </a:stretch>
                  </pic:blipFill>
                  <pic:spPr>
                    <a:xfrm>
                      <a:off x="0" y="0"/>
                      <a:ext cx="2715568" cy="3516312"/>
                    </a:xfrm>
                    <a:prstGeom prst="rect">
                      <a:avLst/>
                    </a:prstGeom>
                    <a:ln/>
                  </pic:spPr>
                </pic:pic>
              </a:graphicData>
            </a:graphic>
          </wp:anchor>
        </w:drawing>
      </w:r>
    </w:p>
    <w:p w:rsidR="0052667C" w:rsidRDefault="008E07B9">
      <w:r>
        <w:t xml:space="preserve">Figure 2: Chemical analysis of site Alumni A.     </w:t>
      </w:r>
    </w:p>
    <w:p w:rsidR="0052667C" w:rsidRDefault="0052667C"/>
    <w:p w:rsidR="0052667C" w:rsidRDefault="008E07B9">
      <w:r>
        <w:rPr>
          <w:noProof/>
          <w:lang w:val="en-US"/>
        </w:rPr>
        <w:drawing>
          <wp:anchor distT="114300" distB="114300" distL="114300" distR="114300" simplePos="0" relativeHeight="251659264" behindDoc="0" locked="0" layoutInCell="1" hidden="0" allowOverlap="1">
            <wp:simplePos x="0" y="0"/>
            <wp:positionH relativeFrom="column">
              <wp:posOffset>-14287</wp:posOffset>
            </wp:positionH>
            <wp:positionV relativeFrom="paragraph">
              <wp:posOffset>2857500</wp:posOffset>
            </wp:positionV>
            <wp:extent cx="2738438" cy="3545925"/>
            <wp:effectExtent l="0" t="0" r="0" b="0"/>
            <wp:wrapSquare wrapText="bothSides" distT="114300" distB="114300" distL="114300" distR="114300"/>
            <wp:docPr id="1"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9"/>
                    <a:srcRect/>
                    <a:stretch>
                      <a:fillRect/>
                    </a:stretch>
                  </pic:blipFill>
                  <pic:spPr>
                    <a:xfrm>
                      <a:off x="0" y="0"/>
                      <a:ext cx="2738438" cy="3545925"/>
                    </a:xfrm>
                    <a:prstGeom prst="rect">
                      <a:avLst/>
                    </a:prstGeom>
                    <a:ln/>
                  </pic:spPr>
                </pic:pic>
              </a:graphicData>
            </a:graphic>
          </wp:anchor>
        </w:drawing>
      </w:r>
    </w:p>
    <w:p w:rsidR="0052667C" w:rsidRDefault="0052667C"/>
    <w:p w:rsidR="0052667C" w:rsidRDefault="0052667C"/>
    <w:p w:rsidR="0052667C" w:rsidRDefault="0052667C"/>
    <w:p w:rsidR="0052667C" w:rsidRDefault="0052667C"/>
    <w:p w:rsidR="0052667C" w:rsidRDefault="0052667C"/>
    <w:p w:rsidR="0052667C" w:rsidRDefault="0052667C"/>
    <w:p w:rsidR="0052667C" w:rsidRDefault="0052667C"/>
    <w:p w:rsidR="0052667C" w:rsidRDefault="008E07B9">
      <w:r>
        <w:t>Figure 3: Chemical analysis of site Alumni B.</w:t>
      </w:r>
    </w:p>
    <w:p w:rsidR="0052667C" w:rsidRDefault="0052667C"/>
    <w:p w:rsidR="0052667C" w:rsidRDefault="0052667C"/>
    <w:p w:rsidR="0052667C" w:rsidRDefault="0052667C"/>
    <w:p w:rsidR="0052667C" w:rsidRDefault="0052667C"/>
    <w:p w:rsidR="0052667C" w:rsidRDefault="0052667C"/>
    <w:p w:rsidR="0052667C" w:rsidRDefault="0052667C"/>
    <w:p w:rsidR="0052667C" w:rsidRDefault="0052667C"/>
    <w:p w:rsidR="0052667C" w:rsidRDefault="008E07B9">
      <w:r>
        <w:t>Figure 4: Chemical analysis of site Alumni C.</w:t>
      </w:r>
      <w:r>
        <w:rPr>
          <w:noProof/>
          <w:lang w:val="en-US"/>
        </w:rPr>
        <w:drawing>
          <wp:anchor distT="114300" distB="114300" distL="114300" distR="114300" simplePos="0" relativeHeight="251660288" behindDoc="0" locked="0" layoutInCell="1" hidden="0" allowOverlap="1">
            <wp:simplePos x="0" y="0"/>
            <wp:positionH relativeFrom="column">
              <wp:posOffset>19051</wp:posOffset>
            </wp:positionH>
            <wp:positionV relativeFrom="paragraph">
              <wp:posOffset>146050</wp:posOffset>
            </wp:positionV>
            <wp:extent cx="2609951" cy="3382962"/>
            <wp:effectExtent l="0" t="0" r="0" b="0"/>
            <wp:wrapSquare wrapText="bothSides" distT="114300" distB="114300" distL="114300" distR="114300"/>
            <wp:docPr id="3"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10"/>
                    <a:srcRect/>
                    <a:stretch>
                      <a:fillRect/>
                    </a:stretch>
                  </pic:blipFill>
                  <pic:spPr>
                    <a:xfrm>
                      <a:off x="0" y="0"/>
                      <a:ext cx="2609951" cy="3382962"/>
                    </a:xfrm>
                    <a:prstGeom prst="rect">
                      <a:avLst/>
                    </a:prstGeom>
                    <a:ln/>
                  </pic:spPr>
                </pic:pic>
              </a:graphicData>
            </a:graphic>
          </wp:anchor>
        </w:drawing>
      </w:r>
    </w:p>
    <w:p w:rsidR="0052667C" w:rsidRDefault="0052667C"/>
    <w:p w:rsidR="0052667C" w:rsidRDefault="0052667C"/>
    <w:p w:rsidR="0052667C" w:rsidRDefault="0052667C"/>
    <w:p w:rsidR="0052667C" w:rsidRDefault="0052667C"/>
    <w:p w:rsidR="0052667C" w:rsidRDefault="0052667C"/>
    <w:p w:rsidR="0052667C" w:rsidRDefault="0052667C"/>
    <w:p w:rsidR="0052667C" w:rsidRDefault="0052667C"/>
    <w:p w:rsidR="0052667C" w:rsidRDefault="0052667C"/>
    <w:p w:rsidR="0052667C" w:rsidRDefault="008E07B9">
      <w:r>
        <w:t>Figure 5: Chemical analysis of site Alumni D.</w:t>
      </w:r>
      <w:r>
        <w:rPr>
          <w:noProof/>
          <w:lang w:val="en-US"/>
        </w:rPr>
        <w:drawing>
          <wp:anchor distT="114300" distB="114300" distL="114300" distR="114300" simplePos="0" relativeHeight="251661312" behindDoc="0" locked="0" layoutInCell="1" hidden="0" allowOverlap="1">
            <wp:simplePos x="0" y="0"/>
            <wp:positionH relativeFrom="column">
              <wp:posOffset>1</wp:posOffset>
            </wp:positionH>
            <wp:positionV relativeFrom="paragraph">
              <wp:posOffset>247650</wp:posOffset>
            </wp:positionV>
            <wp:extent cx="2487534" cy="3221038"/>
            <wp:effectExtent l="0" t="0" r="0" b="0"/>
            <wp:wrapSquare wrapText="bothSides" distT="114300" distB="114300" distL="114300" distR="114300"/>
            <wp:docPr id="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1"/>
                    <a:srcRect/>
                    <a:stretch>
                      <a:fillRect/>
                    </a:stretch>
                  </pic:blipFill>
                  <pic:spPr>
                    <a:xfrm>
                      <a:off x="0" y="0"/>
                      <a:ext cx="2487534" cy="3221038"/>
                    </a:xfrm>
                    <a:prstGeom prst="rect">
                      <a:avLst/>
                    </a:prstGeom>
                    <a:ln/>
                  </pic:spPr>
                </pic:pic>
              </a:graphicData>
            </a:graphic>
          </wp:anchor>
        </w:drawing>
      </w:r>
    </w:p>
    <w:p w:rsidR="0052667C" w:rsidRDefault="0052667C"/>
    <w:p w:rsidR="0052667C" w:rsidRDefault="0052667C"/>
    <w:p w:rsidR="0052667C" w:rsidRDefault="0052667C"/>
    <w:p w:rsidR="0052667C" w:rsidRDefault="0052667C"/>
    <w:p w:rsidR="0052667C" w:rsidRDefault="0052667C"/>
    <w:p w:rsidR="0052667C" w:rsidRDefault="0052667C"/>
    <w:p w:rsidR="0052667C" w:rsidRDefault="0052667C"/>
    <w:p w:rsidR="0052667C" w:rsidRDefault="0052667C"/>
    <w:p w:rsidR="0052667C" w:rsidRDefault="0052667C"/>
    <w:p w:rsidR="0052667C" w:rsidRDefault="0052667C"/>
    <w:p w:rsidR="0052667C" w:rsidRDefault="008E07B9">
      <w:pPr>
        <w:pStyle w:val="Heading1"/>
      </w:pPr>
      <w:bookmarkStart w:id="8" w:name="_v1wzhfv6d0gg" w:colFirst="0" w:colLast="0"/>
      <w:bookmarkEnd w:id="8"/>
      <w:r>
        <w:t>RECOMMENDATIONS</w:t>
      </w:r>
    </w:p>
    <w:p w:rsidR="0052667C" w:rsidRDefault="008E07B9">
      <w:r>
        <w:t>The soil in the median at Alumni Mall is compacted, highly alkaline, has low organic matter, and many nutrient deficiencies. A complete soil replacement will eliminate these problems but would require 629,331.8 cubic yards of soil, approximately $17.6 mill</w:t>
      </w:r>
      <w:r>
        <w:t xml:space="preserve">ion, plus shipping and installation. </w:t>
      </w:r>
    </w:p>
    <w:p w:rsidR="0052667C" w:rsidRDefault="008E07B9">
      <w:r>
        <w:lastRenderedPageBreak/>
        <w:t xml:space="preserve">Another approach to improve the soil at this location is with an amendment strategy that will add organic matter/nutrients, lower soil pH, and reduce compaction. Using the soil profile rebuilding technique, a crew can </w:t>
      </w:r>
      <w:r>
        <w:t>incorporate 5% compost into the existing soil while de-compacting the soil profiles with a back-hoe. This approach requires 31,466 cubic yards of compost, approximately $1.1 million, plus shipping and installation.</w:t>
      </w:r>
    </w:p>
    <w:p w:rsidR="0052667C" w:rsidRDefault="008E07B9">
      <w:r>
        <w:t>Beyond soil replacement or amendment, som</w:t>
      </w:r>
      <w:r>
        <w:t xml:space="preserve">e tree species may tolerate the poor soil conditions at Alumni Mall. The careful selection of urban tolerant species like </w:t>
      </w:r>
      <w:proofErr w:type="spellStart"/>
      <w:r>
        <w:rPr>
          <w:i/>
        </w:rPr>
        <w:t>Styphnolobium</w:t>
      </w:r>
      <w:proofErr w:type="spellEnd"/>
      <w:r>
        <w:rPr>
          <w:i/>
        </w:rPr>
        <w:t xml:space="preserve"> </w:t>
      </w:r>
      <w:proofErr w:type="spellStart"/>
      <w:r>
        <w:rPr>
          <w:i/>
        </w:rPr>
        <w:t>japonicum</w:t>
      </w:r>
      <w:proofErr w:type="spellEnd"/>
      <w:r>
        <w:t xml:space="preserve">, </w:t>
      </w:r>
      <w:proofErr w:type="spellStart"/>
      <w:r>
        <w:rPr>
          <w:i/>
        </w:rPr>
        <w:t>Pistacia</w:t>
      </w:r>
      <w:proofErr w:type="spellEnd"/>
      <w:r>
        <w:rPr>
          <w:i/>
        </w:rPr>
        <w:t xml:space="preserve"> </w:t>
      </w:r>
      <w:proofErr w:type="spellStart"/>
      <w:r>
        <w:rPr>
          <w:i/>
        </w:rPr>
        <w:t>chinensis</w:t>
      </w:r>
      <w:proofErr w:type="spellEnd"/>
      <w:r>
        <w:t xml:space="preserve">, </w:t>
      </w:r>
      <w:r>
        <w:rPr>
          <w:i/>
          <w:color w:val="222222"/>
          <w:sz w:val="21"/>
          <w:szCs w:val="21"/>
          <w:highlight w:val="white"/>
        </w:rPr>
        <w:t xml:space="preserve">Catalpa </w:t>
      </w:r>
      <w:proofErr w:type="spellStart"/>
      <w:r>
        <w:rPr>
          <w:i/>
          <w:color w:val="222222"/>
          <w:sz w:val="21"/>
          <w:szCs w:val="21"/>
          <w:highlight w:val="white"/>
        </w:rPr>
        <w:t>speciosa</w:t>
      </w:r>
      <w:proofErr w:type="spellEnd"/>
      <w:r>
        <w:rPr>
          <w:rFonts w:ascii="Roboto" w:eastAsia="Roboto" w:hAnsi="Roboto" w:cs="Roboto"/>
          <w:color w:val="222222"/>
          <w:sz w:val="21"/>
          <w:szCs w:val="21"/>
          <w:highlight w:val="white"/>
        </w:rPr>
        <w:t xml:space="preserve">, </w:t>
      </w:r>
      <w:r>
        <w:t xml:space="preserve">and </w:t>
      </w:r>
      <w:proofErr w:type="spellStart"/>
      <w:r>
        <w:rPr>
          <w:i/>
        </w:rPr>
        <w:t>Gymnocladus</w:t>
      </w:r>
      <w:proofErr w:type="spellEnd"/>
      <w:r>
        <w:rPr>
          <w:i/>
        </w:rPr>
        <w:t xml:space="preserve"> </w:t>
      </w:r>
      <w:proofErr w:type="spellStart"/>
      <w:r>
        <w:rPr>
          <w:i/>
        </w:rPr>
        <w:t>dioicus</w:t>
      </w:r>
      <w:proofErr w:type="spellEnd"/>
      <w:r>
        <w:t xml:space="preserve"> may increase the survival rates when planting t</w:t>
      </w:r>
      <w:r>
        <w:t>his site but results may suffer. Soil volume in the median may support 30 large trees and 15 medium sized trees, approximately $7,200 plus shipping and planting labor.</w:t>
      </w:r>
    </w:p>
    <w:p w:rsidR="0052667C" w:rsidRDefault="0052667C"/>
    <w:sectPr w:rsidR="0052667C">
      <w:headerReference w:type="default" r:id="rId12"/>
      <w:headerReference w:type="first" r:id="rId13"/>
      <w:footerReference w:type="first" r:id="rId14"/>
      <w:pgSz w:w="12240" w:h="15840"/>
      <w:pgMar w:top="1080" w:right="1440" w:bottom="1080" w:left="1440" w:header="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8E07B9">
      <w:pPr>
        <w:spacing w:before="0" w:line="240" w:lineRule="auto"/>
      </w:pPr>
      <w:r>
        <w:separator/>
      </w:r>
    </w:p>
  </w:endnote>
  <w:endnote w:type="continuationSeparator" w:id="0">
    <w:p w:rsidR="00000000" w:rsidRDefault="008E07B9">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Proxima Nova">
    <w:charset w:val="00"/>
    <w:family w:val="auto"/>
    <w:pitch w:val="default"/>
  </w:font>
  <w:font w:name="Trebuchet MS">
    <w:panose1 w:val="020B0603020202020204"/>
    <w:charset w:val="00"/>
    <w:family w:val="auto"/>
    <w:pitch w:val="default"/>
  </w:font>
  <w:font w:name="Arial">
    <w:panose1 w:val="020B0604020202020204"/>
    <w:charset w:val="00"/>
    <w:family w:val="swiss"/>
    <w:pitch w:val="variable"/>
    <w:sig w:usb0="E0002EFF" w:usb1="C000785B" w:usb2="00000009" w:usb3="00000000" w:csb0="000001FF" w:csb1="00000000"/>
  </w:font>
  <w:font w:name="Roboto">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667C" w:rsidRDefault="0052667C">
    <w:pPr>
      <w:pBdr>
        <w:top w:val="nil"/>
        <w:left w:val="nil"/>
        <w:bottom w:val="nil"/>
        <w:right w:val="nil"/>
        <w:between w:val="nil"/>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8E07B9">
      <w:pPr>
        <w:spacing w:before="0" w:line="240" w:lineRule="auto"/>
      </w:pPr>
      <w:r>
        <w:separator/>
      </w:r>
    </w:p>
  </w:footnote>
  <w:footnote w:type="continuationSeparator" w:id="0">
    <w:p w:rsidR="00000000" w:rsidRDefault="008E07B9">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667C" w:rsidRDefault="0052667C">
    <w:pPr>
      <w:pBdr>
        <w:top w:val="nil"/>
        <w:left w:val="nil"/>
        <w:bottom w:val="nil"/>
        <w:right w:val="nil"/>
        <w:between w:val="nil"/>
      </w:pBdr>
      <w:spacing w:before="400"/>
    </w:pPr>
  </w:p>
  <w:p w:rsidR="0052667C" w:rsidRDefault="0052667C">
    <w:pPr>
      <w:pBdr>
        <w:top w:val="nil"/>
        <w:left w:val="nil"/>
        <w:bottom w:val="nil"/>
        <w:right w:val="nil"/>
        <w:between w:val="nil"/>
      </w:pBdr>
      <w:spacing w:before="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667C" w:rsidRDefault="0052667C">
    <w:pPr>
      <w:pBdr>
        <w:top w:val="nil"/>
        <w:left w:val="nil"/>
        <w:bottom w:val="nil"/>
        <w:right w:val="nil"/>
        <w:between w:val="nil"/>
      </w:pBd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9794463"/>
    <w:multiLevelType w:val="multilevel"/>
    <w:tmpl w:val="807C79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667C"/>
    <w:rsid w:val="0052667C"/>
    <w:rsid w:val="008E07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1A39B20-6FCF-4183-A2C3-C3F945DF19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Proxima Nova" w:eastAsia="Proxima Nova" w:hAnsi="Proxima Nova" w:cs="Proxima Nova"/>
        <w:color w:val="353744"/>
        <w:sz w:val="22"/>
        <w:szCs w:val="22"/>
        <w:lang w:val="en" w:eastAsia="en-US" w:bidi="ar-SA"/>
      </w:rPr>
    </w:rPrDefault>
    <w:pPrDefault>
      <w:pPr>
        <w:spacing w:before="200" w:line="312"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spacing w:before="480" w:line="240" w:lineRule="auto"/>
      <w:outlineLvl w:val="0"/>
    </w:pPr>
    <w:rPr>
      <w:b/>
      <w:sz w:val="28"/>
      <w:szCs w:val="28"/>
    </w:rPr>
  </w:style>
  <w:style w:type="paragraph" w:styleId="Heading2">
    <w:name w:val="heading 2"/>
    <w:basedOn w:val="Normal"/>
    <w:next w:val="Normal"/>
    <w:pPr>
      <w:spacing w:before="320" w:line="240" w:lineRule="auto"/>
      <w:outlineLvl w:val="1"/>
    </w:pPr>
    <w:rPr>
      <w:b/>
      <w:color w:val="00AB44"/>
      <w:sz w:val="28"/>
      <w:szCs w:val="28"/>
    </w:rPr>
  </w:style>
  <w:style w:type="paragraph" w:styleId="Heading3">
    <w:name w:val="heading 3"/>
    <w:basedOn w:val="Normal"/>
    <w:next w:val="Normal"/>
    <w:pPr>
      <w:spacing w:line="240" w:lineRule="auto"/>
      <w:outlineLvl w:val="2"/>
    </w:pPr>
    <w:rPr>
      <w:sz w:val="26"/>
      <w:szCs w:val="26"/>
    </w:rPr>
  </w:style>
  <w:style w:type="paragraph" w:styleId="Heading4">
    <w:name w:val="heading 4"/>
    <w:basedOn w:val="Normal"/>
    <w:next w:val="Normal"/>
    <w:pPr>
      <w:keepNext/>
      <w:keepLines/>
      <w:spacing w:before="160"/>
      <w:outlineLvl w:val="3"/>
    </w:pPr>
    <w:rPr>
      <w:rFonts w:ascii="Trebuchet MS" w:eastAsia="Trebuchet MS" w:hAnsi="Trebuchet MS" w:cs="Trebuchet MS"/>
      <w:color w:val="666666"/>
      <w:u w:val="single"/>
    </w:rPr>
  </w:style>
  <w:style w:type="paragraph" w:styleId="Heading5">
    <w:name w:val="heading 5"/>
    <w:basedOn w:val="Normal"/>
    <w:next w:val="Normal"/>
    <w:pPr>
      <w:keepNext/>
      <w:keepLines/>
      <w:spacing w:before="160"/>
      <w:outlineLvl w:val="4"/>
    </w:pPr>
    <w:rPr>
      <w:rFonts w:ascii="Trebuchet MS" w:eastAsia="Trebuchet MS" w:hAnsi="Trebuchet MS" w:cs="Trebuchet MS"/>
      <w:color w:val="666666"/>
    </w:rPr>
  </w:style>
  <w:style w:type="paragraph" w:styleId="Heading6">
    <w:name w:val="heading 6"/>
    <w:basedOn w:val="Normal"/>
    <w:next w:val="Normal"/>
    <w:pPr>
      <w:keepNext/>
      <w:keepLines/>
      <w:spacing w:before="160"/>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spacing w:before="320" w:line="240" w:lineRule="auto"/>
    </w:pPr>
    <w:rPr>
      <w:sz w:val="72"/>
      <w:szCs w:val="72"/>
    </w:rPr>
  </w:style>
  <w:style w:type="paragraph" w:styleId="Subtitle">
    <w:name w:val="Subtitle"/>
    <w:basedOn w:val="Normal"/>
    <w:next w:val="Normal"/>
    <w:pPr>
      <w:spacing w:before="0" w:line="240" w:lineRule="auto"/>
    </w:pPr>
    <w:rPr>
      <w:color w:val="666666"/>
      <w:sz w:val="26"/>
      <w:szCs w:val="26"/>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jpg"/><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748</Words>
  <Characters>4268</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James King</dc:creator>
  <cp:lastModifiedBy>James King</cp:lastModifiedBy>
  <cp:revision>2</cp:revision>
  <dcterms:created xsi:type="dcterms:W3CDTF">2020-09-15T16:37:00Z</dcterms:created>
  <dcterms:modified xsi:type="dcterms:W3CDTF">2020-09-15T16:37:00Z</dcterms:modified>
</cp:coreProperties>
</file>