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7648" w:rsidRPr="00647648" w:rsidRDefault="00647648" w:rsidP="001D04EF">
      <w:r>
        <w:t xml:space="preserve">« Gustave Kahn et </w:t>
      </w:r>
      <w:r>
        <w:rPr>
          <w:i/>
        </w:rPr>
        <w:t>Le Conte de l’or et du silence</w:t>
      </w:r>
      <w:r>
        <w:t> : une question de lisibilité »</w:t>
      </w:r>
    </w:p>
    <w:p w:rsidR="00647648" w:rsidRDefault="00647648" w:rsidP="001D04EF"/>
    <w:p w:rsidR="001D04EF" w:rsidRPr="00EA18D2" w:rsidRDefault="001D04EF" w:rsidP="001D04EF">
      <w:pPr>
        <w:rPr>
          <w:rFonts w:cs="Times New Roman"/>
        </w:rPr>
      </w:pPr>
      <w:r>
        <w:t>« </w:t>
      </w:r>
      <w:r w:rsidRPr="00EA18D2">
        <w:t>Les Roman d’avant-garde à l’âge d’or de la presse symboliste,”</w:t>
      </w:r>
    </w:p>
    <w:p w:rsidR="001D04EF" w:rsidRDefault="001D04EF" w:rsidP="001D04EF">
      <w:proofErr w:type="spellStart"/>
      <w:r>
        <w:rPr>
          <w:rFonts w:cs="Times New Roman"/>
        </w:rPr>
        <w:t>Yosuké</w:t>
      </w:r>
      <w:proofErr w:type="spellEnd"/>
      <w:r>
        <w:rPr>
          <w:rFonts w:cs="Times New Roman"/>
        </w:rPr>
        <w:t xml:space="preserve"> Goda </w:t>
      </w:r>
      <w:r>
        <w:t>Université de Yamagata au Japon</w:t>
      </w:r>
    </w:p>
    <w:p w:rsidR="001D04EF" w:rsidRDefault="001D04EF" w:rsidP="001D04EF">
      <w:r>
        <w:t xml:space="preserve">Julien </w:t>
      </w:r>
      <w:proofErr w:type="spellStart"/>
      <w:r>
        <w:t>Schuh</w:t>
      </w:r>
      <w:proofErr w:type="spellEnd"/>
      <w:r w:rsidR="00A57C77">
        <w:t xml:space="preserve"> – Paris Nanterre</w:t>
      </w:r>
    </w:p>
    <w:p w:rsidR="001D04EF" w:rsidRDefault="001D04EF" w:rsidP="001D04EF">
      <w:pPr>
        <w:rPr>
          <w:rFonts w:cs="Times New Roman"/>
        </w:rPr>
      </w:pPr>
    </w:p>
    <w:p w:rsidR="00C34DFA" w:rsidRDefault="00C34DFA" w:rsidP="001D04EF">
      <w:pPr>
        <w:rPr>
          <w:rFonts w:cs="Times New Roman"/>
        </w:rPr>
      </w:pPr>
    </w:p>
    <w:p w:rsidR="001D04EF" w:rsidRDefault="001D04EF" w:rsidP="001D04EF">
      <w:pPr>
        <w:rPr>
          <w:rFonts w:cs="Times New Roman"/>
        </w:rPr>
      </w:pPr>
      <w:r w:rsidRPr="00FB6897">
        <w:rPr>
          <w:rFonts w:cs="Times New Roman"/>
        </w:rPr>
        <w:tab/>
        <w:t xml:space="preserve">Gustave Kahn est surtout connu pour la poésie symboliste et ses contributions au développement du vers libre en France. </w:t>
      </w:r>
      <w:r>
        <w:rPr>
          <w:rFonts w:cs="Times New Roman"/>
        </w:rPr>
        <w:t xml:space="preserve">Il joua un rôle capital dans les petites revues qui ont marquées le symbolisme telles que </w:t>
      </w:r>
      <w:r>
        <w:rPr>
          <w:rFonts w:cs="Times New Roman"/>
          <w:i/>
        </w:rPr>
        <w:t>La Vogue, Le Symboliste, La Revue indépendante</w:t>
      </w:r>
      <w:r>
        <w:rPr>
          <w:rFonts w:cs="Times New Roman"/>
        </w:rPr>
        <w:t xml:space="preserve">, parmi d’autres. Il contribua de nombreux poèmes, contes, et articles critiques à d’autres revues aussi surtout </w:t>
      </w:r>
      <w:r>
        <w:rPr>
          <w:rFonts w:cs="Times New Roman"/>
          <w:i/>
        </w:rPr>
        <w:t>La Revue blanche</w:t>
      </w:r>
      <w:r>
        <w:rPr>
          <w:rFonts w:cs="Times New Roman"/>
        </w:rPr>
        <w:t>.</w:t>
      </w:r>
      <w:r w:rsidRPr="00FB6897">
        <w:rPr>
          <w:rFonts w:cs="Times New Roman"/>
        </w:rPr>
        <w:t xml:space="preserve"> </w:t>
      </w:r>
    </w:p>
    <w:p w:rsidR="001D04EF" w:rsidRDefault="001D04EF" w:rsidP="001D04EF">
      <w:pPr>
        <w:rPr>
          <w:rFonts w:cs="Times New Roman"/>
        </w:rPr>
      </w:pPr>
      <w:r>
        <w:rPr>
          <w:rFonts w:cs="Times New Roman"/>
        </w:rPr>
        <w:tab/>
      </w:r>
      <w:r w:rsidRPr="00FB6897">
        <w:rPr>
          <w:rFonts w:cs="Times New Roman"/>
        </w:rPr>
        <w:t xml:space="preserve">Gustave Kahn publia exclusivement de la poésie depuis ses débuts en 1879 jusqu’à la publication en série de son premier roman </w:t>
      </w:r>
      <w:r w:rsidRPr="00FB6897">
        <w:rPr>
          <w:rFonts w:cs="Times New Roman"/>
          <w:i/>
        </w:rPr>
        <w:t>Le Roi fou</w:t>
      </w:r>
      <w:r w:rsidRPr="00FB6897">
        <w:rPr>
          <w:rFonts w:cs="Times New Roman"/>
        </w:rPr>
        <w:t xml:space="preserve"> dans </w:t>
      </w:r>
      <w:r w:rsidRPr="00FB6897">
        <w:rPr>
          <w:rFonts w:cs="Times New Roman"/>
          <w:i/>
        </w:rPr>
        <w:t>La Revue blanche</w:t>
      </w:r>
      <w:r w:rsidRPr="00FB6897">
        <w:rPr>
          <w:rFonts w:cs="Times New Roman"/>
        </w:rPr>
        <w:t xml:space="preserve"> en 1894 et en volume deux ans plus tard</w:t>
      </w:r>
      <w:r w:rsidRPr="00FB6897">
        <w:rPr>
          <w:rFonts w:cs="Times New Roman"/>
          <w:i/>
        </w:rPr>
        <w:t>. Le Conte de l’or et du silence</w:t>
      </w:r>
      <w:r>
        <w:rPr>
          <w:rFonts w:cs="Times New Roman"/>
        </w:rPr>
        <w:t xml:space="preserve"> parut en 1898 </w:t>
      </w:r>
      <w:r w:rsidRPr="00FB6897">
        <w:rPr>
          <w:rFonts w:cs="Times New Roman"/>
        </w:rPr>
        <w:t>chez le Mercure de France</w:t>
      </w:r>
      <w:r>
        <w:rPr>
          <w:rFonts w:cs="Times New Roman"/>
        </w:rPr>
        <w:t xml:space="preserve">. </w:t>
      </w:r>
      <w:r w:rsidRPr="00FB6897">
        <w:rPr>
          <w:rFonts w:cs="Times New Roman"/>
        </w:rPr>
        <w:t xml:space="preserve">Selon </w:t>
      </w:r>
      <w:r>
        <w:rPr>
          <w:rFonts w:cs="Times New Roman"/>
        </w:rPr>
        <w:t xml:space="preserve">J. C. </w:t>
      </w:r>
      <w:proofErr w:type="spellStart"/>
      <w:r w:rsidRPr="00FB6897">
        <w:rPr>
          <w:rFonts w:cs="Times New Roman"/>
        </w:rPr>
        <w:t>Ireson</w:t>
      </w:r>
      <w:proofErr w:type="spellEnd"/>
      <w:r w:rsidRPr="00FB6897">
        <w:rPr>
          <w:rFonts w:cs="Times New Roman"/>
        </w:rPr>
        <w:t>, la composition du</w:t>
      </w:r>
      <w:r w:rsidRPr="00751058">
        <w:t xml:space="preserve"> </w:t>
      </w:r>
      <w:r w:rsidR="00751058" w:rsidRPr="00751058">
        <w:t>roman</w:t>
      </w:r>
      <w:r w:rsidRPr="00FB6897">
        <w:rPr>
          <w:rFonts w:cs="Times New Roman"/>
        </w:rPr>
        <w:t xml:space="preserve"> ne peut pas être </w:t>
      </w:r>
      <w:r w:rsidR="007C2942">
        <w:rPr>
          <w:rFonts w:cs="Times New Roman"/>
        </w:rPr>
        <w:t>postérieure</w:t>
      </w:r>
      <w:r w:rsidRPr="00FB6897">
        <w:rPr>
          <w:rFonts w:cs="Times New Roman"/>
        </w:rPr>
        <w:t xml:space="preserve"> à 1895.</w:t>
      </w:r>
      <w:r>
        <w:rPr>
          <w:rFonts w:cs="Times New Roman"/>
        </w:rPr>
        <w:t xml:space="preserve"> Une partie fut publié</w:t>
      </w:r>
      <w:r w:rsidR="007C2942">
        <w:rPr>
          <w:rFonts w:cs="Times New Roman"/>
        </w:rPr>
        <w:t>e</w:t>
      </w:r>
      <w:r>
        <w:rPr>
          <w:rFonts w:cs="Times New Roman"/>
        </w:rPr>
        <w:t xml:space="preserve"> e</w:t>
      </w:r>
      <w:r w:rsidRPr="00FB6897">
        <w:rPr>
          <w:rFonts w:cs="Times New Roman"/>
        </w:rPr>
        <w:t xml:space="preserve">n 1896, </w:t>
      </w:r>
      <w:r>
        <w:rPr>
          <w:rFonts w:cs="Times New Roman"/>
        </w:rPr>
        <w:t xml:space="preserve">dans </w:t>
      </w:r>
      <w:r w:rsidRPr="00FB6897">
        <w:rPr>
          <w:rFonts w:cs="Times New Roman"/>
        </w:rPr>
        <w:t xml:space="preserve">la revue </w:t>
      </w:r>
      <w:r w:rsidRPr="00FB6897">
        <w:rPr>
          <w:rFonts w:cs="Times New Roman"/>
          <w:i/>
        </w:rPr>
        <w:t>La Société nouvelle</w:t>
      </w:r>
      <w:r>
        <w:rPr>
          <w:rFonts w:cs="Times New Roman"/>
          <w:i/>
        </w:rPr>
        <w:t>.</w:t>
      </w:r>
      <w:r w:rsidR="00140D04">
        <w:rPr>
          <w:rFonts w:cs="Times New Roman"/>
          <w:i/>
        </w:rPr>
        <w:t xml:space="preserve"> </w:t>
      </w:r>
      <w:bookmarkStart w:id="0" w:name="_GoBack"/>
      <w:bookmarkEnd w:id="0"/>
      <w:proofErr w:type="gramStart"/>
      <w:r>
        <w:rPr>
          <w:rFonts w:cs="Times New Roman"/>
        </w:rPr>
        <w:t>Cette</w:t>
      </w:r>
      <w:proofErr w:type="gramEnd"/>
      <w:r>
        <w:rPr>
          <w:rFonts w:cs="Times New Roman"/>
        </w:rPr>
        <w:t xml:space="preserve"> époque marqua le début de la production en prose de Kahn</w:t>
      </w:r>
      <w:r w:rsidR="007C2942">
        <w:rPr>
          <w:rFonts w:cs="Times New Roman"/>
        </w:rPr>
        <w:t>,</w:t>
      </w:r>
      <w:r>
        <w:rPr>
          <w:rFonts w:cs="Times New Roman"/>
        </w:rPr>
        <w:t xml:space="preserve"> mais il continua à publier de nombreux textes poétiques.</w:t>
      </w:r>
    </w:p>
    <w:p w:rsidR="001D04EF" w:rsidRPr="00FB6897" w:rsidRDefault="001D04EF" w:rsidP="001D04EF">
      <w:r>
        <w:rPr>
          <w:rFonts w:cs="Times New Roman"/>
        </w:rPr>
        <w:tab/>
        <w:t xml:space="preserve">Pour encadrer la lecture de son </w:t>
      </w:r>
      <w:r w:rsidR="007C2942">
        <w:rPr>
          <w:rFonts w:cs="Times New Roman"/>
        </w:rPr>
        <w:t>roman,</w:t>
      </w:r>
      <w:r>
        <w:rPr>
          <w:rFonts w:cs="Times New Roman"/>
        </w:rPr>
        <w:t xml:space="preserve"> Kahn ajouta deux éléments </w:t>
      </w:r>
      <w:proofErr w:type="spellStart"/>
      <w:r>
        <w:rPr>
          <w:rFonts w:cs="Times New Roman"/>
        </w:rPr>
        <w:t>paratextuels</w:t>
      </w:r>
      <w:proofErr w:type="spellEnd"/>
      <w:r>
        <w:rPr>
          <w:rFonts w:cs="Times New Roman"/>
        </w:rPr>
        <w:t xml:space="preserve"> qui nous donnent </w:t>
      </w:r>
      <w:r>
        <w:t>une idée de la démarche de l’auteur</w:t>
      </w:r>
      <w:r>
        <w:rPr>
          <w:rFonts w:cs="Times New Roman"/>
        </w:rPr>
        <w:t xml:space="preserve">. Kahn dédie </w:t>
      </w:r>
      <w:r>
        <w:rPr>
          <w:rFonts w:cs="Times New Roman"/>
          <w:i/>
        </w:rPr>
        <w:t>Le Conte de l’or et du silence</w:t>
      </w:r>
      <w:r>
        <w:rPr>
          <w:rFonts w:cs="Times New Roman"/>
        </w:rPr>
        <w:t xml:space="preserve"> à Mallarmé en décrivant son </w:t>
      </w:r>
      <w:r w:rsidR="007C2942">
        <w:rPr>
          <w:rFonts w:cs="Times New Roman"/>
        </w:rPr>
        <w:t>roman</w:t>
      </w:r>
      <w:r>
        <w:rPr>
          <w:rFonts w:cs="Times New Roman"/>
        </w:rPr>
        <w:t xml:space="preserve"> dans ces termes : </w:t>
      </w:r>
      <w:r>
        <w:t>« </w:t>
      </w:r>
      <w:r w:rsidRPr="00FB6897">
        <w:t>c</w:t>
      </w:r>
      <w:r>
        <w:t>’</w:t>
      </w:r>
      <w:r w:rsidRPr="00FB6897">
        <w:t>est celui qui puise le plus aux sources de l’idée pure et que son territoire est celui où je fréquente le plus près des régions dont vous êtes le prince.</w:t>
      </w:r>
      <w:r>
        <w:t> » Cette dédicace est suivie par un « Avertissement au lecteur » qui situe le roman et décrit sa structure curieuse :</w:t>
      </w:r>
    </w:p>
    <w:p w:rsidR="001D04EF" w:rsidRPr="00FB6897" w:rsidRDefault="001D04EF" w:rsidP="001D04EF">
      <w:pPr>
        <w:rPr>
          <w:rFonts w:cs="Times New Roman"/>
        </w:rPr>
      </w:pPr>
    </w:p>
    <w:p w:rsidR="001D04EF" w:rsidRPr="00FB6897" w:rsidRDefault="001D04EF" w:rsidP="001D04EF">
      <w:pPr>
        <w:ind w:left="708" w:firstLine="720"/>
        <w:jc w:val="both"/>
        <w:rPr>
          <w:rFonts w:cs="Times New Roman"/>
        </w:rPr>
      </w:pPr>
      <w:r w:rsidRPr="00FB6897">
        <w:rPr>
          <w:rFonts w:cs="Times New Roman"/>
        </w:rPr>
        <w:t xml:space="preserve">Ce livre est un conte mythique et lyrique. </w:t>
      </w:r>
    </w:p>
    <w:p w:rsidR="001D04EF" w:rsidRPr="00FB6897" w:rsidRDefault="001D04EF" w:rsidP="001D04EF">
      <w:pPr>
        <w:ind w:left="708" w:firstLine="720"/>
        <w:jc w:val="both"/>
        <w:rPr>
          <w:rFonts w:cs="Times New Roman"/>
        </w:rPr>
      </w:pPr>
      <w:r w:rsidRPr="00FB6897">
        <w:rPr>
          <w:rFonts w:cs="Times New Roman"/>
        </w:rPr>
        <w:t xml:space="preserve">La première partie se passe en un château dans le pays légendaire de Saba, au premier siècle de l'ère chrétienne. </w:t>
      </w:r>
    </w:p>
    <w:p w:rsidR="001D04EF" w:rsidRPr="00FB6897" w:rsidRDefault="001D04EF" w:rsidP="001D04EF">
      <w:pPr>
        <w:ind w:left="708" w:firstLine="720"/>
        <w:jc w:val="both"/>
        <w:rPr>
          <w:rFonts w:cs="Times New Roman"/>
        </w:rPr>
      </w:pPr>
      <w:r w:rsidRPr="00FB6897">
        <w:rPr>
          <w:rFonts w:cs="Times New Roman"/>
        </w:rPr>
        <w:t xml:space="preserve">La seconde partie se passe en un Empire imaginaire, où l'on peut se figurer que coulent la Meuse et le Rhin ; le temps de l'action est aux environs des </w:t>
      </w:r>
      <w:proofErr w:type="spellStart"/>
      <w:r w:rsidRPr="00FB6897">
        <w:rPr>
          <w:rFonts w:cs="Times New Roman"/>
        </w:rPr>
        <w:t>xiv</w:t>
      </w:r>
      <w:r w:rsidRPr="00FB6897">
        <w:rPr>
          <w:rFonts w:cs="Times New Roman"/>
          <w:vertAlign w:val="superscript"/>
        </w:rPr>
        <w:t>e</w:t>
      </w:r>
      <w:proofErr w:type="spellEnd"/>
      <w:r w:rsidRPr="00FB6897">
        <w:rPr>
          <w:rFonts w:cs="Times New Roman"/>
        </w:rPr>
        <w:t xml:space="preserve"> et </w:t>
      </w:r>
      <w:proofErr w:type="spellStart"/>
      <w:r w:rsidRPr="00FB6897">
        <w:rPr>
          <w:rFonts w:cs="Times New Roman"/>
        </w:rPr>
        <w:t>xv</w:t>
      </w:r>
      <w:r w:rsidRPr="00FB6897">
        <w:rPr>
          <w:rFonts w:cs="Times New Roman"/>
          <w:vertAlign w:val="superscript"/>
        </w:rPr>
        <w:t>e</w:t>
      </w:r>
      <w:proofErr w:type="spellEnd"/>
      <w:r w:rsidRPr="00FB6897">
        <w:rPr>
          <w:rFonts w:cs="Times New Roman"/>
        </w:rPr>
        <w:t xml:space="preserve"> siècles. </w:t>
      </w:r>
    </w:p>
    <w:p w:rsidR="001D04EF" w:rsidRPr="00FB6897" w:rsidRDefault="001D04EF" w:rsidP="001D04EF">
      <w:pPr>
        <w:ind w:left="708" w:firstLine="720"/>
        <w:jc w:val="both"/>
        <w:rPr>
          <w:rFonts w:cs="Times New Roman"/>
        </w:rPr>
      </w:pPr>
      <w:r w:rsidRPr="00FB6897">
        <w:rPr>
          <w:rFonts w:cs="Times New Roman"/>
        </w:rPr>
        <w:t xml:space="preserve">La troisième partie se passe au même décor que la première. </w:t>
      </w:r>
    </w:p>
    <w:p w:rsidR="001D04EF" w:rsidRDefault="001D04EF" w:rsidP="001D04EF">
      <w:pPr>
        <w:ind w:left="708"/>
        <w:rPr>
          <w:rFonts w:cs="Times New Roman"/>
        </w:rPr>
      </w:pPr>
      <w:r w:rsidRPr="00FB6897">
        <w:rPr>
          <w:rFonts w:cs="Times New Roman"/>
        </w:rPr>
        <w:t>Certains des personnages représentent des idées, sont immortels ou se réincarnent. Ainsi le roi mage, Balthazar, de la première partie, devient dans la seconde, Maître Ezra. D'autres de ces personnages représentent des phénomènes passionnels, et se comportent selon les habitudes de la vie légendaire</w:t>
      </w:r>
      <w:r>
        <w:rPr>
          <w:rFonts w:cs="Times New Roman"/>
        </w:rPr>
        <w:t>.</w:t>
      </w:r>
    </w:p>
    <w:p w:rsidR="001D04EF" w:rsidRDefault="001D04EF" w:rsidP="001D04EF">
      <w:pPr>
        <w:rPr>
          <w:rFonts w:cs="Times New Roman"/>
        </w:rPr>
      </w:pPr>
    </w:p>
    <w:p w:rsidR="001D04EF" w:rsidRDefault="001D04EF" w:rsidP="001D04EF">
      <w:pPr>
        <w:rPr>
          <w:rFonts w:cs="Times New Roman"/>
        </w:rPr>
      </w:pPr>
      <w:r>
        <w:rPr>
          <w:rFonts w:cs="Times New Roman"/>
        </w:rPr>
        <w:t xml:space="preserve">En fait, la troisième partie est une fusion des personnages et de l’action des deux premières. </w:t>
      </w:r>
    </w:p>
    <w:p w:rsidR="001D04EF" w:rsidRDefault="001D04EF" w:rsidP="001D04EF">
      <w:pPr>
        <w:rPr>
          <w:rFonts w:cs="Times New Roman"/>
        </w:rPr>
      </w:pPr>
      <w:r>
        <w:rPr>
          <w:rFonts w:cs="Times New Roman"/>
        </w:rPr>
        <w:tab/>
        <w:t>L’action du roman (si l’on peut l’appeler ainsi) est presque impossible à résumer. Dans la première partie, au pays de Saba le roi Balthazar, un des trois mages de la légende chrétienne, reçoit Joseph d’</w:t>
      </w:r>
      <w:proofErr w:type="spellStart"/>
      <w:r>
        <w:rPr>
          <w:rFonts w:cs="Times New Roman"/>
        </w:rPr>
        <w:t>Arimathie</w:t>
      </w:r>
      <w:proofErr w:type="spellEnd"/>
      <w:r>
        <w:rPr>
          <w:rFonts w:cs="Times New Roman"/>
        </w:rPr>
        <w:t xml:space="preserve"> qui informe Balthazar du sort de Jésus.  Il lui offre un vase avec quelques gouttes de sang de l’Incarné, comme il l’appelle. Ensuite vient une série d’histoires avec des personnages ou des références bibliques surtout de l’Ancien Testament</w:t>
      </w:r>
      <w:r w:rsidR="007C2942">
        <w:rPr>
          <w:rFonts w:cs="Times New Roman"/>
        </w:rPr>
        <w:t>,</w:t>
      </w:r>
      <w:r>
        <w:rPr>
          <w:rFonts w:cs="Times New Roman"/>
        </w:rPr>
        <w:t xml:space="preserve"> mais aussi une histoire liée à la mythologie grecque. Parmi ces histoires, </w:t>
      </w:r>
      <w:proofErr w:type="spellStart"/>
      <w:r>
        <w:rPr>
          <w:rFonts w:cs="Times New Roman"/>
        </w:rPr>
        <w:t>Ahasverus</w:t>
      </w:r>
      <w:proofErr w:type="spellEnd"/>
      <w:r>
        <w:rPr>
          <w:rFonts w:cs="Times New Roman"/>
        </w:rPr>
        <w:t xml:space="preserve">, le juif errant, explique son </w:t>
      </w:r>
      <w:r>
        <w:rPr>
          <w:rFonts w:cs="Times New Roman"/>
        </w:rPr>
        <w:lastRenderedPageBreak/>
        <w:t xml:space="preserve">passé. Les histoires sont liées entre elles sans qu’il soit facile d’en indiquer un fil conducteur apparent. </w:t>
      </w:r>
    </w:p>
    <w:p w:rsidR="001D04EF" w:rsidRDefault="001D04EF" w:rsidP="001D04EF">
      <w:pPr>
        <w:rPr>
          <w:rFonts w:cs="Times New Roman"/>
        </w:rPr>
      </w:pPr>
      <w:r>
        <w:rPr>
          <w:rFonts w:cs="Times New Roman"/>
        </w:rPr>
        <w:tab/>
        <w:t xml:space="preserve">La deuxième partie se passe dans un contexte européen au Moyen </w:t>
      </w:r>
      <w:r w:rsidR="007C2942">
        <w:rPr>
          <w:rFonts w:cs="Times New Roman"/>
        </w:rPr>
        <w:t>A</w:t>
      </w:r>
      <w:r>
        <w:rPr>
          <w:rFonts w:cs="Times New Roman"/>
        </w:rPr>
        <w:t xml:space="preserve">ge.  Balthazar est maintenant le maître Ezra. </w:t>
      </w:r>
      <w:proofErr w:type="spellStart"/>
      <w:r>
        <w:rPr>
          <w:rFonts w:cs="Times New Roman"/>
        </w:rPr>
        <w:t>Ahasversus</w:t>
      </w:r>
      <w:proofErr w:type="spellEnd"/>
      <w:r>
        <w:rPr>
          <w:rFonts w:cs="Times New Roman"/>
        </w:rPr>
        <w:t xml:space="preserve"> est maintenant </w:t>
      </w:r>
      <w:proofErr w:type="spellStart"/>
      <w:r>
        <w:rPr>
          <w:rFonts w:cs="Times New Roman"/>
        </w:rPr>
        <w:t>Aversus</w:t>
      </w:r>
      <w:proofErr w:type="spellEnd"/>
      <w:r>
        <w:rPr>
          <w:rFonts w:cs="Times New Roman"/>
        </w:rPr>
        <w:t>. De nouveaux personnages sont présentés dont Samuel qui tombe malade après avoir lu la légende de Lancelot, qui lui est un descendant de Joseph d’</w:t>
      </w:r>
      <w:proofErr w:type="spellStart"/>
      <w:r>
        <w:rPr>
          <w:rFonts w:cs="Times New Roman"/>
        </w:rPr>
        <w:t>Arimathie</w:t>
      </w:r>
      <w:proofErr w:type="spellEnd"/>
      <w:r>
        <w:rPr>
          <w:rFonts w:cs="Times New Roman"/>
        </w:rPr>
        <w:t xml:space="preserve">. Bien sûr le Graal fait son apparition. Samuel tombe amoureux de la princesse Marie qui reste inaccessible. Un nouveau dans le royaume nommé Laurent </w:t>
      </w:r>
      <w:proofErr w:type="spellStart"/>
      <w:r>
        <w:rPr>
          <w:rFonts w:cs="Times New Roman"/>
        </w:rPr>
        <w:t>Télice</w:t>
      </w:r>
      <w:proofErr w:type="spellEnd"/>
      <w:r>
        <w:rPr>
          <w:rFonts w:cs="Times New Roman"/>
        </w:rPr>
        <w:t xml:space="preserve"> qui veut offrir une horloge allégorique pour la </w:t>
      </w:r>
      <w:r w:rsidR="00751058">
        <w:rPr>
          <w:rFonts w:cs="Times New Roman"/>
        </w:rPr>
        <w:t>c</w:t>
      </w:r>
      <w:r>
        <w:rPr>
          <w:rFonts w:cs="Times New Roman"/>
        </w:rPr>
        <w:t xml:space="preserve">athédrale, mais on trouve sa création est un blasphème. L’empereur avide de l’or croit que </w:t>
      </w:r>
      <w:proofErr w:type="spellStart"/>
      <w:r>
        <w:rPr>
          <w:rFonts w:cs="Times New Roman"/>
        </w:rPr>
        <w:t>Télice</w:t>
      </w:r>
      <w:proofErr w:type="spellEnd"/>
      <w:r>
        <w:rPr>
          <w:rFonts w:cs="Times New Roman"/>
        </w:rPr>
        <w:t xml:space="preserve"> est un alchimiste et l’emprisonne quand il refuse de faire de l’or. Ezra est emprisonné aussi, mais les deux </w:t>
      </w:r>
      <w:r w:rsidR="00751058">
        <w:rPr>
          <w:rFonts w:cs="Times New Roman"/>
        </w:rPr>
        <w:t>parviennent à sortir</w:t>
      </w:r>
      <w:r>
        <w:rPr>
          <w:rFonts w:cs="Times New Roman"/>
        </w:rPr>
        <w:t xml:space="preserve"> de la prison. En même temps, il y a des émeutes dans les rues</w:t>
      </w:r>
      <w:r w:rsidR="00751058">
        <w:rPr>
          <w:rFonts w:cs="Times New Roman"/>
        </w:rPr>
        <w:t xml:space="preserve">. </w:t>
      </w:r>
      <w:r>
        <w:rPr>
          <w:rFonts w:cs="Times New Roman"/>
        </w:rPr>
        <w:t>Ezra quitte le royaume sur la nef de Solomon à la quête de quelqu’un pour garder le Graal. Je passe sur beaucoup de détails.</w:t>
      </w:r>
    </w:p>
    <w:p w:rsidR="001D04EF" w:rsidRDefault="001D04EF" w:rsidP="001D04EF">
      <w:pPr>
        <w:rPr>
          <w:rFonts w:cs="Times New Roman"/>
        </w:rPr>
      </w:pPr>
      <w:r>
        <w:rPr>
          <w:rFonts w:cs="Times New Roman"/>
        </w:rPr>
        <w:tab/>
        <w:t>La troisième partie combine des éléments des deux premières.</w:t>
      </w:r>
    </w:p>
    <w:p w:rsidR="001D04EF" w:rsidRDefault="001D04EF" w:rsidP="001D04EF">
      <w:pPr>
        <w:rPr>
          <w:rFonts w:cs="Times New Roman"/>
        </w:rPr>
      </w:pPr>
    </w:p>
    <w:p w:rsidR="001D04EF" w:rsidRPr="00A8022D" w:rsidRDefault="001D04EF" w:rsidP="001D04EF">
      <w:pPr>
        <w:rPr>
          <w:rFonts w:cs="Times New Roman"/>
        </w:rPr>
      </w:pPr>
      <w:r>
        <w:rPr>
          <w:rFonts w:cs="Times New Roman"/>
        </w:rPr>
        <w:tab/>
        <w:t xml:space="preserve">Naturellement, la présentation et l’organisation de </w:t>
      </w:r>
      <w:r w:rsidRPr="00FB6897">
        <w:rPr>
          <w:rFonts w:cs="Times New Roman"/>
        </w:rPr>
        <w:t xml:space="preserve">ce roman </w:t>
      </w:r>
      <w:r>
        <w:rPr>
          <w:rFonts w:cs="Times New Roman"/>
        </w:rPr>
        <w:t>sont</w:t>
      </w:r>
      <w:r w:rsidRPr="00FB6897">
        <w:rPr>
          <w:rFonts w:cs="Times New Roman"/>
        </w:rPr>
        <w:t xml:space="preserve"> fortement influencé</w:t>
      </w:r>
      <w:r>
        <w:rPr>
          <w:rFonts w:cs="Times New Roman"/>
        </w:rPr>
        <w:t>es</w:t>
      </w:r>
      <w:r w:rsidRPr="00FB6897">
        <w:rPr>
          <w:rFonts w:cs="Times New Roman"/>
        </w:rPr>
        <w:t xml:space="preserve"> par la vision de l’esthétique symboliste de Kahn.</w:t>
      </w:r>
      <w:r>
        <w:rPr>
          <w:rFonts w:cs="Times New Roman"/>
        </w:rPr>
        <w:t xml:space="preserve"> Cela est à la fois ce qui est intéressant et problématique de cet œuvre. Les remarques de </w:t>
      </w:r>
      <w:r w:rsidRPr="00A8022D">
        <w:rPr>
          <w:rFonts w:cs="Times New Roman"/>
        </w:rPr>
        <w:t>B</w:t>
      </w:r>
      <w:r>
        <w:rPr>
          <w:rFonts w:cs="Times New Roman"/>
        </w:rPr>
        <w:t xml:space="preserve">rian </w:t>
      </w:r>
      <w:proofErr w:type="spellStart"/>
      <w:r>
        <w:rPr>
          <w:rFonts w:cs="Times New Roman"/>
        </w:rPr>
        <w:t>Stableford</w:t>
      </w:r>
      <w:proofErr w:type="spellEnd"/>
      <w:r>
        <w:rPr>
          <w:rFonts w:cs="Times New Roman"/>
        </w:rPr>
        <w:t xml:space="preserve">, le </w:t>
      </w:r>
      <w:r w:rsidRPr="00A8022D">
        <w:rPr>
          <w:rFonts w:cs="Times New Roman"/>
        </w:rPr>
        <w:t xml:space="preserve">traducteur en anglais du </w:t>
      </w:r>
      <w:r w:rsidRPr="00FB6897">
        <w:rPr>
          <w:rFonts w:cs="Times New Roman"/>
          <w:i/>
        </w:rPr>
        <w:t>Conte de l’or et du silence</w:t>
      </w:r>
      <w:r>
        <w:rPr>
          <w:rFonts w:cs="Times New Roman"/>
          <w:i/>
        </w:rPr>
        <w:t xml:space="preserve"> </w:t>
      </w:r>
      <w:r w:rsidR="007C2942">
        <w:rPr>
          <w:rFonts w:cs="Times New Roman"/>
        </w:rPr>
        <w:t>expriment</w:t>
      </w:r>
      <w:r>
        <w:rPr>
          <w:rFonts w:cs="Times New Roman"/>
        </w:rPr>
        <w:t xml:space="preserve"> bien le résultat </w:t>
      </w:r>
      <w:r w:rsidRPr="00A8022D">
        <w:rPr>
          <w:rFonts w:cs="Times New Roman"/>
        </w:rPr>
        <w:t xml:space="preserve">: </w:t>
      </w:r>
    </w:p>
    <w:p w:rsidR="001D04EF" w:rsidRPr="00A8022D" w:rsidRDefault="001D04EF" w:rsidP="001D04EF">
      <w:pPr>
        <w:rPr>
          <w:rFonts w:cs="Times New Roman"/>
        </w:rPr>
      </w:pPr>
    </w:p>
    <w:p w:rsidR="001D04EF" w:rsidRPr="00EE4E81" w:rsidRDefault="001D04EF" w:rsidP="001D04EF">
      <w:pPr>
        <w:ind w:left="708"/>
        <w:rPr>
          <w:rFonts w:cs="Times New Roman"/>
          <w:lang w:val="en-US"/>
        </w:rPr>
      </w:pPr>
      <w:r w:rsidRPr="00EE4E81">
        <w:rPr>
          <w:rFonts w:eastAsia="Times New Roman" w:cs="Times New Roman"/>
          <w:szCs w:val="24"/>
          <w:lang w:val="en-US" w:eastAsia="fr-FR"/>
        </w:rPr>
        <w:t xml:space="preserve">It is not only Gustave Kahn’s most overtly and most extravagant symbolist novel, but one of the most overtly extravagant symbolist novels ever attempted, and it demonstrates </w:t>
      </w:r>
      <w:proofErr w:type="gramStart"/>
      <w:r w:rsidRPr="00EE4E81">
        <w:rPr>
          <w:rFonts w:eastAsia="Times New Roman" w:cs="Times New Roman"/>
          <w:szCs w:val="24"/>
          <w:lang w:val="en-US" w:eastAsia="fr-FR"/>
        </w:rPr>
        <w:t>in no uncertain terms</w:t>
      </w:r>
      <w:proofErr w:type="gramEnd"/>
      <w:r w:rsidRPr="00EE4E81">
        <w:rPr>
          <w:rFonts w:eastAsia="Times New Roman" w:cs="Times New Roman"/>
          <w:szCs w:val="24"/>
          <w:lang w:val="en-US" w:eastAsia="fr-FR"/>
        </w:rPr>
        <w:t xml:space="preserve"> why such attempts were plagued with enormous difficulty.</w:t>
      </w:r>
    </w:p>
    <w:p w:rsidR="001D04EF" w:rsidRPr="006C75F7" w:rsidRDefault="001D04EF" w:rsidP="001D04EF">
      <w:pPr>
        <w:rPr>
          <w:rFonts w:cs="Times New Roman"/>
          <w:lang w:val="en-US"/>
        </w:rPr>
      </w:pPr>
    </w:p>
    <w:p w:rsidR="001D04EF" w:rsidRDefault="001D04EF" w:rsidP="001D04EF">
      <w:pPr>
        <w:rPr>
          <w:rFonts w:cs="Times New Roman"/>
        </w:rPr>
      </w:pPr>
      <w:r w:rsidRPr="00090120">
        <w:rPr>
          <w:rFonts w:cs="Times New Roman"/>
        </w:rPr>
        <w:t>L</w:t>
      </w:r>
      <w:r>
        <w:rPr>
          <w:rFonts w:cs="Times New Roman"/>
        </w:rPr>
        <w:t xml:space="preserve">es défis que pose ce texte sont reflétés dans la réception critique en 1898. </w:t>
      </w:r>
      <w:r w:rsidRPr="00FB6897">
        <w:rPr>
          <w:rFonts w:cs="Times New Roman"/>
        </w:rPr>
        <w:t>L</w:t>
      </w:r>
      <w:r>
        <w:rPr>
          <w:rFonts w:cs="Times New Roman"/>
        </w:rPr>
        <w:t xml:space="preserve">’auteur </w:t>
      </w:r>
      <w:r w:rsidRPr="00FB6897">
        <w:rPr>
          <w:rFonts w:cs="Times New Roman"/>
        </w:rPr>
        <w:t>e</w:t>
      </w:r>
      <w:r>
        <w:rPr>
          <w:rFonts w:cs="Times New Roman"/>
        </w:rPr>
        <w:t>t</w:t>
      </w:r>
      <w:r w:rsidRPr="00FB6897">
        <w:rPr>
          <w:rFonts w:cs="Times New Roman"/>
        </w:rPr>
        <w:t xml:space="preserve"> critique Henri Ghéon déclara dans son compte rendu que [ce roman] « n’a pas d’analogue dans notre littérature et manifeste une volonté de complication artistique sans exemple ».</w:t>
      </w:r>
      <w:r>
        <w:rPr>
          <w:rStyle w:val="FootnoteReference"/>
          <w:rFonts w:cs="Times New Roman"/>
        </w:rPr>
        <w:footnoteReference w:id="1"/>
      </w:r>
      <w:r w:rsidRPr="00FB6897">
        <w:rPr>
          <w:rFonts w:cs="Times New Roman"/>
        </w:rPr>
        <w:t xml:space="preserve"> </w:t>
      </w:r>
      <w:r>
        <w:rPr>
          <w:rFonts w:cs="Times New Roman"/>
        </w:rPr>
        <w:t xml:space="preserve">Alfred Jarry plaça le roman </w:t>
      </w:r>
      <w:r w:rsidRPr="00FB6897">
        <w:rPr>
          <w:rFonts w:cs="Times New Roman"/>
        </w:rPr>
        <w:t xml:space="preserve">parmi les « Livres pairs » de la bibliothèque idéale dans </w:t>
      </w:r>
      <w:r w:rsidRPr="00FB6897">
        <w:rPr>
          <w:rFonts w:eastAsia="Times New Roman" w:cs="Times New Roman"/>
          <w:i/>
          <w:iCs/>
          <w:szCs w:val="24"/>
          <w:lang w:eastAsia="fr-FR"/>
        </w:rPr>
        <w:t xml:space="preserve">Gestes et opinions du Dr </w:t>
      </w:r>
      <w:proofErr w:type="spellStart"/>
      <w:r w:rsidRPr="00FB6897">
        <w:rPr>
          <w:rFonts w:eastAsia="Times New Roman" w:cs="Times New Roman"/>
          <w:i/>
          <w:iCs/>
          <w:szCs w:val="24"/>
          <w:lang w:eastAsia="fr-FR"/>
        </w:rPr>
        <w:t>Faustroll</w:t>
      </w:r>
      <w:proofErr w:type="spellEnd"/>
      <w:r w:rsidRPr="00FB6897">
        <w:rPr>
          <w:rFonts w:eastAsia="Times New Roman" w:cs="Times New Roman"/>
          <w:i/>
          <w:iCs/>
          <w:szCs w:val="24"/>
          <w:lang w:eastAsia="fr-FR"/>
        </w:rPr>
        <w:t>, pataphysicien</w:t>
      </w:r>
      <w:r>
        <w:rPr>
          <w:rFonts w:cs="Times New Roman"/>
        </w:rPr>
        <w:t xml:space="preserve">. </w:t>
      </w:r>
      <w:r w:rsidRPr="00FB6897">
        <w:rPr>
          <w:rFonts w:cs="Times New Roman"/>
        </w:rPr>
        <w:t>L’infusion de l’esthétique symboliste dans le domaine du roman présenta des difficultés pour les lecteurs de l’époque et pour ceux d’aujourd’hui.</w:t>
      </w:r>
      <w:r>
        <w:rPr>
          <w:rFonts w:cs="Times New Roman"/>
        </w:rPr>
        <w:t xml:space="preserve"> Léon Blum dans </w:t>
      </w:r>
      <w:r>
        <w:rPr>
          <w:rFonts w:cs="Times New Roman"/>
          <w:i/>
        </w:rPr>
        <w:t>La Revue blanche</w:t>
      </w:r>
      <w:r>
        <w:rPr>
          <w:rFonts w:cs="Times New Roman"/>
        </w:rPr>
        <w:t xml:space="preserve"> le décrit comme : « Sa richesse même en rend la lecture parfois difficile. […] Le lecteur doit s’attendre à ce que son plaisir et son profit n’aillent pas sans un peu de peine. » (232). Le critique de la </w:t>
      </w:r>
      <w:r>
        <w:rPr>
          <w:rFonts w:cs="Times New Roman"/>
          <w:i/>
        </w:rPr>
        <w:t>Revue de Paris</w:t>
      </w:r>
      <w:r>
        <w:rPr>
          <w:rFonts w:cs="Times New Roman"/>
        </w:rPr>
        <w:t xml:space="preserve"> constate que « l’œuvre s’adresse plus particulièrement aux lettrés, c’est pour eux qu’elle a été écrite ; seuls ils sont capables d’en découvrir la trame symbolique et le sens caché ». (</w:t>
      </w:r>
      <w:proofErr w:type="gramStart"/>
      <w:r>
        <w:rPr>
          <w:rFonts w:cs="Times New Roman"/>
        </w:rPr>
        <w:t>vols</w:t>
      </w:r>
      <w:proofErr w:type="gramEnd"/>
      <w:r>
        <w:rPr>
          <w:rFonts w:cs="Times New Roman"/>
        </w:rPr>
        <w:t xml:space="preserve">. 5-6, 1898). Pour sa part, Albert </w:t>
      </w:r>
      <w:proofErr w:type="spellStart"/>
      <w:r>
        <w:rPr>
          <w:rFonts w:cs="Times New Roman"/>
        </w:rPr>
        <w:t>Lantoine</w:t>
      </w:r>
      <w:proofErr w:type="spellEnd"/>
      <w:r>
        <w:rPr>
          <w:rFonts w:cs="Times New Roman"/>
        </w:rPr>
        <w:t xml:space="preserve"> dans </w:t>
      </w:r>
      <w:r>
        <w:rPr>
          <w:rFonts w:cs="Times New Roman"/>
          <w:i/>
        </w:rPr>
        <w:t>Humanité nouvelle</w:t>
      </w:r>
      <w:r>
        <w:rPr>
          <w:rFonts w:cs="Times New Roman"/>
        </w:rPr>
        <w:t xml:space="preserve"> regrette que le roman ne soit pas accessible au peuple (490). Les observations de Rachilde dans </w:t>
      </w:r>
      <w:r w:rsidRPr="00E31839">
        <w:rPr>
          <w:rFonts w:cs="Times New Roman"/>
          <w:i/>
        </w:rPr>
        <w:t xml:space="preserve">Le </w:t>
      </w:r>
      <w:r>
        <w:rPr>
          <w:rFonts w:cs="Times New Roman"/>
          <w:i/>
        </w:rPr>
        <w:t>Mercure de France</w:t>
      </w:r>
      <w:r>
        <w:rPr>
          <w:rFonts w:cs="Times New Roman"/>
        </w:rPr>
        <w:t xml:space="preserve"> exprimai</w:t>
      </w:r>
      <w:r w:rsidR="007C2942">
        <w:rPr>
          <w:rFonts w:cs="Times New Roman"/>
        </w:rPr>
        <w:t>en</w:t>
      </w:r>
      <w:r>
        <w:rPr>
          <w:rFonts w:cs="Times New Roman"/>
        </w:rPr>
        <w:t>t à la fois la difficulté posée par ce roman tout en exprimant une compréhension que sa complexité reflétait les buts de Kahn :</w:t>
      </w:r>
    </w:p>
    <w:p w:rsidR="001D04EF" w:rsidRPr="00BF487A" w:rsidRDefault="001D04EF" w:rsidP="001D04EF">
      <w:pPr>
        <w:rPr>
          <w:rFonts w:cs="Times New Roman"/>
        </w:rPr>
      </w:pPr>
    </w:p>
    <w:p w:rsidR="001D04EF" w:rsidRDefault="001D04EF" w:rsidP="001D04EF">
      <w:pPr>
        <w:ind w:left="708"/>
        <w:rPr>
          <w:rFonts w:cs="Times New Roman"/>
        </w:rPr>
      </w:pPr>
      <w:r w:rsidRPr="00F56B6C">
        <w:rPr>
          <w:rFonts w:cs="Times New Roman"/>
        </w:rPr>
        <w:t xml:space="preserve">Ce livre est lourd comme un évangile, très profond, très savant, trop savant et tellement fleuri de pierres précieuses, qu’il éblouit un peu à première vue comme une chasuble </w:t>
      </w:r>
      <w:r w:rsidRPr="00F56B6C">
        <w:rPr>
          <w:rFonts w:cs="Times New Roman"/>
        </w:rPr>
        <w:lastRenderedPageBreak/>
        <w:t>constellée.</w:t>
      </w:r>
      <w:r>
        <w:rPr>
          <w:rFonts w:cs="Times New Roman"/>
        </w:rPr>
        <w:t xml:space="preserve"> Ce n’est qu’en s’approchant davantage et en n’osant lire que quelques pages par jour, qu’au bout d’une semaine on s’aperçoit qu’il y a là le travail nécessaire à la réédification [page] de l’histoire du globe entier. </w:t>
      </w:r>
      <w:r w:rsidRPr="00F56B6C">
        <w:rPr>
          <w:rFonts w:cs="Times New Roman"/>
        </w:rPr>
        <w:t>La chasuble, comme tous les vêtements sacrés, n’est point au hasard constellée de gemmes, chaque hiéroglyphe a sa signification et chaque joyau doit illuminer tel coin d’ombre. Cette œuvre est patiente, belle et forte</w:t>
      </w:r>
      <w:r>
        <w:rPr>
          <w:rFonts w:cs="Times New Roman"/>
        </w:rPr>
        <w:t xml:space="preserve"> </w:t>
      </w:r>
      <w:r w:rsidRPr="00F56B6C">
        <w:rPr>
          <w:rFonts w:cs="Times New Roman"/>
        </w:rPr>
        <w:t>: elle vivra</w:t>
      </w:r>
      <w:r w:rsidR="007C2942">
        <w:rPr>
          <w:rFonts w:cs="Times New Roman"/>
        </w:rPr>
        <w:t>,</w:t>
      </w:r>
      <w:r w:rsidRPr="00F56B6C">
        <w:rPr>
          <w:rFonts w:cs="Times New Roman"/>
        </w:rPr>
        <w:t xml:space="preserve"> mais pas pour les profanes, et j’avoue, humblement, n’en pas touj</w:t>
      </w:r>
      <w:r>
        <w:rPr>
          <w:rFonts w:cs="Times New Roman"/>
        </w:rPr>
        <w:t>ours comprendre toute la portée…</w:t>
      </w:r>
      <w:r w:rsidRPr="00F56B6C">
        <w:rPr>
          <w:rFonts w:cs="Times New Roman"/>
        </w:rPr>
        <w:t xml:space="preserve"> </w:t>
      </w:r>
      <w:r>
        <w:rPr>
          <w:rFonts w:cs="Times New Roman"/>
        </w:rPr>
        <w:t xml:space="preserve">[sic] </w:t>
      </w:r>
      <w:r w:rsidRPr="00F56B6C">
        <w:rPr>
          <w:rFonts w:cs="Times New Roman"/>
        </w:rPr>
        <w:t>aussi est-ce par son mystère qu’elle me plaît le plus.</w:t>
      </w:r>
    </w:p>
    <w:p w:rsidR="001D04EF" w:rsidRDefault="001D04EF" w:rsidP="001D04EF">
      <w:pPr>
        <w:rPr>
          <w:rFonts w:cs="Times New Roman"/>
        </w:rPr>
      </w:pPr>
    </w:p>
    <w:p w:rsidR="001D04EF" w:rsidRDefault="001D04EF" w:rsidP="001D04EF">
      <w:pPr>
        <w:rPr>
          <w:rFonts w:cs="Times New Roman"/>
        </w:rPr>
      </w:pPr>
      <w:r>
        <w:rPr>
          <w:rFonts w:cs="Times New Roman"/>
        </w:rPr>
        <w:t>Les difficultés que Rachilde éprouvait sont partagées, à mon avis, par tous les lecteurs de ce roman, car il quitte presque tous les cadres de l’interprétation qui balise notre lecture. (Et c’est pour cela que le livre m’intéresse tellement.) Comme vous avez pu voir, il est même difficile d’expliquer de manière succincte l</w:t>
      </w:r>
      <w:r w:rsidR="007C2942">
        <w:rPr>
          <w:rFonts w:cs="Times New Roman"/>
        </w:rPr>
        <w:t>a</w:t>
      </w:r>
      <w:r>
        <w:rPr>
          <w:rFonts w:cs="Times New Roman"/>
        </w:rPr>
        <w:t xml:space="preserve"> trame narrati</w:t>
      </w:r>
      <w:r w:rsidR="009811E8">
        <w:rPr>
          <w:rFonts w:cs="Times New Roman"/>
        </w:rPr>
        <w:t>ve</w:t>
      </w:r>
      <w:r>
        <w:rPr>
          <w:rFonts w:cs="Times New Roman"/>
        </w:rPr>
        <w:t xml:space="preserve"> (s’il y en a un) et même le sujet du roman qui serait</w:t>
      </w:r>
      <w:r w:rsidR="009811E8">
        <w:rPr>
          <w:rFonts w:cs="Times New Roman"/>
        </w:rPr>
        <w:t xml:space="preserve"> peut-être</w:t>
      </w:r>
      <w:r>
        <w:rPr>
          <w:rFonts w:cs="Times New Roman"/>
        </w:rPr>
        <w:t xml:space="preserve"> la réincarnation.</w:t>
      </w:r>
    </w:p>
    <w:p w:rsidR="001D04EF" w:rsidRDefault="001D04EF" w:rsidP="001D04EF">
      <w:pPr>
        <w:rPr>
          <w:rFonts w:cs="Times New Roman"/>
        </w:rPr>
      </w:pPr>
      <w:r>
        <w:rPr>
          <w:rFonts w:cs="Times New Roman"/>
        </w:rPr>
        <w:tab/>
        <w:t xml:space="preserve">Je pense que pour donner un cadre d’interprétation, de lecture pour ce roman, la vieille dichotomie proposée par Roland Barthes entre le lisible et le </w:t>
      </w:r>
      <w:proofErr w:type="spellStart"/>
      <w:r>
        <w:rPr>
          <w:rFonts w:cs="Times New Roman"/>
        </w:rPr>
        <w:t>scriptible</w:t>
      </w:r>
      <w:proofErr w:type="spellEnd"/>
      <w:r>
        <w:rPr>
          <w:rFonts w:cs="Times New Roman"/>
        </w:rPr>
        <w:t xml:space="preserve"> peut être utile. Pour rappel, je reprends la description </w:t>
      </w:r>
      <w:proofErr w:type="spellStart"/>
      <w:r>
        <w:rPr>
          <w:rFonts w:cs="Times New Roman"/>
        </w:rPr>
        <w:t>d’Eric</w:t>
      </w:r>
      <w:proofErr w:type="spellEnd"/>
      <w:r>
        <w:rPr>
          <w:rFonts w:cs="Times New Roman"/>
        </w:rPr>
        <w:t xml:space="preserve"> Marty de cette notion :</w:t>
      </w:r>
    </w:p>
    <w:p w:rsidR="001D04EF" w:rsidRDefault="001D04EF" w:rsidP="001D04EF">
      <w:pPr>
        <w:rPr>
          <w:rFonts w:cs="Times New Roman"/>
        </w:rPr>
      </w:pPr>
    </w:p>
    <w:p w:rsidR="001D04EF" w:rsidRDefault="001D04EF" w:rsidP="001D04EF">
      <w:pPr>
        <w:ind w:left="708"/>
      </w:pPr>
      <w:r>
        <w:t xml:space="preserve">« Le texte de Balzac est dit ‘lisible’, c’est-à-dire obéissant aux lois classiques de la représentation, à celle du vraisemblable, à celle de la causalité psychologique, à la mimesis héritée d’Aristote. »  Tandis que le </w:t>
      </w:r>
      <w:proofErr w:type="spellStart"/>
      <w:r>
        <w:t>scriptible</w:t>
      </w:r>
      <w:proofErr w:type="spellEnd"/>
      <w:r>
        <w:t xml:space="preserve"> inscrit « la contradiction au cœur du texte balzacien, [et essaie] de le déstabiliser, voire de le détruire ».</w:t>
      </w:r>
      <w:r>
        <w:rPr>
          <w:rStyle w:val="FootnoteReference"/>
        </w:rPr>
        <w:footnoteReference w:id="2"/>
      </w:r>
    </w:p>
    <w:p w:rsidR="001D04EF" w:rsidRDefault="001D04EF" w:rsidP="001D04EF"/>
    <w:p w:rsidR="001D04EF" w:rsidRDefault="001D04EF" w:rsidP="001D04EF">
      <w:pPr>
        <w:pStyle w:val="NoSpacing"/>
      </w:pPr>
      <w:r>
        <w:rPr>
          <w:rFonts w:cs="Times New Roman"/>
        </w:rPr>
        <w:t xml:space="preserve">Comme Andrea Del </w:t>
      </w:r>
      <w:proofErr w:type="spellStart"/>
      <w:r>
        <w:rPr>
          <w:rFonts w:cs="Times New Roman"/>
        </w:rPr>
        <w:t>Lungo</w:t>
      </w:r>
      <w:proofErr w:type="spellEnd"/>
      <w:r>
        <w:rPr>
          <w:rFonts w:cs="Times New Roman"/>
        </w:rPr>
        <w:t xml:space="preserve"> nous rappelle « </w:t>
      </w:r>
      <w:r>
        <w:t xml:space="preserve">le </w:t>
      </w:r>
      <w:proofErr w:type="spellStart"/>
      <w:r>
        <w:t>scriptible</w:t>
      </w:r>
      <w:proofErr w:type="spellEnd"/>
      <w:r>
        <w:t xml:space="preserve"> n’existe pas en tant que ‘produit’, mais seulement comme ‘production’, c’est-à-dire comme acte saisi dans le temps présent de son devenir. Le texte </w:t>
      </w:r>
      <w:proofErr w:type="spellStart"/>
      <w:r>
        <w:t>scriptible</w:t>
      </w:r>
      <w:proofErr w:type="spellEnd"/>
      <w:r>
        <w:t xml:space="preserve">, nous dit Barthes, ‘c’est </w:t>
      </w:r>
      <w:r>
        <w:rPr>
          <w:rStyle w:val="Emphasis"/>
        </w:rPr>
        <w:t>nous en train d’écrire</w:t>
      </w:r>
      <w:r>
        <w:t xml:space="preserve">’ » (Barthes, 1970 : </w:t>
      </w:r>
      <w:r>
        <w:rPr>
          <w:smallCaps/>
        </w:rPr>
        <w:t>ii</w:t>
      </w:r>
      <w:r>
        <w:t>, 10).</w:t>
      </w:r>
      <w:r>
        <w:rPr>
          <w:rStyle w:val="FootnoteReference"/>
        </w:rPr>
        <w:footnoteReference w:id="3"/>
      </w:r>
      <w:r>
        <w:t xml:space="preserve"> Selon Barthes « dans ce texte idéal, les réseaux sont multiples et jouent entre eux, sans qu’aucun puisse coiffer les autres ; ce texte est une galaxie de signifiants, non une structure de signifiés ; il n’a pas de commencement ; il est réversible (...) » (</w:t>
      </w:r>
      <w:r>
        <w:rPr>
          <w:i/>
        </w:rPr>
        <w:t>S/Z</w:t>
      </w:r>
      <w:r>
        <w:t xml:space="preserve"> : </w:t>
      </w:r>
      <w:r>
        <w:rPr>
          <w:smallCaps/>
        </w:rPr>
        <w:t>ii</w:t>
      </w:r>
      <w:r>
        <w:t xml:space="preserve">, </w:t>
      </w:r>
      <w:r w:rsidRPr="00614CD4">
        <w:t>11</w:t>
      </w:r>
      <w:r>
        <w:t xml:space="preserve"> [</w:t>
      </w:r>
      <w:proofErr w:type="spellStart"/>
      <w:r>
        <w:t>ck</w:t>
      </w:r>
      <w:proofErr w:type="spellEnd"/>
      <w:r>
        <w:t>]).</w:t>
      </w:r>
      <w:r>
        <w:rPr>
          <w:rStyle w:val="FootnoteReference"/>
        </w:rPr>
        <w:footnoteReference w:id="4"/>
      </w:r>
      <w:r>
        <w:t xml:space="preserve"> C’est la dernière partie de cette citation qui semble le mieux résumer le roman de Kahn ce qui n’est pas étonnant pour un texte symboliste.</w:t>
      </w:r>
    </w:p>
    <w:p w:rsidR="001D04EF" w:rsidRDefault="001D04EF" w:rsidP="001D04EF">
      <w:r w:rsidRPr="00B35DA6">
        <w:rPr>
          <w:rFonts w:cs="Times New Roman"/>
        </w:rPr>
        <w:tab/>
      </w:r>
      <w:r w:rsidRPr="006643C7">
        <w:rPr>
          <w:rFonts w:cs="Times New Roman"/>
        </w:rPr>
        <w:t xml:space="preserve">Pour mieux situer les idées de </w:t>
      </w:r>
      <w:r>
        <w:rPr>
          <w:rFonts w:cs="Times New Roman"/>
        </w:rPr>
        <w:t xml:space="preserve">Kahn sur le roman à cette époque, Kahn publia un article intitulé </w:t>
      </w:r>
      <w:r>
        <w:t xml:space="preserve">« Des Tendances actuelles de la littérature » dans </w:t>
      </w:r>
      <w:r>
        <w:rPr>
          <w:i/>
        </w:rPr>
        <w:t>La Nouvelle Revue</w:t>
      </w:r>
      <w:r>
        <w:rPr>
          <w:rFonts w:cs="Times New Roman"/>
        </w:rPr>
        <w:t xml:space="preserve"> en 1897, ce qui est probablement après la composition du </w:t>
      </w:r>
      <w:r>
        <w:rPr>
          <w:rFonts w:cs="Times New Roman"/>
          <w:i/>
        </w:rPr>
        <w:t>Conte</w:t>
      </w:r>
      <w:r>
        <w:t xml:space="preserve"> et avant sa publication.</w:t>
      </w:r>
    </w:p>
    <w:p w:rsidR="001D04EF" w:rsidRDefault="001D04EF" w:rsidP="001D04EF">
      <w:pPr>
        <w:ind w:left="708"/>
      </w:pPr>
    </w:p>
    <w:p w:rsidR="001D04EF" w:rsidRDefault="001D04EF" w:rsidP="001D04EF">
      <w:pPr>
        <w:ind w:left="708"/>
      </w:pPr>
      <w:proofErr w:type="gramStart"/>
      <w:r>
        <w:t>la</w:t>
      </w:r>
      <w:proofErr w:type="gramEnd"/>
      <w:r>
        <w:t xml:space="preserve"> littérature se pré</w:t>
      </w:r>
      <w:r w:rsidRPr="00AF1D70">
        <w:t>sente avec deux faces, qu'elle est pratiqué</w:t>
      </w:r>
      <w:r>
        <w:t>e par deux catégories d'esprits</w:t>
      </w:r>
      <w:r w:rsidRPr="00AF1D70">
        <w:t>, les intuitifs et le</w:t>
      </w:r>
      <w:r>
        <w:t xml:space="preserve"> qui explique ses idées sur le renouvellement de la littérature mené par les jeunes. […]</w:t>
      </w:r>
      <w:r w:rsidR="00AC5341">
        <w:t xml:space="preserve"> cette besogne de renouvellement incombait aux poètes, aux intuitifs, particulièrement, je ne dis pas exclusivement aux poètes du vers, car il y eut des </w:t>
      </w:r>
      <w:r w:rsidR="00AC5341">
        <w:lastRenderedPageBreak/>
        <w:t xml:space="preserve">[579] poètes du roman. Le mouvement voulut être synthétique et idéaliste ; ce sont ces deux mots qu’il faut entendre sous le vocable </w:t>
      </w:r>
      <w:r w:rsidR="00AC5341">
        <w:rPr>
          <w:i/>
        </w:rPr>
        <w:t>symbolisme</w:t>
      </w:r>
      <w:r>
        <w:t xml:space="preserve"> (578</w:t>
      </w:r>
      <w:r w:rsidR="009811E8">
        <w:t>-9</w:t>
      </w:r>
      <w:r>
        <w:t>).</w:t>
      </w:r>
      <w:r>
        <w:rPr>
          <w:rStyle w:val="FootnoteReference"/>
        </w:rPr>
        <w:footnoteReference w:id="5"/>
      </w:r>
      <w:r>
        <w:t xml:space="preserve"> </w:t>
      </w:r>
    </w:p>
    <w:p w:rsidR="001D04EF" w:rsidRDefault="001D04EF" w:rsidP="001D04EF"/>
    <w:p w:rsidR="001D04EF" w:rsidRDefault="001D04EF" w:rsidP="001D04EF">
      <w:pPr>
        <w:rPr>
          <w:rFonts w:cs="Times New Roman"/>
        </w:rPr>
      </w:pPr>
      <w:r>
        <w:rPr>
          <w:rFonts w:cs="Times New Roman"/>
        </w:rPr>
        <w:t xml:space="preserve">Bien sûr pour Kahn le roman idéaliste est en opposition au roman réaliste ou naturaliste. </w:t>
      </w:r>
    </w:p>
    <w:p w:rsidR="001D04EF" w:rsidRDefault="001D04EF" w:rsidP="001D04EF">
      <w:pPr>
        <w:rPr>
          <w:rFonts w:cs="Times New Roman"/>
        </w:rPr>
      </w:pPr>
    </w:p>
    <w:p w:rsidR="001D04EF" w:rsidRDefault="001D04EF" w:rsidP="001D04EF">
      <w:pPr>
        <w:ind w:left="708"/>
        <w:rPr>
          <w:rFonts w:cs="Times New Roman"/>
        </w:rPr>
      </w:pPr>
      <w:r>
        <w:t xml:space="preserve">Cette jeune génération est donc idéaliste, de ce point qu’elle aime la synthèse, qu’elle écarte le document trop courant, l’étude à la loupe des faits trop dits et communs, en ce sens surtout qu’elle néglige les accumulations de détails qui noient l’œuvre, qu’elle préfère présenter ses idées en grandes lignes, avec entrelacs aussi variés que possible, mais essentiels tous. […] Il arrive aussi que la jeune génération est éprise de fantaisie, de lyrisme, d’humour et de chimère, toutes choses que les naturalistes élaguaient comme dangereuses, capables de fausser la sûreté de la méthode, de montrer les faits à travers les verres non seulement colorés, mais bigarrés. Donc les poètes étudient, sous des formes légères et vives, des sujets que les réalistes eussent traités dogmatiquement. Ceux eux, point de souci d’exactitude absolue. Inutile de copier scrupuleusement un paysage ; on en invente qui, d’après l’âme des personnages, les encadrent. </w:t>
      </w:r>
      <w:r w:rsidRPr="00B12869">
        <w:t>Les buts et les moyens tendent à la vérité psychique plus qu’à l’exactitude historique. Les réalistes tendent de tout leur talent à [580] donner à leur récit une spécieuse teinte de réalité. Nos jeunes esthéticiens préfèrent une belle couleur légendaire. Ils abrègent les détails si chers à nos devanciers, pour n’étudier que des mobiles et des conséquences.</w:t>
      </w:r>
    </w:p>
    <w:p w:rsidR="001D04EF" w:rsidRDefault="001D04EF" w:rsidP="001D04EF">
      <w:pPr>
        <w:rPr>
          <w:rFonts w:cs="Times New Roman"/>
        </w:rPr>
      </w:pPr>
    </w:p>
    <w:p w:rsidR="001D04EF" w:rsidRDefault="001D04EF" w:rsidP="001D04EF">
      <w:pPr>
        <w:rPr>
          <w:rFonts w:cs="Times New Roman"/>
        </w:rPr>
      </w:pPr>
      <w:r>
        <w:tab/>
      </w:r>
      <w:r>
        <w:rPr>
          <w:rFonts w:cs="Times New Roman"/>
        </w:rPr>
        <w:t>Kahn arriv</w:t>
      </w:r>
      <w:r w:rsidR="00AC5341">
        <w:rPr>
          <w:rFonts w:cs="Times New Roman"/>
        </w:rPr>
        <w:t>e à casser la quasi-totalité d</w:t>
      </w:r>
      <w:r>
        <w:rPr>
          <w:rFonts w:cs="Times New Roman"/>
        </w:rPr>
        <w:t xml:space="preserve">es normes </w:t>
      </w:r>
      <w:r w:rsidR="00AC5341">
        <w:rPr>
          <w:rFonts w:cs="Times New Roman"/>
        </w:rPr>
        <w:t xml:space="preserve">romanesques </w:t>
      </w:r>
      <w:r>
        <w:rPr>
          <w:rFonts w:cs="Times New Roman"/>
        </w:rPr>
        <w:t xml:space="preserve">à commencer par le titre </w:t>
      </w:r>
      <w:r w:rsidR="00AC5341">
        <w:rPr>
          <w:rFonts w:cs="Times New Roman"/>
        </w:rPr>
        <w:t xml:space="preserve">du roman. </w:t>
      </w:r>
      <w:r w:rsidR="00AC5341">
        <w:rPr>
          <w:rFonts w:cs="Times New Roman"/>
          <w:i/>
        </w:rPr>
        <w:t xml:space="preserve">Le Conte de l’or et du silence </w:t>
      </w:r>
      <w:r w:rsidR="00AC5341">
        <w:rPr>
          <w:rFonts w:cs="Times New Roman"/>
        </w:rPr>
        <w:t xml:space="preserve">n’est pas </w:t>
      </w:r>
      <w:r>
        <w:rPr>
          <w:rFonts w:cs="Times New Roman"/>
        </w:rPr>
        <w:t>un conte</w:t>
      </w:r>
      <w:r w:rsidR="00AC5341">
        <w:rPr>
          <w:rFonts w:cs="Times New Roman"/>
        </w:rPr>
        <w:t>,</w:t>
      </w:r>
      <w:r>
        <w:rPr>
          <w:rFonts w:cs="Times New Roman"/>
        </w:rPr>
        <w:t xml:space="preserve"> c’est un roman de 373 pages. D’ailleurs, le roman n’est pas composé d’un seul conte, mais d’une série de récits enchâssés ainsi que le récit enchâssant. (Nous parlerons de la complexité de ces récits dans un instant.) L’emploi de « conte » au singulier suggère qu’il y a une unité dans l’ensemble des éléments présenté. Le conte aussi comme genre permet à l’écrivain de ne pas tenir compte de certains aspects de la vraisemblance qui seraient nécessaire normalement dans un roman.</w:t>
      </w:r>
    </w:p>
    <w:p w:rsidR="001D04EF" w:rsidRDefault="001D04EF" w:rsidP="001D04EF">
      <w:pPr>
        <w:rPr>
          <w:rFonts w:cs="Times New Roman"/>
        </w:rPr>
      </w:pPr>
      <w:r>
        <w:rPr>
          <w:rFonts w:cs="Times New Roman"/>
        </w:rPr>
        <w:tab/>
        <w:t xml:space="preserve">Le titre laisse croire qu’il s’agit soit d’une division nette entre l’or et le silence et même un conflit entre les deux, soit un alliage de quelque sorte. Le texte offre suffisamment d’éléments pour justifier, comme Julien </w:t>
      </w:r>
      <w:proofErr w:type="spellStart"/>
      <w:r>
        <w:rPr>
          <w:rFonts w:cs="Times New Roman"/>
        </w:rPr>
        <w:t>Schuh</w:t>
      </w:r>
      <w:proofErr w:type="spellEnd"/>
      <w:r>
        <w:rPr>
          <w:rFonts w:cs="Times New Roman"/>
        </w:rPr>
        <w:t xml:space="preserve"> le fait :</w:t>
      </w:r>
    </w:p>
    <w:p w:rsidR="001D04EF" w:rsidRDefault="001D04EF" w:rsidP="001D04EF">
      <w:pPr>
        <w:rPr>
          <w:rFonts w:cs="Times New Roman"/>
        </w:rPr>
      </w:pPr>
    </w:p>
    <w:p w:rsidR="001D04EF" w:rsidRDefault="001D04EF" w:rsidP="001D04EF">
      <w:pPr>
        <w:ind w:left="708"/>
      </w:pPr>
      <w:r w:rsidRPr="00397FA7">
        <w:t>Ce dispositif permet de représenter l’opposition entre deux univers : le monde de l’Or, symbolisé par une ville marchande médiévale, qui est le monde réel, le monde de l’action, de l’extériorité ; et le monde du Silence, celui où débute le roman, le monde idéal de l’intériorité où médite éternellement le roi Balthazar — on retrouve la tension qui déchire le Lancelot de Chausson. La nef de Salomon devient un moyen de transport entre les deux univers ; elle vient chercher les personnages abstraits du Château du Silence, qui s’incarnent un moment dans le monde avant de revenir au royaume des idées.</w:t>
      </w:r>
      <w:r>
        <w:t xml:space="preserve"> (14)</w:t>
      </w:r>
    </w:p>
    <w:p w:rsidR="001D04EF" w:rsidRDefault="001D04EF" w:rsidP="001D04EF">
      <w:pPr>
        <w:rPr>
          <w:rFonts w:cs="Times New Roman"/>
        </w:rPr>
      </w:pPr>
    </w:p>
    <w:p w:rsidR="001D04EF" w:rsidRDefault="001D04EF" w:rsidP="001D04EF">
      <w:pPr>
        <w:rPr>
          <w:rFonts w:cs="Times New Roman"/>
        </w:rPr>
      </w:pPr>
      <w:r>
        <w:rPr>
          <w:rFonts w:cs="Times New Roman"/>
        </w:rPr>
        <w:lastRenderedPageBreak/>
        <w:t>Nous sommes d’accord avec cette lecture surtout quand il s’agit des emplois de ces deux mots orthographiés avec des majuscules. Pour « or » 11 occurrences et plus de 25 pour « silence ». Par contre, le roman est rempli de l’emploi de « or », « doré », « silence », « silencieux », « sans paroles », etc. sans que ces mots aient une connotation positive ou négative particulière. Si on cherche une division nette entre le silence et l’or dans les images et les descriptions, cela n’existe pas. Bien sûr, l’expression attribuée au Talmud : « </w:t>
      </w:r>
      <w:r>
        <w:t>la parole est d’argent et le silence est d’or »</w:t>
      </w:r>
      <w:r w:rsidR="00C347AA">
        <w:t xml:space="preserve"> peut être aussi un facteur dans l’interprétation du texte</w:t>
      </w:r>
      <w:r w:rsidR="006A4D27">
        <w:t xml:space="preserve"> même si elle n’y figure pas</w:t>
      </w:r>
      <w:r>
        <w:t>.</w:t>
      </w:r>
    </w:p>
    <w:p w:rsidR="001D04EF" w:rsidRDefault="001D04EF" w:rsidP="001D04EF">
      <w:pPr>
        <w:rPr>
          <w:rFonts w:cs="Times New Roman"/>
        </w:rPr>
      </w:pPr>
      <w:r>
        <w:rPr>
          <w:rFonts w:cs="Times New Roman"/>
        </w:rPr>
        <w:tab/>
        <w:t xml:space="preserve">Dans son avertissement </w:t>
      </w:r>
      <w:r w:rsidRPr="00F67814">
        <w:rPr>
          <w:rFonts w:cs="Times New Roman"/>
        </w:rPr>
        <w:t>Kahn</w:t>
      </w:r>
      <w:r>
        <w:rPr>
          <w:rFonts w:cs="Times New Roman"/>
        </w:rPr>
        <w:t xml:space="preserve"> indique que nous lisons </w:t>
      </w:r>
      <w:r w:rsidRPr="00F67814">
        <w:rPr>
          <w:rFonts w:cs="Times New Roman"/>
        </w:rPr>
        <w:t xml:space="preserve">un conte </w:t>
      </w:r>
      <w:r w:rsidRPr="00F67814">
        <w:rPr>
          <w:rFonts w:cs="Times New Roman"/>
          <w:i/>
        </w:rPr>
        <w:t>lyrique</w:t>
      </w:r>
      <w:r>
        <w:rPr>
          <w:rFonts w:cs="Times New Roman"/>
        </w:rPr>
        <w:t xml:space="preserve">. Le lyrique n’existe pas dans le silence. L’écriture même du roman combine les éléments de la poésie et </w:t>
      </w:r>
    </w:p>
    <w:p w:rsidR="001D04EF" w:rsidRPr="00523472" w:rsidRDefault="001D04EF" w:rsidP="001D04EF">
      <w:pPr>
        <w:rPr>
          <w:rFonts w:cs="Times New Roman"/>
        </w:rPr>
      </w:pPr>
      <w:r>
        <w:rPr>
          <w:rFonts w:eastAsia="Times New Roman" w:cs="Times New Roman"/>
          <w:iCs/>
          <w:szCs w:val="24"/>
          <w:lang w:eastAsia="fr-FR"/>
        </w:rPr>
        <w:t xml:space="preserve">Comme </w:t>
      </w:r>
      <w:r w:rsidRPr="00523472">
        <w:rPr>
          <w:rFonts w:eastAsia="Times New Roman" w:cs="Times New Roman"/>
          <w:iCs/>
          <w:szCs w:val="24"/>
          <w:lang w:eastAsia="fr-FR"/>
        </w:rPr>
        <w:t xml:space="preserve">Suzanne Bernard </w:t>
      </w:r>
      <w:r>
        <w:rPr>
          <w:rFonts w:eastAsia="Times New Roman" w:cs="Times New Roman"/>
          <w:iCs/>
          <w:szCs w:val="24"/>
          <w:lang w:eastAsia="fr-FR"/>
        </w:rPr>
        <w:t>dit à propos de ce roman : « </w:t>
      </w:r>
      <w:r w:rsidRPr="00523472">
        <w:rPr>
          <w:rFonts w:eastAsia="Times New Roman" w:cs="Times New Roman"/>
          <w:iCs/>
          <w:szCs w:val="24"/>
          <w:lang w:eastAsia="fr-FR"/>
        </w:rPr>
        <w:t>Kahn fait alterner avec virtuosité prose, vers et prose rythmée</w:t>
      </w:r>
      <w:r>
        <w:rPr>
          <w:rFonts w:eastAsia="Times New Roman" w:cs="Times New Roman"/>
          <w:iCs/>
          <w:szCs w:val="24"/>
          <w:lang w:eastAsia="fr-FR"/>
        </w:rPr>
        <w:t xml:space="preserve">. » Pour sa part Kahn dit </w:t>
      </w:r>
      <w:r>
        <w:t>: « </w:t>
      </w:r>
      <w:r>
        <w:rPr>
          <w:rFonts w:eastAsia="Times New Roman" w:cs="Times New Roman"/>
          <w:szCs w:val="24"/>
          <w:lang w:eastAsia="fr-FR"/>
        </w:rPr>
        <w:t xml:space="preserve">dans le </w:t>
      </w:r>
      <w:r w:rsidRPr="000148F5">
        <w:rPr>
          <w:rFonts w:eastAsia="Times New Roman" w:cs="Times New Roman"/>
          <w:i/>
          <w:iCs/>
          <w:szCs w:val="24"/>
          <w:lang w:eastAsia="fr-FR"/>
        </w:rPr>
        <w:t>Conte de l'Or et du Silence</w:t>
      </w:r>
      <w:r w:rsidRPr="000148F5">
        <w:rPr>
          <w:rFonts w:eastAsia="Times New Roman" w:cs="Times New Roman"/>
          <w:szCs w:val="24"/>
          <w:lang w:eastAsia="fr-FR"/>
        </w:rPr>
        <w:t xml:space="preserve"> j'ai intercalé de la prose rythmée entre de la prose et des vers</w:t>
      </w:r>
      <w:r>
        <w:rPr>
          <w:rFonts w:eastAsia="Times New Roman" w:cs="Times New Roman"/>
          <w:szCs w:val="24"/>
          <w:lang w:eastAsia="fr-FR"/>
        </w:rPr>
        <w:t> »</w:t>
      </w:r>
      <w:r>
        <w:rPr>
          <w:rStyle w:val="FootnoteReference"/>
          <w:rFonts w:eastAsia="Times New Roman" w:cs="Times New Roman"/>
          <w:szCs w:val="24"/>
          <w:lang w:eastAsia="fr-FR"/>
        </w:rPr>
        <w:footnoteReference w:id="6"/>
      </w:r>
      <w:r>
        <w:rPr>
          <w:rFonts w:eastAsia="Times New Roman" w:cs="Times New Roman"/>
          <w:szCs w:val="24"/>
          <w:lang w:eastAsia="fr-FR"/>
        </w:rPr>
        <w:t>. L’aspect lyrique se présent</w:t>
      </w:r>
      <w:r w:rsidR="007C2942">
        <w:rPr>
          <w:rFonts w:eastAsia="Times New Roman" w:cs="Times New Roman"/>
          <w:szCs w:val="24"/>
          <w:lang w:eastAsia="fr-FR"/>
        </w:rPr>
        <w:t>e</w:t>
      </w:r>
      <w:r>
        <w:rPr>
          <w:rFonts w:eastAsia="Times New Roman" w:cs="Times New Roman"/>
          <w:szCs w:val="24"/>
          <w:lang w:eastAsia="fr-FR"/>
        </w:rPr>
        <w:t xml:space="preserve"> aussi à travers les parole</w:t>
      </w:r>
      <w:r w:rsidR="007C2942">
        <w:rPr>
          <w:rFonts w:eastAsia="Times New Roman" w:cs="Times New Roman"/>
          <w:szCs w:val="24"/>
          <w:lang w:eastAsia="fr-FR"/>
        </w:rPr>
        <w:t>s</w:t>
      </w:r>
      <w:r>
        <w:rPr>
          <w:rFonts w:eastAsia="Times New Roman" w:cs="Times New Roman"/>
          <w:szCs w:val="24"/>
          <w:lang w:eastAsia="fr-FR"/>
        </w:rPr>
        <w:t xml:space="preserve"> des onze chansons dans le texte.</w:t>
      </w:r>
    </w:p>
    <w:p w:rsidR="001D04EF" w:rsidRDefault="001D04EF" w:rsidP="001D04EF">
      <w:pPr>
        <w:rPr>
          <w:rFonts w:cs="Times New Roman"/>
        </w:rPr>
      </w:pPr>
      <w:r>
        <w:rPr>
          <w:rFonts w:cs="Times New Roman"/>
        </w:rPr>
        <w:tab/>
        <w:t>Parmi les dimensions du roman classique, lisible les événement</w:t>
      </w:r>
      <w:r w:rsidR="007C2942">
        <w:rPr>
          <w:rFonts w:cs="Times New Roman"/>
        </w:rPr>
        <w:t>s</w:t>
      </w:r>
      <w:r>
        <w:rPr>
          <w:rFonts w:cs="Times New Roman"/>
        </w:rPr>
        <w:t xml:space="preserve"> se déroulent dans un ordre chronologique et liés par rapport de causalité. Rien de tel ici. Les personnages se transmutent d’une période historique à un autre avec parfois un changement de nom. La troisième partie du roman se situe dans le contexte du 1</w:t>
      </w:r>
      <w:r w:rsidRPr="00491C4E">
        <w:rPr>
          <w:rFonts w:cs="Times New Roman"/>
          <w:vertAlign w:val="superscript"/>
        </w:rPr>
        <w:t>er</w:t>
      </w:r>
      <w:r>
        <w:rPr>
          <w:rFonts w:cs="Times New Roman"/>
        </w:rPr>
        <w:t xml:space="preserve"> siècle avec des personnages, vieillis maintenant, qui sont introduit</w:t>
      </w:r>
      <w:r w:rsidR="007C2942">
        <w:rPr>
          <w:rFonts w:cs="Times New Roman"/>
        </w:rPr>
        <w:t>s</w:t>
      </w:r>
      <w:r>
        <w:rPr>
          <w:rFonts w:cs="Times New Roman"/>
        </w:rPr>
        <w:t xml:space="preserve"> dans la deuxième partie qui eut lieu au Moyen </w:t>
      </w:r>
      <w:r w:rsidR="007C2942">
        <w:rPr>
          <w:rFonts w:cs="Times New Roman"/>
        </w:rPr>
        <w:t>A</w:t>
      </w:r>
      <w:r>
        <w:rPr>
          <w:rFonts w:cs="Times New Roman"/>
        </w:rPr>
        <w:t>ge. En plus, comme Kahn indique dans son avertissement « </w:t>
      </w:r>
      <w:r w:rsidRPr="00FB6897">
        <w:rPr>
          <w:rFonts w:cs="Times New Roman"/>
        </w:rPr>
        <w:t>D'autres de ces personnages représentent des phénomènes passionnels, et se comportent selon les habitudes de la vie légendaire</w:t>
      </w:r>
      <w:r>
        <w:rPr>
          <w:rFonts w:cs="Times New Roman"/>
        </w:rPr>
        <w:t>. » Cela peut correspondre à certains aspects d’un récit mythique. Tout de même, il n’est pas sûr quels phénomènes sont représentés et commen</w:t>
      </w:r>
      <w:r w:rsidR="0053733A">
        <w:rPr>
          <w:rFonts w:cs="Times New Roman"/>
        </w:rPr>
        <w:t>t cela peut avancer l’intrigue.</w:t>
      </w:r>
    </w:p>
    <w:p w:rsidR="001D04EF" w:rsidRDefault="001D04EF" w:rsidP="001D04EF">
      <w:pPr>
        <w:rPr>
          <w:rFonts w:cs="Times New Roman"/>
        </w:rPr>
      </w:pPr>
      <w:r>
        <w:rPr>
          <w:rFonts w:cs="Times New Roman"/>
        </w:rPr>
        <w:tab/>
        <w:t xml:space="preserve">Le statut de certains personnages n’est pas stable. Le premier et le dernier paragraphe du roman </w:t>
      </w:r>
      <w:r w:rsidR="007C2942">
        <w:rPr>
          <w:rFonts w:cs="Times New Roman"/>
        </w:rPr>
        <w:t>mentionnent</w:t>
      </w:r>
      <w:r>
        <w:rPr>
          <w:rFonts w:cs="Times New Roman"/>
        </w:rPr>
        <w:t xml:space="preserve"> </w:t>
      </w:r>
      <w:proofErr w:type="spellStart"/>
      <w:r w:rsidRPr="00C4466A">
        <w:t>Théano</w:t>
      </w:r>
      <w:proofErr w:type="spellEnd"/>
      <w:r w:rsidRPr="00C4466A">
        <w:t xml:space="preserve">, de </w:t>
      </w:r>
      <w:proofErr w:type="spellStart"/>
      <w:r w:rsidRPr="00C4466A">
        <w:t>Mobed</w:t>
      </w:r>
      <w:proofErr w:type="spellEnd"/>
      <w:r w:rsidRPr="00C4466A">
        <w:t xml:space="preserve"> et de </w:t>
      </w:r>
      <w:proofErr w:type="spellStart"/>
      <w:r w:rsidRPr="00C4466A">
        <w:t>Glyphtis</w:t>
      </w:r>
      <w:proofErr w:type="spellEnd"/>
      <w:r w:rsidR="0053733A">
        <w:t xml:space="preserve">. </w:t>
      </w:r>
      <w:proofErr w:type="spellStart"/>
      <w:r>
        <w:t>Théano</w:t>
      </w:r>
      <w:proofErr w:type="spellEnd"/>
      <w:r>
        <w:t xml:space="preserve"> est une philosophe pythagoricienne du VIᵉ siècle av. notre ère. </w:t>
      </w:r>
      <w:proofErr w:type="spellStart"/>
      <w:r w:rsidRPr="00C4466A">
        <w:t>Mobed</w:t>
      </w:r>
      <w:proofErr w:type="spellEnd"/>
      <w:r>
        <w:t xml:space="preserve"> est une déesse qui semble être une création de Kahn. </w:t>
      </w:r>
      <w:proofErr w:type="spellStart"/>
      <w:r>
        <w:t>Glyphtis</w:t>
      </w:r>
      <w:proofErr w:type="spellEnd"/>
      <w:r>
        <w:t xml:space="preserve"> est un personnage dans le texte</w:t>
      </w:r>
      <w:r w:rsidR="007C2942">
        <w:t>,</w:t>
      </w:r>
      <w:r>
        <w:t xml:space="preserve"> mais, je ne trouve pas l’origine du nom. Ces personnages jouent des rôles à </w:t>
      </w:r>
      <w:r w:rsidR="001A0C3B">
        <w:t xml:space="preserve">de </w:t>
      </w:r>
      <w:r>
        <w:t xml:space="preserve">différents moments du roman. </w:t>
      </w:r>
      <w:r>
        <w:rPr>
          <w:rFonts w:cs="Times New Roman"/>
          <w:szCs w:val="24"/>
        </w:rPr>
        <w:t>Joseph d’</w:t>
      </w:r>
      <w:proofErr w:type="spellStart"/>
      <w:r>
        <w:rPr>
          <w:rFonts w:cs="Times New Roman"/>
          <w:szCs w:val="24"/>
        </w:rPr>
        <w:t>Arimathie</w:t>
      </w:r>
      <w:proofErr w:type="spellEnd"/>
      <w:r>
        <w:rPr>
          <w:rFonts w:cs="Times New Roman"/>
          <w:szCs w:val="24"/>
        </w:rPr>
        <w:t xml:space="preserve"> demande à Balthazar</w:t>
      </w:r>
      <w:r w:rsidRPr="00C4466A">
        <w:rPr>
          <w:rFonts w:cs="Times New Roman"/>
          <w:szCs w:val="24"/>
        </w:rPr>
        <w:t xml:space="preserve"> : « Sire roi, </w:t>
      </w:r>
      <w:proofErr w:type="spellStart"/>
      <w:r w:rsidRPr="00C4466A">
        <w:rPr>
          <w:rFonts w:cs="Times New Roman"/>
          <w:szCs w:val="24"/>
        </w:rPr>
        <w:t>Mobed</w:t>
      </w:r>
      <w:proofErr w:type="spellEnd"/>
      <w:r w:rsidRPr="00C4466A">
        <w:rPr>
          <w:rFonts w:cs="Times New Roman"/>
          <w:szCs w:val="24"/>
        </w:rPr>
        <w:t xml:space="preserve">, </w:t>
      </w:r>
      <w:proofErr w:type="spellStart"/>
      <w:r w:rsidRPr="00C4466A">
        <w:rPr>
          <w:rFonts w:cs="Times New Roman"/>
          <w:szCs w:val="24"/>
        </w:rPr>
        <w:t>Théano</w:t>
      </w:r>
      <w:proofErr w:type="spellEnd"/>
      <w:r w:rsidRPr="00C4466A">
        <w:rPr>
          <w:rFonts w:cs="Times New Roman"/>
          <w:szCs w:val="24"/>
        </w:rPr>
        <w:t xml:space="preserve">, </w:t>
      </w:r>
      <w:proofErr w:type="spellStart"/>
      <w:r w:rsidRPr="00C4466A">
        <w:rPr>
          <w:rFonts w:cs="Times New Roman"/>
          <w:szCs w:val="24"/>
        </w:rPr>
        <w:t>Glyphtis</w:t>
      </w:r>
      <w:proofErr w:type="spellEnd"/>
      <w:r w:rsidRPr="00C4466A">
        <w:rPr>
          <w:rFonts w:cs="Times New Roman"/>
          <w:szCs w:val="24"/>
        </w:rPr>
        <w:t xml:space="preserve">, puisque les archives et la légende les dépeignent, furent des êtres ? » </w:t>
      </w:r>
      <w:r>
        <w:rPr>
          <w:rFonts w:cs="Times New Roman"/>
          <w:szCs w:val="24"/>
        </w:rPr>
        <w:t xml:space="preserve"> Balthazar répond : </w:t>
      </w:r>
      <w:r w:rsidRPr="00C4466A">
        <w:rPr>
          <w:rFonts w:cs="Times New Roman"/>
          <w:szCs w:val="24"/>
        </w:rPr>
        <w:t>« Des êtres, des formes, des apparences, des récits, c'est tout un. Si elles ne récurent pas, ou si l'on jeta sur leurs épaules le splendide manteau d'une féerie de gloire, qu'importe. Le poète, qui porte en son cerveau, la race qui porte en ses flancs les mythes et les fables, n'invente rien qui ne soit possible. Ils se souviennent, ou ils prédisent ; ils créent en décrivant d'avance par l'indication de vie qu'ils donnent aux grands cœurs, mais toute invention de poète est latente sur la terre ; donc elle vit.</w:t>
      </w:r>
      <w:r>
        <w:rPr>
          <w:rFonts w:cs="Times New Roman"/>
          <w:szCs w:val="24"/>
        </w:rPr>
        <w:t xml:space="preserve"> » Ce manque de distinction entre les catégories traditionnelles existe dans d’autres domaines du </w:t>
      </w:r>
      <w:r>
        <w:rPr>
          <w:rFonts w:cs="Times New Roman"/>
          <w:i/>
          <w:szCs w:val="24"/>
        </w:rPr>
        <w:t>Conte de l’or et du silence</w:t>
      </w:r>
      <w:r>
        <w:rPr>
          <w:rFonts w:cs="Times New Roman"/>
          <w:szCs w:val="24"/>
        </w:rPr>
        <w:t>.</w:t>
      </w:r>
    </w:p>
    <w:p w:rsidR="001D04EF" w:rsidRDefault="001D04EF" w:rsidP="001D04EF">
      <w:pPr>
        <w:rPr>
          <w:rFonts w:cs="Times New Roman"/>
        </w:rPr>
      </w:pPr>
      <w:r>
        <w:rPr>
          <w:rFonts w:cs="Times New Roman"/>
        </w:rPr>
        <w:tab/>
        <w:t xml:space="preserve">Kahn mine la lisibilité traditionnelle du roman à travers une narration à voix multiples dans des situations d’énonciation qui ne sont pas toujours claires </w:t>
      </w:r>
      <w:r w:rsidR="001A0C3B">
        <w:rPr>
          <w:rFonts w:cs="Times New Roman"/>
        </w:rPr>
        <w:t xml:space="preserve">et en minant parfois </w:t>
      </w:r>
      <w:r>
        <w:rPr>
          <w:rFonts w:cs="Times New Roman"/>
        </w:rPr>
        <w:t>une lecture linéaire du roman. La narration encadrante est à la troisième personne, mais le roman comprend plus d’une douzaine de récits ench</w:t>
      </w:r>
      <w:r w:rsidRPr="00BB0F7C">
        <w:rPr>
          <w:rFonts w:cs="Times New Roman"/>
        </w:rPr>
        <w:t>âss</w:t>
      </w:r>
      <w:r>
        <w:rPr>
          <w:rFonts w:cs="Times New Roman"/>
        </w:rPr>
        <w:t>és racontés principalement par des personnages. Dans quelques cas, il s</w:t>
      </w:r>
      <w:r w:rsidRPr="00BB0F7C">
        <w:rPr>
          <w:rFonts w:cs="Times New Roman"/>
        </w:rPr>
        <w:t>’agit d’une vision ou d’un r</w:t>
      </w:r>
      <w:r>
        <w:rPr>
          <w:rFonts w:cs="Times New Roman"/>
        </w:rPr>
        <w:t xml:space="preserve">êve d’un personnage et dans d’autres cas encore, un </w:t>
      </w:r>
      <w:r>
        <w:rPr>
          <w:rFonts w:cs="Times New Roman"/>
        </w:rPr>
        <w:lastRenderedPageBreak/>
        <w:t>personnage lit un texte. Qu’est-ce que le lecteur doit faire de ces contes ? Normalement le sens d’un propos est déterminé par la situation de la narration</w:t>
      </w:r>
      <w:r w:rsidR="001A0C3B">
        <w:rPr>
          <w:rFonts w:cs="Times New Roman"/>
        </w:rPr>
        <w:t>.</w:t>
      </w:r>
      <w:r>
        <w:rPr>
          <w:rFonts w:cs="Times New Roman"/>
        </w:rPr>
        <w:t xml:space="preserve"> Qui raconte à qui et pourquoi sont des facteurs détermin</w:t>
      </w:r>
      <w:r w:rsidR="001A0C3B">
        <w:rPr>
          <w:rFonts w:cs="Times New Roman"/>
        </w:rPr>
        <w:t>a</w:t>
      </w:r>
      <w:r>
        <w:rPr>
          <w:rFonts w:cs="Times New Roman"/>
        </w:rPr>
        <w:t xml:space="preserve">nt </w:t>
      </w:r>
      <w:r w:rsidR="001A0C3B">
        <w:rPr>
          <w:rFonts w:cs="Times New Roman"/>
        </w:rPr>
        <w:t>du</w:t>
      </w:r>
      <w:r>
        <w:rPr>
          <w:rFonts w:cs="Times New Roman"/>
        </w:rPr>
        <w:t xml:space="preserve"> sens, </w:t>
      </w:r>
      <w:r w:rsidR="001A0C3B">
        <w:rPr>
          <w:rFonts w:cs="Times New Roman"/>
        </w:rPr>
        <w:t xml:space="preserve">de </w:t>
      </w:r>
      <w:r>
        <w:rPr>
          <w:rFonts w:cs="Times New Roman"/>
        </w:rPr>
        <w:t>la fonction de tout énoncé et de toute histoire. Quand un personnage lit une histoire, quelle importance doit-on accorder au fait que les mots ne sont pas les siens ? Dans quelques cas, le lecteur n’apprend qu’à la fin qu’il s’agit d’un texte lu par un personnage ou que l’histoire racontée n’est qu’un rêve. Est-ce que les énoncés du rêve sont « crédibles » </w:t>
      </w:r>
      <w:r w:rsidR="001A0C3B">
        <w:rPr>
          <w:rFonts w:cs="Times New Roman"/>
        </w:rPr>
        <w:t xml:space="preserve">ou présentés comme tel </w:t>
      </w:r>
      <w:r>
        <w:rPr>
          <w:rFonts w:cs="Times New Roman"/>
        </w:rPr>
        <w:t xml:space="preserve">? Est-ce que le narrateur est fiable ou sommes-nous dans un monde où la question ne se pose plus ?  </w:t>
      </w:r>
    </w:p>
    <w:p w:rsidR="001D04EF" w:rsidRDefault="001D04EF" w:rsidP="001D04EF">
      <w:pPr>
        <w:rPr>
          <w:rFonts w:cs="Times New Roman"/>
        </w:rPr>
      </w:pPr>
      <w:r>
        <w:rPr>
          <w:rFonts w:cs="Times New Roman"/>
        </w:rPr>
        <w:tab/>
      </w:r>
      <w:proofErr w:type="spellStart"/>
      <w:r>
        <w:rPr>
          <w:rFonts w:cs="Times New Roman"/>
        </w:rPr>
        <w:t>A</w:t>
      </w:r>
      <w:proofErr w:type="spellEnd"/>
      <w:r>
        <w:rPr>
          <w:rFonts w:cs="Times New Roman"/>
        </w:rPr>
        <w:t xml:space="preserve"> mon avis, cette technique </w:t>
      </w:r>
      <w:r w:rsidR="001250F2">
        <w:rPr>
          <w:rFonts w:cs="Times New Roman"/>
        </w:rPr>
        <w:t xml:space="preserve">narrative </w:t>
      </w:r>
      <w:r>
        <w:rPr>
          <w:rFonts w:cs="Times New Roman"/>
        </w:rPr>
        <w:t xml:space="preserve">déboussole le lecteur (ou moi du moins) et le </w:t>
      </w:r>
      <w:proofErr w:type="spellStart"/>
      <w:r>
        <w:rPr>
          <w:rFonts w:cs="Times New Roman"/>
        </w:rPr>
        <w:t>résult</w:t>
      </w:r>
      <w:proofErr w:type="spellEnd"/>
      <w:r w:rsidR="00F13865">
        <w:rPr>
          <w:rFonts w:cs="Times New Roman"/>
        </w:rPr>
        <w:t xml:space="preserve"> en </w:t>
      </w:r>
      <w:r>
        <w:rPr>
          <w:rFonts w:cs="Times New Roman"/>
        </w:rPr>
        <w:t>deux produits contradictoires : dans un premier temps, les narrations enchâssées sont aplaties, c’est-à-dire, des aspects fondamentaux de la narration (comme qui parle) qui sont nécessaires pour la crédibilité du récit sont minés. Dans un deuxième temps, le texte ne produit plus un « faire croire » du texte réaliste, lisible</w:t>
      </w:r>
      <w:r w:rsidR="007C2942">
        <w:rPr>
          <w:rFonts w:cs="Times New Roman"/>
        </w:rPr>
        <w:t>,</w:t>
      </w:r>
      <w:r>
        <w:rPr>
          <w:rFonts w:cs="Times New Roman"/>
        </w:rPr>
        <w:t xml:space="preserve"> mais une histoire le lecteur n’a pas d’autre choix que d’accepter telle quelle. Le roman produit un narrataire qui doit accepter ce monde imaginaire cré</w:t>
      </w:r>
      <w:r w:rsidR="00F0122D">
        <w:rPr>
          <w:rFonts w:cs="Times New Roman"/>
        </w:rPr>
        <w:t>é</w:t>
      </w:r>
      <w:r>
        <w:rPr>
          <w:rFonts w:cs="Times New Roman"/>
        </w:rPr>
        <w:t xml:space="preserve"> par Kahn.</w:t>
      </w:r>
    </w:p>
    <w:p w:rsidR="001D04EF" w:rsidRDefault="001D04EF" w:rsidP="001D04EF">
      <w:pPr>
        <w:rPr>
          <w:rFonts w:cs="Times New Roman"/>
        </w:rPr>
      </w:pPr>
    </w:p>
    <w:p w:rsidR="001D04EF" w:rsidRDefault="00751058" w:rsidP="001D04EF">
      <w:proofErr w:type="gramStart"/>
      <w:r>
        <w:rPr>
          <w:rFonts w:cs="Times New Roman"/>
        </w:rPr>
        <w:t>galaxie</w:t>
      </w:r>
      <w:proofErr w:type="gramEnd"/>
      <w:r w:rsidR="00F13865">
        <w:rPr>
          <w:rFonts w:cs="Times New Roman"/>
        </w:rPr>
        <w:t xml:space="preserve"> de signifiants et </w:t>
      </w:r>
      <w:r w:rsidR="00F13865">
        <w:t>non une structure de signifiés</w:t>
      </w:r>
    </w:p>
    <w:p w:rsidR="00F13865" w:rsidRDefault="00F13865" w:rsidP="001D04EF">
      <w:pPr>
        <w:rPr>
          <w:rFonts w:cs="Times New Roman"/>
        </w:rPr>
      </w:pPr>
    </w:p>
    <w:p w:rsidR="00F13865" w:rsidRDefault="00F13865" w:rsidP="001D04EF">
      <w:pPr>
        <w:rPr>
          <w:rFonts w:cs="Times New Roman"/>
        </w:rPr>
      </w:pPr>
      <w:proofErr w:type="gramStart"/>
      <w:r>
        <w:rPr>
          <w:rFonts w:cs="Times New Roman"/>
        </w:rPr>
        <w:t>mes</w:t>
      </w:r>
      <w:proofErr w:type="gramEnd"/>
      <w:r>
        <w:rPr>
          <w:rFonts w:cs="Times New Roman"/>
        </w:rPr>
        <w:t xml:space="preserve"> propos du départ</w:t>
      </w:r>
    </w:p>
    <w:p w:rsidR="001D04EF" w:rsidRDefault="001D04EF" w:rsidP="001D04EF">
      <w:pPr>
        <w:rPr>
          <w:rFonts w:cs="Times New Roman"/>
        </w:rPr>
      </w:pPr>
      <w:proofErr w:type="gramStart"/>
      <w:r>
        <w:rPr>
          <w:rFonts w:cs="Times New Roman"/>
        </w:rPr>
        <w:t>comment</w:t>
      </w:r>
      <w:proofErr w:type="gramEnd"/>
      <w:r>
        <w:rPr>
          <w:rFonts w:cs="Times New Roman"/>
        </w:rPr>
        <w:t xml:space="preserve"> présenter un livre qui n’est pas lisible</w:t>
      </w:r>
    </w:p>
    <w:p w:rsidR="001D04EF" w:rsidRDefault="001D04EF" w:rsidP="001D04EF">
      <w:pPr>
        <w:rPr>
          <w:rFonts w:cs="Times New Roman"/>
        </w:rPr>
      </w:pPr>
      <w:proofErr w:type="gramStart"/>
      <w:r>
        <w:rPr>
          <w:rFonts w:cs="Times New Roman"/>
        </w:rPr>
        <w:t>que</w:t>
      </w:r>
      <w:proofErr w:type="gramEnd"/>
      <w:r>
        <w:rPr>
          <w:rFonts w:cs="Times New Roman"/>
        </w:rPr>
        <w:t xml:space="preserve"> faire de ce texte </w:t>
      </w:r>
      <w:proofErr w:type="spellStart"/>
      <w:r>
        <w:rPr>
          <w:rFonts w:cs="Times New Roman"/>
        </w:rPr>
        <w:t>scriptible</w:t>
      </w:r>
      <w:proofErr w:type="spellEnd"/>
      <w:r>
        <w:rPr>
          <w:rFonts w:cs="Times New Roman"/>
        </w:rPr>
        <w:t> ?</w:t>
      </w:r>
    </w:p>
    <w:p w:rsidR="001D04EF" w:rsidRDefault="001D04EF" w:rsidP="001D04EF">
      <w:pPr>
        <w:rPr>
          <w:rFonts w:cs="Times New Roman"/>
        </w:rPr>
      </w:pPr>
    </w:p>
    <w:p w:rsidR="00B95C69" w:rsidRDefault="00CF35C5"/>
    <w:sectPr w:rsidR="00B95C6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35C5" w:rsidRDefault="00CF35C5" w:rsidP="001D04EF">
      <w:pPr>
        <w:spacing w:line="240" w:lineRule="auto"/>
      </w:pPr>
      <w:r>
        <w:separator/>
      </w:r>
    </w:p>
  </w:endnote>
  <w:endnote w:type="continuationSeparator" w:id="0">
    <w:p w:rsidR="00CF35C5" w:rsidRDefault="00CF35C5" w:rsidP="001D04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35C5" w:rsidRDefault="00CF35C5" w:rsidP="001D04EF">
      <w:pPr>
        <w:spacing w:line="240" w:lineRule="auto"/>
      </w:pPr>
      <w:r>
        <w:separator/>
      </w:r>
    </w:p>
  </w:footnote>
  <w:footnote w:type="continuationSeparator" w:id="0">
    <w:p w:rsidR="00CF35C5" w:rsidRDefault="00CF35C5" w:rsidP="001D04EF">
      <w:pPr>
        <w:spacing w:line="240" w:lineRule="auto"/>
      </w:pPr>
      <w:r>
        <w:continuationSeparator/>
      </w:r>
    </w:p>
  </w:footnote>
  <w:footnote w:id="1">
    <w:p w:rsidR="001D04EF" w:rsidRPr="003347FF" w:rsidRDefault="001D04EF" w:rsidP="001D04EF">
      <w:pPr>
        <w:pStyle w:val="FootnoteText"/>
      </w:pPr>
      <w:r>
        <w:rPr>
          <w:rStyle w:val="FootnoteReference"/>
        </w:rPr>
        <w:footnoteRef/>
      </w:r>
      <w:r>
        <w:t xml:space="preserve"> </w:t>
      </w:r>
      <w:r>
        <w:rPr>
          <w:i/>
        </w:rPr>
        <w:t>L’Ermitage</w:t>
      </w:r>
      <w:r>
        <w:t xml:space="preserve">, Henri Ghéon, « Les livres de prose », </w:t>
      </w:r>
      <w:r>
        <w:rPr>
          <w:i/>
        </w:rPr>
        <w:t xml:space="preserve">Ermitage, </w:t>
      </w:r>
      <w:r>
        <w:t xml:space="preserve">août 1898. </w:t>
      </w:r>
      <w:r w:rsidRPr="003347FF">
        <w:t>145-46</w:t>
      </w:r>
    </w:p>
  </w:footnote>
  <w:footnote w:id="2">
    <w:p w:rsidR="001D04EF" w:rsidRPr="003347FF" w:rsidRDefault="001D04EF" w:rsidP="001D04EF">
      <w:pPr>
        <w:pStyle w:val="FootnoteText"/>
      </w:pPr>
      <w:r>
        <w:rPr>
          <w:rStyle w:val="FootnoteReference"/>
        </w:rPr>
        <w:footnoteRef/>
      </w:r>
      <w:r w:rsidRPr="003347FF">
        <w:t xml:space="preserve"> https://www.cairn.info/revue-essaim-2005-2-page-83.htm#re22no22</w:t>
      </w:r>
    </w:p>
  </w:footnote>
  <w:footnote w:id="3">
    <w:p w:rsidR="001D04EF" w:rsidRPr="003347FF" w:rsidRDefault="001D04EF" w:rsidP="001D04EF">
      <w:pPr>
        <w:pStyle w:val="FootnoteText"/>
      </w:pPr>
      <w:r>
        <w:rPr>
          <w:rStyle w:val="FootnoteReference"/>
        </w:rPr>
        <w:footnoteRef/>
      </w:r>
      <w:r w:rsidRPr="001F5BFA">
        <w:t xml:space="preserve"> </w:t>
      </w:r>
      <w:r w:rsidRPr="001F5BFA">
        <w:rPr>
          <w:rStyle w:val="Strong"/>
        </w:rPr>
        <w:t xml:space="preserve">Andrea </w:t>
      </w:r>
      <w:r w:rsidRPr="001F5BFA">
        <w:rPr>
          <w:rStyle w:val="familyname"/>
          <w:bCs/>
        </w:rPr>
        <w:t>Del </w:t>
      </w:r>
      <w:proofErr w:type="spellStart"/>
      <w:r w:rsidRPr="001F5BFA">
        <w:rPr>
          <w:rStyle w:val="familyname"/>
          <w:bCs/>
        </w:rPr>
        <w:t>Lungo</w:t>
      </w:r>
      <w:proofErr w:type="spellEnd"/>
      <w:r w:rsidRPr="001F5BFA">
        <w:rPr>
          <w:b/>
        </w:rPr>
        <w:t>,</w:t>
      </w:r>
      <w:r>
        <w:t xml:space="preserve"> « Éloge du lisible (sur </w:t>
      </w:r>
      <w:r>
        <w:rPr>
          <w:rStyle w:val="Emphasis"/>
        </w:rPr>
        <w:t>S/Z</w:t>
      </w:r>
      <w:r>
        <w:t>) », </w:t>
      </w:r>
      <w:r>
        <w:rPr>
          <w:rStyle w:val="Emphasis"/>
        </w:rPr>
        <w:t>Carnets</w:t>
      </w:r>
      <w:r>
        <w:t xml:space="preserve"> [En ligne], Deuxième série - 6 | 2016, mis en ligne le 31 janvier 2016, consulté le 22 juin 2024. </w:t>
      </w:r>
      <w:r w:rsidRPr="003347FF">
        <w:t>URL : http://journals.openedition.org/carnets/815</w:t>
      </w:r>
    </w:p>
  </w:footnote>
  <w:footnote w:id="4">
    <w:p w:rsidR="001D04EF" w:rsidRPr="00614CD4" w:rsidRDefault="001D04EF" w:rsidP="001D04EF">
      <w:pPr>
        <w:pStyle w:val="FootnoteText"/>
      </w:pPr>
      <w:r>
        <w:rPr>
          <w:rStyle w:val="FootnoteReference"/>
        </w:rPr>
        <w:footnoteRef/>
      </w:r>
      <w:r w:rsidRPr="00614CD4">
        <w:t xml:space="preserve"> </w:t>
      </w:r>
      <w:r>
        <w:t xml:space="preserve">« La </w:t>
      </w:r>
      <w:r>
        <w:rPr>
          <w:rStyle w:val="Emphasis"/>
        </w:rPr>
        <w:t xml:space="preserve">lisibilité </w:t>
      </w:r>
      <w:r>
        <w:t xml:space="preserve">du discours nous apparaît comme une condition, et une exigence naturelle de tout discours : la société – la nôtre –, les institutions refusent en bloc le </w:t>
      </w:r>
      <w:r>
        <w:rPr>
          <w:rStyle w:val="Emphasis"/>
        </w:rPr>
        <w:t>non lisible </w:t>
      </w:r>
      <w:r>
        <w:t>; pour elles, le non lisible est hors système » (Barthes, 2011 : 85).</w:t>
      </w:r>
    </w:p>
  </w:footnote>
  <w:footnote w:id="5">
    <w:p w:rsidR="001D04EF" w:rsidRPr="00E71268" w:rsidRDefault="001D04EF" w:rsidP="001D04EF">
      <w:pPr>
        <w:pStyle w:val="FootnoteText"/>
        <w:rPr>
          <w:lang w:val="en-US"/>
        </w:rPr>
      </w:pPr>
      <w:r>
        <w:rPr>
          <w:rStyle w:val="FootnoteReference"/>
        </w:rPr>
        <w:footnoteRef/>
      </w:r>
      <w:r w:rsidRPr="00E71268">
        <w:rPr>
          <w:lang w:val="en-US"/>
        </w:rPr>
        <w:t xml:space="preserve"> Gustave Kahn, tome 105, 1</w:t>
      </w:r>
      <w:r w:rsidRPr="00E71268">
        <w:rPr>
          <w:vertAlign w:val="superscript"/>
          <w:lang w:val="en-US"/>
        </w:rPr>
        <w:t>er</w:t>
      </w:r>
      <w:r w:rsidRPr="00E71268">
        <w:rPr>
          <w:lang w:val="en-US"/>
        </w:rPr>
        <w:t xml:space="preserve"> </w:t>
      </w:r>
      <w:proofErr w:type="spellStart"/>
      <w:r w:rsidRPr="00E71268">
        <w:rPr>
          <w:lang w:val="en-US"/>
        </w:rPr>
        <w:t>avril</w:t>
      </w:r>
      <w:proofErr w:type="spellEnd"/>
      <w:r w:rsidRPr="00E71268">
        <w:rPr>
          <w:lang w:val="en-US"/>
        </w:rPr>
        <w:t xml:space="preserve"> 1897, 577-590.</w:t>
      </w:r>
    </w:p>
  </w:footnote>
  <w:footnote w:id="6">
    <w:p w:rsidR="001D04EF" w:rsidRPr="00ED78B4" w:rsidRDefault="001D04EF" w:rsidP="001D04EF">
      <w:pPr>
        <w:pStyle w:val="NoSpacing"/>
        <w:jc w:val="both"/>
      </w:pPr>
      <w:r w:rsidRPr="00D51FD0">
        <w:rPr>
          <w:rStyle w:val="FootnoteReference"/>
          <w:sz w:val="20"/>
          <w:szCs w:val="20"/>
        </w:rPr>
        <w:footnoteRef/>
      </w:r>
      <w:r w:rsidRPr="00D51FD0">
        <w:rPr>
          <w:sz w:val="20"/>
          <w:szCs w:val="20"/>
        </w:rPr>
        <w:t xml:space="preserve"> </w:t>
      </w:r>
      <w:r w:rsidRPr="00D51FD0">
        <w:rPr>
          <w:rFonts w:eastAsia="Times New Roman" w:cs="Times New Roman"/>
          <w:i/>
          <w:iCs/>
          <w:sz w:val="20"/>
          <w:szCs w:val="20"/>
          <w:lang w:eastAsia="fr-FR"/>
        </w:rPr>
        <w:t>Enquête internationale sur le vers libre et Manifeste du Futurisme,</w:t>
      </w:r>
      <w:r w:rsidRPr="00D51FD0">
        <w:rPr>
          <w:rFonts w:eastAsia="Times New Roman" w:cs="Times New Roman"/>
          <w:sz w:val="20"/>
          <w:szCs w:val="20"/>
          <w:lang w:eastAsia="fr-FR"/>
        </w:rPr>
        <w:t xml:space="preserve"> F.T. Marinetti, Milan </w:t>
      </w:r>
      <w:proofErr w:type="spellStart"/>
      <w:r w:rsidRPr="00D51FD0">
        <w:rPr>
          <w:rFonts w:eastAsia="Times New Roman" w:cs="Times New Roman"/>
          <w:sz w:val="20"/>
          <w:szCs w:val="20"/>
          <w:lang w:eastAsia="fr-FR"/>
        </w:rPr>
        <w:t>Editions</w:t>
      </w:r>
      <w:proofErr w:type="spellEnd"/>
      <w:r w:rsidRPr="00D51FD0">
        <w:rPr>
          <w:rFonts w:eastAsia="Times New Roman" w:cs="Times New Roman"/>
          <w:sz w:val="20"/>
          <w:szCs w:val="20"/>
          <w:lang w:eastAsia="fr-FR"/>
        </w:rPr>
        <w:t xml:space="preserve"> de « </w:t>
      </w:r>
      <w:proofErr w:type="spellStart"/>
      <w:r w:rsidRPr="00D51FD0">
        <w:rPr>
          <w:rFonts w:eastAsia="Times New Roman" w:cs="Times New Roman"/>
          <w:sz w:val="20"/>
          <w:szCs w:val="20"/>
          <w:lang w:eastAsia="fr-FR"/>
        </w:rPr>
        <w:t>Poesia</w:t>
      </w:r>
      <w:proofErr w:type="spellEnd"/>
      <w:r w:rsidRPr="00D51FD0">
        <w:rPr>
          <w:rFonts w:eastAsia="Times New Roman" w:cs="Times New Roman"/>
          <w:sz w:val="20"/>
          <w:szCs w:val="20"/>
          <w:lang w:eastAsia="fr-FR"/>
        </w:rPr>
        <w:t> », 1909, p. 29.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4EF"/>
    <w:rsid w:val="000C0299"/>
    <w:rsid w:val="00121721"/>
    <w:rsid w:val="001250F2"/>
    <w:rsid w:val="00140D04"/>
    <w:rsid w:val="00181C30"/>
    <w:rsid w:val="001A0C3B"/>
    <w:rsid w:val="001D04EF"/>
    <w:rsid w:val="00244E21"/>
    <w:rsid w:val="0030473A"/>
    <w:rsid w:val="00357B96"/>
    <w:rsid w:val="00381E68"/>
    <w:rsid w:val="004244A8"/>
    <w:rsid w:val="004551BB"/>
    <w:rsid w:val="0053733A"/>
    <w:rsid w:val="00647648"/>
    <w:rsid w:val="006A4D27"/>
    <w:rsid w:val="006C123C"/>
    <w:rsid w:val="00751058"/>
    <w:rsid w:val="007A3E5E"/>
    <w:rsid w:val="007C2942"/>
    <w:rsid w:val="008E1D43"/>
    <w:rsid w:val="00931082"/>
    <w:rsid w:val="009811E8"/>
    <w:rsid w:val="00A57C77"/>
    <w:rsid w:val="00AC5341"/>
    <w:rsid w:val="00B40686"/>
    <w:rsid w:val="00C347AA"/>
    <w:rsid w:val="00C34DFA"/>
    <w:rsid w:val="00C70230"/>
    <w:rsid w:val="00C7416B"/>
    <w:rsid w:val="00CB2D32"/>
    <w:rsid w:val="00CC313B"/>
    <w:rsid w:val="00CF35C5"/>
    <w:rsid w:val="00D343BE"/>
    <w:rsid w:val="00DB48D3"/>
    <w:rsid w:val="00DD2513"/>
    <w:rsid w:val="00F0122D"/>
    <w:rsid w:val="00F013C0"/>
    <w:rsid w:val="00F1386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F612D"/>
  <w15:chartTrackingRefBased/>
  <w15:docId w15:val="{BBE85074-42F0-4E3E-A9A3-0F8C15D66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MS Mincho"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04EF"/>
    <w:pPr>
      <w:spacing w:after="0"/>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D04EF"/>
    <w:pPr>
      <w:spacing w:line="240" w:lineRule="auto"/>
    </w:pPr>
    <w:rPr>
      <w:sz w:val="20"/>
      <w:szCs w:val="20"/>
    </w:rPr>
  </w:style>
  <w:style w:type="character" w:customStyle="1" w:styleId="FootnoteTextChar">
    <w:name w:val="Footnote Text Char"/>
    <w:basedOn w:val="DefaultParagraphFont"/>
    <w:link w:val="FootnoteText"/>
    <w:uiPriority w:val="99"/>
    <w:semiHidden/>
    <w:rsid w:val="001D04EF"/>
    <w:rPr>
      <w:rFonts w:ascii="Times New Roman" w:hAnsi="Times New Roman"/>
      <w:sz w:val="20"/>
      <w:szCs w:val="20"/>
    </w:rPr>
  </w:style>
  <w:style w:type="character" w:styleId="FootnoteReference">
    <w:name w:val="footnote reference"/>
    <w:basedOn w:val="DefaultParagraphFont"/>
    <w:uiPriority w:val="99"/>
    <w:semiHidden/>
    <w:unhideWhenUsed/>
    <w:rsid w:val="001D04EF"/>
    <w:rPr>
      <w:vertAlign w:val="superscript"/>
    </w:rPr>
  </w:style>
  <w:style w:type="paragraph" w:styleId="NoSpacing">
    <w:name w:val="No Spacing"/>
    <w:uiPriority w:val="1"/>
    <w:qFormat/>
    <w:rsid w:val="001D04EF"/>
    <w:pPr>
      <w:spacing w:after="0" w:line="240" w:lineRule="auto"/>
    </w:pPr>
    <w:rPr>
      <w:rFonts w:ascii="Times New Roman" w:hAnsi="Times New Roman"/>
      <w:sz w:val="24"/>
    </w:rPr>
  </w:style>
  <w:style w:type="character" w:styleId="Emphasis">
    <w:name w:val="Emphasis"/>
    <w:basedOn w:val="DefaultParagraphFont"/>
    <w:uiPriority w:val="20"/>
    <w:qFormat/>
    <w:rsid w:val="001D04EF"/>
    <w:rPr>
      <w:i/>
      <w:iCs/>
    </w:rPr>
  </w:style>
  <w:style w:type="character" w:styleId="Strong">
    <w:name w:val="Strong"/>
    <w:basedOn w:val="DefaultParagraphFont"/>
    <w:uiPriority w:val="22"/>
    <w:qFormat/>
    <w:rsid w:val="001D04EF"/>
    <w:rPr>
      <w:b/>
      <w:bCs/>
    </w:rPr>
  </w:style>
  <w:style w:type="character" w:customStyle="1" w:styleId="familyname">
    <w:name w:val="familyname"/>
    <w:basedOn w:val="DefaultParagraphFont"/>
    <w:rsid w:val="001D04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6</Pages>
  <Words>2669</Words>
  <Characters>14685</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comments</cp:lastModifiedBy>
  <cp:revision>15</cp:revision>
  <dcterms:created xsi:type="dcterms:W3CDTF">2024-06-24T04:26:00Z</dcterms:created>
  <dcterms:modified xsi:type="dcterms:W3CDTF">2024-07-21T17:49:00Z</dcterms:modified>
</cp:coreProperties>
</file>