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D86A7D" w14:textId="77777777" w:rsidR="000C600A" w:rsidRDefault="00000000">
      <w:pPr>
        <w:spacing w:line="360" w:lineRule="auto"/>
        <w:jc w:val="both"/>
        <w:rPr>
          <w:strike/>
        </w:rPr>
      </w:pPr>
      <w:proofErr w:type="spellStart"/>
      <w:r>
        <w:rPr>
          <w:strike/>
        </w:rPr>
        <w:t>Septins</w:t>
      </w:r>
      <w:proofErr w:type="spellEnd"/>
      <w:r>
        <w:rPr>
          <w:strike/>
        </w:rPr>
        <w:t xml:space="preserve"> from yeast to man rededicate nucleotide utilization from signal transduction to protofilament integrity reporting. </w:t>
      </w:r>
    </w:p>
    <w:p w14:paraId="027A2052" w14:textId="77777777" w:rsidR="000C600A" w:rsidRDefault="000C600A">
      <w:pPr>
        <w:spacing w:line="360" w:lineRule="auto"/>
        <w:jc w:val="both"/>
      </w:pPr>
    </w:p>
    <w:p w14:paraId="22369447" w14:textId="77777777" w:rsidR="000C600A" w:rsidRDefault="00000000">
      <w:pPr>
        <w:spacing w:line="360" w:lineRule="auto"/>
        <w:jc w:val="both"/>
      </w:pPr>
      <w:r>
        <w:t xml:space="preserve">Interface integrity in </w:t>
      </w:r>
      <w:proofErr w:type="spellStart"/>
      <w:r>
        <w:t>septin</w:t>
      </w:r>
      <w:proofErr w:type="spellEnd"/>
      <w:r>
        <w:t xml:space="preserve"> protofilaments is maintained by an arginine residue conserved from yeast to man. </w:t>
      </w:r>
    </w:p>
    <w:p w14:paraId="22E31AE6" w14:textId="77777777" w:rsidR="000C600A" w:rsidRDefault="000C600A"/>
    <w:p w14:paraId="7D8BAF62" w14:textId="77777777" w:rsidR="000C600A" w:rsidRDefault="000C600A"/>
    <w:p w14:paraId="72D44DE4" w14:textId="77777777" w:rsidR="000C600A" w:rsidRDefault="00000000">
      <w:r>
        <w:t>Benjamin Grupp</w:t>
      </w:r>
      <w:r>
        <w:rPr>
          <w:vertAlign w:val="superscript"/>
        </w:rPr>
        <w:t>1</w:t>
      </w:r>
      <w:r>
        <w:t xml:space="preserve">, </w:t>
      </w:r>
      <w:proofErr w:type="spellStart"/>
      <w:r>
        <w:t>Jano</w:t>
      </w:r>
      <w:proofErr w:type="spellEnd"/>
      <w:r>
        <w:t xml:space="preserve"> Graser</w:t>
      </w:r>
      <w:r>
        <w:rPr>
          <w:vertAlign w:val="superscript"/>
        </w:rPr>
        <w:t>1</w:t>
      </w:r>
      <w:r>
        <w:t>, Julia Seifermann</w:t>
      </w:r>
      <w:r>
        <w:rPr>
          <w:vertAlign w:val="superscript"/>
        </w:rPr>
        <w:t>2</w:t>
      </w:r>
      <w:r>
        <w:t>, Stefan Gerhardt</w:t>
      </w:r>
      <w:r>
        <w:rPr>
          <w:vertAlign w:val="superscript"/>
        </w:rPr>
        <w:t>2</w:t>
      </w:r>
      <w:r>
        <w:t>, Justin Lemkul</w:t>
      </w:r>
      <w:r>
        <w:rPr>
          <w:vertAlign w:val="superscript"/>
        </w:rPr>
        <w:t>3</w:t>
      </w:r>
      <w:r>
        <w:t>, Nils Johnsson</w:t>
      </w:r>
      <w:r>
        <w:rPr>
          <w:vertAlign w:val="superscript"/>
        </w:rPr>
        <w:t>1</w:t>
      </w:r>
      <w:r>
        <w:t xml:space="preserve">, Thomas </w:t>
      </w:r>
      <w:proofErr w:type="spellStart"/>
      <w:r>
        <w:t>Gronemeyer</w:t>
      </w:r>
      <w:proofErr w:type="spellEnd"/>
      <w:r>
        <w:t>*</w:t>
      </w:r>
      <w:r>
        <w:rPr>
          <w:vertAlign w:val="superscript"/>
        </w:rPr>
        <w:t>1</w:t>
      </w:r>
    </w:p>
    <w:p w14:paraId="55BD1771" w14:textId="77777777" w:rsidR="000C600A" w:rsidRDefault="000C600A"/>
    <w:p w14:paraId="52392E61" w14:textId="77777777" w:rsidR="000C600A" w:rsidRDefault="00000000">
      <w:pPr>
        <w:spacing w:line="360" w:lineRule="auto"/>
      </w:pPr>
      <w:r>
        <w:rPr>
          <w:vertAlign w:val="superscript"/>
        </w:rPr>
        <w:t>1</w:t>
      </w:r>
      <w:r>
        <w:t>Institute of Molecular Genetics and Cell Biology, James Franck Ring N27, Ulm University, 89081 Ulm, Germany</w:t>
      </w:r>
    </w:p>
    <w:p w14:paraId="76B52164" w14:textId="77777777" w:rsidR="000C600A" w:rsidRDefault="00000000">
      <w:pPr>
        <w:spacing w:line="360" w:lineRule="auto"/>
      </w:pPr>
      <w:r>
        <w:rPr>
          <w:vertAlign w:val="superscript"/>
        </w:rPr>
        <w:t>2</w:t>
      </w:r>
      <w:r>
        <w:t>Institute of Biochemistry, Albert-</w:t>
      </w:r>
      <w:proofErr w:type="spellStart"/>
      <w:r>
        <w:t>Ludwigs</w:t>
      </w:r>
      <w:proofErr w:type="spellEnd"/>
      <w:r>
        <w:t xml:space="preserve"> University, 79104 Freiburg, Germany</w:t>
      </w:r>
    </w:p>
    <w:p w14:paraId="1DCEF796" w14:textId="77777777" w:rsidR="000C600A" w:rsidRDefault="00000000">
      <w:pPr>
        <w:spacing w:line="360" w:lineRule="auto"/>
      </w:pPr>
      <w:r>
        <w:rPr>
          <w:vertAlign w:val="superscript"/>
        </w:rPr>
        <w:t>3</w:t>
      </w:r>
      <w:r>
        <w:t xml:space="preserve">Department of Biochemistry, Virginia Tech, Blacksburg, VA 24061, USA </w:t>
      </w:r>
    </w:p>
    <w:p w14:paraId="27FCEB84" w14:textId="77777777" w:rsidR="000C600A" w:rsidRDefault="000C600A"/>
    <w:p w14:paraId="2CE3FF5F" w14:textId="77777777" w:rsidR="000C600A" w:rsidRDefault="00000000">
      <w:r>
        <w:t xml:space="preserve">* </w:t>
      </w:r>
      <w:proofErr w:type="gramStart"/>
      <w:r>
        <w:t>to</w:t>
      </w:r>
      <w:proofErr w:type="gramEnd"/>
      <w:r>
        <w:t xml:space="preserve"> whom correspondence should be addressed: </w:t>
      </w:r>
      <w:hyperlink r:id="rId5">
        <w:r>
          <w:rPr>
            <w:color w:val="0563C1"/>
            <w:u w:val="single"/>
          </w:rPr>
          <w:t>thomas.gronemeyer@uni-ulm.de</w:t>
        </w:r>
      </w:hyperlink>
    </w:p>
    <w:p w14:paraId="41C89FE0" w14:textId="77777777" w:rsidR="000C600A" w:rsidRDefault="00000000">
      <w:r>
        <w:t>ORCID-ID: 0000-0002-1371-8164</w:t>
      </w:r>
    </w:p>
    <w:p w14:paraId="48AA2F56" w14:textId="77777777" w:rsidR="000C600A" w:rsidRDefault="000C600A"/>
    <w:p w14:paraId="43E6E3B6" w14:textId="77777777" w:rsidR="000C600A" w:rsidRDefault="000C600A"/>
    <w:p w14:paraId="0BBAA56C" w14:textId="77777777" w:rsidR="000C600A" w:rsidRDefault="000C600A"/>
    <w:p w14:paraId="1268CDB8" w14:textId="77777777" w:rsidR="000C600A" w:rsidRDefault="000C600A"/>
    <w:p w14:paraId="59A8C922" w14:textId="77777777" w:rsidR="000C600A" w:rsidRDefault="00000000">
      <w:pPr>
        <w:rPr>
          <w:i/>
        </w:rPr>
      </w:pPr>
      <w:r>
        <w:rPr>
          <w:i/>
        </w:rPr>
        <w:t>Running head max. 40 characters</w:t>
      </w:r>
    </w:p>
    <w:p w14:paraId="3B390D85" w14:textId="77777777" w:rsidR="000C600A" w:rsidRDefault="00000000">
      <w:pPr>
        <w:rPr>
          <w:i/>
        </w:rPr>
      </w:pPr>
      <w:r>
        <w:rPr>
          <w:i/>
        </w:rPr>
        <w:t xml:space="preserve">Conserved </w:t>
      </w:r>
      <w:proofErr w:type="spellStart"/>
      <w:r>
        <w:rPr>
          <w:i/>
        </w:rPr>
        <w:t>septin</w:t>
      </w:r>
      <w:proofErr w:type="spellEnd"/>
      <w:r>
        <w:rPr>
          <w:i/>
        </w:rPr>
        <w:t xml:space="preserve"> interface integrity</w:t>
      </w:r>
    </w:p>
    <w:p w14:paraId="16C87DF0" w14:textId="77777777" w:rsidR="000C600A" w:rsidRDefault="000C600A"/>
    <w:p w14:paraId="249412C4" w14:textId="77777777" w:rsidR="000C600A" w:rsidRDefault="000C600A"/>
    <w:p w14:paraId="5FA0B3FB" w14:textId="77777777" w:rsidR="000C600A" w:rsidRDefault="000C600A"/>
    <w:p w14:paraId="332588AA" w14:textId="77777777" w:rsidR="000C600A" w:rsidRDefault="000C600A"/>
    <w:p w14:paraId="41F8AB7D" w14:textId="77777777" w:rsidR="000C600A" w:rsidRDefault="000C600A"/>
    <w:p w14:paraId="7BD7AA0E" w14:textId="77777777" w:rsidR="000C600A" w:rsidRDefault="000C600A"/>
    <w:p w14:paraId="1BA3DE83" w14:textId="77777777" w:rsidR="000C600A" w:rsidRDefault="000C600A"/>
    <w:p w14:paraId="789C1224" w14:textId="77777777" w:rsidR="000C600A" w:rsidRDefault="000C600A"/>
    <w:p w14:paraId="1670E505" w14:textId="77777777" w:rsidR="000C600A" w:rsidRDefault="000C600A"/>
    <w:p w14:paraId="040EA0B3" w14:textId="77777777" w:rsidR="000C600A" w:rsidRDefault="000C600A"/>
    <w:p w14:paraId="4037A920" w14:textId="77777777" w:rsidR="000C600A" w:rsidRDefault="000C600A"/>
    <w:p w14:paraId="32601003" w14:textId="77777777" w:rsidR="000C600A" w:rsidRDefault="000C600A"/>
    <w:p w14:paraId="2A52FF55" w14:textId="77777777" w:rsidR="000C600A" w:rsidRDefault="000C600A"/>
    <w:p w14:paraId="4D1A3B37" w14:textId="77777777" w:rsidR="000C600A" w:rsidRDefault="000C600A"/>
    <w:p w14:paraId="025E96EF" w14:textId="77777777" w:rsidR="000C600A" w:rsidRDefault="000C600A"/>
    <w:p w14:paraId="01D0FC29" w14:textId="77777777" w:rsidR="000C600A" w:rsidRDefault="000C600A"/>
    <w:p w14:paraId="49666040" w14:textId="77777777" w:rsidR="000C600A" w:rsidRDefault="000C600A"/>
    <w:p w14:paraId="7787604B" w14:textId="77777777" w:rsidR="000C600A" w:rsidRDefault="000C600A"/>
    <w:p w14:paraId="1F8608C5" w14:textId="77777777" w:rsidR="000C600A" w:rsidRDefault="000C600A"/>
    <w:p w14:paraId="740B3A37" w14:textId="77777777" w:rsidR="000C600A" w:rsidRDefault="000C600A"/>
    <w:p w14:paraId="6DC54936" w14:textId="77777777" w:rsidR="000C600A" w:rsidRDefault="000C600A"/>
    <w:p w14:paraId="449698EC" w14:textId="77777777" w:rsidR="000C600A" w:rsidRDefault="00000000">
      <w:pPr>
        <w:spacing w:line="360" w:lineRule="auto"/>
        <w:rPr>
          <w:b/>
          <w:bCs/>
        </w:rPr>
      </w:pPr>
      <w:r>
        <w:rPr>
          <w:b/>
          <w:bCs/>
        </w:rPr>
        <w:lastRenderedPageBreak/>
        <w:t>Abstract (198/200)</w:t>
      </w:r>
    </w:p>
    <w:p w14:paraId="60757CC2" w14:textId="77777777" w:rsidR="000C600A" w:rsidRDefault="00000000">
      <w:pPr>
        <w:spacing w:line="360" w:lineRule="auto"/>
      </w:pPr>
      <w:r>
        <w:t xml:space="preserve">The </w:t>
      </w:r>
      <w:proofErr w:type="spellStart"/>
      <w:r>
        <w:t>septins</w:t>
      </w:r>
      <w:proofErr w:type="spellEnd"/>
      <w:r>
        <w:t xml:space="preserve"> are a conserved family of cytoskeletal, filament-forming, guanine nucleotide binding proteins. They assemble into palindromic, mostly octameric protofilaments which polymerize further into higher-ordered structures, being required for essential intracellular processes such as cytokinesis or polarity establishment. </w:t>
      </w:r>
      <w:proofErr w:type="spellStart"/>
      <w:r>
        <w:t>Septins</w:t>
      </w:r>
      <w:proofErr w:type="spellEnd"/>
      <w:r>
        <w:t xml:space="preserve"> belong structurally to the P-Loop </w:t>
      </w:r>
      <w:proofErr w:type="spellStart"/>
      <w:r>
        <w:t>NTPases</w:t>
      </w:r>
      <w:proofErr w:type="spellEnd"/>
      <w:r>
        <w:t xml:space="preserve"> but unlike their relatives such as Ras or Rho, they do not mediate signals to effectors through GTP binding and hydrolysis. Biochemical approaches addressing how and why </w:t>
      </w:r>
      <w:proofErr w:type="spellStart"/>
      <w:r>
        <w:t>septins</w:t>
      </w:r>
      <w:proofErr w:type="spellEnd"/>
      <w:r>
        <w:t xml:space="preserve"> utilize nucleotides are hampered by the lack of nucleotide-depleted complexes. Using molecular dynamics simulations, we determined inter-subunit binding free energies in human and yeast </w:t>
      </w:r>
      <w:proofErr w:type="spellStart"/>
      <w:r>
        <w:t>septin</w:t>
      </w:r>
      <w:proofErr w:type="spellEnd"/>
      <w:r>
        <w:t xml:space="preserve"> dimer structures and in </w:t>
      </w:r>
      <w:proofErr w:type="gramStart"/>
      <w:r>
        <w:t>their</w:t>
      </w:r>
      <w:proofErr w:type="gramEnd"/>
      <w:r>
        <w:t xml:space="preserve"> in silico generated apo forms. Coordination of the nucleotide by a conserved arginine in the </w:t>
      </w:r>
      <w:proofErr w:type="spellStart"/>
      <w:r>
        <w:t>septin</w:t>
      </w:r>
      <w:proofErr w:type="spellEnd"/>
      <w:r>
        <w:t xml:space="preserve"> unique β-meander, Arg(βb), was identified as a stabilizing element. Removal of GDP resulted in flipping of Arg(βb) and disruption of an extensive hydrogen bond network around the guanine ring, concomitant with decreased inter-subunit affinity. We investigated these findings experimentally in vitro and in vivo. Purified </w:t>
      </w:r>
      <w:proofErr w:type="spellStart"/>
      <w:r>
        <w:t>septins</w:t>
      </w:r>
      <w:proofErr w:type="spellEnd"/>
      <w:r>
        <w:t xml:space="preserve"> bearing a Arg(β</w:t>
      </w:r>
      <w:proofErr w:type="gramStart"/>
      <w:r>
        <w:t>b)(</w:t>
      </w:r>
      <w:proofErr w:type="gramEnd"/>
      <w:r>
        <w:t>Ala) mutation did not assemble into dimers. Reintroduction of GFP-SEPT9 into a SEPT9 knockout fibroblast cell line restored a wildtype-like phenotype while cells expressing the SEPT9(Rβ</w:t>
      </w:r>
      <w:proofErr w:type="spellStart"/>
      <w:r>
        <w:t>bA</w:t>
      </w:r>
      <w:proofErr w:type="spellEnd"/>
      <w:r>
        <w:t xml:space="preserve">) remained in their knockout phenotype. </w:t>
      </w:r>
    </w:p>
    <w:p w14:paraId="16401551" w14:textId="77777777" w:rsidR="000C600A" w:rsidRDefault="000C600A">
      <w:pPr>
        <w:spacing w:line="360" w:lineRule="auto"/>
      </w:pPr>
    </w:p>
    <w:p w14:paraId="337E7B0D" w14:textId="77777777" w:rsidR="000C600A" w:rsidRDefault="000C600A"/>
    <w:p w14:paraId="16436529" w14:textId="77777777" w:rsidR="000C600A" w:rsidRDefault="000C600A"/>
    <w:p w14:paraId="328C9BA7" w14:textId="77777777" w:rsidR="000C600A" w:rsidRDefault="000C600A"/>
    <w:p w14:paraId="573C33A1" w14:textId="77777777" w:rsidR="000C600A" w:rsidRDefault="000C600A"/>
    <w:p w14:paraId="3B9578C9" w14:textId="77777777" w:rsidR="000C600A" w:rsidRDefault="000C600A"/>
    <w:p w14:paraId="704793EE" w14:textId="77777777" w:rsidR="000C600A" w:rsidRDefault="000C600A"/>
    <w:p w14:paraId="0502F44C" w14:textId="77777777" w:rsidR="000C600A" w:rsidRDefault="000C600A"/>
    <w:p w14:paraId="5D62AB33" w14:textId="77777777" w:rsidR="000C600A" w:rsidRDefault="000C600A"/>
    <w:p w14:paraId="2D4EA815" w14:textId="77777777" w:rsidR="000C600A" w:rsidRDefault="000C600A"/>
    <w:p w14:paraId="3D92FE54" w14:textId="77777777" w:rsidR="000C600A" w:rsidRDefault="000C600A"/>
    <w:p w14:paraId="4B33A80B" w14:textId="77777777" w:rsidR="000C600A" w:rsidRDefault="000C600A"/>
    <w:p w14:paraId="17C28B6F" w14:textId="77777777" w:rsidR="000C600A" w:rsidRDefault="000C600A"/>
    <w:p w14:paraId="1D6BE835" w14:textId="77777777" w:rsidR="000C600A" w:rsidRDefault="000C600A"/>
    <w:p w14:paraId="4FB80CA6" w14:textId="77777777" w:rsidR="000C600A" w:rsidRDefault="000C600A"/>
    <w:p w14:paraId="62CA1C83" w14:textId="77777777" w:rsidR="000C600A" w:rsidRDefault="000C600A"/>
    <w:p w14:paraId="7EB4B01E" w14:textId="77777777" w:rsidR="000C600A" w:rsidRDefault="000C600A"/>
    <w:p w14:paraId="74D569A1" w14:textId="77777777" w:rsidR="000C600A" w:rsidRDefault="000C600A"/>
    <w:p w14:paraId="3A4233B5" w14:textId="77777777" w:rsidR="000C600A" w:rsidRDefault="000C600A"/>
    <w:p w14:paraId="18C68817" w14:textId="77777777" w:rsidR="000C600A" w:rsidRDefault="000C600A"/>
    <w:p w14:paraId="135F8BF6" w14:textId="77777777" w:rsidR="000C600A" w:rsidRDefault="000C600A"/>
    <w:p w14:paraId="53891948" w14:textId="77777777" w:rsidR="000C600A" w:rsidRDefault="00000000">
      <w:pPr>
        <w:rPr>
          <w:b/>
        </w:rPr>
      </w:pPr>
      <w:r>
        <w:rPr>
          <w:b/>
        </w:rPr>
        <w:lastRenderedPageBreak/>
        <w:t>Introduction</w:t>
      </w:r>
    </w:p>
    <w:p w14:paraId="4D9BD2D8" w14:textId="77777777" w:rsidR="000C600A" w:rsidRDefault="000C600A"/>
    <w:p w14:paraId="6DF493B0" w14:textId="77777777" w:rsidR="000C600A" w:rsidRDefault="00000000">
      <w:pPr>
        <w:spacing w:line="360" w:lineRule="auto"/>
        <w:jc w:val="both"/>
      </w:pPr>
      <w:proofErr w:type="spellStart"/>
      <w:r>
        <w:t>Septins</w:t>
      </w:r>
      <w:proofErr w:type="spellEnd"/>
      <w:r>
        <w:t xml:space="preserve"> are a component of the cytoskeleton (</w:t>
      </w:r>
      <w:proofErr w:type="spellStart"/>
      <w:r>
        <w:t>Mostowy</w:t>
      </w:r>
      <w:proofErr w:type="spellEnd"/>
      <w:r>
        <w:t xml:space="preserve"> and </w:t>
      </w:r>
      <w:proofErr w:type="spellStart"/>
      <w:r>
        <w:t>Cossart</w:t>
      </w:r>
      <w:proofErr w:type="spellEnd"/>
      <w:r>
        <w:t xml:space="preserve">, 2012). Individual </w:t>
      </w:r>
      <w:proofErr w:type="spellStart"/>
      <w:r>
        <w:t>septin</w:t>
      </w:r>
      <w:proofErr w:type="spellEnd"/>
      <w:r>
        <w:t xml:space="preserve"> subunits form hexa- or octameric linear protofilaments termed rods, serving as building blocks for higher ordered structures such as filaments, </w:t>
      </w:r>
      <w:proofErr w:type="gramStart"/>
      <w:r>
        <w:t>gauzes</w:t>
      </w:r>
      <w:proofErr w:type="gramEnd"/>
      <w:r>
        <w:t xml:space="preserve"> or rings (</w:t>
      </w:r>
      <w:proofErr w:type="spellStart"/>
      <w:r>
        <w:t>Bertin</w:t>
      </w:r>
      <w:proofErr w:type="spellEnd"/>
      <w:r>
        <w:t xml:space="preserve"> </w:t>
      </w:r>
      <w:r>
        <w:rPr>
          <w:i/>
        </w:rPr>
        <w:t>et al.</w:t>
      </w:r>
      <w:r>
        <w:t xml:space="preserve">, 2008; Garcia </w:t>
      </w:r>
      <w:r>
        <w:rPr>
          <w:i/>
        </w:rPr>
        <w:t>et al.</w:t>
      </w:r>
      <w:r>
        <w:t xml:space="preserve">, 2011; Schneider </w:t>
      </w:r>
      <w:r>
        <w:rPr>
          <w:i/>
        </w:rPr>
        <w:t>et al.</w:t>
      </w:r>
      <w:r>
        <w:t xml:space="preserve">, 2013; Kaplan </w:t>
      </w:r>
      <w:r>
        <w:rPr>
          <w:i/>
        </w:rPr>
        <w:t>et al.</w:t>
      </w:r>
      <w:r>
        <w:t xml:space="preserve">, 2015). These assemblies are required for essential intracellular processes such as cytokinesis, polarity establishment, or cellular adhesion (Woods and </w:t>
      </w:r>
      <w:proofErr w:type="spellStart"/>
      <w:r>
        <w:t>Gladfelter</w:t>
      </w:r>
      <w:proofErr w:type="spellEnd"/>
      <w:r>
        <w:t>, 2021).</w:t>
      </w:r>
    </w:p>
    <w:p w14:paraId="5AD2C45E" w14:textId="77777777" w:rsidR="000C600A" w:rsidRDefault="00000000">
      <w:pPr>
        <w:spacing w:line="360" w:lineRule="auto"/>
        <w:jc w:val="both"/>
      </w:pPr>
      <w:r>
        <w:t xml:space="preserve"> </w:t>
      </w:r>
      <w:proofErr w:type="spellStart"/>
      <w:r>
        <w:t>Septins</w:t>
      </w:r>
      <w:proofErr w:type="spellEnd"/>
      <w:r>
        <w:t xml:space="preserve"> belong to the GTPase superclass of the P-loop </w:t>
      </w:r>
      <w:proofErr w:type="spellStart"/>
      <w:r>
        <w:t>NTPases</w:t>
      </w:r>
      <w:proofErr w:type="spellEnd"/>
      <w:r>
        <w:t xml:space="preserve"> (</w:t>
      </w:r>
      <w:proofErr w:type="spellStart"/>
      <w:r>
        <w:t>Leipe</w:t>
      </w:r>
      <w:proofErr w:type="spellEnd"/>
      <w:r>
        <w:t xml:space="preserve"> </w:t>
      </w:r>
      <w:r>
        <w:rPr>
          <w:i/>
        </w:rPr>
        <w:t>et al.</w:t>
      </w:r>
      <w:r>
        <w:t xml:space="preserve">, 2002). The structural topology of the </w:t>
      </w:r>
      <w:proofErr w:type="spellStart"/>
      <w:r>
        <w:t>septin</w:t>
      </w:r>
      <w:proofErr w:type="spellEnd"/>
      <w:r>
        <w:t xml:space="preserve"> GTPase (or short G-) domain resembles a modified </w:t>
      </w:r>
      <w:proofErr w:type="spellStart"/>
      <w:r>
        <w:t>Rossmann</w:t>
      </w:r>
      <w:proofErr w:type="spellEnd"/>
      <w:r>
        <w:t xml:space="preserve"> fold containing all features for GTP hydrolysis such as the P-loop and the switch 1 and switch 2 motifs (Vetter and </w:t>
      </w:r>
      <w:proofErr w:type="spellStart"/>
      <w:r>
        <w:t>Wittinghofer</w:t>
      </w:r>
      <w:proofErr w:type="spellEnd"/>
      <w:r>
        <w:t xml:space="preserve">, 2001; </w:t>
      </w:r>
      <w:proofErr w:type="spellStart"/>
      <w:r>
        <w:t>Cavini</w:t>
      </w:r>
      <w:proofErr w:type="spellEnd"/>
      <w:r>
        <w:t xml:space="preserve"> </w:t>
      </w:r>
      <w:r>
        <w:rPr>
          <w:i/>
        </w:rPr>
        <w:t>et al.</w:t>
      </w:r>
      <w:r>
        <w:t xml:space="preserve">, 2021; Grupp and </w:t>
      </w:r>
      <w:proofErr w:type="spellStart"/>
      <w:r>
        <w:t>Gronemeyer</w:t>
      </w:r>
      <w:proofErr w:type="spellEnd"/>
      <w:r>
        <w:t xml:space="preserve">, 2022). However, some </w:t>
      </w:r>
      <w:proofErr w:type="spellStart"/>
      <w:r>
        <w:t>septins</w:t>
      </w:r>
      <w:proofErr w:type="spellEnd"/>
      <w:r>
        <w:t xml:space="preserve"> are catalytically inactive albeit they bind nucleotide, classifying them as pseudo-GTPases (</w:t>
      </w:r>
      <w:proofErr w:type="spellStart"/>
      <w:r>
        <w:t>Stiegler</w:t>
      </w:r>
      <w:proofErr w:type="spellEnd"/>
      <w:r>
        <w:t xml:space="preserve"> and </w:t>
      </w:r>
      <w:proofErr w:type="spellStart"/>
      <w:r>
        <w:t>Boggon</w:t>
      </w:r>
      <w:proofErr w:type="spellEnd"/>
      <w:r>
        <w:t xml:space="preserve">, 2020; Hussain </w:t>
      </w:r>
      <w:r>
        <w:rPr>
          <w:i/>
        </w:rPr>
        <w:t>et al.</w:t>
      </w:r>
      <w:r>
        <w:t xml:space="preserve">, 2023). The G-domain is decorated with N- and C-terminal extensions of various length, ranging from a few (C-terminal extension of Cdc10 from yeast) to several hundred amino acids (N-terminal extension of human SEPT9). Another </w:t>
      </w:r>
      <w:proofErr w:type="spellStart"/>
      <w:r>
        <w:t>septin</w:t>
      </w:r>
      <w:proofErr w:type="spellEnd"/>
      <w:r>
        <w:t xml:space="preserve">-specific structural element of the G-domain is the </w:t>
      </w:r>
      <w:proofErr w:type="spellStart"/>
      <w:r>
        <w:t>septin</w:t>
      </w:r>
      <w:proofErr w:type="spellEnd"/>
      <w:r>
        <w:t xml:space="preserve"> unique element (SUE), consisting of a three-stranded β-meander (SUE-βββ) (Sirajuddin </w:t>
      </w:r>
      <w:r>
        <w:rPr>
          <w:i/>
        </w:rPr>
        <w:t>et al.</w:t>
      </w:r>
      <w:r>
        <w:t xml:space="preserve">, 2007; </w:t>
      </w:r>
      <w:proofErr w:type="spellStart"/>
      <w:r>
        <w:t>Cavini</w:t>
      </w:r>
      <w:proofErr w:type="spellEnd"/>
      <w:r>
        <w:t xml:space="preserve"> </w:t>
      </w:r>
      <w:r>
        <w:rPr>
          <w:i/>
        </w:rPr>
        <w:t>et al.</w:t>
      </w:r>
      <w:r>
        <w:t xml:space="preserve">, 2021). </w:t>
      </w:r>
    </w:p>
    <w:p w14:paraId="62C426AF" w14:textId="77777777" w:rsidR="000C600A" w:rsidRDefault="00000000">
      <w:pPr>
        <w:spacing w:line="360" w:lineRule="auto"/>
        <w:jc w:val="both"/>
      </w:pPr>
      <w:proofErr w:type="spellStart"/>
      <w:r>
        <w:t>Septin</w:t>
      </w:r>
      <w:proofErr w:type="spellEnd"/>
      <w:r>
        <w:t xml:space="preserve"> monomers assemble into </w:t>
      </w:r>
      <w:proofErr w:type="spellStart"/>
      <w:r>
        <w:t>apolar</w:t>
      </w:r>
      <w:proofErr w:type="spellEnd"/>
      <w:r>
        <w:t xml:space="preserve">, palindromic protofilaments by alternating interactions via their N- and C-termini (NC-interface) and via adjacent G-domains (G-interface), respectively (Sirajuddin </w:t>
      </w:r>
      <w:r>
        <w:rPr>
          <w:i/>
        </w:rPr>
        <w:t>et al.</w:t>
      </w:r>
      <w:r>
        <w:t xml:space="preserve">, 2007; </w:t>
      </w:r>
      <w:proofErr w:type="spellStart"/>
      <w:r>
        <w:t>Bertin</w:t>
      </w:r>
      <w:proofErr w:type="spellEnd"/>
      <w:r>
        <w:t xml:space="preserve"> </w:t>
      </w:r>
      <w:r>
        <w:rPr>
          <w:i/>
        </w:rPr>
        <w:t>et al.</w:t>
      </w:r>
      <w:r>
        <w:t xml:space="preserve">, 2008; </w:t>
      </w:r>
      <w:proofErr w:type="spellStart"/>
      <w:r>
        <w:t>Mendonça</w:t>
      </w:r>
      <w:proofErr w:type="spellEnd"/>
      <w:r>
        <w:t xml:space="preserve"> </w:t>
      </w:r>
      <w:r>
        <w:rPr>
          <w:i/>
        </w:rPr>
        <w:t>et al.</w:t>
      </w:r>
      <w:r>
        <w:t xml:space="preserve">, 2021; Grupp </w:t>
      </w:r>
      <w:r>
        <w:rPr>
          <w:i/>
        </w:rPr>
        <w:t>et al.</w:t>
      </w:r>
      <w:r>
        <w:t>, 2024), with the SUE being a central element in G-interface formation.</w:t>
      </w:r>
    </w:p>
    <w:p w14:paraId="1A0CEDEE" w14:textId="77777777" w:rsidR="000C600A" w:rsidRDefault="00000000">
      <w:pPr>
        <w:spacing w:line="360" w:lineRule="auto"/>
        <w:jc w:val="both"/>
      </w:pPr>
      <w:r>
        <w:t xml:space="preserve">Phylogenetic analyses grouped animal, </w:t>
      </w:r>
      <w:proofErr w:type="gramStart"/>
      <w:r>
        <w:t>fungi</w:t>
      </w:r>
      <w:proofErr w:type="gramEnd"/>
      <w:r>
        <w:t xml:space="preserve"> and protist </w:t>
      </w:r>
      <w:proofErr w:type="spellStart"/>
      <w:r>
        <w:t>septins</w:t>
      </w:r>
      <w:proofErr w:type="spellEnd"/>
      <w:r>
        <w:t xml:space="preserve"> in 5 groups (Pan </w:t>
      </w:r>
      <w:r>
        <w:rPr>
          <w:i/>
        </w:rPr>
        <w:t>et al.</w:t>
      </w:r>
      <w:r>
        <w:t xml:space="preserve">, 2007; </w:t>
      </w:r>
      <w:proofErr w:type="spellStart"/>
      <w:r>
        <w:t>Auxier</w:t>
      </w:r>
      <w:proofErr w:type="spellEnd"/>
      <w:r>
        <w:t xml:space="preserve"> </w:t>
      </w:r>
      <w:r>
        <w:rPr>
          <w:i/>
        </w:rPr>
        <w:t>et al.</w:t>
      </w:r>
      <w:r>
        <w:t xml:space="preserve">, 2019; Shuman and </w:t>
      </w:r>
      <w:proofErr w:type="spellStart"/>
      <w:r>
        <w:t>Momany</w:t>
      </w:r>
      <w:proofErr w:type="spellEnd"/>
      <w:r>
        <w:t xml:space="preserve">, 2022) and recently, two more groups were assigned for </w:t>
      </w:r>
      <w:proofErr w:type="spellStart"/>
      <w:r>
        <w:t>septins</w:t>
      </w:r>
      <w:proofErr w:type="spellEnd"/>
      <w:r>
        <w:t xml:space="preserve"> from algae and one additional for ciliates (</w:t>
      </w:r>
      <w:proofErr w:type="spellStart"/>
      <w:r>
        <w:t>Delic</w:t>
      </w:r>
      <w:proofErr w:type="spellEnd"/>
      <w:r>
        <w:t xml:space="preserve"> </w:t>
      </w:r>
      <w:r>
        <w:rPr>
          <w:i/>
        </w:rPr>
        <w:t>et al.</w:t>
      </w:r>
      <w:r>
        <w:t>, 2024). In all eight groups conserved residues in the GTPase specific motifs and the SUE can be found whereas residues in the NC interfaces are conserved in groups 1-6a but poorly conserved in the newly assigned groups 6b-8 (</w:t>
      </w:r>
      <w:proofErr w:type="spellStart"/>
      <w:r>
        <w:t>Delic</w:t>
      </w:r>
      <w:proofErr w:type="spellEnd"/>
      <w:r>
        <w:t xml:space="preserve"> </w:t>
      </w:r>
      <w:r>
        <w:rPr>
          <w:i/>
        </w:rPr>
        <w:t>et al.</w:t>
      </w:r>
      <w:r>
        <w:t xml:space="preserve">, 2024). This finding led to the assumption that nucleotide binding and hydrolysis is an evolutionary old feature of the </w:t>
      </w:r>
      <w:proofErr w:type="spellStart"/>
      <w:r>
        <w:t>septins</w:t>
      </w:r>
      <w:proofErr w:type="spellEnd"/>
      <w:r>
        <w:t xml:space="preserve">. What is the role of nucleotide interaction and hydrolysis in </w:t>
      </w:r>
      <w:proofErr w:type="spellStart"/>
      <w:r>
        <w:t>septins</w:t>
      </w:r>
      <w:proofErr w:type="spellEnd"/>
      <w:r>
        <w:t xml:space="preserve">? Unlike their relatives, the small GTPases from the Ras family, </w:t>
      </w:r>
      <w:proofErr w:type="spellStart"/>
      <w:r>
        <w:t>septins</w:t>
      </w:r>
      <w:proofErr w:type="spellEnd"/>
      <w:r>
        <w:t xml:space="preserve"> do not mediate signals by binding to effector molecules in their active, GTP bound state (</w:t>
      </w:r>
      <w:proofErr w:type="spellStart"/>
      <w:r>
        <w:t>Wittinghofer</w:t>
      </w:r>
      <w:proofErr w:type="spellEnd"/>
      <w:r>
        <w:t xml:space="preserve"> and Vetter, 2011). Experimental data suggest that </w:t>
      </w:r>
      <w:r>
        <w:lastRenderedPageBreak/>
        <w:t xml:space="preserve">nucleotide binding and hydrolysis is required for protofilament formation rather than for signal transduction (Sirajuddin </w:t>
      </w:r>
      <w:r>
        <w:rPr>
          <w:i/>
        </w:rPr>
        <w:t>et al.</w:t>
      </w:r>
      <w:r>
        <w:t xml:space="preserve">, 2009; </w:t>
      </w:r>
      <w:proofErr w:type="spellStart"/>
      <w:r>
        <w:t>Zent</w:t>
      </w:r>
      <w:proofErr w:type="spellEnd"/>
      <w:r>
        <w:t xml:space="preserve"> </w:t>
      </w:r>
      <w:r>
        <w:rPr>
          <w:i/>
        </w:rPr>
        <w:t>et al.</w:t>
      </w:r>
      <w:r>
        <w:t xml:space="preserve">, 2011; Weems </w:t>
      </w:r>
      <w:r>
        <w:rPr>
          <w:i/>
        </w:rPr>
        <w:t>et al.</w:t>
      </w:r>
      <w:r>
        <w:t xml:space="preserve">, 2014; </w:t>
      </w:r>
      <w:proofErr w:type="spellStart"/>
      <w:r>
        <w:t>Zent</w:t>
      </w:r>
      <w:proofErr w:type="spellEnd"/>
      <w:r>
        <w:t xml:space="preserve"> and </w:t>
      </w:r>
      <w:proofErr w:type="spellStart"/>
      <w:r>
        <w:t>Wittinghofer</w:t>
      </w:r>
      <w:proofErr w:type="spellEnd"/>
      <w:r>
        <w:t xml:space="preserve">, 2014; Weems and McMurray, 2017). However, structures of monomeric </w:t>
      </w:r>
      <w:proofErr w:type="spellStart"/>
      <w:r>
        <w:t>septins</w:t>
      </w:r>
      <w:proofErr w:type="spellEnd"/>
      <w:r>
        <w:t xml:space="preserve"> are not yet available (except the yeast </w:t>
      </w:r>
      <w:proofErr w:type="spellStart"/>
      <w:r>
        <w:t>septin</w:t>
      </w:r>
      <w:proofErr w:type="spellEnd"/>
      <w:r>
        <w:t xml:space="preserve"> Cdc11 (</w:t>
      </w:r>
      <w:proofErr w:type="spellStart"/>
      <w:r>
        <w:t>Brausemann</w:t>
      </w:r>
      <w:proofErr w:type="spellEnd"/>
      <w:r>
        <w:t xml:space="preserve"> </w:t>
      </w:r>
      <w:r>
        <w:rPr>
          <w:i/>
        </w:rPr>
        <w:t>et al.</w:t>
      </w:r>
      <w:r>
        <w:t xml:space="preserve">, 2016)) and all available dimeric or multimeric </w:t>
      </w:r>
      <w:proofErr w:type="spellStart"/>
      <w:r>
        <w:t>septin</w:t>
      </w:r>
      <w:proofErr w:type="spellEnd"/>
      <w:r>
        <w:t xml:space="preserve"> structures are nucleotide bound. These limitations hampered mechanistical studies aiming to solve the question why and especially how </w:t>
      </w:r>
      <w:proofErr w:type="spellStart"/>
      <w:r>
        <w:t>septins</w:t>
      </w:r>
      <w:proofErr w:type="spellEnd"/>
      <w:r>
        <w:t xml:space="preserve"> employ nucleotides in the process of protofilament formation although such a role was firstly postulated already 15 years ago (Sirajuddin </w:t>
      </w:r>
      <w:r>
        <w:rPr>
          <w:i/>
        </w:rPr>
        <w:t>et al.</w:t>
      </w:r>
      <w:r>
        <w:t xml:space="preserve">, 2009). Also, it remains enigmatic if species-specific mechanisms and preferences exist, since the canonical octameric human </w:t>
      </w:r>
      <w:proofErr w:type="spellStart"/>
      <w:r>
        <w:t>septin</w:t>
      </w:r>
      <w:proofErr w:type="spellEnd"/>
      <w:r>
        <w:t xml:space="preserve"> protofilament (SEPT2-6-7-9-9-7-6-2) contains two catalytically inactive subunits (SEPT6) but the corresponding yeast protofilament (Cdc11-12-3-10-10-3-12-11) four (Cdc11 and Cdc3). </w:t>
      </w:r>
    </w:p>
    <w:p w14:paraId="7D107B94" w14:textId="77777777" w:rsidR="000C600A" w:rsidRDefault="00000000">
      <w:pPr>
        <w:spacing w:line="360" w:lineRule="auto"/>
        <w:jc w:val="both"/>
      </w:pPr>
      <w:r>
        <w:t xml:space="preserve">Biochemical processes inaccessible to experimentation can sometimes be approached by in silico methodology. If sufficient structural information about the protein of interest is available, molecular dynamics (MD) simulations (Zheng </w:t>
      </w:r>
      <w:r>
        <w:rPr>
          <w:i/>
        </w:rPr>
        <w:t>et al.</w:t>
      </w:r>
      <w:r>
        <w:t>, 2018) can be employed to study for example substrate translocations through reporters (</w:t>
      </w:r>
      <w:proofErr w:type="spellStart"/>
      <w:r>
        <w:t>Göddeke</w:t>
      </w:r>
      <w:proofErr w:type="spellEnd"/>
      <w:r>
        <w:t xml:space="preserve"> and Schäfer, 2020), conformational dynamics in small GTPases (Morris </w:t>
      </w:r>
      <w:r>
        <w:rPr>
          <w:i/>
        </w:rPr>
        <w:t>et al.</w:t>
      </w:r>
      <w:r>
        <w:t>, 2016) or stability of protein complexes (</w:t>
      </w:r>
      <w:proofErr w:type="spellStart"/>
      <w:r>
        <w:t>Lemkul</w:t>
      </w:r>
      <w:proofErr w:type="spellEnd"/>
      <w:r>
        <w:t xml:space="preserve"> and Bevan, 2010). Previously, we employed MD simulations to determine the inter-subunit affinity in human </w:t>
      </w:r>
      <w:proofErr w:type="spellStart"/>
      <w:r>
        <w:t>septin</w:t>
      </w:r>
      <w:proofErr w:type="spellEnd"/>
      <w:r>
        <w:t xml:space="preserve"> G-interface dimers, making use of available crystal structures (Grupp </w:t>
      </w:r>
      <w:r>
        <w:rPr>
          <w:i/>
        </w:rPr>
        <w:t>et al.</w:t>
      </w:r>
      <w:r>
        <w:t>, 2023). In this experimental setup, the dimer structures and in silico generated apo structures were first relaxed in unbiased simulations. These equilibrated structures were subsequently subjected to steered simulations combined with umbrella sampling (</w:t>
      </w:r>
      <w:proofErr w:type="spellStart"/>
      <w:r>
        <w:t>Kästner</w:t>
      </w:r>
      <w:proofErr w:type="spellEnd"/>
      <w:r>
        <w:t xml:space="preserve">, 2011) to extract eventually differences in free binding energies. </w:t>
      </w:r>
    </w:p>
    <w:p w14:paraId="7C61DED6" w14:textId="77777777" w:rsidR="000C600A" w:rsidRDefault="00000000">
      <w:pPr>
        <w:spacing w:line="360" w:lineRule="auto"/>
        <w:jc w:val="both"/>
      </w:pPr>
      <w:r>
        <w:t xml:space="preserve">By comparing the nucleotide-bound and apo structures after the unbiased simulations, we identified a conserved arginine residue in the SUE-βββ, Arg(βb), which undergoes a major conformational change (“flipping”) upon nucleotide removal in the investigated catalytically active subunits SEPT2 and SEPT7, accompanied by a reduction of the binding affinity between the respective subunits. We suggested that this arginine flipping upon nucleotide removal is a conserved feature and that the nucleotide plays a pivotal role in G-interface stability. Recently, structures of </w:t>
      </w:r>
      <w:r>
        <w:rPr>
          <w:i/>
        </w:rPr>
        <w:t>S. cerevisiae</w:t>
      </w:r>
      <w:r>
        <w:t xml:space="preserve"> </w:t>
      </w:r>
      <w:proofErr w:type="spellStart"/>
      <w:r>
        <w:t>septin</w:t>
      </w:r>
      <w:proofErr w:type="spellEnd"/>
      <w:r>
        <w:t xml:space="preserve"> G-interface dimers became available (Marques da Silva </w:t>
      </w:r>
      <w:r>
        <w:rPr>
          <w:i/>
        </w:rPr>
        <w:t>et al.</w:t>
      </w:r>
      <w:r>
        <w:t xml:space="preserve">, 2023; Grupp </w:t>
      </w:r>
      <w:r>
        <w:rPr>
          <w:i/>
        </w:rPr>
        <w:t>et al.</w:t>
      </w:r>
      <w:r>
        <w:t xml:space="preserve">, 2024), allowing to perform the same MD </w:t>
      </w:r>
      <w:r>
        <w:lastRenderedPageBreak/>
        <w:t xml:space="preserve">simulation pipeline with </w:t>
      </w:r>
      <w:proofErr w:type="spellStart"/>
      <w:r>
        <w:t>septins</w:t>
      </w:r>
      <w:proofErr w:type="spellEnd"/>
      <w:r>
        <w:t xml:space="preserve"> from yeast. We present here an improved structure of a yeast </w:t>
      </w:r>
      <w:proofErr w:type="spellStart"/>
      <w:r>
        <w:t>septin</w:t>
      </w:r>
      <w:proofErr w:type="spellEnd"/>
      <w:r>
        <w:t xml:space="preserve"> tetramer with an anisotropic resolution of 2.04 Å, making an excellent model for MD simulations. Based on these simulations we provide herein evidence that the Arg(βb) plays indeed a species-overlapping pivotal role in G-interface </w:t>
      </w:r>
      <w:proofErr w:type="gramStart"/>
      <w:r>
        <w:t>formation</w:t>
      </w:r>
      <w:proofErr w:type="gramEnd"/>
      <w:r>
        <w:t xml:space="preserve"> and we show experimentally in vitro and in living human- and yeast cells that mutation of Arg(βb) leads to G-interface disruption. </w:t>
      </w:r>
    </w:p>
    <w:p w14:paraId="51AEC488" w14:textId="77777777" w:rsidR="000C600A" w:rsidRDefault="000C600A"/>
    <w:p w14:paraId="38B67AEF" w14:textId="77777777" w:rsidR="000C600A" w:rsidRDefault="000C600A"/>
    <w:p w14:paraId="4B970162" w14:textId="77777777" w:rsidR="000C600A" w:rsidRDefault="00000000">
      <w:pPr>
        <w:spacing w:line="360" w:lineRule="auto"/>
        <w:rPr>
          <w:b/>
        </w:rPr>
      </w:pPr>
      <w:r>
        <w:rPr>
          <w:b/>
        </w:rPr>
        <w:t>Results</w:t>
      </w:r>
    </w:p>
    <w:p w14:paraId="7B1CEF47" w14:textId="77777777" w:rsidR="000C600A" w:rsidRDefault="00000000">
      <w:pPr>
        <w:spacing w:line="360" w:lineRule="auto"/>
        <w:rPr>
          <w:i/>
        </w:rPr>
      </w:pPr>
      <w:r>
        <w:rPr>
          <w:i/>
        </w:rPr>
        <w:t xml:space="preserve">A refined structure of a yeast </w:t>
      </w:r>
      <w:proofErr w:type="spellStart"/>
      <w:r>
        <w:rPr>
          <w:i/>
        </w:rPr>
        <w:t>septin</w:t>
      </w:r>
      <w:proofErr w:type="spellEnd"/>
      <w:r>
        <w:rPr>
          <w:i/>
        </w:rPr>
        <w:t xml:space="preserve"> tetramer</w:t>
      </w:r>
    </w:p>
    <w:p w14:paraId="20147F77" w14:textId="77777777" w:rsidR="000C600A" w:rsidRDefault="00000000">
      <w:pPr>
        <w:spacing w:line="360" w:lineRule="auto"/>
        <w:jc w:val="both"/>
      </w:pPr>
      <w:r>
        <w:t xml:space="preserve">We have previously presented the first structure of a </w:t>
      </w:r>
      <w:proofErr w:type="spellStart"/>
      <w:r>
        <w:t>septin</w:t>
      </w:r>
      <w:proofErr w:type="spellEnd"/>
      <w:r>
        <w:t xml:space="preserve"> hetero-tetramer comprised of the yeast-</w:t>
      </w:r>
      <w:proofErr w:type="spellStart"/>
      <w:r>
        <w:t>septin</w:t>
      </w:r>
      <w:proofErr w:type="spellEnd"/>
      <w:r>
        <w:t xml:space="preserve"> subunits Shs1-Cdc12-Cdc3-Cdc10 (PDB-ID 8PFH) (Grupp </w:t>
      </w:r>
      <w:r>
        <w:rPr>
          <w:i/>
        </w:rPr>
        <w:t>et al.</w:t>
      </w:r>
      <w:r>
        <w:t xml:space="preserve">, 2024). </w:t>
      </w:r>
    </w:p>
    <w:p w14:paraId="4D6AB7B2" w14:textId="77777777" w:rsidR="000C600A" w:rsidRDefault="00000000">
      <w:pPr>
        <w:spacing w:line="360" w:lineRule="auto"/>
        <w:jc w:val="both"/>
      </w:pPr>
      <w:r>
        <w:t>Since this complex contained GDP in all subunits, we attempted to crystallize the same complex in the transition state conformation. Inorganic MgF</w:t>
      </w:r>
      <w:r>
        <w:rPr>
          <w:vertAlign w:val="subscript"/>
        </w:rPr>
        <w:t>3</w:t>
      </w:r>
      <w:r>
        <w:rPr>
          <w:vertAlign w:val="superscript"/>
        </w:rPr>
        <w:t>-</w:t>
      </w:r>
      <w:r>
        <w:t xml:space="preserve"> (forming spontaneously in a Mg</w:t>
      </w:r>
      <w:r>
        <w:rPr>
          <w:vertAlign w:val="superscript"/>
        </w:rPr>
        <w:t>2+</w:t>
      </w:r>
      <w:r>
        <w:t xml:space="preserve"> containing buffer from supplemented </w:t>
      </w:r>
      <w:proofErr w:type="spellStart"/>
      <w:r>
        <w:t>NaF</w:t>
      </w:r>
      <w:proofErr w:type="spellEnd"/>
      <w:r>
        <w:t>) should occupy the γ-phosphate binding site and a GDP: MgF</w:t>
      </w:r>
      <w:r>
        <w:rPr>
          <w:vertAlign w:val="subscript"/>
        </w:rPr>
        <w:t>3</w:t>
      </w:r>
      <w:r>
        <w:rPr>
          <w:vertAlign w:val="superscript"/>
        </w:rPr>
        <w:t>-</w:t>
      </w:r>
      <w:r>
        <w:t xml:space="preserve"> preparation of a small GTPase should thus mimic the transition state of the GTPase reaction (</w:t>
      </w:r>
      <w:proofErr w:type="spellStart"/>
      <w:r>
        <w:t>Jin</w:t>
      </w:r>
      <w:proofErr w:type="spellEnd"/>
      <w:r>
        <w:t xml:space="preserve"> </w:t>
      </w:r>
      <w:r>
        <w:rPr>
          <w:i/>
        </w:rPr>
        <w:t>et al.</w:t>
      </w:r>
      <w:r>
        <w:t xml:space="preserve">, 2017). We crystallized the </w:t>
      </w:r>
      <w:proofErr w:type="gramStart"/>
      <w:r>
        <w:t>hetero-tetramer</w:t>
      </w:r>
      <w:proofErr w:type="gramEnd"/>
      <w:r>
        <w:t xml:space="preserve"> again in the presence of Mg</w:t>
      </w:r>
      <w:r>
        <w:rPr>
          <w:vertAlign w:val="superscript"/>
        </w:rPr>
        <w:t>2+</w:t>
      </w:r>
      <w:r>
        <w:t xml:space="preserve"> and </w:t>
      </w:r>
      <w:proofErr w:type="spellStart"/>
      <w:r>
        <w:t>NaF</w:t>
      </w:r>
      <w:proofErr w:type="spellEnd"/>
      <w:r>
        <w:t>. Diffracting crystals belonged to the space group P-1-2</w:t>
      </w:r>
      <w:r>
        <w:rPr>
          <w:vertAlign w:val="subscript"/>
        </w:rPr>
        <w:t>1</w:t>
      </w:r>
      <w:r>
        <w:t>-1 and contained the tetramer Shs1-Cdc12-Cdc3-Cdc10 in the asymmetric unit (</w:t>
      </w:r>
      <w:r w:rsidRPr="00666444">
        <w:t>Fig. 1A</w:t>
      </w:r>
      <w:r>
        <w:t>). As in our previous crystallization approach, a filament-like structure forming atypic Cdc10-Shs1 interfaces was present in the crystal. The resulting structure did eventually not reveal the desired transition state conformation but was again in the GDP conformation in all subunits (</w:t>
      </w:r>
      <w:r w:rsidRPr="00666444">
        <w:t>Fig. 1B</w:t>
      </w:r>
      <w:r>
        <w:t>). However, the overall resolution was significantly improved compared to 8PFH with anisotropic diffraction limits of 2.017 Å, 3.018 Å and 2.645 Å as determined by STARANISO (</w:t>
      </w:r>
      <w:proofErr w:type="spellStart"/>
      <w:r>
        <w:t>Vonrhein</w:t>
      </w:r>
      <w:proofErr w:type="spellEnd"/>
      <w:r>
        <w:t xml:space="preserve"> </w:t>
      </w:r>
      <w:r>
        <w:rPr>
          <w:i/>
        </w:rPr>
        <w:t>et al.</w:t>
      </w:r>
      <w:r>
        <w:t>, 2018) (</w:t>
      </w:r>
      <w:r>
        <w:rPr>
          <w:highlight w:val="green"/>
        </w:rPr>
        <w:t>Suppl. Table 1</w:t>
      </w:r>
      <w:r>
        <w:t xml:space="preserve">).   </w:t>
      </w:r>
    </w:p>
    <w:p w14:paraId="1215FBBD" w14:textId="77777777" w:rsidR="000C600A" w:rsidRDefault="00000000">
      <w:pPr>
        <w:spacing w:line="360" w:lineRule="auto"/>
        <w:jc w:val="both"/>
      </w:pPr>
      <w:r>
        <w:t>The overall fold of this and our previous structure is consequently very similar, with a Cα-RMSD of 0.975 Å. In the nucleotide binding pocket of Cdc3 a coordinated Mg</w:t>
      </w:r>
      <w:r>
        <w:rPr>
          <w:vertAlign w:val="superscript"/>
        </w:rPr>
        <w:t>2+</w:t>
      </w:r>
      <w:r>
        <w:t xml:space="preserve"> ion could be resolved in the same position as the published Cdc3-Cdc10 dimer (PDB-ID: 8SGD) and the Cdc3-Cdc10-Cdc10-Cdc3 tetramer (PDB-ID: 8FWP) (Marques da Silva </w:t>
      </w:r>
      <w:r>
        <w:rPr>
          <w:i/>
        </w:rPr>
        <w:t>et al.</w:t>
      </w:r>
      <w:r>
        <w:t>, 2023) (</w:t>
      </w:r>
      <w:r w:rsidRPr="00666444">
        <w:t>Fig 1C.).</w:t>
      </w:r>
      <w:r>
        <w:t xml:space="preserve"> </w:t>
      </w:r>
    </w:p>
    <w:p w14:paraId="70672D7E" w14:textId="77777777" w:rsidR="000C600A" w:rsidRDefault="000C600A">
      <w:pPr>
        <w:spacing w:line="360" w:lineRule="auto"/>
        <w:jc w:val="both"/>
      </w:pPr>
    </w:p>
    <w:p w14:paraId="41491E94" w14:textId="77777777" w:rsidR="000C600A" w:rsidRDefault="00000000">
      <w:pPr>
        <w:spacing w:line="360" w:lineRule="auto"/>
        <w:rPr>
          <w:i/>
        </w:rPr>
      </w:pPr>
      <w:r>
        <w:rPr>
          <w:i/>
        </w:rPr>
        <w:t xml:space="preserve">MD simulations       </w:t>
      </w:r>
    </w:p>
    <w:p w14:paraId="2D26EB82" w14:textId="77777777" w:rsidR="000C600A" w:rsidRDefault="00000000">
      <w:pPr>
        <w:spacing w:line="360" w:lineRule="auto"/>
        <w:jc w:val="both"/>
      </w:pPr>
      <w:r>
        <w:t xml:space="preserve">We investigated human </w:t>
      </w:r>
      <w:proofErr w:type="spellStart"/>
      <w:r>
        <w:t>septin</w:t>
      </w:r>
      <w:proofErr w:type="spellEnd"/>
      <w:r>
        <w:t xml:space="preserve"> G-interfaces using molecular dynamics (MD) simulations in previous work and determined the inter-subunit affinities in dependence of the respective </w:t>
      </w:r>
      <w:r>
        <w:lastRenderedPageBreak/>
        <w:t xml:space="preserve">nucleotide (Grupp </w:t>
      </w:r>
      <w:r>
        <w:rPr>
          <w:i/>
        </w:rPr>
        <w:t>et al.</w:t>
      </w:r>
      <w:r>
        <w:t xml:space="preserve">, 2023). We have identified a highly conserved Arg residue in the </w:t>
      </w:r>
      <w:proofErr w:type="spellStart"/>
      <w:r>
        <w:t>septin</w:t>
      </w:r>
      <w:proofErr w:type="spellEnd"/>
      <w:r>
        <w:t xml:space="preserve"> unique element, Arg(βb), as an essential element for G-interface integrity. Arg(βb) forms a triangular hydrogen bond network with the conserved residues Tyr(βb) and Asp(G4), which altogether coordinate the guanine ring of the nucleotide, and with a Glu(α4) residue from the neighboring subunit. This network is also present in yeast </w:t>
      </w:r>
      <w:proofErr w:type="spellStart"/>
      <w:r>
        <w:t>septins</w:t>
      </w:r>
      <w:proofErr w:type="spellEnd"/>
      <w:r>
        <w:t xml:space="preserve"> (</w:t>
      </w:r>
      <w:r w:rsidRPr="00666444">
        <w:t>Fig. 1D</w:t>
      </w:r>
      <w:r>
        <w:t xml:space="preserve">). In catalytically active human SEPT7 and SEPT2 Arg(βb) flips by 90° upon nucleotide removal, thereby disrupting the entire hydrogen bond network, suggesting that Arg(βb) plays a pivotal role in G-interface integrity (Grupp </w:t>
      </w:r>
      <w:r>
        <w:rPr>
          <w:i/>
        </w:rPr>
        <w:t>et al.</w:t>
      </w:r>
      <w:r>
        <w:t xml:space="preserve">, 2023). </w:t>
      </w:r>
    </w:p>
    <w:p w14:paraId="4925A89A" w14:textId="77777777" w:rsidR="000C600A" w:rsidRDefault="00000000">
      <w:pPr>
        <w:spacing w:line="360" w:lineRule="auto"/>
        <w:jc w:val="both"/>
      </w:pPr>
      <w:r>
        <w:t xml:space="preserve">Whether this feature is unique for human </w:t>
      </w:r>
      <w:proofErr w:type="spellStart"/>
      <w:r>
        <w:t>septins</w:t>
      </w:r>
      <w:proofErr w:type="spellEnd"/>
      <w:r>
        <w:t xml:space="preserve"> or a common mechanism across species could until now not be answered due to the lack of structural information of </w:t>
      </w:r>
      <w:proofErr w:type="spellStart"/>
      <w:r>
        <w:t>septin</w:t>
      </w:r>
      <w:proofErr w:type="spellEnd"/>
      <w:r>
        <w:t xml:space="preserve"> G-interfaces of other species. </w:t>
      </w:r>
    </w:p>
    <w:p w14:paraId="44C1F5A2" w14:textId="77777777" w:rsidR="000C600A" w:rsidRDefault="00000000">
      <w:pPr>
        <w:spacing w:line="360" w:lineRule="auto"/>
        <w:jc w:val="both"/>
      </w:pPr>
      <w:r>
        <w:t xml:space="preserve">Our herein presented refined structure of a yeast </w:t>
      </w:r>
      <w:proofErr w:type="spellStart"/>
      <w:r>
        <w:t>septin</w:t>
      </w:r>
      <w:proofErr w:type="spellEnd"/>
      <w:r>
        <w:t xml:space="preserve"> provided us with a crystal structure containing the yeast </w:t>
      </w:r>
      <w:proofErr w:type="spellStart"/>
      <w:r>
        <w:t>septin</w:t>
      </w:r>
      <w:proofErr w:type="spellEnd"/>
      <w:r>
        <w:t xml:space="preserve"> G-interface dimers with a favorable resolution to perform MD simulations, namely Cdc3:Mg</w:t>
      </w:r>
      <w:r>
        <w:rPr>
          <w:vertAlign w:val="superscript"/>
        </w:rPr>
        <w:t>2+</w:t>
      </w:r>
      <w:r>
        <w:t>/GDP-Cdc</w:t>
      </w:r>
      <w:proofErr w:type="gramStart"/>
      <w:r>
        <w:t>10:GDP</w:t>
      </w:r>
      <w:proofErr w:type="gramEnd"/>
      <w:r>
        <w:t xml:space="preserve"> and Shs1:GDP-Cdc12:GDP. We generated coordinate files for these dimers in their nucleotide bound conformation and removed subsequently the nucleotide in silico to generate the apo state (Cdc</w:t>
      </w:r>
      <w:proofErr w:type="gramStart"/>
      <w:r>
        <w:t>3:apo</w:t>
      </w:r>
      <w:proofErr w:type="gramEnd"/>
      <w:r>
        <w:t xml:space="preserve">-Cdc10:apo, Shs1:apo-Cdc12:apo). Additionally, we created both dimer sets (with and without nucleotide) with Arg(βb) mutated to alanine. The overall setup of the </w:t>
      </w:r>
      <w:proofErr w:type="gramStart"/>
      <w:r>
        <w:t>in silico</w:t>
      </w:r>
      <w:proofErr w:type="gramEnd"/>
      <w:r>
        <w:t xml:space="preserve"> investigation follows the concept of our previous work. Each dimer was first relaxed in five independent unbiased simulations and backbone RMSD-based clustering was performed (see Materials and Methods section for details) (Daura </w:t>
      </w:r>
      <w:r>
        <w:rPr>
          <w:i/>
        </w:rPr>
        <w:t>et al.</w:t>
      </w:r>
      <w:r>
        <w:t xml:space="preserve">, 1998). Compared to our previous work we extended the simulation time from 500 ns to 700 ns. The central structure in the largest cluster for each system was first examined with respect to structural alterations and subsequently employed as equilibrated input structure for COM-pulling simulations and umbrella sampling. </w:t>
      </w:r>
    </w:p>
    <w:p w14:paraId="5FF931F3" w14:textId="77777777" w:rsidR="000C600A" w:rsidRDefault="00000000">
      <w:pPr>
        <w:spacing w:line="360" w:lineRule="auto"/>
        <w:jc w:val="both"/>
      </w:pPr>
      <w:r>
        <w:t xml:space="preserve">Structural integrity of the employed </w:t>
      </w:r>
      <w:proofErr w:type="spellStart"/>
      <w:r>
        <w:t>septin</w:t>
      </w:r>
      <w:proofErr w:type="spellEnd"/>
      <w:r>
        <w:t xml:space="preserve"> pairs was maintained after the unbiased simulations with the Cα root-mean-square deviation (Cα-RMSD) of the relaxed structures compared to the input structures not exceeding 0.6 nm with the largest deviations located as expected in the flexible switch loops (Suppl. Fig S1.).</w:t>
      </w:r>
    </w:p>
    <w:p w14:paraId="75FE18E8" w14:textId="77777777" w:rsidR="000C600A" w:rsidRDefault="00000000">
      <w:pPr>
        <w:spacing w:line="360" w:lineRule="auto"/>
        <w:jc w:val="both"/>
      </w:pPr>
      <w:r>
        <w:t xml:space="preserve">The following descriptions of structural alterations reflect the scenario in the respective central clustered frame.  </w:t>
      </w:r>
    </w:p>
    <w:p w14:paraId="300E701F" w14:textId="3DB1FAAC" w:rsidR="000C600A" w:rsidRDefault="00000000">
      <w:pPr>
        <w:spacing w:line="360" w:lineRule="auto"/>
        <w:jc w:val="both"/>
      </w:pPr>
      <w:r>
        <w:lastRenderedPageBreak/>
        <w:t>In the unmodified Cdc3-Cdc10 and Shs1-Cdc12 dimers the hydrogen bond network around Arg(βb) remained intact (Suppl. Fig S2</w:t>
      </w:r>
      <w:r w:rsidR="00CF79BA">
        <w:t>A and S3A</w:t>
      </w:r>
      <w:r>
        <w:t xml:space="preserve">).  </w:t>
      </w:r>
    </w:p>
    <w:p w14:paraId="34F02835" w14:textId="600A805D" w:rsidR="000C600A" w:rsidRDefault="00000000">
      <w:pPr>
        <w:spacing w:line="360" w:lineRule="auto"/>
        <w:jc w:val="both"/>
      </w:pPr>
      <w:r>
        <w:t>Upon removal of the nucleotides from the Cdc3-Cdc10 dimer, the hydrogen bond network becomes disturbed, going along with flipping of the Arg(βb) in both subunits (</w:t>
      </w:r>
      <w:r w:rsidRPr="00322DD2">
        <w:t>Fig 2A</w:t>
      </w:r>
      <w:r w:rsidR="00603E15">
        <w:t>, Suppl. Fig.</w:t>
      </w:r>
      <w:r w:rsidR="00CF79BA">
        <w:t>S2B</w:t>
      </w:r>
      <w:r>
        <w:t>). Additionally, the hydrogen bonds connecting the βb and βc strands in the Cdc10-SUE become distorted. This results in partial dissociation of the Cdc10-</w:t>
      </w:r>
      <w:proofErr w:type="gramStart"/>
      <w:r>
        <w:t>SUE(</w:t>
      </w:r>
      <w:proofErr w:type="gramEnd"/>
      <w:r>
        <w:t xml:space="preserve">βββ) from the Cdc3-SUE, indicated by the altered positioning of the </w:t>
      </w:r>
      <w:proofErr w:type="spellStart"/>
      <w:r>
        <w:t>Trp</w:t>
      </w:r>
      <w:proofErr w:type="spellEnd"/>
      <w:r>
        <w:t>(βb) from Cdc10 (</w:t>
      </w:r>
      <w:r w:rsidRPr="00322DD2">
        <w:t>Fig. 2B</w:t>
      </w:r>
      <w:r>
        <w:t xml:space="preserve">). </w:t>
      </w:r>
    </w:p>
    <w:p w14:paraId="7C435603" w14:textId="3035F866" w:rsidR="000C600A" w:rsidRDefault="00000000">
      <w:pPr>
        <w:spacing w:line="360" w:lineRule="auto"/>
        <w:jc w:val="both"/>
      </w:pPr>
      <w:r>
        <w:t>Introduction of the Arg(βb)-Ala mutation in both subunits in the nucleotide bound state leaves the Asp(G4) hydrogen binding to the guanine ring intact.  Otherwise, as in the apo form, the hydrogen bonds connecting the βb and βc strands in the Cdc10-SUE become disturbed, resulting in partial dissociation of the Cdc10-</w:t>
      </w:r>
      <w:proofErr w:type="gramStart"/>
      <w:r>
        <w:t>SUE(</w:t>
      </w:r>
      <w:proofErr w:type="gramEnd"/>
      <w:r>
        <w:t>βββ) from the Cdc3-SUE (</w:t>
      </w:r>
      <w:r w:rsidR="00666444" w:rsidRPr="00CF79BA">
        <w:t>Suppl. Fig S</w:t>
      </w:r>
      <w:r w:rsidR="00603E15">
        <w:t>2C</w:t>
      </w:r>
      <w:r w:rsidR="00666444">
        <w:t>.</w:t>
      </w:r>
      <w:r>
        <w:t xml:space="preserve">). </w:t>
      </w:r>
    </w:p>
    <w:p w14:paraId="3E47AC59" w14:textId="00E69AB3" w:rsidR="000C600A" w:rsidRDefault="00000000">
      <w:pPr>
        <w:tabs>
          <w:tab w:val="left" w:pos="465"/>
        </w:tabs>
        <w:spacing w:line="360" w:lineRule="auto"/>
        <w:jc w:val="both"/>
      </w:pPr>
      <w:r>
        <w:t>Removal of the nucleotide from the Shs1-Cdc12 dimer resulted only in a partial disruption of the hydrogen network, going along with a slight deformation but no Arg(βb)- flipping (</w:t>
      </w:r>
      <w:r w:rsidRPr="00322DD2">
        <w:t>Fig. 2</w:t>
      </w:r>
      <w:r w:rsidR="00666444" w:rsidRPr="00322DD2">
        <w:t>C</w:t>
      </w:r>
      <w:r w:rsidR="00CF79BA">
        <w:t>, Suppl. Fig. S3B</w:t>
      </w:r>
      <w:r>
        <w:t>). However, larger conformational displacements within the SUE can be observed since the Cdc12-</w:t>
      </w:r>
      <w:proofErr w:type="gramStart"/>
      <w:r>
        <w:t>SUE(</w:t>
      </w:r>
      <w:proofErr w:type="gramEnd"/>
      <w:r>
        <w:t>βββ) partially dissociates from Shs1. Furthermore, the two Tyr(βb) residues of both subunits become tilted towards each other (</w:t>
      </w:r>
      <w:r w:rsidRPr="00322DD2">
        <w:t>Fig 2</w:t>
      </w:r>
      <w:r w:rsidR="00666444" w:rsidRPr="00322DD2">
        <w:t>D</w:t>
      </w:r>
      <w:r>
        <w:t xml:space="preserve">). Introduction of the Arg(βb)-Ala mutation in both subunits leads additionally to a disruption of the contact between the conserved </w:t>
      </w:r>
      <w:proofErr w:type="spellStart"/>
      <w:r>
        <w:t>Trp</w:t>
      </w:r>
      <w:proofErr w:type="spellEnd"/>
      <w:r>
        <w:t>(βb) residues of both subunits (</w:t>
      </w:r>
      <w:proofErr w:type="spellStart"/>
      <w:r w:rsidR="00666444" w:rsidRPr="00FB1575">
        <w:t>Suppl.F</w:t>
      </w:r>
      <w:r w:rsidRPr="00FB1575">
        <w:t>ig</w:t>
      </w:r>
      <w:proofErr w:type="spellEnd"/>
      <w:r w:rsidR="00FB1575" w:rsidRPr="00FB1575">
        <w:t xml:space="preserve"> S3C</w:t>
      </w:r>
      <w:r>
        <w:t>).</w:t>
      </w:r>
    </w:p>
    <w:p w14:paraId="5EABA487" w14:textId="527D04D4" w:rsidR="000C600A" w:rsidRDefault="00000000">
      <w:pPr>
        <w:tabs>
          <w:tab w:val="left" w:pos="465"/>
        </w:tabs>
        <w:spacing w:line="360" w:lineRule="auto"/>
        <w:jc w:val="both"/>
      </w:pPr>
      <w:r>
        <w:t>For both Cdc3-Cdc10 and Shs1-Cdc12 dimers we tested also the Arg(βb)-Ala mutation in the apo form. No further effects compared to the Arg(βb)-Ala system containing nucleotide could be observed</w:t>
      </w:r>
      <w:r w:rsidR="00CF79BA">
        <w:t xml:space="preserve"> (Suppl. Fig. S2D and S3D)</w:t>
      </w:r>
      <w:r>
        <w:t xml:space="preserve">. </w:t>
      </w:r>
    </w:p>
    <w:p w14:paraId="79D3B2D8" w14:textId="642E9775" w:rsidR="000C600A" w:rsidRDefault="00000000">
      <w:pPr>
        <w:spacing w:line="360" w:lineRule="auto"/>
        <w:jc w:val="both"/>
      </w:pPr>
      <w:r>
        <w:t>Do determine inter-subunit affinities, the relaxed input structures from the unbiased simulations were aligned along the filament axis and protein-protein binding free energies were determined by COM-pulling and umbrella sampling (</w:t>
      </w:r>
      <w:proofErr w:type="spellStart"/>
      <w:r>
        <w:t>Lemkul</w:t>
      </w:r>
      <w:proofErr w:type="spellEnd"/>
      <w:r>
        <w:t xml:space="preserve"> and Bevan, 2010; Patel and </w:t>
      </w:r>
      <w:proofErr w:type="spellStart"/>
      <w:r>
        <w:t>Ytreberg</w:t>
      </w:r>
      <w:proofErr w:type="spellEnd"/>
      <w:r>
        <w:t xml:space="preserve">, 2018; Grupp </w:t>
      </w:r>
      <w:r>
        <w:rPr>
          <w:i/>
        </w:rPr>
        <w:t>et al.</w:t>
      </w:r>
      <w:r>
        <w:t xml:space="preserve">, 2023). Briefly, different conformations along the reaction coordinate were chosen from the COM-pulling simulations for Cα-COM separation distances between </w:t>
      </w:r>
      <w:r w:rsidR="000D54EF" w:rsidRPr="000D54EF">
        <w:t>3.</w:t>
      </w:r>
      <w:r w:rsidR="000D54EF">
        <w:t>5</w:t>
      </w:r>
      <w:r w:rsidR="000D54EF" w:rsidRPr="000D54EF">
        <w:t xml:space="preserve"> </w:t>
      </w:r>
      <w:r w:rsidRPr="000D54EF">
        <w:t>nm</w:t>
      </w:r>
      <w:r>
        <w:t xml:space="preserve"> (starting conformation) and </w:t>
      </w:r>
      <w:r w:rsidR="00F12B10">
        <w:t>8.5</w:t>
      </w:r>
      <w:r w:rsidRPr="00F12B10">
        <w:t xml:space="preserve"> nm</w:t>
      </w:r>
      <w:r>
        <w:t>. Binding free energies (∆G) for the different dimers were calculated by the weighted histogram analysis method (</w:t>
      </w:r>
      <w:r>
        <w:rPr>
          <w:highlight w:val="green"/>
        </w:rPr>
        <w:t>Table1)</w:t>
      </w:r>
      <w:r>
        <w:t xml:space="preserve">. The corresponding free energy profiles are shown in Suppl. Fig. </w:t>
      </w:r>
      <w:r w:rsidRPr="0048176C">
        <w:t>S</w:t>
      </w:r>
      <w:r w:rsidR="0048176C">
        <w:t>4</w:t>
      </w:r>
      <w:r>
        <w:t>. Binding free energy in the Cdc12-Shs1 G-interface was increased by approximately 50 kJ*mol</w:t>
      </w:r>
      <w:r>
        <w:rPr>
          <w:vertAlign w:val="superscript"/>
        </w:rPr>
        <w:t>-1</w:t>
      </w:r>
      <w:r>
        <w:t xml:space="preserve"> upon nucleotide removal, introduction of the Arg(βb)-Ala mutation or both. In the Cdc10-Cdc3 dimer, ∆G </w:t>
      </w:r>
      <w:r>
        <w:lastRenderedPageBreak/>
        <w:t>became increased by approximately 30 kJ*mol</w:t>
      </w:r>
      <w:r>
        <w:rPr>
          <w:vertAlign w:val="superscript"/>
        </w:rPr>
        <w:t>-1</w:t>
      </w:r>
      <w:r>
        <w:t xml:space="preserve"> upon nucleotide removal and by approximately 50 kJ*mol</w:t>
      </w:r>
      <w:r>
        <w:rPr>
          <w:vertAlign w:val="superscript"/>
        </w:rPr>
        <w:t>-1</w:t>
      </w:r>
      <w:r>
        <w:t xml:space="preserve"> upon combined introduction of the Arg(βb)-Ala mutation and nucleotide removal. Introduction of the mutation alone did not result in an increase of ∆G. Consequently, nucleotide removal leads to a destabilization of the yeast </w:t>
      </w:r>
      <w:proofErr w:type="spellStart"/>
      <w:r>
        <w:t>septin</w:t>
      </w:r>
      <w:proofErr w:type="spellEnd"/>
      <w:r>
        <w:t xml:space="preserve"> interfaces, reflected by the increased ∆G, concordant with our observations for human </w:t>
      </w:r>
      <w:proofErr w:type="spellStart"/>
      <w:r>
        <w:t>septins</w:t>
      </w:r>
      <w:proofErr w:type="spellEnd"/>
      <w:r>
        <w:t xml:space="preserve"> (Grupp </w:t>
      </w:r>
      <w:r>
        <w:rPr>
          <w:i/>
        </w:rPr>
        <w:t>et al.</w:t>
      </w:r>
      <w:r>
        <w:t xml:space="preserve">, 2023).  </w:t>
      </w:r>
    </w:p>
    <w:p w14:paraId="75E603D9" w14:textId="77777777" w:rsidR="000C600A" w:rsidRDefault="00000000">
      <w:pPr>
        <w:spacing w:line="360" w:lineRule="auto"/>
      </w:pPr>
      <w:r>
        <w:t xml:space="preserve">In the following we present our efforts to investigate the role of Arg(βb) in vivo and in vitro both in human and yeast </w:t>
      </w:r>
      <w:proofErr w:type="spellStart"/>
      <w:r>
        <w:t>septins</w:t>
      </w:r>
      <w:proofErr w:type="spellEnd"/>
      <w:r>
        <w:t xml:space="preserve">. </w:t>
      </w:r>
    </w:p>
    <w:p w14:paraId="142EA2DB" w14:textId="77777777" w:rsidR="000C600A" w:rsidRDefault="000C600A">
      <w:pPr>
        <w:spacing w:line="360" w:lineRule="auto"/>
      </w:pPr>
    </w:p>
    <w:p w14:paraId="5C2A6B52" w14:textId="77777777" w:rsidR="000C600A" w:rsidRDefault="00000000">
      <w:pPr>
        <w:spacing w:line="360" w:lineRule="auto"/>
        <w:rPr>
          <w:i/>
        </w:rPr>
      </w:pPr>
      <w:r>
        <w:rPr>
          <w:i/>
        </w:rPr>
        <w:t>Arg(βb) is essential for filament incorporation of SEPT9 and SEPT9 mediated cell migration</w:t>
      </w:r>
    </w:p>
    <w:p w14:paraId="626418BB" w14:textId="77777777" w:rsidR="000C600A" w:rsidRDefault="00000000">
      <w:pPr>
        <w:spacing w:line="360" w:lineRule="auto"/>
        <w:jc w:val="both"/>
      </w:pPr>
      <w:r>
        <w:t xml:space="preserve">We have recently presented a SEPT9 knockout (ko) cell line which was created in human dermal fibroblasts (Hecht </w:t>
      </w:r>
      <w:r>
        <w:rPr>
          <w:i/>
        </w:rPr>
        <w:t>et al.</w:t>
      </w:r>
      <w:r>
        <w:t xml:space="preserve">, 2024). This cell line represents an excellent tool to study the role of Arg(βb) (Arg516 in SEPT9) in the context of G-interface formation between SEPT7 and SEPT9 inside the living cell. </w:t>
      </w:r>
    </w:p>
    <w:p w14:paraId="3515A603" w14:textId="77777777" w:rsidR="000C600A" w:rsidRDefault="00000000">
      <w:pPr>
        <w:spacing w:line="360" w:lineRule="auto"/>
        <w:jc w:val="both"/>
      </w:pPr>
      <w:r>
        <w:t xml:space="preserve">We generated an EGFP-SEPT9(R516A) construct and additionally EGFP-SEPT9(W520A). Trp520 in SEPT9 is an absolute conserved residue in the SUE that is essential for G-interface integrity. Mutating this </w:t>
      </w:r>
      <w:proofErr w:type="spellStart"/>
      <w:r>
        <w:t>Trp</w:t>
      </w:r>
      <w:proofErr w:type="spellEnd"/>
      <w:r>
        <w:t xml:space="preserve"> to Ala should disrupt the SEPT9-SEPT7 G interface as shown for SEPT2 (Sirajuddin </w:t>
      </w:r>
      <w:r>
        <w:rPr>
          <w:i/>
        </w:rPr>
        <w:t>et al.</w:t>
      </w:r>
      <w:r>
        <w:t xml:space="preserve">, 2007). </w:t>
      </w:r>
    </w:p>
    <w:p w14:paraId="1A8E8008" w14:textId="30AC632E" w:rsidR="000C600A" w:rsidRDefault="00000000">
      <w:pPr>
        <w:spacing w:line="360" w:lineRule="auto"/>
        <w:jc w:val="both"/>
      </w:pPr>
      <w:r>
        <w:t xml:space="preserve">Both mutations as well as the wildtype EGFP-SEPT9 were transfected into the ko cell line and stably expressing cell lines were selected. Subsequently, we monitored the intracellular localization of the EGFP-SEPT9 constructs by fluorescence microscopy with the endogenous </w:t>
      </w:r>
      <w:proofErr w:type="spellStart"/>
      <w:r>
        <w:t>septin</w:t>
      </w:r>
      <w:proofErr w:type="spellEnd"/>
      <w:r>
        <w:t xml:space="preserve"> cytoskeleton stained with an anti-SEPT8 antibody and actin stained with Phalloidin. EGFP-SEPT9 was incorporated readily into endogenous </w:t>
      </w:r>
      <w:proofErr w:type="spellStart"/>
      <w:r>
        <w:t>septin</w:t>
      </w:r>
      <w:proofErr w:type="spellEnd"/>
      <w:r>
        <w:t xml:space="preserve"> fibers, displaying the typical phenotype of wild-type </w:t>
      </w:r>
      <w:proofErr w:type="spellStart"/>
      <w:r>
        <w:t>septin</w:t>
      </w:r>
      <w:proofErr w:type="spellEnd"/>
      <w:r>
        <w:t xml:space="preserve"> filaments including partly colocalization with actin stress fibers as described by us and others (</w:t>
      </w:r>
      <w:proofErr w:type="spellStart"/>
      <w:r>
        <w:t>Dolat</w:t>
      </w:r>
      <w:proofErr w:type="spellEnd"/>
      <w:r>
        <w:t xml:space="preserve"> </w:t>
      </w:r>
      <w:r>
        <w:rPr>
          <w:i/>
        </w:rPr>
        <w:t>et al.</w:t>
      </w:r>
      <w:r>
        <w:t xml:space="preserve">, 2014; </w:t>
      </w:r>
      <w:proofErr w:type="spellStart"/>
      <w:r>
        <w:t>Spiliotis</w:t>
      </w:r>
      <w:proofErr w:type="spellEnd"/>
      <w:r>
        <w:t xml:space="preserve"> </w:t>
      </w:r>
      <w:r>
        <w:rPr>
          <w:i/>
        </w:rPr>
        <w:t>et al.</w:t>
      </w:r>
      <w:r>
        <w:t xml:space="preserve">, 2016; Hecht </w:t>
      </w:r>
      <w:r>
        <w:rPr>
          <w:i/>
        </w:rPr>
        <w:t>et al.</w:t>
      </w:r>
      <w:r>
        <w:t>, 2024) (</w:t>
      </w:r>
      <w:r>
        <w:rPr>
          <w:highlight w:val="green"/>
        </w:rPr>
        <w:t>Fig. 3A</w:t>
      </w:r>
      <w:r>
        <w:t xml:space="preserve">: </w:t>
      </w:r>
      <w:r>
        <w:rPr>
          <w:highlight w:val="green"/>
        </w:rPr>
        <w:t>4 panels, with Phalloidin</w:t>
      </w:r>
      <w:r>
        <w:t xml:space="preserve">). The Trp520 mutant did only weakly if at all align with the endogenous </w:t>
      </w:r>
      <w:proofErr w:type="spellStart"/>
      <w:r>
        <w:t>septin</w:t>
      </w:r>
      <w:proofErr w:type="spellEnd"/>
      <w:r>
        <w:t xml:space="preserve"> cytoskeleton, meeting our expectations (Suppl. Fig S</w:t>
      </w:r>
      <w:r w:rsidR="0048176C">
        <w:t>5</w:t>
      </w:r>
      <w:r>
        <w:t xml:space="preserve">.) We found the same result for cells expressing EGFP-SEPT9(R516A). Localization of this construct was more diffuse within the cell or in filament-like formations concentrated at the plasma membrane and no obvious colocalization with the endogenous </w:t>
      </w:r>
      <w:proofErr w:type="spellStart"/>
      <w:r>
        <w:t>septin</w:t>
      </w:r>
      <w:proofErr w:type="spellEnd"/>
      <w:r>
        <w:t xml:space="preserve"> cytoskeleton was detectable (</w:t>
      </w:r>
      <w:r>
        <w:rPr>
          <w:highlight w:val="green"/>
        </w:rPr>
        <w:t xml:space="preserve">Fig. 3B: 4 panels, </w:t>
      </w:r>
      <w:proofErr w:type="spellStart"/>
      <w:r>
        <w:rPr>
          <w:highlight w:val="green"/>
        </w:rPr>
        <w:t>wie</w:t>
      </w:r>
      <w:proofErr w:type="spellEnd"/>
      <w:r>
        <w:rPr>
          <w:highlight w:val="green"/>
        </w:rPr>
        <w:t xml:space="preserve"> </w:t>
      </w:r>
      <w:proofErr w:type="spellStart"/>
      <w:r>
        <w:rPr>
          <w:highlight w:val="green"/>
        </w:rPr>
        <w:t>oben</w:t>
      </w:r>
      <w:proofErr w:type="spellEnd"/>
      <w:r>
        <w:rPr>
          <w:highlight w:val="green"/>
        </w:rPr>
        <w:t>)</w:t>
      </w:r>
      <w:r>
        <w:t>. Western blot analysis with an anti-SEPT9 antibody of extracts from 1306 WT cells, SEPT9 ko cells and cells expressing EGFP-SEPT9 or EGFP-</w:t>
      </w:r>
      <w:r>
        <w:lastRenderedPageBreak/>
        <w:t>SEPT9(R516A) confirms degradation products for EGFP-SEPT9(R516A) (Suppl. Fig S</w:t>
      </w:r>
      <w:r w:rsidR="0048176C">
        <w:t>6</w:t>
      </w:r>
      <w:r>
        <w:t xml:space="preserve">), suggesting that the not-incorporated protein becomes unstable or degraded inside the cell or during extraction. SEPT9 including the mutation can be readily expressed in vitro (see below) and we do thus no anticipate an overall decreased stability right after folding. </w:t>
      </w:r>
    </w:p>
    <w:p w14:paraId="67D27C8F" w14:textId="77777777" w:rsidR="000C600A" w:rsidRDefault="00000000">
      <w:pPr>
        <w:spacing w:line="360" w:lineRule="auto"/>
        <w:jc w:val="both"/>
      </w:pPr>
      <w:r>
        <w:t>SEPT9 is functionally linked to focal adhesion maturation and cellular migration (</w:t>
      </w:r>
      <w:proofErr w:type="spellStart"/>
      <w:r>
        <w:t>Fuechtbauer</w:t>
      </w:r>
      <w:proofErr w:type="spellEnd"/>
      <w:r>
        <w:t xml:space="preserve"> </w:t>
      </w:r>
      <w:r>
        <w:rPr>
          <w:i/>
        </w:rPr>
        <w:t>et al.</w:t>
      </w:r>
      <w:r>
        <w:t xml:space="preserve">, 2011; </w:t>
      </w:r>
      <w:proofErr w:type="spellStart"/>
      <w:r>
        <w:t>Dolat</w:t>
      </w:r>
      <w:proofErr w:type="spellEnd"/>
      <w:r>
        <w:t xml:space="preserve"> </w:t>
      </w:r>
      <w:r>
        <w:rPr>
          <w:i/>
        </w:rPr>
        <w:t>et al.</w:t>
      </w:r>
      <w:r>
        <w:t>, 2014; Lam and Calvo, 2019) and in line with this our SEPT9 ko fibroblast cell line exhibits restricted, shortened filopodia (</w:t>
      </w:r>
      <w:r>
        <w:rPr>
          <w:highlight w:val="green"/>
        </w:rPr>
        <w:t>Fig. 3C, 1 Panel</w:t>
      </w:r>
      <w:r>
        <w:t xml:space="preserve">) (Hecht </w:t>
      </w:r>
      <w:r>
        <w:rPr>
          <w:i/>
        </w:rPr>
        <w:t>et al.</w:t>
      </w:r>
      <w:r>
        <w:t>, 2024). Expression of EGFP-SEPT9 in SEPT9 ko cells restores filipodia length (</w:t>
      </w:r>
      <w:r>
        <w:rPr>
          <w:highlight w:val="green"/>
        </w:rPr>
        <w:t xml:space="preserve">Fig. 3D, 3 panels </w:t>
      </w:r>
      <w:proofErr w:type="spellStart"/>
      <w:r>
        <w:rPr>
          <w:highlight w:val="green"/>
        </w:rPr>
        <w:t>neben</w:t>
      </w:r>
      <w:proofErr w:type="spellEnd"/>
      <w:r>
        <w:rPr>
          <w:highlight w:val="green"/>
        </w:rPr>
        <w:t xml:space="preserve"> 3C</w:t>
      </w:r>
      <w:r>
        <w:t>) whereas EGFP-SEPT9(R516A) overexpressing cells exhibit the same filipodia shape as the ko cells (</w:t>
      </w:r>
      <w:r>
        <w:rPr>
          <w:highlight w:val="green"/>
        </w:rPr>
        <w:t>Fig. 3E</w:t>
      </w:r>
      <w:r>
        <w:t xml:space="preserve">). </w:t>
      </w:r>
    </w:p>
    <w:p w14:paraId="110168FF" w14:textId="77777777" w:rsidR="000C600A" w:rsidRDefault="00000000">
      <w:pPr>
        <w:spacing w:line="360" w:lineRule="auto"/>
        <w:jc w:val="both"/>
      </w:pPr>
      <w:r>
        <w:t xml:space="preserve">In line with these findings, SEPT9 ko cells barely migrated in a </w:t>
      </w:r>
      <w:proofErr w:type="spellStart"/>
      <w:r>
        <w:t>transwell</w:t>
      </w:r>
      <w:proofErr w:type="spellEnd"/>
      <w:r>
        <w:t xml:space="preserve">-assay (Hecht </w:t>
      </w:r>
      <w:r>
        <w:rPr>
          <w:i/>
        </w:rPr>
        <w:t>et al.</w:t>
      </w:r>
      <w:r>
        <w:t xml:space="preserve">, 2024). Stable overexpression of EGFP-SEPT9 in SEPT9 ko cells restored the otherwise abolished migration rate to wild type level whereas cells stably overexpressing EGFP-SEPT9(R516A) retained almost the low migration rate of the ko cells </w:t>
      </w:r>
      <w:r>
        <w:rPr>
          <w:highlight w:val="green"/>
        </w:rPr>
        <w:t xml:space="preserve">(Fig 3F, Plot </w:t>
      </w:r>
      <w:proofErr w:type="spellStart"/>
      <w:r>
        <w:rPr>
          <w:highlight w:val="green"/>
        </w:rPr>
        <w:t>neben</w:t>
      </w:r>
      <w:proofErr w:type="spellEnd"/>
      <w:r>
        <w:rPr>
          <w:highlight w:val="green"/>
        </w:rPr>
        <w:t xml:space="preserve"> 3E).</w:t>
      </w:r>
      <w:r>
        <w:t xml:space="preserve"> </w:t>
      </w:r>
    </w:p>
    <w:p w14:paraId="7E25B974" w14:textId="77777777" w:rsidR="000C600A" w:rsidRDefault="000C600A">
      <w:pPr>
        <w:spacing w:line="360" w:lineRule="auto"/>
        <w:jc w:val="both"/>
      </w:pPr>
    </w:p>
    <w:p w14:paraId="08488789" w14:textId="77777777" w:rsidR="000C600A" w:rsidRDefault="00000000">
      <w:pPr>
        <w:spacing w:line="360" w:lineRule="auto"/>
        <w:rPr>
          <w:i/>
        </w:rPr>
      </w:pPr>
      <w:r>
        <w:rPr>
          <w:i/>
        </w:rPr>
        <w:t xml:space="preserve">Arg(βb) is essential for yeast </w:t>
      </w:r>
      <w:proofErr w:type="spellStart"/>
      <w:r>
        <w:rPr>
          <w:i/>
        </w:rPr>
        <w:t>septin</w:t>
      </w:r>
      <w:proofErr w:type="spellEnd"/>
      <w:r>
        <w:rPr>
          <w:i/>
        </w:rPr>
        <w:t xml:space="preserve"> function in vivo</w:t>
      </w:r>
    </w:p>
    <w:p w14:paraId="618457ED" w14:textId="77777777" w:rsidR="000C600A" w:rsidRDefault="00000000">
      <w:pPr>
        <w:spacing w:line="360" w:lineRule="auto"/>
        <w:jc w:val="both"/>
      </w:pPr>
      <w:r>
        <w:t xml:space="preserve">We investigated next if the results for human </w:t>
      </w:r>
      <w:proofErr w:type="spellStart"/>
      <w:r>
        <w:t>septins</w:t>
      </w:r>
      <w:proofErr w:type="spellEnd"/>
      <w:r>
        <w:t xml:space="preserve"> can be translated to yeast </w:t>
      </w:r>
      <w:proofErr w:type="spellStart"/>
      <w:r>
        <w:t>septins</w:t>
      </w:r>
      <w:proofErr w:type="spellEnd"/>
      <w:r>
        <w:t xml:space="preserve">. To test if Arg(βb) is necessary for protofilament formation in vivo, we generated yeast strains each with a knock-out for one mitotic </w:t>
      </w:r>
      <w:proofErr w:type="spellStart"/>
      <w:r>
        <w:t>septin</w:t>
      </w:r>
      <w:proofErr w:type="spellEnd"/>
      <w:r>
        <w:t xml:space="preserve"> (Cdc10, Cdc3, Cdc12, Cdc11, Shs1). The missing </w:t>
      </w:r>
      <w:proofErr w:type="spellStart"/>
      <w:r>
        <w:t>septin</w:t>
      </w:r>
      <w:proofErr w:type="spellEnd"/>
      <w:r>
        <w:t xml:space="preserve"> was provided from a rescue plasmid containing an uracil prototrophy. The cells were subsequently transformed with a second plasmid, either empty plasmid or a plasmid containing either a wildtype copy of the depleted </w:t>
      </w:r>
      <w:proofErr w:type="spellStart"/>
      <w:r>
        <w:t>septin</w:t>
      </w:r>
      <w:proofErr w:type="spellEnd"/>
      <w:r>
        <w:t xml:space="preserve"> or a copy bearing the Arg(βb)-Ala mutation. Serial dilutions of each strain were spotted onto selective media containing 5-fluoorotic acid (FOA), forcing the cells to drive out the rescue plasmid. The plates were incubated at different temperatures and colony growth was documented. Knock out of each </w:t>
      </w:r>
      <w:proofErr w:type="spellStart"/>
      <w:r>
        <w:t>septin</w:t>
      </w:r>
      <w:proofErr w:type="spellEnd"/>
      <w:r>
        <w:t xml:space="preserve"> except of Shs1 was lethal in the employed strain background, indicated by complete growth inhibition of the empty plasmid control on FOA medium (</w:t>
      </w:r>
      <w:r w:rsidRPr="00322DD2">
        <w:t>Fig. 4</w:t>
      </w:r>
      <w:r>
        <w:t>). Arg(βb) to Ala mutation was lethal for Cdc11 and Cdc12 at all tested temperatures but this mutation resulted only in temperature sensitivity (restricted growth at 37 °C) for Cdc10 and Cdc3. Strains containing the mutation in these subunits grew normal at 30 °C (</w:t>
      </w:r>
      <w:r w:rsidRPr="00322DD2">
        <w:t>Fig. 4</w:t>
      </w:r>
      <w:r>
        <w:t xml:space="preserve">).  </w:t>
      </w:r>
    </w:p>
    <w:p w14:paraId="34B22B72" w14:textId="2AC38A20" w:rsidR="00197805" w:rsidRDefault="00197805">
      <w:pPr>
        <w:spacing w:line="360" w:lineRule="auto"/>
      </w:pPr>
      <w:r w:rsidRPr="00197805">
        <w:t>To validate this finding, we const</w:t>
      </w:r>
      <w:r>
        <w:t xml:space="preserve">ructed GFP fusion proteins with and without </w:t>
      </w:r>
      <w:r>
        <w:t>Arg(βb) to Ala mutation</w:t>
      </w:r>
      <w:r>
        <w:t xml:space="preserve"> of each </w:t>
      </w:r>
      <w:proofErr w:type="spellStart"/>
      <w:r>
        <w:t>septin</w:t>
      </w:r>
      <w:proofErr w:type="spellEnd"/>
      <w:r>
        <w:t xml:space="preserve"> subunit and tested the intracellular localization in two different </w:t>
      </w:r>
      <w:r>
        <w:lastRenderedPageBreak/>
        <w:t>yeast strain backgrounds (Fig. 5</w:t>
      </w:r>
      <w:r w:rsidR="00C14F81">
        <w:t xml:space="preserve"> </w:t>
      </w:r>
      <w:r w:rsidRPr="00197805">
        <w:rPr>
          <w:highlight w:val="green"/>
        </w:rPr>
        <w:t>and Suppl. Fig</w:t>
      </w:r>
      <w:r>
        <w:t>.).</w:t>
      </w:r>
      <w:r w:rsidR="00C14F81">
        <w:t xml:space="preserve"> The bud neck localization was quantified in relation to a Shs1-mCherry marker signal. </w:t>
      </w:r>
      <w:r>
        <w:t xml:space="preserve"> </w:t>
      </w:r>
      <w:r w:rsidR="00C14F81">
        <w:t>Consistent with the growth assay, Cdc12, Cdc11 and Shs1 fail</w:t>
      </w:r>
      <w:r w:rsidR="00DB5934">
        <w:t>ed</w:t>
      </w:r>
      <w:r w:rsidR="00C14F81">
        <w:t xml:space="preserve"> entirely to localize at the </w:t>
      </w:r>
      <w:proofErr w:type="spellStart"/>
      <w:r w:rsidR="00C14F81">
        <w:t>budneck</w:t>
      </w:r>
      <w:proofErr w:type="spellEnd"/>
      <w:r w:rsidR="00C14F81">
        <w:t xml:space="preserve"> when they contain the A</w:t>
      </w:r>
      <w:r w:rsidR="00C14F81">
        <w:t>rg(βb)</w:t>
      </w:r>
      <w:r w:rsidR="00C14F81">
        <w:t xml:space="preserve"> mutation.</w:t>
      </w:r>
      <w:r w:rsidR="00CC4BD5">
        <w:t xml:space="preserve"> The GFP signal was distributed </w:t>
      </w:r>
      <w:proofErr w:type="spellStart"/>
      <w:r w:rsidR="00CC4BD5">
        <w:t>unspecifically</w:t>
      </w:r>
      <w:proofErr w:type="spellEnd"/>
      <w:r w:rsidR="00CC4BD5">
        <w:t xml:space="preserve"> in the cytoplasm. B</w:t>
      </w:r>
      <w:r w:rsidR="00DB5934">
        <w:t xml:space="preserve">ud neck localization was still detectable for Cdc10 and especially Cdc3 carrying the </w:t>
      </w:r>
      <w:r w:rsidR="00DB5934">
        <w:t>Arg(βb) mutation</w:t>
      </w:r>
      <w:r w:rsidR="00DB5934">
        <w:t xml:space="preserve">, however significantly reduced (Fig. 5A, B). </w:t>
      </w:r>
    </w:p>
    <w:p w14:paraId="78EAC2AE" w14:textId="77777777" w:rsidR="000C600A" w:rsidRPr="00C14F81" w:rsidRDefault="000C600A">
      <w:pPr>
        <w:spacing w:line="360" w:lineRule="auto"/>
      </w:pPr>
    </w:p>
    <w:p w14:paraId="613B8C36" w14:textId="77777777" w:rsidR="000C600A" w:rsidRDefault="00000000">
      <w:pPr>
        <w:spacing w:line="360" w:lineRule="auto"/>
        <w:rPr>
          <w:i/>
        </w:rPr>
      </w:pPr>
      <w:r>
        <w:rPr>
          <w:i/>
        </w:rPr>
        <w:t xml:space="preserve">Arg(βb) is essential for G-interface formation in </w:t>
      </w:r>
      <w:proofErr w:type="spellStart"/>
      <w:r>
        <w:rPr>
          <w:i/>
        </w:rPr>
        <w:t>septin</w:t>
      </w:r>
      <w:proofErr w:type="spellEnd"/>
      <w:r>
        <w:rPr>
          <w:i/>
        </w:rPr>
        <w:t xml:space="preserve"> dimers in vitro</w:t>
      </w:r>
    </w:p>
    <w:p w14:paraId="447EEF53" w14:textId="77777777" w:rsidR="000C600A" w:rsidRDefault="00000000">
      <w:pPr>
        <w:spacing w:line="360" w:lineRule="auto"/>
        <w:jc w:val="both"/>
      </w:pPr>
      <w:r>
        <w:t xml:space="preserve">We asked next if our in vivo findings can be reproduced in vitro using recombinantly expressed G-interface dimers. </w:t>
      </w:r>
    </w:p>
    <w:p w14:paraId="54B018B8" w14:textId="77777777" w:rsidR="000C600A" w:rsidRDefault="00000000">
      <w:pPr>
        <w:spacing w:line="360" w:lineRule="auto"/>
        <w:jc w:val="both"/>
      </w:pPr>
      <w:r>
        <w:t xml:space="preserve">The central G-interface dimers of human </w:t>
      </w:r>
      <w:proofErr w:type="spellStart"/>
      <w:r>
        <w:t>hexameric</w:t>
      </w:r>
      <w:proofErr w:type="spellEnd"/>
      <w:r>
        <w:t xml:space="preserve">- or octameric rods, the SEPT7 homodimer and the SEPT7-SEPT9 heterodimer, respectively, were employed for this purpose. Therefore, SEPT7 and SEPT9, each with or without mutation of the Arg(βb) to Ala, were expressed from two compatible plasmids </w:t>
      </w:r>
      <w:r>
        <w:rPr>
          <w:highlight w:val="green"/>
        </w:rPr>
        <w:t>(Table M&amp;M)</w:t>
      </w:r>
      <w:r>
        <w:t xml:space="preserve"> within the same cell. </w:t>
      </w:r>
      <w:proofErr w:type="gramStart"/>
      <w:r>
        <w:t xml:space="preserve">Both </w:t>
      </w:r>
      <w:proofErr w:type="spellStart"/>
      <w:r>
        <w:t>septin</w:t>
      </w:r>
      <w:proofErr w:type="spellEnd"/>
      <w:proofErr w:type="gramEnd"/>
      <w:r>
        <w:t xml:space="preserve"> subunits were truncated to their G-domains. Since both G-domains have a comparable molecular weight, hampering subsequent identification on a Coomassie-stained gel, SEPT7 was fused to MBP to increase the molecular weight and SEPT9 was fused to a His</w:t>
      </w:r>
      <w:r>
        <w:rPr>
          <w:vertAlign w:val="subscript"/>
        </w:rPr>
        <w:t>6</w:t>
      </w:r>
      <w:r>
        <w:t>-tag for IMAC purification. For the SEPT7 homodimer, His</w:t>
      </w:r>
      <w:r>
        <w:rPr>
          <w:vertAlign w:val="subscript"/>
        </w:rPr>
        <w:t>6</w:t>
      </w:r>
      <w:r>
        <w:t xml:space="preserve">-SEPT7 constructs with and without Arg(βb) to Ala mutation were expressed. </w:t>
      </w:r>
    </w:p>
    <w:p w14:paraId="02B13552" w14:textId="77777777" w:rsidR="000C600A" w:rsidRDefault="00000000">
      <w:pPr>
        <w:spacing w:line="360" w:lineRule="auto"/>
        <w:jc w:val="both"/>
      </w:pPr>
      <w:r>
        <w:t xml:space="preserve">The </w:t>
      </w:r>
      <w:proofErr w:type="spellStart"/>
      <w:r>
        <w:t>septin</w:t>
      </w:r>
      <w:proofErr w:type="spellEnd"/>
      <w:r>
        <w:t xml:space="preserve"> complexes were purified by IMAC via the His</w:t>
      </w:r>
      <w:r>
        <w:rPr>
          <w:vertAlign w:val="subscript"/>
        </w:rPr>
        <w:t>6</w:t>
      </w:r>
      <w:r>
        <w:t>-tag and immediately afterwards subjected to analytical size exclusion chromatography (SEC). In this setup only His</w:t>
      </w:r>
      <w:r>
        <w:rPr>
          <w:vertAlign w:val="subscript"/>
        </w:rPr>
        <w:t>6</w:t>
      </w:r>
      <w:r>
        <w:t>-SEPT9 would be detectable in the SEC in the case of G-interface disruption by the Arg(βb) mutant.</w:t>
      </w:r>
    </w:p>
    <w:p w14:paraId="63574289" w14:textId="6DD3EADB" w:rsidR="000C600A" w:rsidRDefault="00000000">
      <w:pPr>
        <w:spacing w:line="360" w:lineRule="auto"/>
        <w:jc w:val="both"/>
      </w:pPr>
      <w:r>
        <w:t>The wildtype SEPT7-SEPT9 h</w:t>
      </w:r>
      <w:r w:rsidR="00197D3A">
        <w:t>etero</w:t>
      </w:r>
      <w:r>
        <w:t>dimer contained besides the major dimer peak a second peak corresponding to monomeric His</w:t>
      </w:r>
      <w:r>
        <w:rPr>
          <w:vertAlign w:val="subscript"/>
        </w:rPr>
        <w:t>6</w:t>
      </w:r>
      <w:r>
        <w:t>-SEPT9, likely resulting from pronounced expression from the respective plasmid (</w:t>
      </w:r>
      <w:r>
        <w:rPr>
          <w:highlight w:val="green"/>
        </w:rPr>
        <w:t>Fig. 6A, with purification inlet.</w:t>
      </w:r>
      <w:r>
        <w:t>). Mutation of Arg(βb) to Ala in any of the two subunits shifted the peak entirely towards the retention volume of monomeric His</w:t>
      </w:r>
      <w:r>
        <w:rPr>
          <w:vertAlign w:val="subscript"/>
        </w:rPr>
        <w:t>6</w:t>
      </w:r>
      <w:r>
        <w:t>-SEPT9. The SEPT7 homodimer eluted exclusively as dimer after IMAC-purification and the retention volume was entirely shifted to the SEPT7 monomer upon mutation of Arg(βb) to Ala</w:t>
      </w:r>
      <w:r>
        <w:rPr>
          <w:highlight w:val="green"/>
        </w:rPr>
        <w:t xml:space="preserve"> (Fig.6B, with purification inlet</w:t>
      </w:r>
      <w:r>
        <w:t>).</w:t>
      </w:r>
    </w:p>
    <w:p w14:paraId="25A06102" w14:textId="77777777" w:rsidR="000C600A" w:rsidRDefault="00000000">
      <w:pPr>
        <w:spacing w:line="360" w:lineRule="auto"/>
        <w:jc w:val="both"/>
      </w:pPr>
      <w:r>
        <w:t xml:space="preserve">Does the Arg(βb) to Ala mutation interfere indeed with the process of G-interface formation? To answer this question, we assembled the SEPT7-9 dimer and the SEPT7 homodimer from individual subunits in vitro and tested if the Arg(βb) mutation inhibits </w:t>
      </w:r>
      <w:r>
        <w:lastRenderedPageBreak/>
        <w:t>complex formation.  We generated His</w:t>
      </w:r>
      <w:r>
        <w:rPr>
          <w:vertAlign w:val="subscript"/>
        </w:rPr>
        <w:t>6</w:t>
      </w:r>
      <w:r>
        <w:t>-MBP-SEPT7 with and without Arg(βb) mutation and His</w:t>
      </w:r>
      <w:r>
        <w:rPr>
          <w:vertAlign w:val="subscript"/>
        </w:rPr>
        <w:t>6</w:t>
      </w:r>
      <w:r>
        <w:t>-SEPT9, His</w:t>
      </w:r>
      <w:r>
        <w:rPr>
          <w:vertAlign w:val="subscript"/>
        </w:rPr>
        <w:t>6</w:t>
      </w:r>
      <w:r>
        <w:t>-SEPT9(R(β</w:t>
      </w:r>
      <w:proofErr w:type="gramStart"/>
      <w:r>
        <w:t>b)A</w:t>
      </w:r>
      <w:proofErr w:type="gramEnd"/>
      <w:r>
        <w:t>) and His</w:t>
      </w:r>
      <w:r>
        <w:rPr>
          <w:vertAlign w:val="subscript"/>
        </w:rPr>
        <w:t>6</w:t>
      </w:r>
      <w:r>
        <w:t>-SEPT7. All constructs were subsequently purified by IMAC and preparative SEC. The SEPT7 constructs tended to form dimers to a certain extent but addition of 1 mM MgCl</w:t>
      </w:r>
      <w:r>
        <w:rPr>
          <w:vertAlign w:val="subscript"/>
        </w:rPr>
        <w:t>2</w:t>
      </w:r>
      <w:r>
        <w:t xml:space="preserve"> to the IMAC elution buffer resulted almost exclusively in monomers as judged by SEC (</w:t>
      </w:r>
      <w:r>
        <w:rPr>
          <w:highlight w:val="green"/>
        </w:rPr>
        <w:t>Suppl. Fig</w:t>
      </w:r>
      <w:r>
        <w:t xml:space="preserve">.). </w:t>
      </w:r>
    </w:p>
    <w:p w14:paraId="14B64F0A" w14:textId="77777777" w:rsidR="000C600A" w:rsidRDefault="00000000">
      <w:pPr>
        <w:spacing w:line="360" w:lineRule="auto"/>
        <w:jc w:val="both"/>
        <w:rPr>
          <w:b/>
        </w:rPr>
      </w:pPr>
      <w:r>
        <w:t>The His</w:t>
      </w:r>
      <w:r>
        <w:rPr>
          <w:vertAlign w:val="subscript"/>
        </w:rPr>
        <w:t>6</w:t>
      </w:r>
      <w:r>
        <w:t>-MBP-SEPT7 (and His</w:t>
      </w:r>
      <w:r>
        <w:rPr>
          <w:vertAlign w:val="subscript"/>
        </w:rPr>
        <w:t>6</w:t>
      </w:r>
      <w:r>
        <w:t>-MBP-Cdc12) constructs were incubated with a five-fold molar excess of the respective His</w:t>
      </w:r>
      <w:r>
        <w:rPr>
          <w:vertAlign w:val="subscript"/>
        </w:rPr>
        <w:t>6</w:t>
      </w:r>
      <w:r>
        <w:t>-tagged G-interface partner in the presence of nucleotide. Complexes were subsequently pulled down via the MBP tag onto amylose resin, eluted with maltose and the composition of the complex was analyzed by SDS-PAGE. His</w:t>
      </w:r>
      <w:r>
        <w:rPr>
          <w:vertAlign w:val="subscript"/>
        </w:rPr>
        <w:t>6</w:t>
      </w:r>
      <w:r>
        <w:t>-SEPT9 and His</w:t>
      </w:r>
      <w:r>
        <w:rPr>
          <w:vertAlign w:val="subscript"/>
        </w:rPr>
        <w:t>6</w:t>
      </w:r>
      <w:r>
        <w:t>-SEPT7 were only able to bind to wildtype His</w:t>
      </w:r>
      <w:r>
        <w:rPr>
          <w:vertAlign w:val="subscript"/>
        </w:rPr>
        <w:t>6</w:t>
      </w:r>
      <w:r>
        <w:t>-MBP-SEPT7 (</w:t>
      </w:r>
      <w:r>
        <w:rPr>
          <w:highlight w:val="green"/>
        </w:rPr>
        <w:t>Fig. 6C</w:t>
      </w:r>
      <w:r>
        <w:t xml:space="preserve">). The Arg(βb) to Ala mutation suppressed G-interface formation entirely. Unspecific G-interfaces with the yeast </w:t>
      </w:r>
      <w:proofErr w:type="spellStart"/>
      <w:r>
        <w:t>septin</w:t>
      </w:r>
      <w:proofErr w:type="spellEnd"/>
      <w:r>
        <w:t xml:space="preserve"> His</w:t>
      </w:r>
      <w:r>
        <w:rPr>
          <w:vertAlign w:val="subscript"/>
        </w:rPr>
        <w:t>6</w:t>
      </w:r>
      <w:r>
        <w:t xml:space="preserve">-MBP-Cdc12 were not formed. </w:t>
      </w:r>
    </w:p>
    <w:p w14:paraId="3102E6C9" w14:textId="77777777" w:rsidR="000C600A" w:rsidRDefault="00000000">
      <w:pPr>
        <w:spacing w:line="360" w:lineRule="auto"/>
        <w:jc w:val="both"/>
      </w:pPr>
      <w:r>
        <w:t xml:space="preserve">Subsequently, we tested the G-interface formation also for yeast </w:t>
      </w:r>
      <w:proofErr w:type="spellStart"/>
      <w:r>
        <w:t>septins</w:t>
      </w:r>
      <w:proofErr w:type="spellEnd"/>
      <w:r>
        <w:t>. Therefore, we purified monomeric His</w:t>
      </w:r>
      <w:r>
        <w:rPr>
          <w:vertAlign w:val="subscript"/>
        </w:rPr>
        <w:t>6</w:t>
      </w:r>
      <w:r>
        <w:t>-MBP-Cdc12 and His</w:t>
      </w:r>
      <w:r>
        <w:rPr>
          <w:vertAlign w:val="subscript"/>
        </w:rPr>
        <w:t>6</w:t>
      </w:r>
      <w:r>
        <w:t>-MBP-Cdc10 with and without Arg(βb) to Ala mutation and the respective G-interface partners His</w:t>
      </w:r>
      <w:r>
        <w:rPr>
          <w:vertAlign w:val="subscript"/>
        </w:rPr>
        <w:t>6</w:t>
      </w:r>
      <w:r>
        <w:t>-Cdc3, His</w:t>
      </w:r>
      <w:r>
        <w:rPr>
          <w:vertAlign w:val="subscript"/>
        </w:rPr>
        <w:t>6</w:t>
      </w:r>
      <w:r>
        <w:t>-Cdc11 and His</w:t>
      </w:r>
      <w:r>
        <w:rPr>
          <w:vertAlign w:val="subscript"/>
        </w:rPr>
        <w:t>6</w:t>
      </w:r>
      <w:r>
        <w:t>-Shs1. The monomeric state of the proteins was confirmed by SEC (</w:t>
      </w:r>
      <w:r>
        <w:rPr>
          <w:highlight w:val="green"/>
        </w:rPr>
        <w:t>Suppl. Fig</w:t>
      </w:r>
      <w:r>
        <w:t>). While the G-domains of Cdc3, Cdc11 and Shs1 could be readily purified as monomers, Cdc10 and Cdc12 required the MBP-tag as solubility tag and an improved lysis buffer composition (see Materials and Methods section). As His</w:t>
      </w:r>
      <w:r>
        <w:rPr>
          <w:vertAlign w:val="subscript"/>
        </w:rPr>
        <w:t>6</w:t>
      </w:r>
      <w:r>
        <w:t xml:space="preserve">-fusion protein and in standard buffer, these two subunits tended to aggregate or even precipitate (Baur </w:t>
      </w:r>
      <w:r>
        <w:rPr>
          <w:i/>
        </w:rPr>
        <w:t>et al.</w:t>
      </w:r>
      <w:r>
        <w:t xml:space="preserve">, 2018). </w:t>
      </w:r>
    </w:p>
    <w:p w14:paraId="575C70AE" w14:textId="77777777" w:rsidR="000C600A" w:rsidRDefault="00000000">
      <w:pPr>
        <w:spacing w:line="360" w:lineRule="auto"/>
        <w:jc w:val="both"/>
      </w:pPr>
      <w:r>
        <w:t>As for the human G-interface dimers, the Arg(βb) to Ala mutation blocked formation of the Cdc10:3, Cdc12:11 and Cdc12:Shs1 G-interfaces entirely (</w:t>
      </w:r>
      <w:r>
        <w:rPr>
          <w:highlight w:val="green"/>
        </w:rPr>
        <w:t>Fig. 6D</w:t>
      </w:r>
      <w:r>
        <w:t>). No unspecific binding to the human His</w:t>
      </w:r>
      <w:r>
        <w:rPr>
          <w:vertAlign w:val="subscript"/>
        </w:rPr>
        <w:t>6</w:t>
      </w:r>
      <w:r>
        <w:t xml:space="preserve">-MBP-SEPT7 could be detected. </w:t>
      </w:r>
    </w:p>
    <w:p w14:paraId="105B9DE1" w14:textId="77777777" w:rsidR="000C600A" w:rsidRDefault="00000000">
      <w:pPr>
        <w:spacing w:line="360" w:lineRule="auto"/>
        <w:jc w:val="both"/>
        <w:rPr>
          <w:strike/>
        </w:rPr>
      </w:pPr>
      <w:r>
        <w:rPr>
          <w:strike/>
        </w:rPr>
        <w:t xml:space="preserve">Taken together, we can show that nucleotide coordination by Arg(βb) is an indispensable factor for G-interface formation in vitro both in human and yeast </w:t>
      </w:r>
      <w:proofErr w:type="spellStart"/>
      <w:r>
        <w:rPr>
          <w:strike/>
        </w:rPr>
        <w:t>septins</w:t>
      </w:r>
      <w:proofErr w:type="spellEnd"/>
      <w:r>
        <w:rPr>
          <w:strike/>
        </w:rPr>
        <w:t xml:space="preserve">, suggesting that this feature is entirely conserved.  </w:t>
      </w:r>
    </w:p>
    <w:p w14:paraId="25C46BF9" w14:textId="77777777" w:rsidR="000C600A" w:rsidRDefault="000C600A">
      <w:pPr>
        <w:spacing w:line="360" w:lineRule="auto"/>
      </w:pPr>
    </w:p>
    <w:p w14:paraId="7B6F01E0" w14:textId="77777777" w:rsidR="000C600A" w:rsidRDefault="00000000">
      <w:pPr>
        <w:rPr>
          <w:b/>
        </w:rPr>
      </w:pPr>
      <w:r>
        <w:rPr>
          <w:b/>
        </w:rPr>
        <w:t>Discussion</w:t>
      </w:r>
    </w:p>
    <w:p w14:paraId="6CA7E715" w14:textId="77777777" w:rsidR="000C600A" w:rsidRDefault="000C600A"/>
    <w:p w14:paraId="00590273" w14:textId="77777777" w:rsidR="000C600A" w:rsidRDefault="00000000">
      <w:pPr>
        <w:spacing w:line="360" w:lineRule="auto"/>
        <w:jc w:val="both"/>
      </w:pPr>
      <w:r>
        <w:t>Small GTPases of the Ras family share common structural features and cycle between GTP and GDP bound conformations, each conformation exhibiting distinct affinities for effector molecules (</w:t>
      </w:r>
      <w:proofErr w:type="spellStart"/>
      <w:r>
        <w:t>Bourne</w:t>
      </w:r>
      <w:proofErr w:type="spellEnd"/>
      <w:r>
        <w:t xml:space="preserve"> </w:t>
      </w:r>
      <w:r>
        <w:rPr>
          <w:i/>
        </w:rPr>
        <w:t>et al.</w:t>
      </w:r>
      <w:r>
        <w:t xml:space="preserve">, 1991).  Although </w:t>
      </w:r>
      <w:proofErr w:type="spellStart"/>
      <w:r>
        <w:t>septins</w:t>
      </w:r>
      <w:proofErr w:type="spellEnd"/>
      <w:r>
        <w:t xml:space="preserve"> share the same structural features as small GTPases, their biochemistry seems to be different: Some </w:t>
      </w:r>
      <w:proofErr w:type="spellStart"/>
      <w:r>
        <w:t>septins</w:t>
      </w:r>
      <w:proofErr w:type="spellEnd"/>
      <w:r>
        <w:t xml:space="preserve"> are catalytically </w:t>
      </w:r>
      <w:r>
        <w:lastRenderedPageBreak/>
        <w:t xml:space="preserve">inactive and they do not interact with effector molecules dependent on their nucleotide-induced conformation </w:t>
      </w:r>
      <w:r>
        <w:fldChar w:fldCharType="begin" w:fldLock="1"/>
      </w:r>
      <w:r>
        <w:instrText>ADDIN CSL_CITATION {"citationItems":[{"id":"ITEM-1","itemData":{"DOI":"10.1515/HSZ-2022-0263","ISSN":"1437-4315","PMID":"36423333","abstract":"The septins are a conserved family of guanine nucleotide binding proteins, often named the fourth component of the cytoskeleton. They self-assemble into non-polar filaments and further into higher ordered structures. Properly assembled septin structures are required for a wide range of indispensable intracellular processes such as cytokinesis, vesicular transport, polarity establishment and cellular adhesion. Septins belong structurally to the P-Loop NTPases. However, unlike the small GTPases like Ras, septins do not mediate signals to effectors through GTP binding and hydrolysis. The role of nucleotide binding and subsequent GTP hydrolysis by the septins is rather controversially debated. We compile here the structural features from the existing septin crystal- and cryo-EM structures regarding protofilament formation, inter-subunit interface architecture and nucleotide binding and hydrolysis. These findings are supplemented with a summary of available biochemical studies providing information regarding nucleotide binding and hydrolysis of fungal and mammalian septins.","author":[{"dropping-particle":"","family":"Grupp","given":"Benjamin","non-dropping-particle":"","parse-names":false,"suffix":""},{"dropping-particle":"","family":"Gronemeyer","given":"Thomas","non-dropping-particle":"","parse-names":false,"suffix":""}],"container-title":"Biological chemistry","id":"ITEM-1","issue":"0","issued":{"date-parts":[["2022","11","25"]]},"page":"1-13","publisher":"Biol Chem","title":"A biochemical view on the septins, a less known component of the cytoskeleton","type":"article-journal","volume":"404"},"uris":["http://www.mendeley.com/documents/?uuid=77fcdfd4-08b7-3a7f-be67-84c46d299517"]}],"mendeley":{"formattedCitation":"(Grupp and Gronemeyer, 2022)","plainTextFormattedCitation":"(Grupp and Gronemeyer, 2022)","previouslyFormattedCitation":"(Grupp and Gronemeyer, 2022)"},"properties":{"noteIndex":0},"schema":"https://github.com/citation-style-language/schema/raw/master/csl-citation.json"}</w:instrText>
      </w:r>
      <w:r>
        <w:fldChar w:fldCharType="separate"/>
      </w:r>
      <w:r>
        <w:rPr>
          <w:noProof/>
        </w:rPr>
        <w:t>(Grupp and Gronemeyer, 2022)</w:t>
      </w:r>
      <w:r>
        <w:fldChar w:fldCharType="end"/>
      </w:r>
      <w:r>
        <w:t xml:space="preserve">.  The role of nucleotide utilization by </w:t>
      </w:r>
      <w:proofErr w:type="spellStart"/>
      <w:r>
        <w:t>septins</w:t>
      </w:r>
      <w:proofErr w:type="spellEnd"/>
      <w:r>
        <w:t xml:space="preserve"> is rather a subject of debate. However, the fact that all available dimeric or multimeric </w:t>
      </w:r>
      <w:proofErr w:type="spellStart"/>
      <w:r>
        <w:t>septin</w:t>
      </w:r>
      <w:proofErr w:type="spellEnd"/>
      <w:r>
        <w:t xml:space="preserve"> complexes contain nucleotide fostered the assumption that </w:t>
      </w:r>
      <w:proofErr w:type="spellStart"/>
      <w:r>
        <w:t>septins</w:t>
      </w:r>
      <w:proofErr w:type="spellEnd"/>
      <w:r>
        <w:t xml:space="preserve"> utilize the nucleotide for protofilament formation </w:t>
      </w:r>
      <w:r>
        <w:fldChar w:fldCharType="begin" w:fldLock="1"/>
      </w:r>
      <w:r>
        <w:instrText>ADDIN CSL_CITATION {"citationItems":[{"id":"ITEM-1","itemData":{"DOI":"10.1515/HSZ-2022-0263","ISSN":"1437-4315","PMID":"36423333","abstract":"The septins are a conserved family of guanine nucleotide binding proteins, often named the fourth component of the cytoskeleton. They self-assemble into non-polar filaments and further into higher ordered structures. Properly assembled septin structures are required for a wide range of indispensable intracellular processes such as cytokinesis, vesicular transport, polarity establishment and cellular adhesion. Septins belong structurally to the P-Loop NTPases. However, unlike the small GTPases like Ras, septins do not mediate signals to effectors through GTP binding and hydrolysis. The role of nucleotide binding and subsequent GTP hydrolysis by the septins is rather controversially debated. We compile here the structural features from the existing septin crystal- and cryo-EM structures regarding protofilament formation, inter-subunit interface architecture and nucleotide binding and hydrolysis. These findings are supplemented with a summary of available biochemical studies providing information regarding nucleotide binding and hydrolysis of fungal and mammalian septins.","author":[{"dropping-particle":"","family":"Grupp","given":"Benjamin","non-dropping-particle":"","parse-names":false,"suffix":""},{"dropping-particle":"","family":"Gronemeyer","given":"Thomas","non-dropping-particle":"","parse-names":false,"suffix":""}],"container-title":"Biological chemistry","id":"ITEM-1","issue":"0","issued":{"date-parts":[["2022","11","25"]]},"page":"1-13","publisher":"Biol Chem","title":"A biochemical view on the septins, a less known component of the cytoskeleton","type":"article-journal","volume":"404"},"uris":["http://www.mendeley.com/documents/?uuid=77fcdfd4-08b7-3a7f-be67-84c46d299517"]}],"mendeley":{"formattedCitation":"(Grupp and Gronemeyer, 2022)","plainTextFormattedCitation":"(Grupp and Gronemeyer, 2022)","previouslyFormattedCitation":"(Grupp and Gronemeyer, 2022)"},"properties":{"noteIndex":0},"schema":"https://github.com/citation-style-language/schema/raw/master/csl-citation.json"}</w:instrText>
      </w:r>
      <w:r>
        <w:fldChar w:fldCharType="separate"/>
      </w:r>
      <w:r>
        <w:rPr>
          <w:noProof/>
        </w:rPr>
        <w:t>(Grupp and Gronemeyer, 2022)</w:t>
      </w:r>
      <w:r>
        <w:fldChar w:fldCharType="end"/>
      </w:r>
      <w:r>
        <w:t xml:space="preserve">. We have previously employed MD simulations on available human </w:t>
      </w:r>
      <w:proofErr w:type="spellStart"/>
      <w:r>
        <w:t>septin</w:t>
      </w:r>
      <w:proofErr w:type="spellEnd"/>
      <w:r>
        <w:t xml:space="preserve"> structures to bypass the limitation that dimers in their apo conformation cannot be generated in vitro </w:t>
      </w:r>
      <w:r>
        <w:fldChar w:fldCharType="begin" w:fldLock="1"/>
      </w:r>
      <w:r>
        <w:instrText>ADDIN CSL_CITATION {"citationItems":[{"id":"ITEM-1","itemData":{"DOI":"10.1002/CM.21749","ISSN":"1949-3592","PMID":"36843207","author":[{"dropping-particle":"","family":"Grupp","given":"Benjamin","non-dropping-particle":"","parse-names":false,"suffix":""},{"dropping-particle":"","family":"Lemkul","given":"Justin A.","non-dropping-particle":"","parse-names":false,"suffix":""},{"dropping-particle":"","family":"Gronemeyer","given":"Thomas","non-dropping-particle":"","parse-names":false,"suffix":""}],"container-title":"Cytoskeleton (Hoboken, N.J.)","id":"ITEM-1","issued":{"date-parts":[["2023","3","9"]]},"publisher":"Cytoskeleton (Hoboken)","title":"An in silico approach to determine inter-subunit affinities in human septin complexes","type":"article-journal"},"uris":["http://www.mendeley.com/documents/?uuid=bd4dca0d-0db0-32a9-81e1-308b452aeb24"]}],"mendeley":{"formattedCitation":"(Grupp &lt;i&gt;et al.&lt;/i&gt;, 2023)","plainTextFormattedCitation":"(Grupp et al., 2023)","previouslyFormattedCitation":"(Grupp &lt;i&gt;et al.&lt;/i&gt;, 2023)"},"properties":{"noteIndex":0},"schema":"https://github.com/citation-style-language/schema/raw/master/csl-citation.json"}</w:instrText>
      </w:r>
      <w:r>
        <w:fldChar w:fldCharType="separate"/>
      </w:r>
      <w:r>
        <w:rPr>
          <w:noProof/>
        </w:rPr>
        <w:t xml:space="preserve">(Grupp </w:t>
      </w:r>
      <w:r>
        <w:rPr>
          <w:i/>
          <w:noProof/>
        </w:rPr>
        <w:t>et al.</w:t>
      </w:r>
      <w:r>
        <w:rPr>
          <w:noProof/>
        </w:rPr>
        <w:t>, 2023)</w:t>
      </w:r>
      <w:r>
        <w:fldChar w:fldCharType="end"/>
      </w:r>
      <w:r>
        <w:t xml:space="preserve"> and have discovered in unbiased simulations that an arginine residue in the SUE βββ-meander undergoes a conformational change upon nucleotide removal in the catalytically active  SEPT2 and SEPT7 subunits. </w:t>
      </w:r>
    </w:p>
    <w:p w14:paraId="71BFA5F4" w14:textId="77777777" w:rsidR="000C600A" w:rsidRDefault="00000000">
      <w:pPr>
        <w:spacing w:line="360" w:lineRule="auto"/>
        <w:jc w:val="both"/>
      </w:pPr>
      <w:r>
        <w:t xml:space="preserve"> SEPT9 is also catalytically active and occupies the central position of the human octameric protofilament </w:t>
      </w:r>
      <w:r>
        <w:fldChar w:fldCharType="begin" w:fldLock="1"/>
      </w:r>
      <w:r>
        <w:instrText>ADDIN CSL_CITATION {"citationItems":[{"id":"ITEM-1","itemData":{"DOI":"10.1107/S2052252520002973","ISSN":"2052-2525","abstract":"Human septins 3, 9 and 12 are the only members of a specific subgroup of septins that display several unusual features, including the absence of a C-terminal coiled coil. This particular subgroup (the SEPT3 septins) are present in rod-like octameric protofilaments but are lacking in similar hexameric assemblies, which only contain representatives of the three remaining subgroups. Both hexamers and octamers can self-assemble into mixed filaments by end-to-end association, implying that the SEPT3 septins may facilitate polymerization but not necessarily function. These filaments frequently associate into higher order complexes which associate with biological membranes, triggering a wide range of cellular events. In the present work, a complete compendium of crystal structures for the GTP-binding domains of all of the SEPT3 subgroup members when bound to either GDP or to a GTP analogue is provided. The structures reveal a unique degree of plasticity at one of the filamentous interfaces (dubbed NC). Specifically, structures of the GDP and GTPγS complexes of SEPT9 reveal a squeezing mechanism at the NC interface which would expel a polybasic region from its binding site and render it free to interact with negatively charged membranes. On the other hand, a polyacidic region associated with helix α5′, the orientation of which is particular to this subgroup, provides a safe haven for the polybasic region when retracted within the interface. Together, these results suggest a mechanism which couples GTP binding and hydrolysis to membrane association and implies a unique role for the SEPT3 subgroup in this process. These observations can be accounted for by constellations of specific amino-acid residues that are found only in this subgroup and by the absence of the C-terminal coiled coil. Such conclusions can only be reached owing to the completeness of the structural studies presented here.","author":[{"dropping-particle":"","family":"Castro","given":"Danielle Karoline Silva do Vale","non-dropping-particle":"","parse-names":false,"suffix":""},{"dropping-particle":"","family":"Silva","given":"Sabrina Matos de Oliveira","non-dropping-particle":"da","parse-names":false,"suffix":""},{"dropping-particle":"","family":"Pereira","given":"Humberto D'Muniz","non-dropping-particle":"","parse-names":false,"suffix":""},{"dropping-particle":"","family":"Macedo","given":"Joci Neuby Alves","non-dropping-particle":"","parse-names":false,"suffix":""},{"dropping-particle":"","family":"Leonardo","given":"Diego Antonio","non-dropping-particle":"","parse-names":false,"suffix":""},{"dropping-particle":"","family":"Valadares","given":"Napoleão Fonseca","non-dropping-particle":"","parse-names":false,"suffix":""},{"dropping-particle":"","family":"Kumagai","given":"Patricia Suemy","non-dropping-particle":"","parse-names":false,"suffix":""},{"dropping-particle":"","family":"Brandão-Neto","given":"José","non-dropping-particle":"","parse-names":false,"suffix":""},{"dropping-particle":"","family":"Araújo","given":"Ana Paula Ulian","non-dropping-particle":"","parse-names":false,"suffix":""},{"dropping-particle":"","family":"Garratt","given":"Richard Charles","non-dropping-particle":"","parse-names":false,"suffix":""}],"container-title":"IUCrJ","id":"ITEM-1","issue":"3","issued":{"date-parts":[["2020","5","1"]]},"page":"462-479","publisher":"International Union of Crystallography","title":"A complete compendium of crystal structures for the human SEPT3 subgroup reveals functional plasticity at a specific septin interface","type":"article-journal","volume":"7"},"uris":["http://www.mendeley.com/documents/?uuid=3b3cb20a-6a61-36cb-9cfa-e469c3141f3c"]}],"mendeley":{"formattedCitation":"(Castro &lt;i&gt;et al.&lt;/i&gt;, 2020)","plainTextFormattedCitation":"(Castro et al., 2020)","previouslyFormattedCitation":"(Castro &lt;i&gt;et al.&lt;/i&gt;, 2020)"},"properties":{"noteIndex":0},"schema":"https://github.com/citation-style-language/schema/raw/master/csl-citation.json"}</w:instrText>
      </w:r>
      <w:r>
        <w:fldChar w:fldCharType="separate"/>
      </w:r>
      <w:r>
        <w:rPr>
          <w:noProof/>
        </w:rPr>
        <w:t xml:space="preserve">(Castro </w:t>
      </w:r>
      <w:r>
        <w:rPr>
          <w:i/>
          <w:noProof/>
        </w:rPr>
        <w:t>et al.</w:t>
      </w:r>
      <w:r>
        <w:rPr>
          <w:noProof/>
        </w:rPr>
        <w:t>, 2020)</w:t>
      </w:r>
      <w:r>
        <w:fldChar w:fldCharType="end"/>
      </w:r>
      <w:r>
        <w:t xml:space="preserve">, making this subunit an excellent target to study Arg(βb) mediated filament incorporation inside the living cell. We made use of our recently presented SEPT9 ko cell line </w:t>
      </w:r>
      <w:r>
        <w:fldChar w:fldCharType="begin" w:fldLock="1"/>
      </w:r>
      <w:r>
        <w:instrText>ADDIN CSL_CITATION {"citationItems":[{"id":"ITEM-1","itemData":{"DOI":"10.26508/LSA.202201686","ISSN":"2575-1077","PMID":"38719752","abstract":"Septins are cytoskeletal proteins that participate in cell adhesion, migration, and polarity establishment. The septin subunit SEPT9 directly interacts with the single LIM domain of epithelial protein lost in neoplasm (EPLIN), an actin-bundling protein. Using a human SEPT9 KO fibroblast cell line, we show that cell adhesion and migration are regulated by the interplay between both proteins. The low motility of SEPT9-depleted cells could be partly rescued by increased levels of EPLIN. The normal organization of actin-related filopodia and stress fibers was directly dependent on the expression level of SEPT9 and EPLIN. Increased levels of SEPT9 and EPLIN enhanced the size of focal adhesions in cell protrusions, correlating with stabilization of actin bundles. Conversely, decreased levels had the opposite effect. Our work thus establishes the interaction between SEPT9 and EPLIN as an important link between the septin and the actin cytoskeleton, influencing cell adhesion, motility, and migration.","author":[{"dropping-particle":"","family":"Hecht","given":"Matthias","non-dropping-particle":"","parse-names":false,"suffix":""},{"dropping-particle":"","family":"Alber","given":"Nane","non-dropping-particle":"","parse-names":false,"suffix":""},{"dropping-particle":"","family":"Marhoffer","given":"Pia","non-dropping-particle":"","parse-names":false,"suffix":""},{"dropping-particle":"","family":"Johnsson","given":"Nils","non-dropping-particle":"","parse-names":false,"suffix":""},{"dropping-particle":"","family":"Gronemeyer","given":"Thomas","non-dropping-particle":"","parse-names":false,"suffix":""}],"container-title":"Life science alliance","id":"ITEM-1","issue":"7","issued":{"date-parts":[["2024","7","1"]]},"publisher":"Life Sci Alliance","title":"The concerted action of SEPT9 and EPLIN modulates the adhesion and migration of human fibroblasts","type":"article-journal","volume":"7"},"uris":["http://www.mendeley.com/documents/?uuid=a6f2a003-b51f-36a6-9118-e787b5e6d6bd"]}],"mendeley":{"formattedCitation":"(Hecht &lt;i&gt;et al.&lt;/i&gt;, 2024)","plainTextFormattedCitation":"(Hecht et al., 2024)","previouslyFormattedCitation":"(Hecht &lt;i&gt;et al.&lt;/i&gt;, 2024)"},"properties":{"noteIndex":0},"schema":"https://github.com/citation-style-language/schema/raw/master/csl-citation.json"}</w:instrText>
      </w:r>
      <w:r>
        <w:fldChar w:fldCharType="separate"/>
      </w:r>
      <w:r>
        <w:rPr>
          <w:noProof/>
        </w:rPr>
        <w:t xml:space="preserve">(Hecht </w:t>
      </w:r>
      <w:r>
        <w:rPr>
          <w:i/>
          <w:noProof/>
        </w:rPr>
        <w:t>et al.</w:t>
      </w:r>
      <w:r>
        <w:rPr>
          <w:noProof/>
        </w:rPr>
        <w:t>, 2024)</w:t>
      </w:r>
      <w:r>
        <w:fldChar w:fldCharType="end"/>
      </w:r>
      <w:r>
        <w:t xml:space="preserve"> and conducted putback experiments using EGFP-SEPT9 with and without mutated Arg(βb). The human </w:t>
      </w:r>
      <w:proofErr w:type="spellStart"/>
      <w:r>
        <w:t>septin</w:t>
      </w:r>
      <w:proofErr w:type="spellEnd"/>
      <w:r>
        <w:t xml:space="preserve"> cytoskeleton can consist of hexamers in vivo </w:t>
      </w:r>
      <w:r>
        <w:fldChar w:fldCharType="begin" w:fldLock="1"/>
      </w:r>
      <w:r>
        <w:instrText>ADDIN CSL_CITATION {"citationItems":[{"id":"ITEM-1","itemData":{"DOI":"10.1091/mbc.E11-03-0253","ISSN":"1939-4586","PMID":"21737677","abstract":"Septins are conserved GTP-binding proteins that assemble into lateral diffusion barriers and molecular scaffolds. Vertebrate genomes contain 9-17 septin genes that encode both ubiquitous and tissue-specific septins. Expressed septins may assemble in various combinations through both heterotypic and homotypic G-domain interactions. However, little is known regarding assembly states of mammalian septins and mechanisms directing ordered assembly of individual septins into heteromeric units, which is the focus of this study. Our analysis of the septin system in cells lacking or overexpressing selected septins reveals interdependencies coinciding with previously described homology subgroups. Hydrodynamic and single-particle data show that individual septins exist solely in the context of stable six- to eight-subunit core heteromers, all of which contain SEPT2 and SEPT6 subgroup members and SEPT7, while heteromers comprising more than six subunits also contain SEPT9. The combined data suggest a generic model for how the temporal order of septin assembly is homology subgroup-directed, which in turn determines the subunit arrangement of native heteromers. Because mammalian cells normally express multiple members and/or isoforms of some septin subgroups, our data also suggest that only a minor fraction of native heteromers are arranged as perfect palindromes.","author":[{"dropping-particle":"","family":"Sellin","given":"Mikael E","non-dropping-particle":"","parse-names":false,"suffix":""},{"dropping-particle":"","family":"Sandblad","given":"Linda","non-dropping-particle":"","parse-names":false,"suffix":""},{"dropping-particle":"","family":"Stenmark","given":"Sonja","non-dropping-particle":"","parse-names":false,"suffix":""},{"dropping-particle":"","family":"Gullberg","given":"Martin","non-dropping-particle":"","parse-names":false,"suffix":""}],"container-title":"Molecular biology of the cell","id":"ITEM-1","issue":"17","issued":{"date-parts":[["2011","9"]]},"page":"3152-64","title":"Deciphering the rules governing assembly order of mammalian septin complexes.","type":"article-journal","volume":"22"},"uris":["http://www.mendeley.com/documents/?uuid=6e9b9d0d-ae03-31b1-af18-58585984716f"]},{"id":"ITEM-2","itemData":{"DOI":"10.1091/mbc.E20-06-0398","ISSN":"1059-1524","abstract":"Septins are conserved GTP-binding cytoskeletal proteins that polymerize into filaments by end-to-end joining of heterooligomeric complexes. In human cells, both hexamers and octamers exist, and crystallography studies predicted the order of the hexamers to be SEPT7-SEPT6-SEPT2-SEPT2-SEPT6-SEPT7, while octamers are thought to have the same core, but with SEPT9 at the ends. However, based on this septin organization, octamers and hexamers would not be expected to co-polymerize due to incompatible ends. Here we isolated hexamers and octamers of specific composition from human cells and show that hexamers and octamers polymerize individually and, surprisingly, with each other. Binding of the BD3 domain of Borg3 results in distinctive clustering of each filament type. Moreover, we show that the organization of hexameric and octameric complexes is inverted compared to its original prediction. This revised septin organization is congruent with the organization and behavior of yeast septins suggesting that their properties are more conserved than was previously thought.","author":[{"dropping-particle":"","family":"Soroor","given":"Forooz","non-dropping-particle":"","parse-names":false,"suffix":""},{"dropping-particle":"","family":"Kim","given":"Moshe S.","non-dropping-particle":"","parse-names":false,"suffix":""},{"dropping-particle":"","family":"Palander","given":"Oliva","non-dropping-particle":"","parse-names":false,"suffix":""},{"dropping-particle":"","family":"Balachandran","given":"Yadu","non-dropping-particle":"","parse-names":false,"suffix":""},{"dropping-particle":"","family":"Collins","given":"Richard F.","non-dropping-particle":"","parse-names":false,"suffix":""},{"dropping-particle":"","family":"Benlekbir","given":"Samir","non-dropping-particle":"","parse-names":false,"suffix":""},{"dropping-particle":"","family":"Rubinstein","given":"John","non-dropping-particle":"","parse-names":false,"suffix":""},{"dropping-particle":"","family":"Trimble","given":"William S.","non-dropping-particle":"","parse-names":false,"suffix":""}],"container-title":"Molecular Biology of the Cell","editor":[{"dropping-particle":"","family":"Roll-Mecak","given":"Antonina","non-dropping-particle":"","parse-names":false,"suffix":""}],"id":"ITEM-2","issue":"3","issued":{"date-parts":[["2020","12","2"]]},"page":"289-300","publisher":"Mol Biol Cell","title":"Revised subunit order of mammalian septin complexes explains their in-vitro polymerization properties","type":"article-journal","volume":"32"},"uris":["http://www.mendeley.com/documents/?uuid=3473373b-9d4a-364e-bd46-db8b189be6c9"]}],"mendeley":{"formattedCitation":"(Sellin &lt;i&gt;et al.&lt;/i&gt;, 2011; Soroor &lt;i&gt;et al.&lt;/i&gt;, 2020)","plainTextFormattedCitation":"(Sellin et al., 2011; Soroor et al., 2020)","previouslyFormattedCitation":"(Sellin &lt;i&gt;et al.&lt;/i&gt;, 2011; Soroor &lt;i&gt;et al.&lt;/i&gt;, 2020)"},"properties":{"noteIndex":0},"schema":"https://github.com/citation-style-language/schema/raw/master/csl-citation.json"}</w:instrText>
      </w:r>
      <w:r>
        <w:fldChar w:fldCharType="separate"/>
      </w:r>
      <w:r>
        <w:rPr>
          <w:noProof/>
        </w:rPr>
        <w:t xml:space="preserve">(Sellin </w:t>
      </w:r>
      <w:r>
        <w:rPr>
          <w:i/>
          <w:noProof/>
        </w:rPr>
        <w:t>et al.</w:t>
      </w:r>
      <w:r>
        <w:rPr>
          <w:noProof/>
        </w:rPr>
        <w:t xml:space="preserve">, 2011; Soroor </w:t>
      </w:r>
      <w:r>
        <w:rPr>
          <w:i/>
          <w:noProof/>
        </w:rPr>
        <w:t>et al.</w:t>
      </w:r>
      <w:r>
        <w:rPr>
          <w:noProof/>
        </w:rPr>
        <w:t>, 2020)</w:t>
      </w:r>
      <w:r>
        <w:fldChar w:fldCharType="end"/>
      </w:r>
      <w:r>
        <w:t xml:space="preserve">, with SEPT7 forming a central G-interface. Our SEPT9 ko cells show indeed a detectable </w:t>
      </w:r>
      <w:proofErr w:type="spellStart"/>
      <w:r>
        <w:t>septin</w:t>
      </w:r>
      <w:proofErr w:type="spellEnd"/>
      <w:r>
        <w:t xml:space="preserve"> cytoskeleton but display severe phenotypes such as defects in cell migration and focal adhesion- and filopodia dysfunction </w:t>
      </w:r>
      <w:r>
        <w:fldChar w:fldCharType="begin" w:fldLock="1"/>
      </w:r>
      <w:r>
        <w:instrText>ADDIN CSL_CITATION {"citationItems":[{"id":"ITEM-1","itemData":{"DOI":"10.26508/LSA.202201686","ISSN":"2575-1077","PMID":"38719752","abstract":"Septins are cytoskeletal proteins that participate in cell adhesion, migration, and polarity establishment. The septin subunit SEPT9 directly interacts with the single LIM domain of epithelial protein lost in neoplasm (EPLIN), an actin-bundling protein. Using a human SEPT9 KO fibroblast cell line, we show that cell adhesion and migration are regulated by the interplay between both proteins. The low motility of SEPT9-depleted cells could be partly rescued by increased levels of EPLIN. The normal organization of actin-related filopodia and stress fibers was directly dependent on the expression level of SEPT9 and EPLIN. Increased levels of SEPT9 and EPLIN enhanced the size of focal adhesions in cell protrusions, correlating with stabilization of actin bundles. Conversely, decreased levels had the opposite effect. Our work thus establishes the interaction between SEPT9 and EPLIN as an important link between the septin and the actin cytoskeleton, influencing cell adhesion, motility, and migration.","author":[{"dropping-particle":"","family":"Hecht","given":"Matthias","non-dropping-particle":"","parse-names":false,"suffix":""},{"dropping-particle":"","family":"Alber","given":"Nane","non-dropping-particle":"","parse-names":false,"suffix":""},{"dropping-particle":"","family":"Marhoffer","given":"Pia","non-dropping-particle":"","parse-names":false,"suffix":""},{"dropping-particle":"","family":"Johnsson","given":"Nils","non-dropping-particle":"","parse-names":false,"suffix":""},{"dropping-particle":"","family":"Gronemeyer","given":"Thomas","non-dropping-particle":"","parse-names":false,"suffix":""}],"container-title":"Life science alliance","id":"ITEM-1","issue":"7","issued":{"date-parts":[["2024","7","1"]]},"publisher":"Life Sci Alliance","title":"The concerted action of SEPT9 and EPLIN modulates the adhesion and migration of human fibroblasts","type":"article-journal","volume":"7"},"uris":["http://www.mendeley.com/documents/?uuid=a6f2a003-b51f-36a6-9118-e787b5e6d6bd"]}],"mendeley":{"formattedCitation":"(Hecht &lt;i&gt;et al.&lt;/i&gt;, 2024)","plainTextFormattedCitation":"(Hecht et al., 2024)","previouslyFormattedCitation":"(Hecht &lt;i&gt;et al.&lt;/i&gt;, 2024)"},"properties":{"noteIndex":0},"schema":"https://github.com/citation-style-language/schema/raw/master/csl-citation.json"}</w:instrText>
      </w:r>
      <w:r>
        <w:fldChar w:fldCharType="separate"/>
      </w:r>
      <w:r>
        <w:rPr>
          <w:noProof/>
        </w:rPr>
        <w:t xml:space="preserve">(Hecht </w:t>
      </w:r>
      <w:r>
        <w:rPr>
          <w:i/>
          <w:noProof/>
        </w:rPr>
        <w:t>et al.</w:t>
      </w:r>
      <w:r>
        <w:rPr>
          <w:noProof/>
        </w:rPr>
        <w:t>, 2024)</w:t>
      </w:r>
      <w:r>
        <w:fldChar w:fldCharType="end"/>
      </w:r>
      <w:r>
        <w:t xml:space="preserve">. SEPT9 with Arg(βb) mutated to alanine is not incorporated into </w:t>
      </w:r>
      <w:proofErr w:type="spellStart"/>
      <w:r>
        <w:t>septin</w:t>
      </w:r>
      <w:proofErr w:type="spellEnd"/>
      <w:r>
        <w:t xml:space="preserve"> filaments in vivo and our in vitro data support that the SEPT7-SEPT9 G-interface is not properly formed.  Cells expressing this mutant as only copy of SEPT9 show overall a ko phenotype regarding filopodia architecture and migratory behavior. </w:t>
      </w:r>
    </w:p>
    <w:p w14:paraId="604E79FA" w14:textId="77777777" w:rsidR="000C600A" w:rsidRDefault="00000000">
      <w:pPr>
        <w:spacing w:line="360" w:lineRule="auto"/>
        <w:jc w:val="both"/>
      </w:pPr>
      <w:r>
        <w:t xml:space="preserve">All in all, the experimental data, both in vitro and in vivo, support convincingly the findings from the </w:t>
      </w:r>
      <w:proofErr w:type="gramStart"/>
      <w:r>
        <w:t>in silico</w:t>
      </w:r>
      <w:proofErr w:type="gramEnd"/>
      <w:r>
        <w:t xml:space="preserve"> approach.  </w:t>
      </w:r>
    </w:p>
    <w:p w14:paraId="3DAA491B" w14:textId="77777777" w:rsidR="000C600A" w:rsidRDefault="00000000">
      <w:pPr>
        <w:spacing w:line="360" w:lineRule="auto"/>
        <w:jc w:val="both"/>
      </w:pPr>
      <w:r>
        <w:t xml:space="preserve">Our herein obtained results from yeast </w:t>
      </w:r>
      <w:proofErr w:type="spellStart"/>
      <w:r>
        <w:t>septins</w:t>
      </w:r>
      <w:proofErr w:type="spellEnd"/>
      <w:r>
        <w:t xml:space="preserve"> contribute to the overall picture that nucleotide coordination by Arg(βb) is a crucial factor for G-interface integrity. Especially the in vitro results for </w:t>
      </w:r>
      <w:proofErr w:type="spellStart"/>
      <w:r>
        <w:t>septins</w:t>
      </w:r>
      <w:proofErr w:type="spellEnd"/>
      <w:r>
        <w:t xml:space="preserve"> across species align entirely since G-interfaces do not form in the test tube when Arg(βb) is mutated, regardless of the tested subunit. </w:t>
      </w:r>
    </w:p>
    <w:p w14:paraId="48C3701E" w14:textId="77777777" w:rsidR="000C600A" w:rsidRDefault="00000000">
      <w:pPr>
        <w:spacing w:line="360" w:lineRule="auto"/>
        <w:jc w:val="both"/>
      </w:pPr>
      <w:r>
        <w:t xml:space="preserve">However, the picture is more complex when it comes to correlate the in silico with the in vivo results for yeast </w:t>
      </w:r>
      <w:proofErr w:type="spellStart"/>
      <w:r>
        <w:t>septins</w:t>
      </w:r>
      <w:proofErr w:type="spellEnd"/>
      <w:r>
        <w:t xml:space="preserve">. </w:t>
      </w:r>
    </w:p>
    <w:p w14:paraId="0CB10A8A" w14:textId="77777777" w:rsidR="000C600A" w:rsidRDefault="00000000">
      <w:pPr>
        <w:spacing w:line="360" w:lineRule="auto"/>
        <w:jc w:val="both"/>
      </w:pPr>
      <w:r>
        <w:t xml:space="preserve">When correlating the output from MD simulations with experimental data, one has to keep two intrinsic limitations of such simulations in mind: First, the unbiased simulations </w:t>
      </w:r>
      <w:r>
        <w:lastRenderedPageBreak/>
        <w:t xml:space="preserve">performed here cover a limited time frame (here 700 ns, requiring approx. two weeks of computing time) but folding- or rearrangements of proteins may require hundreds of nano seconds up to microseconds </w:t>
      </w:r>
      <w:r>
        <w:fldChar w:fldCharType="begin" w:fldLock="1"/>
      </w:r>
      <w:r>
        <w:instrText>ADDIN CSL_CITATION {"citationItems":[{"id":"ITEM-1","itemData":{"DOI":"10.1038/s41598-017-08385-0","ISSN":"2045-2322","PMID":"28821738","abstract":"In order to directly observe the refolding kinetics from a partially misfolded state to a native state in the bottom of the protein-folding funnel, we used a “caging” strategy to trap the β-sheet structure of ubiquitin in a misfolded conformation. We used molecular dynamics simulation to generate the cage-induced, misfolded structure and compared the structure of the misfolded ubiquitin with native ubiquitin. Using laser flash irradiation, the cage can be cleaved from the misfolded structure within one nanosecond, and we monitored the refolding kinetics of ubiquitin from this misfolded state to the native state by photoacoustic calorimetry and photothermal beam deflection techniques on nanosecond to millisecond timescales. Our results showed two refolding events in this refolding process. The fast event is shorter than 20 ns and corresponds to the instant collapse of ubiquitin upon cage release initiated by laser irradiation. The slow event is ~60 μs, derived from a structural rearrangement in β-sheet refolding. The event lasts 10 times longer than the timescale of β-hairpin formation for short peptides as monitored by temperature jump, suggesting that rearrangement of a β-sheet structure from a misfolded state to its native state requires more time than ab initio folding of a β-sheet.","author":[{"dropping-particle":"","family":"Chen","given":"Eric H.L.","non-dropping-particle":"","parse-names":false,"suffix":""},{"dropping-particle":"","family":"Lu","given":"Tony T.Y.","non-dropping-particle":"","parse-names":false,"suffix":""},{"dropping-particle":"","family":"Hsu","given":"Jack C.C.","non-dropping-particle":"","parse-names":false,"suffix":""},{"dropping-particle":"","family":"Tseng","given":"Yufeng Jane","non-dropping-particle":"","parse-names":false,"suffix":""},{"dropping-particle":"","family":"Lim","given":"T. S.","non-dropping-particle":"","parse-names":false,"suffix":""},{"dropping-particle":"","family":"Chen","given":"Rita P.Y.","non-dropping-particle":"","parse-names":false,"suffix":""}],"container-title":"Scientific Reports 2017 7:1","id":"ITEM-1","issue":"1","issued":{"date-parts":[["2017","8","18"]]},"page":"1-11","publisher":"Nature Publishing Group","title":"Directly monitor protein rearrangement on a nanosecond-to-millisecond time-scale","type":"article-journal","volume":"7"},"uris":["http://www.mendeley.com/documents/?uuid=18325eb6-9950-3746-b36c-6bc19b9e3e4d"]}],"mendeley":{"formattedCitation":"(Chen &lt;i&gt;et al.&lt;/i&gt;, 2017)","plainTextFormattedCitation":"(Chen et al., 2017)","previouslyFormattedCitation":"(Chen &lt;i&gt;et al.&lt;/i&gt;, 2017)"},"properties":{"noteIndex":0},"schema":"https://github.com/citation-style-language/schema/raw/master/csl-citation.json"}</w:instrText>
      </w:r>
      <w:r>
        <w:fldChar w:fldCharType="separate"/>
      </w:r>
      <w:r>
        <w:rPr>
          <w:noProof/>
        </w:rPr>
        <w:t xml:space="preserve">(Chen </w:t>
      </w:r>
      <w:r>
        <w:rPr>
          <w:i/>
          <w:noProof/>
        </w:rPr>
        <w:t>et al.</w:t>
      </w:r>
      <w:r>
        <w:rPr>
          <w:noProof/>
        </w:rPr>
        <w:t>, 2017)</w:t>
      </w:r>
      <w:r>
        <w:fldChar w:fldCharType="end"/>
      </w:r>
      <w:r>
        <w:t xml:space="preserve">, exceeding by far a reasonable computing time. Thus, we might have simply missed Arg(βb) flipping in Cdc12 and Shs1 if it occurs later than 700 ns on the reaction coordinate. </w:t>
      </w:r>
      <w:r>
        <w:rPr>
          <w:strike/>
        </w:rPr>
        <w:t>For SEPT6 we also cannot exclude that flipping occurs at a later timepoint than covered by the simulation.</w:t>
      </w:r>
      <w:r>
        <w:t xml:space="preserve"> </w:t>
      </w:r>
    </w:p>
    <w:p w14:paraId="7EEE093A" w14:textId="77777777" w:rsidR="000C600A" w:rsidRDefault="00000000">
      <w:pPr>
        <w:spacing w:line="360" w:lineRule="auto"/>
        <w:jc w:val="both"/>
      </w:pPr>
      <w:r>
        <w:t xml:space="preserve">Second, the simulations on </w:t>
      </w:r>
      <w:proofErr w:type="spellStart"/>
      <w:r>
        <w:t>septin</w:t>
      </w:r>
      <w:proofErr w:type="spellEnd"/>
      <w:r>
        <w:t xml:space="preserve"> dimers depict the scenario of disrupting an already formed dimer while the experiments reproduce the formation of a dimer. This is a fundamental difference that should be kept in mind when interpreting particular structural alterations since </w:t>
      </w:r>
      <w:proofErr w:type="spellStart"/>
      <w:r>
        <w:t>septin</w:t>
      </w:r>
      <w:proofErr w:type="spellEnd"/>
      <w:r>
        <w:t xml:space="preserve"> protofilaments are stable for hours in vitro once they are assembled </w:t>
      </w:r>
      <w:r>
        <w:fldChar w:fldCharType="begin" w:fldLock="1"/>
      </w:r>
      <w:r>
        <w:instrText>ADDIN CSL_CITATION {"citationItems":[{"id":"ITEM-1","itemData":{"abstract":"Background: The detailed understanding of the functions and mechanisms of the actin and microtubuli cytoskeleton depended, besides innovative methods in live cell imaging, on the purification and labeling of its constituents. This allowed researchers to quantitatively measure filament stability, the rates of filament turnover as well as the determination of the influence of cofactors on filament formation and structure. Septins form the least understood class of cytoskeletal structures in nearly all eukaryotic cells so far examined. In yeast, they comprise a family of proteins (Cdc3, Cdc10, Cdc11, Cdc12, Shs1) that form a co-polymeric, ring-like structure beneath the membrane. This ring serves as a template for the formation of a new bud neck and as a landing pat for proteins involved in polar growth and cytokinesis. Further progress in investigating the mechanisms of septin-structure formation and regulation is hampered by the lack of protocols to modify homogenous samples of purified septins with useful probes for in vitro biochemical studies. Results: We present a protocol for the purification and labeling of yeast septin rods. The four individual septin subunits were co-expressed in E.coli. One subunit of the septin polymer was expressed as SNAP tag fusion protein allowing for rapid and stoichiometric labeling with derivatized Benzylguanine (BG). To demonstrate the applicability of our approach, we introduced two different SNAP tag substrates: septin rods labeled with fluorescent BG compounds enabled us to monitor the formation of filaments by fluorescence microscopy whereas BG-biotin was used to couple septin rods to a sensor chip for quantitative surface plasmon resonance binding experiments. In a first application, we determined the affinity and the binding kinetics of the yeast protein Bni5 to the individually coupled septin rods. In a further application we could demonstrate that a once formed septin rod hardly exchange its subunits. Conclusions: The herein introduced protocol of purifying SNAP tag modified septins from E.coli allowed us to derivatize the obtained septin rods with probes for the further in vitro characterization of this class of cytoskeletal elements. The availability of a very diverse set of SNAP tag substrates should open the way to investigate different aspects of septin biochemistry in mechanistic detail.","author":[{"dropping-particle":"","family":"Renz","given":"Christian","non-dropping-particle":"","parse-names":false,"suffix":""},{"dropping-particle":"","family":"Johnsson","given":"Nils","non-dropping-particle":"","parse-names":false,"suffix":""},{"dropping-particle":"","family":"Gronemeyer","given":"Thomas","non-dropping-particle":"","parse-names":false,"suffix":""}],"container-title":"BMC Biotechnology","id":"ITEM-1","issued":{"date-parts":[["2013"]]},"page":"60","title":"An efficient protocol for the purification and labeling of entire yeast septin rods from E.coli for quantitative in vitro experimentation","type":"article-journal","volume":"13"},"uris":["http://www.mendeley.com/documents/?uuid=3424e858-5160-38af-ba0b-639aa962058b"]}],"mendeley":{"formattedCitation":"(Renz &lt;i&gt;et al.&lt;/i&gt;, 2013)","plainTextFormattedCitation":"(Renz et al., 2013)","previouslyFormattedCitation":"(Renz &lt;i&gt;et al.&lt;/i&gt;, 2013)"},"properties":{"noteIndex":0},"schema":"https://github.com/citation-style-language/schema/raw/master/csl-citation.json"}</w:instrText>
      </w:r>
      <w:r>
        <w:fldChar w:fldCharType="separate"/>
      </w:r>
      <w:r>
        <w:rPr>
          <w:noProof/>
        </w:rPr>
        <w:t xml:space="preserve">(Renz </w:t>
      </w:r>
      <w:r>
        <w:rPr>
          <w:i/>
          <w:noProof/>
        </w:rPr>
        <w:t>et al.</w:t>
      </w:r>
      <w:r>
        <w:rPr>
          <w:noProof/>
        </w:rPr>
        <w:t>, 2013)</w:t>
      </w:r>
      <w:r>
        <w:fldChar w:fldCharType="end"/>
      </w:r>
      <w:r>
        <w:t xml:space="preserve">. </w:t>
      </w:r>
    </w:p>
    <w:p w14:paraId="0CE4DFA6" w14:textId="77777777" w:rsidR="000C600A" w:rsidRDefault="00000000">
      <w:pPr>
        <w:spacing w:line="360" w:lineRule="auto"/>
        <w:jc w:val="both"/>
      </w:pPr>
      <w:r>
        <w:t xml:space="preserve">The simulations thus identify weak spots inside the dimer that may also determine dimer formation. However, this has eventually to be confirmed experimentally. </w:t>
      </w:r>
    </w:p>
    <w:p w14:paraId="4364943C" w14:textId="77777777" w:rsidR="000C600A" w:rsidRDefault="00000000">
      <w:pPr>
        <w:spacing w:line="360" w:lineRule="auto"/>
        <w:jc w:val="both"/>
      </w:pPr>
      <w:r>
        <w:t xml:space="preserve">The outer subunits of the yeast </w:t>
      </w:r>
      <w:proofErr w:type="spellStart"/>
      <w:r>
        <w:t>septin</w:t>
      </w:r>
      <w:proofErr w:type="spellEnd"/>
      <w:r>
        <w:t xml:space="preserve"> protofilament Cdc11 and Cdc12 are essential for the cell </w:t>
      </w:r>
      <w:r>
        <w:fldChar w:fldCharType="begin" w:fldLock="1"/>
      </w:r>
      <w:r>
        <w:instrText>ADDIN CSL_CITATION {"citationItems":[{"id":"ITEM-1","itemData":{"DOI":"10.1016/0014-4827(71)90223-0","ISSN":"00144827","author":[{"dropping-particle":"","family":"Hartwell","given":"L","non-dropping-particle":"","parse-names":false,"suffix":""}],"container-title":"Experimental Cell Research","id":"ITEM-1","issue":"2","issued":{"date-parts":[["1971","12"]]},"page":"265-276","title":"Genetic control of the cell division cycle in yeast *1IV. Genes controlling bud emergence and cytokinesis","type":"article-journal","volume":"69"},"uris":["http://www.mendeley.com/documents/?uuid=b2b5f079-4d15-37a7-ab4b-99be0ae5f2a4"]}],"mendeley":{"formattedCitation":"(Hartwell, 1971)","plainTextFormattedCitation":"(Hartwell, 1971)","previouslyFormattedCitation":"(Hartwell, 1971)"},"properties":{"noteIndex":0},"schema":"https://github.com/citation-style-language/schema/raw/master/csl-citation.json"}</w:instrText>
      </w:r>
      <w:r>
        <w:fldChar w:fldCharType="separate"/>
      </w:r>
      <w:r>
        <w:rPr>
          <w:noProof/>
        </w:rPr>
        <w:t>(Hartwell, 1971)</w:t>
      </w:r>
      <w:r>
        <w:fldChar w:fldCharType="end"/>
      </w:r>
      <w:r>
        <w:t xml:space="preserve"> and the Arg(βb) mutation in these subunits is lethal. Shs1 is a non-essential </w:t>
      </w:r>
      <w:proofErr w:type="spellStart"/>
      <w:r>
        <w:t>septin</w:t>
      </w:r>
      <w:proofErr w:type="spellEnd"/>
      <w:r>
        <w:t xml:space="preserve"> that can be replaced by Cdc11 </w:t>
      </w:r>
      <w:r>
        <w:fldChar w:fldCharType="begin" w:fldLock="1"/>
      </w:r>
      <w:r>
        <w:instrText>ADDIN CSL_CITATION {"citationItems":[{"id":"ITEM-1","itemData":{"DOI":"10.1083/jcb.201107123","ISBN":"1540-8140 (Electronic)\\r0021-9525 (Linking)","ISSN":"00219525","PMID":"22144691","abstract":"Septins are conserved guanosine triphosphate-binding cytoskeletal proteins involved in membrane remodeling. In budding yeast, five mitotic septins (Cdc3, Cdc10, Cdc11, Cdc12, and Shs1), which are essential for cytokinesis, transition during bud growth from a patch to a collar, which splits into two rings in cytokinesis and is disassembled before the next cell cycle. Cdc3, Cdc10, Cdc11, and Cdc12 form an apolar octameric rod with Cdc11 at each tip, which polymerizes into straight paired filaments. We show that Shs1 substitutes for Cdc11, resulting in octameric rods that do not polymerize into filaments but associate laterally, forming curved bundles that close into rings. In vivo, half of shs1Δ mutant cells exhibit incomplete collars and disrupted neck filaments. Importantly, different phosphomimetic mutations in Shs1 can either prevent ring formation or promote formation of a gauzelike meshwork. These results show that a single alternative terminal subunit is sufficient to confer a distinctive higher-order septin ultrastructure that can be further regulated by phosphorylation.","author":[{"dropping-particle":"","family":"Garcia","given":"Galo","non-dropping-particle":"","parse-names":false,"suffix":""},{"dropping-particle":"","family":"Bertin","given":"Aurelie","non-dropping-particle":"","parse-names":false,"suffix":""},{"dropping-particle":"","family":"Li","given":"Zhu","non-dropping-particle":"","parse-names":false,"suffix":""},{"dropping-particle":"","family":"Song","given":"Yi","non-dropping-particle":"","parse-names":false,"suffix":""},{"dropping-particle":"","family":"Mcmurray","given":"Michael A.","non-dropping-particle":"","parse-names":false,"suffix":""},{"dropping-particle":"","family":"Thorner","given":"Jeremy","non-dropping-particle":"","parse-names":false,"suffix":""},{"dropping-particle":"","family":"Nogales","given":"Eva","non-dropping-particle":"","parse-names":false,"suffix":""}],"container-title":"Journal of Cell Biology","id":"ITEM-1","issue":"6","issued":{"date-parts":[["2011"]]},"page":"993-1004","title":"Subunit-dependent modulation of septin assembly: Budding yeast septin Shs1 promotes ring and gauze formation","type":"article-journal","volume":"195"},"uris":["http://www.mendeley.com/documents/?uuid=fb75af45-314c-3929-8fa2-0a9ca19e7bc6"]},{"id":"ITEM-2","itemData":{"DOI":"10.1534/GENETICS.107.073007","ISSN":"0016-6731","PMID":"17603111","abstract":"In Saccharomyces cerevisiae, five septins (Cdc3, Cdc10, Cdc11, Cdc12, and Shs1/Sep7) form the septin ring at the bud neck during vegetative growth. We show here that disruption of SHS1 caused cold-sensitive growth in the W303 background, with cells arrested in chains, indicative of a cytokinesis defect. Surprisingly, the other four septins appeared to form an apparently normal septin ring in shs1Δ cells grown under the restrictive condition. We found that Myo1 and Iqg1, two components of the actomyosin contractile ring, and Cyk3, a component of the septum formation, were either delocalized or mislocalized in shs1Delta; cells, suggesting that Shs1 plays supportive roles in cytokinesis. We also found that deletion of SHS1 enhanced or suppressed the septin defect in cdc10Delta; and cdc11Delta; cells, respectively, suggesting that Shs1 is involved in septin organization, exerting different effects on septin-ring assembly, depending on the composition of the septin subunits. Furthermore, we constructed an shs1-100c allele that lacks the coding sequence for the C-terminal 32 amino acids. This allele still displayed the genetic interactions with the septin mutants, but did not show cytokinesis defects as described above, suggesting that the roles of Shs1 in septin organization and cytokinesis are separable. Copyright © 2007 by the Genetics Society of America.","author":[{"dropping-particle":"","family":"Iwase","given":"Masayuki","non-dropping-particle":"","parse-names":false,"suffix":""},{"dropping-particle":"","family":"Luo","given":"Jianying","non-dropping-particle":"","parse-names":false,"suffix":""},{"dropping-particle":"","family":"Bi","given":"Erfei","non-dropping-particle":"","parse-names":false,"suffix":""},{"dropping-particle":"","family":"Toh-E","given":"Akio","non-dropping-particle":"","parse-names":false,"suffix":""}],"container-title":"Genetics","id":"ITEM-2","issue":"1","issued":{"date-parts":[["2007","9"]]},"page":"215-229","publisher":"Genetics","title":"Shs1 plays separable roles in septin organization and cytokinesis in Saccharomyces cerevisiae","type":"article-journal","volume":"177"},"uris":["http://www.mendeley.com/documents/?uuid=72f62a26-e1f5-372e-8300-c219d82fda5d"]}],"mendeley":{"formattedCitation":"(Iwase &lt;i&gt;et al.&lt;/i&gt;, 2007; Garcia &lt;i&gt;et al.&lt;/i&gt;, 2011)","plainTextFormattedCitation":"(Iwase et al., 2007; Garcia et al., 2011)","previouslyFormattedCitation":"(Iwase &lt;i&gt;et al.&lt;/i&gt;, 2007; Garcia &lt;i&gt;et al.&lt;/i&gt;, 2011)"},"properties":{"noteIndex":0},"schema":"https://github.com/citation-style-language/schema/raw/master/csl-citation.json"}</w:instrText>
      </w:r>
      <w:r>
        <w:fldChar w:fldCharType="separate"/>
      </w:r>
      <w:r>
        <w:rPr>
          <w:noProof/>
        </w:rPr>
        <w:t xml:space="preserve">(Iwase </w:t>
      </w:r>
      <w:r>
        <w:rPr>
          <w:i/>
          <w:noProof/>
        </w:rPr>
        <w:t>et al.</w:t>
      </w:r>
      <w:r>
        <w:rPr>
          <w:noProof/>
        </w:rPr>
        <w:t xml:space="preserve">, 2007; Garcia </w:t>
      </w:r>
      <w:r>
        <w:rPr>
          <w:i/>
          <w:noProof/>
        </w:rPr>
        <w:t>et al.</w:t>
      </w:r>
      <w:r>
        <w:rPr>
          <w:noProof/>
        </w:rPr>
        <w:t>, 2011)</w:t>
      </w:r>
      <w:r>
        <w:fldChar w:fldCharType="end"/>
      </w:r>
      <w:r>
        <w:t xml:space="preserve"> and consequently neither the ko of this subunit nor the Arg(βb)-mutation within is lethal. </w:t>
      </w:r>
    </w:p>
    <w:p w14:paraId="04978CBB" w14:textId="77777777" w:rsidR="000C600A" w:rsidRDefault="00000000">
      <w:pPr>
        <w:spacing w:line="360" w:lineRule="auto"/>
        <w:jc w:val="both"/>
        <w:rPr>
          <w:b/>
          <w:bCs/>
        </w:rPr>
      </w:pPr>
      <w:r>
        <w:t xml:space="preserve">Neither Cdc11, nor Shs1, nor Cdc12 are incorporated into </w:t>
      </w:r>
      <w:proofErr w:type="spellStart"/>
      <w:r>
        <w:t>septin</w:t>
      </w:r>
      <w:proofErr w:type="spellEnd"/>
      <w:r>
        <w:t xml:space="preserve"> structures in vivo when bearing the Arg(βb) mutation. Correlating these findings with the results from human </w:t>
      </w:r>
      <w:proofErr w:type="spellStart"/>
      <w:r>
        <w:t>septins</w:t>
      </w:r>
      <w:proofErr w:type="spellEnd"/>
      <w:r>
        <w:t xml:space="preserve">, one would expect to find Arg(βb) flipping at least in the catalytically active Cdc12 and a decreased inter-subunit affinity in the Shs1-Cdc12 dimer upon nucleotide removal and upon Arg(βb)-mutation. While the affinity decrease can indeed be detected in silico, neither Shs1 nor Cdc12 display Arg(βb) flipping in the apo forms within the time frame of the simulation. </w:t>
      </w:r>
    </w:p>
    <w:p w14:paraId="44FE879F" w14:textId="77777777" w:rsidR="000C600A" w:rsidRDefault="00000000">
      <w:pPr>
        <w:spacing w:line="360" w:lineRule="auto"/>
        <w:jc w:val="both"/>
      </w:pPr>
      <w:r>
        <w:t xml:space="preserve">For the inner subunits of the protofilament Cdc3 and Cdc10 introduction of the Arg(βb) mutation is not lethal but leads only to temperature sensitivity although both subunits are also essential </w:t>
      </w:r>
      <w:r>
        <w:fldChar w:fldCharType="begin" w:fldLock="1"/>
      </w:r>
      <w:r>
        <w:instrText>ADDIN CSL_CITATION {"citationItems":[{"id":"ITEM-1","itemData":{"DOI":"10.1016/0014-4827(71)90223-0","ISSN":"00144827","author":[{"dropping-particle":"","family":"Hartwell","given":"L","non-dropping-particle":"","parse-names":false,"suffix":""}],"container-title":"Experimental Cell Research","id":"ITEM-1","issue":"2","issued":{"date-parts":[["1971","12"]]},"page":"265-276","title":"Genetic control of the cell division cycle in yeast *1IV. Genes controlling bud emergence and cytokinesis","type":"article-journal","volume":"69"},"uris":["http://www.mendeley.com/documents/?uuid=b2b5f079-4d15-37a7-ab4b-99be0ae5f2a4"]}],"mendeley":{"formattedCitation":"(Hartwell, 1971)","plainTextFormattedCitation":"(Hartwell, 1971)","previouslyFormattedCitation":"(Hartwell, 1971)"},"properties":{"noteIndex":0},"schema":"https://github.com/citation-style-language/schema/raw/master/csl-citation.json"}</w:instrText>
      </w:r>
      <w:r>
        <w:fldChar w:fldCharType="separate"/>
      </w:r>
      <w:r>
        <w:rPr>
          <w:noProof/>
        </w:rPr>
        <w:t>(Hartwell, 1971)</w:t>
      </w:r>
      <w:r>
        <w:fldChar w:fldCharType="end"/>
      </w:r>
      <w:r>
        <w:t xml:space="preserve">. Localization to </w:t>
      </w:r>
      <w:proofErr w:type="spellStart"/>
      <w:r>
        <w:t>septin</w:t>
      </w:r>
      <w:proofErr w:type="spellEnd"/>
      <w:r>
        <w:t xml:space="preserve"> structures at the </w:t>
      </w:r>
      <w:proofErr w:type="spellStart"/>
      <w:r>
        <w:t>budneck</w:t>
      </w:r>
      <w:proofErr w:type="spellEnd"/>
      <w:r>
        <w:t xml:space="preserve"> is weakened for both subunits with Arg(βb) mutation, but still detectable. In line with these findings, the intra-subunit affinity in the Cdc3-Cdc10 interface is only decreased for the apo form but not for the interface bearing the Arg(βb) mutation. This can be explained by the finding that Asp(G4) hydrogen binding to the ribose ring remained intact after the unbiased simulation </w:t>
      </w:r>
      <w:r>
        <w:lastRenderedPageBreak/>
        <w:t>upon introduction of the Arg(βb) mutation in Cdc3 and Cdc10. Nucleotide might be bound with reduced affinity by the mutant. Arg(βb) flipping can however be seen for both subunits.</w:t>
      </w:r>
    </w:p>
    <w:p w14:paraId="73A5C69C" w14:textId="77777777" w:rsidR="000C600A" w:rsidRDefault="00000000">
      <w:pPr>
        <w:spacing w:line="360" w:lineRule="auto"/>
        <w:jc w:val="both"/>
      </w:pPr>
      <w:r>
        <w:t xml:space="preserve">It should be noted at this point that removal of the nucleotide or introduction of the Arg(βb) mutation leads in silico to other structural rearrangements in yeast </w:t>
      </w:r>
      <w:proofErr w:type="spellStart"/>
      <w:r>
        <w:t>septins</w:t>
      </w:r>
      <w:proofErr w:type="spellEnd"/>
      <w:r>
        <w:t xml:space="preserve"> than Arg(βb) flipping, possibly destabilizing the SUE. Notably, the contact between the conserved </w:t>
      </w:r>
      <w:proofErr w:type="spellStart"/>
      <w:r>
        <w:t>Trp</w:t>
      </w:r>
      <w:proofErr w:type="spellEnd"/>
      <w:r>
        <w:t xml:space="preserve">(βb) residues is lost in both the Cdc3-Cdc10 and Shs1-Cdc12 interfaces. </w:t>
      </w:r>
      <w:proofErr w:type="spellStart"/>
      <w:r>
        <w:t>Trp</w:t>
      </w:r>
      <w:proofErr w:type="spellEnd"/>
      <w:r>
        <w:t xml:space="preserve">(βb) has an important impact on inter-subunit stability and G-interface maintenance </w:t>
      </w:r>
      <w:r>
        <w:fldChar w:fldCharType="begin" w:fldLock="1"/>
      </w:r>
      <w:r>
        <w:instrText>ADDIN CSL_CITATION {"citationItems":[{"id":"ITEM-1","itemData":{"DOI":"10.1038/nature06052","ISBN":"1476-4687 (Electronic)\\r0028-0836 (Linking)","ISSN":"14764687","PMID":"17637674","abstract":"Septins are GTP-binding proteins that assemble into homo- and hetero-oligomers and filaments. Although they have key roles in various cellular processes, little is known concerning the structure of septin subunits or the organization and polarity of septin complexes. Here we present the structures of the human SEPT2 G domain and the heterotrimeric human SEPT2-SEPT6-SEPT7 complex. The structures reveal a universal bipolar polymer building block, composed of an extended G domain, which forms oligomers and filaments by conserved interactions between adjacent nucleotide-binding sites and/or the amino- and carboxy-terminal extensions. Unexpectedly, X-ray crystallography and electron microscopy showed that the predicted coiled coils are not involved in or required for complex and/or filament formation. The asymmetrical heterotrimers associate head-to-head to form a hexameric unit that is nonpolarized along the filament axis but is rotationally asymmetrical. The architecture of septin filaments differs fundamentally from that of other cytoskeletal structures.","author":[{"dropping-particle":"","family":"Sirajuddin","given":"Minhajuddin","non-dropping-particle":"","parse-names":false,"suffix":""},{"dropping-particle":"","family":"Farkasovsky","given":"Marian","non-dropping-particle":"","parse-names":false,"suffix":""},{"dropping-particle":"","family":"Hauer","given":"Florian","non-dropping-particle":"","parse-names":false,"suffix":""},{"dropping-particle":"","family":"Kühlmann","given":"Dorothee","non-dropping-particle":"","parse-names":false,"suffix":""},{"dropping-particle":"","family":"Macara","given":"Ian G.","non-dropping-particle":"","parse-names":false,"suffix":""},{"dropping-particle":"","family":"Weyand","given":"Michael","non-dropping-particle":"","parse-names":false,"suffix":""},{"dropping-particle":"","family":"Stark","given":"Holger","non-dropping-particle":"","parse-names":false,"suffix":""},{"dropping-particle":"","family":"Wittinghofer","given":"Alfred","non-dropping-particle":"","parse-names":false,"suffix":""}],"container-title":"Nature","id":"ITEM-1","issue":"7160","issued":{"date-parts":[["2007","9","20"]]},"page":"311-315","title":"Structural insight into filament formation by mammalian septins","type":"article-journal","volume":"449"},"uris":["http://www.mendeley.com/documents/?uuid=ff3a718f-c260-300a-87b6-5d6b199b9ad3"]},{"id":"ITEM-2","itemData":{"DOI":"10.1186/S12862-018-1297-8","ISSN":"1471-2148","PMID":"30616529","abstract":"Background: Septins are cytoskeletal proteins important in cell division and in establishing and maintaining cell polarity. Although septins are found in various eukaryotes, septin genes had the richest history of duplication and diversification in the animals, fungi and protists that comprise opisthokonts. Opisthokont septin paralogs encode modular proteins that assemble into heteropolymeric higher order structures. The heteropolymers can create physical barriers to diffusion or serve as scaffolds organizing other morphogenetic proteins. How the paralogous septin modules interact to form heteropolymers is still unclear. Through comparative analyses, we hoped to clarify the evolutionary origin of septin diversity and to suggest which amino acid residues were responsible for subunit binding specificity. Results: Here we take advantage of newly sequenced genomes to reconcile septin gene trees with a species phylogeny from 22 animals, fungi and protists. Our phylogenetic analysis divided 120 septins representing the 22 taxa into seven clades (Groups) of paralogs. Suggesting that septin genes duplicated early in opisthokont evolution, animal and fungal lineages share septin Groups 1A, 4 and possibly also 1B and 2. Group 5 septins were present in fungi but not in animals and whether they were present in the opisthokont ancestor was unclear. Protein homology folding showed that previously identified conserved septin motifs were all located near interface regions between the adjacent septin monomers. We found specific interface residues associated with each septin Group that are candidates for providing subunit binding specificity. Conclusions: This work reveals that duplication of septin genes began in an ancestral opisthokont more than a billion years ago and continued through the diversification of animals and fungi. Evidence for evolutionary conservation of ~ 49 interface residues will inform mutagenesis experiments and lead to improved understanding of the rules guiding septin heteropolymer formation and from there, to improved understanding of development of form in animals and fungi.","author":[{"dropping-particle":"","family":"Auxier","given":"Benjamin","non-dropping-particle":"","parse-names":false,"suffix":""},{"dropping-particle":"","family":"Dee","given":"Jaclyn","non-dropping-particle":"","parse-names":false,"suffix":""},{"dropping-particle":"","family":"Berbee","given":"Mary L.","non-dropping-particle":"","parse-names":false,"suffix":""},{"dropping-particle":"","family":"Momany","given":"Michelle","non-dropping-particle":"","parse-names":false,"suffix":""}],"container-title":"BMC evolutionary biology","id":"ITEM-2","issue":"1","issued":{"date-parts":[["2019","1","7"]]},"publisher":"BMC Evol Biol","title":"Diversity of opisthokont septin proteins reveals structural constraints and conserved motifs","type":"article-journal","volume":"19"},"uris":["http://www.mendeley.com/documents/?uuid=1147377f-c5e4-3e24-9d20-752cc268dda3"]}],"mendeley":{"formattedCitation":"(Sirajuddin &lt;i&gt;et al.&lt;/i&gt;, 2007; Auxier &lt;i&gt;et al.&lt;/i&gt;, 2019)","plainTextFormattedCitation":"(Sirajuddin et al., 2007; Auxier et al., 2019)","previouslyFormattedCitation":"(Sirajuddin &lt;i&gt;et al.&lt;/i&gt;, 2007; Auxier &lt;i&gt;et al.&lt;/i&gt;, 2019)"},"properties":{"noteIndex":0},"schema":"https://github.com/citation-style-language/schema/raw/master/csl-citation.json"}</w:instrText>
      </w:r>
      <w:r>
        <w:fldChar w:fldCharType="separate"/>
      </w:r>
      <w:r>
        <w:rPr>
          <w:noProof/>
        </w:rPr>
        <w:t xml:space="preserve">(Sirajuddin </w:t>
      </w:r>
      <w:r>
        <w:rPr>
          <w:i/>
          <w:noProof/>
        </w:rPr>
        <w:t>et al.</w:t>
      </w:r>
      <w:r>
        <w:rPr>
          <w:noProof/>
        </w:rPr>
        <w:t xml:space="preserve">, 2007; Auxier </w:t>
      </w:r>
      <w:r>
        <w:rPr>
          <w:i/>
          <w:noProof/>
        </w:rPr>
        <w:t>et al.</w:t>
      </w:r>
      <w:r>
        <w:rPr>
          <w:noProof/>
        </w:rPr>
        <w:t>, 2019)</w:t>
      </w:r>
      <w:r>
        <w:fldChar w:fldCharType="end"/>
      </w:r>
      <w:r>
        <w:t xml:space="preserve"> and </w:t>
      </w:r>
      <w:proofErr w:type="spellStart"/>
      <w:r>
        <w:t>Trp</w:t>
      </w:r>
      <w:proofErr w:type="spellEnd"/>
      <w:r>
        <w:t xml:space="preserve">(βb) dislocation might be responsible for the partial destabilization of the interface. </w:t>
      </w:r>
    </w:p>
    <w:p w14:paraId="39C1456F" w14:textId="77777777" w:rsidR="000C600A" w:rsidRDefault="00000000">
      <w:pPr>
        <w:spacing w:line="360" w:lineRule="auto"/>
        <w:jc w:val="both"/>
      </w:pPr>
      <w:r>
        <w:t xml:space="preserve">The Cdc3 and Cdc10 subunits including the Arg(βb) mutation might thus have a sufficient (but weakened) remaining overall affinity to form a G-interface in vivo (maybe promoted by other intracellular factors or conditions), resulting in the observed phenotypes. However, this remaining affinity is obviously not sufficient to form the interface in vitro. In Shs1, Cdc11 and Cdc12 the destabilizing effects </w:t>
      </w:r>
      <w:proofErr w:type="gramStart"/>
      <w:r>
        <w:t>prevail</w:t>
      </w:r>
      <w:proofErr w:type="gramEnd"/>
      <w:r>
        <w:t xml:space="preserve"> and the interface is neither formed in vivo nor in vitro. </w:t>
      </w:r>
    </w:p>
    <w:p w14:paraId="4691896B" w14:textId="77777777" w:rsidR="000C600A" w:rsidRDefault="00000000">
      <w:pPr>
        <w:spacing w:line="360" w:lineRule="auto"/>
        <w:jc w:val="both"/>
      </w:pPr>
      <w:r>
        <w:t xml:space="preserve">Taken together, we have identified nucleotide coordination by the conserved Arg(βb) as a crucial factor for G-interface formation in </w:t>
      </w:r>
      <w:proofErr w:type="spellStart"/>
      <w:r>
        <w:t>septins</w:t>
      </w:r>
      <w:proofErr w:type="spellEnd"/>
      <w:r>
        <w:t xml:space="preserve"> from yeast and man. We suggest that </w:t>
      </w:r>
      <w:proofErr w:type="spellStart"/>
      <w:r>
        <w:t>septins</w:t>
      </w:r>
      <w:proofErr w:type="spellEnd"/>
      <w:r>
        <w:t xml:space="preserve"> have during evolution rededicated utilization of the nucleotide from signal transduction to a tool to induce and/or report protofilament completion. In how far the nature of the nucleotide and the process of GTP hydrolysis are crucial factors in this process needs to be further investigated. </w:t>
      </w:r>
    </w:p>
    <w:p w14:paraId="58519C65" w14:textId="77777777" w:rsidR="000C600A" w:rsidRDefault="000C600A">
      <w:pPr>
        <w:spacing w:line="360" w:lineRule="auto"/>
        <w:jc w:val="both"/>
      </w:pPr>
    </w:p>
    <w:p w14:paraId="4DE9B651" w14:textId="77777777" w:rsidR="000C600A" w:rsidRDefault="000C600A">
      <w:pPr>
        <w:spacing w:line="360" w:lineRule="auto"/>
        <w:jc w:val="both"/>
      </w:pPr>
    </w:p>
    <w:p w14:paraId="1A042349" w14:textId="77777777" w:rsidR="000C600A" w:rsidRDefault="00000000">
      <w:pPr>
        <w:rPr>
          <w:b/>
        </w:rPr>
      </w:pPr>
      <w:r>
        <w:rPr>
          <w:b/>
        </w:rPr>
        <w:t>Materials and Methods</w:t>
      </w:r>
    </w:p>
    <w:p w14:paraId="2BCA638A" w14:textId="77777777" w:rsidR="000C600A" w:rsidRDefault="000C600A">
      <w:pPr>
        <w:rPr>
          <w:b/>
        </w:rPr>
      </w:pPr>
    </w:p>
    <w:p w14:paraId="0E596B92" w14:textId="77777777" w:rsidR="000C600A" w:rsidRDefault="00000000">
      <w:pPr>
        <w:spacing w:line="360" w:lineRule="auto"/>
        <w:rPr>
          <w:i/>
        </w:rPr>
      </w:pPr>
      <w:r>
        <w:rPr>
          <w:i/>
        </w:rPr>
        <w:t>Protein crystallization and structure determination</w:t>
      </w:r>
    </w:p>
    <w:p w14:paraId="178069A1" w14:textId="77777777" w:rsidR="000C600A" w:rsidRDefault="00000000">
      <w:pPr>
        <w:spacing w:line="360" w:lineRule="auto"/>
        <w:jc w:val="both"/>
      </w:pPr>
      <w:r>
        <w:t xml:space="preserve">Protein expression and purification for crystallization was performed as described previously (Grupp </w:t>
      </w:r>
      <w:r>
        <w:rPr>
          <w:i/>
        </w:rPr>
        <w:t>et al.</w:t>
      </w:r>
      <w:r>
        <w:t xml:space="preserve">, 2024) with the exception that 10 mM </w:t>
      </w:r>
      <w:proofErr w:type="spellStart"/>
      <w:r>
        <w:t>NaF</w:t>
      </w:r>
      <w:proofErr w:type="spellEnd"/>
      <w:r>
        <w:t xml:space="preserve"> was added to the protein preparation after the preparative size exclusion chromatography. </w:t>
      </w:r>
    </w:p>
    <w:p w14:paraId="3460F1B2" w14:textId="77777777" w:rsidR="000C600A" w:rsidRDefault="00000000">
      <w:pPr>
        <w:spacing w:line="360" w:lineRule="auto"/>
        <w:jc w:val="both"/>
      </w:pPr>
      <w:proofErr w:type="spellStart"/>
      <w:r>
        <w:t>Septin</w:t>
      </w:r>
      <w:proofErr w:type="spellEnd"/>
      <w:r>
        <w:t xml:space="preserve"> complexes were crystallized by sitting-drop vapor diffusion. Diffracting crystals were obtained with 0.33 µL of protein solution (3 mg / mL) mixed with 0.21 µL of a reservoir condition containing 17.5 % PEG 5000, 0.1 M (NH</w:t>
      </w:r>
      <w:r>
        <w:rPr>
          <w:vertAlign w:val="subscript"/>
        </w:rPr>
        <w:t>4</w:t>
      </w:r>
      <w:r>
        <w:t>)</w:t>
      </w:r>
      <w:r>
        <w:rPr>
          <w:vertAlign w:val="subscript"/>
        </w:rPr>
        <w:t>2</w:t>
      </w:r>
      <w:r>
        <w:t>SO</w:t>
      </w:r>
      <w:r>
        <w:rPr>
          <w:vertAlign w:val="subscript"/>
        </w:rPr>
        <w:t>4 </w:t>
      </w:r>
      <w:r>
        <w:t xml:space="preserve">and 0.1 M Bis-Tris pH 6.5 and 0.06 µL of a seeding solution. Crystals appeared within one day upon incubation of the crystallization </w:t>
      </w:r>
      <w:r>
        <w:lastRenderedPageBreak/>
        <w:t>plates at 20 °C. Crystals were cryoprotected in 10 % 2,3-butandiol prior to flash-freezing in liquid nitrogen. The diffraction experiments were carried out at the ID30B beamline of the ESRF (doi.10.15151/ESRF-ES-928402160) at 100 K at a wavelength of 0.873129 Å. </w:t>
      </w:r>
    </w:p>
    <w:p w14:paraId="062519F3" w14:textId="77777777" w:rsidR="000C600A" w:rsidRDefault="00000000">
      <w:pPr>
        <w:spacing w:line="360" w:lineRule="auto"/>
        <w:jc w:val="both"/>
      </w:pPr>
      <w:r>
        <w:t xml:space="preserve">Merged X-ray diffraction data were obtained from the ESRF </w:t>
      </w:r>
      <w:proofErr w:type="spellStart"/>
      <w:r>
        <w:t>autoprocessing</w:t>
      </w:r>
      <w:proofErr w:type="spellEnd"/>
      <w:r>
        <w:t xml:space="preserve"> pipeline using XDS (</w:t>
      </w:r>
      <w:proofErr w:type="spellStart"/>
      <w:r>
        <w:t>Kabsch</w:t>
      </w:r>
      <w:proofErr w:type="spellEnd"/>
      <w:r>
        <w:t xml:space="preserve">, 2010) as part of </w:t>
      </w:r>
      <w:proofErr w:type="spellStart"/>
      <w:r>
        <w:t>autoPROC</w:t>
      </w:r>
      <w:proofErr w:type="spellEnd"/>
      <w:r>
        <w:t xml:space="preserve"> </w:t>
      </w:r>
      <w:proofErr w:type="spellStart"/>
      <w:r>
        <w:t>Staraniso</w:t>
      </w:r>
      <w:proofErr w:type="spellEnd"/>
      <w:r>
        <w:t xml:space="preserve"> (</w:t>
      </w:r>
      <w:proofErr w:type="spellStart"/>
      <w:r>
        <w:t>Vonrhein</w:t>
      </w:r>
      <w:proofErr w:type="spellEnd"/>
      <w:r>
        <w:t xml:space="preserve"> </w:t>
      </w:r>
      <w:r>
        <w:rPr>
          <w:i/>
        </w:rPr>
        <w:t>et al.</w:t>
      </w:r>
      <w:r>
        <w:t xml:space="preserve">, 2018). </w:t>
      </w:r>
    </w:p>
    <w:p w14:paraId="58614269" w14:textId="77777777" w:rsidR="000C600A" w:rsidRDefault="00000000">
      <w:pPr>
        <w:spacing w:line="360" w:lineRule="auto"/>
        <w:jc w:val="both"/>
      </w:pPr>
      <w:r>
        <w:t xml:space="preserve">The structure was solved by molecular replacement in Phaser (McCoy </w:t>
      </w:r>
      <w:r>
        <w:rPr>
          <w:i/>
        </w:rPr>
        <w:t>et al.</w:t>
      </w:r>
      <w:r>
        <w:t xml:space="preserve">, 2007) using the subunits from PDB-ID 8PFH as template. The final model was completed by iterative rounds of automated refinement and model building in the Phenix package (Adams </w:t>
      </w:r>
      <w:r>
        <w:rPr>
          <w:i/>
        </w:rPr>
        <w:t>et al.</w:t>
      </w:r>
      <w:r>
        <w:t xml:space="preserve">, 2010), </w:t>
      </w:r>
      <w:proofErr w:type="spellStart"/>
      <w:r>
        <w:t>autoBUSTER</w:t>
      </w:r>
      <w:proofErr w:type="spellEnd"/>
      <w:r>
        <w:t xml:space="preserve"> (</w:t>
      </w:r>
      <w:proofErr w:type="spellStart"/>
      <w:r>
        <w:t>Bricogne</w:t>
      </w:r>
      <w:proofErr w:type="spellEnd"/>
      <w:r>
        <w:t xml:space="preserve"> G., Blanc E., </w:t>
      </w:r>
      <w:proofErr w:type="spellStart"/>
      <w:r>
        <w:t>Brandl</w:t>
      </w:r>
      <w:proofErr w:type="spellEnd"/>
      <w:r>
        <w:t xml:space="preserve"> M., Flensburg C., Keller P. and </w:t>
      </w:r>
      <w:proofErr w:type="spellStart"/>
      <w:r>
        <w:t>Roversi</w:t>
      </w:r>
      <w:proofErr w:type="spellEnd"/>
      <w:r>
        <w:t xml:space="preserve"> P, </w:t>
      </w:r>
      <w:proofErr w:type="spellStart"/>
      <w:r>
        <w:t>Sharff</w:t>
      </w:r>
      <w:proofErr w:type="spellEnd"/>
      <w:r>
        <w:t xml:space="preserve"> A., Smart O.S., </w:t>
      </w:r>
      <w:proofErr w:type="spellStart"/>
      <w:r>
        <w:t>Vonrhein</w:t>
      </w:r>
      <w:proofErr w:type="spellEnd"/>
      <w:r>
        <w:t xml:space="preserve"> C., 2017) and Coot (Emsley </w:t>
      </w:r>
      <w:r>
        <w:rPr>
          <w:i/>
        </w:rPr>
        <w:t>et al.</w:t>
      </w:r>
      <w:r>
        <w:t xml:space="preserve">, 2010). Initial automated refinement cycles in Phenix consisted of reciprocal and -real space positional refinement as well as grouped B-factor refinement and TLS refinement while applying secondary structure restraints. In later stages of model building automated refinement was performed using </w:t>
      </w:r>
      <w:proofErr w:type="spellStart"/>
      <w:r>
        <w:t>autoBUSTER</w:t>
      </w:r>
      <w:proofErr w:type="spellEnd"/>
      <w:r>
        <w:t xml:space="preserve"> with individual B-factor and TLS refinement. After refinement the final model exhibited 97.85 % Ramachandran favored residues, of these 2.15 % in allowed regions, and a clash-score of 1.33 as determined by </w:t>
      </w:r>
      <w:proofErr w:type="spellStart"/>
      <w:r>
        <w:t>MolProbity</w:t>
      </w:r>
      <w:proofErr w:type="spellEnd"/>
      <w:r>
        <w:t xml:space="preserve"> as part of </w:t>
      </w:r>
      <w:proofErr w:type="spellStart"/>
      <w:r>
        <w:t>autoBUSTER</w:t>
      </w:r>
      <w:proofErr w:type="spellEnd"/>
      <w:r>
        <w:t>.</w:t>
      </w:r>
    </w:p>
    <w:p w14:paraId="263DACC2" w14:textId="77777777" w:rsidR="000C600A" w:rsidRDefault="00000000">
      <w:pPr>
        <w:spacing w:line="360" w:lineRule="auto"/>
        <w:jc w:val="both"/>
      </w:pPr>
      <w:r>
        <w:t xml:space="preserve">The structure was deposited in the PDB under identifier 9GD4. The refinement statistics are shown as </w:t>
      </w:r>
      <w:r>
        <w:rPr>
          <w:highlight w:val="green"/>
        </w:rPr>
        <w:t xml:space="preserve">Suppl. Table </w:t>
      </w:r>
      <w:r>
        <w:t xml:space="preserve">1.  </w:t>
      </w:r>
    </w:p>
    <w:p w14:paraId="2719568F" w14:textId="77777777" w:rsidR="000C600A" w:rsidRDefault="000C600A">
      <w:pPr>
        <w:spacing w:line="360" w:lineRule="auto"/>
      </w:pPr>
    </w:p>
    <w:p w14:paraId="121A7BC0" w14:textId="77777777" w:rsidR="000C600A" w:rsidRDefault="00000000">
      <w:pPr>
        <w:spacing w:line="360" w:lineRule="auto"/>
        <w:rPr>
          <w:i/>
        </w:rPr>
      </w:pPr>
      <w:r>
        <w:rPr>
          <w:i/>
        </w:rPr>
        <w:t xml:space="preserve">MD Simulations </w:t>
      </w:r>
    </w:p>
    <w:p w14:paraId="1D0A3963" w14:textId="77777777" w:rsidR="000C600A" w:rsidRDefault="00000000">
      <w:pPr>
        <w:spacing w:line="360" w:lineRule="auto"/>
        <w:jc w:val="both"/>
      </w:pPr>
      <w:r>
        <w:t xml:space="preserve">All MD simulations were performed in GROMACS v. 2022.2 (Abraham </w:t>
      </w:r>
      <w:r>
        <w:rPr>
          <w:i/>
        </w:rPr>
        <w:t>et al.</w:t>
      </w:r>
      <w:r>
        <w:t xml:space="preserve">, 2015) using the CHARMM36m force field (Huang </w:t>
      </w:r>
      <w:r>
        <w:rPr>
          <w:i/>
        </w:rPr>
        <w:t>et al.</w:t>
      </w:r>
      <w:r>
        <w:t xml:space="preserve">, 2017) on the JUSTUS2 high performance cluster at Ulm University. Time steps for the integration were set to 2 fs and bonds to hydrogen atoms were constrained using the </w:t>
      </w:r>
      <w:proofErr w:type="spellStart"/>
      <w:r>
        <w:t>LINear</w:t>
      </w:r>
      <w:proofErr w:type="spellEnd"/>
      <w:r>
        <w:t xml:space="preserve"> Constraint Solver (LINCS) algorithm (Hess </w:t>
      </w:r>
      <w:r>
        <w:rPr>
          <w:i/>
        </w:rPr>
        <w:t>et al.</w:t>
      </w:r>
      <w:r>
        <w:t xml:space="preserve">, 1997; Hess, 2008). No dispersion correction was applied. The particle mesh Ewald (PME) algorithm (Darden </w:t>
      </w:r>
      <w:r>
        <w:rPr>
          <w:i/>
        </w:rPr>
        <w:t>et al.</w:t>
      </w:r>
      <w:r>
        <w:t xml:space="preserve">, 1998; </w:t>
      </w:r>
      <w:proofErr w:type="spellStart"/>
      <w:r>
        <w:t>Essmann</w:t>
      </w:r>
      <w:proofErr w:type="spellEnd"/>
      <w:r>
        <w:t xml:space="preserve"> </w:t>
      </w:r>
      <w:r>
        <w:rPr>
          <w:i/>
        </w:rPr>
        <w:t>et al.</w:t>
      </w:r>
      <w:r>
        <w:t>, 1998) was employed for treatment of electrostatic interactions with a real-space cutoff of 1.2 nm. Short-range Lennard-Jones interactions were smoothly switched to zero between 1.0 and 1.2 nm. Periodic boundary conditions were applied in all directions.</w:t>
      </w:r>
    </w:p>
    <w:p w14:paraId="2C484D21" w14:textId="77777777" w:rsidR="000C600A" w:rsidRDefault="00000000">
      <w:pPr>
        <w:spacing w:line="360" w:lineRule="auto"/>
        <w:jc w:val="both"/>
      </w:pPr>
      <w:r>
        <w:t>The Cdc</w:t>
      </w:r>
      <w:proofErr w:type="gramStart"/>
      <w:r>
        <w:t>10:GDP</w:t>
      </w:r>
      <w:proofErr w:type="gramEnd"/>
      <w:r>
        <w:t>-Cdc3:GDP:Mg</w:t>
      </w:r>
      <w:r>
        <w:rPr>
          <w:vertAlign w:val="superscript"/>
        </w:rPr>
        <w:t>2+</w:t>
      </w:r>
      <w:r>
        <w:t xml:space="preserve"> and Cdc12:GDP-Shs1:GDP dimers were extracted from PDB-ID 9GD4 and truncated to their G-domains (Cdc10</w:t>
      </w:r>
      <w:r>
        <w:rPr>
          <w:vertAlign w:val="subscript"/>
        </w:rPr>
        <w:t>F31-I301</w:t>
      </w:r>
      <w:r>
        <w:t>, Cdc3</w:t>
      </w:r>
      <w:r>
        <w:rPr>
          <w:vertAlign w:val="subscript"/>
        </w:rPr>
        <w:t>F118-A410</w:t>
      </w:r>
      <w:r>
        <w:t>, Cdc12</w:t>
      </w:r>
      <w:r>
        <w:rPr>
          <w:vertAlign w:val="subscript"/>
        </w:rPr>
        <w:t>G33-E313</w:t>
      </w:r>
      <w:r>
        <w:t>, Shs1</w:t>
      </w:r>
      <w:r>
        <w:rPr>
          <w:vertAlign w:val="subscript"/>
        </w:rPr>
        <w:t>I22-S338</w:t>
      </w:r>
      <w:r>
        <w:t xml:space="preserve">). Crystal waters within 0.6 nm of the truncated models were included for all further </w:t>
      </w:r>
      <w:r>
        <w:lastRenderedPageBreak/>
        <w:t>steps. Unresolved regions in the structures were filled using MODELLER (version 10.5) (</w:t>
      </w:r>
      <w:proofErr w:type="spellStart"/>
      <w:r>
        <w:t>Šali</w:t>
      </w:r>
      <w:proofErr w:type="spellEnd"/>
      <w:r>
        <w:t xml:space="preserve"> and Blundell, 1993) using subunits from PDB-ID 8SGD and 8PFH as templates. Assignment of protonation state, H-bond optimization and structure relaxation were performed in Maestro (Schrödinger Release 2024-2, Maestro, Schrödinger, LLC, New York, 2021) as described (Grupp </w:t>
      </w:r>
      <w:r>
        <w:rPr>
          <w:i/>
        </w:rPr>
        <w:t>et al.</w:t>
      </w:r>
      <w:r>
        <w:t>, 2023). Subsequently, the nucleotide coordinates were removed from the resulting PDB files, leading to structures of the dimers in the apo state. Both nucleotide containing and apo coordinate file sets were also generated with Arg(βb) to Ala mutations which were introduced with the “residue scanning” tool in Maestro.</w:t>
      </w:r>
    </w:p>
    <w:p w14:paraId="6CC3AD5F" w14:textId="77777777" w:rsidR="000C600A" w:rsidRDefault="00000000">
      <w:pPr>
        <w:spacing w:line="360" w:lineRule="auto"/>
        <w:jc w:val="both"/>
      </w:pPr>
      <w:r>
        <w:t xml:space="preserve">Force field compatibility transformation as well as N- and C-terminal capping were performed essentially as described in our previous work (Grupp </w:t>
      </w:r>
      <w:r>
        <w:rPr>
          <w:i/>
        </w:rPr>
        <w:t>et al.</w:t>
      </w:r>
      <w:r>
        <w:t>, 2023).</w:t>
      </w:r>
    </w:p>
    <w:p w14:paraId="29DF132B" w14:textId="77777777" w:rsidR="000C600A" w:rsidRDefault="00000000">
      <w:pPr>
        <w:spacing w:line="360" w:lineRule="auto"/>
        <w:jc w:val="both"/>
      </w:pPr>
      <w:r>
        <w:t>Each dimeric complex was subsequently placed in an octahedral box with at least 1.5 nm distance between the protein and the surrounding box in all dimensions. The box was explicitly solvated using the CHARMM-modified TIP3P water model (</w:t>
      </w:r>
      <w:proofErr w:type="spellStart"/>
      <w:r>
        <w:t>Durell</w:t>
      </w:r>
      <w:proofErr w:type="spellEnd"/>
      <w:r>
        <w:t xml:space="preserve"> </w:t>
      </w:r>
      <w:r>
        <w:rPr>
          <w:i/>
        </w:rPr>
        <w:t>et al.</w:t>
      </w:r>
      <w:r>
        <w:t xml:space="preserve">, 1994; Jorgensen </w:t>
      </w:r>
      <w:r>
        <w:rPr>
          <w:i/>
        </w:rPr>
        <w:t>et al.</w:t>
      </w:r>
      <w:r>
        <w:t xml:space="preserve">, 1998; </w:t>
      </w:r>
      <w:proofErr w:type="spellStart"/>
      <w:r>
        <w:t>Neria</w:t>
      </w:r>
      <w:proofErr w:type="spellEnd"/>
      <w:r>
        <w:t xml:space="preserve"> </w:t>
      </w:r>
      <w:r>
        <w:rPr>
          <w:i/>
        </w:rPr>
        <w:t>et al.</w:t>
      </w:r>
      <w:r>
        <w:t xml:space="preserve">, 1998). The system was further supplemented with 300 mM </w:t>
      </w:r>
      <w:proofErr w:type="spellStart"/>
      <w:r>
        <w:t>KCl</w:t>
      </w:r>
      <w:proofErr w:type="spellEnd"/>
      <w:r>
        <w:t xml:space="preserve"> and neutralizing counterions. This was followed by steepest descent potential energy minimization of the system with a maximum force tolerance of 500 kJ*mol</w:t>
      </w:r>
      <w:r>
        <w:rPr>
          <w:vertAlign w:val="superscript"/>
        </w:rPr>
        <w:t>-1</w:t>
      </w:r>
      <w:r>
        <w:t>*nm</w:t>
      </w:r>
      <w:r>
        <w:rPr>
          <w:vertAlign w:val="superscript"/>
        </w:rPr>
        <w:t>-1</w:t>
      </w:r>
      <w:r>
        <w:t xml:space="preserve">. Subsequently, equilibration to a target temperature of 300 K was performed over 50 </w:t>
      </w:r>
      <w:proofErr w:type="spellStart"/>
      <w:r>
        <w:t>ps</w:t>
      </w:r>
      <w:proofErr w:type="spellEnd"/>
      <w:r>
        <w:t xml:space="preserve"> under an NVT ensemble using the velocity rescaling thermostat (</w:t>
      </w:r>
      <w:proofErr w:type="spellStart"/>
      <w:r>
        <w:t>Bussi</w:t>
      </w:r>
      <w:proofErr w:type="spellEnd"/>
      <w:r>
        <w:t xml:space="preserve"> </w:t>
      </w:r>
      <w:r>
        <w:rPr>
          <w:i/>
        </w:rPr>
        <w:t>et al.</w:t>
      </w:r>
      <w:r>
        <w:t>, 2007). The time constant for temperature regulation was set to 0.1 ps. Initial velocities were assigned using random seeding according to the Maxwell-Boltzmann distribution. Equilibration was continued for 500 </w:t>
      </w:r>
      <w:proofErr w:type="spellStart"/>
      <w:r>
        <w:t>ps</w:t>
      </w:r>
      <w:proofErr w:type="spellEnd"/>
      <w:r>
        <w:t xml:space="preserve"> under an NPT ensemble to reach the target pressure (1.0 bar). Pressure was regulated </w:t>
      </w:r>
      <w:proofErr w:type="spellStart"/>
      <w:r>
        <w:t>isotropically</w:t>
      </w:r>
      <w:proofErr w:type="spellEnd"/>
      <w:r>
        <w:t xml:space="preserve"> with the stochastic cell rescaling </w:t>
      </w:r>
      <w:proofErr w:type="spellStart"/>
      <w:r>
        <w:t>barostat</w:t>
      </w:r>
      <w:proofErr w:type="spellEnd"/>
      <w:r>
        <w:t xml:space="preserve"> (</w:t>
      </w:r>
      <w:proofErr w:type="spellStart"/>
      <w:r>
        <w:t>Bernetti</w:t>
      </w:r>
      <w:proofErr w:type="spellEnd"/>
      <w:r>
        <w:t xml:space="preserve"> and </w:t>
      </w:r>
      <w:proofErr w:type="spellStart"/>
      <w:r>
        <w:t>Bussi</w:t>
      </w:r>
      <w:proofErr w:type="spellEnd"/>
      <w:r>
        <w:t xml:space="preserve">, 2020) with a time constant of 2 </w:t>
      </w:r>
      <w:proofErr w:type="spellStart"/>
      <w:r>
        <w:t>ps</w:t>
      </w:r>
      <w:proofErr w:type="spellEnd"/>
      <w:r>
        <w:t xml:space="preserve"> for pressure coupling. During temperature and pressure equilibration coordinates of heavy atoms in proteins and ligands were restraints with a potential of 1,000 kJ*mol</w:t>
      </w:r>
      <w:r>
        <w:rPr>
          <w:vertAlign w:val="superscript"/>
        </w:rPr>
        <w:t>-1</w:t>
      </w:r>
      <w:r>
        <w:t>*nm</w:t>
      </w:r>
      <w:r>
        <w:rPr>
          <w:vertAlign w:val="superscript"/>
        </w:rPr>
        <w:t>-2</w:t>
      </w:r>
      <w:r>
        <w:t xml:space="preserve"> in all dimensions. Production simulations (700 ns) were conducted under the same conditions as the NPT equilibration but without restraints and with pressure regulated by the </w:t>
      </w:r>
      <w:proofErr w:type="spellStart"/>
      <w:r>
        <w:t>Parrinello</w:t>
      </w:r>
      <w:proofErr w:type="spellEnd"/>
      <w:r>
        <w:t xml:space="preserve">-Rahman </w:t>
      </w:r>
      <w:proofErr w:type="spellStart"/>
      <w:r>
        <w:t>barostat</w:t>
      </w:r>
      <w:proofErr w:type="spellEnd"/>
      <w:r>
        <w:t xml:space="preserve"> (</w:t>
      </w:r>
      <w:proofErr w:type="spellStart"/>
      <w:r>
        <w:t>Parrinello</w:t>
      </w:r>
      <w:proofErr w:type="spellEnd"/>
      <w:r>
        <w:t xml:space="preserve"> and Rahman, 1998). Equilibration and production simulations were performed five times with different random seeds during velocity generation, resulting in sets of five independent 700 ns production simulations per system.</w:t>
      </w:r>
    </w:p>
    <w:p w14:paraId="6DEF239F" w14:textId="77777777" w:rsidR="000C600A" w:rsidRDefault="00000000">
      <w:pPr>
        <w:spacing w:line="360" w:lineRule="auto"/>
        <w:jc w:val="both"/>
      </w:pPr>
      <w:r>
        <w:t xml:space="preserve">The input structures for COM-pulling simulations for both dimers were created as described (Grupp </w:t>
      </w:r>
      <w:r>
        <w:rPr>
          <w:i/>
        </w:rPr>
        <w:t>et al.</w:t>
      </w:r>
      <w:r>
        <w:t xml:space="preserve">, 2023) by pooling the last 100 ns of the five independent unbiased simulations </w:t>
      </w:r>
      <w:r>
        <w:lastRenderedPageBreak/>
        <w:t xml:space="preserve">and backbone RMSD-based clustering (Daura </w:t>
      </w:r>
      <w:r>
        <w:rPr>
          <w:i/>
        </w:rPr>
        <w:t>et al.</w:t>
      </w:r>
      <w:r>
        <w:t>, 1998) after least-squares fitting. Clustering was performed with a cutoff of 0.2 nm except for the complex Cdc10</w:t>
      </w:r>
      <w:r>
        <w:rPr>
          <w:vertAlign w:val="subscript"/>
        </w:rPr>
        <w:t>R251</w:t>
      </w:r>
      <w:proofErr w:type="gramStart"/>
      <w:r>
        <w:rPr>
          <w:vertAlign w:val="subscript"/>
        </w:rPr>
        <w:t>A</w:t>
      </w:r>
      <w:r>
        <w:t>:GDP</w:t>
      </w:r>
      <w:proofErr w:type="gramEnd"/>
      <w:r>
        <w:t>-Cdc3</w:t>
      </w:r>
      <w:r>
        <w:rPr>
          <w:vertAlign w:val="subscript"/>
        </w:rPr>
        <w:t>R360A</w:t>
      </w:r>
      <w:r>
        <w:t xml:space="preserve">:GDP:Mg where the cutoff was set to 0.25 nm as a lower cutoff yielded two dominant clusters of equivalent size. For each system the central structure in the largest cluster was subsequently used for further simulations. Surrounding waters and closely associated ions within 0.6 nm around the protein complexes were also transferred to the following steps. Resulting models were placed in a rectangular box with x/y/z dimensions of 20/10/10 nm aligning the filament axis with the x-axis. Subsequent box solvation, energy minimization and equilibration were performed as described for unbiased simulations. This was followed by COM-pulling simulations without position restraints. Analysis of different combinations of pull rate and spring constant showed a similar behavior as described for human </w:t>
      </w:r>
      <w:proofErr w:type="spellStart"/>
      <w:r>
        <w:t>septin</w:t>
      </w:r>
      <w:proofErr w:type="spellEnd"/>
      <w:r>
        <w:t xml:space="preserve"> dimers (Grupp </w:t>
      </w:r>
      <w:r>
        <w:rPr>
          <w:i/>
        </w:rPr>
        <w:t>et al.</w:t>
      </w:r>
      <w:r>
        <w:t>, 2023) resulting in the use of the same spring constant (500 kJ*mol</w:t>
      </w:r>
      <w:r>
        <w:rPr>
          <w:vertAlign w:val="superscript"/>
        </w:rPr>
        <w:t>-1</w:t>
      </w:r>
      <w:r>
        <w:t>*nm</w:t>
      </w:r>
      <w:r>
        <w:rPr>
          <w:vertAlign w:val="superscript"/>
        </w:rPr>
        <w:t>-2</w:t>
      </w:r>
      <w:r>
        <w:t>) and a pull rate (0.0075 nm*ps</w:t>
      </w:r>
      <w:r>
        <w:rPr>
          <w:vertAlign w:val="superscript"/>
        </w:rPr>
        <w:t>-1</w:t>
      </w:r>
      <w:r>
        <w:t xml:space="preserve">). Using these parameters low structural deformation and reproducible maximum forces were obtained. COM-pulling simulations, umbrella sampling and calculation of free energy profiles were again performed as described in our previous work but at a temperature of 300 K and sampling COM distances until approximately 8.5 nm (Grupp </w:t>
      </w:r>
      <w:r>
        <w:rPr>
          <w:i/>
        </w:rPr>
        <w:t>et al.</w:t>
      </w:r>
      <w:r>
        <w:t>, 2023).</w:t>
      </w:r>
    </w:p>
    <w:p w14:paraId="0A368426" w14:textId="77777777" w:rsidR="000C600A" w:rsidRDefault="000C600A">
      <w:pPr>
        <w:rPr>
          <w:b/>
        </w:rPr>
      </w:pPr>
    </w:p>
    <w:p w14:paraId="6878632B" w14:textId="77777777" w:rsidR="000C600A" w:rsidRDefault="00000000">
      <w:pPr>
        <w:spacing w:line="360" w:lineRule="auto"/>
        <w:jc w:val="both"/>
        <w:rPr>
          <w:i/>
        </w:rPr>
      </w:pPr>
      <w:r>
        <w:rPr>
          <w:i/>
        </w:rPr>
        <w:t>Plasmids and strains</w:t>
      </w:r>
    </w:p>
    <w:p w14:paraId="6D815FC1" w14:textId="77777777" w:rsidR="000C600A" w:rsidRDefault="00000000">
      <w:pPr>
        <w:spacing w:line="360" w:lineRule="auto"/>
        <w:jc w:val="both"/>
      </w:pPr>
      <w:r>
        <w:t xml:space="preserve">Plasmids for cell culture were created by modifying an EGFP-SEPT9 expression plasmid (#1, see </w:t>
      </w:r>
      <w:r>
        <w:rPr>
          <w:highlight w:val="green"/>
        </w:rPr>
        <w:t>Table X</w:t>
      </w:r>
      <w:r>
        <w:t xml:space="preserve">) kindly provided by Elias </w:t>
      </w:r>
      <w:proofErr w:type="spellStart"/>
      <w:r>
        <w:t>Spiliotis</w:t>
      </w:r>
      <w:proofErr w:type="spellEnd"/>
      <w:r>
        <w:t xml:space="preserve"> (Univ. of </w:t>
      </w:r>
      <w:proofErr w:type="spellStart"/>
      <w:r>
        <w:t>Virigina</w:t>
      </w:r>
      <w:proofErr w:type="spellEnd"/>
      <w:r>
        <w:t xml:space="preserve">, School of Medicine, VA, USA). Point mutations were introduced via suitable primers, making use of an internal BamH1 restriction site located close to the respective codons, yielding plasmids #2 and #3, respectively. </w:t>
      </w:r>
    </w:p>
    <w:p w14:paraId="174367FA" w14:textId="77777777" w:rsidR="000C600A" w:rsidRDefault="00000000">
      <w:pPr>
        <w:spacing w:line="360" w:lineRule="auto"/>
        <w:jc w:val="both"/>
      </w:pPr>
      <w:r>
        <w:t xml:space="preserve">For co-expression studies of human </w:t>
      </w:r>
      <w:proofErr w:type="spellStart"/>
      <w:r>
        <w:t>septins</w:t>
      </w:r>
      <w:proofErr w:type="spellEnd"/>
      <w:r>
        <w:t xml:space="preserve"> in </w:t>
      </w:r>
      <w:proofErr w:type="gramStart"/>
      <w:r>
        <w:t>E.coli</w:t>
      </w:r>
      <w:proofErr w:type="gramEnd"/>
      <w:r>
        <w:t xml:space="preserve">, the G-domains of SEPT7 and SEPT9 were cloned into the in-house generated pET15b derivatives </w:t>
      </w:r>
      <w:proofErr w:type="spellStart"/>
      <w:r>
        <w:t>pES</w:t>
      </w:r>
      <w:proofErr w:type="spellEnd"/>
      <w:r>
        <w:t xml:space="preserve"> and </w:t>
      </w:r>
      <w:proofErr w:type="spellStart"/>
      <w:r>
        <w:t>pAc</w:t>
      </w:r>
      <w:proofErr w:type="spellEnd"/>
      <w:r>
        <w:t xml:space="preserve">-MBP, allowing for simultaneous expression in </w:t>
      </w:r>
      <w:r>
        <w:rPr>
          <w:i/>
        </w:rPr>
        <w:t>E.coli</w:t>
      </w:r>
      <w:r>
        <w:t xml:space="preserve"> due to compatible antibiotic resistance cassettes (Amp and Kan, respectively) and origins of replication (pBR322 and p15A, respectively). Inserts with point mutation were generated by SOE-PCR (SEPT7) using available plasmids as template (Fischer </w:t>
      </w:r>
      <w:r>
        <w:rPr>
          <w:i/>
        </w:rPr>
        <w:t>et al.</w:t>
      </w:r>
      <w:r>
        <w:t xml:space="preserve">, 2022) or amplifying from #2 (SEPT9). </w:t>
      </w:r>
    </w:p>
    <w:p w14:paraId="0FF894DA" w14:textId="77777777" w:rsidR="000C600A" w:rsidRDefault="00000000">
      <w:pPr>
        <w:spacing w:line="360" w:lineRule="auto"/>
        <w:jc w:val="both"/>
      </w:pPr>
      <w:r>
        <w:t xml:space="preserve">For expression of monomeric human- and yeast </w:t>
      </w:r>
      <w:proofErr w:type="spellStart"/>
      <w:r>
        <w:t>septins</w:t>
      </w:r>
      <w:proofErr w:type="spellEnd"/>
      <w:r>
        <w:t xml:space="preserve"> for pulldown experiments, the respective G-domains were PCR amplified from available plasmid templates and cloned as His</w:t>
      </w:r>
      <w:r>
        <w:rPr>
          <w:vertAlign w:val="subscript"/>
        </w:rPr>
        <w:t>6</w:t>
      </w:r>
      <w:r>
        <w:t>- or His</w:t>
      </w:r>
      <w:r>
        <w:rPr>
          <w:vertAlign w:val="subscript"/>
        </w:rPr>
        <w:t>6</w:t>
      </w:r>
      <w:r>
        <w:t xml:space="preserve">-MBP tagged constructs into the in-house generated pET15b derivatives </w:t>
      </w:r>
      <w:proofErr w:type="spellStart"/>
      <w:r>
        <w:t>pES</w:t>
      </w:r>
      <w:proofErr w:type="spellEnd"/>
      <w:r>
        <w:t xml:space="preserve"> and </w:t>
      </w:r>
      <w:proofErr w:type="spellStart"/>
      <w:r>
        <w:lastRenderedPageBreak/>
        <w:t>pAc</w:t>
      </w:r>
      <w:proofErr w:type="spellEnd"/>
      <w:r>
        <w:t xml:space="preserve"> or into the first MCS of pET-Duet1 (</w:t>
      </w:r>
      <w:proofErr w:type="spellStart"/>
      <w:r>
        <w:t>Novagen</w:t>
      </w:r>
      <w:proofErr w:type="spellEnd"/>
      <w:r>
        <w:t>). Inserts with point mutation were generated by SOE-PCR.</w:t>
      </w:r>
    </w:p>
    <w:p w14:paraId="4E73170E" w14:textId="77777777" w:rsidR="000C600A" w:rsidRDefault="00000000">
      <w:pPr>
        <w:spacing w:line="360" w:lineRule="auto"/>
        <w:jc w:val="both"/>
      </w:pPr>
      <w:r>
        <w:t>For growth assays in yeast, t</w:t>
      </w:r>
      <w:r>
        <w:rPr>
          <w:lang w:val="en-GB"/>
        </w:rPr>
        <w:t xml:space="preserve">he ORF of Cdc10, Cdc3, Cdc12, Cdc11 and Shs1 with and without </w:t>
      </w:r>
      <w:r>
        <w:t>R(βb)(A) mutation</w:t>
      </w:r>
      <w:r>
        <w:rPr>
          <w:lang w:val="en-GB"/>
        </w:rPr>
        <w:t xml:space="preserve"> were cloned into the centromeric plasmid pRS313 </w:t>
      </w:r>
      <w:r>
        <w:fldChar w:fldCharType="begin" w:fldLock="1"/>
      </w:r>
      <w:r>
        <w:rPr>
          <w:lang w:val="en-GB"/>
        </w:rPr>
        <w:instrText>ADDIN CSL_CITATION {"citationItems":[{"id":"ITEM-1","itemData":{"DOI":"10.1093/genetics/122.1.19","ISSN":"00166731","PMID":"2659436","abstract":"A series of yeast shuttle vectors and host strains has been created to allow more efficient manipulation of DNA in Saccharomyces cerevisiae. Transplacement vectors were constructed and used to derive yeast strains containing nonreverting his3, trp1, leu2 and ura3 mutations. A set of YCp and YIp vectors (pRS series) was then made based on the backbone of the multipurpose plasmid pBLUESCRIPT. These pRS vectors are all uniform in structure and differ only in the yeast selectable marker gene used (HIS3, TRP1, LEU2 and URA3). They possess all of the attributes of pBLUESCRIPT and several yeast-specific features as well. Using a pRS vector, one can perform most standard DNA manipulations in the same plasmid that is introduced into yeast.","author":[{"dropping-particle":"","family":"Sikorski","given":"R. S.","non-dropping-particle":"","parse-names":false,"suffix":""},{"dropping-particle":"","family":"Hieter","given":"P.","non-dropping-particle":"","parse-names":false,"suffix":""}],"container-title":"Genetics","id":"ITEM-1","issue":"1","issued":{"date-parts":[["1989"]]},"page":"19-27","title":"A system of shuttle vectors and yeast host strains designed for efficient manipulation of DNA in Saccharomyces cerevisiae.","type":"article-journal","volume":"122"},"uris":["http://www.mendeley.com/documents/?uuid=66a34ab7-1ccc-30ca-817a-7b75ecbaf79b"]}],"mendeley":{"formattedCitation":"(Sikorski and Hieter, 1989)","plainTextFormattedCitation":"(Sikorski and Hieter, 1989)","previouslyFormattedCitation":"(Sikorski and Hieter, 1989)"},"properties":{"noteIndex":0},"schema":"https://github.com/citation-style-language/schema/raw/master/csl-citation.json"}</w:instrText>
      </w:r>
      <w:r>
        <w:rPr>
          <w:lang w:val="en-GB"/>
        </w:rPr>
        <w:fldChar w:fldCharType="separate"/>
      </w:r>
      <w:r>
        <w:rPr>
          <w:noProof/>
          <w:lang w:val="en-GB"/>
        </w:rPr>
        <w:t>(Sikorski and Hieter, 1989)</w:t>
      </w:r>
      <w:r>
        <w:rPr>
          <w:lang w:val="en-GB"/>
        </w:rPr>
        <w:fldChar w:fldCharType="end"/>
      </w:r>
      <w:r>
        <w:rPr>
          <w:lang w:val="en-GB"/>
        </w:rPr>
        <w:t xml:space="preserve"> enabling expression under the control of a P</w:t>
      </w:r>
      <w:r>
        <w:rPr>
          <w:vertAlign w:val="subscript"/>
          <w:lang w:val="en-GB"/>
        </w:rPr>
        <w:t>MET17</w:t>
      </w:r>
      <w:r>
        <w:rPr>
          <w:lang w:val="en-GB"/>
        </w:rPr>
        <w:t xml:space="preserve"> promoter yielding plasmids #26-#35. </w:t>
      </w:r>
      <w:r>
        <w:t>Inserts with point mutation were generated by SOE-PCR.</w:t>
      </w:r>
    </w:p>
    <w:p w14:paraId="30486634" w14:textId="77777777" w:rsidR="000C600A" w:rsidRDefault="00000000">
      <w:pPr>
        <w:spacing w:line="360" w:lineRule="auto"/>
        <w:jc w:val="both"/>
        <w:rPr>
          <w:lang w:val="en-GB"/>
        </w:rPr>
      </w:pPr>
      <w:r>
        <w:rPr>
          <w:lang w:val="en-GB"/>
        </w:rPr>
        <w:t xml:space="preserve">The ORF of Cdc10, Cdc3, Cdc12, Cdc11 and Shs1 were cloned into the centromeric plasmid pRS316 </w:t>
      </w:r>
      <w:r>
        <w:fldChar w:fldCharType="begin" w:fldLock="1"/>
      </w:r>
      <w:r>
        <w:rPr>
          <w:lang w:val="en-GB"/>
        </w:rPr>
        <w:instrText>ADDIN CSL_CITATION {"citationItems":[{"id":"ITEM-1","itemData":{"DOI":"10.1093/genetics/122.1.19","ISSN":"00166731","PMID":"2659436","abstract":"A series of yeast shuttle vectors and host strains has been created to allow more efficient manipulation of DNA in Saccharomyces cerevisiae. Transplacement vectors were constructed and used to derive yeast strains containing nonreverting his3, trp1, leu2 and ura3 mutations. A set of YCp and YIp vectors (pRS series) was then made based on the backbone of the multipurpose plasmid pBLUESCRIPT. These pRS vectors are all uniform in structure and differ only in the yeast selectable marker gene used (HIS3, TRP1, LEU2 and URA3). They possess all of the attributes of pBLUESCRIPT and several yeast-specific features as well. Using a pRS vector, one can perform most standard DNA manipulations in the same plasmid that is introduced into yeast.","author":[{"dropping-particle":"","family":"Sikorski","given":"R. S.","non-dropping-particle":"","parse-names":false,"suffix":""},{"dropping-particle":"","family":"Hieter","given":"P.","non-dropping-particle":"","parse-names":false,"suffix":""}],"container-title":"Genetics","id":"ITEM-1","issue":"1","issued":{"date-parts":[["1989"]]},"page":"19-27","title":"A system of shuttle vectors and yeast host strains designed for efficient manipulation of DNA in Saccharomyces cerevisiae.","type":"article-journal","volume":"122"},"uris":["http://www.mendeley.com/documents/?uuid=66a34ab7-1ccc-30ca-817a-7b75ecbaf79b"]}],"mendeley":{"formattedCitation":"(Sikorski and Hieter, 1989)","plainTextFormattedCitation":"(Sikorski and Hieter, 1989)","previouslyFormattedCitation":"(Sikorski and Hieter, 1989)"},"properties":{"noteIndex":0},"schema":"https://github.com/citation-style-language/schema/raw/master/csl-citation.json"}</w:instrText>
      </w:r>
      <w:r>
        <w:rPr>
          <w:lang w:val="en-GB"/>
        </w:rPr>
        <w:fldChar w:fldCharType="separate"/>
      </w:r>
      <w:r>
        <w:rPr>
          <w:noProof/>
          <w:lang w:val="en-GB"/>
        </w:rPr>
        <w:t>(Sikorski and Hieter, 1989)</w:t>
      </w:r>
      <w:r>
        <w:rPr>
          <w:lang w:val="en-GB"/>
        </w:rPr>
        <w:fldChar w:fldCharType="end"/>
      </w:r>
      <w:r>
        <w:rPr>
          <w:lang w:val="en-GB"/>
        </w:rPr>
        <w:t xml:space="preserve"> bearing an Ura3 prototrophy and a P</w:t>
      </w:r>
      <w:r>
        <w:rPr>
          <w:vertAlign w:val="subscript"/>
          <w:lang w:val="en-GB"/>
        </w:rPr>
        <w:t>MET17</w:t>
      </w:r>
      <w:r>
        <w:rPr>
          <w:lang w:val="en-GB"/>
        </w:rPr>
        <w:t xml:space="preserve"> promoter,  yielding plasmids #21-#25 . These rescue plasmids were transformed into the yeast strain JD47 </w:t>
      </w:r>
      <w:r>
        <w:fldChar w:fldCharType="begin" w:fldLock="1"/>
      </w:r>
      <w:r>
        <w:rPr>
          <w:lang w:val="en-GB"/>
        </w:rPr>
        <w:instrText>ADDIN CSL_CITATION {"citationItems":[{"id":"ITEM-1","itemData":{"DOI":"10.1074/JBC.270.30.18099","ISSN":"0021-9258","PMID":"7629121","abstract":"Ubiquitin (Ub) activation by the Ub-activating (E1) enzyme is the initial and essential step common to all of the known processes that involve post- translational conjugation of Ub to itself or other proteins. The 'activated' Ub, linked via a thioester bond to a specific cysteine residue of E1 enzyme, can be transferred to a cysteine residue in one of several Ub-conjugating (E2) enzymes, which catalyze the formation of isopeptide bonds between the C- terminal glycine of Ub and lysine residues of acceptor proteins. In the yeast Saccharomyces cerevisiae, a 114-kDa E1 enzyme is encoded by an essential gene termed UBA1 (McGrath, J. P., Jentsch, S., and Varshavsky, A. (1991) EMBO J. 10, 227-236). We describe the isolation and analysis of another essential gene, termed UBA2, that encodes a 71-kDa protein with extensive sequence similarities to both the UBA1-encoded yeast E1 and E1 enzymes of other organisms. The regions of similarities between Uba1p and Uba2p encompass a putative ATP-binding site as well as a sequence that is highly conserved between the known E1 enzymes and contains the active-site cysteine of E1. This cysteine is shown to be required for an essential function of Uba2p, suggesting that Uba2p-catalyzed reactions involve a transient thioester bond between Uba2p and either Ub or another protein. Uba2p is located largely in the nucleus. The putative nuclear localization signal of Uba2p is near its C terminus. The Uba1p (E1 enzyme) and Uba2p cannot complement each others essential functions even if their subcellular localization is altered by mutagenesis. Uba2p appears to interact with itself and several other S. cerevisiae proteins with apparent molecular masses of 52, 63, 87, and 120 kDa. Uba2p is multiubiquitinated in vivo, suggesting that at least a fraction of Uba2p is metabolically unstable. Uba2p is likely to be a component of the Ub system that functions as either an E2 or E1/E2 enzyme.","author":[{"dropping-particle":"","family":"Dohmen","given":"R. J.","non-dropping-particle":"","parse-names":false,"suffix":""},{"dropping-particle":"","family":"Stappen","given":"R.","non-dropping-particle":"","parse-names":false,"suffix":""},{"dropping-particle":"","family":"McGrath","given":"J. P.","non-dropping-particle":"","parse-names":false,"suffix":""},{"dropping-particle":"","family":"Forrova","given":"H.","non-dropping-particle":"","parse-names":false,"suffix":""},{"dropping-particle":"","family":"Kolarov","given":"J.","non-dropping-particle":"","parse-names":false,"suffix":""},{"dropping-particle":"","family":"Goffeau","given":"A.","non-dropping-particle":"","parse-names":false,"suffix":""},{"dropping-particle":"","family":"Varshavsky","given":"A.","non-dropping-particle":"","parse-names":false,"suffix":""}],"container-title":"Journal of Biological Chemistry","id":"ITEM-1","issue":"30","issued":{"date-parts":[["1995","7","28"]]},"page":"18099-18109","publisher":"Elsevier","title":"An Essential Yeast Gene Encoding a Homolog of Ubiquitin-activating Enzyme","type":"article-journal","volume":"270"},"uris":["http://www.mendeley.com/documents/?uuid=a6d4c277-3def-3ac9-ad24-6da7d08c7cc5"]}],"mendeley":{"formattedCitation":"(Dohmen &lt;i&gt;et al.&lt;/i&gt;, 1995)","plainTextFormattedCitation":"(Dohmen et al., 1995)","previouslyFormattedCitation":"(Dohmen &lt;i&gt;et al.&lt;/i&gt;, 1995)"},"properties":{"noteIndex":0},"schema":"https://github.com/citation-style-language/schema/raw/master/csl-citation.json"}</w:instrText>
      </w:r>
      <w:r>
        <w:rPr>
          <w:lang w:val="en-GB"/>
        </w:rPr>
        <w:fldChar w:fldCharType="separate"/>
      </w:r>
      <w:r>
        <w:rPr>
          <w:noProof/>
          <w:lang w:val="en-GB"/>
        </w:rPr>
        <w:t xml:space="preserve">(Dohmen </w:t>
      </w:r>
      <w:r>
        <w:rPr>
          <w:i/>
          <w:noProof/>
          <w:lang w:val="en-GB"/>
        </w:rPr>
        <w:t>et al.</w:t>
      </w:r>
      <w:r>
        <w:rPr>
          <w:noProof/>
          <w:lang w:val="en-GB"/>
        </w:rPr>
        <w:t>, 1995)</w:t>
      </w:r>
      <w:r>
        <w:rPr>
          <w:lang w:val="en-GB"/>
        </w:rPr>
        <w:fldChar w:fldCharType="end"/>
      </w:r>
      <w:r>
        <w:rPr>
          <w:lang w:val="en-GB"/>
        </w:rPr>
        <w:t xml:space="preserve"> by standard methods. </w:t>
      </w:r>
    </w:p>
    <w:p w14:paraId="6485A4DE" w14:textId="77777777" w:rsidR="000C600A" w:rsidRDefault="00000000">
      <w:pPr>
        <w:spacing w:line="360" w:lineRule="auto"/>
        <w:jc w:val="both"/>
        <w:rPr>
          <w:lang w:val="en-GB"/>
        </w:rPr>
      </w:pPr>
      <w:r>
        <w:rPr>
          <w:lang w:val="en-GB"/>
        </w:rPr>
        <w:t xml:space="preserve">The wild type copy of the respective </w:t>
      </w:r>
      <w:proofErr w:type="spellStart"/>
      <w:r>
        <w:rPr>
          <w:lang w:val="en-GB"/>
        </w:rPr>
        <w:t>septin</w:t>
      </w:r>
      <w:proofErr w:type="spellEnd"/>
      <w:r>
        <w:rPr>
          <w:lang w:val="en-GB"/>
        </w:rPr>
        <w:t xml:space="preserve"> in the resulting strains was replaced by a NAT cassette as described elsewhere </w:t>
      </w:r>
      <w:r>
        <w:fldChar w:fldCharType="begin" w:fldLock="1"/>
      </w:r>
      <w:r>
        <w:rPr>
          <w:lang w:val="en-GB"/>
        </w:rPr>
        <w:instrText>ADDIN CSL_CITATION {"citationItems":[{"id":"ITEM-1","itemData":{"DOI":"10.1083/JCB.202006193","ISSN":"1540-8140","PMID":"33656555","abstract":"The polarisome is a cortical proteinaceous microcompartment that organizes the growth of actin filaments and the fusion of secretory vesicles in yeasts and filamentous fungi. Polarisomes are compact, spotlike structures at the growing tips of their respective cells. The molecular forces that control the form and size of this microcompartment are not known. Here we identify a complex between the polarisome subunit Pea2 and the type V Myosin Myo2 that anchors Myo2 at the cortex of yeast cells. We discovered a point mutation in the cargo-binding domain of Myo2 that impairs the interaction with Pea2 and consequently the formation and focused localization of the polarisome. Cells carrying this mutation grow round instead of elongated buds. Further experiments and biophysical modeling suggest that the interactions between polarisome-bound Myo2 motors and dynamic actin filaments spatially focus the polarisome and sustain its compact shape.","author":[{"dropping-particle":"","family":"Dünkler","given":"Alexander","non-dropping-particle":"","parse-names":false,"suffix":""},{"dropping-particle":"","family":"Leda","given":"Marcin","non-dropping-particle":"","parse-names":false,"suffix":""},{"dropping-particle":"","family":"Kromer","given":"Jan Michael","non-dropping-particle":"","parse-names":false,"suffix":""},{"dropping-particle":"","family":"Neller","given":"Joachim","non-dropping-particle":"","parse-names":false,"suffix":""},{"dropping-particle":"","family":"Gronemeyer","given":"Thomas","non-dropping-particle":"","parse-names":false,"suffix":""},{"dropping-particle":"","family":"Goryachev","given":"Andrew B.","non-dropping-particle":"","parse-names":false,"suffix":""},{"dropping-particle":"","family":"Johnsson","given":"Nils","non-dropping-particle":"","parse-names":false,"suffix":""}],"container-title":"The Journal of cell biology","id":"ITEM-1","issue":"5","issued":{"date-parts":[["2021","5","3"]]},"publisher":"J Cell Biol","title":"Type V myosin focuses the polarisome and shapes the tip of yeast cells","type":"article-journal","volume":"220"},"uris":["http://www.mendeley.com/documents/?uuid=f507c615-b637-3968-90b9-6c5f7ab17e8c"]}],"mendeley":{"formattedCitation":"(Dünkler &lt;i&gt;et al.&lt;/i&gt;, 2021)","plainTextFormattedCitation":"(Dünkler et al., 2021)","previouslyFormattedCitation":"(Dünkler &lt;i&gt;et al.&lt;/i&gt;, 2021)"},"properties":{"noteIndex":0},"schema":"https://github.com/citation-style-language/schema/raw/master/csl-citation.json"}</w:instrText>
      </w:r>
      <w:r>
        <w:rPr>
          <w:lang w:val="en-GB"/>
        </w:rPr>
        <w:fldChar w:fldCharType="separate"/>
      </w:r>
      <w:r>
        <w:rPr>
          <w:noProof/>
          <w:lang w:val="en-GB"/>
        </w:rPr>
        <w:t xml:space="preserve">(Dünkler </w:t>
      </w:r>
      <w:r>
        <w:rPr>
          <w:i/>
          <w:noProof/>
          <w:lang w:val="en-GB"/>
        </w:rPr>
        <w:t>et al.</w:t>
      </w:r>
      <w:r>
        <w:rPr>
          <w:noProof/>
          <w:lang w:val="en-GB"/>
        </w:rPr>
        <w:t>, 2021)</w:t>
      </w:r>
      <w:r>
        <w:rPr>
          <w:lang w:val="en-GB"/>
        </w:rPr>
        <w:fldChar w:fldCharType="end"/>
      </w:r>
      <w:r>
        <w:rPr>
          <w:lang w:val="en-GB"/>
        </w:rPr>
        <w:t xml:space="preserve"> and plasmids #26-#35 were subsequently transformed into the respective ko strains bearing the rescue plasmids. </w:t>
      </w:r>
    </w:p>
    <w:p w14:paraId="7612B987" w14:textId="77777777" w:rsidR="000C600A" w:rsidRDefault="00000000">
      <w:pPr>
        <w:spacing w:line="360" w:lineRule="auto"/>
        <w:jc w:val="both"/>
        <w:rPr>
          <w:lang w:val="en-GB"/>
        </w:rPr>
      </w:pPr>
      <w:r>
        <w:rPr>
          <w:lang w:val="en-GB"/>
        </w:rPr>
        <w:t xml:space="preserve">The strains were grown in YPD medium over-night and serial dilutions were subsequently spotted on suitable selection media containing 5-FOA to drive out the rescue plasmid and on respective control media without FOA. </w:t>
      </w:r>
    </w:p>
    <w:p w14:paraId="1083EEC4" w14:textId="2F81DBC0" w:rsidR="001F164D" w:rsidRDefault="001F164D">
      <w:pPr>
        <w:spacing w:line="360" w:lineRule="auto"/>
        <w:jc w:val="both"/>
        <w:rPr>
          <w:highlight w:val="yellow"/>
          <w:lang w:val="en-GB"/>
        </w:rPr>
      </w:pPr>
      <w:r w:rsidRPr="001F164D">
        <w:rPr>
          <w:lang w:val="en-GB"/>
        </w:rPr>
        <w:t xml:space="preserve">For microscopy, the </w:t>
      </w:r>
      <w:r>
        <w:rPr>
          <w:lang w:val="en-GB"/>
        </w:rPr>
        <w:t>ORF of Cdc10, Cdc3, Cdc12, Cdc11 and Shs1</w:t>
      </w:r>
      <w:r>
        <w:rPr>
          <w:lang w:val="en-GB"/>
        </w:rPr>
        <w:t xml:space="preserve"> (with and without </w:t>
      </w:r>
      <w:r>
        <w:t>R(βb)(A) mutation</w:t>
      </w:r>
      <w:r>
        <w:t>)</w:t>
      </w:r>
      <w:r>
        <w:rPr>
          <w:lang w:val="en-GB"/>
        </w:rPr>
        <w:t xml:space="preserve"> </w:t>
      </w:r>
      <w:r>
        <w:rPr>
          <w:lang w:val="en-GB"/>
        </w:rPr>
        <w:t>were cloned</w:t>
      </w:r>
      <w:r>
        <w:rPr>
          <w:lang w:val="en-GB"/>
        </w:rPr>
        <w:t xml:space="preserve"> das GFP fusion</w:t>
      </w:r>
      <w:r>
        <w:rPr>
          <w:lang w:val="en-GB"/>
        </w:rPr>
        <w:t xml:space="preserve"> into the plasmid pRS3</w:t>
      </w:r>
      <w:r>
        <w:rPr>
          <w:lang w:val="en-GB"/>
        </w:rPr>
        <w:t>0</w:t>
      </w:r>
      <w:r>
        <w:rPr>
          <w:lang w:val="en-GB"/>
        </w:rPr>
        <w:t xml:space="preserve">6 </w:t>
      </w:r>
      <w:r>
        <w:fldChar w:fldCharType="begin" w:fldLock="1"/>
      </w:r>
      <w:r>
        <w:rPr>
          <w:lang w:val="en-GB"/>
        </w:rPr>
        <w:instrText>ADDIN CSL_CITATION {"citationItems":[{"id":"ITEM-1","itemData":{"DOI":"10.1093/genetics/122.1.19","ISSN":"00166731","PMID":"2659436","abstract":"A series of yeast shuttle vectors and host strains has been created to allow more efficient manipulation of DNA in Saccharomyces cerevisiae. Transplacement vectors were constructed and used to derive yeast strains containing nonreverting his3, trp1, leu2 and ura3 mutations. A set of YCp and YIp vectors (pRS series) was then made based on the backbone of the multipurpose plasmid pBLUESCRIPT. These pRS vectors are all uniform in structure and differ only in the yeast selectable marker gene used (HIS3, TRP1, LEU2 and URA3). They possess all of the attributes of pBLUESCRIPT and several yeast-specific features as well. Using a pRS vector, one can perform most standard DNA manipulations in the same plasmid that is introduced into yeast.","author":[{"dropping-particle":"","family":"Sikorski","given":"R. S.","non-dropping-particle":"","parse-names":false,"suffix":""},{"dropping-particle":"","family":"Hieter","given":"P.","non-dropping-particle":"","parse-names":false,"suffix":""}],"container-title":"Genetics","id":"ITEM-1","issue":"1","issued":{"date-parts":[["1989"]]},"page":"19-27","title":"A system of shuttle vectors and yeast host strains designed for efficient manipulation of DNA in Saccharomyces cerevisiae.","type":"article-journal","volume":"122"},"uris":["http://www.mendeley.com/documents/?uuid=66a34ab7-1ccc-30ca-817a-7b75ecbaf79b"]}],"mendeley":{"formattedCitation":"(Sikorski and Hieter, 1989)","plainTextFormattedCitation":"(Sikorski and Hieter, 1989)","previouslyFormattedCitation":"(Sikorski and Hieter, 1989)"},"properties":{"noteIndex":0},"schema":"https://github.com/citation-style-language/schema/raw/master/csl-citation.json"}</w:instrText>
      </w:r>
      <w:r>
        <w:rPr>
          <w:lang w:val="en-GB"/>
        </w:rPr>
        <w:fldChar w:fldCharType="separate"/>
      </w:r>
      <w:r>
        <w:rPr>
          <w:noProof/>
          <w:lang w:val="en-GB"/>
        </w:rPr>
        <w:t>(Sikorski and Hieter, 1989)</w:t>
      </w:r>
      <w:r>
        <w:rPr>
          <w:lang w:val="en-GB"/>
        </w:rPr>
        <w:fldChar w:fldCharType="end"/>
      </w:r>
      <w:r>
        <w:rPr>
          <w:lang w:val="en-GB"/>
        </w:rPr>
        <w:t xml:space="preserve"> </w:t>
      </w:r>
      <w:r>
        <w:rPr>
          <w:lang w:val="en-GB"/>
        </w:rPr>
        <w:t xml:space="preserve">under the control of a </w:t>
      </w:r>
      <w:r>
        <w:rPr>
          <w:lang w:val="en-GB"/>
        </w:rPr>
        <w:t>P</w:t>
      </w:r>
      <w:r>
        <w:rPr>
          <w:vertAlign w:val="subscript"/>
          <w:lang w:val="en-GB"/>
        </w:rPr>
        <w:t>MET17</w:t>
      </w:r>
      <w:r>
        <w:rPr>
          <w:lang w:val="en-GB"/>
        </w:rPr>
        <w:t xml:space="preserve"> promoter,</w:t>
      </w:r>
      <w:r>
        <w:rPr>
          <w:lang w:val="en-GB"/>
        </w:rPr>
        <w:t xml:space="preserve"> </w:t>
      </w:r>
      <w:r>
        <w:rPr>
          <w:lang w:val="en-GB"/>
        </w:rPr>
        <w:t>yielding plasmids #</w:t>
      </w:r>
      <w:r>
        <w:rPr>
          <w:lang w:val="en-GB"/>
        </w:rPr>
        <w:t>36</w:t>
      </w:r>
      <w:r>
        <w:rPr>
          <w:lang w:val="en-GB"/>
        </w:rPr>
        <w:t>-#</w:t>
      </w:r>
      <w:r>
        <w:rPr>
          <w:lang w:val="en-GB"/>
        </w:rPr>
        <w:t>4</w:t>
      </w:r>
      <w:r>
        <w:rPr>
          <w:lang w:val="en-GB"/>
        </w:rPr>
        <w:t>5</w:t>
      </w:r>
      <w:r>
        <w:rPr>
          <w:lang w:val="en-GB"/>
        </w:rPr>
        <w:t xml:space="preserve">. The plasmids were linearized with </w:t>
      </w:r>
      <w:proofErr w:type="spellStart"/>
      <w:r>
        <w:rPr>
          <w:lang w:val="en-GB"/>
        </w:rPr>
        <w:t>StuI</w:t>
      </w:r>
      <w:proofErr w:type="spellEnd"/>
      <w:r>
        <w:rPr>
          <w:lang w:val="en-GB"/>
        </w:rPr>
        <w:t xml:space="preserve"> and subsequently transformed into yeast strains JD47 and ULM53 </w:t>
      </w:r>
      <w:r w:rsidR="00F108BE">
        <w:rPr>
          <w:lang w:val="en-GB"/>
        </w:rPr>
        <w:fldChar w:fldCharType="begin" w:fldLock="1"/>
      </w:r>
      <w:r w:rsidR="00F108BE">
        <w:rPr>
          <w:lang w:val="en-GB"/>
        </w:rPr>
        <w:instrText>ADDIN CSL_CITATION {"citationItems":[{"id":"ITEM-1","itemData":{"DOI":"10.26508/LSA.202000813","ISSN":"2575-1077","PMID":"32737079","abstract":"Cdc42 organizes cellular polarity and directs the formation of cellular structures in many organisms. By locating Cdc24, the source of active Cdc42, to the growing front of the yeast cell, the scaffold protein Bem1, is instrumental in shaping the cellular gradient of Cdc42. This gradient instructs bud formation, bud growth, or cytokinesis through the actions of a diverse set of effector proteins. To address how Bem1 participates in these transformations, we systematically tracked its protein interactions during one cell cycle to define the ensemble of Bem1 interaction states for each cell cycle stage. Mutants of Bem1 that interact with only a discrete subset of the interaction partners allowed to assign specific functions to different interaction states and identified the determinants for their cellular distributions. The analysis characterizes Bem1 as a cell cycle-specific shuttle that distributes active Cdc42 from its source to its effectors. It further suggests that Bem1 might convert the PAKs Cla4 and Ste20 into their active conformations.","author":[{"dropping-particle":"","family":"Grinhagens","given":"Soren","non-dropping-particle":"","parse-names":false,"suffix":""},{"dropping-particle":"","family":"Dünkler","given":"Alexander","non-dropping-particle":"","parse-names":false,"suffix":""},{"dropping-particle":"","family":"Wu","given":"Yehui","non-dropping-particle":"","parse-names":false,"suffix":""},{"dropping-particle":"","family":"Rieger","given":"Lucia","non-dropping-particle":"","parse-names":false,"suffix":""},{"dropping-particle":"","family":"Brenner","given":"Philipp","non-dropping-particle":"","parse-names":false,"suffix":""},{"dropping-particle":"","family":"Gronemeyer","given":"Thomas","non-dropping-particle":"","parse-names":false,"suffix":""},{"dropping-particle":"","family":"Mulaw","given":"Medhanie A.","non-dropping-particle":"","parse-names":false,"suffix":""},{"dropping-particle":"","family":"Johnsson","given":"Nils","non-dropping-particle":"","parse-names":false,"suffix":""}],"container-title":"Life science alliance","id":"ITEM-1","issue":"9","issued":{"date-parts":[["2020","7","31"]]},"publisher":"Life Sci Alliance","title":"A time-resolved interaction analysis of Bem1 reconstructs the flow of Cdc42 during polar growth","type":"article-journal","volume":"3"},"uris":["http://www.mendeley.com/documents/?uuid=dca29658-3336-365e-9be8-368220461bec"]}],"mendeley":{"formattedCitation":"(Grinhagens &lt;i&gt;et al.&lt;/i&gt;, 2020)","plainTextFormattedCitation":"(Grinhagens et al., 2020)","previouslyFormattedCitation":"(Grinhagens &lt;i&gt;et al.&lt;/i&gt;, 2020)"},"properties":{"noteIndex":0},"schema":"https://github.com/citation-style-language/schema/raw/master/csl-citation.json"}</w:instrText>
      </w:r>
      <w:r w:rsidR="00F108BE">
        <w:rPr>
          <w:lang w:val="en-GB"/>
        </w:rPr>
        <w:fldChar w:fldCharType="separate"/>
      </w:r>
      <w:r w:rsidR="00F108BE" w:rsidRPr="00F108BE">
        <w:rPr>
          <w:noProof/>
          <w:lang w:val="en-GB"/>
        </w:rPr>
        <w:t xml:space="preserve">(Grinhagens </w:t>
      </w:r>
      <w:r w:rsidR="00F108BE" w:rsidRPr="00F108BE">
        <w:rPr>
          <w:i/>
          <w:noProof/>
          <w:lang w:val="en-GB"/>
        </w:rPr>
        <w:t>et al.</w:t>
      </w:r>
      <w:r w:rsidR="00F108BE" w:rsidRPr="00F108BE">
        <w:rPr>
          <w:noProof/>
          <w:lang w:val="en-GB"/>
        </w:rPr>
        <w:t>, 2020)</w:t>
      </w:r>
      <w:r w:rsidR="00F108BE">
        <w:rPr>
          <w:lang w:val="en-GB"/>
        </w:rPr>
        <w:fldChar w:fldCharType="end"/>
      </w:r>
      <w:r>
        <w:rPr>
          <w:lang w:val="en-GB"/>
        </w:rPr>
        <w:t xml:space="preserve"> bearing a Shs1-mCherry fusion</w:t>
      </w:r>
      <w:r w:rsidR="00F108BE">
        <w:rPr>
          <w:lang w:val="en-GB"/>
        </w:rPr>
        <w:t xml:space="preserve"> </w:t>
      </w:r>
      <w:r w:rsidR="00F108BE">
        <w:rPr>
          <w:lang w:val="en-GB"/>
        </w:rPr>
        <w:fldChar w:fldCharType="begin" w:fldLock="1"/>
      </w:r>
      <w:r w:rsidR="00F108BE">
        <w:rPr>
          <w:lang w:val="en-GB"/>
        </w:rPr>
        <w:instrText>ADDIN CSL_CITATION {"citationItems":[{"id":"ITEM-1","itemData":{"DOI":"10.1242/jcs.125302","abstract":"The mechanisms of the coordinated assembly and disassembly of the septin/myosin ring is central for the understanding of polar growth and cytokinesis in yeast and other organisms. The septin-and myosin-binding protein Bni5p provides a dual function during the formation and disassembly of septin/myosin rings. Early in the cell cycle, Bni5p captures Myo1p at the incipient bud site and actively transforms it into higher-order structures. Additionally, Bni5p stabilizes the septin/myosin ring and is released from the septins shortly before the onset of cytokinesis. If this Bni5p dissociation from the septins is artificially prevented, ring disassembly is impaired and the untimely appearance of septin/myosin ring is induced. The prematurely formed septin/myosin rings delay the establishment of a new polarity axis and the progression into a new cell cycle. This observation suggests a negative feedback between septin/myosin ring formation and polarity establishment that might help to guarantee the singular assembly of this structure and the synchronization of its formation with the cell cycle. Introduction Septin filaments provide a distinct compartment and scaffold for the contractile actin-myosin ring and other proteins involved in cell division (Dobbelaere and Barral, 2004; McMurray et al., 2011; McMurray and Thorner, 2009). The five mitotic septins of the budding yeast Cdc3p, Cdc10p, Cdc11p, Cdc12p and Shs1p form an octameric septin rod (Pringle, 2008). Septin rods assemble into non-polar filaments and other higher-order structures that appear as rings or collars at the bud neck of the cells (Bertin et al., 2008; Bertin et al., 2012; Byers and Goetsch, 1976; Haarer and Pringle, 1987). Septins mark the site of cell separation at the end of each cell cycle. Shortly before cytokinesis the septin structure at the bud neck splits into two rings. Contraction of the actin myosin ring, fusion of the membranes and synthesis of the extra-cellular septa occurs within this septin-defined compartment (Dobbelaere and Barral, 2004). After completion of cell separation, the septin rings are disassembled and reappear in G1 of the new cell cycle as a patch at the membrane where the new bud is formed (McMurray and Thorner, 2009). New bud formation requires the localization of a complex of polarity factors consisting of the GDP/GTP exchange factor Cdc24p, the scaffold protein Bem1p and the Cdc42p-stimulated kinase Cla4p. This complex locally activates the Rho-type GTPase Cdc42…","author":[{"dropping-particle":"","family":"Schneider","given":"Clemens","non-dropping-particle":"","parse-names":false,"suffix":""},{"dropping-particle":"","family":"Grois","given":"Julia","non-dropping-particle":"","parse-names":false,"suffix":""},{"dropping-particle":"","family":"Renz","given":"Christian","non-dropping-particle":"","parse-names":false,"suffix":""},{"dropping-particle":"","family":"Gronemeyer","given":"Thomas","non-dropping-particle":"","parse-names":false,"suffix":""},{"dropping-particle":"","family":"Johnsson","given":"Nils","non-dropping-particle":"","parse-names":false,"suffix":""}],"container-title":"Journal of Cell Science","id":"ITEM-1","issued":{"date-parts":[["2013"]]},"page":"3390-3400","title":"Septin rings act as a template for myosin higher-order structures and inhibit redundant polarity establishment","type":"article-journal","volume":"126"},"uris":["http://www.mendeley.com/documents/?uuid=7e1e1057-80f5-30a3-aaa4-d53873a12583"]}],"mendeley":{"formattedCitation":"(Schneider &lt;i&gt;et al.&lt;/i&gt;, 2013)","plainTextFormattedCitation":"(Schneider et al., 2013)"},"properties":{"noteIndex":0},"schema":"https://github.com/citation-style-language/schema/raw/master/csl-citation.json"}</w:instrText>
      </w:r>
      <w:r w:rsidR="00F108BE">
        <w:rPr>
          <w:lang w:val="en-GB"/>
        </w:rPr>
        <w:fldChar w:fldCharType="separate"/>
      </w:r>
      <w:r w:rsidR="00F108BE" w:rsidRPr="00F108BE">
        <w:rPr>
          <w:noProof/>
          <w:lang w:val="en-GB"/>
        </w:rPr>
        <w:t xml:space="preserve">(Schneider </w:t>
      </w:r>
      <w:r w:rsidR="00F108BE" w:rsidRPr="00F108BE">
        <w:rPr>
          <w:i/>
          <w:noProof/>
          <w:lang w:val="en-GB"/>
        </w:rPr>
        <w:t>et al.</w:t>
      </w:r>
      <w:r w:rsidR="00F108BE" w:rsidRPr="00F108BE">
        <w:rPr>
          <w:noProof/>
          <w:lang w:val="en-GB"/>
        </w:rPr>
        <w:t>, 2013)</w:t>
      </w:r>
      <w:r w:rsidR="00F108BE">
        <w:rPr>
          <w:lang w:val="en-GB"/>
        </w:rPr>
        <w:fldChar w:fldCharType="end"/>
      </w:r>
      <w:r>
        <w:rPr>
          <w:lang w:val="en-GB"/>
        </w:rPr>
        <w:t xml:space="preserve">, resulting in homologous recombination into the native Ura3 locus. </w:t>
      </w:r>
    </w:p>
    <w:p w14:paraId="0B474FC1" w14:textId="77777777" w:rsidR="000C600A" w:rsidRDefault="000C600A">
      <w:pPr>
        <w:rPr>
          <w:i/>
        </w:rPr>
      </w:pPr>
    </w:p>
    <w:p w14:paraId="49CB48A0" w14:textId="77777777" w:rsidR="000C600A" w:rsidRDefault="00000000">
      <w:pPr>
        <w:jc w:val="center"/>
        <w:rPr>
          <w:i/>
        </w:rPr>
      </w:pPr>
      <w:r>
        <w:rPr>
          <w:b/>
          <w:i/>
        </w:rPr>
        <w:t>Table X</w:t>
      </w:r>
      <w:r>
        <w:rPr>
          <w:i/>
        </w:rPr>
        <w:t xml:space="preserve"> List of plasmids used in this study. </w:t>
      </w:r>
      <w:proofErr w:type="spellStart"/>
      <w:r>
        <w:rPr>
          <w:i/>
        </w:rPr>
        <w:t>pAc</w:t>
      </w:r>
      <w:proofErr w:type="spellEnd"/>
      <w:r>
        <w:rPr>
          <w:i/>
        </w:rPr>
        <w:t xml:space="preserve">-MBP, </w:t>
      </w:r>
      <w:proofErr w:type="spellStart"/>
      <w:r>
        <w:rPr>
          <w:i/>
        </w:rPr>
        <w:t>pAc</w:t>
      </w:r>
      <w:proofErr w:type="spellEnd"/>
      <w:r>
        <w:rPr>
          <w:i/>
        </w:rPr>
        <w:t xml:space="preserve"> and </w:t>
      </w:r>
      <w:proofErr w:type="spellStart"/>
      <w:r>
        <w:rPr>
          <w:i/>
        </w:rPr>
        <w:t>pES</w:t>
      </w:r>
      <w:proofErr w:type="spellEnd"/>
      <w:r>
        <w:rPr>
          <w:i/>
        </w:rPr>
        <w:t xml:space="preserve"> are an in-house constructed, pET15A based plasmids for the expression of MBP- or His</w:t>
      </w:r>
      <w:r>
        <w:rPr>
          <w:i/>
          <w:vertAlign w:val="subscript"/>
        </w:rPr>
        <w:t>6</w:t>
      </w:r>
      <w:r>
        <w:rPr>
          <w:i/>
        </w:rPr>
        <w:t xml:space="preserve"> tagged proteins in E. coli. </w:t>
      </w:r>
      <w:proofErr w:type="spellStart"/>
      <w:r>
        <w:rPr>
          <w:i/>
        </w:rPr>
        <w:t>fl</w:t>
      </w:r>
      <w:proofErr w:type="spellEnd"/>
      <w:r>
        <w:rPr>
          <w:i/>
        </w:rPr>
        <w:t xml:space="preserve"> -full length, aa – amino acid residue</w:t>
      </w:r>
    </w:p>
    <w:p w14:paraId="16ADEDBB" w14:textId="77777777" w:rsidR="000C600A" w:rsidRDefault="000C600A">
      <w:pPr>
        <w:rPr>
          <w:i/>
        </w:rPr>
      </w:pPr>
    </w:p>
    <w:p w14:paraId="2985DCFA" w14:textId="77777777" w:rsidR="000C600A" w:rsidRDefault="000C600A">
      <w:pPr>
        <w:rPr>
          <w:b/>
        </w:rPr>
      </w:pPr>
    </w:p>
    <w:tbl>
      <w:tblPr>
        <w:tblpPr w:leftFromText="141" w:rightFromText="141" w:vertAnchor="text" w:tblpY="1"/>
        <w:tblOverlap w:val="never"/>
        <w:tblW w:w="9072" w:type="dxa"/>
        <w:tblLayout w:type="fixed"/>
        <w:tblLook w:val="04A0" w:firstRow="1" w:lastRow="0" w:firstColumn="1" w:lastColumn="0" w:noHBand="0" w:noVBand="1"/>
      </w:tblPr>
      <w:tblGrid>
        <w:gridCol w:w="675"/>
        <w:gridCol w:w="3261"/>
        <w:gridCol w:w="1559"/>
        <w:gridCol w:w="1559"/>
        <w:gridCol w:w="2018"/>
      </w:tblGrid>
      <w:tr w:rsidR="000C600A" w14:paraId="3F473293" w14:textId="77777777" w:rsidTr="00B43AB5">
        <w:tc>
          <w:tcPr>
            <w:tcW w:w="675" w:type="dxa"/>
            <w:tcBorders>
              <w:bottom w:val="single" w:sz="4" w:space="0" w:color="000000"/>
            </w:tcBorders>
          </w:tcPr>
          <w:p w14:paraId="0F7B2596" w14:textId="77777777" w:rsidR="000C600A" w:rsidRDefault="000C600A">
            <w:pPr>
              <w:widowControl w:val="0"/>
            </w:pPr>
          </w:p>
        </w:tc>
        <w:tc>
          <w:tcPr>
            <w:tcW w:w="3261" w:type="dxa"/>
            <w:tcBorders>
              <w:bottom w:val="single" w:sz="4" w:space="0" w:color="000000"/>
            </w:tcBorders>
            <w:vAlign w:val="center"/>
          </w:tcPr>
          <w:p w14:paraId="025D98E7" w14:textId="77777777" w:rsidR="000C600A" w:rsidRDefault="00000000">
            <w:pPr>
              <w:widowControl w:val="0"/>
              <w:jc w:val="center"/>
            </w:pPr>
            <w:r>
              <w:t>Construct</w:t>
            </w:r>
          </w:p>
        </w:tc>
        <w:tc>
          <w:tcPr>
            <w:tcW w:w="1559" w:type="dxa"/>
            <w:tcBorders>
              <w:bottom w:val="single" w:sz="4" w:space="0" w:color="000000"/>
            </w:tcBorders>
            <w:vAlign w:val="center"/>
          </w:tcPr>
          <w:p w14:paraId="5BBF8C3D" w14:textId="77777777" w:rsidR="000C600A" w:rsidRDefault="00000000">
            <w:pPr>
              <w:widowControl w:val="0"/>
              <w:jc w:val="center"/>
            </w:pPr>
            <w:r>
              <w:t>Vector backbone</w:t>
            </w:r>
          </w:p>
        </w:tc>
        <w:tc>
          <w:tcPr>
            <w:tcW w:w="1559" w:type="dxa"/>
            <w:tcBorders>
              <w:bottom w:val="single" w:sz="4" w:space="0" w:color="000000"/>
            </w:tcBorders>
            <w:vAlign w:val="center"/>
          </w:tcPr>
          <w:p w14:paraId="5E73F473" w14:textId="77777777" w:rsidR="000C600A" w:rsidRDefault="00000000">
            <w:pPr>
              <w:widowControl w:val="0"/>
              <w:jc w:val="center"/>
            </w:pPr>
            <w:r>
              <w:t>Insert</w:t>
            </w:r>
          </w:p>
        </w:tc>
        <w:tc>
          <w:tcPr>
            <w:tcW w:w="2018" w:type="dxa"/>
            <w:tcBorders>
              <w:bottom w:val="single" w:sz="4" w:space="0" w:color="000000"/>
            </w:tcBorders>
            <w:vAlign w:val="center"/>
          </w:tcPr>
          <w:p w14:paraId="2175CD06" w14:textId="77777777" w:rsidR="000C600A" w:rsidRDefault="00000000">
            <w:pPr>
              <w:widowControl w:val="0"/>
              <w:jc w:val="center"/>
            </w:pPr>
            <w:r>
              <w:t>Source</w:t>
            </w:r>
          </w:p>
        </w:tc>
      </w:tr>
      <w:tr w:rsidR="000C600A" w14:paraId="7ABC1C73" w14:textId="77777777" w:rsidTr="00B43AB5">
        <w:tc>
          <w:tcPr>
            <w:tcW w:w="675" w:type="dxa"/>
            <w:vAlign w:val="center"/>
          </w:tcPr>
          <w:p w14:paraId="296C119D" w14:textId="77777777" w:rsidR="000C600A" w:rsidRDefault="00000000">
            <w:pPr>
              <w:widowControl w:val="0"/>
              <w:spacing w:line="276" w:lineRule="auto"/>
              <w:jc w:val="center"/>
            </w:pPr>
            <w:r>
              <w:t>#1</w:t>
            </w:r>
          </w:p>
        </w:tc>
        <w:tc>
          <w:tcPr>
            <w:tcW w:w="3261" w:type="dxa"/>
            <w:vAlign w:val="center"/>
          </w:tcPr>
          <w:p w14:paraId="31EC7034" w14:textId="77777777" w:rsidR="000C600A" w:rsidRDefault="00000000">
            <w:pPr>
              <w:widowControl w:val="0"/>
              <w:spacing w:line="276" w:lineRule="auto"/>
              <w:jc w:val="center"/>
              <w:rPr>
                <w:b/>
              </w:rPr>
            </w:pPr>
            <w:r>
              <w:t>EGFP-SEPT9</w:t>
            </w:r>
          </w:p>
        </w:tc>
        <w:tc>
          <w:tcPr>
            <w:tcW w:w="1559" w:type="dxa"/>
            <w:vAlign w:val="center"/>
          </w:tcPr>
          <w:p w14:paraId="56994F42" w14:textId="77777777" w:rsidR="000C600A" w:rsidRDefault="00000000">
            <w:pPr>
              <w:widowControl w:val="0"/>
              <w:spacing w:line="276" w:lineRule="auto"/>
              <w:jc w:val="center"/>
            </w:pPr>
            <w:r>
              <w:t>pEGFP-C2</w:t>
            </w:r>
          </w:p>
        </w:tc>
        <w:tc>
          <w:tcPr>
            <w:tcW w:w="1559" w:type="dxa"/>
            <w:vAlign w:val="center"/>
          </w:tcPr>
          <w:p w14:paraId="5282850C" w14:textId="77777777" w:rsidR="000C600A" w:rsidRDefault="00000000">
            <w:pPr>
              <w:widowControl w:val="0"/>
              <w:spacing w:line="276" w:lineRule="auto"/>
              <w:jc w:val="center"/>
            </w:pPr>
            <w:proofErr w:type="spellStart"/>
            <w:r>
              <w:t>fl</w:t>
            </w:r>
            <w:proofErr w:type="spellEnd"/>
          </w:p>
        </w:tc>
        <w:tc>
          <w:tcPr>
            <w:tcW w:w="2018" w:type="dxa"/>
            <w:vAlign w:val="center"/>
          </w:tcPr>
          <w:p w14:paraId="7436F0AD" w14:textId="77777777" w:rsidR="000C600A" w:rsidRDefault="00000000">
            <w:pPr>
              <w:widowControl w:val="0"/>
              <w:spacing w:line="276" w:lineRule="auto"/>
              <w:jc w:val="center"/>
            </w:pPr>
            <w:r>
              <w:t xml:space="preserve">E. </w:t>
            </w:r>
            <w:proofErr w:type="spellStart"/>
            <w:r>
              <w:t>Spiliotis</w:t>
            </w:r>
            <w:proofErr w:type="spellEnd"/>
          </w:p>
        </w:tc>
      </w:tr>
      <w:tr w:rsidR="000C600A" w14:paraId="69EE878D" w14:textId="77777777" w:rsidTr="00B43AB5">
        <w:tc>
          <w:tcPr>
            <w:tcW w:w="675" w:type="dxa"/>
            <w:vAlign w:val="center"/>
          </w:tcPr>
          <w:p w14:paraId="1D9C4E82" w14:textId="77777777" w:rsidR="000C600A" w:rsidRDefault="00000000">
            <w:pPr>
              <w:widowControl w:val="0"/>
              <w:spacing w:line="276" w:lineRule="auto"/>
              <w:jc w:val="center"/>
            </w:pPr>
            <w:r>
              <w:t>#2</w:t>
            </w:r>
          </w:p>
        </w:tc>
        <w:tc>
          <w:tcPr>
            <w:tcW w:w="3261" w:type="dxa"/>
            <w:vAlign w:val="center"/>
          </w:tcPr>
          <w:p w14:paraId="107C85E8" w14:textId="77777777" w:rsidR="000C600A" w:rsidRDefault="00000000">
            <w:pPr>
              <w:widowControl w:val="0"/>
              <w:spacing w:line="276" w:lineRule="auto"/>
              <w:jc w:val="center"/>
              <w:rPr>
                <w:b/>
              </w:rPr>
            </w:pPr>
            <w:r>
              <w:t>EGFP-SEPT9(R516A)</w:t>
            </w:r>
          </w:p>
        </w:tc>
        <w:tc>
          <w:tcPr>
            <w:tcW w:w="1559" w:type="dxa"/>
            <w:vAlign w:val="center"/>
          </w:tcPr>
          <w:p w14:paraId="1429BCFF" w14:textId="77777777" w:rsidR="000C600A" w:rsidRDefault="00000000">
            <w:pPr>
              <w:widowControl w:val="0"/>
              <w:spacing w:line="276" w:lineRule="auto"/>
              <w:jc w:val="center"/>
            </w:pPr>
            <w:r>
              <w:t>pEGFP-C2</w:t>
            </w:r>
          </w:p>
        </w:tc>
        <w:tc>
          <w:tcPr>
            <w:tcW w:w="1559" w:type="dxa"/>
            <w:vAlign w:val="center"/>
          </w:tcPr>
          <w:p w14:paraId="20444074" w14:textId="196CB3C3" w:rsidR="000C600A" w:rsidRDefault="00000000">
            <w:pPr>
              <w:widowControl w:val="0"/>
              <w:spacing w:line="276" w:lineRule="auto"/>
              <w:jc w:val="center"/>
            </w:pPr>
            <w:proofErr w:type="spellStart"/>
            <w:r>
              <w:t>fl</w:t>
            </w:r>
            <w:proofErr w:type="spellEnd"/>
          </w:p>
        </w:tc>
        <w:tc>
          <w:tcPr>
            <w:tcW w:w="2018" w:type="dxa"/>
            <w:vAlign w:val="center"/>
          </w:tcPr>
          <w:p w14:paraId="7569765B" w14:textId="77777777" w:rsidR="000C600A" w:rsidRDefault="00000000">
            <w:pPr>
              <w:widowControl w:val="0"/>
              <w:spacing w:line="276" w:lineRule="auto"/>
              <w:jc w:val="center"/>
            </w:pPr>
            <w:r>
              <w:t>This study</w:t>
            </w:r>
          </w:p>
        </w:tc>
      </w:tr>
      <w:tr w:rsidR="000C600A" w14:paraId="0AC6C7D2" w14:textId="77777777" w:rsidTr="00B43AB5">
        <w:tc>
          <w:tcPr>
            <w:tcW w:w="675" w:type="dxa"/>
            <w:vAlign w:val="center"/>
          </w:tcPr>
          <w:p w14:paraId="7ED32E38" w14:textId="77777777" w:rsidR="000C600A" w:rsidRDefault="00000000">
            <w:pPr>
              <w:widowControl w:val="0"/>
              <w:spacing w:line="276" w:lineRule="auto"/>
              <w:jc w:val="center"/>
            </w:pPr>
            <w:r>
              <w:t>#3</w:t>
            </w:r>
          </w:p>
        </w:tc>
        <w:tc>
          <w:tcPr>
            <w:tcW w:w="3261" w:type="dxa"/>
            <w:vAlign w:val="center"/>
          </w:tcPr>
          <w:p w14:paraId="06A1202B" w14:textId="77777777" w:rsidR="000C600A" w:rsidRDefault="00000000">
            <w:pPr>
              <w:widowControl w:val="0"/>
              <w:spacing w:line="276" w:lineRule="auto"/>
              <w:jc w:val="center"/>
              <w:rPr>
                <w:b/>
              </w:rPr>
            </w:pPr>
            <w:r>
              <w:t>EGFP-SEPT9(W520A)</w:t>
            </w:r>
          </w:p>
        </w:tc>
        <w:tc>
          <w:tcPr>
            <w:tcW w:w="1559" w:type="dxa"/>
            <w:vAlign w:val="center"/>
          </w:tcPr>
          <w:p w14:paraId="6E5BD4FB" w14:textId="77777777" w:rsidR="000C600A" w:rsidRDefault="00000000">
            <w:pPr>
              <w:widowControl w:val="0"/>
              <w:spacing w:line="276" w:lineRule="auto"/>
              <w:jc w:val="center"/>
            </w:pPr>
            <w:r>
              <w:t>pEGFP-C2</w:t>
            </w:r>
          </w:p>
        </w:tc>
        <w:tc>
          <w:tcPr>
            <w:tcW w:w="1559" w:type="dxa"/>
            <w:vAlign w:val="center"/>
          </w:tcPr>
          <w:p w14:paraId="54068656" w14:textId="2863960A" w:rsidR="000C600A" w:rsidRDefault="00000000">
            <w:pPr>
              <w:widowControl w:val="0"/>
              <w:spacing w:line="276" w:lineRule="auto"/>
              <w:jc w:val="center"/>
            </w:pPr>
            <w:proofErr w:type="spellStart"/>
            <w:r>
              <w:t>fl</w:t>
            </w:r>
            <w:proofErr w:type="spellEnd"/>
          </w:p>
        </w:tc>
        <w:tc>
          <w:tcPr>
            <w:tcW w:w="2018" w:type="dxa"/>
            <w:vAlign w:val="center"/>
          </w:tcPr>
          <w:p w14:paraId="195C737A" w14:textId="77777777" w:rsidR="000C600A" w:rsidRDefault="00000000">
            <w:pPr>
              <w:widowControl w:val="0"/>
              <w:spacing w:line="276" w:lineRule="auto"/>
              <w:jc w:val="center"/>
            </w:pPr>
            <w:r>
              <w:t>This study</w:t>
            </w:r>
          </w:p>
        </w:tc>
      </w:tr>
      <w:tr w:rsidR="000C600A" w14:paraId="31EC1885" w14:textId="77777777" w:rsidTr="00B43AB5">
        <w:tc>
          <w:tcPr>
            <w:tcW w:w="675" w:type="dxa"/>
            <w:vAlign w:val="center"/>
          </w:tcPr>
          <w:p w14:paraId="06EC751F" w14:textId="77777777" w:rsidR="000C600A" w:rsidRDefault="00000000">
            <w:pPr>
              <w:widowControl w:val="0"/>
              <w:spacing w:line="276" w:lineRule="auto"/>
              <w:jc w:val="center"/>
            </w:pPr>
            <w:r>
              <w:t>#4</w:t>
            </w:r>
          </w:p>
        </w:tc>
        <w:tc>
          <w:tcPr>
            <w:tcW w:w="3261" w:type="dxa"/>
            <w:vAlign w:val="center"/>
          </w:tcPr>
          <w:p w14:paraId="3855D1B9" w14:textId="77777777" w:rsidR="000C600A" w:rsidRDefault="00000000">
            <w:pPr>
              <w:widowControl w:val="0"/>
              <w:spacing w:line="276" w:lineRule="auto"/>
              <w:jc w:val="center"/>
            </w:pPr>
            <w:r>
              <w:t>DsRed-SEPT9</w:t>
            </w:r>
          </w:p>
        </w:tc>
        <w:tc>
          <w:tcPr>
            <w:tcW w:w="1559" w:type="dxa"/>
            <w:vAlign w:val="center"/>
          </w:tcPr>
          <w:p w14:paraId="4F5B672B" w14:textId="77777777" w:rsidR="000C600A" w:rsidRDefault="00000000">
            <w:pPr>
              <w:widowControl w:val="0"/>
              <w:spacing w:line="276" w:lineRule="auto"/>
              <w:jc w:val="center"/>
            </w:pPr>
            <w:proofErr w:type="spellStart"/>
            <w:r>
              <w:t>pDsRed</w:t>
            </w:r>
            <w:proofErr w:type="spellEnd"/>
            <w:r>
              <w:t>-Monomer C1</w:t>
            </w:r>
          </w:p>
        </w:tc>
        <w:tc>
          <w:tcPr>
            <w:tcW w:w="1559" w:type="dxa"/>
            <w:vAlign w:val="center"/>
          </w:tcPr>
          <w:p w14:paraId="0091C8F9" w14:textId="77777777" w:rsidR="000C600A" w:rsidRDefault="00000000">
            <w:pPr>
              <w:widowControl w:val="0"/>
              <w:spacing w:line="276" w:lineRule="auto"/>
              <w:jc w:val="center"/>
            </w:pPr>
            <w:proofErr w:type="spellStart"/>
            <w:r>
              <w:t>fl</w:t>
            </w:r>
            <w:proofErr w:type="spellEnd"/>
          </w:p>
        </w:tc>
        <w:tc>
          <w:tcPr>
            <w:tcW w:w="2018" w:type="dxa"/>
            <w:vAlign w:val="center"/>
          </w:tcPr>
          <w:p w14:paraId="73D79E98" w14:textId="77777777" w:rsidR="000C600A" w:rsidRDefault="00000000">
            <w:pPr>
              <w:widowControl w:val="0"/>
              <w:spacing w:line="276" w:lineRule="auto"/>
              <w:jc w:val="center"/>
            </w:pPr>
            <w:r>
              <w:t>M. Hecht</w:t>
            </w:r>
          </w:p>
        </w:tc>
      </w:tr>
      <w:tr w:rsidR="000C600A" w14:paraId="03CE0C4B" w14:textId="77777777" w:rsidTr="00B43AB5">
        <w:tc>
          <w:tcPr>
            <w:tcW w:w="675" w:type="dxa"/>
            <w:vAlign w:val="center"/>
          </w:tcPr>
          <w:p w14:paraId="49756987" w14:textId="77777777" w:rsidR="000C600A" w:rsidRDefault="00000000">
            <w:pPr>
              <w:widowControl w:val="0"/>
              <w:spacing w:line="276" w:lineRule="auto"/>
              <w:jc w:val="center"/>
            </w:pPr>
            <w:r>
              <w:t>#5</w:t>
            </w:r>
          </w:p>
        </w:tc>
        <w:tc>
          <w:tcPr>
            <w:tcW w:w="3261" w:type="dxa"/>
            <w:vAlign w:val="center"/>
          </w:tcPr>
          <w:p w14:paraId="385E3743" w14:textId="77777777" w:rsidR="000C600A" w:rsidRDefault="00000000">
            <w:pPr>
              <w:widowControl w:val="0"/>
              <w:spacing w:line="276" w:lineRule="auto"/>
              <w:jc w:val="center"/>
            </w:pPr>
            <w:r>
              <w:t>EGFP-SEPT2</w:t>
            </w:r>
          </w:p>
        </w:tc>
        <w:tc>
          <w:tcPr>
            <w:tcW w:w="1559" w:type="dxa"/>
            <w:vAlign w:val="center"/>
          </w:tcPr>
          <w:p w14:paraId="117AC94E" w14:textId="77777777" w:rsidR="000C600A" w:rsidRDefault="00000000">
            <w:pPr>
              <w:widowControl w:val="0"/>
              <w:spacing w:line="276" w:lineRule="auto"/>
              <w:jc w:val="center"/>
            </w:pPr>
            <w:r>
              <w:t>pEGFP-C2</w:t>
            </w:r>
          </w:p>
        </w:tc>
        <w:tc>
          <w:tcPr>
            <w:tcW w:w="1559" w:type="dxa"/>
            <w:vAlign w:val="center"/>
          </w:tcPr>
          <w:p w14:paraId="2E895F26" w14:textId="77777777" w:rsidR="000C600A" w:rsidRDefault="00000000">
            <w:pPr>
              <w:widowControl w:val="0"/>
              <w:spacing w:line="276" w:lineRule="auto"/>
              <w:jc w:val="center"/>
            </w:pPr>
            <w:proofErr w:type="spellStart"/>
            <w:r>
              <w:t>fl</w:t>
            </w:r>
            <w:proofErr w:type="spellEnd"/>
          </w:p>
        </w:tc>
        <w:tc>
          <w:tcPr>
            <w:tcW w:w="2018" w:type="dxa"/>
            <w:vAlign w:val="center"/>
          </w:tcPr>
          <w:p w14:paraId="6713F5EA" w14:textId="77777777" w:rsidR="000C600A" w:rsidRDefault="00000000">
            <w:pPr>
              <w:widowControl w:val="0"/>
              <w:spacing w:line="276" w:lineRule="auto"/>
              <w:jc w:val="center"/>
            </w:pPr>
            <w:r>
              <w:t>M. Hecht</w:t>
            </w:r>
          </w:p>
        </w:tc>
      </w:tr>
      <w:tr w:rsidR="000C600A" w14:paraId="7C656350" w14:textId="77777777" w:rsidTr="00B43AB5">
        <w:tc>
          <w:tcPr>
            <w:tcW w:w="675" w:type="dxa"/>
            <w:vAlign w:val="center"/>
          </w:tcPr>
          <w:p w14:paraId="12BA5D82" w14:textId="77777777" w:rsidR="000C600A" w:rsidRDefault="00000000">
            <w:pPr>
              <w:widowControl w:val="0"/>
              <w:spacing w:line="276" w:lineRule="auto"/>
              <w:jc w:val="center"/>
            </w:pPr>
            <w:r>
              <w:lastRenderedPageBreak/>
              <w:t>#6</w:t>
            </w:r>
          </w:p>
        </w:tc>
        <w:tc>
          <w:tcPr>
            <w:tcW w:w="3261" w:type="dxa"/>
            <w:vAlign w:val="center"/>
          </w:tcPr>
          <w:p w14:paraId="12A209EA" w14:textId="77777777" w:rsidR="000C600A" w:rsidRDefault="00000000">
            <w:pPr>
              <w:widowControl w:val="0"/>
              <w:spacing w:line="276" w:lineRule="auto"/>
              <w:jc w:val="center"/>
              <w:rPr>
                <w:b/>
              </w:rPr>
            </w:pPr>
            <w:r>
              <w:t>His</w:t>
            </w:r>
            <w:r>
              <w:rPr>
                <w:vertAlign w:val="subscript"/>
              </w:rPr>
              <w:t>6</w:t>
            </w:r>
            <w:r>
              <w:t>-SEPT9G</w:t>
            </w:r>
          </w:p>
        </w:tc>
        <w:tc>
          <w:tcPr>
            <w:tcW w:w="1559" w:type="dxa"/>
            <w:vAlign w:val="center"/>
          </w:tcPr>
          <w:p w14:paraId="6D6306A2" w14:textId="77777777" w:rsidR="000C600A" w:rsidRDefault="00000000">
            <w:pPr>
              <w:widowControl w:val="0"/>
              <w:spacing w:line="276" w:lineRule="auto"/>
              <w:jc w:val="center"/>
            </w:pPr>
            <w:proofErr w:type="spellStart"/>
            <w:r>
              <w:t>pES</w:t>
            </w:r>
            <w:proofErr w:type="spellEnd"/>
          </w:p>
        </w:tc>
        <w:tc>
          <w:tcPr>
            <w:tcW w:w="1559" w:type="dxa"/>
            <w:vAlign w:val="center"/>
          </w:tcPr>
          <w:p w14:paraId="0B0270A3" w14:textId="77777777" w:rsidR="000C600A" w:rsidRDefault="00000000">
            <w:pPr>
              <w:widowControl w:val="0"/>
              <w:spacing w:line="276" w:lineRule="auto"/>
              <w:jc w:val="center"/>
            </w:pPr>
            <w:r>
              <w:t>aa 295-567</w:t>
            </w:r>
          </w:p>
        </w:tc>
        <w:tc>
          <w:tcPr>
            <w:tcW w:w="2018" w:type="dxa"/>
            <w:vAlign w:val="center"/>
          </w:tcPr>
          <w:p w14:paraId="77A7D363" w14:textId="77777777" w:rsidR="000C600A" w:rsidRDefault="00000000">
            <w:pPr>
              <w:widowControl w:val="0"/>
              <w:spacing w:line="276" w:lineRule="auto"/>
              <w:jc w:val="center"/>
            </w:pPr>
            <w:r>
              <w:t xml:space="preserve">(Hecht </w:t>
            </w:r>
            <w:r>
              <w:rPr>
                <w:i/>
              </w:rPr>
              <w:t>et al.</w:t>
            </w:r>
            <w:r>
              <w:t>, 2024)</w:t>
            </w:r>
          </w:p>
        </w:tc>
      </w:tr>
      <w:tr w:rsidR="000C600A" w14:paraId="4B3C9957" w14:textId="77777777" w:rsidTr="00B43AB5">
        <w:tc>
          <w:tcPr>
            <w:tcW w:w="675" w:type="dxa"/>
            <w:vAlign w:val="center"/>
          </w:tcPr>
          <w:p w14:paraId="589FF90F" w14:textId="77777777" w:rsidR="000C600A" w:rsidRDefault="00000000">
            <w:pPr>
              <w:widowControl w:val="0"/>
              <w:spacing w:line="276" w:lineRule="auto"/>
              <w:jc w:val="center"/>
            </w:pPr>
            <w:r>
              <w:t>#7</w:t>
            </w:r>
          </w:p>
        </w:tc>
        <w:tc>
          <w:tcPr>
            <w:tcW w:w="3261" w:type="dxa"/>
            <w:vAlign w:val="center"/>
          </w:tcPr>
          <w:p w14:paraId="0C229E2D" w14:textId="77777777" w:rsidR="000C600A" w:rsidRDefault="00000000">
            <w:pPr>
              <w:widowControl w:val="0"/>
              <w:spacing w:line="276" w:lineRule="auto"/>
              <w:jc w:val="center"/>
              <w:rPr>
                <w:b/>
              </w:rPr>
            </w:pPr>
            <w:r>
              <w:t>His</w:t>
            </w:r>
            <w:r>
              <w:rPr>
                <w:vertAlign w:val="subscript"/>
              </w:rPr>
              <w:t>6</w:t>
            </w:r>
            <w:r>
              <w:t>-SEPT9G(R516A)</w:t>
            </w:r>
          </w:p>
        </w:tc>
        <w:tc>
          <w:tcPr>
            <w:tcW w:w="1559" w:type="dxa"/>
            <w:vAlign w:val="center"/>
          </w:tcPr>
          <w:p w14:paraId="271AE324" w14:textId="77777777" w:rsidR="000C600A" w:rsidRDefault="00000000">
            <w:pPr>
              <w:widowControl w:val="0"/>
              <w:spacing w:line="276" w:lineRule="auto"/>
              <w:jc w:val="center"/>
            </w:pPr>
            <w:proofErr w:type="spellStart"/>
            <w:r>
              <w:t>pES</w:t>
            </w:r>
            <w:proofErr w:type="spellEnd"/>
          </w:p>
        </w:tc>
        <w:tc>
          <w:tcPr>
            <w:tcW w:w="1559" w:type="dxa"/>
            <w:vAlign w:val="center"/>
          </w:tcPr>
          <w:p w14:paraId="4D8897CC" w14:textId="35B6976D" w:rsidR="000C600A" w:rsidRDefault="00000000">
            <w:pPr>
              <w:widowControl w:val="0"/>
              <w:spacing w:line="276" w:lineRule="auto"/>
              <w:jc w:val="center"/>
            </w:pPr>
            <w:r>
              <w:t xml:space="preserve">aa 295-567 </w:t>
            </w:r>
          </w:p>
        </w:tc>
        <w:tc>
          <w:tcPr>
            <w:tcW w:w="2018" w:type="dxa"/>
            <w:vAlign w:val="center"/>
          </w:tcPr>
          <w:p w14:paraId="0C343E09" w14:textId="77777777" w:rsidR="000C600A" w:rsidRDefault="00000000">
            <w:pPr>
              <w:widowControl w:val="0"/>
              <w:spacing w:line="276" w:lineRule="auto"/>
              <w:jc w:val="center"/>
            </w:pPr>
            <w:r>
              <w:t>This study</w:t>
            </w:r>
          </w:p>
        </w:tc>
      </w:tr>
      <w:tr w:rsidR="000C600A" w14:paraId="7FA1EAB0" w14:textId="77777777" w:rsidTr="00B43AB5">
        <w:tc>
          <w:tcPr>
            <w:tcW w:w="675" w:type="dxa"/>
            <w:vAlign w:val="center"/>
          </w:tcPr>
          <w:p w14:paraId="6ED36FAD" w14:textId="77777777" w:rsidR="000C600A" w:rsidRDefault="00000000">
            <w:pPr>
              <w:widowControl w:val="0"/>
              <w:spacing w:line="276" w:lineRule="auto"/>
              <w:jc w:val="center"/>
            </w:pPr>
            <w:r>
              <w:t>#8</w:t>
            </w:r>
          </w:p>
        </w:tc>
        <w:tc>
          <w:tcPr>
            <w:tcW w:w="3261" w:type="dxa"/>
            <w:vAlign w:val="center"/>
          </w:tcPr>
          <w:p w14:paraId="40702E38" w14:textId="77777777" w:rsidR="000C600A" w:rsidRDefault="00000000">
            <w:pPr>
              <w:widowControl w:val="0"/>
              <w:spacing w:line="276" w:lineRule="auto"/>
              <w:jc w:val="center"/>
              <w:rPr>
                <w:b/>
              </w:rPr>
            </w:pPr>
            <w:r>
              <w:t>MBP-SEPT7G</w:t>
            </w:r>
          </w:p>
        </w:tc>
        <w:tc>
          <w:tcPr>
            <w:tcW w:w="1559" w:type="dxa"/>
            <w:vAlign w:val="center"/>
          </w:tcPr>
          <w:p w14:paraId="2AA9E340" w14:textId="77777777" w:rsidR="000C600A" w:rsidRDefault="00000000">
            <w:pPr>
              <w:widowControl w:val="0"/>
              <w:spacing w:line="276" w:lineRule="auto"/>
              <w:jc w:val="center"/>
            </w:pPr>
            <w:proofErr w:type="spellStart"/>
            <w:r>
              <w:t>pAc</w:t>
            </w:r>
            <w:proofErr w:type="spellEnd"/>
            <w:r>
              <w:t>-MBP</w:t>
            </w:r>
          </w:p>
        </w:tc>
        <w:tc>
          <w:tcPr>
            <w:tcW w:w="1559" w:type="dxa"/>
            <w:vAlign w:val="center"/>
          </w:tcPr>
          <w:p w14:paraId="527FDDF9" w14:textId="77777777" w:rsidR="000C600A" w:rsidRDefault="00000000">
            <w:pPr>
              <w:widowControl w:val="0"/>
              <w:spacing w:line="276" w:lineRule="auto"/>
              <w:jc w:val="center"/>
            </w:pPr>
            <w:r>
              <w:t>aa 48-318</w:t>
            </w:r>
          </w:p>
        </w:tc>
        <w:tc>
          <w:tcPr>
            <w:tcW w:w="2018" w:type="dxa"/>
            <w:vAlign w:val="center"/>
          </w:tcPr>
          <w:p w14:paraId="0E737D7D" w14:textId="77777777" w:rsidR="000C600A" w:rsidRDefault="00000000">
            <w:pPr>
              <w:widowControl w:val="0"/>
              <w:spacing w:line="276" w:lineRule="auto"/>
              <w:jc w:val="center"/>
            </w:pPr>
            <w:r>
              <w:t>This study</w:t>
            </w:r>
          </w:p>
        </w:tc>
      </w:tr>
      <w:tr w:rsidR="000C600A" w14:paraId="2162C7FD" w14:textId="77777777" w:rsidTr="00B43AB5">
        <w:tc>
          <w:tcPr>
            <w:tcW w:w="675" w:type="dxa"/>
            <w:vAlign w:val="center"/>
          </w:tcPr>
          <w:p w14:paraId="01B570AE" w14:textId="77777777" w:rsidR="000C600A" w:rsidRDefault="00000000">
            <w:pPr>
              <w:widowControl w:val="0"/>
              <w:spacing w:line="276" w:lineRule="auto"/>
              <w:jc w:val="center"/>
            </w:pPr>
            <w:r>
              <w:t>#9</w:t>
            </w:r>
          </w:p>
        </w:tc>
        <w:tc>
          <w:tcPr>
            <w:tcW w:w="3261" w:type="dxa"/>
            <w:vAlign w:val="center"/>
          </w:tcPr>
          <w:p w14:paraId="28B077BD" w14:textId="77777777" w:rsidR="000C600A" w:rsidRDefault="00000000">
            <w:pPr>
              <w:widowControl w:val="0"/>
              <w:spacing w:line="276" w:lineRule="auto"/>
              <w:jc w:val="center"/>
              <w:rPr>
                <w:b/>
              </w:rPr>
            </w:pPr>
            <w:r>
              <w:t>MBP-SEPT7G(R265A)</w:t>
            </w:r>
          </w:p>
        </w:tc>
        <w:tc>
          <w:tcPr>
            <w:tcW w:w="1559" w:type="dxa"/>
            <w:vAlign w:val="center"/>
          </w:tcPr>
          <w:p w14:paraId="14EE4DCE" w14:textId="77777777" w:rsidR="000C600A" w:rsidRDefault="00000000">
            <w:pPr>
              <w:widowControl w:val="0"/>
              <w:spacing w:line="276" w:lineRule="auto"/>
              <w:jc w:val="center"/>
            </w:pPr>
            <w:proofErr w:type="spellStart"/>
            <w:r>
              <w:t>pAc</w:t>
            </w:r>
            <w:proofErr w:type="spellEnd"/>
            <w:r>
              <w:t>-MBP</w:t>
            </w:r>
          </w:p>
        </w:tc>
        <w:tc>
          <w:tcPr>
            <w:tcW w:w="1559" w:type="dxa"/>
            <w:vAlign w:val="center"/>
          </w:tcPr>
          <w:p w14:paraId="152B8E89" w14:textId="2099ECD2" w:rsidR="000C600A" w:rsidRDefault="00000000">
            <w:pPr>
              <w:widowControl w:val="0"/>
              <w:spacing w:line="276" w:lineRule="auto"/>
              <w:jc w:val="center"/>
            </w:pPr>
            <w:r>
              <w:t xml:space="preserve">aa 48-318 </w:t>
            </w:r>
          </w:p>
        </w:tc>
        <w:tc>
          <w:tcPr>
            <w:tcW w:w="2018" w:type="dxa"/>
            <w:vAlign w:val="center"/>
          </w:tcPr>
          <w:p w14:paraId="4307E82C" w14:textId="77777777" w:rsidR="000C600A" w:rsidRDefault="00000000">
            <w:pPr>
              <w:widowControl w:val="0"/>
              <w:spacing w:line="276" w:lineRule="auto"/>
              <w:jc w:val="center"/>
            </w:pPr>
            <w:r>
              <w:t>This study</w:t>
            </w:r>
          </w:p>
        </w:tc>
      </w:tr>
      <w:tr w:rsidR="000C600A" w14:paraId="32637B1F" w14:textId="77777777" w:rsidTr="00B43AB5">
        <w:tc>
          <w:tcPr>
            <w:tcW w:w="675" w:type="dxa"/>
            <w:vAlign w:val="center"/>
          </w:tcPr>
          <w:p w14:paraId="659EECE1" w14:textId="77777777" w:rsidR="000C600A" w:rsidRDefault="00000000">
            <w:pPr>
              <w:widowControl w:val="0"/>
              <w:spacing w:line="276" w:lineRule="auto"/>
              <w:jc w:val="center"/>
            </w:pPr>
            <w:r>
              <w:t>#10</w:t>
            </w:r>
          </w:p>
        </w:tc>
        <w:tc>
          <w:tcPr>
            <w:tcW w:w="3261" w:type="dxa"/>
            <w:vAlign w:val="center"/>
          </w:tcPr>
          <w:p w14:paraId="1CF267E1" w14:textId="77777777" w:rsidR="000C600A" w:rsidRDefault="00000000">
            <w:pPr>
              <w:widowControl w:val="0"/>
              <w:spacing w:line="276" w:lineRule="auto"/>
              <w:jc w:val="center"/>
            </w:pPr>
            <w:r>
              <w:t>His</w:t>
            </w:r>
            <w:r>
              <w:rPr>
                <w:vertAlign w:val="subscript"/>
              </w:rPr>
              <w:t>6</w:t>
            </w:r>
            <w:r>
              <w:t>-MBP-SEPT7G</w:t>
            </w:r>
          </w:p>
        </w:tc>
        <w:tc>
          <w:tcPr>
            <w:tcW w:w="1559" w:type="dxa"/>
            <w:vAlign w:val="center"/>
          </w:tcPr>
          <w:p w14:paraId="1A87EB0C" w14:textId="77777777" w:rsidR="000C600A" w:rsidRDefault="00000000">
            <w:pPr>
              <w:widowControl w:val="0"/>
              <w:spacing w:line="276" w:lineRule="auto"/>
              <w:jc w:val="center"/>
            </w:pPr>
            <w:proofErr w:type="spellStart"/>
            <w:r>
              <w:t>pAc</w:t>
            </w:r>
            <w:proofErr w:type="spellEnd"/>
          </w:p>
        </w:tc>
        <w:tc>
          <w:tcPr>
            <w:tcW w:w="1559" w:type="dxa"/>
            <w:vAlign w:val="center"/>
          </w:tcPr>
          <w:p w14:paraId="6B50E9B3" w14:textId="77777777" w:rsidR="000C600A" w:rsidRDefault="00000000">
            <w:pPr>
              <w:widowControl w:val="0"/>
              <w:spacing w:line="276" w:lineRule="auto"/>
              <w:jc w:val="center"/>
            </w:pPr>
            <w:r>
              <w:t>aa 48-318</w:t>
            </w:r>
          </w:p>
        </w:tc>
        <w:tc>
          <w:tcPr>
            <w:tcW w:w="2018" w:type="dxa"/>
            <w:vAlign w:val="center"/>
          </w:tcPr>
          <w:p w14:paraId="1A2256AA" w14:textId="77777777" w:rsidR="000C600A" w:rsidRDefault="00000000">
            <w:pPr>
              <w:widowControl w:val="0"/>
              <w:spacing w:line="276" w:lineRule="auto"/>
              <w:jc w:val="center"/>
            </w:pPr>
            <w:r>
              <w:t>This study</w:t>
            </w:r>
          </w:p>
        </w:tc>
      </w:tr>
      <w:tr w:rsidR="000C600A" w14:paraId="520741B8" w14:textId="77777777" w:rsidTr="00B43AB5">
        <w:tc>
          <w:tcPr>
            <w:tcW w:w="675" w:type="dxa"/>
            <w:vAlign w:val="center"/>
          </w:tcPr>
          <w:p w14:paraId="2D77130E" w14:textId="77777777" w:rsidR="000C600A" w:rsidRDefault="00000000">
            <w:pPr>
              <w:widowControl w:val="0"/>
              <w:spacing w:line="276" w:lineRule="auto"/>
              <w:jc w:val="center"/>
            </w:pPr>
            <w:r>
              <w:t>#11</w:t>
            </w:r>
          </w:p>
        </w:tc>
        <w:tc>
          <w:tcPr>
            <w:tcW w:w="3261" w:type="dxa"/>
            <w:vAlign w:val="center"/>
          </w:tcPr>
          <w:p w14:paraId="4C22BBCE" w14:textId="77777777" w:rsidR="000C600A" w:rsidRDefault="00000000">
            <w:pPr>
              <w:widowControl w:val="0"/>
              <w:spacing w:line="276" w:lineRule="auto"/>
              <w:jc w:val="center"/>
            </w:pPr>
            <w:r>
              <w:t>His</w:t>
            </w:r>
            <w:r>
              <w:rPr>
                <w:vertAlign w:val="subscript"/>
              </w:rPr>
              <w:t>6</w:t>
            </w:r>
            <w:r>
              <w:t>-MBP-SEPT7G(R265A)</w:t>
            </w:r>
          </w:p>
        </w:tc>
        <w:tc>
          <w:tcPr>
            <w:tcW w:w="1559" w:type="dxa"/>
            <w:vAlign w:val="center"/>
          </w:tcPr>
          <w:p w14:paraId="6B8B9EC2" w14:textId="77777777" w:rsidR="000C600A" w:rsidRDefault="00000000">
            <w:pPr>
              <w:widowControl w:val="0"/>
              <w:spacing w:line="276" w:lineRule="auto"/>
              <w:jc w:val="center"/>
            </w:pPr>
            <w:proofErr w:type="spellStart"/>
            <w:r>
              <w:t>pAc</w:t>
            </w:r>
            <w:proofErr w:type="spellEnd"/>
          </w:p>
        </w:tc>
        <w:tc>
          <w:tcPr>
            <w:tcW w:w="1559" w:type="dxa"/>
            <w:vAlign w:val="center"/>
          </w:tcPr>
          <w:p w14:paraId="665658E8" w14:textId="6FC1AEFC" w:rsidR="000C600A" w:rsidRDefault="00000000">
            <w:pPr>
              <w:widowControl w:val="0"/>
              <w:spacing w:line="276" w:lineRule="auto"/>
              <w:jc w:val="center"/>
            </w:pPr>
            <w:r>
              <w:t>aa 48-318</w:t>
            </w:r>
          </w:p>
        </w:tc>
        <w:tc>
          <w:tcPr>
            <w:tcW w:w="2018" w:type="dxa"/>
            <w:vAlign w:val="center"/>
          </w:tcPr>
          <w:p w14:paraId="199DB3CB" w14:textId="77777777" w:rsidR="000C600A" w:rsidRDefault="00000000">
            <w:pPr>
              <w:widowControl w:val="0"/>
              <w:spacing w:line="276" w:lineRule="auto"/>
              <w:jc w:val="center"/>
            </w:pPr>
            <w:r>
              <w:t>This study</w:t>
            </w:r>
          </w:p>
        </w:tc>
      </w:tr>
      <w:tr w:rsidR="000C600A" w14:paraId="37F64C3D" w14:textId="77777777" w:rsidTr="00B43AB5">
        <w:tc>
          <w:tcPr>
            <w:tcW w:w="675" w:type="dxa"/>
            <w:vAlign w:val="center"/>
          </w:tcPr>
          <w:p w14:paraId="7B711AEA" w14:textId="77777777" w:rsidR="000C600A" w:rsidRDefault="00000000">
            <w:pPr>
              <w:widowControl w:val="0"/>
              <w:spacing w:line="276" w:lineRule="auto"/>
              <w:jc w:val="center"/>
            </w:pPr>
            <w:r>
              <w:t>#12</w:t>
            </w:r>
          </w:p>
        </w:tc>
        <w:tc>
          <w:tcPr>
            <w:tcW w:w="3261" w:type="dxa"/>
            <w:vAlign w:val="center"/>
          </w:tcPr>
          <w:p w14:paraId="3D227280" w14:textId="77777777" w:rsidR="000C600A" w:rsidRDefault="00000000">
            <w:pPr>
              <w:widowControl w:val="0"/>
              <w:spacing w:line="276" w:lineRule="auto"/>
              <w:jc w:val="center"/>
              <w:rPr>
                <w:b/>
              </w:rPr>
            </w:pPr>
            <w:r>
              <w:t>His</w:t>
            </w:r>
            <w:r>
              <w:rPr>
                <w:vertAlign w:val="subscript"/>
              </w:rPr>
              <w:t>6</w:t>
            </w:r>
            <w:r>
              <w:t>-SEPT7G</w:t>
            </w:r>
          </w:p>
        </w:tc>
        <w:tc>
          <w:tcPr>
            <w:tcW w:w="1559" w:type="dxa"/>
            <w:vAlign w:val="center"/>
          </w:tcPr>
          <w:p w14:paraId="6D8F7D20" w14:textId="77777777" w:rsidR="000C600A" w:rsidRDefault="00000000">
            <w:pPr>
              <w:widowControl w:val="0"/>
              <w:spacing w:line="276" w:lineRule="auto"/>
              <w:jc w:val="center"/>
            </w:pPr>
            <w:proofErr w:type="spellStart"/>
            <w:r>
              <w:t>pES</w:t>
            </w:r>
            <w:proofErr w:type="spellEnd"/>
          </w:p>
        </w:tc>
        <w:tc>
          <w:tcPr>
            <w:tcW w:w="1559" w:type="dxa"/>
            <w:vAlign w:val="center"/>
          </w:tcPr>
          <w:p w14:paraId="34C032A8" w14:textId="77777777" w:rsidR="000C600A" w:rsidRDefault="00000000">
            <w:pPr>
              <w:widowControl w:val="0"/>
              <w:spacing w:line="276" w:lineRule="auto"/>
              <w:jc w:val="center"/>
            </w:pPr>
            <w:r>
              <w:t>aa 48-318</w:t>
            </w:r>
          </w:p>
        </w:tc>
        <w:tc>
          <w:tcPr>
            <w:tcW w:w="2018" w:type="dxa"/>
            <w:vAlign w:val="center"/>
          </w:tcPr>
          <w:p w14:paraId="4C641E96" w14:textId="77777777" w:rsidR="000C600A" w:rsidRDefault="00000000">
            <w:pPr>
              <w:widowControl w:val="0"/>
              <w:spacing w:line="276" w:lineRule="auto"/>
              <w:jc w:val="center"/>
            </w:pPr>
            <w:r>
              <w:t>This study</w:t>
            </w:r>
          </w:p>
        </w:tc>
      </w:tr>
      <w:tr w:rsidR="000C600A" w14:paraId="24D1EF48" w14:textId="77777777" w:rsidTr="00B43AB5">
        <w:tc>
          <w:tcPr>
            <w:tcW w:w="675" w:type="dxa"/>
            <w:vAlign w:val="center"/>
          </w:tcPr>
          <w:p w14:paraId="7ED7A1A3" w14:textId="77777777" w:rsidR="000C600A" w:rsidRDefault="00000000">
            <w:pPr>
              <w:widowControl w:val="0"/>
              <w:spacing w:line="276" w:lineRule="auto"/>
              <w:jc w:val="center"/>
            </w:pPr>
            <w:r>
              <w:t>#13</w:t>
            </w:r>
          </w:p>
        </w:tc>
        <w:tc>
          <w:tcPr>
            <w:tcW w:w="3261" w:type="dxa"/>
            <w:vAlign w:val="center"/>
          </w:tcPr>
          <w:p w14:paraId="3160F67B" w14:textId="77777777" w:rsidR="000C600A" w:rsidRDefault="00000000">
            <w:pPr>
              <w:widowControl w:val="0"/>
              <w:spacing w:line="276" w:lineRule="auto"/>
              <w:jc w:val="center"/>
            </w:pPr>
            <w:r>
              <w:t>His</w:t>
            </w:r>
            <w:r>
              <w:rPr>
                <w:vertAlign w:val="subscript"/>
              </w:rPr>
              <w:t>6</w:t>
            </w:r>
            <w:r>
              <w:t>-SEPT7G(R265A)</w:t>
            </w:r>
          </w:p>
        </w:tc>
        <w:tc>
          <w:tcPr>
            <w:tcW w:w="1559" w:type="dxa"/>
            <w:vAlign w:val="center"/>
          </w:tcPr>
          <w:p w14:paraId="6FDCA7B8" w14:textId="77777777" w:rsidR="000C600A" w:rsidRDefault="00000000">
            <w:pPr>
              <w:widowControl w:val="0"/>
              <w:spacing w:line="276" w:lineRule="auto"/>
              <w:jc w:val="center"/>
            </w:pPr>
            <w:proofErr w:type="spellStart"/>
            <w:r>
              <w:t>pES</w:t>
            </w:r>
            <w:proofErr w:type="spellEnd"/>
          </w:p>
        </w:tc>
        <w:tc>
          <w:tcPr>
            <w:tcW w:w="1559" w:type="dxa"/>
            <w:vAlign w:val="center"/>
          </w:tcPr>
          <w:p w14:paraId="7F1B3247" w14:textId="1A5202C0" w:rsidR="000C600A" w:rsidRDefault="00000000">
            <w:pPr>
              <w:widowControl w:val="0"/>
              <w:spacing w:line="276" w:lineRule="auto"/>
              <w:jc w:val="center"/>
            </w:pPr>
            <w:r>
              <w:t>aa 48-319</w:t>
            </w:r>
          </w:p>
        </w:tc>
        <w:tc>
          <w:tcPr>
            <w:tcW w:w="2018" w:type="dxa"/>
            <w:vAlign w:val="center"/>
          </w:tcPr>
          <w:p w14:paraId="5164D87C" w14:textId="77777777" w:rsidR="000C600A" w:rsidRDefault="00000000">
            <w:pPr>
              <w:widowControl w:val="0"/>
              <w:spacing w:line="276" w:lineRule="auto"/>
              <w:jc w:val="center"/>
            </w:pPr>
            <w:r>
              <w:t>This study</w:t>
            </w:r>
          </w:p>
        </w:tc>
      </w:tr>
      <w:tr w:rsidR="000C600A" w14:paraId="00F0F596" w14:textId="77777777" w:rsidTr="00B43AB5">
        <w:tc>
          <w:tcPr>
            <w:tcW w:w="675" w:type="dxa"/>
            <w:vAlign w:val="center"/>
          </w:tcPr>
          <w:p w14:paraId="24D555A7" w14:textId="77777777" w:rsidR="000C600A" w:rsidRDefault="00000000">
            <w:pPr>
              <w:widowControl w:val="0"/>
              <w:spacing w:line="276" w:lineRule="auto"/>
              <w:jc w:val="center"/>
            </w:pPr>
            <w:r>
              <w:t>#14</w:t>
            </w:r>
          </w:p>
        </w:tc>
        <w:tc>
          <w:tcPr>
            <w:tcW w:w="3261" w:type="dxa"/>
            <w:vAlign w:val="center"/>
          </w:tcPr>
          <w:p w14:paraId="2743BFDC" w14:textId="77777777" w:rsidR="000C600A" w:rsidRDefault="00000000">
            <w:pPr>
              <w:widowControl w:val="0"/>
              <w:spacing w:line="276" w:lineRule="auto"/>
              <w:jc w:val="center"/>
            </w:pPr>
            <w:r>
              <w:t>His</w:t>
            </w:r>
            <w:r>
              <w:rPr>
                <w:vertAlign w:val="subscript"/>
              </w:rPr>
              <w:t>6</w:t>
            </w:r>
            <w:r>
              <w:t>-MBP-Cdc10G</w:t>
            </w:r>
          </w:p>
        </w:tc>
        <w:tc>
          <w:tcPr>
            <w:tcW w:w="1559" w:type="dxa"/>
            <w:vAlign w:val="center"/>
          </w:tcPr>
          <w:p w14:paraId="6D242CBE" w14:textId="77777777" w:rsidR="000C600A" w:rsidRDefault="00000000">
            <w:pPr>
              <w:widowControl w:val="0"/>
              <w:spacing w:line="276" w:lineRule="auto"/>
              <w:jc w:val="center"/>
            </w:pPr>
            <w:proofErr w:type="spellStart"/>
            <w:r>
              <w:t>pAc</w:t>
            </w:r>
            <w:proofErr w:type="spellEnd"/>
          </w:p>
        </w:tc>
        <w:tc>
          <w:tcPr>
            <w:tcW w:w="1559" w:type="dxa"/>
            <w:vAlign w:val="center"/>
          </w:tcPr>
          <w:p w14:paraId="1FD55C5A" w14:textId="77777777" w:rsidR="000C600A" w:rsidRDefault="00000000">
            <w:pPr>
              <w:widowControl w:val="0"/>
              <w:spacing w:line="276" w:lineRule="auto"/>
              <w:jc w:val="center"/>
            </w:pPr>
            <w:r>
              <w:t>aa 30-end</w:t>
            </w:r>
          </w:p>
        </w:tc>
        <w:tc>
          <w:tcPr>
            <w:tcW w:w="2018" w:type="dxa"/>
            <w:vAlign w:val="center"/>
          </w:tcPr>
          <w:p w14:paraId="5744AEC1" w14:textId="77777777" w:rsidR="000C600A" w:rsidRDefault="00000000">
            <w:pPr>
              <w:widowControl w:val="0"/>
              <w:spacing w:line="276" w:lineRule="auto"/>
              <w:jc w:val="center"/>
            </w:pPr>
            <w:r>
              <w:t>This study</w:t>
            </w:r>
          </w:p>
        </w:tc>
      </w:tr>
      <w:tr w:rsidR="000C600A" w14:paraId="008E04F9" w14:textId="77777777" w:rsidTr="00B43AB5">
        <w:tc>
          <w:tcPr>
            <w:tcW w:w="675" w:type="dxa"/>
            <w:vAlign w:val="center"/>
          </w:tcPr>
          <w:p w14:paraId="370A3C4E" w14:textId="77777777" w:rsidR="000C600A" w:rsidRDefault="00000000">
            <w:pPr>
              <w:widowControl w:val="0"/>
              <w:spacing w:line="276" w:lineRule="auto"/>
              <w:jc w:val="center"/>
            </w:pPr>
            <w:r>
              <w:t>#15</w:t>
            </w:r>
          </w:p>
        </w:tc>
        <w:tc>
          <w:tcPr>
            <w:tcW w:w="3261" w:type="dxa"/>
            <w:vAlign w:val="center"/>
          </w:tcPr>
          <w:p w14:paraId="1EB85AC0" w14:textId="77777777" w:rsidR="000C600A" w:rsidRDefault="00000000">
            <w:pPr>
              <w:widowControl w:val="0"/>
              <w:spacing w:line="276" w:lineRule="auto"/>
              <w:jc w:val="center"/>
            </w:pPr>
            <w:r>
              <w:t>His</w:t>
            </w:r>
            <w:r>
              <w:rPr>
                <w:vertAlign w:val="subscript"/>
              </w:rPr>
              <w:t>6</w:t>
            </w:r>
            <w:r>
              <w:t>-MBP-Cdc10G(R251A)</w:t>
            </w:r>
          </w:p>
        </w:tc>
        <w:tc>
          <w:tcPr>
            <w:tcW w:w="1559" w:type="dxa"/>
            <w:vAlign w:val="center"/>
          </w:tcPr>
          <w:p w14:paraId="217E3199" w14:textId="77777777" w:rsidR="000C600A" w:rsidRDefault="00000000">
            <w:pPr>
              <w:widowControl w:val="0"/>
              <w:spacing w:line="276" w:lineRule="auto"/>
              <w:jc w:val="center"/>
            </w:pPr>
            <w:proofErr w:type="spellStart"/>
            <w:r>
              <w:t>pAc</w:t>
            </w:r>
            <w:proofErr w:type="spellEnd"/>
          </w:p>
        </w:tc>
        <w:tc>
          <w:tcPr>
            <w:tcW w:w="1559" w:type="dxa"/>
            <w:vAlign w:val="center"/>
          </w:tcPr>
          <w:p w14:paraId="014176C1" w14:textId="61622C33" w:rsidR="000C600A" w:rsidRDefault="00000000">
            <w:pPr>
              <w:widowControl w:val="0"/>
              <w:spacing w:line="276" w:lineRule="auto"/>
              <w:jc w:val="center"/>
            </w:pPr>
            <w:r>
              <w:t xml:space="preserve">aa 30-end </w:t>
            </w:r>
          </w:p>
        </w:tc>
        <w:tc>
          <w:tcPr>
            <w:tcW w:w="2018" w:type="dxa"/>
            <w:vAlign w:val="center"/>
          </w:tcPr>
          <w:p w14:paraId="4775781E" w14:textId="77777777" w:rsidR="000C600A" w:rsidRDefault="00000000">
            <w:pPr>
              <w:widowControl w:val="0"/>
              <w:spacing w:line="276" w:lineRule="auto"/>
              <w:jc w:val="center"/>
            </w:pPr>
            <w:r>
              <w:t>This study</w:t>
            </w:r>
          </w:p>
        </w:tc>
      </w:tr>
      <w:tr w:rsidR="000C600A" w14:paraId="4916B01D" w14:textId="77777777" w:rsidTr="00B43AB5">
        <w:tc>
          <w:tcPr>
            <w:tcW w:w="675" w:type="dxa"/>
            <w:vAlign w:val="center"/>
          </w:tcPr>
          <w:p w14:paraId="63617CE0" w14:textId="77777777" w:rsidR="000C600A" w:rsidRDefault="00000000">
            <w:pPr>
              <w:widowControl w:val="0"/>
              <w:spacing w:line="276" w:lineRule="auto"/>
              <w:jc w:val="center"/>
            </w:pPr>
            <w:r>
              <w:t>#16</w:t>
            </w:r>
          </w:p>
        </w:tc>
        <w:tc>
          <w:tcPr>
            <w:tcW w:w="3261" w:type="dxa"/>
            <w:vAlign w:val="center"/>
          </w:tcPr>
          <w:p w14:paraId="2E0094F7" w14:textId="77777777" w:rsidR="000C600A" w:rsidRDefault="00000000">
            <w:pPr>
              <w:widowControl w:val="0"/>
              <w:spacing w:line="276" w:lineRule="auto"/>
              <w:jc w:val="center"/>
            </w:pPr>
            <w:r>
              <w:t>His</w:t>
            </w:r>
            <w:r>
              <w:rPr>
                <w:vertAlign w:val="subscript"/>
              </w:rPr>
              <w:t>6</w:t>
            </w:r>
            <w:r>
              <w:t>-MBP-Cdc12G</w:t>
            </w:r>
          </w:p>
        </w:tc>
        <w:tc>
          <w:tcPr>
            <w:tcW w:w="1559" w:type="dxa"/>
            <w:vAlign w:val="center"/>
          </w:tcPr>
          <w:p w14:paraId="675F82C6" w14:textId="77777777" w:rsidR="000C600A" w:rsidRDefault="00000000">
            <w:pPr>
              <w:widowControl w:val="0"/>
              <w:spacing w:line="276" w:lineRule="auto"/>
              <w:jc w:val="center"/>
            </w:pPr>
            <w:proofErr w:type="spellStart"/>
            <w:r>
              <w:t>pAc</w:t>
            </w:r>
            <w:proofErr w:type="spellEnd"/>
          </w:p>
        </w:tc>
        <w:tc>
          <w:tcPr>
            <w:tcW w:w="1559" w:type="dxa"/>
            <w:vAlign w:val="center"/>
          </w:tcPr>
          <w:p w14:paraId="5628C4DD" w14:textId="77777777" w:rsidR="000C600A" w:rsidRDefault="00000000">
            <w:pPr>
              <w:widowControl w:val="0"/>
              <w:spacing w:line="276" w:lineRule="auto"/>
              <w:jc w:val="center"/>
            </w:pPr>
            <w:r>
              <w:t>aa 32-314</w:t>
            </w:r>
          </w:p>
        </w:tc>
        <w:tc>
          <w:tcPr>
            <w:tcW w:w="2018" w:type="dxa"/>
            <w:vAlign w:val="center"/>
          </w:tcPr>
          <w:p w14:paraId="75153171" w14:textId="77777777" w:rsidR="000C600A" w:rsidRDefault="00000000">
            <w:pPr>
              <w:widowControl w:val="0"/>
              <w:spacing w:line="276" w:lineRule="auto"/>
              <w:jc w:val="center"/>
            </w:pPr>
            <w:r>
              <w:t>This study</w:t>
            </w:r>
          </w:p>
        </w:tc>
      </w:tr>
      <w:tr w:rsidR="000C600A" w14:paraId="35504E5F" w14:textId="77777777" w:rsidTr="00B43AB5">
        <w:tc>
          <w:tcPr>
            <w:tcW w:w="675" w:type="dxa"/>
            <w:vAlign w:val="center"/>
          </w:tcPr>
          <w:p w14:paraId="066F3051" w14:textId="77777777" w:rsidR="000C600A" w:rsidRDefault="00000000">
            <w:pPr>
              <w:widowControl w:val="0"/>
              <w:spacing w:line="276" w:lineRule="auto"/>
              <w:jc w:val="center"/>
            </w:pPr>
            <w:r>
              <w:t>#17</w:t>
            </w:r>
          </w:p>
        </w:tc>
        <w:tc>
          <w:tcPr>
            <w:tcW w:w="3261" w:type="dxa"/>
            <w:vAlign w:val="center"/>
          </w:tcPr>
          <w:p w14:paraId="729D367D" w14:textId="77777777" w:rsidR="000C600A" w:rsidRDefault="00000000">
            <w:pPr>
              <w:widowControl w:val="0"/>
              <w:spacing w:line="276" w:lineRule="auto"/>
              <w:jc w:val="center"/>
              <w:rPr>
                <w:b/>
              </w:rPr>
            </w:pPr>
            <w:r>
              <w:t>His</w:t>
            </w:r>
            <w:r>
              <w:rPr>
                <w:vertAlign w:val="subscript"/>
              </w:rPr>
              <w:t>6</w:t>
            </w:r>
            <w:r>
              <w:t>-MBP-Cdc12G(R263A)</w:t>
            </w:r>
          </w:p>
        </w:tc>
        <w:tc>
          <w:tcPr>
            <w:tcW w:w="1559" w:type="dxa"/>
            <w:vAlign w:val="center"/>
          </w:tcPr>
          <w:p w14:paraId="144059EA" w14:textId="77777777" w:rsidR="000C600A" w:rsidRDefault="00000000">
            <w:pPr>
              <w:widowControl w:val="0"/>
              <w:spacing w:line="276" w:lineRule="auto"/>
              <w:jc w:val="center"/>
            </w:pPr>
            <w:proofErr w:type="spellStart"/>
            <w:r>
              <w:t>pAc</w:t>
            </w:r>
            <w:proofErr w:type="spellEnd"/>
          </w:p>
        </w:tc>
        <w:tc>
          <w:tcPr>
            <w:tcW w:w="1559" w:type="dxa"/>
            <w:vAlign w:val="center"/>
          </w:tcPr>
          <w:p w14:paraId="03C62D45" w14:textId="7CED8D7A" w:rsidR="000C600A" w:rsidRDefault="00000000">
            <w:pPr>
              <w:widowControl w:val="0"/>
              <w:spacing w:line="276" w:lineRule="auto"/>
              <w:jc w:val="center"/>
            </w:pPr>
            <w:r>
              <w:t>aa 32-314</w:t>
            </w:r>
          </w:p>
        </w:tc>
        <w:tc>
          <w:tcPr>
            <w:tcW w:w="2018" w:type="dxa"/>
            <w:vAlign w:val="center"/>
          </w:tcPr>
          <w:p w14:paraId="64C35993" w14:textId="77777777" w:rsidR="000C600A" w:rsidRDefault="00000000">
            <w:pPr>
              <w:widowControl w:val="0"/>
              <w:spacing w:line="276" w:lineRule="auto"/>
              <w:jc w:val="center"/>
            </w:pPr>
            <w:r>
              <w:t>This study</w:t>
            </w:r>
          </w:p>
        </w:tc>
      </w:tr>
      <w:tr w:rsidR="000C600A" w14:paraId="730A6608" w14:textId="77777777" w:rsidTr="00B43AB5">
        <w:tc>
          <w:tcPr>
            <w:tcW w:w="675" w:type="dxa"/>
            <w:vAlign w:val="center"/>
          </w:tcPr>
          <w:p w14:paraId="64DB508D" w14:textId="77777777" w:rsidR="000C600A" w:rsidRDefault="00000000">
            <w:pPr>
              <w:widowControl w:val="0"/>
              <w:spacing w:line="276" w:lineRule="auto"/>
              <w:jc w:val="center"/>
            </w:pPr>
            <w:r>
              <w:t>#18</w:t>
            </w:r>
          </w:p>
        </w:tc>
        <w:tc>
          <w:tcPr>
            <w:tcW w:w="3261" w:type="dxa"/>
            <w:vAlign w:val="center"/>
          </w:tcPr>
          <w:p w14:paraId="4CAE1A59" w14:textId="77777777" w:rsidR="000C600A" w:rsidRDefault="00000000">
            <w:pPr>
              <w:widowControl w:val="0"/>
              <w:spacing w:line="276" w:lineRule="auto"/>
              <w:jc w:val="center"/>
            </w:pPr>
            <w:r>
              <w:t>His</w:t>
            </w:r>
            <w:r>
              <w:rPr>
                <w:vertAlign w:val="subscript"/>
              </w:rPr>
              <w:t>6</w:t>
            </w:r>
            <w:r>
              <w:t>-Shs1G</w:t>
            </w:r>
          </w:p>
        </w:tc>
        <w:tc>
          <w:tcPr>
            <w:tcW w:w="1559" w:type="dxa"/>
            <w:vAlign w:val="center"/>
          </w:tcPr>
          <w:p w14:paraId="4E359C1A" w14:textId="77777777" w:rsidR="000C600A" w:rsidRDefault="00000000">
            <w:pPr>
              <w:widowControl w:val="0"/>
              <w:spacing w:line="276" w:lineRule="auto"/>
              <w:jc w:val="center"/>
            </w:pPr>
            <w:r>
              <w:t>pET-Duet1</w:t>
            </w:r>
          </w:p>
        </w:tc>
        <w:tc>
          <w:tcPr>
            <w:tcW w:w="1559" w:type="dxa"/>
            <w:vAlign w:val="center"/>
          </w:tcPr>
          <w:p w14:paraId="79B26E21" w14:textId="77777777" w:rsidR="000C600A" w:rsidRDefault="00000000">
            <w:pPr>
              <w:widowControl w:val="0"/>
              <w:spacing w:line="276" w:lineRule="auto"/>
              <w:jc w:val="center"/>
            </w:pPr>
            <w:r>
              <w:t>aa 21-339</w:t>
            </w:r>
          </w:p>
        </w:tc>
        <w:tc>
          <w:tcPr>
            <w:tcW w:w="2018" w:type="dxa"/>
            <w:vAlign w:val="center"/>
          </w:tcPr>
          <w:p w14:paraId="4D37DC47" w14:textId="77777777" w:rsidR="000C600A" w:rsidRDefault="00000000">
            <w:pPr>
              <w:widowControl w:val="0"/>
              <w:spacing w:line="276" w:lineRule="auto"/>
              <w:jc w:val="center"/>
            </w:pPr>
            <w:r>
              <w:t>This study</w:t>
            </w:r>
          </w:p>
        </w:tc>
      </w:tr>
      <w:tr w:rsidR="000C600A" w14:paraId="537EF098" w14:textId="77777777" w:rsidTr="00B43AB5">
        <w:tc>
          <w:tcPr>
            <w:tcW w:w="675" w:type="dxa"/>
            <w:vAlign w:val="center"/>
          </w:tcPr>
          <w:p w14:paraId="70F943BA" w14:textId="77777777" w:rsidR="000C600A" w:rsidRDefault="00000000">
            <w:pPr>
              <w:widowControl w:val="0"/>
              <w:spacing w:line="276" w:lineRule="auto"/>
              <w:jc w:val="center"/>
            </w:pPr>
            <w:r>
              <w:t>#19</w:t>
            </w:r>
          </w:p>
        </w:tc>
        <w:tc>
          <w:tcPr>
            <w:tcW w:w="3261" w:type="dxa"/>
            <w:vAlign w:val="center"/>
          </w:tcPr>
          <w:p w14:paraId="25A83C78" w14:textId="77777777" w:rsidR="000C600A" w:rsidRDefault="00000000">
            <w:pPr>
              <w:widowControl w:val="0"/>
              <w:spacing w:line="276" w:lineRule="auto"/>
              <w:jc w:val="center"/>
              <w:rPr>
                <w:b/>
              </w:rPr>
            </w:pPr>
            <w:r>
              <w:t>His</w:t>
            </w:r>
            <w:r>
              <w:rPr>
                <w:vertAlign w:val="subscript"/>
              </w:rPr>
              <w:t>6</w:t>
            </w:r>
            <w:r>
              <w:t>-Cdc11G</w:t>
            </w:r>
          </w:p>
        </w:tc>
        <w:tc>
          <w:tcPr>
            <w:tcW w:w="1559" w:type="dxa"/>
            <w:vAlign w:val="center"/>
          </w:tcPr>
          <w:p w14:paraId="422491D9" w14:textId="77777777" w:rsidR="000C600A" w:rsidRDefault="00000000">
            <w:pPr>
              <w:widowControl w:val="0"/>
              <w:spacing w:line="276" w:lineRule="auto"/>
              <w:jc w:val="center"/>
            </w:pPr>
            <w:r>
              <w:t>pET-Duet1</w:t>
            </w:r>
          </w:p>
        </w:tc>
        <w:tc>
          <w:tcPr>
            <w:tcW w:w="1559" w:type="dxa"/>
            <w:vAlign w:val="center"/>
          </w:tcPr>
          <w:p w14:paraId="0FFC0BE6" w14:textId="77777777" w:rsidR="000C600A" w:rsidRDefault="00000000">
            <w:pPr>
              <w:widowControl w:val="0"/>
              <w:spacing w:line="276" w:lineRule="auto"/>
              <w:jc w:val="center"/>
            </w:pPr>
            <w:r>
              <w:t>aa 20-298</w:t>
            </w:r>
          </w:p>
        </w:tc>
        <w:tc>
          <w:tcPr>
            <w:tcW w:w="2018" w:type="dxa"/>
            <w:vAlign w:val="center"/>
          </w:tcPr>
          <w:p w14:paraId="536136C4" w14:textId="77777777" w:rsidR="000C600A" w:rsidRDefault="00000000">
            <w:pPr>
              <w:widowControl w:val="0"/>
              <w:spacing w:line="276" w:lineRule="auto"/>
              <w:jc w:val="center"/>
            </w:pPr>
            <w:r>
              <w:t>This study</w:t>
            </w:r>
          </w:p>
        </w:tc>
      </w:tr>
      <w:tr w:rsidR="000C600A" w14:paraId="5149ECFD" w14:textId="77777777" w:rsidTr="00B43AB5">
        <w:tc>
          <w:tcPr>
            <w:tcW w:w="675" w:type="dxa"/>
            <w:vAlign w:val="center"/>
          </w:tcPr>
          <w:p w14:paraId="47E0C691" w14:textId="77777777" w:rsidR="000C600A" w:rsidRDefault="00000000">
            <w:pPr>
              <w:widowControl w:val="0"/>
              <w:spacing w:line="276" w:lineRule="auto"/>
              <w:jc w:val="center"/>
            </w:pPr>
            <w:r>
              <w:t>#20</w:t>
            </w:r>
          </w:p>
        </w:tc>
        <w:tc>
          <w:tcPr>
            <w:tcW w:w="3261" w:type="dxa"/>
            <w:vAlign w:val="center"/>
          </w:tcPr>
          <w:p w14:paraId="152E903B" w14:textId="77777777" w:rsidR="000C600A" w:rsidRDefault="00000000">
            <w:pPr>
              <w:widowControl w:val="0"/>
              <w:spacing w:line="276" w:lineRule="auto"/>
              <w:jc w:val="center"/>
            </w:pPr>
            <w:r>
              <w:t>His</w:t>
            </w:r>
            <w:r>
              <w:rPr>
                <w:vertAlign w:val="subscript"/>
              </w:rPr>
              <w:t>6</w:t>
            </w:r>
            <w:r>
              <w:t>-Cdc3G</w:t>
            </w:r>
          </w:p>
        </w:tc>
        <w:tc>
          <w:tcPr>
            <w:tcW w:w="1559" w:type="dxa"/>
            <w:vAlign w:val="center"/>
          </w:tcPr>
          <w:p w14:paraId="365FDBF6" w14:textId="77777777" w:rsidR="000C600A" w:rsidRDefault="00000000">
            <w:pPr>
              <w:widowControl w:val="0"/>
              <w:spacing w:line="276" w:lineRule="auto"/>
              <w:jc w:val="center"/>
            </w:pPr>
            <w:r>
              <w:t>pET-Duet1</w:t>
            </w:r>
          </w:p>
        </w:tc>
        <w:tc>
          <w:tcPr>
            <w:tcW w:w="1559" w:type="dxa"/>
            <w:vAlign w:val="center"/>
          </w:tcPr>
          <w:p w14:paraId="16862C82" w14:textId="77777777" w:rsidR="000C600A" w:rsidRDefault="00000000">
            <w:pPr>
              <w:widowControl w:val="0"/>
              <w:spacing w:line="276" w:lineRule="auto"/>
              <w:jc w:val="center"/>
            </w:pPr>
            <w:r>
              <w:t>aa 117-410</w:t>
            </w:r>
          </w:p>
        </w:tc>
        <w:tc>
          <w:tcPr>
            <w:tcW w:w="2018" w:type="dxa"/>
            <w:vAlign w:val="center"/>
          </w:tcPr>
          <w:p w14:paraId="34663D49" w14:textId="77777777" w:rsidR="000C600A" w:rsidRDefault="00000000">
            <w:pPr>
              <w:widowControl w:val="0"/>
              <w:spacing w:line="276" w:lineRule="auto"/>
              <w:jc w:val="center"/>
            </w:pPr>
            <w:r>
              <w:t>This study</w:t>
            </w:r>
          </w:p>
        </w:tc>
      </w:tr>
      <w:tr w:rsidR="000C600A" w14:paraId="16241746" w14:textId="77777777" w:rsidTr="00B43AB5">
        <w:tc>
          <w:tcPr>
            <w:tcW w:w="675" w:type="dxa"/>
            <w:vAlign w:val="center"/>
          </w:tcPr>
          <w:p w14:paraId="1C158D17" w14:textId="77777777" w:rsidR="000C600A" w:rsidRDefault="00000000">
            <w:pPr>
              <w:widowControl w:val="0"/>
              <w:spacing w:line="276" w:lineRule="auto"/>
              <w:jc w:val="center"/>
              <w:rPr>
                <w:bCs/>
              </w:rPr>
            </w:pPr>
            <w:r>
              <w:rPr>
                <w:bCs/>
              </w:rPr>
              <w:t>#21</w:t>
            </w:r>
          </w:p>
        </w:tc>
        <w:tc>
          <w:tcPr>
            <w:tcW w:w="3261" w:type="dxa"/>
            <w:vAlign w:val="center"/>
          </w:tcPr>
          <w:p w14:paraId="01D26368" w14:textId="77777777" w:rsidR="000C600A" w:rsidRDefault="00000000">
            <w:pPr>
              <w:widowControl w:val="0"/>
              <w:spacing w:line="276" w:lineRule="auto"/>
              <w:jc w:val="center"/>
              <w:rPr>
                <w:bCs/>
              </w:rPr>
            </w:pPr>
            <w:r>
              <w:rPr>
                <w:bCs/>
              </w:rPr>
              <w:t>P</w:t>
            </w:r>
            <w:r>
              <w:rPr>
                <w:bCs/>
                <w:vertAlign w:val="subscript"/>
              </w:rPr>
              <w:t>MET</w:t>
            </w:r>
            <w:r>
              <w:rPr>
                <w:bCs/>
              </w:rPr>
              <w:t>-Cdc10</w:t>
            </w:r>
          </w:p>
        </w:tc>
        <w:tc>
          <w:tcPr>
            <w:tcW w:w="1559" w:type="dxa"/>
            <w:vAlign w:val="center"/>
          </w:tcPr>
          <w:p w14:paraId="7F3C3B29" w14:textId="77777777" w:rsidR="000C600A" w:rsidRDefault="00000000">
            <w:pPr>
              <w:widowControl w:val="0"/>
              <w:spacing w:line="276" w:lineRule="auto"/>
              <w:jc w:val="center"/>
              <w:rPr>
                <w:bCs/>
              </w:rPr>
            </w:pPr>
            <w:r>
              <w:rPr>
                <w:bCs/>
              </w:rPr>
              <w:t>pRS316</w:t>
            </w:r>
          </w:p>
        </w:tc>
        <w:tc>
          <w:tcPr>
            <w:tcW w:w="1559" w:type="dxa"/>
            <w:vAlign w:val="center"/>
          </w:tcPr>
          <w:p w14:paraId="44B67E72" w14:textId="77777777" w:rsidR="000C600A" w:rsidRDefault="00000000">
            <w:pPr>
              <w:widowControl w:val="0"/>
              <w:spacing w:line="276" w:lineRule="auto"/>
              <w:jc w:val="center"/>
              <w:rPr>
                <w:bCs/>
              </w:rPr>
            </w:pPr>
            <w:proofErr w:type="spellStart"/>
            <w:r>
              <w:rPr>
                <w:bCs/>
              </w:rPr>
              <w:t>fl</w:t>
            </w:r>
            <w:proofErr w:type="spellEnd"/>
          </w:p>
        </w:tc>
        <w:tc>
          <w:tcPr>
            <w:tcW w:w="2018" w:type="dxa"/>
            <w:vAlign w:val="center"/>
          </w:tcPr>
          <w:p w14:paraId="281DB135" w14:textId="77777777" w:rsidR="000C600A" w:rsidRDefault="00000000">
            <w:pPr>
              <w:widowControl w:val="0"/>
              <w:spacing w:line="276" w:lineRule="auto"/>
              <w:jc w:val="center"/>
              <w:rPr>
                <w:bCs/>
              </w:rPr>
            </w:pPr>
            <w:r>
              <w:fldChar w:fldCharType="begin" w:fldLock="1"/>
            </w:r>
            <w:r>
              <w:rPr>
                <w:bCs/>
              </w:rPr>
              <w:instrText>ADDIN CSL_CITATION {"citationItems":[{"id":"ITEM-1","itemData":{"DOI":"10.1038/s42003-023-05734-w","ISSN":"2399-3642","abstract":"The septins of the yeast Saccharomyces cerevisiae assemble into hetero-octameric rods by alternating interactions between neighboring G-domains or N- and C-termini, respectively. These rods polymerize end to end into apolar filaments, forming a ring beneath the prospective new bud that expands during the cell cycle into an hourglass structure. The hourglass finally splits during cytokinesis into a double ring. Understanding these transitions as well as the plasticity of the higher order assemblies requires a detailed knowledge of the underlying structures. Here we present the first X-ray crystal structure of a tetrameric Shs1-Cdc12-Cdc3-Cdc10 complex at a resolution of 3.2 Å. Close inspection of the NC-interfaces of this and other septin structures reveals a conserved contact motif that is essential for NC-interface integrity of yeast and human septins in vivo and in vitro. Using the tetrameric structure&amp;nbsp;in combination with AlphaFold-Multimer allowed us&amp;nbsp;to propose a model of the octameric septin rod. The first X-ray crystal structure of a hetero-tetrameric septin complex is presented. From this a novel hydrophobic structural element conserved in septins from yeast to man is identified and characterized.","author":[{"dropping-particle":"","family":"Grupp","given":"Benjamin","non-dropping-particle":"","parse-names":false,"suffix":""},{"dropping-particle":"","family":"Denkhaus","given":"Lukas","non-dropping-particle":"","parse-names":false,"suffix":""},{"dropping-particle":"","family":"Gerhardt","given":"Stefan","non-dropping-particle":"","parse-names":false,"suffix":""},{"dropping-particle":"","family":"Vögele","given":"Matthis","non-dropping-particle":"","parse-names":false,"suffix":""},{"dropping-particle":"","family":"Johnsson","given":"Nils","non-dropping-particle":"","parse-names":false,"suffix":""},{"dropping-particle":"","family":"Gronemeyer","given":"Thomas","non-dropping-particle":"","parse-names":false,"suffix":""}],"container-title":"Communications Biology 2024 7:1","id":"ITEM-1","issue":"1","issued":{"date-parts":[["2024","1","6"]]},"page":"1-15","publisher":"Nature Publishing Group","title":"The structure of a tetrameric septin complex reveals a hydrophobic element essential for NC-interface integrity","type":"article-journal","volume":"7"},"uris":["http://www.mendeley.com/documents/?uuid=b495bda7-968c-3f22-9b84-718fc3baa322"]}],"mendeley":{"formattedCitation":"(Grupp &lt;i&gt;et al.&lt;/i&gt;, 2024)","plainTextFormattedCitation":"(Grupp et al., 2024)","previouslyFormattedCitation":"(Grupp &lt;i&gt;et al.&lt;/i&gt;, 2024)"},"properties":{"noteIndex":0},"schema":"https://github.com/citation-style-language/schema/raw/master/csl-citation.json"}</w:instrText>
            </w:r>
            <w:r>
              <w:rPr>
                <w:bCs/>
              </w:rPr>
              <w:fldChar w:fldCharType="separate"/>
            </w:r>
            <w:r>
              <w:rPr>
                <w:bCs/>
                <w:noProof/>
              </w:rPr>
              <w:t xml:space="preserve">(Grupp </w:t>
            </w:r>
            <w:r>
              <w:rPr>
                <w:bCs/>
                <w:i/>
                <w:noProof/>
              </w:rPr>
              <w:t>et al.</w:t>
            </w:r>
            <w:r>
              <w:rPr>
                <w:bCs/>
                <w:noProof/>
              </w:rPr>
              <w:t>, 2024)</w:t>
            </w:r>
            <w:r>
              <w:rPr>
                <w:bCs/>
              </w:rPr>
              <w:fldChar w:fldCharType="end"/>
            </w:r>
          </w:p>
        </w:tc>
      </w:tr>
      <w:tr w:rsidR="000C600A" w14:paraId="22B7AF2D" w14:textId="77777777" w:rsidTr="00B43AB5">
        <w:tc>
          <w:tcPr>
            <w:tcW w:w="675" w:type="dxa"/>
            <w:vAlign w:val="center"/>
          </w:tcPr>
          <w:p w14:paraId="019D83D1" w14:textId="77777777" w:rsidR="000C600A" w:rsidRDefault="00000000">
            <w:pPr>
              <w:widowControl w:val="0"/>
              <w:spacing w:line="276" w:lineRule="auto"/>
              <w:jc w:val="center"/>
              <w:rPr>
                <w:bCs/>
              </w:rPr>
            </w:pPr>
            <w:r>
              <w:rPr>
                <w:bCs/>
              </w:rPr>
              <w:t>#22</w:t>
            </w:r>
          </w:p>
        </w:tc>
        <w:tc>
          <w:tcPr>
            <w:tcW w:w="3261" w:type="dxa"/>
            <w:vAlign w:val="center"/>
          </w:tcPr>
          <w:p w14:paraId="12D6A2EC" w14:textId="77777777" w:rsidR="000C600A" w:rsidRDefault="00000000">
            <w:pPr>
              <w:widowControl w:val="0"/>
              <w:spacing w:line="276" w:lineRule="auto"/>
              <w:jc w:val="center"/>
              <w:rPr>
                <w:bCs/>
              </w:rPr>
            </w:pPr>
            <w:r>
              <w:rPr>
                <w:bCs/>
              </w:rPr>
              <w:t>P</w:t>
            </w:r>
            <w:r>
              <w:rPr>
                <w:bCs/>
                <w:vertAlign w:val="subscript"/>
              </w:rPr>
              <w:t>MET</w:t>
            </w:r>
            <w:r>
              <w:rPr>
                <w:bCs/>
              </w:rPr>
              <w:t>-Cdc3</w:t>
            </w:r>
          </w:p>
        </w:tc>
        <w:tc>
          <w:tcPr>
            <w:tcW w:w="1559" w:type="dxa"/>
            <w:vAlign w:val="center"/>
          </w:tcPr>
          <w:p w14:paraId="4F3501D7" w14:textId="77777777" w:rsidR="000C600A" w:rsidRDefault="00000000">
            <w:pPr>
              <w:widowControl w:val="0"/>
              <w:spacing w:line="276" w:lineRule="auto"/>
              <w:jc w:val="center"/>
              <w:rPr>
                <w:bCs/>
              </w:rPr>
            </w:pPr>
            <w:r>
              <w:rPr>
                <w:bCs/>
              </w:rPr>
              <w:t>pRS316</w:t>
            </w:r>
          </w:p>
        </w:tc>
        <w:tc>
          <w:tcPr>
            <w:tcW w:w="1559" w:type="dxa"/>
            <w:vAlign w:val="center"/>
          </w:tcPr>
          <w:p w14:paraId="3F946CBC" w14:textId="77777777" w:rsidR="000C600A" w:rsidRDefault="00000000">
            <w:pPr>
              <w:widowControl w:val="0"/>
              <w:spacing w:line="276" w:lineRule="auto"/>
              <w:jc w:val="center"/>
              <w:rPr>
                <w:bCs/>
              </w:rPr>
            </w:pPr>
            <w:proofErr w:type="spellStart"/>
            <w:r>
              <w:rPr>
                <w:bCs/>
              </w:rPr>
              <w:t>fl</w:t>
            </w:r>
            <w:proofErr w:type="spellEnd"/>
          </w:p>
        </w:tc>
        <w:tc>
          <w:tcPr>
            <w:tcW w:w="2018" w:type="dxa"/>
            <w:vAlign w:val="center"/>
          </w:tcPr>
          <w:p w14:paraId="3C1C3F5D" w14:textId="77777777" w:rsidR="000C600A" w:rsidRDefault="00000000">
            <w:pPr>
              <w:widowControl w:val="0"/>
              <w:spacing w:line="276" w:lineRule="auto"/>
              <w:jc w:val="center"/>
              <w:rPr>
                <w:bCs/>
              </w:rPr>
            </w:pPr>
            <w:r>
              <w:t>This study</w:t>
            </w:r>
          </w:p>
        </w:tc>
      </w:tr>
      <w:tr w:rsidR="000C600A" w14:paraId="5732B953" w14:textId="77777777" w:rsidTr="00B43AB5">
        <w:tc>
          <w:tcPr>
            <w:tcW w:w="675" w:type="dxa"/>
            <w:vAlign w:val="center"/>
          </w:tcPr>
          <w:p w14:paraId="7BC80365" w14:textId="77777777" w:rsidR="000C600A" w:rsidRDefault="00000000">
            <w:pPr>
              <w:widowControl w:val="0"/>
              <w:spacing w:line="276" w:lineRule="auto"/>
              <w:jc w:val="center"/>
              <w:rPr>
                <w:bCs/>
              </w:rPr>
            </w:pPr>
            <w:r>
              <w:rPr>
                <w:bCs/>
              </w:rPr>
              <w:t>#23</w:t>
            </w:r>
          </w:p>
        </w:tc>
        <w:tc>
          <w:tcPr>
            <w:tcW w:w="3261" w:type="dxa"/>
            <w:vAlign w:val="center"/>
          </w:tcPr>
          <w:p w14:paraId="433746C8" w14:textId="77777777" w:rsidR="000C600A" w:rsidRDefault="00000000">
            <w:pPr>
              <w:widowControl w:val="0"/>
              <w:spacing w:line="276" w:lineRule="auto"/>
              <w:jc w:val="center"/>
              <w:rPr>
                <w:bCs/>
              </w:rPr>
            </w:pPr>
            <w:r>
              <w:rPr>
                <w:bCs/>
              </w:rPr>
              <w:t>P</w:t>
            </w:r>
            <w:r>
              <w:rPr>
                <w:bCs/>
                <w:vertAlign w:val="subscript"/>
              </w:rPr>
              <w:t>MET</w:t>
            </w:r>
            <w:r>
              <w:rPr>
                <w:bCs/>
              </w:rPr>
              <w:t>-Cdc12</w:t>
            </w:r>
          </w:p>
        </w:tc>
        <w:tc>
          <w:tcPr>
            <w:tcW w:w="1559" w:type="dxa"/>
            <w:vAlign w:val="center"/>
          </w:tcPr>
          <w:p w14:paraId="3AA341B2" w14:textId="77777777" w:rsidR="000C600A" w:rsidRDefault="00000000">
            <w:pPr>
              <w:widowControl w:val="0"/>
              <w:spacing w:line="276" w:lineRule="auto"/>
              <w:jc w:val="center"/>
              <w:rPr>
                <w:bCs/>
              </w:rPr>
            </w:pPr>
            <w:r>
              <w:rPr>
                <w:bCs/>
              </w:rPr>
              <w:t>pRS316</w:t>
            </w:r>
          </w:p>
        </w:tc>
        <w:tc>
          <w:tcPr>
            <w:tcW w:w="1559" w:type="dxa"/>
            <w:vAlign w:val="center"/>
          </w:tcPr>
          <w:p w14:paraId="241C17BE" w14:textId="77777777" w:rsidR="000C600A" w:rsidRDefault="00000000">
            <w:pPr>
              <w:widowControl w:val="0"/>
              <w:spacing w:line="276" w:lineRule="auto"/>
              <w:jc w:val="center"/>
              <w:rPr>
                <w:bCs/>
              </w:rPr>
            </w:pPr>
            <w:proofErr w:type="spellStart"/>
            <w:r>
              <w:rPr>
                <w:bCs/>
              </w:rPr>
              <w:t>fl</w:t>
            </w:r>
            <w:proofErr w:type="spellEnd"/>
          </w:p>
        </w:tc>
        <w:tc>
          <w:tcPr>
            <w:tcW w:w="2018" w:type="dxa"/>
            <w:vAlign w:val="center"/>
          </w:tcPr>
          <w:p w14:paraId="64C791D6" w14:textId="77777777" w:rsidR="000C600A" w:rsidRDefault="00000000">
            <w:pPr>
              <w:widowControl w:val="0"/>
              <w:spacing w:line="276" w:lineRule="auto"/>
              <w:jc w:val="center"/>
              <w:rPr>
                <w:bCs/>
              </w:rPr>
            </w:pPr>
            <w:r>
              <w:t>This study</w:t>
            </w:r>
          </w:p>
        </w:tc>
      </w:tr>
      <w:tr w:rsidR="000C600A" w14:paraId="6792024B" w14:textId="77777777" w:rsidTr="00B43AB5">
        <w:tc>
          <w:tcPr>
            <w:tcW w:w="675" w:type="dxa"/>
            <w:vAlign w:val="center"/>
          </w:tcPr>
          <w:p w14:paraId="4FFC8549" w14:textId="77777777" w:rsidR="000C600A" w:rsidRDefault="00000000">
            <w:pPr>
              <w:widowControl w:val="0"/>
              <w:spacing w:line="276" w:lineRule="auto"/>
              <w:jc w:val="center"/>
              <w:rPr>
                <w:bCs/>
              </w:rPr>
            </w:pPr>
            <w:r>
              <w:rPr>
                <w:bCs/>
              </w:rPr>
              <w:t>#24</w:t>
            </w:r>
          </w:p>
        </w:tc>
        <w:tc>
          <w:tcPr>
            <w:tcW w:w="3261" w:type="dxa"/>
            <w:vAlign w:val="center"/>
          </w:tcPr>
          <w:p w14:paraId="25921D15" w14:textId="77777777" w:rsidR="000C600A" w:rsidRDefault="00000000">
            <w:pPr>
              <w:widowControl w:val="0"/>
              <w:spacing w:line="276" w:lineRule="auto"/>
              <w:jc w:val="center"/>
              <w:rPr>
                <w:bCs/>
              </w:rPr>
            </w:pPr>
            <w:r>
              <w:rPr>
                <w:bCs/>
              </w:rPr>
              <w:t>P</w:t>
            </w:r>
            <w:r>
              <w:rPr>
                <w:bCs/>
                <w:vertAlign w:val="subscript"/>
              </w:rPr>
              <w:t>MET</w:t>
            </w:r>
            <w:r>
              <w:rPr>
                <w:bCs/>
              </w:rPr>
              <w:t>-Cdc11</w:t>
            </w:r>
          </w:p>
        </w:tc>
        <w:tc>
          <w:tcPr>
            <w:tcW w:w="1559" w:type="dxa"/>
            <w:vAlign w:val="center"/>
          </w:tcPr>
          <w:p w14:paraId="7172871E" w14:textId="77777777" w:rsidR="000C600A" w:rsidRDefault="00000000">
            <w:pPr>
              <w:widowControl w:val="0"/>
              <w:spacing w:line="276" w:lineRule="auto"/>
              <w:jc w:val="center"/>
              <w:rPr>
                <w:bCs/>
              </w:rPr>
            </w:pPr>
            <w:r>
              <w:rPr>
                <w:bCs/>
              </w:rPr>
              <w:t>pRS316</w:t>
            </w:r>
          </w:p>
        </w:tc>
        <w:tc>
          <w:tcPr>
            <w:tcW w:w="1559" w:type="dxa"/>
            <w:vAlign w:val="center"/>
          </w:tcPr>
          <w:p w14:paraId="51B67798" w14:textId="77777777" w:rsidR="000C600A" w:rsidRDefault="00000000">
            <w:pPr>
              <w:widowControl w:val="0"/>
              <w:spacing w:line="276" w:lineRule="auto"/>
              <w:jc w:val="center"/>
              <w:rPr>
                <w:bCs/>
              </w:rPr>
            </w:pPr>
            <w:proofErr w:type="spellStart"/>
            <w:r>
              <w:rPr>
                <w:bCs/>
              </w:rPr>
              <w:t>fl</w:t>
            </w:r>
            <w:proofErr w:type="spellEnd"/>
          </w:p>
        </w:tc>
        <w:tc>
          <w:tcPr>
            <w:tcW w:w="2018" w:type="dxa"/>
            <w:vAlign w:val="center"/>
          </w:tcPr>
          <w:p w14:paraId="6016D90F" w14:textId="77777777" w:rsidR="000C600A" w:rsidRDefault="00000000">
            <w:pPr>
              <w:widowControl w:val="0"/>
              <w:spacing w:line="276" w:lineRule="auto"/>
              <w:jc w:val="center"/>
              <w:rPr>
                <w:bCs/>
              </w:rPr>
            </w:pPr>
            <w:r>
              <w:t>This study</w:t>
            </w:r>
          </w:p>
        </w:tc>
      </w:tr>
      <w:tr w:rsidR="000C600A" w14:paraId="7DC5D6B5" w14:textId="77777777" w:rsidTr="00B43AB5">
        <w:tc>
          <w:tcPr>
            <w:tcW w:w="675" w:type="dxa"/>
            <w:vAlign w:val="center"/>
          </w:tcPr>
          <w:p w14:paraId="676EDC06" w14:textId="77777777" w:rsidR="000C600A" w:rsidRDefault="00000000">
            <w:pPr>
              <w:widowControl w:val="0"/>
              <w:spacing w:line="276" w:lineRule="auto"/>
              <w:jc w:val="center"/>
              <w:rPr>
                <w:bCs/>
              </w:rPr>
            </w:pPr>
            <w:r>
              <w:rPr>
                <w:bCs/>
              </w:rPr>
              <w:t>#25</w:t>
            </w:r>
          </w:p>
        </w:tc>
        <w:tc>
          <w:tcPr>
            <w:tcW w:w="3261" w:type="dxa"/>
            <w:vAlign w:val="center"/>
          </w:tcPr>
          <w:p w14:paraId="22FBB7C9" w14:textId="77777777" w:rsidR="000C600A" w:rsidRDefault="00000000">
            <w:pPr>
              <w:widowControl w:val="0"/>
              <w:spacing w:line="276" w:lineRule="auto"/>
              <w:jc w:val="center"/>
              <w:rPr>
                <w:bCs/>
              </w:rPr>
            </w:pPr>
            <w:r>
              <w:rPr>
                <w:bCs/>
              </w:rPr>
              <w:t>P</w:t>
            </w:r>
            <w:r>
              <w:rPr>
                <w:bCs/>
                <w:vertAlign w:val="subscript"/>
              </w:rPr>
              <w:t>MET</w:t>
            </w:r>
            <w:r>
              <w:rPr>
                <w:bCs/>
              </w:rPr>
              <w:t>-Shs1</w:t>
            </w:r>
          </w:p>
        </w:tc>
        <w:tc>
          <w:tcPr>
            <w:tcW w:w="1559" w:type="dxa"/>
            <w:vAlign w:val="center"/>
          </w:tcPr>
          <w:p w14:paraId="2DC6592F" w14:textId="77777777" w:rsidR="000C600A" w:rsidRDefault="00000000">
            <w:pPr>
              <w:widowControl w:val="0"/>
              <w:spacing w:line="276" w:lineRule="auto"/>
              <w:jc w:val="center"/>
              <w:rPr>
                <w:bCs/>
              </w:rPr>
            </w:pPr>
            <w:r>
              <w:rPr>
                <w:bCs/>
              </w:rPr>
              <w:t>pRS316</w:t>
            </w:r>
          </w:p>
        </w:tc>
        <w:tc>
          <w:tcPr>
            <w:tcW w:w="1559" w:type="dxa"/>
            <w:vAlign w:val="center"/>
          </w:tcPr>
          <w:p w14:paraId="2D583EA3" w14:textId="77777777" w:rsidR="000C600A" w:rsidRDefault="00000000">
            <w:pPr>
              <w:widowControl w:val="0"/>
              <w:spacing w:line="276" w:lineRule="auto"/>
              <w:jc w:val="center"/>
              <w:rPr>
                <w:bCs/>
              </w:rPr>
            </w:pPr>
            <w:proofErr w:type="spellStart"/>
            <w:r>
              <w:rPr>
                <w:bCs/>
              </w:rPr>
              <w:t>fl</w:t>
            </w:r>
            <w:proofErr w:type="spellEnd"/>
          </w:p>
        </w:tc>
        <w:tc>
          <w:tcPr>
            <w:tcW w:w="2018" w:type="dxa"/>
            <w:vAlign w:val="center"/>
          </w:tcPr>
          <w:p w14:paraId="2D67AF89" w14:textId="77777777" w:rsidR="000C600A" w:rsidRDefault="00000000">
            <w:pPr>
              <w:widowControl w:val="0"/>
              <w:spacing w:line="276" w:lineRule="auto"/>
              <w:jc w:val="center"/>
              <w:rPr>
                <w:bCs/>
              </w:rPr>
            </w:pPr>
            <w:r>
              <w:t>This study</w:t>
            </w:r>
          </w:p>
        </w:tc>
      </w:tr>
      <w:tr w:rsidR="000C600A" w14:paraId="613C0538" w14:textId="77777777" w:rsidTr="00B43AB5">
        <w:tc>
          <w:tcPr>
            <w:tcW w:w="675" w:type="dxa"/>
            <w:vAlign w:val="center"/>
          </w:tcPr>
          <w:p w14:paraId="29CAE9F2" w14:textId="77777777" w:rsidR="000C600A" w:rsidRDefault="00000000">
            <w:pPr>
              <w:widowControl w:val="0"/>
              <w:spacing w:line="276" w:lineRule="auto"/>
              <w:jc w:val="center"/>
            </w:pPr>
            <w:r>
              <w:t>#26</w:t>
            </w:r>
          </w:p>
        </w:tc>
        <w:tc>
          <w:tcPr>
            <w:tcW w:w="3261" w:type="dxa"/>
            <w:vAlign w:val="center"/>
          </w:tcPr>
          <w:p w14:paraId="687DBD0E" w14:textId="77777777" w:rsidR="000C600A" w:rsidRDefault="00000000">
            <w:pPr>
              <w:widowControl w:val="0"/>
              <w:spacing w:line="276" w:lineRule="auto"/>
              <w:jc w:val="center"/>
              <w:rPr>
                <w:bCs/>
              </w:rPr>
            </w:pPr>
            <w:r>
              <w:rPr>
                <w:bCs/>
              </w:rPr>
              <w:t>P</w:t>
            </w:r>
            <w:r>
              <w:rPr>
                <w:bCs/>
                <w:vertAlign w:val="subscript"/>
              </w:rPr>
              <w:t>MET</w:t>
            </w:r>
            <w:r>
              <w:rPr>
                <w:bCs/>
              </w:rPr>
              <w:t>-Cdc10</w:t>
            </w:r>
          </w:p>
        </w:tc>
        <w:tc>
          <w:tcPr>
            <w:tcW w:w="1559" w:type="dxa"/>
            <w:vAlign w:val="center"/>
          </w:tcPr>
          <w:p w14:paraId="3ACAC19D" w14:textId="77777777" w:rsidR="000C600A" w:rsidRDefault="00000000">
            <w:pPr>
              <w:widowControl w:val="0"/>
              <w:spacing w:line="276" w:lineRule="auto"/>
              <w:jc w:val="center"/>
              <w:rPr>
                <w:bCs/>
              </w:rPr>
            </w:pPr>
            <w:r>
              <w:rPr>
                <w:bCs/>
              </w:rPr>
              <w:t>pRS313</w:t>
            </w:r>
          </w:p>
        </w:tc>
        <w:tc>
          <w:tcPr>
            <w:tcW w:w="1559" w:type="dxa"/>
            <w:vAlign w:val="center"/>
          </w:tcPr>
          <w:p w14:paraId="0F7283B9" w14:textId="77777777" w:rsidR="000C600A" w:rsidRDefault="00000000">
            <w:pPr>
              <w:widowControl w:val="0"/>
              <w:spacing w:line="276" w:lineRule="auto"/>
              <w:jc w:val="center"/>
              <w:rPr>
                <w:bCs/>
              </w:rPr>
            </w:pPr>
            <w:proofErr w:type="spellStart"/>
            <w:r>
              <w:rPr>
                <w:bCs/>
              </w:rPr>
              <w:t>fl</w:t>
            </w:r>
            <w:proofErr w:type="spellEnd"/>
          </w:p>
        </w:tc>
        <w:tc>
          <w:tcPr>
            <w:tcW w:w="2018" w:type="dxa"/>
            <w:vAlign w:val="center"/>
          </w:tcPr>
          <w:p w14:paraId="373401F6" w14:textId="77777777" w:rsidR="000C600A" w:rsidRDefault="00000000">
            <w:pPr>
              <w:widowControl w:val="0"/>
              <w:spacing w:line="276" w:lineRule="auto"/>
              <w:jc w:val="center"/>
              <w:rPr>
                <w:bCs/>
              </w:rPr>
            </w:pPr>
            <w:r>
              <w:fldChar w:fldCharType="begin" w:fldLock="1"/>
            </w:r>
            <w:r>
              <w:rPr>
                <w:bCs/>
              </w:rPr>
              <w:instrText>ADDIN CSL_CITATION {"citationItems":[{"id":"ITEM-1","itemData":{"DOI":"10.1038/s42003-023-05734-w","ISSN":"2399-3642","abstract":"The septins of the yeast Saccharomyces cerevisiae assemble into hetero-octameric rods by alternating interactions between neighboring G-domains or N- and C-termini, respectively. These rods polymerize end to end into apolar filaments, forming a ring beneath the prospective new bud that expands during the cell cycle into an hourglass structure. The hourglass finally splits during cytokinesis into a double ring. Understanding these transitions as well as the plasticity of the higher order assemblies requires a detailed knowledge of the underlying structures. Here we present the first X-ray crystal structure of a tetrameric Shs1-Cdc12-Cdc3-Cdc10 complex at a resolution of 3.2 Å. Close inspection of the NC-interfaces of this and other septin structures reveals a conserved contact motif that is essential for NC-interface integrity of yeast and human septins in vivo and in vitro. Using the tetrameric structure&amp;nbsp;in combination with AlphaFold-Multimer allowed us&amp;nbsp;to propose a model of the octameric septin rod. The first X-ray crystal structure of a hetero-tetrameric septin complex is presented. From this a novel hydrophobic structural element conserved in septins from yeast to man is identified and characterized.","author":[{"dropping-particle":"","family":"Grupp","given":"Benjamin","non-dropping-particle":"","parse-names":false,"suffix":""},{"dropping-particle":"","family":"Denkhaus","given":"Lukas","non-dropping-particle":"","parse-names":false,"suffix":""},{"dropping-particle":"","family":"Gerhardt","given":"Stefan","non-dropping-particle":"","parse-names":false,"suffix":""},{"dropping-particle":"","family":"Vögele","given":"Matthis","non-dropping-particle":"","parse-names":false,"suffix":""},{"dropping-particle":"","family":"Johnsson","given":"Nils","non-dropping-particle":"","parse-names":false,"suffix":""},{"dropping-particle":"","family":"Gronemeyer","given":"Thomas","non-dropping-particle":"","parse-names":false,"suffix":""}],"container-title":"Communications Biology 2024 7:1","id":"ITEM-1","issue":"1","issued":{"date-parts":[["2024","1","6"]]},"page":"1-15","publisher":"Nature Publishing Group","title":"The structure of a tetrameric septin complex reveals a hydrophobic element essential for NC-interface integrity","type":"article-journal","volume":"7"},"uris":["http://www.mendeley.com/documents/?uuid=b495bda7-968c-3f22-9b84-718fc3baa322"]}],"mendeley":{"formattedCitation":"(Grupp &lt;i&gt;et al.&lt;/i&gt;, 2024)","plainTextFormattedCitation":"(Grupp et al., 2024)","previouslyFormattedCitation":"(Grupp &lt;i&gt;et al.&lt;/i&gt;, 2024)"},"properties":{"noteIndex":0},"schema":"https://github.com/citation-style-language/schema/raw/master/csl-citation.json"}</w:instrText>
            </w:r>
            <w:r>
              <w:rPr>
                <w:bCs/>
              </w:rPr>
              <w:fldChar w:fldCharType="separate"/>
            </w:r>
            <w:r>
              <w:rPr>
                <w:bCs/>
                <w:noProof/>
              </w:rPr>
              <w:t xml:space="preserve">(Grupp </w:t>
            </w:r>
            <w:r>
              <w:rPr>
                <w:bCs/>
                <w:i/>
                <w:noProof/>
              </w:rPr>
              <w:t>et al.</w:t>
            </w:r>
            <w:r>
              <w:rPr>
                <w:bCs/>
                <w:noProof/>
              </w:rPr>
              <w:t>, 2024)</w:t>
            </w:r>
            <w:r>
              <w:rPr>
                <w:bCs/>
              </w:rPr>
              <w:fldChar w:fldCharType="end"/>
            </w:r>
          </w:p>
        </w:tc>
      </w:tr>
      <w:tr w:rsidR="000C600A" w14:paraId="0E6EF289" w14:textId="77777777" w:rsidTr="00B43AB5">
        <w:tc>
          <w:tcPr>
            <w:tcW w:w="675" w:type="dxa"/>
            <w:vAlign w:val="center"/>
          </w:tcPr>
          <w:p w14:paraId="56A120CA" w14:textId="77777777" w:rsidR="000C600A" w:rsidRDefault="00000000">
            <w:pPr>
              <w:widowControl w:val="0"/>
              <w:spacing w:line="276" w:lineRule="auto"/>
              <w:jc w:val="center"/>
            </w:pPr>
            <w:r>
              <w:t>#27</w:t>
            </w:r>
          </w:p>
        </w:tc>
        <w:tc>
          <w:tcPr>
            <w:tcW w:w="3261" w:type="dxa"/>
            <w:vAlign w:val="center"/>
          </w:tcPr>
          <w:p w14:paraId="7E73D15A" w14:textId="77777777" w:rsidR="000C600A" w:rsidRDefault="00000000">
            <w:pPr>
              <w:widowControl w:val="0"/>
              <w:spacing w:line="276" w:lineRule="auto"/>
              <w:jc w:val="center"/>
              <w:rPr>
                <w:bCs/>
              </w:rPr>
            </w:pPr>
            <w:r>
              <w:rPr>
                <w:bCs/>
              </w:rPr>
              <w:t>P</w:t>
            </w:r>
            <w:r>
              <w:rPr>
                <w:bCs/>
                <w:vertAlign w:val="subscript"/>
              </w:rPr>
              <w:t>MET</w:t>
            </w:r>
            <w:r>
              <w:rPr>
                <w:bCs/>
              </w:rPr>
              <w:t>-Cdc10(R251A)</w:t>
            </w:r>
          </w:p>
        </w:tc>
        <w:tc>
          <w:tcPr>
            <w:tcW w:w="1559" w:type="dxa"/>
            <w:vAlign w:val="center"/>
          </w:tcPr>
          <w:p w14:paraId="3C336015" w14:textId="77777777" w:rsidR="000C600A" w:rsidRDefault="00000000">
            <w:pPr>
              <w:widowControl w:val="0"/>
              <w:spacing w:line="276" w:lineRule="auto"/>
              <w:jc w:val="center"/>
              <w:rPr>
                <w:bCs/>
              </w:rPr>
            </w:pPr>
            <w:r>
              <w:rPr>
                <w:bCs/>
              </w:rPr>
              <w:t>pRS313</w:t>
            </w:r>
          </w:p>
        </w:tc>
        <w:tc>
          <w:tcPr>
            <w:tcW w:w="1559" w:type="dxa"/>
            <w:vAlign w:val="center"/>
          </w:tcPr>
          <w:p w14:paraId="19F9DF2C" w14:textId="77777777" w:rsidR="000C600A" w:rsidRDefault="00000000">
            <w:pPr>
              <w:widowControl w:val="0"/>
              <w:spacing w:line="276" w:lineRule="auto"/>
              <w:jc w:val="center"/>
              <w:rPr>
                <w:bCs/>
              </w:rPr>
            </w:pPr>
            <w:proofErr w:type="spellStart"/>
            <w:r>
              <w:rPr>
                <w:bCs/>
              </w:rPr>
              <w:t>fl</w:t>
            </w:r>
            <w:proofErr w:type="spellEnd"/>
          </w:p>
        </w:tc>
        <w:tc>
          <w:tcPr>
            <w:tcW w:w="2018" w:type="dxa"/>
            <w:vAlign w:val="center"/>
          </w:tcPr>
          <w:p w14:paraId="21F350C9" w14:textId="77777777" w:rsidR="000C600A" w:rsidRDefault="00000000">
            <w:pPr>
              <w:widowControl w:val="0"/>
              <w:spacing w:line="276" w:lineRule="auto"/>
              <w:jc w:val="center"/>
              <w:rPr>
                <w:bCs/>
              </w:rPr>
            </w:pPr>
            <w:r>
              <w:t>This study</w:t>
            </w:r>
          </w:p>
        </w:tc>
      </w:tr>
      <w:tr w:rsidR="000C600A" w14:paraId="7001F7B3" w14:textId="77777777" w:rsidTr="00B43AB5">
        <w:tc>
          <w:tcPr>
            <w:tcW w:w="675" w:type="dxa"/>
            <w:vAlign w:val="center"/>
          </w:tcPr>
          <w:p w14:paraId="515B1822" w14:textId="77777777" w:rsidR="000C600A" w:rsidRDefault="00000000">
            <w:pPr>
              <w:widowControl w:val="0"/>
              <w:spacing w:line="276" w:lineRule="auto"/>
              <w:jc w:val="center"/>
            </w:pPr>
            <w:r>
              <w:t>#28</w:t>
            </w:r>
          </w:p>
        </w:tc>
        <w:tc>
          <w:tcPr>
            <w:tcW w:w="3261" w:type="dxa"/>
            <w:vAlign w:val="center"/>
          </w:tcPr>
          <w:p w14:paraId="2EB9AA31" w14:textId="77777777" w:rsidR="000C600A" w:rsidRDefault="00000000">
            <w:pPr>
              <w:widowControl w:val="0"/>
              <w:spacing w:line="276" w:lineRule="auto"/>
              <w:jc w:val="center"/>
              <w:rPr>
                <w:bCs/>
              </w:rPr>
            </w:pPr>
            <w:r>
              <w:rPr>
                <w:bCs/>
              </w:rPr>
              <w:t>P</w:t>
            </w:r>
            <w:r>
              <w:rPr>
                <w:bCs/>
                <w:vertAlign w:val="subscript"/>
              </w:rPr>
              <w:t>MET</w:t>
            </w:r>
            <w:r>
              <w:rPr>
                <w:bCs/>
              </w:rPr>
              <w:t>-Cdc3</w:t>
            </w:r>
          </w:p>
        </w:tc>
        <w:tc>
          <w:tcPr>
            <w:tcW w:w="1559" w:type="dxa"/>
            <w:vAlign w:val="center"/>
          </w:tcPr>
          <w:p w14:paraId="23C2EB7A" w14:textId="77777777" w:rsidR="000C600A" w:rsidRDefault="00000000">
            <w:pPr>
              <w:widowControl w:val="0"/>
              <w:spacing w:line="276" w:lineRule="auto"/>
              <w:jc w:val="center"/>
              <w:rPr>
                <w:b/>
              </w:rPr>
            </w:pPr>
            <w:r>
              <w:rPr>
                <w:bCs/>
              </w:rPr>
              <w:t>pRS313</w:t>
            </w:r>
          </w:p>
        </w:tc>
        <w:tc>
          <w:tcPr>
            <w:tcW w:w="1559" w:type="dxa"/>
            <w:vAlign w:val="center"/>
          </w:tcPr>
          <w:p w14:paraId="07D05A5A" w14:textId="77777777" w:rsidR="000C600A" w:rsidRDefault="00000000">
            <w:pPr>
              <w:widowControl w:val="0"/>
              <w:spacing w:line="276" w:lineRule="auto"/>
              <w:jc w:val="center"/>
              <w:rPr>
                <w:bCs/>
              </w:rPr>
            </w:pPr>
            <w:proofErr w:type="spellStart"/>
            <w:r>
              <w:rPr>
                <w:bCs/>
              </w:rPr>
              <w:t>fl</w:t>
            </w:r>
            <w:proofErr w:type="spellEnd"/>
          </w:p>
        </w:tc>
        <w:tc>
          <w:tcPr>
            <w:tcW w:w="2018" w:type="dxa"/>
            <w:vAlign w:val="center"/>
          </w:tcPr>
          <w:p w14:paraId="5F26D68E" w14:textId="77777777" w:rsidR="000C600A" w:rsidRDefault="00000000">
            <w:pPr>
              <w:widowControl w:val="0"/>
              <w:spacing w:line="276" w:lineRule="auto"/>
              <w:jc w:val="center"/>
              <w:rPr>
                <w:bCs/>
              </w:rPr>
            </w:pPr>
            <w:r>
              <w:t>This study</w:t>
            </w:r>
          </w:p>
        </w:tc>
      </w:tr>
      <w:tr w:rsidR="000C600A" w14:paraId="64B32A9E" w14:textId="77777777" w:rsidTr="00B43AB5">
        <w:tc>
          <w:tcPr>
            <w:tcW w:w="675" w:type="dxa"/>
            <w:vAlign w:val="center"/>
          </w:tcPr>
          <w:p w14:paraId="1688805F" w14:textId="77777777" w:rsidR="000C600A" w:rsidRDefault="00000000">
            <w:pPr>
              <w:widowControl w:val="0"/>
              <w:spacing w:line="276" w:lineRule="auto"/>
              <w:jc w:val="center"/>
            </w:pPr>
            <w:r>
              <w:t>#29</w:t>
            </w:r>
          </w:p>
        </w:tc>
        <w:tc>
          <w:tcPr>
            <w:tcW w:w="3261" w:type="dxa"/>
            <w:vAlign w:val="center"/>
          </w:tcPr>
          <w:p w14:paraId="0DB1772F" w14:textId="77777777" w:rsidR="000C600A" w:rsidRDefault="00000000">
            <w:pPr>
              <w:widowControl w:val="0"/>
              <w:spacing w:line="276" w:lineRule="auto"/>
              <w:jc w:val="center"/>
              <w:rPr>
                <w:bCs/>
              </w:rPr>
            </w:pPr>
            <w:r>
              <w:rPr>
                <w:bCs/>
              </w:rPr>
              <w:t>P</w:t>
            </w:r>
            <w:r>
              <w:rPr>
                <w:bCs/>
                <w:vertAlign w:val="subscript"/>
              </w:rPr>
              <w:t>MET</w:t>
            </w:r>
            <w:r>
              <w:rPr>
                <w:bCs/>
              </w:rPr>
              <w:t>-Cdc3(R360A)</w:t>
            </w:r>
          </w:p>
        </w:tc>
        <w:tc>
          <w:tcPr>
            <w:tcW w:w="1559" w:type="dxa"/>
            <w:vAlign w:val="center"/>
          </w:tcPr>
          <w:p w14:paraId="6C36022A" w14:textId="77777777" w:rsidR="000C600A" w:rsidRDefault="00000000">
            <w:pPr>
              <w:widowControl w:val="0"/>
              <w:spacing w:line="276" w:lineRule="auto"/>
              <w:jc w:val="center"/>
              <w:rPr>
                <w:bCs/>
              </w:rPr>
            </w:pPr>
            <w:r>
              <w:rPr>
                <w:bCs/>
              </w:rPr>
              <w:t>pRS313</w:t>
            </w:r>
          </w:p>
        </w:tc>
        <w:tc>
          <w:tcPr>
            <w:tcW w:w="1559" w:type="dxa"/>
            <w:vAlign w:val="center"/>
          </w:tcPr>
          <w:p w14:paraId="6EFDF905" w14:textId="77777777" w:rsidR="000C600A" w:rsidRDefault="00000000">
            <w:pPr>
              <w:widowControl w:val="0"/>
              <w:spacing w:line="276" w:lineRule="auto"/>
              <w:jc w:val="center"/>
              <w:rPr>
                <w:bCs/>
              </w:rPr>
            </w:pPr>
            <w:proofErr w:type="spellStart"/>
            <w:r>
              <w:rPr>
                <w:bCs/>
              </w:rPr>
              <w:t>fl</w:t>
            </w:r>
            <w:proofErr w:type="spellEnd"/>
          </w:p>
        </w:tc>
        <w:tc>
          <w:tcPr>
            <w:tcW w:w="2018" w:type="dxa"/>
            <w:vAlign w:val="center"/>
          </w:tcPr>
          <w:p w14:paraId="20472716" w14:textId="77777777" w:rsidR="000C600A" w:rsidRDefault="00000000">
            <w:pPr>
              <w:widowControl w:val="0"/>
              <w:spacing w:line="276" w:lineRule="auto"/>
              <w:jc w:val="center"/>
              <w:rPr>
                <w:bCs/>
              </w:rPr>
            </w:pPr>
            <w:r>
              <w:t>This study</w:t>
            </w:r>
          </w:p>
        </w:tc>
      </w:tr>
      <w:tr w:rsidR="000C600A" w14:paraId="3A580E25" w14:textId="77777777" w:rsidTr="00B43AB5">
        <w:tc>
          <w:tcPr>
            <w:tcW w:w="675" w:type="dxa"/>
            <w:vAlign w:val="center"/>
          </w:tcPr>
          <w:p w14:paraId="4876CF02" w14:textId="77777777" w:rsidR="000C600A" w:rsidRDefault="00000000">
            <w:pPr>
              <w:widowControl w:val="0"/>
              <w:spacing w:line="276" w:lineRule="auto"/>
              <w:jc w:val="center"/>
            </w:pPr>
            <w:r>
              <w:t>#30</w:t>
            </w:r>
          </w:p>
        </w:tc>
        <w:tc>
          <w:tcPr>
            <w:tcW w:w="3261" w:type="dxa"/>
            <w:vAlign w:val="center"/>
          </w:tcPr>
          <w:p w14:paraId="10F050E1" w14:textId="77777777" w:rsidR="000C600A" w:rsidRDefault="00000000">
            <w:pPr>
              <w:widowControl w:val="0"/>
              <w:spacing w:line="276" w:lineRule="auto"/>
              <w:jc w:val="center"/>
              <w:rPr>
                <w:bCs/>
              </w:rPr>
            </w:pPr>
            <w:r>
              <w:rPr>
                <w:bCs/>
              </w:rPr>
              <w:t>P</w:t>
            </w:r>
            <w:r>
              <w:rPr>
                <w:bCs/>
                <w:vertAlign w:val="subscript"/>
              </w:rPr>
              <w:t>MET</w:t>
            </w:r>
            <w:r>
              <w:rPr>
                <w:bCs/>
              </w:rPr>
              <w:t>-Cdc12</w:t>
            </w:r>
          </w:p>
        </w:tc>
        <w:tc>
          <w:tcPr>
            <w:tcW w:w="1559" w:type="dxa"/>
            <w:vAlign w:val="center"/>
          </w:tcPr>
          <w:p w14:paraId="6E5B7059" w14:textId="77777777" w:rsidR="000C600A" w:rsidRDefault="00000000">
            <w:pPr>
              <w:widowControl w:val="0"/>
              <w:spacing w:line="276" w:lineRule="auto"/>
              <w:jc w:val="center"/>
              <w:rPr>
                <w:bCs/>
              </w:rPr>
            </w:pPr>
            <w:r>
              <w:rPr>
                <w:bCs/>
              </w:rPr>
              <w:t>pRS313</w:t>
            </w:r>
          </w:p>
        </w:tc>
        <w:tc>
          <w:tcPr>
            <w:tcW w:w="1559" w:type="dxa"/>
            <w:vAlign w:val="center"/>
          </w:tcPr>
          <w:p w14:paraId="44F1F168" w14:textId="77777777" w:rsidR="000C600A" w:rsidRDefault="00000000">
            <w:pPr>
              <w:widowControl w:val="0"/>
              <w:spacing w:line="276" w:lineRule="auto"/>
              <w:jc w:val="center"/>
              <w:rPr>
                <w:bCs/>
              </w:rPr>
            </w:pPr>
            <w:proofErr w:type="spellStart"/>
            <w:r>
              <w:rPr>
                <w:bCs/>
              </w:rPr>
              <w:t>fl</w:t>
            </w:r>
            <w:proofErr w:type="spellEnd"/>
          </w:p>
        </w:tc>
        <w:tc>
          <w:tcPr>
            <w:tcW w:w="2018" w:type="dxa"/>
            <w:vAlign w:val="center"/>
          </w:tcPr>
          <w:p w14:paraId="10C6EBFD" w14:textId="77777777" w:rsidR="000C600A" w:rsidRDefault="00000000">
            <w:pPr>
              <w:widowControl w:val="0"/>
              <w:spacing w:line="276" w:lineRule="auto"/>
              <w:jc w:val="center"/>
              <w:rPr>
                <w:bCs/>
              </w:rPr>
            </w:pPr>
            <w:r>
              <w:t>This study</w:t>
            </w:r>
          </w:p>
        </w:tc>
      </w:tr>
      <w:tr w:rsidR="000C600A" w14:paraId="3F694C48" w14:textId="77777777" w:rsidTr="00B43AB5">
        <w:tc>
          <w:tcPr>
            <w:tcW w:w="675" w:type="dxa"/>
            <w:vAlign w:val="center"/>
          </w:tcPr>
          <w:p w14:paraId="5F2374FC" w14:textId="77777777" w:rsidR="000C600A" w:rsidRDefault="00000000">
            <w:pPr>
              <w:widowControl w:val="0"/>
              <w:spacing w:line="276" w:lineRule="auto"/>
              <w:jc w:val="center"/>
            </w:pPr>
            <w:r>
              <w:t>#31</w:t>
            </w:r>
          </w:p>
        </w:tc>
        <w:tc>
          <w:tcPr>
            <w:tcW w:w="3261" w:type="dxa"/>
            <w:vAlign w:val="center"/>
          </w:tcPr>
          <w:p w14:paraId="6E4BD5B0" w14:textId="77777777" w:rsidR="000C600A" w:rsidRDefault="00000000">
            <w:pPr>
              <w:widowControl w:val="0"/>
              <w:spacing w:line="276" w:lineRule="auto"/>
              <w:jc w:val="center"/>
              <w:rPr>
                <w:bCs/>
              </w:rPr>
            </w:pPr>
            <w:r>
              <w:rPr>
                <w:bCs/>
              </w:rPr>
              <w:t>P</w:t>
            </w:r>
            <w:r>
              <w:rPr>
                <w:bCs/>
                <w:vertAlign w:val="subscript"/>
              </w:rPr>
              <w:t>MET</w:t>
            </w:r>
            <w:r>
              <w:rPr>
                <w:bCs/>
              </w:rPr>
              <w:t>-Cdc12(R263A)</w:t>
            </w:r>
          </w:p>
        </w:tc>
        <w:tc>
          <w:tcPr>
            <w:tcW w:w="1559" w:type="dxa"/>
            <w:vAlign w:val="center"/>
          </w:tcPr>
          <w:p w14:paraId="6E51C196" w14:textId="77777777" w:rsidR="000C600A" w:rsidRDefault="00000000">
            <w:pPr>
              <w:widowControl w:val="0"/>
              <w:spacing w:line="276" w:lineRule="auto"/>
              <w:jc w:val="center"/>
              <w:rPr>
                <w:bCs/>
              </w:rPr>
            </w:pPr>
            <w:r>
              <w:rPr>
                <w:bCs/>
              </w:rPr>
              <w:t>pRS313</w:t>
            </w:r>
          </w:p>
        </w:tc>
        <w:tc>
          <w:tcPr>
            <w:tcW w:w="1559" w:type="dxa"/>
            <w:vAlign w:val="center"/>
          </w:tcPr>
          <w:p w14:paraId="517C930C" w14:textId="77777777" w:rsidR="000C600A" w:rsidRDefault="00000000">
            <w:pPr>
              <w:widowControl w:val="0"/>
              <w:spacing w:line="276" w:lineRule="auto"/>
              <w:jc w:val="center"/>
              <w:rPr>
                <w:bCs/>
              </w:rPr>
            </w:pPr>
            <w:proofErr w:type="spellStart"/>
            <w:r>
              <w:rPr>
                <w:bCs/>
              </w:rPr>
              <w:t>fl</w:t>
            </w:r>
            <w:proofErr w:type="spellEnd"/>
          </w:p>
        </w:tc>
        <w:tc>
          <w:tcPr>
            <w:tcW w:w="2018" w:type="dxa"/>
            <w:vAlign w:val="center"/>
          </w:tcPr>
          <w:p w14:paraId="3322216E" w14:textId="77777777" w:rsidR="000C600A" w:rsidRDefault="00000000">
            <w:pPr>
              <w:widowControl w:val="0"/>
              <w:spacing w:line="276" w:lineRule="auto"/>
              <w:jc w:val="center"/>
              <w:rPr>
                <w:bCs/>
              </w:rPr>
            </w:pPr>
            <w:r>
              <w:t>This study</w:t>
            </w:r>
          </w:p>
        </w:tc>
      </w:tr>
      <w:tr w:rsidR="000C600A" w14:paraId="7CD660E6" w14:textId="77777777" w:rsidTr="00B43AB5">
        <w:tc>
          <w:tcPr>
            <w:tcW w:w="675" w:type="dxa"/>
            <w:vAlign w:val="center"/>
          </w:tcPr>
          <w:p w14:paraId="45A03F65" w14:textId="77777777" w:rsidR="000C600A" w:rsidRDefault="00000000">
            <w:pPr>
              <w:widowControl w:val="0"/>
              <w:spacing w:line="276" w:lineRule="auto"/>
              <w:jc w:val="center"/>
            </w:pPr>
            <w:r>
              <w:t>#32</w:t>
            </w:r>
          </w:p>
        </w:tc>
        <w:tc>
          <w:tcPr>
            <w:tcW w:w="3261" w:type="dxa"/>
            <w:vAlign w:val="center"/>
          </w:tcPr>
          <w:p w14:paraId="2FACEC58" w14:textId="77777777" w:rsidR="000C600A" w:rsidRDefault="00000000">
            <w:pPr>
              <w:widowControl w:val="0"/>
              <w:spacing w:line="276" w:lineRule="auto"/>
              <w:jc w:val="center"/>
              <w:rPr>
                <w:bCs/>
              </w:rPr>
            </w:pPr>
            <w:r>
              <w:rPr>
                <w:bCs/>
              </w:rPr>
              <w:t>P</w:t>
            </w:r>
            <w:r>
              <w:rPr>
                <w:bCs/>
                <w:vertAlign w:val="subscript"/>
              </w:rPr>
              <w:t>MET</w:t>
            </w:r>
            <w:r>
              <w:rPr>
                <w:bCs/>
              </w:rPr>
              <w:t>-Cdc11</w:t>
            </w:r>
          </w:p>
        </w:tc>
        <w:tc>
          <w:tcPr>
            <w:tcW w:w="1559" w:type="dxa"/>
            <w:vAlign w:val="center"/>
          </w:tcPr>
          <w:p w14:paraId="17F3BFF7" w14:textId="77777777" w:rsidR="000C600A" w:rsidRDefault="00000000">
            <w:pPr>
              <w:widowControl w:val="0"/>
              <w:spacing w:line="276" w:lineRule="auto"/>
              <w:jc w:val="center"/>
              <w:rPr>
                <w:bCs/>
              </w:rPr>
            </w:pPr>
            <w:r>
              <w:rPr>
                <w:bCs/>
              </w:rPr>
              <w:t>pRS313</w:t>
            </w:r>
          </w:p>
        </w:tc>
        <w:tc>
          <w:tcPr>
            <w:tcW w:w="1559" w:type="dxa"/>
            <w:vAlign w:val="center"/>
          </w:tcPr>
          <w:p w14:paraId="7D1831F4" w14:textId="77777777" w:rsidR="000C600A" w:rsidRDefault="00000000">
            <w:pPr>
              <w:widowControl w:val="0"/>
              <w:spacing w:line="276" w:lineRule="auto"/>
              <w:jc w:val="center"/>
              <w:rPr>
                <w:b/>
              </w:rPr>
            </w:pPr>
            <w:proofErr w:type="spellStart"/>
            <w:r>
              <w:rPr>
                <w:bCs/>
              </w:rPr>
              <w:t>fl</w:t>
            </w:r>
            <w:proofErr w:type="spellEnd"/>
          </w:p>
        </w:tc>
        <w:tc>
          <w:tcPr>
            <w:tcW w:w="2018" w:type="dxa"/>
            <w:vAlign w:val="center"/>
          </w:tcPr>
          <w:p w14:paraId="24416BEE" w14:textId="77777777" w:rsidR="000C600A" w:rsidRDefault="00000000">
            <w:pPr>
              <w:widowControl w:val="0"/>
              <w:spacing w:line="276" w:lineRule="auto"/>
              <w:jc w:val="center"/>
              <w:rPr>
                <w:bCs/>
              </w:rPr>
            </w:pPr>
            <w:r>
              <w:t>This study</w:t>
            </w:r>
          </w:p>
        </w:tc>
      </w:tr>
      <w:tr w:rsidR="000C600A" w14:paraId="07A8C858" w14:textId="77777777" w:rsidTr="00B43AB5">
        <w:tc>
          <w:tcPr>
            <w:tcW w:w="675" w:type="dxa"/>
            <w:vAlign w:val="center"/>
          </w:tcPr>
          <w:p w14:paraId="475056C8" w14:textId="77777777" w:rsidR="000C600A" w:rsidRDefault="00000000">
            <w:pPr>
              <w:widowControl w:val="0"/>
              <w:spacing w:line="276" w:lineRule="auto"/>
              <w:jc w:val="center"/>
            </w:pPr>
            <w:r>
              <w:t>#33</w:t>
            </w:r>
          </w:p>
        </w:tc>
        <w:tc>
          <w:tcPr>
            <w:tcW w:w="3261" w:type="dxa"/>
            <w:vAlign w:val="center"/>
          </w:tcPr>
          <w:p w14:paraId="701E20FA" w14:textId="77777777" w:rsidR="000C600A" w:rsidRDefault="00000000">
            <w:pPr>
              <w:widowControl w:val="0"/>
              <w:spacing w:line="276" w:lineRule="auto"/>
              <w:jc w:val="center"/>
              <w:rPr>
                <w:bCs/>
              </w:rPr>
            </w:pPr>
            <w:r>
              <w:rPr>
                <w:bCs/>
              </w:rPr>
              <w:t>P</w:t>
            </w:r>
            <w:r>
              <w:rPr>
                <w:bCs/>
                <w:vertAlign w:val="subscript"/>
              </w:rPr>
              <w:t>MET</w:t>
            </w:r>
            <w:r>
              <w:rPr>
                <w:bCs/>
              </w:rPr>
              <w:t>-Cdc11(R247A)</w:t>
            </w:r>
          </w:p>
        </w:tc>
        <w:tc>
          <w:tcPr>
            <w:tcW w:w="1559" w:type="dxa"/>
            <w:vAlign w:val="center"/>
          </w:tcPr>
          <w:p w14:paraId="4EE40D5B" w14:textId="77777777" w:rsidR="000C600A" w:rsidRDefault="00000000">
            <w:pPr>
              <w:widowControl w:val="0"/>
              <w:spacing w:line="276" w:lineRule="auto"/>
              <w:jc w:val="center"/>
              <w:rPr>
                <w:bCs/>
              </w:rPr>
            </w:pPr>
            <w:r>
              <w:rPr>
                <w:bCs/>
              </w:rPr>
              <w:t>pRS313</w:t>
            </w:r>
          </w:p>
        </w:tc>
        <w:tc>
          <w:tcPr>
            <w:tcW w:w="1559" w:type="dxa"/>
            <w:vAlign w:val="center"/>
          </w:tcPr>
          <w:p w14:paraId="1DE143B0" w14:textId="77777777" w:rsidR="000C600A" w:rsidRDefault="00000000">
            <w:pPr>
              <w:widowControl w:val="0"/>
              <w:spacing w:line="276" w:lineRule="auto"/>
              <w:jc w:val="center"/>
              <w:rPr>
                <w:bCs/>
              </w:rPr>
            </w:pPr>
            <w:proofErr w:type="spellStart"/>
            <w:r>
              <w:rPr>
                <w:bCs/>
              </w:rPr>
              <w:t>fl</w:t>
            </w:r>
            <w:proofErr w:type="spellEnd"/>
          </w:p>
        </w:tc>
        <w:tc>
          <w:tcPr>
            <w:tcW w:w="2018" w:type="dxa"/>
            <w:vAlign w:val="center"/>
          </w:tcPr>
          <w:p w14:paraId="65EE726E" w14:textId="77777777" w:rsidR="000C600A" w:rsidRDefault="00000000">
            <w:pPr>
              <w:widowControl w:val="0"/>
              <w:spacing w:line="276" w:lineRule="auto"/>
              <w:jc w:val="center"/>
              <w:rPr>
                <w:bCs/>
              </w:rPr>
            </w:pPr>
            <w:r>
              <w:t>This study</w:t>
            </w:r>
          </w:p>
        </w:tc>
      </w:tr>
      <w:tr w:rsidR="000C600A" w14:paraId="5B34F4D1" w14:textId="77777777" w:rsidTr="00B43AB5">
        <w:tc>
          <w:tcPr>
            <w:tcW w:w="675" w:type="dxa"/>
            <w:vAlign w:val="center"/>
          </w:tcPr>
          <w:p w14:paraId="711A9E66" w14:textId="77777777" w:rsidR="000C600A" w:rsidRDefault="00000000">
            <w:pPr>
              <w:widowControl w:val="0"/>
              <w:spacing w:line="276" w:lineRule="auto"/>
              <w:jc w:val="center"/>
            </w:pPr>
            <w:r>
              <w:t>#34</w:t>
            </w:r>
          </w:p>
        </w:tc>
        <w:tc>
          <w:tcPr>
            <w:tcW w:w="3261" w:type="dxa"/>
            <w:vAlign w:val="center"/>
          </w:tcPr>
          <w:p w14:paraId="253BA55E" w14:textId="77777777" w:rsidR="000C600A" w:rsidRDefault="00000000">
            <w:pPr>
              <w:widowControl w:val="0"/>
              <w:spacing w:line="276" w:lineRule="auto"/>
              <w:jc w:val="center"/>
              <w:rPr>
                <w:bCs/>
              </w:rPr>
            </w:pPr>
            <w:r>
              <w:rPr>
                <w:bCs/>
              </w:rPr>
              <w:t>P</w:t>
            </w:r>
            <w:r>
              <w:rPr>
                <w:bCs/>
                <w:vertAlign w:val="subscript"/>
              </w:rPr>
              <w:t>MET</w:t>
            </w:r>
            <w:r>
              <w:rPr>
                <w:bCs/>
              </w:rPr>
              <w:t>-Shs1</w:t>
            </w:r>
          </w:p>
        </w:tc>
        <w:tc>
          <w:tcPr>
            <w:tcW w:w="1559" w:type="dxa"/>
            <w:vAlign w:val="center"/>
          </w:tcPr>
          <w:p w14:paraId="7C43D9CA" w14:textId="77777777" w:rsidR="000C600A" w:rsidRDefault="00000000">
            <w:pPr>
              <w:widowControl w:val="0"/>
              <w:spacing w:line="276" w:lineRule="auto"/>
              <w:jc w:val="center"/>
              <w:rPr>
                <w:bCs/>
              </w:rPr>
            </w:pPr>
            <w:r>
              <w:rPr>
                <w:bCs/>
              </w:rPr>
              <w:t>pRS313</w:t>
            </w:r>
          </w:p>
        </w:tc>
        <w:tc>
          <w:tcPr>
            <w:tcW w:w="1559" w:type="dxa"/>
            <w:vAlign w:val="center"/>
          </w:tcPr>
          <w:p w14:paraId="520727FF" w14:textId="77777777" w:rsidR="000C600A" w:rsidRDefault="00000000">
            <w:pPr>
              <w:widowControl w:val="0"/>
              <w:spacing w:line="276" w:lineRule="auto"/>
              <w:jc w:val="center"/>
              <w:rPr>
                <w:bCs/>
              </w:rPr>
            </w:pPr>
            <w:proofErr w:type="spellStart"/>
            <w:r>
              <w:rPr>
                <w:bCs/>
              </w:rPr>
              <w:t>fl</w:t>
            </w:r>
            <w:proofErr w:type="spellEnd"/>
          </w:p>
        </w:tc>
        <w:tc>
          <w:tcPr>
            <w:tcW w:w="2018" w:type="dxa"/>
            <w:vAlign w:val="center"/>
          </w:tcPr>
          <w:p w14:paraId="77964729" w14:textId="77777777" w:rsidR="000C600A" w:rsidRDefault="00000000">
            <w:pPr>
              <w:widowControl w:val="0"/>
              <w:spacing w:line="276" w:lineRule="auto"/>
              <w:jc w:val="center"/>
              <w:rPr>
                <w:bCs/>
              </w:rPr>
            </w:pPr>
            <w:r>
              <w:t>This study</w:t>
            </w:r>
          </w:p>
        </w:tc>
      </w:tr>
      <w:tr w:rsidR="000C600A" w14:paraId="1AF79A4F" w14:textId="77777777" w:rsidTr="00B43AB5">
        <w:tc>
          <w:tcPr>
            <w:tcW w:w="675" w:type="dxa"/>
            <w:vAlign w:val="center"/>
          </w:tcPr>
          <w:p w14:paraId="19A0D8C2" w14:textId="77777777" w:rsidR="000C600A" w:rsidRDefault="00000000">
            <w:pPr>
              <w:widowControl w:val="0"/>
              <w:spacing w:line="276" w:lineRule="auto"/>
              <w:jc w:val="center"/>
            </w:pPr>
            <w:r>
              <w:t>#35</w:t>
            </w:r>
          </w:p>
        </w:tc>
        <w:tc>
          <w:tcPr>
            <w:tcW w:w="3261" w:type="dxa"/>
            <w:vAlign w:val="center"/>
          </w:tcPr>
          <w:p w14:paraId="4AA8545B" w14:textId="77777777" w:rsidR="000C600A" w:rsidRDefault="00000000">
            <w:pPr>
              <w:widowControl w:val="0"/>
              <w:spacing w:line="276" w:lineRule="auto"/>
              <w:jc w:val="center"/>
              <w:rPr>
                <w:bCs/>
              </w:rPr>
            </w:pPr>
            <w:r>
              <w:rPr>
                <w:bCs/>
              </w:rPr>
              <w:t>P</w:t>
            </w:r>
            <w:r>
              <w:rPr>
                <w:bCs/>
                <w:vertAlign w:val="subscript"/>
              </w:rPr>
              <w:t>MET</w:t>
            </w:r>
            <w:r>
              <w:rPr>
                <w:bCs/>
              </w:rPr>
              <w:t>-Shs1(R288A)</w:t>
            </w:r>
          </w:p>
        </w:tc>
        <w:tc>
          <w:tcPr>
            <w:tcW w:w="1559" w:type="dxa"/>
            <w:vAlign w:val="center"/>
          </w:tcPr>
          <w:p w14:paraId="36B904A5" w14:textId="77777777" w:rsidR="000C600A" w:rsidRDefault="00000000">
            <w:pPr>
              <w:widowControl w:val="0"/>
              <w:spacing w:line="276" w:lineRule="auto"/>
              <w:jc w:val="center"/>
              <w:rPr>
                <w:bCs/>
              </w:rPr>
            </w:pPr>
            <w:r>
              <w:rPr>
                <w:bCs/>
              </w:rPr>
              <w:t>pRS313</w:t>
            </w:r>
          </w:p>
        </w:tc>
        <w:tc>
          <w:tcPr>
            <w:tcW w:w="1559" w:type="dxa"/>
            <w:vAlign w:val="center"/>
          </w:tcPr>
          <w:p w14:paraId="72F402C2" w14:textId="77777777" w:rsidR="000C600A" w:rsidRDefault="00000000">
            <w:pPr>
              <w:widowControl w:val="0"/>
              <w:spacing w:line="276" w:lineRule="auto"/>
              <w:jc w:val="center"/>
              <w:rPr>
                <w:bCs/>
              </w:rPr>
            </w:pPr>
            <w:proofErr w:type="spellStart"/>
            <w:r>
              <w:rPr>
                <w:bCs/>
              </w:rPr>
              <w:t>fl</w:t>
            </w:r>
            <w:proofErr w:type="spellEnd"/>
          </w:p>
        </w:tc>
        <w:tc>
          <w:tcPr>
            <w:tcW w:w="2018" w:type="dxa"/>
            <w:vAlign w:val="center"/>
          </w:tcPr>
          <w:p w14:paraId="161ABDFF" w14:textId="77777777" w:rsidR="000C600A" w:rsidRDefault="00000000">
            <w:pPr>
              <w:widowControl w:val="0"/>
              <w:spacing w:line="276" w:lineRule="auto"/>
              <w:jc w:val="center"/>
              <w:rPr>
                <w:bCs/>
              </w:rPr>
            </w:pPr>
            <w:r>
              <w:t>This study</w:t>
            </w:r>
          </w:p>
        </w:tc>
      </w:tr>
      <w:tr w:rsidR="00B43AB5" w14:paraId="276104E8" w14:textId="77777777" w:rsidTr="00B43AB5">
        <w:tc>
          <w:tcPr>
            <w:tcW w:w="675" w:type="dxa"/>
            <w:vAlign w:val="center"/>
          </w:tcPr>
          <w:p w14:paraId="27E784CB" w14:textId="1032F0F3" w:rsidR="00B43AB5" w:rsidRDefault="00B43AB5" w:rsidP="00B43AB5">
            <w:pPr>
              <w:widowControl w:val="0"/>
              <w:spacing w:line="276" w:lineRule="auto"/>
              <w:jc w:val="center"/>
              <w:rPr>
                <w:bCs/>
              </w:rPr>
            </w:pPr>
            <w:r>
              <w:t>#</w:t>
            </w:r>
            <w:r>
              <w:t>3</w:t>
            </w:r>
            <w:r>
              <w:t>6</w:t>
            </w:r>
          </w:p>
        </w:tc>
        <w:tc>
          <w:tcPr>
            <w:tcW w:w="3261" w:type="dxa"/>
            <w:vAlign w:val="center"/>
          </w:tcPr>
          <w:p w14:paraId="77DE2D25" w14:textId="2C2E8EF4" w:rsidR="00B43AB5" w:rsidRDefault="00B43AB5" w:rsidP="00B43AB5">
            <w:pPr>
              <w:widowControl w:val="0"/>
              <w:spacing w:line="276" w:lineRule="auto"/>
              <w:jc w:val="center"/>
              <w:rPr>
                <w:bCs/>
              </w:rPr>
            </w:pPr>
            <w:r>
              <w:rPr>
                <w:bCs/>
              </w:rPr>
              <w:t>P</w:t>
            </w:r>
            <w:r>
              <w:rPr>
                <w:bCs/>
                <w:vertAlign w:val="subscript"/>
              </w:rPr>
              <w:t>MET</w:t>
            </w:r>
            <w:r>
              <w:rPr>
                <w:bCs/>
              </w:rPr>
              <w:t>-Cdc10</w:t>
            </w:r>
            <w:r>
              <w:rPr>
                <w:bCs/>
              </w:rPr>
              <w:t>-GFP</w:t>
            </w:r>
          </w:p>
        </w:tc>
        <w:tc>
          <w:tcPr>
            <w:tcW w:w="1559" w:type="dxa"/>
            <w:vAlign w:val="center"/>
          </w:tcPr>
          <w:p w14:paraId="2176D6A2" w14:textId="49623251" w:rsidR="00B43AB5" w:rsidRDefault="00B43AB5" w:rsidP="00B43AB5">
            <w:pPr>
              <w:widowControl w:val="0"/>
              <w:spacing w:line="276" w:lineRule="auto"/>
              <w:jc w:val="center"/>
              <w:rPr>
                <w:bCs/>
              </w:rPr>
            </w:pPr>
            <w:r>
              <w:rPr>
                <w:bCs/>
              </w:rPr>
              <w:t>pRS3</w:t>
            </w:r>
            <w:r>
              <w:rPr>
                <w:bCs/>
              </w:rPr>
              <w:t>06</w:t>
            </w:r>
          </w:p>
        </w:tc>
        <w:tc>
          <w:tcPr>
            <w:tcW w:w="1559" w:type="dxa"/>
            <w:vAlign w:val="center"/>
          </w:tcPr>
          <w:p w14:paraId="6714D7CC" w14:textId="162889E5" w:rsidR="00B43AB5" w:rsidRDefault="00B43AB5" w:rsidP="00B43AB5">
            <w:pPr>
              <w:widowControl w:val="0"/>
              <w:spacing w:line="276" w:lineRule="auto"/>
              <w:jc w:val="center"/>
              <w:rPr>
                <w:bCs/>
              </w:rPr>
            </w:pPr>
            <w:proofErr w:type="spellStart"/>
            <w:r>
              <w:rPr>
                <w:bCs/>
              </w:rPr>
              <w:t>fl</w:t>
            </w:r>
            <w:proofErr w:type="spellEnd"/>
          </w:p>
        </w:tc>
        <w:tc>
          <w:tcPr>
            <w:tcW w:w="2018" w:type="dxa"/>
            <w:vAlign w:val="center"/>
          </w:tcPr>
          <w:p w14:paraId="25A789DF" w14:textId="2C3EC95E" w:rsidR="00B43AB5" w:rsidRDefault="00B43AB5" w:rsidP="00B43AB5">
            <w:pPr>
              <w:widowControl w:val="0"/>
              <w:spacing w:line="276" w:lineRule="auto"/>
              <w:jc w:val="center"/>
              <w:rPr>
                <w:bCs/>
              </w:rPr>
            </w:pPr>
            <w:r>
              <w:fldChar w:fldCharType="begin" w:fldLock="1"/>
            </w:r>
            <w:r>
              <w:rPr>
                <w:bCs/>
              </w:rPr>
              <w:instrText>ADDIN CSL_CITATION {"citationItems":[{"id":"ITEM-1","itemData":{"DOI":"10.1038/s42003-023-05734-w","ISSN":"2399-3642","abstract":"The septins of the yeast Saccharomyces cerevisiae assemble into hetero-octameric rods by alternating interactions between neighboring G-domains or N- and C-termini, respectively. These rods polymerize end to end into apolar filaments, forming a ring beneath the prospective new bud that expands during the cell cycle into an hourglass structure. The hourglass finally splits during cytokinesis into a double ring. Understanding these transitions as well as the plasticity of the higher order assemblies requires a detailed knowledge of the underlying structures. Here we present the first X-ray crystal structure of a tetrameric Shs1-Cdc12-Cdc3-Cdc10 complex at a resolution of 3.2 Å. Close inspection of the NC-interfaces of this and other septin structures reveals a conserved contact motif that is essential for NC-interface integrity of yeast and human septins in vivo and in vitro. Using the tetrameric structure&amp;nbsp;in combination with AlphaFold-Multimer allowed us&amp;nbsp;to propose a model of the octameric septin rod. The first X-ray crystal structure of a hetero-tetrameric septin complex is presented. From this a novel hydrophobic structural element conserved in septins from yeast to man is identified and characterized.","author":[{"dropping-particle":"","family":"Grupp","given":"Benjamin","non-dropping-particle":"","parse-names":false,"suffix":""},{"dropping-particle":"","family":"Denkhaus","given":"Lukas","non-dropping-particle":"","parse-names":false,"suffix":""},{"dropping-particle":"","family":"Gerhardt","given":"Stefan","non-dropping-particle":"","parse-names":false,"suffix":""},{"dropping-particle":"","family":"Vögele","given":"Matthis","non-dropping-particle":"","parse-names":false,"suffix":""},{"dropping-particle":"","family":"Johnsson","given":"Nils","non-dropping-particle":"","parse-names":false,"suffix":""},{"dropping-particle":"","family":"Gronemeyer","given":"Thomas","non-dropping-particle":"","parse-names":false,"suffix":""}],"container-title":"Communications Biology 2024 7:1","id":"ITEM-1","issue":"1","issued":{"date-parts":[["2024","1","6"]]},"page":"1-15","publisher":"Nature Publishing Group","title":"The structure of a tetrameric septin complex reveals a hydrophobic element essential for NC-interface integrity","type":"article-journal","volume":"7"},"uris":["http://www.mendeley.com/documents/?uuid=b495bda7-968c-3f22-9b84-718fc3baa322"]}],"mendeley":{"formattedCitation":"(Grupp &lt;i&gt;et al.&lt;/i&gt;, 2024)","plainTextFormattedCitation":"(Grupp et al., 2024)","previouslyFormattedCitation":"(Grupp &lt;i&gt;et al.&lt;/i&gt;, 2024)"},"properties":{"noteIndex":0},"schema":"https://github.com/citation-style-language/schema/raw/master/csl-citation.json"}</w:instrText>
            </w:r>
            <w:r>
              <w:rPr>
                <w:bCs/>
              </w:rPr>
              <w:fldChar w:fldCharType="separate"/>
            </w:r>
            <w:r>
              <w:rPr>
                <w:bCs/>
                <w:noProof/>
              </w:rPr>
              <w:t xml:space="preserve">(Grupp </w:t>
            </w:r>
            <w:r>
              <w:rPr>
                <w:bCs/>
                <w:i/>
                <w:noProof/>
              </w:rPr>
              <w:t>et al.</w:t>
            </w:r>
            <w:r>
              <w:rPr>
                <w:bCs/>
                <w:noProof/>
              </w:rPr>
              <w:t>, 2024)</w:t>
            </w:r>
            <w:r>
              <w:rPr>
                <w:bCs/>
              </w:rPr>
              <w:fldChar w:fldCharType="end"/>
            </w:r>
          </w:p>
        </w:tc>
      </w:tr>
      <w:tr w:rsidR="00B43AB5" w14:paraId="77369456" w14:textId="77777777" w:rsidTr="00B43AB5">
        <w:tc>
          <w:tcPr>
            <w:tcW w:w="675" w:type="dxa"/>
            <w:vAlign w:val="center"/>
          </w:tcPr>
          <w:p w14:paraId="50060A67" w14:textId="21FD09FE" w:rsidR="00B43AB5" w:rsidRDefault="00B43AB5" w:rsidP="00B43AB5">
            <w:pPr>
              <w:widowControl w:val="0"/>
              <w:spacing w:line="276" w:lineRule="auto"/>
              <w:jc w:val="center"/>
              <w:rPr>
                <w:bCs/>
              </w:rPr>
            </w:pPr>
            <w:r>
              <w:t>#</w:t>
            </w:r>
            <w:r>
              <w:t>3</w:t>
            </w:r>
            <w:r>
              <w:t>7</w:t>
            </w:r>
          </w:p>
        </w:tc>
        <w:tc>
          <w:tcPr>
            <w:tcW w:w="3261" w:type="dxa"/>
            <w:vAlign w:val="center"/>
          </w:tcPr>
          <w:p w14:paraId="12C9EE42" w14:textId="3286E3EB" w:rsidR="00B43AB5" w:rsidRDefault="00B43AB5" w:rsidP="00B43AB5">
            <w:pPr>
              <w:widowControl w:val="0"/>
              <w:spacing w:line="276" w:lineRule="auto"/>
              <w:jc w:val="center"/>
              <w:rPr>
                <w:bCs/>
              </w:rPr>
            </w:pPr>
            <w:r>
              <w:rPr>
                <w:bCs/>
              </w:rPr>
              <w:t>P</w:t>
            </w:r>
            <w:r>
              <w:rPr>
                <w:bCs/>
                <w:vertAlign w:val="subscript"/>
              </w:rPr>
              <w:t>MET</w:t>
            </w:r>
            <w:r>
              <w:rPr>
                <w:bCs/>
              </w:rPr>
              <w:t>-Cdc10(R251A)</w:t>
            </w:r>
            <w:r>
              <w:rPr>
                <w:bCs/>
              </w:rPr>
              <w:t>-GFP</w:t>
            </w:r>
          </w:p>
        </w:tc>
        <w:tc>
          <w:tcPr>
            <w:tcW w:w="1559" w:type="dxa"/>
            <w:vAlign w:val="center"/>
          </w:tcPr>
          <w:p w14:paraId="67C60F79" w14:textId="19AA4A08" w:rsidR="00B43AB5" w:rsidRDefault="00B43AB5" w:rsidP="00B43AB5">
            <w:pPr>
              <w:widowControl w:val="0"/>
              <w:spacing w:line="276" w:lineRule="auto"/>
              <w:jc w:val="center"/>
              <w:rPr>
                <w:bCs/>
              </w:rPr>
            </w:pPr>
            <w:r>
              <w:rPr>
                <w:bCs/>
              </w:rPr>
              <w:t>pRS3</w:t>
            </w:r>
            <w:r>
              <w:rPr>
                <w:bCs/>
              </w:rPr>
              <w:t>06</w:t>
            </w:r>
          </w:p>
        </w:tc>
        <w:tc>
          <w:tcPr>
            <w:tcW w:w="1559" w:type="dxa"/>
            <w:vAlign w:val="center"/>
          </w:tcPr>
          <w:p w14:paraId="344C8952" w14:textId="7B1A42B2" w:rsidR="00B43AB5" w:rsidRDefault="00B43AB5" w:rsidP="00B43AB5">
            <w:pPr>
              <w:widowControl w:val="0"/>
              <w:spacing w:line="276" w:lineRule="auto"/>
              <w:jc w:val="center"/>
              <w:rPr>
                <w:bCs/>
              </w:rPr>
            </w:pPr>
            <w:proofErr w:type="spellStart"/>
            <w:r>
              <w:rPr>
                <w:bCs/>
              </w:rPr>
              <w:t>fl</w:t>
            </w:r>
            <w:proofErr w:type="spellEnd"/>
          </w:p>
        </w:tc>
        <w:tc>
          <w:tcPr>
            <w:tcW w:w="2018" w:type="dxa"/>
            <w:vAlign w:val="center"/>
          </w:tcPr>
          <w:p w14:paraId="773CEBFF" w14:textId="397DB1A8" w:rsidR="00B43AB5" w:rsidRDefault="00B43AB5" w:rsidP="00B43AB5">
            <w:pPr>
              <w:widowControl w:val="0"/>
              <w:spacing w:line="276" w:lineRule="auto"/>
              <w:jc w:val="center"/>
              <w:rPr>
                <w:bCs/>
              </w:rPr>
            </w:pPr>
            <w:r>
              <w:t>This study</w:t>
            </w:r>
          </w:p>
        </w:tc>
      </w:tr>
      <w:tr w:rsidR="00B43AB5" w14:paraId="0801716F" w14:textId="77777777" w:rsidTr="00B43AB5">
        <w:tc>
          <w:tcPr>
            <w:tcW w:w="675" w:type="dxa"/>
            <w:vAlign w:val="center"/>
          </w:tcPr>
          <w:p w14:paraId="03E5AD71" w14:textId="4107C3EF" w:rsidR="00B43AB5" w:rsidRDefault="00B43AB5" w:rsidP="00B43AB5">
            <w:pPr>
              <w:widowControl w:val="0"/>
              <w:spacing w:line="276" w:lineRule="auto"/>
              <w:jc w:val="center"/>
              <w:rPr>
                <w:bCs/>
              </w:rPr>
            </w:pPr>
            <w:r>
              <w:t>#</w:t>
            </w:r>
            <w:r>
              <w:t>3</w:t>
            </w:r>
            <w:r>
              <w:t>8</w:t>
            </w:r>
          </w:p>
        </w:tc>
        <w:tc>
          <w:tcPr>
            <w:tcW w:w="3261" w:type="dxa"/>
            <w:vAlign w:val="center"/>
          </w:tcPr>
          <w:p w14:paraId="1D3B87D1" w14:textId="5C4FCBAE" w:rsidR="00B43AB5" w:rsidRDefault="00B43AB5" w:rsidP="00B43AB5">
            <w:pPr>
              <w:widowControl w:val="0"/>
              <w:spacing w:line="276" w:lineRule="auto"/>
              <w:jc w:val="center"/>
              <w:rPr>
                <w:bCs/>
              </w:rPr>
            </w:pPr>
            <w:r>
              <w:rPr>
                <w:bCs/>
              </w:rPr>
              <w:t>P</w:t>
            </w:r>
            <w:r>
              <w:rPr>
                <w:bCs/>
                <w:vertAlign w:val="subscript"/>
              </w:rPr>
              <w:t>MET</w:t>
            </w:r>
            <w:r>
              <w:rPr>
                <w:bCs/>
              </w:rPr>
              <w:t>-</w:t>
            </w:r>
            <w:r w:rsidR="00197805">
              <w:rPr>
                <w:bCs/>
              </w:rPr>
              <w:t>GFP-</w:t>
            </w:r>
            <w:r>
              <w:rPr>
                <w:bCs/>
              </w:rPr>
              <w:t>Cdc3</w:t>
            </w:r>
          </w:p>
        </w:tc>
        <w:tc>
          <w:tcPr>
            <w:tcW w:w="1559" w:type="dxa"/>
            <w:vAlign w:val="center"/>
          </w:tcPr>
          <w:p w14:paraId="0FD62682" w14:textId="07796E4B" w:rsidR="00B43AB5" w:rsidRDefault="00B43AB5" w:rsidP="00B43AB5">
            <w:pPr>
              <w:widowControl w:val="0"/>
              <w:spacing w:line="276" w:lineRule="auto"/>
              <w:jc w:val="center"/>
              <w:rPr>
                <w:bCs/>
              </w:rPr>
            </w:pPr>
            <w:r>
              <w:rPr>
                <w:bCs/>
              </w:rPr>
              <w:t>pRS3</w:t>
            </w:r>
            <w:r>
              <w:rPr>
                <w:bCs/>
              </w:rPr>
              <w:t>06</w:t>
            </w:r>
          </w:p>
        </w:tc>
        <w:tc>
          <w:tcPr>
            <w:tcW w:w="1559" w:type="dxa"/>
            <w:vAlign w:val="center"/>
          </w:tcPr>
          <w:p w14:paraId="25900AF1" w14:textId="76925146" w:rsidR="00B43AB5" w:rsidRDefault="00B43AB5" w:rsidP="00B43AB5">
            <w:pPr>
              <w:widowControl w:val="0"/>
              <w:spacing w:line="276" w:lineRule="auto"/>
              <w:jc w:val="center"/>
              <w:rPr>
                <w:bCs/>
              </w:rPr>
            </w:pPr>
            <w:proofErr w:type="spellStart"/>
            <w:r>
              <w:rPr>
                <w:bCs/>
              </w:rPr>
              <w:t>fl</w:t>
            </w:r>
            <w:proofErr w:type="spellEnd"/>
          </w:p>
        </w:tc>
        <w:tc>
          <w:tcPr>
            <w:tcW w:w="2018" w:type="dxa"/>
            <w:vAlign w:val="center"/>
          </w:tcPr>
          <w:p w14:paraId="22007E7E" w14:textId="6644F26C" w:rsidR="00B43AB5" w:rsidRDefault="00B43AB5" w:rsidP="00B43AB5">
            <w:pPr>
              <w:widowControl w:val="0"/>
              <w:spacing w:line="276" w:lineRule="auto"/>
              <w:jc w:val="center"/>
              <w:rPr>
                <w:bCs/>
              </w:rPr>
            </w:pPr>
            <w:r>
              <w:t>This study</w:t>
            </w:r>
          </w:p>
        </w:tc>
      </w:tr>
      <w:tr w:rsidR="00B43AB5" w14:paraId="46571F37" w14:textId="77777777" w:rsidTr="00B43AB5">
        <w:tc>
          <w:tcPr>
            <w:tcW w:w="675" w:type="dxa"/>
            <w:vAlign w:val="center"/>
          </w:tcPr>
          <w:p w14:paraId="3A6951A4" w14:textId="79AC849F" w:rsidR="00B43AB5" w:rsidRDefault="00B43AB5" w:rsidP="00B43AB5">
            <w:pPr>
              <w:widowControl w:val="0"/>
              <w:spacing w:line="276" w:lineRule="auto"/>
              <w:jc w:val="center"/>
              <w:rPr>
                <w:bCs/>
              </w:rPr>
            </w:pPr>
            <w:r>
              <w:t>#</w:t>
            </w:r>
            <w:r>
              <w:t>3</w:t>
            </w:r>
            <w:r>
              <w:t>9</w:t>
            </w:r>
          </w:p>
        </w:tc>
        <w:tc>
          <w:tcPr>
            <w:tcW w:w="3261" w:type="dxa"/>
            <w:vAlign w:val="center"/>
          </w:tcPr>
          <w:p w14:paraId="756DE1C2" w14:textId="24105FF0" w:rsidR="00B43AB5" w:rsidRDefault="00B43AB5" w:rsidP="00B43AB5">
            <w:pPr>
              <w:widowControl w:val="0"/>
              <w:spacing w:line="276" w:lineRule="auto"/>
              <w:jc w:val="center"/>
              <w:rPr>
                <w:bCs/>
              </w:rPr>
            </w:pPr>
            <w:r>
              <w:rPr>
                <w:bCs/>
              </w:rPr>
              <w:t>P</w:t>
            </w:r>
            <w:r>
              <w:rPr>
                <w:bCs/>
                <w:vertAlign w:val="subscript"/>
              </w:rPr>
              <w:t>MET</w:t>
            </w:r>
            <w:r>
              <w:rPr>
                <w:bCs/>
              </w:rPr>
              <w:t>-</w:t>
            </w:r>
            <w:r w:rsidR="00197805">
              <w:rPr>
                <w:bCs/>
              </w:rPr>
              <w:t>GFP-</w:t>
            </w:r>
            <w:r>
              <w:rPr>
                <w:bCs/>
              </w:rPr>
              <w:t>Cdc3(R360A)</w:t>
            </w:r>
          </w:p>
        </w:tc>
        <w:tc>
          <w:tcPr>
            <w:tcW w:w="1559" w:type="dxa"/>
            <w:vAlign w:val="center"/>
          </w:tcPr>
          <w:p w14:paraId="137ABFDF" w14:textId="64D9FDE9" w:rsidR="00B43AB5" w:rsidRDefault="00B43AB5" w:rsidP="00B43AB5">
            <w:pPr>
              <w:widowControl w:val="0"/>
              <w:spacing w:line="276" w:lineRule="auto"/>
              <w:jc w:val="center"/>
              <w:rPr>
                <w:bCs/>
              </w:rPr>
            </w:pPr>
            <w:r>
              <w:rPr>
                <w:bCs/>
              </w:rPr>
              <w:t>pRS3</w:t>
            </w:r>
            <w:r>
              <w:rPr>
                <w:bCs/>
              </w:rPr>
              <w:t>06</w:t>
            </w:r>
          </w:p>
        </w:tc>
        <w:tc>
          <w:tcPr>
            <w:tcW w:w="1559" w:type="dxa"/>
            <w:vAlign w:val="center"/>
          </w:tcPr>
          <w:p w14:paraId="671F932B" w14:textId="62E89946" w:rsidR="00B43AB5" w:rsidRDefault="00B43AB5" w:rsidP="00B43AB5">
            <w:pPr>
              <w:widowControl w:val="0"/>
              <w:spacing w:line="276" w:lineRule="auto"/>
              <w:jc w:val="center"/>
              <w:rPr>
                <w:bCs/>
              </w:rPr>
            </w:pPr>
            <w:proofErr w:type="spellStart"/>
            <w:r>
              <w:rPr>
                <w:bCs/>
              </w:rPr>
              <w:t>fl</w:t>
            </w:r>
            <w:proofErr w:type="spellEnd"/>
          </w:p>
        </w:tc>
        <w:tc>
          <w:tcPr>
            <w:tcW w:w="2018" w:type="dxa"/>
            <w:vAlign w:val="center"/>
          </w:tcPr>
          <w:p w14:paraId="415DCB90" w14:textId="104CFE8E" w:rsidR="00B43AB5" w:rsidRDefault="00B43AB5" w:rsidP="00B43AB5">
            <w:pPr>
              <w:widowControl w:val="0"/>
              <w:spacing w:line="276" w:lineRule="auto"/>
              <w:jc w:val="center"/>
              <w:rPr>
                <w:bCs/>
              </w:rPr>
            </w:pPr>
            <w:r>
              <w:t>This study</w:t>
            </w:r>
          </w:p>
        </w:tc>
      </w:tr>
      <w:tr w:rsidR="00B43AB5" w14:paraId="7B386431" w14:textId="77777777" w:rsidTr="00B43AB5">
        <w:tc>
          <w:tcPr>
            <w:tcW w:w="675" w:type="dxa"/>
            <w:vAlign w:val="center"/>
          </w:tcPr>
          <w:p w14:paraId="17555AE6" w14:textId="4D6247CB" w:rsidR="00B43AB5" w:rsidRDefault="00B43AB5" w:rsidP="00B43AB5">
            <w:pPr>
              <w:widowControl w:val="0"/>
              <w:spacing w:line="276" w:lineRule="auto"/>
              <w:jc w:val="center"/>
              <w:rPr>
                <w:bCs/>
              </w:rPr>
            </w:pPr>
            <w:r>
              <w:t>#</w:t>
            </w:r>
            <w:r>
              <w:t>4</w:t>
            </w:r>
            <w:r>
              <w:t>0</w:t>
            </w:r>
          </w:p>
        </w:tc>
        <w:tc>
          <w:tcPr>
            <w:tcW w:w="3261" w:type="dxa"/>
            <w:vAlign w:val="center"/>
          </w:tcPr>
          <w:p w14:paraId="408CDBD5" w14:textId="54801321" w:rsidR="00B43AB5" w:rsidRDefault="00B43AB5" w:rsidP="00B43AB5">
            <w:pPr>
              <w:widowControl w:val="0"/>
              <w:spacing w:line="276" w:lineRule="auto"/>
              <w:jc w:val="center"/>
              <w:rPr>
                <w:bCs/>
              </w:rPr>
            </w:pPr>
            <w:r>
              <w:rPr>
                <w:bCs/>
              </w:rPr>
              <w:t>P</w:t>
            </w:r>
            <w:r>
              <w:rPr>
                <w:bCs/>
                <w:vertAlign w:val="subscript"/>
              </w:rPr>
              <w:t>MET</w:t>
            </w:r>
            <w:r>
              <w:rPr>
                <w:bCs/>
              </w:rPr>
              <w:t>-Cdc12</w:t>
            </w:r>
            <w:r>
              <w:rPr>
                <w:bCs/>
              </w:rPr>
              <w:t>-GFP</w:t>
            </w:r>
          </w:p>
        </w:tc>
        <w:tc>
          <w:tcPr>
            <w:tcW w:w="1559" w:type="dxa"/>
            <w:vAlign w:val="center"/>
          </w:tcPr>
          <w:p w14:paraId="76DA4FA5" w14:textId="4BA9E06D" w:rsidR="00B43AB5" w:rsidRDefault="00B43AB5" w:rsidP="00B43AB5">
            <w:pPr>
              <w:widowControl w:val="0"/>
              <w:spacing w:line="276" w:lineRule="auto"/>
              <w:jc w:val="center"/>
              <w:rPr>
                <w:bCs/>
              </w:rPr>
            </w:pPr>
            <w:r>
              <w:rPr>
                <w:bCs/>
              </w:rPr>
              <w:t>pRS3</w:t>
            </w:r>
            <w:r>
              <w:rPr>
                <w:bCs/>
              </w:rPr>
              <w:t>06</w:t>
            </w:r>
          </w:p>
        </w:tc>
        <w:tc>
          <w:tcPr>
            <w:tcW w:w="1559" w:type="dxa"/>
            <w:vAlign w:val="center"/>
          </w:tcPr>
          <w:p w14:paraId="302E61E8" w14:textId="56A11BEF" w:rsidR="00B43AB5" w:rsidRDefault="00B43AB5" w:rsidP="00B43AB5">
            <w:pPr>
              <w:widowControl w:val="0"/>
              <w:spacing w:line="276" w:lineRule="auto"/>
              <w:jc w:val="center"/>
              <w:rPr>
                <w:bCs/>
              </w:rPr>
            </w:pPr>
            <w:proofErr w:type="spellStart"/>
            <w:r>
              <w:rPr>
                <w:bCs/>
              </w:rPr>
              <w:t>fl</w:t>
            </w:r>
            <w:proofErr w:type="spellEnd"/>
          </w:p>
        </w:tc>
        <w:tc>
          <w:tcPr>
            <w:tcW w:w="2018" w:type="dxa"/>
            <w:vAlign w:val="center"/>
          </w:tcPr>
          <w:p w14:paraId="7E6EC995" w14:textId="7DB98BF1" w:rsidR="00B43AB5" w:rsidRDefault="00B43AB5" w:rsidP="00B43AB5">
            <w:pPr>
              <w:widowControl w:val="0"/>
              <w:spacing w:line="276" w:lineRule="auto"/>
              <w:jc w:val="center"/>
              <w:rPr>
                <w:bCs/>
              </w:rPr>
            </w:pPr>
            <w:r>
              <w:t>This study</w:t>
            </w:r>
          </w:p>
        </w:tc>
      </w:tr>
      <w:tr w:rsidR="00B43AB5" w14:paraId="3C005318" w14:textId="77777777" w:rsidTr="00B43AB5">
        <w:tc>
          <w:tcPr>
            <w:tcW w:w="675" w:type="dxa"/>
            <w:vAlign w:val="center"/>
          </w:tcPr>
          <w:p w14:paraId="3D68B0CD" w14:textId="2EAE47AD" w:rsidR="00B43AB5" w:rsidRDefault="00B43AB5" w:rsidP="00B43AB5">
            <w:pPr>
              <w:widowControl w:val="0"/>
              <w:spacing w:line="276" w:lineRule="auto"/>
              <w:jc w:val="center"/>
              <w:rPr>
                <w:bCs/>
              </w:rPr>
            </w:pPr>
            <w:r>
              <w:t>#</w:t>
            </w:r>
            <w:r>
              <w:t>4</w:t>
            </w:r>
            <w:r>
              <w:t>1</w:t>
            </w:r>
          </w:p>
        </w:tc>
        <w:tc>
          <w:tcPr>
            <w:tcW w:w="3261" w:type="dxa"/>
            <w:vAlign w:val="center"/>
          </w:tcPr>
          <w:p w14:paraId="74536BD5" w14:textId="604C94F7" w:rsidR="00B43AB5" w:rsidRDefault="00B43AB5" w:rsidP="00B43AB5">
            <w:pPr>
              <w:widowControl w:val="0"/>
              <w:spacing w:line="276" w:lineRule="auto"/>
              <w:jc w:val="center"/>
              <w:rPr>
                <w:bCs/>
              </w:rPr>
            </w:pPr>
            <w:r>
              <w:rPr>
                <w:bCs/>
              </w:rPr>
              <w:t>P</w:t>
            </w:r>
            <w:r>
              <w:rPr>
                <w:bCs/>
                <w:vertAlign w:val="subscript"/>
              </w:rPr>
              <w:t>MET</w:t>
            </w:r>
            <w:r>
              <w:rPr>
                <w:bCs/>
              </w:rPr>
              <w:t>-Cdc12(R263A)</w:t>
            </w:r>
            <w:r>
              <w:rPr>
                <w:bCs/>
              </w:rPr>
              <w:t>-GFP</w:t>
            </w:r>
          </w:p>
        </w:tc>
        <w:tc>
          <w:tcPr>
            <w:tcW w:w="1559" w:type="dxa"/>
            <w:vAlign w:val="center"/>
          </w:tcPr>
          <w:p w14:paraId="3F5CAF88" w14:textId="0012BF0A" w:rsidR="00B43AB5" w:rsidRDefault="00B43AB5" w:rsidP="00B43AB5">
            <w:pPr>
              <w:widowControl w:val="0"/>
              <w:spacing w:line="276" w:lineRule="auto"/>
              <w:jc w:val="center"/>
              <w:rPr>
                <w:bCs/>
              </w:rPr>
            </w:pPr>
            <w:r>
              <w:rPr>
                <w:bCs/>
              </w:rPr>
              <w:t>pRS3</w:t>
            </w:r>
            <w:r>
              <w:rPr>
                <w:bCs/>
              </w:rPr>
              <w:t>06</w:t>
            </w:r>
          </w:p>
        </w:tc>
        <w:tc>
          <w:tcPr>
            <w:tcW w:w="1559" w:type="dxa"/>
            <w:vAlign w:val="center"/>
          </w:tcPr>
          <w:p w14:paraId="61C6D6A3" w14:textId="0CCE224E" w:rsidR="00B43AB5" w:rsidRDefault="00B43AB5" w:rsidP="00B43AB5">
            <w:pPr>
              <w:widowControl w:val="0"/>
              <w:spacing w:line="276" w:lineRule="auto"/>
              <w:jc w:val="center"/>
              <w:rPr>
                <w:bCs/>
              </w:rPr>
            </w:pPr>
            <w:proofErr w:type="spellStart"/>
            <w:r>
              <w:rPr>
                <w:bCs/>
              </w:rPr>
              <w:t>fl</w:t>
            </w:r>
            <w:proofErr w:type="spellEnd"/>
          </w:p>
        </w:tc>
        <w:tc>
          <w:tcPr>
            <w:tcW w:w="2018" w:type="dxa"/>
            <w:vAlign w:val="center"/>
          </w:tcPr>
          <w:p w14:paraId="24250A13" w14:textId="5B06D4F7" w:rsidR="00B43AB5" w:rsidRDefault="00B43AB5" w:rsidP="00B43AB5">
            <w:pPr>
              <w:widowControl w:val="0"/>
              <w:spacing w:line="276" w:lineRule="auto"/>
              <w:jc w:val="center"/>
              <w:rPr>
                <w:bCs/>
              </w:rPr>
            </w:pPr>
            <w:r>
              <w:t>This study</w:t>
            </w:r>
          </w:p>
        </w:tc>
      </w:tr>
      <w:tr w:rsidR="00B43AB5" w14:paraId="310A69A7" w14:textId="77777777" w:rsidTr="00B43AB5">
        <w:tc>
          <w:tcPr>
            <w:tcW w:w="675" w:type="dxa"/>
            <w:vAlign w:val="center"/>
          </w:tcPr>
          <w:p w14:paraId="76D08148" w14:textId="0149DC7D" w:rsidR="00B43AB5" w:rsidRDefault="00B43AB5" w:rsidP="00B43AB5">
            <w:pPr>
              <w:widowControl w:val="0"/>
              <w:spacing w:line="276" w:lineRule="auto"/>
              <w:jc w:val="center"/>
            </w:pPr>
            <w:r>
              <w:t>#</w:t>
            </w:r>
            <w:r>
              <w:t>4</w:t>
            </w:r>
            <w:r>
              <w:t>2</w:t>
            </w:r>
          </w:p>
        </w:tc>
        <w:tc>
          <w:tcPr>
            <w:tcW w:w="3261" w:type="dxa"/>
            <w:vAlign w:val="center"/>
          </w:tcPr>
          <w:p w14:paraId="37FCA8B5" w14:textId="059ABF38" w:rsidR="00B43AB5" w:rsidRDefault="00B43AB5" w:rsidP="00B43AB5">
            <w:pPr>
              <w:widowControl w:val="0"/>
              <w:spacing w:line="276" w:lineRule="auto"/>
              <w:jc w:val="center"/>
              <w:rPr>
                <w:bCs/>
              </w:rPr>
            </w:pPr>
            <w:r>
              <w:rPr>
                <w:bCs/>
              </w:rPr>
              <w:t>P</w:t>
            </w:r>
            <w:r>
              <w:rPr>
                <w:bCs/>
                <w:vertAlign w:val="subscript"/>
              </w:rPr>
              <w:t>MET</w:t>
            </w:r>
            <w:r>
              <w:rPr>
                <w:bCs/>
              </w:rPr>
              <w:t>-Cdc11</w:t>
            </w:r>
            <w:r>
              <w:rPr>
                <w:bCs/>
              </w:rPr>
              <w:t>-GFP</w:t>
            </w:r>
          </w:p>
        </w:tc>
        <w:tc>
          <w:tcPr>
            <w:tcW w:w="1559" w:type="dxa"/>
            <w:vAlign w:val="center"/>
          </w:tcPr>
          <w:p w14:paraId="72E103D7" w14:textId="4D12E0D2" w:rsidR="00B43AB5" w:rsidRDefault="00B43AB5" w:rsidP="00B43AB5">
            <w:pPr>
              <w:widowControl w:val="0"/>
              <w:spacing w:line="276" w:lineRule="auto"/>
              <w:jc w:val="center"/>
              <w:rPr>
                <w:bCs/>
              </w:rPr>
            </w:pPr>
            <w:r>
              <w:rPr>
                <w:bCs/>
              </w:rPr>
              <w:t>pRS3</w:t>
            </w:r>
            <w:r>
              <w:rPr>
                <w:bCs/>
              </w:rPr>
              <w:t>06</w:t>
            </w:r>
          </w:p>
        </w:tc>
        <w:tc>
          <w:tcPr>
            <w:tcW w:w="1559" w:type="dxa"/>
            <w:vAlign w:val="center"/>
          </w:tcPr>
          <w:p w14:paraId="3D5D3203" w14:textId="25B97A92" w:rsidR="00B43AB5" w:rsidRDefault="00B43AB5" w:rsidP="00B43AB5">
            <w:pPr>
              <w:widowControl w:val="0"/>
              <w:spacing w:line="276" w:lineRule="auto"/>
              <w:jc w:val="center"/>
              <w:rPr>
                <w:bCs/>
              </w:rPr>
            </w:pPr>
            <w:proofErr w:type="spellStart"/>
            <w:r>
              <w:rPr>
                <w:bCs/>
              </w:rPr>
              <w:t>fl</w:t>
            </w:r>
            <w:proofErr w:type="spellEnd"/>
          </w:p>
        </w:tc>
        <w:tc>
          <w:tcPr>
            <w:tcW w:w="2018" w:type="dxa"/>
            <w:vAlign w:val="center"/>
          </w:tcPr>
          <w:p w14:paraId="3B546DF0" w14:textId="579FF2F4" w:rsidR="00B43AB5" w:rsidRDefault="00B43AB5" w:rsidP="00B43AB5">
            <w:pPr>
              <w:widowControl w:val="0"/>
              <w:spacing w:line="276" w:lineRule="auto"/>
              <w:jc w:val="center"/>
            </w:pPr>
            <w:r>
              <w:t>This study</w:t>
            </w:r>
          </w:p>
        </w:tc>
      </w:tr>
      <w:tr w:rsidR="00B43AB5" w14:paraId="0F0554FD" w14:textId="77777777" w:rsidTr="00B43AB5">
        <w:tc>
          <w:tcPr>
            <w:tcW w:w="675" w:type="dxa"/>
            <w:vAlign w:val="center"/>
          </w:tcPr>
          <w:p w14:paraId="67C464C6" w14:textId="4D381512" w:rsidR="00B43AB5" w:rsidRDefault="00B43AB5" w:rsidP="00B43AB5">
            <w:pPr>
              <w:widowControl w:val="0"/>
              <w:spacing w:line="276" w:lineRule="auto"/>
              <w:jc w:val="center"/>
            </w:pPr>
            <w:r>
              <w:t>#</w:t>
            </w:r>
            <w:r>
              <w:t>4</w:t>
            </w:r>
            <w:r>
              <w:t>3</w:t>
            </w:r>
          </w:p>
        </w:tc>
        <w:tc>
          <w:tcPr>
            <w:tcW w:w="3261" w:type="dxa"/>
            <w:vAlign w:val="center"/>
          </w:tcPr>
          <w:p w14:paraId="745AF377" w14:textId="15D42B2E" w:rsidR="00B43AB5" w:rsidRDefault="00B43AB5" w:rsidP="00B43AB5">
            <w:pPr>
              <w:widowControl w:val="0"/>
              <w:spacing w:line="276" w:lineRule="auto"/>
              <w:jc w:val="center"/>
              <w:rPr>
                <w:bCs/>
              </w:rPr>
            </w:pPr>
            <w:r>
              <w:rPr>
                <w:bCs/>
              </w:rPr>
              <w:t>P</w:t>
            </w:r>
            <w:r>
              <w:rPr>
                <w:bCs/>
                <w:vertAlign w:val="subscript"/>
              </w:rPr>
              <w:t>MET</w:t>
            </w:r>
            <w:r>
              <w:rPr>
                <w:bCs/>
              </w:rPr>
              <w:t>-Cdc11(R247A)</w:t>
            </w:r>
            <w:r>
              <w:rPr>
                <w:bCs/>
              </w:rPr>
              <w:t>-GFP</w:t>
            </w:r>
          </w:p>
        </w:tc>
        <w:tc>
          <w:tcPr>
            <w:tcW w:w="1559" w:type="dxa"/>
            <w:vAlign w:val="center"/>
          </w:tcPr>
          <w:p w14:paraId="603B1FE1" w14:textId="6DF1A86B" w:rsidR="00B43AB5" w:rsidRDefault="00B43AB5" w:rsidP="00B43AB5">
            <w:pPr>
              <w:widowControl w:val="0"/>
              <w:spacing w:line="276" w:lineRule="auto"/>
              <w:jc w:val="center"/>
              <w:rPr>
                <w:bCs/>
              </w:rPr>
            </w:pPr>
            <w:r>
              <w:rPr>
                <w:bCs/>
              </w:rPr>
              <w:t>pRS3</w:t>
            </w:r>
            <w:r>
              <w:rPr>
                <w:bCs/>
              </w:rPr>
              <w:t>06</w:t>
            </w:r>
          </w:p>
        </w:tc>
        <w:tc>
          <w:tcPr>
            <w:tcW w:w="1559" w:type="dxa"/>
            <w:vAlign w:val="center"/>
          </w:tcPr>
          <w:p w14:paraId="5742DA1F" w14:textId="72F59620" w:rsidR="00B43AB5" w:rsidRDefault="00B43AB5" w:rsidP="00B43AB5">
            <w:pPr>
              <w:widowControl w:val="0"/>
              <w:spacing w:line="276" w:lineRule="auto"/>
              <w:jc w:val="center"/>
              <w:rPr>
                <w:bCs/>
              </w:rPr>
            </w:pPr>
            <w:proofErr w:type="spellStart"/>
            <w:r>
              <w:rPr>
                <w:bCs/>
              </w:rPr>
              <w:t>fl</w:t>
            </w:r>
            <w:proofErr w:type="spellEnd"/>
          </w:p>
        </w:tc>
        <w:tc>
          <w:tcPr>
            <w:tcW w:w="2018" w:type="dxa"/>
            <w:vAlign w:val="center"/>
          </w:tcPr>
          <w:p w14:paraId="3AB6B9DE" w14:textId="528D45DB" w:rsidR="00B43AB5" w:rsidRDefault="00B43AB5" w:rsidP="00B43AB5">
            <w:pPr>
              <w:widowControl w:val="0"/>
              <w:spacing w:line="276" w:lineRule="auto"/>
              <w:jc w:val="center"/>
            </w:pPr>
            <w:r>
              <w:t>This study</w:t>
            </w:r>
          </w:p>
        </w:tc>
      </w:tr>
      <w:tr w:rsidR="00B43AB5" w14:paraId="7B260F7B" w14:textId="77777777" w:rsidTr="00B43AB5">
        <w:tc>
          <w:tcPr>
            <w:tcW w:w="675" w:type="dxa"/>
            <w:vAlign w:val="center"/>
          </w:tcPr>
          <w:p w14:paraId="68403B93" w14:textId="723F41F1" w:rsidR="00B43AB5" w:rsidRDefault="00B43AB5" w:rsidP="00B43AB5">
            <w:pPr>
              <w:widowControl w:val="0"/>
              <w:spacing w:line="276" w:lineRule="auto"/>
              <w:jc w:val="center"/>
            </w:pPr>
            <w:r>
              <w:lastRenderedPageBreak/>
              <w:t>#</w:t>
            </w:r>
            <w:r>
              <w:t>4</w:t>
            </w:r>
            <w:r>
              <w:t>4</w:t>
            </w:r>
          </w:p>
        </w:tc>
        <w:tc>
          <w:tcPr>
            <w:tcW w:w="3261" w:type="dxa"/>
            <w:vAlign w:val="center"/>
          </w:tcPr>
          <w:p w14:paraId="033A5B2F" w14:textId="68DCB73E" w:rsidR="00B43AB5" w:rsidRDefault="00B43AB5" w:rsidP="00B43AB5">
            <w:pPr>
              <w:widowControl w:val="0"/>
              <w:spacing w:line="276" w:lineRule="auto"/>
              <w:jc w:val="center"/>
              <w:rPr>
                <w:bCs/>
              </w:rPr>
            </w:pPr>
            <w:r>
              <w:rPr>
                <w:bCs/>
              </w:rPr>
              <w:t>P</w:t>
            </w:r>
            <w:r>
              <w:rPr>
                <w:bCs/>
                <w:vertAlign w:val="subscript"/>
              </w:rPr>
              <w:t>MET</w:t>
            </w:r>
            <w:r>
              <w:rPr>
                <w:bCs/>
              </w:rPr>
              <w:t>-Shs1</w:t>
            </w:r>
            <w:r>
              <w:rPr>
                <w:bCs/>
              </w:rPr>
              <w:t>-GFP</w:t>
            </w:r>
          </w:p>
        </w:tc>
        <w:tc>
          <w:tcPr>
            <w:tcW w:w="1559" w:type="dxa"/>
            <w:vAlign w:val="center"/>
          </w:tcPr>
          <w:p w14:paraId="70C8D950" w14:textId="4C4FC2E1" w:rsidR="00B43AB5" w:rsidRDefault="00B43AB5" w:rsidP="00B43AB5">
            <w:pPr>
              <w:widowControl w:val="0"/>
              <w:spacing w:line="276" w:lineRule="auto"/>
              <w:jc w:val="center"/>
              <w:rPr>
                <w:bCs/>
              </w:rPr>
            </w:pPr>
            <w:r>
              <w:rPr>
                <w:bCs/>
              </w:rPr>
              <w:t>pRS3</w:t>
            </w:r>
            <w:r>
              <w:rPr>
                <w:bCs/>
              </w:rPr>
              <w:t>06</w:t>
            </w:r>
          </w:p>
        </w:tc>
        <w:tc>
          <w:tcPr>
            <w:tcW w:w="1559" w:type="dxa"/>
            <w:vAlign w:val="center"/>
          </w:tcPr>
          <w:p w14:paraId="6445B797" w14:textId="36E01FF0" w:rsidR="00B43AB5" w:rsidRDefault="00B43AB5" w:rsidP="00B43AB5">
            <w:pPr>
              <w:widowControl w:val="0"/>
              <w:spacing w:line="276" w:lineRule="auto"/>
              <w:jc w:val="center"/>
              <w:rPr>
                <w:bCs/>
              </w:rPr>
            </w:pPr>
            <w:proofErr w:type="spellStart"/>
            <w:r>
              <w:rPr>
                <w:bCs/>
              </w:rPr>
              <w:t>fl</w:t>
            </w:r>
            <w:proofErr w:type="spellEnd"/>
          </w:p>
        </w:tc>
        <w:tc>
          <w:tcPr>
            <w:tcW w:w="2018" w:type="dxa"/>
            <w:vAlign w:val="center"/>
          </w:tcPr>
          <w:p w14:paraId="61A1116B" w14:textId="4F361A05" w:rsidR="00B43AB5" w:rsidRDefault="00B43AB5" w:rsidP="00B43AB5">
            <w:pPr>
              <w:widowControl w:val="0"/>
              <w:spacing w:line="276" w:lineRule="auto"/>
              <w:jc w:val="center"/>
            </w:pPr>
            <w:r>
              <w:t>This study</w:t>
            </w:r>
          </w:p>
        </w:tc>
      </w:tr>
      <w:tr w:rsidR="00B43AB5" w14:paraId="58F9A5A3" w14:textId="77777777" w:rsidTr="00B43AB5">
        <w:tc>
          <w:tcPr>
            <w:tcW w:w="675" w:type="dxa"/>
            <w:vAlign w:val="center"/>
          </w:tcPr>
          <w:p w14:paraId="4A829928" w14:textId="2897F6A9" w:rsidR="00B43AB5" w:rsidRDefault="00B43AB5" w:rsidP="00B43AB5">
            <w:pPr>
              <w:widowControl w:val="0"/>
              <w:spacing w:line="276" w:lineRule="auto"/>
              <w:jc w:val="center"/>
            </w:pPr>
            <w:r>
              <w:t>#</w:t>
            </w:r>
            <w:r>
              <w:t>4</w:t>
            </w:r>
            <w:r>
              <w:t>5</w:t>
            </w:r>
          </w:p>
        </w:tc>
        <w:tc>
          <w:tcPr>
            <w:tcW w:w="3261" w:type="dxa"/>
            <w:vAlign w:val="center"/>
          </w:tcPr>
          <w:p w14:paraId="0F3A6EDF" w14:textId="3C8D2F6C" w:rsidR="00B43AB5" w:rsidRDefault="00B43AB5" w:rsidP="00B43AB5">
            <w:pPr>
              <w:widowControl w:val="0"/>
              <w:spacing w:line="276" w:lineRule="auto"/>
              <w:jc w:val="center"/>
              <w:rPr>
                <w:bCs/>
              </w:rPr>
            </w:pPr>
            <w:r>
              <w:rPr>
                <w:bCs/>
              </w:rPr>
              <w:t>P</w:t>
            </w:r>
            <w:r>
              <w:rPr>
                <w:bCs/>
                <w:vertAlign w:val="subscript"/>
              </w:rPr>
              <w:t>MET</w:t>
            </w:r>
            <w:r>
              <w:rPr>
                <w:bCs/>
              </w:rPr>
              <w:t>-Shs1(R288A)</w:t>
            </w:r>
            <w:r>
              <w:rPr>
                <w:bCs/>
              </w:rPr>
              <w:t>-GFP</w:t>
            </w:r>
          </w:p>
        </w:tc>
        <w:tc>
          <w:tcPr>
            <w:tcW w:w="1559" w:type="dxa"/>
            <w:vAlign w:val="center"/>
          </w:tcPr>
          <w:p w14:paraId="4FBC2499" w14:textId="27F9AAA8" w:rsidR="00B43AB5" w:rsidRDefault="00B43AB5" w:rsidP="00B43AB5">
            <w:pPr>
              <w:widowControl w:val="0"/>
              <w:spacing w:line="276" w:lineRule="auto"/>
              <w:jc w:val="center"/>
              <w:rPr>
                <w:bCs/>
              </w:rPr>
            </w:pPr>
            <w:r>
              <w:rPr>
                <w:bCs/>
              </w:rPr>
              <w:t>pRS3</w:t>
            </w:r>
            <w:r>
              <w:rPr>
                <w:bCs/>
              </w:rPr>
              <w:t>06</w:t>
            </w:r>
          </w:p>
        </w:tc>
        <w:tc>
          <w:tcPr>
            <w:tcW w:w="1559" w:type="dxa"/>
            <w:vAlign w:val="center"/>
          </w:tcPr>
          <w:p w14:paraId="7FD4D546" w14:textId="3C5D8900" w:rsidR="00B43AB5" w:rsidRDefault="00B43AB5" w:rsidP="00B43AB5">
            <w:pPr>
              <w:widowControl w:val="0"/>
              <w:spacing w:line="276" w:lineRule="auto"/>
              <w:jc w:val="center"/>
              <w:rPr>
                <w:bCs/>
              </w:rPr>
            </w:pPr>
            <w:proofErr w:type="spellStart"/>
            <w:r>
              <w:rPr>
                <w:bCs/>
              </w:rPr>
              <w:t>fl</w:t>
            </w:r>
            <w:proofErr w:type="spellEnd"/>
          </w:p>
        </w:tc>
        <w:tc>
          <w:tcPr>
            <w:tcW w:w="2018" w:type="dxa"/>
            <w:vAlign w:val="center"/>
          </w:tcPr>
          <w:p w14:paraId="2306DA83" w14:textId="6B5D8776" w:rsidR="00B43AB5" w:rsidRDefault="00B43AB5" w:rsidP="00B43AB5">
            <w:pPr>
              <w:widowControl w:val="0"/>
              <w:spacing w:line="276" w:lineRule="auto"/>
              <w:jc w:val="center"/>
            </w:pPr>
            <w:r>
              <w:t>This study</w:t>
            </w:r>
          </w:p>
        </w:tc>
      </w:tr>
    </w:tbl>
    <w:p w14:paraId="391AF64D" w14:textId="77777777" w:rsidR="00B43AB5" w:rsidRDefault="00B43AB5">
      <w:pPr>
        <w:rPr>
          <w:i/>
        </w:rPr>
      </w:pPr>
    </w:p>
    <w:p w14:paraId="59F05552" w14:textId="77777777" w:rsidR="00B43AB5" w:rsidRDefault="00B43AB5">
      <w:pPr>
        <w:rPr>
          <w:i/>
        </w:rPr>
      </w:pPr>
    </w:p>
    <w:p w14:paraId="49D55F90" w14:textId="77777777" w:rsidR="00B43AB5" w:rsidRDefault="00B43AB5">
      <w:pPr>
        <w:rPr>
          <w:i/>
        </w:rPr>
      </w:pPr>
    </w:p>
    <w:p w14:paraId="3C6E6EED" w14:textId="67D3F7C6" w:rsidR="000C600A" w:rsidRDefault="00000000">
      <w:pPr>
        <w:rPr>
          <w:i/>
        </w:rPr>
      </w:pPr>
      <w:r>
        <w:rPr>
          <w:i/>
        </w:rPr>
        <w:t>Protein expression and purification</w:t>
      </w:r>
    </w:p>
    <w:p w14:paraId="73A24D91" w14:textId="77777777" w:rsidR="000C600A" w:rsidRDefault="000C600A">
      <w:pPr>
        <w:rPr>
          <w:b/>
        </w:rPr>
      </w:pPr>
    </w:p>
    <w:p w14:paraId="34869ADA" w14:textId="77777777" w:rsidR="000C600A" w:rsidRDefault="00000000">
      <w:pPr>
        <w:spacing w:line="360" w:lineRule="auto"/>
        <w:jc w:val="both"/>
      </w:pPr>
      <w:r>
        <w:t xml:space="preserve">The following human </w:t>
      </w:r>
      <w:proofErr w:type="spellStart"/>
      <w:r>
        <w:t>septin</w:t>
      </w:r>
      <w:proofErr w:type="spellEnd"/>
      <w:r>
        <w:t xml:space="preserve"> dimers, truncated to their G-domains, were employed for co-expression, with the respective compatible plasmids in the same cell: His</w:t>
      </w:r>
      <w:r>
        <w:rPr>
          <w:vertAlign w:val="subscript"/>
        </w:rPr>
        <w:t>6</w:t>
      </w:r>
      <w:r>
        <w:t>-SEPT9G (#6) + MBP-SEPT7G (#8), His</w:t>
      </w:r>
      <w:r>
        <w:rPr>
          <w:vertAlign w:val="subscript"/>
        </w:rPr>
        <w:t>6</w:t>
      </w:r>
      <w:r>
        <w:t>-SEPT9G(R516A) (#7) + MBP-SEPT7G (#8), His</w:t>
      </w:r>
      <w:r>
        <w:rPr>
          <w:vertAlign w:val="subscript"/>
        </w:rPr>
        <w:t>6</w:t>
      </w:r>
      <w:r>
        <w:t>-SEPT9G (#6) + MBP-SEPT7G(R265A) (#9), His</w:t>
      </w:r>
      <w:r>
        <w:rPr>
          <w:vertAlign w:val="subscript"/>
        </w:rPr>
        <w:t>6</w:t>
      </w:r>
      <w:r>
        <w:t>-SEPT7G (#10, SEPT7 homodimer), His</w:t>
      </w:r>
      <w:r>
        <w:rPr>
          <w:vertAlign w:val="subscript"/>
        </w:rPr>
        <w:t>6</w:t>
      </w:r>
      <w:r>
        <w:t xml:space="preserve">-SEPT7G (R265A) (#11). </w:t>
      </w:r>
    </w:p>
    <w:p w14:paraId="2AEF7BAE" w14:textId="77777777" w:rsidR="000C600A" w:rsidRDefault="00000000">
      <w:pPr>
        <w:spacing w:line="360" w:lineRule="auto"/>
        <w:jc w:val="both"/>
      </w:pPr>
      <w:r>
        <w:t xml:space="preserve">The respective </w:t>
      </w:r>
      <w:proofErr w:type="spellStart"/>
      <w:r>
        <w:t>septin</w:t>
      </w:r>
      <w:proofErr w:type="spellEnd"/>
      <w:r>
        <w:t xml:space="preserve"> G-domain hetero- and homodimers were expressed in E. coli BL21DE3 LOBSTR in super broth medium at 18°C for approx. 20 h after induction with 1 mM IPTG. </w:t>
      </w:r>
    </w:p>
    <w:p w14:paraId="40689DEC" w14:textId="77777777" w:rsidR="000C600A" w:rsidRDefault="00000000">
      <w:pPr>
        <w:spacing w:line="360" w:lineRule="auto"/>
        <w:jc w:val="both"/>
      </w:pPr>
      <w:r>
        <w:t>Cells were resuspended in IMAC A buffer (25 mM Tris pH8.0, 300 mM NaCl, 5 mM MgCl</w:t>
      </w:r>
      <w:r>
        <w:rPr>
          <w:vertAlign w:val="subscript"/>
        </w:rPr>
        <w:t>2</w:t>
      </w:r>
      <w:r>
        <w:t xml:space="preserve">, 15 % (v/v) glycerol), supplemented with 0.1% Tween20 and e-complete protease inhibitor cocktail (Roche), and lysed by lysozyme treatment and sonication.  The resulting extract was submitted onto a 5 ml </w:t>
      </w:r>
      <w:proofErr w:type="spellStart"/>
      <w:r>
        <w:t>HisTrap</w:t>
      </w:r>
      <w:proofErr w:type="spellEnd"/>
      <w:r>
        <w:t xml:space="preserve"> Excel column (</w:t>
      </w:r>
      <w:proofErr w:type="spellStart"/>
      <w:r>
        <w:t>Cytiva</w:t>
      </w:r>
      <w:proofErr w:type="spellEnd"/>
      <w:r>
        <w:t>) which was subsequently washed with 3 % IMAC buffer B (25 mM Tris pH8.0, 300 mM NaCl, 200 mM imidazole, 5 mM MgCl</w:t>
      </w:r>
      <w:r>
        <w:rPr>
          <w:vertAlign w:val="subscript"/>
        </w:rPr>
        <w:t>2</w:t>
      </w:r>
      <w:r>
        <w:t>, 15 % (v/v) glycerol) until a stable A</w:t>
      </w:r>
      <w:r>
        <w:rPr>
          <w:vertAlign w:val="subscript"/>
        </w:rPr>
        <w:t>280</w:t>
      </w:r>
      <w:r>
        <w:t xml:space="preserve"> baseline was obtained. The His</w:t>
      </w:r>
      <w:r>
        <w:rPr>
          <w:vertAlign w:val="subscript"/>
        </w:rPr>
        <w:t>6</w:t>
      </w:r>
      <w:r>
        <w:t xml:space="preserve">-tagged protein complexes were then eluted with 100 % IMAC buffer B. </w:t>
      </w:r>
    </w:p>
    <w:p w14:paraId="087F4D2A" w14:textId="77777777" w:rsidR="000C600A" w:rsidRDefault="00000000">
      <w:pPr>
        <w:spacing w:line="360" w:lineRule="auto"/>
        <w:jc w:val="both"/>
      </w:pPr>
      <w:r>
        <w:t>The product peak was pooled and directly submitted to analytical size exclusion chromatography on a Superose6 column (</w:t>
      </w:r>
      <w:proofErr w:type="spellStart"/>
      <w:r>
        <w:t>Cytiva</w:t>
      </w:r>
      <w:proofErr w:type="spellEnd"/>
      <w:r>
        <w:t>) with 25 mM Tris pH8.0, 300 mM NaCl, 5 mM MgCl</w:t>
      </w:r>
      <w:r>
        <w:rPr>
          <w:vertAlign w:val="subscript"/>
        </w:rPr>
        <w:t>2</w:t>
      </w:r>
      <w:r>
        <w:t xml:space="preserve"> as mobile phase. The dimerization state of the eluting proteins was judged according to a gel filtration calibration standard (</w:t>
      </w:r>
      <w:proofErr w:type="spellStart"/>
      <w:r>
        <w:t>BioRad</w:t>
      </w:r>
      <w:proofErr w:type="spellEnd"/>
      <w:r>
        <w:t xml:space="preserve">).   </w:t>
      </w:r>
    </w:p>
    <w:p w14:paraId="16C0035A" w14:textId="77777777" w:rsidR="000C600A" w:rsidRDefault="00000000">
      <w:pPr>
        <w:spacing w:line="360" w:lineRule="auto"/>
      </w:pPr>
      <w:proofErr w:type="spellStart"/>
      <w:r>
        <w:t>Septin</w:t>
      </w:r>
      <w:proofErr w:type="spellEnd"/>
      <w:r>
        <w:t xml:space="preserve"> monomers for pulldown were expressed as described above. </w:t>
      </w:r>
    </w:p>
    <w:p w14:paraId="5F4D44EC" w14:textId="77777777" w:rsidR="000C600A" w:rsidRDefault="00000000">
      <w:pPr>
        <w:spacing w:line="360" w:lineRule="auto"/>
        <w:jc w:val="both"/>
      </w:pPr>
      <w:r>
        <w:t>#6, #7, #10, #11, #12, #13, #18, #19 and #20 expressing cells were resuspended in IMAC mono-A buffer (50 mM Tris pH8.0, 500 mM NaCl, 5 mM MgCl</w:t>
      </w:r>
      <w:r>
        <w:rPr>
          <w:vertAlign w:val="subscript"/>
        </w:rPr>
        <w:t>2</w:t>
      </w:r>
      <w:r>
        <w:t xml:space="preserve">), supplemented with 0.1% Tween20 and e-complete protease inhibitor cocktail (Roche), and lysed by lysozyme treatment and sonication.  The resulting extract was submitted onto a 5 ml </w:t>
      </w:r>
      <w:proofErr w:type="spellStart"/>
      <w:r>
        <w:t>HisTrap</w:t>
      </w:r>
      <w:proofErr w:type="spellEnd"/>
      <w:r>
        <w:t xml:space="preserve"> Excel column (</w:t>
      </w:r>
      <w:proofErr w:type="spellStart"/>
      <w:r>
        <w:t>Cytiva</w:t>
      </w:r>
      <w:proofErr w:type="spellEnd"/>
      <w:r>
        <w:t>) which was subsequently washed with IMAC mono-A including 3 % IMAC buffer mono-B (50 mM Tris pH8.0, 500 mM NaCl, 200 mM imidazole, 5 mM MgCl</w:t>
      </w:r>
      <w:r>
        <w:rPr>
          <w:vertAlign w:val="subscript"/>
        </w:rPr>
        <w:t>2</w:t>
      </w:r>
      <w:r>
        <w:t>) until a stable A</w:t>
      </w:r>
      <w:r>
        <w:rPr>
          <w:vertAlign w:val="subscript"/>
        </w:rPr>
        <w:t>280</w:t>
      </w:r>
      <w:r>
        <w:t xml:space="preserve"> baseline was obtained. The proteins were eluted with 100 % IMAC mono-B. For all SEPT7 constructs (#10, #11, #12, #13), IMAC mono-B was supplemented with 1M MgCl</w:t>
      </w:r>
      <w:r>
        <w:rPr>
          <w:vertAlign w:val="subscript"/>
        </w:rPr>
        <w:t>2</w:t>
      </w:r>
      <w:r>
        <w:t xml:space="preserve"> to interrupt dimer formation. </w:t>
      </w:r>
    </w:p>
    <w:p w14:paraId="3259F88A" w14:textId="77777777" w:rsidR="000C600A" w:rsidRDefault="00000000">
      <w:pPr>
        <w:spacing w:line="360" w:lineRule="auto"/>
        <w:jc w:val="both"/>
      </w:pPr>
      <w:r>
        <w:lastRenderedPageBreak/>
        <w:t xml:space="preserve">Eluates of #12 and #13 tended to precipitate under these conditions and were centrifuged for 5 min at 16.000 </w:t>
      </w:r>
      <w:proofErr w:type="spellStart"/>
      <w:r>
        <w:t>xg</w:t>
      </w:r>
      <w:proofErr w:type="spellEnd"/>
      <w:r>
        <w:t xml:space="preserve"> immediately before SEC. </w:t>
      </w:r>
    </w:p>
    <w:p w14:paraId="40A081B3" w14:textId="77777777" w:rsidR="000C600A" w:rsidRDefault="00000000">
      <w:pPr>
        <w:spacing w:line="360" w:lineRule="auto"/>
        <w:jc w:val="both"/>
      </w:pPr>
      <w:r>
        <w:t>Cells expressing His</w:t>
      </w:r>
      <w:r>
        <w:rPr>
          <w:vertAlign w:val="subscript"/>
        </w:rPr>
        <w:t>6</w:t>
      </w:r>
      <w:r>
        <w:t>-MBP-Cdc10 (#14 or #15) and His</w:t>
      </w:r>
      <w:r>
        <w:rPr>
          <w:vertAlign w:val="subscript"/>
        </w:rPr>
        <w:t>6</w:t>
      </w:r>
      <w:r>
        <w:t xml:space="preserve">-MBP-Cdc12 (#16 or #17) were lysed in IMAC buffer </w:t>
      </w:r>
      <w:proofErr w:type="spellStart"/>
      <w:r>
        <w:t>lowsol</w:t>
      </w:r>
      <w:proofErr w:type="spellEnd"/>
      <w:r>
        <w:t>-A (50 mM Tris-HCl pH 8.0, 500 mM NaCl, 5 mM MgCl</w:t>
      </w:r>
      <w:r>
        <w:rPr>
          <w:vertAlign w:val="subscript"/>
        </w:rPr>
        <w:t>2</w:t>
      </w:r>
      <w:r>
        <w:t xml:space="preserve">, 50 mM L-Arg, 50 mM L-Glu, 15% Glycerol, 0.1% Tween20) supplemented with e-complete protease inhibitor cocktail (Roche) and lysed by lysozyme treatment and sonication. The resulting extract was submitted onto a 5 ml </w:t>
      </w:r>
      <w:proofErr w:type="spellStart"/>
      <w:r>
        <w:t>HisTrap</w:t>
      </w:r>
      <w:proofErr w:type="spellEnd"/>
      <w:r>
        <w:t xml:space="preserve"> Excel column (</w:t>
      </w:r>
      <w:proofErr w:type="spellStart"/>
      <w:r>
        <w:t>Cytiva</w:t>
      </w:r>
      <w:proofErr w:type="spellEnd"/>
      <w:r>
        <w:t xml:space="preserve">) which was subsequently washed with IMAC </w:t>
      </w:r>
      <w:proofErr w:type="spellStart"/>
      <w:r>
        <w:t>lowsol</w:t>
      </w:r>
      <w:proofErr w:type="spellEnd"/>
      <w:r>
        <w:t xml:space="preserve">-A including 3 % IMAC </w:t>
      </w:r>
      <w:proofErr w:type="spellStart"/>
      <w:r>
        <w:t>lowsol</w:t>
      </w:r>
      <w:proofErr w:type="spellEnd"/>
      <w:r>
        <w:t>-B (50 mM Tris-HCl pH 8.0, 500 mM NaCl, 5 mM MgCl</w:t>
      </w:r>
      <w:r>
        <w:rPr>
          <w:vertAlign w:val="subscript"/>
        </w:rPr>
        <w:t>2</w:t>
      </w:r>
      <w:r>
        <w:t>, 50 mM L-Arg, 50 mM L-Glu, 15% Glycerol, 200 mM imidazole 0.1% Tween20) until a stable A</w:t>
      </w:r>
      <w:r>
        <w:rPr>
          <w:vertAlign w:val="subscript"/>
        </w:rPr>
        <w:t>280</w:t>
      </w:r>
      <w:r>
        <w:t xml:space="preserve"> baseline was obtained. The proteins were then eluted with 100 % IMAC </w:t>
      </w:r>
      <w:proofErr w:type="spellStart"/>
      <w:r>
        <w:t>lowsol</w:t>
      </w:r>
      <w:proofErr w:type="spellEnd"/>
      <w:r>
        <w:t xml:space="preserve">-B.  </w:t>
      </w:r>
    </w:p>
    <w:p w14:paraId="689C9960" w14:textId="77777777" w:rsidR="000C600A" w:rsidRDefault="00000000">
      <w:pPr>
        <w:spacing w:line="360" w:lineRule="auto"/>
        <w:jc w:val="both"/>
      </w:pPr>
      <w:r>
        <w:t xml:space="preserve">The product peaks of all </w:t>
      </w:r>
      <w:proofErr w:type="spellStart"/>
      <w:r>
        <w:t>septin</w:t>
      </w:r>
      <w:proofErr w:type="spellEnd"/>
      <w:r>
        <w:t xml:space="preserve"> monomers were pooled and subjected to preparative SEC on a Superdex200 column (</w:t>
      </w:r>
      <w:proofErr w:type="spellStart"/>
      <w:r>
        <w:t>Cytiva</w:t>
      </w:r>
      <w:proofErr w:type="spellEnd"/>
      <w:r>
        <w:t xml:space="preserve">) with 25 mM Tris pH8.0, 300 mM NaCl as mobile phase. </w:t>
      </w:r>
    </w:p>
    <w:p w14:paraId="5AB4E08C" w14:textId="77777777" w:rsidR="000C600A" w:rsidRDefault="00000000">
      <w:pPr>
        <w:spacing w:line="360" w:lineRule="auto"/>
        <w:jc w:val="both"/>
      </w:pPr>
      <w:r>
        <w:t xml:space="preserve">All purified proteins were assayed by SDS-PAGE on a 4-12% </w:t>
      </w:r>
      <w:proofErr w:type="spellStart"/>
      <w:r>
        <w:t>BisTris</w:t>
      </w:r>
      <w:proofErr w:type="spellEnd"/>
      <w:r>
        <w:t xml:space="preserve"> gradient gel (Life Technologies) with subsequent Coomassie brilliant blue staining. </w:t>
      </w:r>
    </w:p>
    <w:p w14:paraId="6817518B" w14:textId="77777777" w:rsidR="000C600A" w:rsidRDefault="000C600A">
      <w:pPr>
        <w:spacing w:line="360" w:lineRule="auto"/>
      </w:pPr>
    </w:p>
    <w:p w14:paraId="61A036E8" w14:textId="77777777" w:rsidR="000C600A" w:rsidRDefault="00000000">
      <w:pPr>
        <w:spacing w:line="360" w:lineRule="auto"/>
        <w:rPr>
          <w:i/>
        </w:rPr>
      </w:pPr>
      <w:r>
        <w:rPr>
          <w:i/>
        </w:rPr>
        <w:t>Pulldown experiments</w:t>
      </w:r>
    </w:p>
    <w:p w14:paraId="5A675452" w14:textId="77777777" w:rsidR="000C600A" w:rsidRDefault="00000000">
      <w:pPr>
        <w:spacing w:line="360" w:lineRule="auto"/>
        <w:jc w:val="both"/>
      </w:pPr>
      <w:r>
        <w:t>To enable complex formation, 2 µM MBP-tagged protein was incubated with 10 µM corresponding His</w:t>
      </w:r>
      <w:r>
        <w:rPr>
          <w:vertAlign w:val="subscript"/>
        </w:rPr>
        <w:t>6</w:t>
      </w:r>
      <w:r>
        <w:t>-tagged protein in pulldown buffer (25 mM Tris pH8.0, 300 mM NaCl, 5 mM MgCl</w:t>
      </w:r>
      <w:r>
        <w:rPr>
          <w:vertAlign w:val="subscript"/>
        </w:rPr>
        <w:t>2</w:t>
      </w:r>
      <w:r>
        <w:t xml:space="preserve">, 100 µM GTP, 100 µM GDP) in a total volume of 500 µl and incubated o/n at 4°C. </w:t>
      </w:r>
    </w:p>
    <w:p w14:paraId="491AB929" w14:textId="77777777" w:rsidR="000C600A" w:rsidRDefault="00000000">
      <w:pPr>
        <w:spacing w:line="360" w:lineRule="auto"/>
        <w:jc w:val="both"/>
      </w:pPr>
      <w:r>
        <w:t>The complexes were then captured onto 30 µl amylose resin (NEB Biolabs) previously equilibrated with pulldown buffer, washed, and subsequently eluted with 80 µl MBP-elution buffer (25 mM Tris pH8.0, 300 mM NaCl, 5 mM MgCl</w:t>
      </w:r>
      <w:r>
        <w:rPr>
          <w:vertAlign w:val="subscript"/>
        </w:rPr>
        <w:t>2</w:t>
      </w:r>
      <w:r>
        <w:t xml:space="preserve">, 10mM maltose). </w:t>
      </w:r>
    </w:p>
    <w:p w14:paraId="213E3EE6" w14:textId="77777777" w:rsidR="000C600A" w:rsidRDefault="00000000">
      <w:pPr>
        <w:spacing w:line="360" w:lineRule="auto"/>
        <w:jc w:val="both"/>
        <w:rPr>
          <w:strike/>
        </w:rPr>
      </w:pPr>
      <w:r>
        <w:t xml:space="preserve">The eluates were subjected to SDS-PAGE on a 4-12% </w:t>
      </w:r>
      <w:proofErr w:type="spellStart"/>
      <w:r>
        <w:t>BisTris</w:t>
      </w:r>
      <w:proofErr w:type="spellEnd"/>
      <w:r>
        <w:t xml:space="preserve"> gradient gel (Life Technologies) and subsequently stained with Coomassie brilliant blue. </w:t>
      </w:r>
    </w:p>
    <w:p w14:paraId="6BFFD1B2" w14:textId="77777777" w:rsidR="000C600A" w:rsidRDefault="000C600A">
      <w:pPr>
        <w:spacing w:line="360" w:lineRule="auto"/>
        <w:rPr>
          <w:b/>
        </w:rPr>
      </w:pPr>
    </w:p>
    <w:p w14:paraId="501C9931" w14:textId="77777777" w:rsidR="000C600A" w:rsidRDefault="00000000">
      <w:pPr>
        <w:rPr>
          <w:i/>
        </w:rPr>
      </w:pPr>
      <w:r>
        <w:rPr>
          <w:i/>
        </w:rPr>
        <w:t>Mammalian cell culture and microscopy</w:t>
      </w:r>
    </w:p>
    <w:p w14:paraId="742DCCA2" w14:textId="77777777" w:rsidR="000C600A" w:rsidRDefault="000C600A">
      <w:pPr>
        <w:rPr>
          <w:i/>
        </w:rPr>
      </w:pPr>
    </w:p>
    <w:p w14:paraId="1C1048E8" w14:textId="1A6FE1CE" w:rsidR="000C600A" w:rsidRDefault="00000000">
      <w:pPr>
        <w:spacing w:line="360" w:lineRule="auto"/>
        <w:jc w:val="both"/>
      </w:pPr>
      <w:r>
        <w:t xml:space="preserve">1306 fibroblasts (immortalized human dermal fibroblasts, female Puerto Rican donor, kind gift of Sebastian </w:t>
      </w:r>
      <w:proofErr w:type="spellStart"/>
      <w:r>
        <w:t>Iben</w:t>
      </w:r>
      <w:proofErr w:type="spellEnd"/>
      <w:r>
        <w:t xml:space="preserve">, Dept. of Dermatology, Ulm University Hospital, Germany) and a SEPT9 knock out cell line in the same cellular background, generated previously in our laboratory (clone 2c3, (Hecht </w:t>
      </w:r>
      <w:r>
        <w:rPr>
          <w:i/>
        </w:rPr>
        <w:t>et al.</w:t>
      </w:r>
      <w:r>
        <w:t>, 2024)), were used throughout this study. Cells were maintained at 37 °C and 5 % CO</w:t>
      </w:r>
      <w:r>
        <w:rPr>
          <w:vertAlign w:val="subscript"/>
        </w:rPr>
        <w:t>2</w:t>
      </w:r>
      <w:r>
        <w:t xml:space="preserve"> in a humidified incubator in DMEM (Gibco) supplemented with 10 % FBS (Capricorn). Plasmid transfection was performed using Lipofectamine 3000 (Invitrogen) </w:t>
      </w:r>
      <w:r>
        <w:lastRenderedPageBreak/>
        <w:t xml:space="preserve">according to the manufacturer’s instructions. Stable cell lines were selected by treatment 750 </w:t>
      </w:r>
      <w:proofErr w:type="spellStart"/>
      <w:r>
        <w:t>μg</w:t>
      </w:r>
      <w:proofErr w:type="spellEnd"/>
      <w:r>
        <w:t>/ml geneticin G418 (</w:t>
      </w:r>
      <w:proofErr w:type="spellStart"/>
      <w:r>
        <w:t>Formedium</w:t>
      </w:r>
      <w:proofErr w:type="spellEnd"/>
      <w:r>
        <w:t xml:space="preserve">) 48h post transfection. The antibiotic concentration was lowered to 250 </w:t>
      </w:r>
      <w:proofErr w:type="spellStart"/>
      <w:r>
        <w:t>μg</w:t>
      </w:r>
      <w:proofErr w:type="spellEnd"/>
      <w:r>
        <w:t xml:space="preserve">/ml after approx. two weeks and the cells were further maintained under these conditions. </w:t>
      </w:r>
      <w:proofErr w:type="spellStart"/>
      <w:r>
        <w:t>Immunfluorescence</w:t>
      </w:r>
      <w:proofErr w:type="spellEnd"/>
      <w:r>
        <w:t xml:space="preserve">, </w:t>
      </w:r>
      <w:proofErr w:type="spellStart"/>
      <w:r>
        <w:t>transwell</w:t>
      </w:r>
      <w:proofErr w:type="spellEnd"/>
      <w:r>
        <w:t xml:space="preserve"> migration assays and microscopy were performed essentially as described in previous work (Hecht </w:t>
      </w:r>
      <w:r>
        <w:rPr>
          <w:i/>
        </w:rPr>
        <w:t>et al.</w:t>
      </w:r>
      <w:r>
        <w:t xml:space="preserve">, 2024) with the following modification: The endogenous actin cytoskeleton was stained here using AlexaFluor555-Phalloidin (Invitrogen, #A34055). The endogenous </w:t>
      </w:r>
      <w:proofErr w:type="spellStart"/>
      <w:r>
        <w:t>septin</w:t>
      </w:r>
      <w:proofErr w:type="spellEnd"/>
      <w:r>
        <w:t xml:space="preserve"> cytoskeleton was stained using an anti-SEPT8 antibody (produced in rabbit, kind gift of Michael Krauss, Molecular Pharmacology and Cell Biology Group, Leibnitz Research Center for Molecular Pharmacology, Berlin, Germany) combined with an AlexaFluor647 conjugated anti-rabbit secondary antibody produced in goat (Invitrogen, #21244). 1306 fibroblasts contain SEPT8 as member from the 1b group instead of SEPT6 (Hecht </w:t>
      </w:r>
      <w:r>
        <w:rPr>
          <w:i/>
        </w:rPr>
        <w:t>et al.</w:t>
      </w:r>
      <w:r>
        <w:t xml:space="preserve">, 2019). The anti-SEPT8 antibody stained </w:t>
      </w:r>
      <w:proofErr w:type="spellStart"/>
      <w:r>
        <w:t>septin</w:t>
      </w:r>
      <w:proofErr w:type="spellEnd"/>
      <w:r>
        <w:t xml:space="preserve"> cytoskeleton colocalized with DsRed-SEPT9 or GFP-SEPT2 decorated </w:t>
      </w:r>
      <w:proofErr w:type="spellStart"/>
      <w:r>
        <w:t>septin</w:t>
      </w:r>
      <w:proofErr w:type="spellEnd"/>
      <w:r>
        <w:t xml:space="preserve"> filaments in 1306 fibroblasts (</w:t>
      </w:r>
      <w:r>
        <w:rPr>
          <w:highlight w:val="green"/>
        </w:rPr>
        <w:t xml:space="preserve">Suppl. </w:t>
      </w:r>
      <w:proofErr w:type="spellStart"/>
      <w:proofErr w:type="gramStart"/>
      <w:r>
        <w:rPr>
          <w:highlight w:val="green"/>
        </w:rPr>
        <w:t>Fig.</w:t>
      </w:r>
      <w:r w:rsidR="00D44BD6">
        <w:rPr>
          <w:highlight w:val="green"/>
        </w:rPr>
        <w:t>X</w:t>
      </w:r>
      <w:proofErr w:type="spellEnd"/>
      <w:r>
        <w:rPr>
          <w:highlight w:val="green"/>
        </w:rPr>
        <w:t xml:space="preserve"> </w:t>
      </w:r>
      <w:r>
        <w:t>)</w:t>
      </w:r>
      <w:proofErr w:type="gramEnd"/>
      <w:r>
        <w:t xml:space="preserve">, proving specificity of the antibody in the employed cell line. </w:t>
      </w:r>
    </w:p>
    <w:p w14:paraId="37C9AF0B" w14:textId="6306DE48" w:rsidR="000C600A" w:rsidRDefault="00000000">
      <w:pPr>
        <w:spacing w:line="360" w:lineRule="auto"/>
      </w:pPr>
      <w:r>
        <w:t xml:space="preserve">For Western blot analysis, confluent cells from one T25 cell culture flask were collected </w:t>
      </w:r>
      <w:proofErr w:type="gramStart"/>
      <w:r>
        <w:t>and  lysed</w:t>
      </w:r>
      <w:proofErr w:type="gramEnd"/>
      <w:r>
        <w:t xml:space="preserve"> in 100 µl lysis buffer (50 mM HEPES pH 7.4, 150 mM NaCl, 0.2 mM EDTA, 0.1 % Triton X100) supplemented with protease inhibitor cocktail (Roche). SEPT9 was detected using an anti-SEPT9 antibody (Sigma, #WH0010801M1) and an anti-GAPDH-HRP conjugate (Santa Cruz Biotechnology; #sc47724) was employed as loading control. </w:t>
      </w:r>
    </w:p>
    <w:p w14:paraId="198A4B59" w14:textId="69794AFA" w:rsidR="001F164D" w:rsidRDefault="001F164D">
      <w:pPr>
        <w:spacing w:line="360" w:lineRule="auto"/>
      </w:pPr>
    </w:p>
    <w:p w14:paraId="6D3E5B1E" w14:textId="47C4CD57" w:rsidR="001F164D" w:rsidRPr="001F164D" w:rsidRDefault="001F164D">
      <w:pPr>
        <w:spacing w:line="360" w:lineRule="auto"/>
        <w:rPr>
          <w:i/>
          <w:iCs/>
        </w:rPr>
      </w:pPr>
      <w:r w:rsidRPr="001F164D">
        <w:rPr>
          <w:i/>
          <w:iCs/>
        </w:rPr>
        <w:t>Microscopy of yeast strains</w:t>
      </w:r>
    </w:p>
    <w:p w14:paraId="640660B7" w14:textId="2839C79C" w:rsidR="001F164D" w:rsidRDefault="001F164D">
      <w:pPr>
        <w:spacing w:line="360" w:lineRule="auto"/>
      </w:pPr>
      <w:r w:rsidRPr="001F164D">
        <w:rPr>
          <w:highlight w:val="yellow"/>
        </w:rPr>
        <w:t>Benni.</w:t>
      </w:r>
      <w:r>
        <w:t xml:space="preserve"> </w:t>
      </w:r>
    </w:p>
    <w:p w14:paraId="51CEE026" w14:textId="77777777" w:rsidR="001F164D" w:rsidRDefault="001F164D">
      <w:pPr>
        <w:spacing w:line="360" w:lineRule="auto"/>
      </w:pPr>
    </w:p>
    <w:p w14:paraId="4F4D0CC4" w14:textId="77777777" w:rsidR="000C600A" w:rsidRDefault="000C600A">
      <w:pPr>
        <w:spacing w:line="360" w:lineRule="auto"/>
      </w:pPr>
    </w:p>
    <w:p w14:paraId="59EF97E3" w14:textId="77777777" w:rsidR="000C600A" w:rsidRDefault="00000000">
      <w:pPr>
        <w:spacing w:line="360" w:lineRule="auto"/>
        <w:rPr>
          <w:i/>
          <w:iCs/>
          <w:lang w:val="en-GB"/>
        </w:rPr>
      </w:pPr>
      <w:r>
        <w:rPr>
          <w:i/>
          <w:iCs/>
          <w:lang w:val="en-GB"/>
        </w:rPr>
        <w:t>Data availability</w:t>
      </w:r>
    </w:p>
    <w:p w14:paraId="57A2D3C1" w14:textId="77777777" w:rsidR="000C600A" w:rsidRDefault="00000000">
      <w:pPr>
        <w:spacing w:line="360" w:lineRule="auto"/>
      </w:pPr>
      <w:r>
        <w:t xml:space="preserve">Sequences of the employed oligonucleotide primers are available from the authors upon request. </w:t>
      </w:r>
    </w:p>
    <w:p w14:paraId="1CA2695C" w14:textId="77777777" w:rsidR="000C600A" w:rsidRDefault="00000000">
      <w:pPr>
        <w:spacing w:line="360" w:lineRule="auto"/>
      </w:pPr>
      <w:r>
        <w:t xml:space="preserve">MD &amp; other raw data: </w:t>
      </w:r>
      <w:proofErr w:type="spellStart"/>
      <w:r>
        <w:t>Zenodo</w:t>
      </w:r>
      <w:proofErr w:type="spellEnd"/>
      <w:r>
        <w:t>.</w:t>
      </w:r>
    </w:p>
    <w:p w14:paraId="1DB0A486" w14:textId="77777777" w:rsidR="000C600A" w:rsidRDefault="000C600A">
      <w:pPr>
        <w:spacing w:line="360" w:lineRule="auto"/>
      </w:pPr>
    </w:p>
    <w:p w14:paraId="1CA461B4" w14:textId="77777777" w:rsidR="000C600A" w:rsidRDefault="000C600A">
      <w:pPr>
        <w:rPr>
          <w:i/>
        </w:rPr>
      </w:pPr>
    </w:p>
    <w:p w14:paraId="6944F2A1" w14:textId="77777777" w:rsidR="000C600A" w:rsidRDefault="000C600A">
      <w:pPr>
        <w:rPr>
          <w:i/>
        </w:rPr>
      </w:pPr>
    </w:p>
    <w:p w14:paraId="151D0C31" w14:textId="77777777" w:rsidR="000C600A" w:rsidRDefault="000C600A">
      <w:pPr>
        <w:rPr>
          <w:i/>
        </w:rPr>
      </w:pPr>
    </w:p>
    <w:p w14:paraId="16697764" w14:textId="77777777" w:rsidR="000C600A" w:rsidRDefault="000C600A">
      <w:pPr>
        <w:rPr>
          <w:i/>
        </w:rPr>
      </w:pPr>
    </w:p>
    <w:p w14:paraId="6715E4A8" w14:textId="77777777" w:rsidR="000C600A" w:rsidRDefault="000C600A">
      <w:pPr>
        <w:rPr>
          <w:b/>
        </w:rPr>
      </w:pPr>
    </w:p>
    <w:p w14:paraId="4DF1FD1D" w14:textId="77777777" w:rsidR="000C600A" w:rsidRDefault="00000000">
      <w:pPr>
        <w:spacing w:line="360" w:lineRule="auto"/>
        <w:rPr>
          <w:b/>
        </w:rPr>
      </w:pPr>
      <w:r>
        <w:rPr>
          <w:b/>
        </w:rPr>
        <w:t>Acknowledgements</w:t>
      </w:r>
    </w:p>
    <w:p w14:paraId="57881395" w14:textId="77777777" w:rsidR="000C600A" w:rsidRDefault="00000000" w:rsidP="00CC4BD5">
      <w:pPr>
        <w:spacing w:line="360" w:lineRule="auto"/>
        <w:jc w:val="both"/>
      </w:pPr>
      <w:r>
        <w:t xml:space="preserve">Jan </w:t>
      </w:r>
      <w:proofErr w:type="spellStart"/>
      <w:r>
        <w:t>Gehrke</w:t>
      </w:r>
      <w:proofErr w:type="spellEnd"/>
      <w:r>
        <w:t xml:space="preserve"> (Institute of Molecular Genetics and Cell Biology, Ulm University) is acknowledged for technical assistance. </w:t>
      </w:r>
    </w:p>
    <w:p w14:paraId="1A641100" w14:textId="77777777" w:rsidR="000C600A" w:rsidRDefault="00000000" w:rsidP="00CC4BD5">
      <w:pPr>
        <w:spacing w:line="360" w:lineRule="auto"/>
        <w:jc w:val="both"/>
      </w:pPr>
      <w:r>
        <w:t xml:space="preserve">The authors thank Elias </w:t>
      </w:r>
      <w:proofErr w:type="spellStart"/>
      <w:r>
        <w:t>Spiliotis</w:t>
      </w:r>
      <w:proofErr w:type="spellEnd"/>
      <w:r>
        <w:t xml:space="preserve"> (Univ. of </w:t>
      </w:r>
      <w:proofErr w:type="spellStart"/>
      <w:r>
        <w:t>Virigina</w:t>
      </w:r>
      <w:proofErr w:type="spellEnd"/>
      <w:r>
        <w:t>, School of Medicine, VA, USA), Matthias Hecht (formerly Institute of Molecular Genetics and Cell Biology, Ulm University) and Michael Krauss (Molecular Pharmacology and Cell Biology Group, Leibnitz Research Center for Molecular Pharmacology, Berlin, Germany) and for the donation of plasmids and the anti-SEPT8 antibody, respectively.</w:t>
      </w:r>
    </w:p>
    <w:p w14:paraId="0BECE6A0" w14:textId="77777777" w:rsidR="000C600A" w:rsidRDefault="00000000" w:rsidP="00CC4BD5">
      <w:pPr>
        <w:spacing w:line="360" w:lineRule="auto"/>
        <w:jc w:val="both"/>
      </w:pPr>
      <w:r>
        <w:t>The staff at beamline ID30B at the European Synchrotron ESRF is acknowledged for excellent assistance with data collection and automated processing.</w:t>
      </w:r>
    </w:p>
    <w:p w14:paraId="1A582F64" w14:textId="0E2A525E" w:rsidR="000C600A" w:rsidRDefault="00000000" w:rsidP="00CC4BD5">
      <w:pPr>
        <w:spacing w:line="360" w:lineRule="auto"/>
        <w:jc w:val="both"/>
      </w:pPr>
      <w:r>
        <w:t xml:space="preserve">The authors acknowledge support by the state of Baden-Württemberg through </w:t>
      </w:r>
      <w:proofErr w:type="spellStart"/>
      <w:r>
        <w:t>bwHPC</w:t>
      </w:r>
      <w:proofErr w:type="spellEnd"/>
      <w:r>
        <w:t>, the German Research Foundation (DFG) through grant INST 40/575-1 FUGG (JUSTUS 2 high performance computing cluster) and the staff of the Uni Ulm computer center for technical support. ﻿</w:t>
      </w:r>
      <w:r w:rsidR="003C1BAA">
        <w:t xml:space="preserve">Julia </w:t>
      </w:r>
      <w:proofErr w:type="spellStart"/>
      <w:r w:rsidR="003C1BAA">
        <w:t>Seifermann</w:t>
      </w:r>
      <w:proofErr w:type="spellEnd"/>
      <w:r w:rsidR="003C1BAA">
        <w:t xml:space="preserve"> is supported by DFG grants SFB1381 and RTG2202. </w:t>
      </w:r>
    </w:p>
    <w:p w14:paraId="441EC9B3" w14:textId="77777777" w:rsidR="000C600A" w:rsidRDefault="000C600A">
      <w:pPr>
        <w:spacing w:line="360" w:lineRule="auto"/>
        <w:rPr>
          <w:b/>
        </w:rPr>
      </w:pPr>
    </w:p>
    <w:p w14:paraId="6C2C9E9C" w14:textId="77777777" w:rsidR="000C600A" w:rsidRDefault="00000000">
      <w:pPr>
        <w:spacing w:line="360" w:lineRule="auto"/>
        <w:rPr>
          <w:b/>
        </w:rPr>
      </w:pPr>
      <w:r>
        <w:rPr>
          <w:b/>
        </w:rPr>
        <w:t>Author Contributions</w:t>
      </w:r>
    </w:p>
    <w:p w14:paraId="06CDA490" w14:textId="77777777" w:rsidR="000C600A" w:rsidRDefault="00000000">
      <w:pPr>
        <w:spacing w:line="360" w:lineRule="auto"/>
      </w:pPr>
      <w:r>
        <w:t xml:space="preserve">BG performed the simulations and experiments, built the structure, improved the </w:t>
      </w:r>
      <w:proofErr w:type="gramStart"/>
      <w:r>
        <w:t>manuscript</w:t>
      </w:r>
      <w:proofErr w:type="gramEnd"/>
      <w:r>
        <w:t xml:space="preserve"> and designed research. JG performed experiments. JS crystallized the protein, </w:t>
      </w:r>
      <w:proofErr w:type="gramStart"/>
      <w:r>
        <w:t>collected</w:t>
      </w:r>
      <w:proofErr w:type="gramEnd"/>
      <w:r>
        <w:t xml:space="preserve"> and processed the diffraction data, and analyzed the data. SG analyzed the data. </w:t>
      </w:r>
    </w:p>
    <w:p w14:paraId="1A2ECC5B" w14:textId="77777777" w:rsidR="000C600A" w:rsidRDefault="00000000">
      <w:pPr>
        <w:spacing w:line="360" w:lineRule="auto"/>
      </w:pPr>
      <w:r>
        <w:t xml:space="preserve">JL supported in setting up the simulations, analyzed the data and improved the manuscript. NJ analyzed the data and improved the manuscript. TG analyzed the data, designed research, performed </w:t>
      </w:r>
      <w:proofErr w:type="gramStart"/>
      <w:r>
        <w:t>experiments</w:t>
      </w:r>
      <w:proofErr w:type="gramEnd"/>
      <w:r>
        <w:t xml:space="preserve"> and wrote the manuscript. </w:t>
      </w:r>
    </w:p>
    <w:p w14:paraId="106280B3" w14:textId="77777777" w:rsidR="000C600A" w:rsidRDefault="000C600A"/>
    <w:p w14:paraId="2DF00B00" w14:textId="77777777" w:rsidR="000C600A" w:rsidRDefault="000C600A">
      <w:pPr>
        <w:rPr>
          <w:b/>
        </w:rPr>
      </w:pPr>
    </w:p>
    <w:p w14:paraId="6CE2CCC6" w14:textId="77777777" w:rsidR="000C600A" w:rsidRDefault="000C600A">
      <w:pPr>
        <w:rPr>
          <w:b/>
        </w:rPr>
      </w:pPr>
    </w:p>
    <w:p w14:paraId="53D6B699" w14:textId="77777777" w:rsidR="000C600A" w:rsidRDefault="000C600A">
      <w:pPr>
        <w:rPr>
          <w:b/>
        </w:rPr>
      </w:pPr>
    </w:p>
    <w:p w14:paraId="6F27F05C" w14:textId="77777777" w:rsidR="000C600A" w:rsidRDefault="000C600A">
      <w:pPr>
        <w:rPr>
          <w:b/>
        </w:rPr>
      </w:pPr>
    </w:p>
    <w:p w14:paraId="6A3CDF06" w14:textId="77777777" w:rsidR="000C600A" w:rsidRDefault="00000000">
      <w:pPr>
        <w:rPr>
          <w:b/>
        </w:rPr>
      </w:pPr>
      <w:r>
        <w:rPr>
          <w:b/>
        </w:rPr>
        <w:t>References</w:t>
      </w:r>
    </w:p>
    <w:p w14:paraId="3C44CEB5" w14:textId="77777777" w:rsidR="000C600A" w:rsidRDefault="00000000">
      <w:pPr>
        <w:widowControl w:val="0"/>
      </w:pPr>
      <w:r>
        <w:t xml:space="preserve">Abraham, MJ, </w:t>
      </w:r>
      <w:proofErr w:type="spellStart"/>
      <w:r>
        <w:t>Murtola</w:t>
      </w:r>
      <w:proofErr w:type="spellEnd"/>
      <w:r>
        <w:t xml:space="preserve">, T, Schulz, R, </w:t>
      </w:r>
      <w:proofErr w:type="spellStart"/>
      <w:r>
        <w:t>Páll</w:t>
      </w:r>
      <w:proofErr w:type="spellEnd"/>
      <w:r>
        <w:t xml:space="preserve">, S, Smith, JC, Hess, B, and </w:t>
      </w:r>
      <w:proofErr w:type="spellStart"/>
      <w:r>
        <w:t>Lindah</w:t>
      </w:r>
      <w:proofErr w:type="spellEnd"/>
      <w:r>
        <w:t xml:space="preserve">, E (2015). GROMACS: High performance molecular simulations through multi-level parallelism from laptops to supercomputers. </w:t>
      </w:r>
      <w:proofErr w:type="spellStart"/>
      <w:r>
        <w:t>SoftwareX</w:t>
      </w:r>
      <w:proofErr w:type="spellEnd"/>
      <w:r>
        <w:t xml:space="preserve"> 1–2, 19–25.</w:t>
      </w:r>
    </w:p>
    <w:p w14:paraId="36BAD450" w14:textId="77777777" w:rsidR="000C600A" w:rsidRDefault="00000000">
      <w:pPr>
        <w:widowControl w:val="0"/>
      </w:pPr>
      <w:r>
        <w:t xml:space="preserve">Adams, P, </w:t>
      </w:r>
      <w:proofErr w:type="spellStart"/>
      <w:r>
        <w:t>Afonine</w:t>
      </w:r>
      <w:proofErr w:type="spellEnd"/>
      <w:r>
        <w:t xml:space="preserve">, P, </w:t>
      </w:r>
      <w:proofErr w:type="spellStart"/>
      <w:r>
        <w:t>Bunkóczi</w:t>
      </w:r>
      <w:proofErr w:type="spellEnd"/>
      <w:r>
        <w:t xml:space="preserve">, G, Chen, V, Davis, I, Echols, N, </w:t>
      </w:r>
      <w:proofErr w:type="spellStart"/>
      <w:r>
        <w:t>Headd</w:t>
      </w:r>
      <w:proofErr w:type="spellEnd"/>
      <w:r>
        <w:t xml:space="preserve">, J, Hung, L, </w:t>
      </w:r>
      <w:proofErr w:type="spellStart"/>
      <w:r>
        <w:t>Kapral</w:t>
      </w:r>
      <w:proofErr w:type="spellEnd"/>
      <w:r>
        <w:t>, G, Grosse-</w:t>
      </w:r>
      <w:proofErr w:type="spellStart"/>
      <w:r>
        <w:t>Kunstleve</w:t>
      </w:r>
      <w:proofErr w:type="spellEnd"/>
      <w:r>
        <w:t xml:space="preserve">, R, </w:t>
      </w:r>
      <w:r>
        <w:rPr>
          <w:i/>
        </w:rPr>
        <w:t>et al.</w:t>
      </w:r>
      <w:r>
        <w:t xml:space="preserve"> (2010). PHENIX: a comprehensive Python-based system for macromolecular structure solution. Acta </w:t>
      </w:r>
      <w:proofErr w:type="spellStart"/>
      <w:r>
        <w:t>Crystallogr</w:t>
      </w:r>
      <w:proofErr w:type="spellEnd"/>
      <w:r>
        <w:t xml:space="preserve"> D Biol </w:t>
      </w:r>
      <w:proofErr w:type="spellStart"/>
      <w:r>
        <w:t>Crystallogr</w:t>
      </w:r>
      <w:proofErr w:type="spellEnd"/>
      <w:r>
        <w:t xml:space="preserve"> 66, 213–221.</w:t>
      </w:r>
    </w:p>
    <w:p w14:paraId="386FE3BE" w14:textId="77777777" w:rsidR="000C600A" w:rsidRDefault="00000000">
      <w:pPr>
        <w:widowControl w:val="0"/>
      </w:pPr>
      <w:proofErr w:type="spellStart"/>
      <w:r>
        <w:t>Auxier</w:t>
      </w:r>
      <w:proofErr w:type="spellEnd"/>
      <w:r>
        <w:t xml:space="preserve">, B, Dee, J, </w:t>
      </w:r>
      <w:proofErr w:type="spellStart"/>
      <w:r>
        <w:t>Berbee</w:t>
      </w:r>
      <w:proofErr w:type="spellEnd"/>
      <w:r>
        <w:t xml:space="preserve">, ML, and </w:t>
      </w:r>
      <w:proofErr w:type="spellStart"/>
      <w:r>
        <w:t>Momany</w:t>
      </w:r>
      <w:proofErr w:type="spellEnd"/>
      <w:r>
        <w:t xml:space="preserve">, M (2019). Diversity of </w:t>
      </w:r>
      <w:proofErr w:type="spellStart"/>
      <w:r>
        <w:t>opisthokont</w:t>
      </w:r>
      <w:proofErr w:type="spellEnd"/>
      <w:r>
        <w:t xml:space="preserve"> </w:t>
      </w:r>
      <w:proofErr w:type="spellStart"/>
      <w:r>
        <w:t>septin</w:t>
      </w:r>
      <w:proofErr w:type="spellEnd"/>
      <w:r>
        <w:t xml:space="preserve"> </w:t>
      </w:r>
      <w:r>
        <w:lastRenderedPageBreak/>
        <w:t xml:space="preserve">proteins reveals structural constraints and conserved motifs. BMC </w:t>
      </w:r>
      <w:proofErr w:type="spellStart"/>
      <w:r>
        <w:t>Evol</w:t>
      </w:r>
      <w:proofErr w:type="spellEnd"/>
      <w:r>
        <w:t xml:space="preserve"> Biol 19.</w:t>
      </w:r>
    </w:p>
    <w:p w14:paraId="3780D255" w14:textId="77777777" w:rsidR="000C600A" w:rsidRDefault="00000000">
      <w:pPr>
        <w:widowControl w:val="0"/>
      </w:pPr>
      <w:r>
        <w:t xml:space="preserve">Baur, JD, </w:t>
      </w:r>
      <w:proofErr w:type="spellStart"/>
      <w:r>
        <w:t>Rösler</w:t>
      </w:r>
      <w:proofErr w:type="spellEnd"/>
      <w:r>
        <w:t xml:space="preserve">, R, Wiese, S, </w:t>
      </w:r>
      <w:proofErr w:type="spellStart"/>
      <w:r>
        <w:t>Johnsson</w:t>
      </w:r>
      <w:proofErr w:type="spellEnd"/>
      <w:r>
        <w:t xml:space="preserve">, N, and </w:t>
      </w:r>
      <w:proofErr w:type="spellStart"/>
      <w:r>
        <w:t>Gronemeyer</w:t>
      </w:r>
      <w:proofErr w:type="spellEnd"/>
      <w:r>
        <w:t xml:space="preserve">, T (2018). Dissecting the nucleotide binding properties of the </w:t>
      </w:r>
      <w:proofErr w:type="spellStart"/>
      <w:r>
        <w:t>septins</w:t>
      </w:r>
      <w:proofErr w:type="spellEnd"/>
      <w:r>
        <w:t xml:space="preserve"> from S. cerevisiae. Cytoskeleton (Hoboken) 76, 45–54.</w:t>
      </w:r>
    </w:p>
    <w:p w14:paraId="6411C657" w14:textId="77777777" w:rsidR="000C600A" w:rsidRDefault="00000000">
      <w:pPr>
        <w:widowControl w:val="0"/>
      </w:pPr>
      <w:proofErr w:type="spellStart"/>
      <w:r>
        <w:t>Bernetti</w:t>
      </w:r>
      <w:proofErr w:type="spellEnd"/>
      <w:r>
        <w:t xml:space="preserve">, M, and </w:t>
      </w:r>
      <w:proofErr w:type="spellStart"/>
      <w:r>
        <w:t>Bussi</w:t>
      </w:r>
      <w:proofErr w:type="spellEnd"/>
      <w:r>
        <w:t>, G (2020). Pressure control using stochastic cell rescaling. J Chem Phys 153, 114107.</w:t>
      </w:r>
    </w:p>
    <w:p w14:paraId="18F2F20A" w14:textId="77777777" w:rsidR="000C600A" w:rsidRDefault="00000000">
      <w:pPr>
        <w:widowControl w:val="0"/>
      </w:pPr>
      <w:proofErr w:type="spellStart"/>
      <w:r>
        <w:t>Bertin</w:t>
      </w:r>
      <w:proofErr w:type="spellEnd"/>
      <w:r>
        <w:t xml:space="preserve">, A, </w:t>
      </w:r>
      <w:proofErr w:type="spellStart"/>
      <w:r>
        <w:t>Mcmurray</w:t>
      </w:r>
      <w:proofErr w:type="spellEnd"/>
      <w:r>
        <w:t xml:space="preserve">, MA, </w:t>
      </w:r>
      <w:proofErr w:type="spellStart"/>
      <w:r>
        <w:t>Grob</w:t>
      </w:r>
      <w:proofErr w:type="spellEnd"/>
      <w:r>
        <w:t xml:space="preserve">, P, Park, S-S, </w:t>
      </w:r>
      <w:proofErr w:type="spellStart"/>
      <w:r>
        <w:t>Iii</w:t>
      </w:r>
      <w:proofErr w:type="spellEnd"/>
      <w:r>
        <w:t xml:space="preserve">, GG, </w:t>
      </w:r>
      <w:proofErr w:type="spellStart"/>
      <w:r>
        <w:t>Patanwala</w:t>
      </w:r>
      <w:proofErr w:type="spellEnd"/>
      <w:r>
        <w:t xml:space="preserve">, I, Ng, H-L, </w:t>
      </w:r>
      <w:proofErr w:type="spellStart"/>
      <w:r>
        <w:t>Alber</w:t>
      </w:r>
      <w:proofErr w:type="spellEnd"/>
      <w:r>
        <w:t xml:space="preserve">, T, </w:t>
      </w:r>
      <w:proofErr w:type="spellStart"/>
      <w:r>
        <w:t>Thorner</w:t>
      </w:r>
      <w:proofErr w:type="spellEnd"/>
      <w:r>
        <w:t xml:space="preserve">, J, Nogales, E, </w:t>
      </w:r>
      <w:r>
        <w:rPr>
          <w:i/>
        </w:rPr>
        <w:t>et al.</w:t>
      </w:r>
      <w:r>
        <w:t xml:space="preserve"> (2008). Saccharomyces cerevisiae </w:t>
      </w:r>
      <w:proofErr w:type="spellStart"/>
      <w:r>
        <w:t>septins</w:t>
      </w:r>
      <w:proofErr w:type="spellEnd"/>
      <w:r>
        <w:t>: Supramolecular organization of heterooligomers and the mechanism of filament assembly. PNAS 105, 8274–8279.</w:t>
      </w:r>
    </w:p>
    <w:p w14:paraId="3B3C3BD4" w14:textId="77777777" w:rsidR="000C600A" w:rsidRDefault="00000000">
      <w:pPr>
        <w:widowControl w:val="0"/>
      </w:pPr>
      <w:proofErr w:type="spellStart"/>
      <w:r>
        <w:t>Bourne</w:t>
      </w:r>
      <w:proofErr w:type="spellEnd"/>
      <w:r>
        <w:t>, HR, Sanders, DA, and McCormick, F (1991). The GTPase superfamily: conserved structure and molecular mechanism. Nat 1991 3496305 349, 117–127.</w:t>
      </w:r>
    </w:p>
    <w:p w14:paraId="10D017D3" w14:textId="77777777" w:rsidR="000C600A" w:rsidRDefault="00000000">
      <w:pPr>
        <w:widowControl w:val="0"/>
      </w:pPr>
      <w:proofErr w:type="spellStart"/>
      <w:r>
        <w:t>Brausemann</w:t>
      </w:r>
      <w:proofErr w:type="spellEnd"/>
      <w:r>
        <w:t xml:space="preserve">, A, Gerhardt, S, Schott, A-K, </w:t>
      </w:r>
      <w:proofErr w:type="spellStart"/>
      <w:r>
        <w:t>Einsle</w:t>
      </w:r>
      <w:proofErr w:type="spellEnd"/>
      <w:r>
        <w:t xml:space="preserve">, O, </w:t>
      </w:r>
      <w:proofErr w:type="spellStart"/>
      <w:r>
        <w:t>Große-Berkenbusch</w:t>
      </w:r>
      <w:proofErr w:type="spellEnd"/>
      <w:r>
        <w:t xml:space="preserve">, A, </w:t>
      </w:r>
      <w:proofErr w:type="spellStart"/>
      <w:r>
        <w:t>Johnsson</w:t>
      </w:r>
      <w:proofErr w:type="spellEnd"/>
      <w:r>
        <w:t xml:space="preserve">, N, and </w:t>
      </w:r>
      <w:proofErr w:type="spellStart"/>
      <w:r>
        <w:t>Gronemeyer</w:t>
      </w:r>
      <w:proofErr w:type="spellEnd"/>
      <w:r>
        <w:t xml:space="preserve">, T (2016). Crystal structure of Cdc11, a </w:t>
      </w:r>
      <w:proofErr w:type="spellStart"/>
      <w:r>
        <w:t>septin</w:t>
      </w:r>
      <w:proofErr w:type="spellEnd"/>
      <w:r>
        <w:t xml:space="preserve"> subunit from Saccharomyces cerevisiae. 193, 157–161.</w:t>
      </w:r>
    </w:p>
    <w:p w14:paraId="1A2EAB08" w14:textId="77777777" w:rsidR="000C600A" w:rsidRDefault="00000000">
      <w:pPr>
        <w:widowControl w:val="0"/>
      </w:pPr>
      <w:proofErr w:type="spellStart"/>
      <w:r>
        <w:t>Bricogne</w:t>
      </w:r>
      <w:proofErr w:type="spellEnd"/>
      <w:r>
        <w:t xml:space="preserve"> G., Blanc E., </w:t>
      </w:r>
      <w:proofErr w:type="spellStart"/>
      <w:r>
        <w:t>Brandl</w:t>
      </w:r>
      <w:proofErr w:type="spellEnd"/>
      <w:r>
        <w:t xml:space="preserve"> M., Flensburg C., Keller P., PW, and </w:t>
      </w:r>
      <w:proofErr w:type="spellStart"/>
      <w:r>
        <w:t>Roversi</w:t>
      </w:r>
      <w:proofErr w:type="spellEnd"/>
      <w:r>
        <w:t xml:space="preserve"> P, </w:t>
      </w:r>
      <w:proofErr w:type="spellStart"/>
      <w:r>
        <w:t>Sharff</w:t>
      </w:r>
      <w:proofErr w:type="spellEnd"/>
      <w:r>
        <w:t xml:space="preserve"> A., Smart O.S., </w:t>
      </w:r>
      <w:proofErr w:type="spellStart"/>
      <w:r>
        <w:t>Vonrhein</w:t>
      </w:r>
      <w:proofErr w:type="spellEnd"/>
      <w:r>
        <w:t xml:space="preserve"> C., WTO (2017). BUSTER version 2.10.4, Cambridge, United Kingdom: Global Phasing Ltd.</w:t>
      </w:r>
    </w:p>
    <w:p w14:paraId="0B642049" w14:textId="77777777" w:rsidR="000C600A" w:rsidRDefault="00000000">
      <w:pPr>
        <w:widowControl w:val="0"/>
      </w:pPr>
      <w:proofErr w:type="spellStart"/>
      <w:r>
        <w:t>Bussi</w:t>
      </w:r>
      <w:proofErr w:type="spellEnd"/>
      <w:r>
        <w:t xml:space="preserve">, G, </w:t>
      </w:r>
      <w:proofErr w:type="spellStart"/>
      <w:r>
        <w:t>Donadio</w:t>
      </w:r>
      <w:proofErr w:type="spellEnd"/>
      <w:r>
        <w:t xml:space="preserve">, D, and </w:t>
      </w:r>
      <w:proofErr w:type="spellStart"/>
      <w:r>
        <w:t>Parrinello</w:t>
      </w:r>
      <w:proofErr w:type="spellEnd"/>
      <w:r>
        <w:t>, M (2007). Canonical sampling through velocity rescaling. J Chem Phys 126, 014101.</w:t>
      </w:r>
    </w:p>
    <w:p w14:paraId="1B3743D9" w14:textId="77777777" w:rsidR="000C600A" w:rsidRDefault="00000000">
      <w:pPr>
        <w:widowControl w:val="0"/>
      </w:pPr>
      <w:proofErr w:type="spellStart"/>
      <w:r>
        <w:t>Cavini</w:t>
      </w:r>
      <w:proofErr w:type="spellEnd"/>
      <w:r>
        <w:t xml:space="preserve">, IA, Leonardo, DA, Rosa, H V.D., Castro, DKSV, </w:t>
      </w:r>
      <w:proofErr w:type="spellStart"/>
      <w:r>
        <w:t>D’Muniz</w:t>
      </w:r>
      <w:proofErr w:type="spellEnd"/>
      <w:r>
        <w:t xml:space="preserve"> Pereira, H, Valadares, NF, Araujo, APU, and Garratt, RC (2021). The Structural Biology of </w:t>
      </w:r>
      <w:proofErr w:type="spellStart"/>
      <w:r>
        <w:t>Septins</w:t>
      </w:r>
      <w:proofErr w:type="spellEnd"/>
      <w:r>
        <w:t xml:space="preserve"> and Their Filaments: An Update. Front Cell Dev Biol 9.</w:t>
      </w:r>
    </w:p>
    <w:p w14:paraId="32329F92" w14:textId="77777777" w:rsidR="000C600A" w:rsidRDefault="00000000">
      <w:pPr>
        <w:widowControl w:val="0"/>
      </w:pPr>
      <w:r>
        <w:t xml:space="preserve">Darden, T, York, D, and Pedersen, L (1998). Particle mesh Ewald: An </w:t>
      </w:r>
      <w:proofErr w:type="spellStart"/>
      <w:r>
        <w:t>N</w:t>
      </w:r>
      <w:r>
        <w:rPr>
          <w:rFonts w:ascii="Cambria Math" w:eastAsia="Cambria Math" w:hAnsi="Cambria Math" w:cs="Cambria Math"/>
        </w:rPr>
        <w:t>⋅</w:t>
      </w:r>
      <w:r>
        <w:t>log</w:t>
      </w:r>
      <w:proofErr w:type="spellEnd"/>
      <w:r>
        <w:t>(N) method for Ewald sums in large systems. J Chem Phys 98, 10089.</w:t>
      </w:r>
    </w:p>
    <w:p w14:paraId="5B205F4E" w14:textId="77777777" w:rsidR="000C600A" w:rsidRDefault="00000000">
      <w:pPr>
        <w:widowControl w:val="0"/>
      </w:pPr>
      <w:r>
        <w:t xml:space="preserve">Daura, X, </w:t>
      </w:r>
      <w:proofErr w:type="spellStart"/>
      <w:r>
        <w:t>Gademann</w:t>
      </w:r>
      <w:proofErr w:type="spellEnd"/>
      <w:r>
        <w:t xml:space="preserve">, K, </w:t>
      </w:r>
      <w:proofErr w:type="spellStart"/>
      <w:r>
        <w:t>Jaun</w:t>
      </w:r>
      <w:proofErr w:type="spellEnd"/>
      <w:r>
        <w:t xml:space="preserve">, B, </w:t>
      </w:r>
      <w:proofErr w:type="spellStart"/>
      <w:r>
        <w:t>Seebach</w:t>
      </w:r>
      <w:proofErr w:type="spellEnd"/>
      <w:r>
        <w:t xml:space="preserve">, D, van </w:t>
      </w:r>
      <w:proofErr w:type="spellStart"/>
      <w:r>
        <w:t>Gunsteren</w:t>
      </w:r>
      <w:proofErr w:type="spellEnd"/>
      <w:r>
        <w:t xml:space="preserve">, WF, Mark, AE, </w:t>
      </w:r>
      <w:proofErr w:type="spellStart"/>
      <w:r>
        <w:t>Rigault</w:t>
      </w:r>
      <w:proofErr w:type="spellEnd"/>
      <w:r>
        <w:t xml:space="preserve">, A, Siegel, J, </w:t>
      </w:r>
      <w:proofErr w:type="spellStart"/>
      <w:r>
        <w:t>Harrowfield</w:t>
      </w:r>
      <w:proofErr w:type="spellEnd"/>
      <w:r>
        <w:t xml:space="preserve">, J, </w:t>
      </w:r>
      <w:proofErr w:type="spellStart"/>
      <w:r>
        <w:t>Chevrier</w:t>
      </w:r>
      <w:proofErr w:type="spellEnd"/>
      <w:r>
        <w:t xml:space="preserve">, B, </w:t>
      </w:r>
      <w:r>
        <w:rPr>
          <w:i/>
        </w:rPr>
        <w:t>et al.</w:t>
      </w:r>
      <w:r>
        <w:t xml:space="preserve"> (1998). Peptide Folding: When Simulation Meets Experiment. </w:t>
      </w:r>
      <w:proofErr w:type="spellStart"/>
      <w:r>
        <w:t>Angew</w:t>
      </w:r>
      <w:proofErr w:type="spellEnd"/>
      <w:r>
        <w:t xml:space="preserve"> Chem Int Ed </w:t>
      </w:r>
      <w:proofErr w:type="spellStart"/>
      <w:r>
        <w:t>Engl</w:t>
      </w:r>
      <w:proofErr w:type="spellEnd"/>
      <w:r>
        <w:t xml:space="preserve"> 31, 1387–1404.</w:t>
      </w:r>
    </w:p>
    <w:p w14:paraId="03F5272E" w14:textId="77777777" w:rsidR="000C600A" w:rsidRDefault="00000000">
      <w:pPr>
        <w:widowControl w:val="0"/>
      </w:pPr>
      <w:proofErr w:type="spellStart"/>
      <w:r>
        <w:t>Delic</w:t>
      </w:r>
      <w:proofErr w:type="spellEnd"/>
      <w:r>
        <w:t xml:space="preserve">, S, Shuman, B, Lee, S, </w:t>
      </w:r>
      <w:proofErr w:type="spellStart"/>
      <w:r>
        <w:t>Bahmanyar</w:t>
      </w:r>
      <w:proofErr w:type="spellEnd"/>
      <w:r>
        <w:t xml:space="preserve">, S, </w:t>
      </w:r>
      <w:proofErr w:type="spellStart"/>
      <w:r>
        <w:t>Momany</w:t>
      </w:r>
      <w:proofErr w:type="spellEnd"/>
      <w:r>
        <w:t xml:space="preserve">, M, and </w:t>
      </w:r>
      <w:proofErr w:type="spellStart"/>
      <w:r>
        <w:t>Onishi</w:t>
      </w:r>
      <w:proofErr w:type="spellEnd"/>
      <w:r>
        <w:t xml:space="preserve">, M (2024). The evolutionary origins and ancestral features of </w:t>
      </w:r>
      <w:proofErr w:type="spellStart"/>
      <w:r>
        <w:t>septins</w:t>
      </w:r>
      <w:proofErr w:type="spellEnd"/>
      <w:r>
        <w:t>. Front Cell Dev Biol 12.</w:t>
      </w:r>
    </w:p>
    <w:p w14:paraId="6EECBC24" w14:textId="77777777" w:rsidR="000C600A" w:rsidRDefault="00000000">
      <w:pPr>
        <w:widowControl w:val="0"/>
      </w:pPr>
      <w:proofErr w:type="spellStart"/>
      <w:r>
        <w:t>Dolat</w:t>
      </w:r>
      <w:proofErr w:type="spellEnd"/>
      <w:r>
        <w:t xml:space="preserve">, L, </w:t>
      </w:r>
      <w:proofErr w:type="spellStart"/>
      <w:r>
        <w:t>Hunyara</w:t>
      </w:r>
      <w:proofErr w:type="spellEnd"/>
      <w:r>
        <w:t xml:space="preserve">, JL, Bowen, JR, </w:t>
      </w:r>
      <w:proofErr w:type="spellStart"/>
      <w:r>
        <w:t>Karasmanis</w:t>
      </w:r>
      <w:proofErr w:type="spellEnd"/>
      <w:r>
        <w:t xml:space="preserve">, EP, </w:t>
      </w:r>
      <w:proofErr w:type="spellStart"/>
      <w:r>
        <w:t>Elgawly</w:t>
      </w:r>
      <w:proofErr w:type="spellEnd"/>
      <w:r>
        <w:t xml:space="preserve">, M, </w:t>
      </w:r>
      <w:proofErr w:type="spellStart"/>
      <w:r>
        <w:t>Galkin</w:t>
      </w:r>
      <w:proofErr w:type="spellEnd"/>
      <w:r>
        <w:t xml:space="preserve">, VE, and </w:t>
      </w:r>
      <w:proofErr w:type="spellStart"/>
      <w:r>
        <w:t>Spiliotis</w:t>
      </w:r>
      <w:proofErr w:type="spellEnd"/>
      <w:r>
        <w:t xml:space="preserve">, ET (2014). </w:t>
      </w:r>
      <w:proofErr w:type="spellStart"/>
      <w:r>
        <w:t>Septins</w:t>
      </w:r>
      <w:proofErr w:type="spellEnd"/>
      <w:r>
        <w:t xml:space="preserve"> promote stress fiber-mediated maturation of focal adhesions and renal epithelial motility. J Cell Biol.</w:t>
      </w:r>
    </w:p>
    <w:p w14:paraId="0AFAA645" w14:textId="77777777" w:rsidR="000C600A" w:rsidRDefault="00000000">
      <w:pPr>
        <w:widowControl w:val="0"/>
      </w:pPr>
      <w:proofErr w:type="spellStart"/>
      <w:r>
        <w:t>Durell</w:t>
      </w:r>
      <w:proofErr w:type="spellEnd"/>
      <w:r>
        <w:t>, SR, Brooks, BR, and Ben-</w:t>
      </w:r>
      <w:proofErr w:type="spellStart"/>
      <w:r>
        <w:t>Naim</w:t>
      </w:r>
      <w:proofErr w:type="spellEnd"/>
      <w:r>
        <w:t>, A (1994). Solvent-induced forces between two hydrophilic groups. J Phys Chem 98, 2198–2202.</w:t>
      </w:r>
    </w:p>
    <w:p w14:paraId="4CC95BD7" w14:textId="77777777" w:rsidR="000C600A" w:rsidRDefault="00000000">
      <w:pPr>
        <w:widowControl w:val="0"/>
      </w:pPr>
      <w:r>
        <w:t xml:space="preserve">Emsley, P, </w:t>
      </w:r>
      <w:proofErr w:type="spellStart"/>
      <w:r>
        <w:t>Lohkamp</w:t>
      </w:r>
      <w:proofErr w:type="spellEnd"/>
      <w:r>
        <w:t xml:space="preserve">, B, Scott, WG, and </w:t>
      </w:r>
      <w:proofErr w:type="spellStart"/>
      <w:r>
        <w:t>Cowtan</w:t>
      </w:r>
      <w:proofErr w:type="spellEnd"/>
      <w:r>
        <w:t xml:space="preserve">, K (2010). Features and development of Coot. Acta </w:t>
      </w:r>
      <w:proofErr w:type="spellStart"/>
      <w:r>
        <w:t>Crystallogr</w:t>
      </w:r>
      <w:proofErr w:type="spellEnd"/>
      <w:r>
        <w:t xml:space="preserve"> D Biol </w:t>
      </w:r>
      <w:proofErr w:type="spellStart"/>
      <w:r>
        <w:t>Crystallogr</w:t>
      </w:r>
      <w:proofErr w:type="spellEnd"/>
      <w:r>
        <w:t xml:space="preserve"> 66, 486–501.</w:t>
      </w:r>
    </w:p>
    <w:p w14:paraId="63D5187A" w14:textId="77777777" w:rsidR="000C600A" w:rsidRDefault="00000000">
      <w:pPr>
        <w:widowControl w:val="0"/>
      </w:pPr>
      <w:proofErr w:type="spellStart"/>
      <w:r>
        <w:t>Essmann</w:t>
      </w:r>
      <w:proofErr w:type="spellEnd"/>
      <w:r>
        <w:t xml:space="preserve">, U, </w:t>
      </w:r>
      <w:proofErr w:type="spellStart"/>
      <w:r>
        <w:t>Perera</w:t>
      </w:r>
      <w:proofErr w:type="spellEnd"/>
      <w:r>
        <w:t>, L, Berkowitz, ML, Darden, T, Lee, H, and Pedersen, LG (1998). A smooth particle mesh Ewald method. J Chem Phys 103, 8577.</w:t>
      </w:r>
    </w:p>
    <w:p w14:paraId="0118E434" w14:textId="77777777" w:rsidR="000C600A" w:rsidRDefault="00000000">
      <w:pPr>
        <w:widowControl w:val="0"/>
      </w:pPr>
      <w:r>
        <w:t xml:space="preserve">Fischer, M, Frank, D, </w:t>
      </w:r>
      <w:proofErr w:type="spellStart"/>
      <w:r>
        <w:t>Rösler</w:t>
      </w:r>
      <w:proofErr w:type="spellEnd"/>
      <w:r>
        <w:t xml:space="preserve">, R, </w:t>
      </w:r>
      <w:proofErr w:type="spellStart"/>
      <w:r>
        <w:t>Johnsson</w:t>
      </w:r>
      <w:proofErr w:type="spellEnd"/>
      <w:r>
        <w:t xml:space="preserve">, N, and </w:t>
      </w:r>
      <w:proofErr w:type="spellStart"/>
      <w:r>
        <w:t>Gronemeyer</w:t>
      </w:r>
      <w:proofErr w:type="spellEnd"/>
      <w:r>
        <w:t xml:space="preserve">, T (2022). Biochemical Characterization of a Human </w:t>
      </w:r>
      <w:proofErr w:type="spellStart"/>
      <w:r>
        <w:t>Septin</w:t>
      </w:r>
      <w:proofErr w:type="spellEnd"/>
      <w:r>
        <w:t xml:space="preserve"> Octamer. Front Cell Dev Biol 10, 771388.</w:t>
      </w:r>
    </w:p>
    <w:p w14:paraId="32F7573D" w14:textId="77777777" w:rsidR="000C600A" w:rsidRDefault="00000000">
      <w:pPr>
        <w:widowControl w:val="0"/>
      </w:pPr>
      <w:proofErr w:type="spellStart"/>
      <w:r>
        <w:t>Fuechtbauer</w:t>
      </w:r>
      <w:proofErr w:type="spellEnd"/>
      <w:r>
        <w:t xml:space="preserve">, A, Lassen, LB, Jensen, AB, Howard, J, De Salas Quiroga, A, Warming, S, </w:t>
      </w:r>
      <w:proofErr w:type="spellStart"/>
      <w:r>
        <w:t>Soerensen</w:t>
      </w:r>
      <w:proofErr w:type="spellEnd"/>
      <w:r>
        <w:t xml:space="preserve">, AB, Pedersen, FS, and </w:t>
      </w:r>
      <w:proofErr w:type="spellStart"/>
      <w:r>
        <w:t>Fuechtbauer</w:t>
      </w:r>
      <w:proofErr w:type="spellEnd"/>
      <w:r>
        <w:t xml:space="preserve">, EM (2011). Septin9 is involved in </w:t>
      </w:r>
      <w:proofErr w:type="spellStart"/>
      <w:r>
        <w:t>septin</w:t>
      </w:r>
      <w:proofErr w:type="spellEnd"/>
      <w:r>
        <w:t xml:space="preserve"> filament formation and cellular stability. Biol Chem.</w:t>
      </w:r>
    </w:p>
    <w:p w14:paraId="55DA896A" w14:textId="77777777" w:rsidR="000C600A" w:rsidRDefault="00000000">
      <w:pPr>
        <w:widowControl w:val="0"/>
      </w:pPr>
      <w:r>
        <w:t xml:space="preserve">Garcia, G, </w:t>
      </w:r>
      <w:proofErr w:type="spellStart"/>
      <w:r>
        <w:t>Bertin</w:t>
      </w:r>
      <w:proofErr w:type="spellEnd"/>
      <w:r>
        <w:t xml:space="preserve">, A, Li, Z, Song, Y, </w:t>
      </w:r>
      <w:proofErr w:type="spellStart"/>
      <w:r>
        <w:t>Mcmurray</w:t>
      </w:r>
      <w:proofErr w:type="spellEnd"/>
      <w:r>
        <w:t xml:space="preserve">, MA, </w:t>
      </w:r>
      <w:proofErr w:type="spellStart"/>
      <w:r>
        <w:t>Thorner</w:t>
      </w:r>
      <w:proofErr w:type="spellEnd"/>
      <w:r>
        <w:t xml:space="preserve">, J, and Nogales, E (2011). Subunit-dependent modulation of </w:t>
      </w:r>
      <w:proofErr w:type="spellStart"/>
      <w:r>
        <w:t>septin</w:t>
      </w:r>
      <w:proofErr w:type="spellEnd"/>
      <w:r>
        <w:t xml:space="preserve"> assembly: </w:t>
      </w:r>
      <w:proofErr w:type="gramStart"/>
      <w:r>
        <w:t>Budding</w:t>
      </w:r>
      <w:proofErr w:type="gramEnd"/>
      <w:r>
        <w:t xml:space="preserve"> yeast </w:t>
      </w:r>
      <w:proofErr w:type="spellStart"/>
      <w:r>
        <w:t>septin</w:t>
      </w:r>
      <w:proofErr w:type="spellEnd"/>
      <w:r>
        <w:t xml:space="preserve"> Shs1 promotes ring and gauze formation. J Cell Biol 195, 993–1004.</w:t>
      </w:r>
    </w:p>
    <w:p w14:paraId="3BD68D13" w14:textId="77777777" w:rsidR="000C600A" w:rsidRDefault="00000000">
      <w:pPr>
        <w:widowControl w:val="0"/>
        <w:rPr>
          <w:lang w:val="de-DE"/>
        </w:rPr>
      </w:pPr>
      <w:proofErr w:type="spellStart"/>
      <w:r>
        <w:t>Göddeke</w:t>
      </w:r>
      <w:proofErr w:type="spellEnd"/>
      <w:r>
        <w:t xml:space="preserve">, H, and Schäfer, L V. (2020). Capturing Substrate Translocation in an ABC Exporter at the Atomic Level. </w:t>
      </w:r>
      <w:r>
        <w:rPr>
          <w:lang w:val="de-DE"/>
        </w:rPr>
        <w:t xml:space="preserve">J Am </w:t>
      </w:r>
      <w:proofErr w:type="spellStart"/>
      <w:r>
        <w:rPr>
          <w:lang w:val="de-DE"/>
        </w:rPr>
        <w:t>Chem</w:t>
      </w:r>
      <w:proofErr w:type="spellEnd"/>
      <w:r>
        <w:rPr>
          <w:lang w:val="de-DE"/>
        </w:rPr>
        <w:t xml:space="preserve"> </w:t>
      </w:r>
      <w:proofErr w:type="spellStart"/>
      <w:r>
        <w:rPr>
          <w:lang w:val="de-DE"/>
        </w:rPr>
        <w:t>Soc</w:t>
      </w:r>
      <w:proofErr w:type="spellEnd"/>
      <w:r>
        <w:rPr>
          <w:lang w:val="de-DE"/>
        </w:rPr>
        <w:t xml:space="preserve"> 142, 12791–12801.</w:t>
      </w:r>
    </w:p>
    <w:p w14:paraId="30EEE0BA" w14:textId="77777777" w:rsidR="000C600A" w:rsidRDefault="00000000">
      <w:pPr>
        <w:widowControl w:val="0"/>
      </w:pPr>
      <w:r>
        <w:rPr>
          <w:lang w:val="de-DE"/>
        </w:rPr>
        <w:lastRenderedPageBreak/>
        <w:t xml:space="preserve">Grupp, B, </w:t>
      </w:r>
      <w:proofErr w:type="spellStart"/>
      <w:r>
        <w:rPr>
          <w:lang w:val="de-DE"/>
        </w:rPr>
        <w:t>Denkhaus</w:t>
      </w:r>
      <w:proofErr w:type="spellEnd"/>
      <w:r>
        <w:rPr>
          <w:lang w:val="de-DE"/>
        </w:rPr>
        <w:t xml:space="preserve">, L, Gerhardt, S, Vögele, M, </w:t>
      </w:r>
      <w:proofErr w:type="spellStart"/>
      <w:r>
        <w:rPr>
          <w:lang w:val="de-DE"/>
        </w:rPr>
        <w:t>Johnsson</w:t>
      </w:r>
      <w:proofErr w:type="spellEnd"/>
      <w:r>
        <w:rPr>
          <w:lang w:val="de-DE"/>
        </w:rPr>
        <w:t xml:space="preserve">, N, and Gronemeyer, T (2024). </w:t>
      </w:r>
      <w:r>
        <w:t xml:space="preserve">The structure of a tetrameric </w:t>
      </w:r>
      <w:proofErr w:type="spellStart"/>
      <w:r>
        <w:t>septin</w:t>
      </w:r>
      <w:proofErr w:type="spellEnd"/>
      <w:r>
        <w:t xml:space="preserve"> complex reveals a hydrophobic element essential for NC-interface integrity. </w:t>
      </w:r>
      <w:proofErr w:type="spellStart"/>
      <w:r>
        <w:t>Commun</w:t>
      </w:r>
      <w:proofErr w:type="spellEnd"/>
      <w:r>
        <w:t xml:space="preserve"> Biol 2024 71 7, 1–15.</w:t>
      </w:r>
    </w:p>
    <w:p w14:paraId="57301CB5" w14:textId="77777777" w:rsidR="000C600A" w:rsidRDefault="00000000">
      <w:pPr>
        <w:widowControl w:val="0"/>
      </w:pPr>
      <w:r>
        <w:t xml:space="preserve">Grupp, B, and </w:t>
      </w:r>
      <w:proofErr w:type="spellStart"/>
      <w:r>
        <w:t>Gronemeyer</w:t>
      </w:r>
      <w:proofErr w:type="spellEnd"/>
      <w:r>
        <w:t xml:space="preserve">, T (2022). A biochemical view on the </w:t>
      </w:r>
      <w:proofErr w:type="spellStart"/>
      <w:r>
        <w:t>septins</w:t>
      </w:r>
      <w:proofErr w:type="spellEnd"/>
      <w:r>
        <w:t>, a less known component of the cytoskeleton. Biol Chem 404, 1–13.</w:t>
      </w:r>
    </w:p>
    <w:p w14:paraId="6BCA1D20" w14:textId="77777777" w:rsidR="000C600A" w:rsidRDefault="00000000">
      <w:pPr>
        <w:widowControl w:val="0"/>
      </w:pPr>
      <w:r w:rsidRPr="00666444">
        <w:t xml:space="preserve">Grupp, B, </w:t>
      </w:r>
      <w:proofErr w:type="spellStart"/>
      <w:r w:rsidRPr="00666444">
        <w:t>Lemkul</w:t>
      </w:r>
      <w:proofErr w:type="spellEnd"/>
      <w:r w:rsidRPr="00666444">
        <w:t xml:space="preserve">, JA, and </w:t>
      </w:r>
      <w:proofErr w:type="spellStart"/>
      <w:r w:rsidRPr="00666444">
        <w:t>Gronemeyer</w:t>
      </w:r>
      <w:proofErr w:type="spellEnd"/>
      <w:r w:rsidRPr="00666444">
        <w:t xml:space="preserve">, T (2023). </w:t>
      </w:r>
      <w:r>
        <w:t xml:space="preserve">An </w:t>
      </w:r>
      <w:proofErr w:type="gramStart"/>
      <w:r>
        <w:t>in silico</w:t>
      </w:r>
      <w:proofErr w:type="gramEnd"/>
      <w:r>
        <w:t xml:space="preserve"> approach to determine inter-subunit affinities in human </w:t>
      </w:r>
      <w:proofErr w:type="spellStart"/>
      <w:r>
        <w:t>septin</w:t>
      </w:r>
      <w:proofErr w:type="spellEnd"/>
      <w:r>
        <w:t xml:space="preserve"> complexes. Cytoskeleton (Hoboken).</w:t>
      </w:r>
    </w:p>
    <w:p w14:paraId="43CC3881" w14:textId="77777777" w:rsidR="000C600A" w:rsidRDefault="00000000">
      <w:pPr>
        <w:widowControl w:val="0"/>
      </w:pPr>
      <w:r>
        <w:t xml:space="preserve">Hecht, M, </w:t>
      </w:r>
      <w:proofErr w:type="spellStart"/>
      <w:r>
        <w:t>Alber</w:t>
      </w:r>
      <w:proofErr w:type="spellEnd"/>
      <w:r>
        <w:t xml:space="preserve">, N, </w:t>
      </w:r>
      <w:proofErr w:type="spellStart"/>
      <w:r>
        <w:t>Marhoffer</w:t>
      </w:r>
      <w:proofErr w:type="spellEnd"/>
      <w:r>
        <w:t xml:space="preserve">, P, </w:t>
      </w:r>
      <w:proofErr w:type="spellStart"/>
      <w:r>
        <w:t>Johnsson</w:t>
      </w:r>
      <w:proofErr w:type="spellEnd"/>
      <w:r>
        <w:t xml:space="preserve">, N, and </w:t>
      </w:r>
      <w:proofErr w:type="spellStart"/>
      <w:r>
        <w:t>Gronemeyer</w:t>
      </w:r>
      <w:proofErr w:type="spellEnd"/>
      <w:r>
        <w:t>, T (2024). The concerted action of SEPT9 and EPLIN modulates the adhesion and migration of human fibroblasts. Life Sci Alliance 7.</w:t>
      </w:r>
    </w:p>
    <w:p w14:paraId="0CA08BA7" w14:textId="77777777" w:rsidR="000C600A" w:rsidRDefault="00000000">
      <w:pPr>
        <w:widowControl w:val="0"/>
      </w:pPr>
      <w:r>
        <w:t xml:space="preserve">Hecht, M, </w:t>
      </w:r>
      <w:proofErr w:type="spellStart"/>
      <w:r>
        <w:t>Rösler</w:t>
      </w:r>
      <w:proofErr w:type="spellEnd"/>
      <w:r>
        <w:t xml:space="preserve">, R, Wiese, S, </w:t>
      </w:r>
      <w:proofErr w:type="spellStart"/>
      <w:r>
        <w:t>Johnsson</w:t>
      </w:r>
      <w:proofErr w:type="spellEnd"/>
      <w:r>
        <w:t xml:space="preserve">, N, and </w:t>
      </w:r>
      <w:proofErr w:type="spellStart"/>
      <w:r>
        <w:t>Gronemeyer</w:t>
      </w:r>
      <w:proofErr w:type="spellEnd"/>
      <w:r>
        <w:t xml:space="preserve">, T (2019). An Interaction Network of the Human SEPT9 Established by Quantitative Mass Spectrometry. G3 </w:t>
      </w:r>
      <w:proofErr w:type="spellStart"/>
      <w:r>
        <w:t>Genes|Genomes|Genetics</w:t>
      </w:r>
      <w:proofErr w:type="spellEnd"/>
      <w:r>
        <w:t xml:space="preserve"> 9, 1869.</w:t>
      </w:r>
    </w:p>
    <w:p w14:paraId="061A3088" w14:textId="77777777" w:rsidR="000C600A" w:rsidRDefault="00000000">
      <w:pPr>
        <w:widowControl w:val="0"/>
      </w:pPr>
      <w:r>
        <w:t xml:space="preserve">Hess, B (2008). P-LINCS: A parallel linear constraint solver for molecular simulation. J Chem Theory </w:t>
      </w:r>
      <w:proofErr w:type="spellStart"/>
      <w:r>
        <w:t>Comput</w:t>
      </w:r>
      <w:proofErr w:type="spellEnd"/>
      <w:r>
        <w:t xml:space="preserve"> 4, 116–122.</w:t>
      </w:r>
    </w:p>
    <w:p w14:paraId="35C480FD" w14:textId="77777777" w:rsidR="000C600A" w:rsidRDefault="00000000">
      <w:pPr>
        <w:widowControl w:val="0"/>
      </w:pPr>
      <w:r>
        <w:t xml:space="preserve">Hess, B, </w:t>
      </w:r>
      <w:proofErr w:type="spellStart"/>
      <w:r>
        <w:t>Bekker</w:t>
      </w:r>
      <w:proofErr w:type="spellEnd"/>
      <w:r>
        <w:t xml:space="preserve">, H, Berendsen, HJC, and </w:t>
      </w:r>
      <w:proofErr w:type="spellStart"/>
      <w:r>
        <w:t>Fraaije</w:t>
      </w:r>
      <w:proofErr w:type="spellEnd"/>
      <w:r>
        <w:t xml:space="preserve">, JGEM (1997). LINCS: A Linear Constraint Solver for Molecular Simulations. J </w:t>
      </w:r>
      <w:proofErr w:type="spellStart"/>
      <w:r>
        <w:t>Comput</w:t>
      </w:r>
      <w:proofErr w:type="spellEnd"/>
      <w:r>
        <w:t xml:space="preserve"> Chem 18, 14631472.</w:t>
      </w:r>
    </w:p>
    <w:p w14:paraId="4E952A7F" w14:textId="77777777" w:rsidR="000C600A" w:rsidRDefault="00000000">
      <w:pPr>
        <w:widowControl w:val="0"/>
      </w:pPr>
      <w:r>
        <w:t xml:space="preserve">Huang, J, Rauscher, S, Nawrocki, G, Ran, T, Feig, M, De Groot, BL, </w:t>
      </w:r>
      <w:proofErr w:type="spellStart"/>
      <w:r>
        <w:t>Grubmüller</w:t>
      </w:r>
      <w:proofErr w:type="spellEnd"/>
      <w:r>
        <w:t xml:space="preserve">, H, and </w:t>
      </w:r>
      <w:proofErr w:type="spellStart"/>
      <w:r>
        <w:t>MacKerell</w:t>
      </w:r>
      <w:proofErr w:type="spellEnd"/>
      <w:r>
        <w:t>, AD (2017). CHARMM36m: an improved force field for folded and intrinsically disordered proteins. Nat Methods 14, 71–73.</w:t>
      </w:r>
    </w:p>
    <w:p w14:paraId="4B8C3A01" w14:textId="77777777" w:rsidR="000C600A" w:rsidRDefault="00000000">
      <w:pPr>
        <w:widowControl w:val="0"/>
      </w:pPr>
      <w:r>
        <w:t xml:space="preserve">Hussain, A, Nguyen, VT, </w:t>
      </w:r>
      <w:proofErr w:type="spellStart"/>
      <w:r>
        <w:t>Reigan</w:t>
      </w:r>
      <w:proofErr w:type="spellEnd"/>
      <w:r>
        <w:t xml:space="preserve">, P, and McMurray, M (2023). Evolutionary degeneration of </w:t>
      </w:r>
      <w:proofErr w:type="spellStart"/>
      <w:r>
        <w:t>septins</w:t>
      </w:r>
      <w:proofErr w:type="spellEnd"/>
      <w:r>
        <w:t xml:space="preserve"> into </w:t>
      </w:r>
      <w:proofErr w:type="spellStart"/>
      <w:r>
        <w:t>pseudoGTPases</w:t>
      </w:r>
      <w:proofErr w:type="spellEnd"/>
      <w:r>
        <w:t>: impacts on a hetero-oligomeric assembly interface. Front Cell Dev Biol 11, 1296657.</w:t>
      </w:r>
    </w:p>
    <w:p w14:paraId="5D9A1978" w14:textId="77777777" w:rsidR="000C600A" w:rsidRDefault="00000000">
      <w:pPr>
        <w:widowControl w:val="0"/>
      </w:pPr>
      <w:proofErr w:type="spellStart"/>
      <w:r>
        <w:t>Jin</w:t>
      </w:r>
      <w:proofErr w:type="spellEnd"/>
      <w:r>
        <w:t xml:space="preserve">, Y, Richards, NG, </w:t>
      </w:r>
      <w:proofErr w:type="spellStart"/>
      <w:r>
        <w:t>Waltho</w:t>
      </w:r>
      <w:proofErr w:type="spellEnd"/>
      <w:r>
        <w:t xml:space="preserve">, JP, and Blackburn, GM (2017). Metal Fluorides as Analogues for Studies on Phosphoryl Transfer Enzymes. </w:t>
      </w:r>
      <w:proofErr w:type="spellStart"/>
      <w:r>
        <w:t>Angew</w:t>
      </w:r>
      <w:proofErr w:type="spellEnd"/>
      <w:r>
        <w:t xml:space="preserve"> </w:t>
      </w:r>
      <w:proofErr w:type="spellStart"/>
      <w:r>
        <w:t>Chemie</w:t>
      </w:r>
      <w:proofErr w:type="spellEnd"/>
      <w:r>
        <w:t xml:space="preserve"> Int Ed 56, 4110–4128.</w:t>
      </w:r>
    </w:p>
    <w:p w14:paraId="7BCFFA04" w14:textId="77777777" w:rsidR="000C600A" w:rsidRDefault="00000000">
      <w:pPr>
        <w:widowControl w:val="0"/>
      </w:pPr>
      <w:r>
        <w:t xml:space="preserve">Jorgensen, WL, Chandrasekhar, J, Madura, JD, </w:t>
      </w:r>
      <w:proofErr w:type="spellStart"/>
      <w:r>
        <w:t>Impey</w:t>
      </w:r>
      <w:proofErr w:type="spellEnd"/>
      <w:r>
        <w:t>, RW, and Klein, ML (1998). Comparison of simple potential functions for simulating liquid water. J Chem Phys 79, 926.</w:t>
      </w:r>
    </w:p>
    <w:p w14:paraId="74B75B18" w14:textId="77777777" w:rsidR="000C600A" w:rsidRDefault="00000000">
      <w:pPr>
        <w:widowControl w:val="0"/>
      </w:pPr>
      <w:proofErr w:type="spellStart"/>
      <w:r>
        <w:t>Kabsch</w:t>
      </w:r>
      <w:proofErr w:type="spellEnd"/>
      <w:r>
        <w:t xml:space="preserve">, W (2010). XDS. Acta </w:t>
      </w:r>
      <w:proofErr w:type="spellStart"/>
      <w:r>
        <w:t>Crystallogr</w:t>
      </w:r>
      <w:proofErr w:type="spellEnd"/>
      <w:r>
        <w:t xml:space="preserve"> D Biol </w:t>
      </w:r>
      <w:proofErr w:type="spellStart"/>
      <w:r>
        <w:t>Crystallogr</w:t>
      </w:r>
      <w:proofErr w:type="spellEnd"/>
      <w:r>
        <w:t xml:space="preserve"> 66, 125–132.</w:t>
      </w:r>
    </w:p>
    <w:p w14:paraId="392E9A6F" w14:textId="77777777" w:rsidR="000C600A" w:rsidRDefault="00000000">
      <w:pPr>
        <w:widowControl w:val="0"/>
      </w:pPr>
      <w:r>
        <w:t xml:space="preserve">Kaplan, C, Jing, B, </w:t>
      </w:r>
      <w:proofErr w:type="spellStart"/>
      <w:r>
        <w:t>Winterflood</w:t>
      </w:r>
      <w:proofErr w:type="spellEnd"/>
      <w:r>
        <w:t xml:space="preserve">, CM, Bridges, AA, </w:t>
      </w:r>
      <w:proofErr w:type="spellStart"/>
      <w:r>
        <w:t>Occhipinti</w:t>
      </w:r>
      <w:proofErr w:type="spellEnd"/>
      <w:r>
        <w:t xml:space="preserve">, P, </w:t>
      </w:r>
      <w:proofErr w:type="spellStart"/>
      <w:r>
        <w:t>Schmied</w:t>
      </w:r>
      <w:proofErr w:type="spellEnd"/>
      <w:r>
        <w:t xml:space="preserve">, J, </w:t>
      </w:r>
      <w:proofErr w:type="spellStart"/>
      <w:r>
        <w:t>Grinhagens</w:t>
      </w:r>
      <w:proofErr w:type="spellEnd"/>
      <w:r>
        <w:t xml:space="preserve">, S, </w:t>
      </w:r>
      <w:proofErr w:type="spellStart"/>
      <w:r>
        <w:t>Gronemeyer</w:t>
      </w:r>
      <w:proofErr w:type="spellEnd"/>
      <w:r>
        <w:t xml:space="preserve">, T, </w:t>
      </w:r>
      <w:proofErr w:type="spellStart"/>
      <w:r>
        <w:t>Tinnefeld</w:t>
      </w:r>
      <w:proofErr w:type="spellEnd"/>
      <w:r>
        <w:t xml:space="preserve">, P, </w:t>
      </w:r>
      <w:proofErr w:type="spellStart"/>
      <w:r>
        <w:t>Gladfelter</w:t>
      </w:r>
      <w:proofErr w:type="spellEnd"/>
      <w:r>
        <w:t xml:space="preserve">, AS, </w:t>
      </w:r>
      <w:r>
        <w:rPr>
          <w:i/>
        </w:rPr>
        <w:t>et al.</w:t>
      </w:r>
      <w:r>
        <w:t xml:space="preserve"> (2015). Absolute Arrangement of Subunits in Cytoskeletal </w:t>
      </w:r>
      <w:proofErr w:type="spellStart"/>
      <w:r>
        <w:t>Septin</w:t>
      </w:r>
      <w:proofErr w:type="spellEnd"/>
      <w:r>
        <w:t xml:space="preserve"> Filaments in Cells Measured by Fluorescence Microscopy. Nano Lett 15, 3859–3864.</w:t>
      </w:r>
    </w:p>
    <w:p w14:paraId="4BE771C2" w14:textId="77777777" w:rsidR="000C600A" w:rsidRDefault="00000000">
      <w:pPr>
        <w:widowControl w:val="0"/>
      </w:pPr>
      <w:proofErr w:type="spellStart"/>
      <w:r>
        <w:t>Kästner</w:t>
      </w:r>
      <w:proofErr w:type="spellEnd"/>
      <w:r>
        <w:t xml:space="preserve">, J (2011). Umbrella sampling. Wiley </w:t>
      </w:r>
      <w:proofErr w:type="spellStart"/>
      <w:r>
        <w:t>Interdiscip</w:t>
      </w:r>
      <w:proofErr w:type="spellEnd"/>
      <w:r>
        <w:t xml:space="preserve"> Rev </w:t>
      </w:r>
      <w:proofErr w:type="spellStart"/>
      <w:r>
        <w:t>Comput</w:t>
      </w:r>
      <w:proofErr w:type="spellEnd"/>
      <w:r>
        <w:t xml:space="preserve"> Mol Sci 1, 932–942.</w:t>
      </w:r>
    </w:p>
    <w:p w14:paraId="09040CBA" w14:textId="77777777" w:rsidR="000C600A" w:rsidRDefault="00000000">
      <w:pPr>
        <w:widowControl w:val="0"/>
      </w:pPr>
      <w:r>
        <w:t xml:space="preserve">Lam, M, and Calvo, F (2019). Regulation of </w:t>
      </w:r>
      <w:proofErr w:type="spellStart"/>
      <w:r>
        <w:t>mechanotransduction</w:t>
      </w:r>
      <w:proofErr w:type="spellEnd"/>
      <w:r>
        <w:t xml:space="preserve">: Emerging roles for </w:t>
      </w:r>
      <w:proofErr w:type="spellStart"/>
      <w:r>
        <w:t>septins</w:t>
      </w:r>
      <w:proofErr w:type="spellEnd"/>
      <w:r>
        <w:t>. Cytoskeleton 76, 115–122.</w:t>
      </w:r>
    </w:p>
    <w:p w14:paraId="7B68E899" w14:textId="77777777" w:rsidR="000C600A" w:rsidRDefault="00000000">
      <w:pPr>
        <w:widowControl w:val="0"/>
      </w:pPr>
      <w:proofErr w:type="spellStart"/>
      <w:r>
        <w:t>Leipe</w:t>
      </w:r>
      <w:proofErr w:type="spellEnd"/>
      <w:r>
        <w:t xml:space="preserve">, DD, Wolf, YI, </w:t>
      </w:r>
      <w:proofErr w:type="spellStart"/>
      <w:r>
        <w:t>Koonin</w:t>
      </w:r>
      <w:proofErr w:type="spellEnd"/>
      <w:r>
        <w:t>, E V., and Aravind, L (2002). Classification and evolution of P-loop GTPases and related ATPases. J Mol Biol 317, 41–72.</w:t>
      </w:r>
    </w:p>
    <w:p w14:paraId="02B03C28" w14:textId="77777777" w:rsidR="000C600A" w:rsidRDefault="00000000">
      <w:pPr>
        <w:widowControl w:val="0"/>
      </w:pPr>
      <w:proofErr w:type="spellStart"/>
      <w:r>
        <w:t>Lemkul</w:t>
      </w:r>
      <w:proofErr w:type="spellEnd"/>
      <w:r>
        <w:t>, JA, and Bevan, DR (2010). Assessing the stability of Alzheimer’s amyloid protofibrils using molecular dynamics. J Phys Chem B 114, 1652–1660.</w:t>
      </w:r>
    </w:p>
    <w:p w14:paraId="3E0086B3" w14:textId="77777777" w:rsidR="000C600A" w:rsidRDefault="00000000">
      <w:pPr>
        <w:widowControl w:val="0"/>
      </w:pPr>
      <w:r>
        <w:t xml:space="preserve">Marques da Silva, R, </w:t>
      </w:r>
      <w:proofErr w:type="spellStart"/>
      <w:r>
        <w:t>Christe</w:t>
      </w:r>
      <w:proofErr w:type="spellEnd"/>
      <w:r>
        <w:t xml:space="preserve"> dos Reis </w:t>
      </w:r>
      <w:proofErr w:type="spellStart"/>
      <w:r>
        <w:t>Saladino</w:t>
      </w:r>
      <w:proofErr w:type="spellEnd"/>
      <w:r>
        <w:t xml:space="preserve">, G, Antonio Leonardo, D, </w:t>
      </w:r>
      <w:proofErr w:type="spellStart"/>
      <w:r>
        <w:t>D’Muniz</w:t>
      </w:r>
      <w:proofErr w:type="spellEnd"/>
      <w:r>
        <w:t xml:space="preserve"> Pereira, H, Andréa </w:t>
      </w:r>
      <w:proofErr w:type="spellStart"/>
      <w:r>
        <w:t>Sculaccio</w:t>
      </w:r>
      <w:proofErr w:type="spellEnd"/>
      <w:r>
        <w:t xml:space="preserve">, S, Paula </w:t>
      </w:r>
      <w:proofErr w:type="spellStart"/>
      <w:r>
        <w:t>Ulian</w:t>
      </w:r>
      <w:proofErr w:type="spellEnd"/>
      <w:r>
        <w:t xml:space="preserve"> Araujo, A, and Charles Garratt, R (2023). A key piece of the puzzle: The central tetramer of the Saccharomyces cerevisiae </w:t>
      </w:r>
      <w:proofErr w:type="spellStart"/>
      <w:r>
        <w:t>septin</w:t>
      </w:r>
      <w:proofErr w:type="spellEnd"/>
      <w:r>
        <w:t xml:space="preserve"> protofilament and its implications for self-assembly. J Struct Biol 215.</w:t>
      </w:r>
    </w:p>
    <w:p w14:paraId="353C5566" w14:textId="77777777" w:rsidR="000C600A" w:rsidRDefault="00000000">
      <w:pPr>
        <w:widowControl w:val="0"/>
      </w:pPr>
      <w:r>
        <w:t>McCoy, AJ, Grosse-</w:t>
      </w:r>
      <w:proofErr w:type="spellStart"/>
      <w:r>
        <w:t>Kunstleve</w:t>
      </w:r>
      <w:proofErr w:type="spellEnd"/>
      <w:r>
        <w:t xml:space="preserve">, RW, Adams, PD, Winn, MD, </w:t>
      </w:r>
      <w:proofErr w:type="spellStart"/>
      <w:r>
        <w:t>Storoni</w:t>
      </w:r>
      <w:proofErr w:type="spellEnd"/>
      <w:r>
        <w:t xml:space="preserve">, LC, and Read, RJ (2007). Phaser crystallographic software. J Appl </w:t>
      </w:r>
      <w:proofErr w:type="spellStart"/>
      <w:r>
        <w:t>Crystallogr</w:t>
      </w:r>
      <w:proofErr w:type="spellEnd"/>
      <w:r>
        <w:t xml:space="preserve"> 40, 658–674.</w:t>
      </w:r>
    </w:p>
    <w:p w14:paraId="66A508C3" w14:textId="77777777" w:rsidR="000C600A" w:rsidRDefault="00000000">
      <w:pPr>
        <w:widowControl w:val="0"/>
      </w:pPr>
      <w:proofErr w:type="spellStart"/>
      <w:r>
        <w:t>Mendonça</w:t>
      </w:r>
      <w:proofErr w:type="spellEnd"/>
      <w:r>
        <w:t xml:space="preserve">, DC, </w:t>
      </w:r>
      <w:proofErr w:type="spellStart"/>
      <w:r>
        <w:t>Guimarães</w:t>
      </w:r>
      <w:proofErr w:type="spellEnd"/>
      <w:r>
        <w:t xml:space="preserve">, SL, Pereira, HD, Pinto, AA, de Farias, MA, de Godoy, AS, Araujo, APU, van Heel, M, Portugal, R V., and Garratt, RC (2021). An atomic model for the human </w:t>
      </w:r>
      <w:proofErr w:type="spellStart"/>
      <w:r>
        <w:t>septin</w:t>
      </w:r>
      <w:proofErr w:type="spellEnd"/>
      <w:r>
        <w:t xml:space="preserve"> hexamer by cryo-EM. J Mol Biol 433, 167096.</w:t>
      </w:r>
    </w:p>
    <w:p w14:paraId="644E1175" w14:textId="77777777" w:rsidR="000C600A" w:rsidRDefault="00000000">
      <w:pPr>
        <w:widowControl w:val="0"/>
      </w:pPr>
      <w:r>
        <w:lastRenderedPageBreak/>
        <w:t xml:space="preserve">Morris, KM, Henderson, R, Suresh Kumar, TK, </w:t>
      </w:r>
      <w:proofErr w:type="spellStart"/>
      <w:r>
        <w:t>Heyes</w:t>
      </w:r>
      <w:proofErr w:type="spellEnd"/>
      <w:r>
        <w:t>, CD, and Adams, PD (2016). Intrinsic GTP hydrolysis is observed for a switch 1 variant of Cdc42 in the presence of a specific GTPase inhibitor. Small GTPases 7, 1–11.</w:t>
      </w:r>
    </w:p>
    <w:p w14:paraId="22008F92" w14:textId="77777777" w:rsidR="000C600A" w:rsidRDefault="00000000">
      <w:pPr>
        <w:widowControl w:val="0"/>
      </w:pPr>
      <w:proofErr w:type="spellStart"/>
      <w:r>
        <w:t>Mostowy</w:t>
      </w:r>
      <w:proofErr w:type="spellEnd"/>
      <w:r>
        <w:t xml:space="preserve">, S, and </w:t>
      </w:r>
      <w:proofErr w:type="spellStart"/>
      <w:r>
        <w:t>Cossart</w:t>
      </w:r>
      <w:proofErr w:type="spellEnd"/>
      <w:r>
        <w:t xml:space="preserve">, P (2012). </w:t>
      </w:r>
      <w:proofErr w:type="spellStart"/>
      <w:r>
        <w:t>Septins</w:t>
      </w:r>
      <w:proofErr w:type="spellEnd"/>
      <w:r>
        <w:t>: the fourth component of the cytoskeleton. Nat Rev Mol Cell Biol 13, 183–194.</w:t>
      </w:r>
    </w:p>
    <w:p w14:paraId="0A909442" w14:textId="77777777" w:rsidR="000C600A" w:rsidRDefault="00000000">
      <w:pPr>
        <w:widowControl w:val="0"/>
      </w:pPr>
      <w:proofErr w:type="spellStart"/>
      <w:r>
        <w:t>Neria</w:t>
      </w:r>
      <w:proofErr w:type="spellEnd"/>
      <w:r>
        <w:t>, E, Fischer, S, and Karplus, M (1998). Simulation of activation free energies in molecular systems. J Chem Phys 105, 1902.</w:t>
      </w:r>
    </w:p>
    <w:p w14:paraId="67944EA3" w14:textId="77777777" w:rsidR="000C600A" w:rsidRDefault="00000000">
      <w:pPr>
        <w:widowControl w:val="0"/>
      </w:pPr>
      <w:r>
        <w:t xml:space="preserve">Pan, F, </w:t>
      </w:r>
      <w:proofErr w:type="spellStart"/>
      <w:r>
        <w:t>Malmberg</w:t>
      </w:r>
      <w:proofErr w:type="spellEnd"/>
      <w:r>
        <w:t xml:space="preserve">, RL, and </w:t>
      </w:r>
      <w:proofErr w:type="spellStart"/>
      <w:r>
        <w:t>Momany</w:t>
      </w:r>
      <w:proofErr w:type="spellEnd"/>
      <w:r>
        <w:t xml:space="preserve">, M (2007). Analysis of </w:t>
      </w:r>
      <w:proofErr w:type="spellStart"/>
      <w:r>
        <w:t>septins</w:t>
      </w:r>
      <w:proofErr w:type="spellEnd"/>
      <w:r>
        <w:t xml:space="preserve"> across kingdoms reveals </w:t>
      </w:r>
      <w:proofErr w:type="spellStart"/>
      <w:r>
        <w:t>orthology</w:t>
      </w:r>
      <w:proofErr w:type="spellEnd"/>
      <w:r>
        <w:t xml:space="preserve"> and new motifs. BMC </w:t>
      </w:r>
      <w:proofErr w:type="spellStart"/>
      <w:r>
        <w:t>Evol</w:t>
      </w:r>
      <w:proofErr w:type="spellEnd"/>
      <w:r>
        <w:t xml:space="preserve"> Biol 7, 103.</w:t>
      </w:r>
    </w:p>
    <w:p w14:paraId="3F99B8ED" w14:textId="77777777" w:rsidR="000C600A" w:rsidRDefault="00000000">
      <w:pPr>
        <w:widowControl w:val="0"/>
      </w:pPr>
      <w:proofErr w:type="spellStart"/>
      <w:r>
        <w:t>Parrinello</w:t>
      </w:r>
      <w:proofErr w:type="spellEnd"/>
      <w:r>
        <w:t>, M, and Rahman, A (1998). Polymorphic transitions in single crystals: A new molecular dynamics method. J Appl Phys 52, 7182.</w:t>
      </w:r>
    </w:p>
    <w:p w14:paraId="075843A7" w14:textId="77777777" w:rsidR="000C600A" w:rsidRDefault="00000000">
      <w:pPr>
        <w:widowControl w:val="0"/>
      </w:pPr>
      <w:r>
        <w:t xml:space="preserve">Patel, JS, and </w:t>
      </w:r>
      <w:proofErr w:type="spellStart"/>
      <w:r>
        <w:t>Ytreberg</w:t>
      </w:r>
      <w:proofErr w:type="spellEnd"/>
      <w:r>
        <w:t xml:space="preserve">, FM (2018). Fast Calculation of Protein-Protein Binding Free Energies Using Umbrella Sampling with a Coarse-Grained Model. J Chem Theory </w:t>
      </w:r>
      <w:proofErr w:type="spellStart"/>
      <w:r>
        <w:t>Comput</w:t>
      </w:r>
      <w:proofErr w:type="spellEnd"/>
      <w:r>
        <w:t xml:space="preserve"> 14, 991–997.</w:t>
      </w:r>
    </w:p>
    <w:p w14:paraId="60281231" w14:textId="77777777" w:rsidR="000C600A" w:rsidRDefault="00000000">
      <w:pPr>
        <w:widowControl w:val="0"/>
      </w:pPr>
      <w:proofErr w:type="spellStart"/>
      <w:r>
        <w:t>Šali</w:t>
      </w:r>
      <w:proofErr w:type="spellEnd"/>
      <w:r>
        <w:t>, A, and Blundell, TL (1993). Comparative protein modelling by satisfaction of spatial restraints. J Mol Biol 234, 779–815.</w:t>
      </w:r>
    </w:p>
    <w:p w14:paraId="7C4EC84D" w14:textId="77777777" w:rsidR="000C600A" w:rsidRDefault="00000000">
      <w:pPr>
        <w:widowControl w:val="0"/>
      </w:pPr>
      <w:r>
        <w:t xml:space="preserve">Schneider, C, </w:t>
      </w:r>
      <w:proofErr w:type="spellStart"/>
      <w:r>
        <w:t>Grois</w:t>
      </w:r>
      <w:proofErr w:type="spellEnd"/>
      <w:r>
        <w:t xml:space="preserve">, J, Renz, C, </w:t>
      </w:r>
      <w:proofErr w:type="spellStart"/>
      <w:r>
        <w:t>Gronemeyer</w:t>
      </w:r>
      <w:proofErr w:type="spellEnd"/>
      <w:r>
        <w:t xml:space="preserve">, T, and </w:t>
      </w:r>
      <w:proofErr w:type="spellStart"/>
      <w:r>
        <w:t>Johnsson</w:t>
      </w:r>
      <w:proofErr w:type="spellEnd"/>
      <w:r>
        <w:t xml:space="preserve">, N (2013). </w:t>
      </w:r>
      <w:proofErr w:type="spellStart"/>
      <w:r>
        <w:t>Septin</w:t>
      </w:r>
      <w:proofErr w:type="spellEnd"/>
      <w:r>
        <w:t xml:space="preserve"> rings act as a template for myosin higher-order structures and inhibit redundant polarity establishment. J Cell Sci 126, 3390–3400.</w:t>
      </w:r>
    </w:p>
    <w:p w14:paraId="75671E64" w14:textId="77777777" w:rsidR="000C600A" w:rsidRDefault="00000000">
      <w:pPr>
        <w:widowControl w:val="0"/>
      </w:pPr>
      <w:r>
        <w:t xml:space="preserve">Shuman, B, and </w:t>
      </w:r>
      <w:proofErr w:type="spellStart"/>
      <w:r>
        <w:t>Momany</w:t>
      </w:r>
      <w:proofErr w:type="spellEnd"/>
      <w:r>
        <w:t xml:space="preserve">, M (2022). </w:t>
      </w:r>
      <w:proofErr w:type="spellStart"/>
      <w:r>
        <w:t>Septins</w:t>
      </w:r>
      <w:proofErr w:type="spellEnd"/>
      <w:r>
        <w:t xml:space="preserve"> From Protists to People. Front Cell Dev Biol 9, 824850.</w:t>
      </w:r>
    </w:p>
    <w:p w14:paraId="1005DC3D" w14:textId="77777777" w:rsidR="000C600A" w:rsidRDefault="00000000">
      <w:pPr>
        <w:widowControl w:val="0"/>
      </w:pPr>
      <w:r>
        <w:t xml:space="preserve">Sirajuddin, M, </w:t>
      </w:r>
      <w:proofErr w:type="spellStart"/>
      <w:r>
        <w:t>Farkasovsky</w:t>
      </w:r>
      <w:proofErr w:type="spellEnd"/>
      <w:r>
        <w:t xml:space="preserve">, M, Hauer, F, </w:t>
      </w:r>
      <w:proofErr w:type="spellStart"/>
      <w:r>
        <w:t>Kühlmann</w:t>
      </w:r>
      <w:proofErr w:type="spellEnd"/>
      <w:r>
        <w:t xml:space="preserve">, D, </w:t>
      </w:r>
      <w:proofErr w:type="spellStart"/>
      <w:r>
        <w:t>Macara</w:t>
      </w:r>
      <w:proofErr w:type="spellEnd"/>
      <w:r>
        <w:t xml:space="preserve">, IG, </w:t>
      </w:r>
      <w:proofErr w:type="spellStart"/>
      <w:r>
        <w:t>Weyand</w:t>
      </w:r>
      <w:proofErr w:type="spellEnd"/>
      <w:r>
        <w:t xml:space="preserve">, M, Stark, H, and </w:t>
      </w:r>
      <w:proofErr w:type="spellStart"/>
      <w:r>
        <w:t>Wittinghofer</w:t>
      </w:r>
      <w:proofErr w:type="spellEnd"/>
      <w:r>
        <w:t xml:space="preserve">, A (2007). Structural insight into filament formation by mammalian </w:t>
      </w:r>
      <w:proofErr w:type="spellStart"/>
      <w:r>
        <w:t>septins</w:t>
      </w:r>
      <w:proofErr w:type="spellEnd"/>
      <w:r>
        <w:t>. Nature 449, 311–315.</w:t>
      </w:r>
    </w:p>
    <w:p w14:paraId="4BDED804" w14:textId="77777777" w:rsidR="000C600A" w:rsidRDefault="00000000">
      <w:pPr>
        <w:widowControl w:val="0"/>
      </w:pPr>
      <w:r>
        <w:t xml:space="preserve">Sirajuddin, M, </w:t>
      </w:r>
      <w:proofErr w:type="spellStart"/>
      <w:r>
        <w:t>Farkasovsky</w:t>
      </w:r>
      <w:proofErr w:type="spellEnd"/>
      <w:r>
        <w:t xml:space="preserve">, M, </w:t>
      </w:r>
      <w:proofErr w:type="spellStart"/>
      <w:r>
        <w:t>Zent</w:t>
      </w:r>
      <w:proofErr w:type="spellEnd"/>
      <w:r>
        <w:t xml:space="preserve">, E, </w:t>
      </w:r>
      <w:proofErr w:type="spellStart"/>
      <w:r>
        <w:t>Wittinghofer</w:t>
      </w:r>
      <w:proofErr w:type="spellEnd"/>
      <w:r>
        <w:t xml:space="preserve">, A, and </w:t>
      </w:r>
      <w:proofErr w:type="spellStart"/>
      <w:r>
        <w:t>Fersht</w:t>
      </w:r>
      <w:proofErr w:type="spellEnd"/>
      <w:r>
        <w:t xml:space="preserve">, A (2009). GTP-induced conformational changes in </w:t>
      </w:r>
      <w:proofErr w:type="spellStart"/>
      <w:r>
        <w:t>septins</w:t>
      </w:r>
      <w:proofErr w:type="spellEnd"/>
      <w:r>
        <w:t xml:space="preserve"> and implications for function. PNAS 106, 16592–16597.</w:t>
      </w:r>
    </w:p>
    <w:p w14:paraId="3F11F2B6" w14:textId="77777777" w:rsidR="000C600A" w:rsidRDefault="00000000">
      <w:pPr>
        <w:widowControl w:val="0"/>
      </w:pPr>
      <w:proofErr w:type="spellStart"/>
      <w:r>
        <w:t>Spiliotis</w:t>
      </w:r>
      <w:proofErr w:type="spellEnd"/>
      <w:r>
        <w:t xml:space="preserve">, ET, </w:t>
      </w:r>
      <w:proofErr w:type="spellStart"/>
      <w:r>
        <w:t>Karasmanis</w:t>
      </w:r>
      <w:proofErr w:type="spellEnd"/>
      <w:r>
        <w:t xml:space="preserve">, EP, and </w:t>
      </w:r>
      <w:proofErr w:type="spellStart"/>
      <w:r>
        <w:t>Dolat</w:t>
      </w:r>
      <w:proofErr w:type="spellEnd"/>
      <w:r>
        <w:t xml:space="preserve">, L (2016). Fluorescence microscopy of actin- and microtubule-associated </w:t>
      </w:r>
      <w:proofErr w:type="spellStart"/>
      <w:r>
        <w:t>septins</w:t>
      </w:r>
      <w:proofErr w:type="spellEnd"/>
      <w:r>
        <w:t xml:space="preserve"> in mammalian cells. In: Methods in Cell Biology, 243–268.</w:t>
      </w:r>
    </w:p>
    <w:p w14:paraId="2E99011E" w14:textId="77777777" w:rsidR="000C600A" w:rsidRDefault="00000000">
      <w:pPr>
        <w:widowControl w:val="0"/>
      </w:pPr>
      <w:proofErr w:type="spellStart"/>
      <w:r>
        <w:t>Stiegler</w:t>
      </w:r>
      <w:proofErr w:type="spellEnd"/>
      <w:r>
        <w:t xml:space="preserve">, AL, and </w:t>
      </w:r>
      <w:proofErr w:type="spellStart"/>
      <w:r>
        <w:t>Boggon</w:t>
      </w:r>
      <w:proofErr w:type="spellEnd"/>
      <w:r>
        <w:t xml:space="preserve">, TJ (2020). The </w:t>
      </w:r>
      <w:proofErr w:type="spellStart"/>
      <w:r>
        <w:t>pseudoGTPase</w:t>
      </w:r>
      <w:proofErr w:type="spellEnd"/>
      <w:r>
        <w:t xml:space="preserve"> group of </w:t>
      </w:r>
      <w:proofErr w:type="spellStart"/>
      <w:r>
        <w:t>pseudoenzymes</w:t>
      </w:r>
      <w:proofErr w:type="spellEnd"/>
      <w:r>
        <w:t>. FEBS J 287, 4232–4245.</w:t>
      </w:r>
    </w:p>
    <w:p w14:paraId="3ECC9CF0" w14:textId="77777777" w:rsidR="000C600A" w:rsidRDefault="00000000">
      <w:pPr>
        <w:widowControl w:val="0"/>
      </w:pPr>
      <w:r>
        <w:t xml:space="preserve">Vetter, IR, and </w:t>
      </w:r>
      <w:proofErr w:type="spellStart"/>
      <w:r>
        <w:t>Wittinghofer</w:t>
      </w:r>
      <w:proofErr w:type="spellEnd"/>
      <w:r>
        <w:t>, A (2001). The Guanine Nucleotide – Binding Switch in Three Dimensions. Science 294, 1299–1305.</w:t>
      </w:r>
    </w:p>
    <w:p w14:paraId="4AAD7023" w14:textId="77777777" w:rsidR="000C600A" w:rsidRDefault="00000000">
      <w:pPr>
        <w:widowControl w:val="0"/>
      </w:pPr>
      <w:proofErr w:type="spellStart"/>
      <w:r>
        <w:t>Vonrhein</w:t>
      </w:r>
      <w:proofErr w:type="spellEnd"/>
      <w:r>
        <w:t xml:space="preserve">, C, Tickle, IJ, Flensburg, C, Keller, P, </w:t>
      </w:r>
      <w:proofErr w:type="spellStart"/>
      <w:r>
        <w:t>Paciorek</w:t>
      </w:r>
      <w:proofErr w:type="spellEnd"/>
      <w:r>
        <w:t xml:space="preserve">, W, </w:t>
      </w:r>
      <w:proofErr w:type="spellStart"/>
      <w:r>
        <w:t>Sharff</w:t>
      </w:r>
      <w:proofErr w:type="spellEnd"/>
      <w:r>
        <w:t xml:space="preserve">, A, and </w:t>
      </w:r>
      <w:proofErr w:type="spellStart"/>
      <w:r>
        <w:t>Bricogne</w:t>
      </w:r>
      <w:proofErr w:type="spellEnd"/>
      <w:r>
        <w:t xml:space="preserve">, G (2018). Advances in automated data analysis and processing within </w:t>
      </w:r>
      <w:proofErr w:type="spellStart"/>
      <w:proofErr w:type="gramStart"/>
      <w:r>
        <w:t>autoPROC</w:t>
      </w:r>
      <w:proofErr w:type="spellEnd"/>
      <w:r>
        <w:t xml:space="preserve"> ,</w:t>
      </w:r>
      <w:proofErr w:type="gramEnd"/>
      <w:r>
        <w:t xml:space="preserve"> combined with improved </w:t>
      </w:r>
      <w:proofErr w:type="spellStart"/>
      <w:r>
        <w:t>characterisation</w:t>
      </w:r>
      <w:proofErr w:type="spellEnd"/>
      <w:r>
        <w:t xml:space="preserve">, mitigation and </w:t>
      </w:r>
      <w:proofErr w:type="spellStart"/>
      <w:r>
        <w:t>visualisation</w:t>
      </w:r>
      <w:proofErr w:type="spellEnd"/>
      <w:r>
        <w:t xml:space="preserve"> of the anisotropy of diffraction limits using STARANISO. Acta </w:t>
      </w:r>
      <w:proofErr w:type="spellStart"/>
      <w:r>
        <w:t>Crystallogr</w:t>
      </w:r>
      <w:proofErr w:type="spellEnd"/>
      <w:r>
        <w:t xml:space="preserve"> Sect </w:t>
      </w:r>
      <w:proofErr w:type="gramStart"/>
      <w:r>
        <w:t>A</w:t>
      </w:r>
      <w:proofErr w:type="gramEnd"/>
      <w:r>
        <w:t xml:space="preserve"> Found Adv 74, a360–a360.</w:t>
      </w:r>
    </w:p>
    <w:p w14:paraId="7AB3DD75" w14:textId="77777777" w:rsidR="000C600A" w:rsidRDefault="00000000">
      <w:pPr>
        <w:widowControl w:val="0"/>
      </w:pPr>
      <w:r>
        <w:t xml:space="preserve">Weems, A, and McMurray, M (2017). The </w:t>
      </w:r>
      <w:proofErr w:type="gramStart"/>
      <w:r>
        <w:t>step-wise</w:t>
      </w:r>
      <w:proofErr w:type="gramEnd"/>
      <w:r>
        <w:t xml:space="preserve"> pathway of </w:t>
      </w:r>
      <w:proofErr w:type="spellStart"/>
      <w:r>
        <w:t>septin</w:t>
      </w:r>
      <w:proofErr w:type="spellEnd"/>
      <w:r>
        <w:t xml:space="preserve"> hetero-octamer assembly in budding yeast. </w:t>
      </w:r>
      <w:proofErr w:type="spellStart"/>
      <w:r>
        <w:t>Elife</w:t>
      </w:r>
      <w:proofErr w:type="spellEnd"/>
      <w:r>
        <w:t xml:space="preserve"> 6, e23689.</w:t>
      </w:r>
    </w:p>
    <w:p w14:paraId="6143BD2D" w14:textId="77777777" w:rsidR="000C600A" w:rsidRDefault="00000000">
      <w:pPr>
        <w:widowControl w:val="0"/>
      </w:pPr>
      <w:r>
        <w:t xml:space="preserve">Weems, AD, Johnson, CR, </w:t>
      </w:r>
      <w:proofErr w:type="spellStart"/>
      <w:r>
        <w:t>Argueso</w:t>
      </w:r>
      <w:proofErr w:type="spellEnd"/>
      <w:r>
        <w:t xml:space="preserve">, JL, and McMurray, MA (2014). Higher-Order </w:t>
      </w:r>
      <w:proofErr w:type="spellStart"/>
      <w:r>
        <w:t>Septin</w:t>
      </w:r>
      <w:proofErr w:type="spellEnd"/>
      <w:r>
        <w:t xml:space="preserve"> Assembly Is Driven by GTP-Promoted Conformational Changes: Evidence </w:t>
      </w:r>
      <w:proofErr w:type="gramStart"/>
      <w:r>
        <w:t>From</w:t>
      </w:r>
      <w:proofErr w:type="gramEnd"/>
      <w:r>
        <w:t xml:space="preserve"> Unbiased Mutational Analysis in Saccharomyces cerevisiae. Genetics 196, 711–727.</w:t>
      </w:r>
    </w:p>
    <w:p w14:paraId="7EBD41EF" w14:textId="77777777" w:rsidR="000C600A" w:rsidRDefault="00000000">
      <w:pPr>
        <w:widowControl w:val="0"/>
      </w:pPr>
      <w:proofErr w:type="spellStart"/>
      <w:r>
        <w:t>Wittinghofer</w:t>
      </w:r>
      <w:proofErr w:type="spellEnd"/>
      <w:r>
        <w:t xml:space="preserve">, A, and Vetter, IR (2011). Structure-function relationships of the G domain, a canonical switch motif. </w:t>
      </w:r>
      <w:proofErr w:type="spellStart"/>
      <w:r>
        <w:t>Annu</w:t>
      </w:r>
      <w:proofErr w:type="spellEnd"/>
      <w:r>
        <w:t xml:space="preserve"> Rev </w:t>
      </w:r>
      <w:proofErr w:type="spellStart"/>
      <w:r>
        <w:t>Biochem</w:t>
      </w:r>
      <w:proofErr w:type="spellEnd"/>
      <w:r>
        <w:t xml:space="preserve"> 80, 943–971.</w:t>
      </w:r>
    </w:p>
    <w:p w14:paraId="3D975ED1" w14:textId="77777777" w:rsidR="000C600A" w:rsidRDefault="00000000">
      <w:pPr>
        <w:widowControl w:val="0"/>
      </w:pPr>
      <w:r>
        <w:t xml:space="preserve">Woods, BL, and </w:t>
      </w:r>
      <w:proofErr w:type="spellStart"/>
      <w:r>
        <w:t>Gladfelter</w:t>
      </w:r>
      <w:proofErr w:type="spellEnd"/>
      <w:r>
        <w:t xml:space="preserve">, AS (2021). The state of the </w:t>
      </w:r>
      <w:proofErr w:type="spellStart"/>
      <w:r>
        <w:t>septin</w:t>
      </w:r>
      <w:proofErr w:type="spellEnd"/>
      <w:r>
        <w:t xml:space="preserve"> cytoskeleton from assembly to function. </w:t>
      </w:r>
      <w:proofErr w:type="spellStart"/>
      <w:r>
        <w:t>Curr</w:t>
      </w:r>
      <w:proofErr w:type="spellEnd"/>
      <w:r>
        <w:t xml:space="preserve"> </w:t>
      </w:r>
      <w:proofErr w:type="spellStart"/>
      <w:r>
        <w:t>Opin</w:t>
      </w:r>
      <w:proofErr w:type="spellEnd"/>
      <w:r>
        <w:t xml:space="preserve"> Cell Biol 68, 105–112.</w:t>
      </w:r>
    </w:p>
    <w:p w14:paraId="731D4E77" w14:textId="77777777" w:rsidR="000C600A" w:rsidRDefault="00000000">
      <w:pPr>
        <w:widowControl w:val="0"/>
      </w:pPr>
      <w:proofErr w:type="spellStart"/>
      <w:r>
        <w:t>Zent</w:t>
      </w:r>
      <w:proofErr w:type="spellEnd"/>
      <w:r>
        <w:t xml:space="preserve">, E, Vetter, I, and </w:t>
      </w:r>
      <w:proofErr w:type="spellStart"/>
      <w:r>
        <w:t>Wittinghofer</w:t>
      </w:r>
      <w:proofErr w:type="spellEnd"/>
      <w:r>
        <w:t xml:space="preserve">, A (2011). Structural and biochemical properties of Sept7, a unique </w:t>
      </w:r>
      <w:proofErr w:type="spellStart"/>
      <w:r>
        <w:t>septin</w:t>
      </w:r>
      <w:proofErr w:type="spellEnd"/>
      <w:r>
        <w:t xml:space="preserve"> required for filament formation. Biol Chem 392, 791–797.</w:t>
      </w:r>
    </w:p>
    <w:p w14:paraId="46582391" w14:textId="77777777" w:rsidR="000C600A" w:rsidRDefault="00000000">
      <w:pPr>
        <w:widowControl w:val="0"/>
      </w:pPr>
      <w:proofErr w:type="spellStart"/>
      <w:r>
        <w:t>Zent</w:t>
      </w:r>
      <w:proofErr w:type="spellEnd"/>
      <w:r>
        <w:t xml:space="preserve">, E, and </w:t>
      </w:r>
      <w:proofErr w:type="spellStart"/>
      <w:r>
        <w:t>Wittinghofer</w:t>
      </w:r>
      <w:proofErr w:type="spellEnd"/>
      <w:r>
        <w:t xml:space="preserve">, A (2014). Human </w:t>
      </w:r>
      <w:proofErr w:type="spellStart"/>
      <w:r>
        <w:t>septin</w:t>
      </w:r>
      <w:proofErr w:type="spellEnd"/>
      <w:r>
        <w:t xml:space="preserve"> isoforms and the GDP-GTP cycle. Biol Chem 395, 169–180.</w:t>
      </w:r>
    </w:p>
    <w:p w14:paraId="3E5940BA" w14:textId="77777777" w:rsidR="000C600A" w:rsidRDefault="00000000">
      <w:pPr>
        <w:widowControl w:val="0"/>
      </w:pPr>
      <w:r>
        <w:lastRenderedPageBreak/>
        <w:t xml:space="preserve">Zheng, L, </w:t>
      </w:r>
      <w:proofErr w:type="spellStart"/>
      <w:r>
        <w:t>Alhossary</w:t>
      </w:r>
      <w:proofErr w:type="spellEnd"/>
      <w:r>
        <w:t xml:space="preserve">, AA, </w:t>
      </w:r>
      <w:proofErr w:type="spellStart"/>
      <w:r>
        <w:t>Kwoh</w:t>
      </w:r>
      <w:proofErr w:type="spellEnd"/>
      <w:r>
        <w:t xml:space="preserve">, CK, and Mu, Y (2018). Molecular dynamics and simulation. </w:t>
      </w:r>
      <w:proofErr w:type="spellStart"/>
      <w:r>
        <w:t>Encycl</w:t>
      </w:r>
      <w:proofErr w:type="spellEnd"/>
      <w:r>
        <w:t xml:space="preserve"> </w:t>
      </w:r>
      <w:proofErr w:type="spellStart"/>
      <w:r>
        <w:t>Bioinforma</w:t>
      </w:r>
      <w:proofErr w:type="spellEnd"/>
      <w:r>
        <w:t xml:space="preserve"> </w:t>
      </w:r>
      <w:proofErr w:type="spellStart"/>
      <w:r>
        <w:t>Comput</w:t>
      </w:r>
      <w:proofErr w:type="spellEnd"/>
      <w:r>
        <w:t xml:space="preserve"> Biol ABC </w:t>
      </w:r>
      <w:proofErr w:type="spellStart"/>
      <w:r>
        <w:t>Bioinforma</w:t>
      </w:r>
      <w:proofErr w:type="spellEnd"/>
      <w:r>
        <w:t xml:space="preserve"> 1–3, 550–566.</w:t>
      </w:r>
    </w:p>
    <w:p w14:paraId="0114EB41" w14:textId="746CDCBA" w:rsidR="000C600A" w:rsidRDefault="000C600A">
      <w:pPr>
        <w:widowControl w:val="0"/>
        <w:rPr>
          <w:i/>
        </w:rPr>
      </w:pPr>
    </w:p>
    <w:p w14:paraId="0F5CC82E" w14:textId="757842E2" w:rsidR="00DB5934" w:rsidRDefault="00DB5934">
      <w:pPr>
        <w:widowControl w:val="0"/>
        <w:rPr>
          <w:iCs/>
        </w:rPr>
      </w:pPr>
    </w:p>
    <w:p w14:paraId="21AABE75" w14:textId="2E5946C7" w:rsidR="00DB5934" w:rsidRDefault="00DB5934">
      <w:pPr>
        <w:widowControl w:val="0"/>
        <w:rPr>
          <w:iCs/>
        </w:rPr>
      </w:pPr>
    </w:p>
    <w:p w14:paraId="31FD0394" w14:textId="527F22F3" w:rsidR="00DB5934" w:rsidRDefault="00DB5934">
      <w:pPr>
        <w:widowControl w:val="0"/>
        <w:rPr>
          <w:iCs/>
        </w:rPr>
      </w:pPr>
    </w:p>
    <w:p w14:paraId="726CAA7A" w14:textId="6428D96F" w:rsidR="00DB5934" w:rsidRPr="00DB5934" w:rsidRDefault="00DB5934">
      <w:pPr>
        <w:widowControl w:val="0"/>
        <w:rPr>
          <w:b/>
          <w:bCs/>
          <w:iCs/>
        </w:rPr>
      </w:pPr>
      <w:r w:rsidRPr="00DB5934">
        <w:rPr>
          <w:b/>
          <w:bCs/>
          <w:iCs/>
        </w:rPr>
        <w:t>Figure captions</w:t>
      </w:r>
    </w:p>
    <w:sectPr w:rsidR="00DB5934" w:rsidRPr="00DB5934">
      <w:pgSz w:w="11906" w:h="16838"/>
      <w:pgMar w:top="1417" w:right="1417" w:bottom="1134" w:left="1417" w:header="0" w:footer="0" w:gutter="0"/>
      <w:pgNumType w:start="1"/>
      <w:cols w:space="720"/>
      <w:formProt w:val="0"/>
      <w:docGrid w:linePitch="10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rlito">
    <w:altName w:val="Calibri"/>
    <w:panose1 w:val="020B0604020202020204"/>
    <w:charset w:val="01"/>
    <w:family w:val="swiss"/>
    <w:pitch w:val="variable"/>
  </w:font>
  <w:font w:name="Noto Sans SC Regular">
    <w:panose1 w:val="020B0604020202020204"/>
    <w:charset w:val="00"/>
    <w:family w:val="roman"/>
    <w:notTrueType/>
    <w:pitch w:val="default"/>
  </w:font>
  <w:font w:name="Noto Sans">
    <w:panose1 w:val="020B0502040504020204"/>
    <w:charset w:val="00"/>
    <w:family w:val="swiss"/>
    <w:pitch w:val="variable"/>
    <w:sig w:usb0="E00082FF" w:usb1="400078FF" w:usb2="00000021" w:usb3="00000000" w:csb0="0000019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proofState w:spelling="clean" w:grammar="clean"/>
  <w:defaultTabStop w:val="720"/>
  <w:autoHyphenation/>
  <w:hyphenationZone w:val="425"/>
  <w:characterSpacingControl w:val="doNotCompress"/>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C600A"/>
    <w:rsid w:val="000C600A"/>
    <w:rsid w:val="000D54EF"/>
    <w:rsid w:val="00106D31"/>
    <w:rsid w:val="00197805"/>
    <w:rsid w:val="00197D3A"/>
    <w:rsid w:val="001F164D"/>
    <w:rsid w:val="00322DD2"/>
    <w:rsid w:val="003C1BAA"/>
    <w:rsid w:val="0048176C"/>
    <w:rsid w:val="00603E15"/>
    <w:rsid w:val="00666444"/>
    <w:rsid w:val="00B43AB5"/>
    <w:rsid w:val="00C14F81"/>
    <w:rsid w:val="00CC4BD5"/>
    <w:rsid w:val="00CF7881"/>
    <w:rsid w:val="00CF79BA"/>
    <w:rsid w:val="00D44BD6"/>
    <w:rsid w:val="00DB5934"/>
    <w:rsid w:val="00F108BE"/>
    <w:rsid w:val="00F12B10"/>
    <w:rsid w:val="00FB1575"/>
  </w:rsids>
  <m:mathPr>
    <m:mathFont m:val="Cambria Math"/>
    <m:brkBin m:val="before"/>
    <m:brkBinSub m:val="--"/>
    <m:smallFrac m:val="0"/>
    <m:dispDef/>
    <m:lMargin m:val="0"/>
    <m:rMargin m:val="0"/>
    <m:defJc m:val="centerGroup"/>
    <m:wrapIndent m:val="1440"/>
    <m:intLim m:val="subSup"/>
    <m:naryLim m:val="undOvr"/>
  </m:mathPr>
  <w:themeFontLang w:val="de-DE"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6767DE"/>
  <w15:docId w15:val="{AAA724DF-A1B3-7B4C-9DCE-7C78797D65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4"/>
        <w:szCs w:val="24"/>
        <w:lang w:val="en-US" w:eastAsia="de-DE"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uiPriority w:val="9"/>
    <w:qFormat/>
    <w:pPr>
      <w:keepNext/>
      <w:keepLines/>
      <w:spacing w:before="480" w:after="120"/>
      <w:outlineLvl w:val="0"/>
    </w:pPr>
    <w:rPr>
      <w:b/>
      <w:sz w:val="48"/>
      <w:szCs w:val="48"/>
    </w:rPr>
  </w:style>
  <w:style w:type="paragraph" w:styleId="berschrift2">
    <w:name w:val="heading 2"/>
    <w:basedOn w:val="Standard"/>
    <w:next w:val="Standard"/>
    <w:uiPriority w:val="9"/>
    <w:semiHidden/>
    <w:unhideWhenUsed/>
    <w:qFormat/>
    <w:pPr>
      <w:keepNext/>
      <w:keepLines/>
      <w:spacing w:before="360" w:after="80"/>
      <w:outlineLvl w:val="1"/>
    </w:pPr>
    <w:rPr>
      <w:b/>
      <w:sz w:val="36"/>
      <w:szCs w:val="36"/>
    </w:rPr>
  </w:style>
  <w:style w:type="paragraph" w:styleId="berschrift3">
    <w:name w:val="heading 3"/>
    <w:basedOn w:val="Standard"/>
    <w:next w:val="Standard"/>
    <w:uiPriority w:val="9"/>
    <w:semiHidden/>
    <w:unhideWhenUsed/>
    <w:qFormat/>
    <w:pPr>
      <w:keepNext/>
      <w:keepLines/>
      <w:spacing w:before="280" w:after="80"/>
      <w:outlineLvl w:val="2"/>
    </w:pPr>
    <w:rPr>
      <w:b/>
      <w:sz w:val="28"/>
      <w:szCs w:val="28"/>
    </w:rPr>
  </w:style>
  <w:style w:type="paragraph" w:styleId="berschrift4">
    <w:name w:val="heading 4"/>
    <w:basedOn w:val="Standard"/>
    <w:next w:val="Standard"/>
    <w:uiPriority w:val="9"/>
    <w:semiHidden/>
    <w:unhideWhenUsed/>
    <w:qFormat/>
    <w:pPr>
      <w:keepNext/>
      <w:keepLines/>
      <w:spacing w:before="240" w:after="40"/>
      <w:outlineLvl w:val="3"/>
    </w:pPr>
    <w:rPr>
      <w:b/>
    </w:rPr>
  </w:style>
  <w:style w:type="paragraph" w:styleId="berschrift5">
    <w:name w:val="heading 5"/>
    <w:basedOn w:val="Standard"/>
    <w:next w:val="Standard"/>
    <w:uiPriority w:val="9"/>
    <w:semiHidden/>
    <w:unhideWhenUsed/>
    <w:qFormat/>
    <w:pPr>
      <w:keepNext/>
      <w:keepLines/>
      <w:spacing w:before="220" w:after="40"/>
      <w:outlineLvl w:val="4"/>
    </w:pPr>
    <w:rPr>
      <w:b/>
      <w:sz w:val="22"/>
      <w:szCs w:val="22"/>
    </w:rPr>
  </w:style>
  <w:style w:type="paragraph" w:styleId="berschrift6">
    <w:name w:val="heading 6"/>
    <w:basedOn w:val="Standard"/>
    <w:next w:val="Standard"/>
    <w:uiPriority w:val="9"/>
    <w:semiHidden/>
    <w:unhideWhenUsed/>
    <w:qFormat/>
    <w:pPr>
      <w:keepNext/>
      <w:keepLines/>
      <w:spacing w:before="200" w:after="40"/>
      <w:outlineLvl w:val="5"/>
    </w:pPr>
    <w:rPr>
      <w:b/>
      <w:sz w:val="20"/>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KommentartextZchn">
    <w:name w:val="Kommentartext Zchn"/>
    <w:basedOn w:val="Absatz-Standardschriftart"/>
    <w:link w:val="Kommentartext"/>
    <w:uiPriority w:val="99"/>
    <w:semiHidden/>
    <w:qFormat/>
    <w:rPr>
      <w:sz w:val="20"/>
      <w:szCs w:val="20"/>
    </w:rPr>
  </w:style>
  <w:style w:type="character" w:styleId="Kommentarzeichen">
    <w:name w:val="annotation reference"/>
    <w:basedOn w:val="Absatz-Standardschriftart"/>
    <w:uiPriority w:val="99"/>
    <w:semiHidden/>
    <w:unhideWhenUsed/>
    <w:qFormat/>
    <w:rPr>
      <w:sz w:val="16"/>
      <w:szCs w:val="16"/>
    </w:rPr>
  </w:style>
  <w:style w:type="character" w:styleId="Hyperlink">
    <w:name w:val="Hyperlink"/>
    <w:rPr>
      <w:color w:val="000080"/>
      <w:u w:val="single"/>
    </w:rPr>
  </w:style>
  <w:style w:type="paragraph" w:customStyle="1" w:styleId="berschrift">
    <w:name w:val="Überschrift"/>
    <w:basedOn w:val="Standard"/>
    <w:next w:val="Textkrper"/>
    <w:qFormat/>
    <w:pPr>
      <w:keepNext/>
      <w:spacing w:before="240" w:after="120"/>
    </w:pPr>
    <w:rPr>
      <w:rFonts w:ascii="Carlito" w:eastAsia="Noto Sans SC Regular" w:hAnsi="Carlito" w:cs="Noto Sans"/>
      <w:sz w:val="28"/>
      <w:szCs w:val="28"/>
    </w:rPr>
  </w:style>
  <w:style w:type="paragraph" w:styleId="Textkrper">
    <w:name w:val="Body Text"/>
    <w:basedOn w:val="Standard"/>
    <w:pPr>
      <w:spacing w:after="140" w:line="276" w:lineRule="auto"/>
    </w:pPr>
  </w:style>
  <w:style w:type="paragraph" w:styleId="Liste">
    <w:name w:val="List"/>
    <w:basedOn w:val="Textkrper"/>
    <w:rPr>
      <w:rFonts w:cs="Noto Sans"/>
    </w:rPr>
  </w:style>
  <w:style w:type="paragraph" w:styleId="Beschriftung">
    <w:name w:val="caption"/>
    <w:basedOn w:val="Standard"/>
    <w:qFormat/>
    <w:pPr>
      <w:suppressLineNumbers/>
      <w:spacing w:before="120" w:after="120"/>
    </w:pPr>
    <w:rPr>
      <w:rFonts w:cs="Noto Sans"/>
      <w:i/>
      <w:iCs/>
    </w:rPr>
  </w:style>
  <w:style w:type="paragraph" w:customStyle="1" w:styleId="Verzeichnis">
    <w:name w:val="Verzeichnis"/>
    <w:basedOn w:val="Standard"/>
    <w:qFormat/>
    <w:pPr>
      <w:suppressLineNumbers/>
    </w:pPr>
    <w:rPr>
      <w:rFonts w:cs="Noto Sans"/>
    </w:rPr>
  </w:style>
  <w:style w:type="paragraph" w:styleId="Titel">
    <w:name w:val="Title"/>
    <w:basedOn w:val="Standard"/>
    <w:next w:val="Standard"/>
    <w:uiPriority w:val="10"/>
    <w:qFormat/>
    <w:pPr>
      <w:keepNext/>
      <w:keepLines/>
      <w:spacing w:before="480" w:after="120"/>
    </w:pPr>
    <w:rPr>
      <w:b/>
      <w:sz w:val="72"/>
      <w:szCs w:val="72"/>
    </w:rPr>
  </w:style>
  <w:style w:type="paragraph" w:styleId="Untertitel">
    <w:name w:val="Subtitle"/>
    <w:basedOn w:val="Standard"/>
    <w:next w:val="Standard"/>
    <w:uiPriority w:val="11"/>
    <w:qFormat/>
    <w:pPr>
      <w:keepNext/>
      <w:keepLines/>
      <w:spacing w:before="360" w:after="80"/>
    </w:pPr>
    <w:rPr>
      <w:rFonts w:ascii="Georgia" w:eastAsia="Georgia" w:hAnsi="Georgia" w:cs="Georgia"/>
      <w:i/>
      <w:color w:val="666666"/>
      <w:sz w:val="48"/>
      <w:szCs w:val="48"/>
    </w:rPr>
  </w:style>
  <w:style w:type="paragraph" w:styleId="Kommentartext">
    <w:name w:val="annotation text"/>
    <w:basedOn w:val="Standard"/>
    <w:link w:val="KommentartextZchn"/>
    <w:uiPriority w:val="99"/>
    <w:semiHidden/>
    <w:unhideWhenUsed/>
    <w:rPr>
      <w:sz w:val="20"/>
      <w:szCs w:val="20"/>
    </w:rPr>
  </w:style>
  <w:style w:type="paragraph" w:customStyle="1" w:styleId="Rahmeninhalt">
    <w:name w:val="Rahmeninhalt"/>
    <w:basedOn w:val="Standard"/>
    <w:qFormat/>
  </w:style>
  <w:style w:type="table" w:customStyle="1" w:styleId="TableNormal">
    <w:name w:val="Table Normal"/>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hyperlink" Target="mailto:thomas.gronemeyer@uni-ulm.de"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majorFont>
      <a:minorFont>
        <a:latin typeface="Cambria"/>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a:gradFill>
        <a:gradFill>
          <a:gsLst>
            <a:gs pos="0">
              <a:schemeClr val="phClr">
                <a:tint val="100000"/>
                <a:shade val="100000"/>
              </a:schemeClr>
            </a:gs>
            <a:gs pos="100000">
              <a:schemeClr val="phClr">
                <a:tint val="50000"/>
                <a:shade val="100000"/>
              </a:schemeClr>
            </a:gs>
          </a:gsLst>
          <a:lin ang="16200000" scaled="0"/>
          <a:tileRect/>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a:gradFill>
        <a:gradFill>
          <a:gsLst>
            <a:gs pos="0">
              <a:schemeClr val="phClr">
                <a:tint val="80000"/>
              </a:schemeClr>
            </a:gs>
            <a:gs pos="100000">
              <a:schemeClr val="phClr">
                <a:shade val="30000"/>
              </a:schemeClr>
            </a:gs>
          </a:gsLst>
          <a:path path="circle">
            <a:fillToRect l="50000" t="50000" r="50000" b="50000"/>
          </a:path>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6D4CB0-2B18-484F-9715-8AB9E3A23C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27</Pages>
  <Words>17831</Words>
  <Characters>112336</Characters>
  <Application>Microsoft Office Word</Application>
  <DocSecurity>0</DocSecurity>
  <Lines>936</Lines>
  <Paragraphs>259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129908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dc:description/>
  <cp:lastModifiedBy>Benjamin Grupp</cp:lastModifiedBy>
  <cp:revision>23</cp:revision>
  <dcterms:created xsi:type="dcterms:W3CDTF">2024-12-06T10:19:00Z</dcterms:created>
  <dcterms:modified xsi:type="dcterms:W3CDTF">2024-12-11T14:36:00Z</dcterms:modified>
  <dc:language>de-DE</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Citation Style_1">
    <vt:lpwstr>http://www.zotero.org/styles/molecular-biology-of-the-cell</vt:lpwstr>
  </property>
  <property fmtid="{D5CDD505-2E9C-101B-9397-08002B2CF9AE}" pid="3" name="Mendeley Document_1">
    <vt:lpwstr>True</vt:lpwstr>
  </property>
  <property fmtid="{D5CDD505-2E9C-101B-9397-08002B2CF9AE}" pid="4" name="Mendeley Recent Style Id 0_1">
    <vt:lpwstr>http://www.zotero.org/styles/harvard-bournemouth-university</vt:lpwstr>
  </property>
  <property fmtid="{D5CDD505-2E9C-101B-9397-08002B2CF9AE}" pid="5" name="Mendeley Recent Style Id 1_1">
    <vt:lpwstr>https://csl.mendeley.com/styles/462150171/harvard-bournemouth-university-custom</vt:lpwstr>
  </property>
  <property fmtid="{D5CDD505-2E9C-101B-9397-08002B2CF9AE}" pid="6" name="Mendeley Recent Style Id 2_1">
    <vt:lpwstr>http://www.zotero.org/styles/chicago-author-date</vt:lpwstr>
  </property>
  <property fmtid="{D5CDD505-2E9C-101B-9397-08002B2CF9AE}" pid="7" name="Mendeley Recent Style Id 3_1">
    <vt:lpwstr>http://www.zotero.org/styles/embo-press</vt:lpwstr>
  </property>
  <property fmtid="{D5CDD505-2E9C-101B-9397-08002B2CF9AE}" pid="8" name="Mendeley Recent Style Id 4_1">
    <vt:lpwstr>http://www.zotero.org/styles/elsevier-harvard</vt:lpwstr>
  </property>
  <property fmtid="{D5CDD505-2E9C-101B-9397-08002B2CF9AE}" pid="9" name="Mendeley Recent Style Id 5_1">
    <vt:lpwstr>http://www.zotero.org/styles/elsevier-harvard2</vt:lpwstr>
  </property>
  <property fmtid="{D5CDD505-2E9C-101B-9397-08002B2CF9AE}" pid="10" name="Mendeley Recent Style Id 6_1">
    <vt:lpwstr>http://www.zotero.org/styles/molecular-biology-of-the-cell</vt:lpwstr>
  </property>
  <property fmtid="{D5CDD505-2E9C-101B-9397-08002B2CF9AE}" pid="11" name="Mendeley Recent Style Id 7_1">
    <vt:lpwstr>http://www.zotero.org/styles/nature</vt:lpwstr>
  </property>
  <property fmtid="{D5CDD505-2E9C-101B-9397-08002B2CF9AE}" pid="12" name="Mendeley Recent Style Id 8_1">
    <vt:lpwstr>http://www.zotero.org/styles/sage-harvard</vt:lpwstr>
  </property>
  <property fmtid="{D5CDD505-2E9C-101B-9397-08002B2CF9AE}" pid="13" name="Mendeley Recent Style Id 9_1">
    <vt:lpwstr>http://www.zotero.org/styles/the-journal-of-cell-biology</vt:lpwstr>
  </property>
  <property fmtid="{D5CDD505-2E9C-101B-9397-08002B2CF9AE}" pid="14" name="Mendeley Recent Style Name 0_1">
    <vt:lpwstr>Bournemouth University - Harvard</vt:lpwstr>
  </property>
  <property fmtid="{D5CDD505-2E9C-101B-9397-08002B2CF9AE}" pid="15" name="Mendeley Recent Style Name 1_1">
    <vt:lpwstr>Bournemouth University - Harvard - Thomas Gronemeyer</vt:lpwstr>
  </property>
  <property fmtid="{D5CDD505-2E9C-101B-9397-08002B2CF9AE}" pid="16" name="Mendeley Recent Style Name 2_1">
    <vt:lpwstr>Chicago Manual of Style 17th edition (author-date)</vt:lpwstr>
  </property>
  <property fmtid="{D5CDD505-2E9C-101B-9397-08002B2CF9AE}" pid="17" name="Mendeley Recent Style Name 3_1">
    <vt:lpwstr>EMBO Press</vt:lpwstr>
  </property>
  <property fmtid="{D5CDD505-2E9C-101B-9397-08002B2CF9AE}" pid="18" name="Mendeley Recent Style Name 4_1">
    <vt:lpwstr>Elsevier - Harvard (with titles)</vt:lpwstr>
  </property>
  <property fmtid="{D5CDD505-2E9C-101B-9397-08002B2CF9AE}" pid="19" name="Mendeley Recent Style Name 5_1">
    <vt:lpwstr>Elsevier - Harvard 2</vt:lpwstr>
  </property>
  <property fmtid="{D5CDD505-2E9C-101B-9397-08002B2CF9AE}" pid="20" name="Mendeley Recent Style Name 6_1">
    <vt:lpwstr>Molecular Biology of the Cell</vt:lpwstr>
  </property>
  <property fmtid="{D5CDD505-2E9C-101B-9397-08002B2CF9AE}" pid="21" name="Mendeley Recent Style Name 7_1">
    <vt:lpwstr>Nature</vt:lpwstr>
  </property>
  <property fmtid="{D5CDD505-2E9C-101B-9397-08002B2CF9AE}" pid="22" name="Mendeley Recent Style Name 8_1">
    <vt:lpwstr>SAGE - Harvard</vt:lpwstr>
  </property>
  <property fmtid="{D5CDD505-2E9C-101B-9397-08002B2CF9AE}" pid="23" name="Mendeley Recent Style Name 9_1">
    <vt:lpwstr>The Journal of Cell Biology</vt:lpwstr>
  </property>
  <property fmtid="{D5CDD505-2E9C-101B-9397-08002B2CF9AE}" pid="24" name="Mendeley Unique User Id_1">
    <vt:lpwstr>b0cf4b70-0e80-3771-9fc5-ca56be3bfcb7</vt:lpwstr>
  </property>
</Properties>
</file>