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86624A" w14:textId="7786A9B9" w:rsidR="002C702C" w:rsidRDefault="002C702C" w:rsidP="00C02903">
      <w:pPr>
        <w:pStyle w:val="Title"/>
        <w:jc w:val="center"/>
      </w:pPr>
      <w:r>
        <w:t>Randolph County Housing Study, 2022</w:t>
      </w:r>
    </w:p>
    <w:p w14:paraId="042A10ED" w14:textId="5CD80B2B" w:rsidR="00C02903" w:rsidRDefault="00C02903" w:rsidP="00C02903">
      <w:pPr>
        <w:rPr>
          <w:lang w:eastAsia="en-US"/>
        </w:rPr>
      </w:pPr>
    </w:p>
    <w:p w14:paraId="67315DDD" w14:textId="19C7046D" w:rsidR="00C02903" w:rsidRDefault="00C02903" w:rsidP="00C02903">
      <w:pPr>
        <w:rPr>
          <w:lang w:eastAsia="en-US"/>
        </w:rPr>
      </w:pPr>
    </w:p>
    <w:p w14:paraId="1DB40EFB" w14:textId="77777777" w:rsidR="00C02903" w:rsidRDefault="00C02903" w:rsidP="00C02903">
      <w:pPr>
        <w:jc w:val="center"/>
        <w:rPr>
          <w:lang w:eastAsia="en-US"/>
        </w:rPr>
      </w:pPr>
    </w:p>
    <w:p w14:paraId="2B2F8E76" w14:textId="77777777" w:rsidR="00C02903" w:rsidRDefault="00C02903" w:rsidP="00C02903">
      <w:pPr>
        <w:jc w:val="center"/>
        <w:rPr>
          <w:lang w:eastAsia="en-US"/>
        </w:rPr>
      </w:pPr>
    </w:p>
    <w:p w14:paraId="70364E8B" w14:textId="77777777" w:rsidR="00C02903" w:rsidRDefault="00C02903" w:rsidP="00C02903">
      <w:pPr>
        <w:jc w:val="center"/>
        <w:rPr>
          <w:lang w:eastAsia="en-US"/>
        </w:rPr>
      </w:pPr>
    </w:p>
    <w:p w14:paraId="60090803" w14:textId="77777777" w:rsidR="00C02903" w:rsidRDefault="00C02903" w:rsidP="00C02903">
      <w:pPr>
        <w:jc w:val="center"/>
        <w:rPr>
          <w:lang w:eastAsia="en-US"/>
        </w:rPr>
      </w:pPr>
    </w:p>
    <w:p w14:paraId="67C71783" w14:textId="55854137" w:rsidR="00C02903" w:rsidRDefault="00C02903" w:rsidP="00C02903">
      <w:pPr>
        <w:jc w:val="center"/>
        <w:rPr>
          <w:lang w:eastAsia="en-US"/>
        </w:rPr>
      </w:pPr>
      <w:r>
        <w:rPr>
          <w:lang w:eastAsia="en-US"/>
        </w:rPr>
        <w:t>Prepared by</w:t>
      </w:r>
    </w:p>
    <w:p w14:paraId="3E6067D0" w14:textId="1D51B3D9" w:rsidR="00C02903" w:rsidRPr="00C02903" w:rsidRDefault="00C02903" w:rsidP="00C02903">
      <w:pPr>
        <w:jc w:val="center"/>
        <w:rPr>
          <w:b/>
          <w:bCs/>
          <w:lang w:eastAsia="en-US"/>
        </w:rPr>
      </w:pPr>
      <w:r w:rsidRPr="00C02903">
        <w:rPr>
          <w:b/>
          <w:bCs/>
          <w:lang w:eastAsia="en-US"/>
        </w:rPr>
        <w:t>The Virginia Center for Housing Research at Virginia Tech (VCHR)</w:t>
      </w:r>
    </w:p>
    <w:p w14:paraId="626D5F13" w14:textId="4CCAA0A7" w:rsidR="00C02903" w:rsidRDefault="00C02903" w:rsidP="00C02903">
      <w:pPr>
        <w:jc w:val="center"/>
        <w:rPr>
          <w:lang w:eastAsia="en-US"/>
        </w:rPr>
      </w:pPr>
      <w:r>
        <w:rPr>
          <w:lang w:eastAsia="en-US"/>
        </w:rPr>
        <w:t>Mel Jones, Research Scientist</w:t>
      </w:r>
    </w:p>
    <w:p w14:paraId="148210EB" w14:textId="7D3C7C86" w:rsidR="00C02903" w:rsidRDefault="00C02903" w:rsidP="00C02903">
      <w:pPr>
        <w:jc w:val="center"/>
        <w:rPr>
          <w:lang w:eastAsia="en-US"/>
        </w:rPr>
      </w:pPr>
      <w:r>
        <w:rPr>
          <w:lang w:eastAsia="en-US"/>
        </w:rPr>
        <w:t>Seungbee Choi, Postdoctoral Associate</w:t>
      </w:r>
    </w:p>
    <w:p w14:paraId="45429FD9" w14:textId="51E9B50C" w:rsidR="00C02903" w:rsidRPr="00C02903" w:rsidRDefault="00C02903" w:rsidP="00C02903">
      <w:pPr>
        <w:jc w:val="center"/>
        <w:rPr>
          <w:i/>
          <w:iCs/>
          <w:lang w:eastAsia="en-US"/>
        </w:rPr>
      </w:pPr>
      <w:r w:rsidRPr="00C02903">
        <w:rPr>
          <w:i/>
          <w:iCs/>
          <w:lang w:eastAsia="en-US"/>
        </w:rPr>
        <w:t>And</w:t>
      </w:r>
      <w:bookmarkStart w:id="0" w:name="_GoBack"/>
      <w:bookmarkEnd w:id="0"/>
    </w:p>
    <w:p w14:paraId="0DD3652E" w14:textId="02350B3C" w:rsidR="00C02903" w:rsidRPr="00C02903" w:rsidRDefault="00C02903" w:rsidP="00C02903">
      <w:pPr>
        <w:jc w:val="center"/>
        <w:rPr>
          <w:b/>
          <w:bCs/>
          <w:lang w:eastAsia="en-US"/>
        </w:rPr>
      </w:pPr>
      <w:r w:rsidRPr="00C02903">
        <w:rPr>
          <w:b/>
          <w:bCs/>
          <w:lang w:eastAsia="en-US"/>
        </w:rPr>
        <w:t>West Virginia University Extension</w:t>
      </w:r>
    </w:p>
    <w:p w14:paraId="47FCBAEA" w14:textId="4BD56B5D" w:rsidR="00C02903" w:rsidRDefault="00C02903" w:rsidP="00C02903">
      <w:pPr>
        <w:jc w:val="center"/>
        <w:rPr>
          <w:lang w:eastAsia="en-US"/>
        </w:rPr>
      </w:pPr>
      <w:r>
        <w:rPr>
          <w:lang w:eastAsia="en-US"/>
        </w:rPr>
        <w:t>Daniel Eades</w:t>
      </w:r>
    </w:p>
    <w:p w14:paraId="5584A062" w14:textId="518947E8" w:rsidR="00C02903" w:rsidRDefault="00C02903" w:rsidP="00C02903">
      <w:pPr>
        <w:jc w:val="center"/>
        <w:rPr>
          <w:lang w:eastAsia="en-US"/>
        </w:rPr>
      </w:pPr>
      <w:r w:rsidRPr="005A106F">
        <w:rPr>
          <w:rFonts w:cstheme="minorHAnsi"/>
          <w:color w:val="000000" w:themeColor="text1"/>
        </w:rPr>
        <w:t>Extension Rural Development Specialist</w:t>
      </w:r>
    </w:p>
    <w:p w14:paraId="41531E92" w14:textId="2E9243DC" w:rsidR="00C02903" w:rsidRDefault="00C02903" w:rsidP="00C02903">
      <w:pPr>
        <w:jc w:val="center"/>
        <w:rPr>
          <w:lang w:eastAsia="en-US"/>
        </w:rPr>
      </w:pPr>
    </w:p>
    <w:p w14:paraId="3C422A69" w14:textId="389843DF" w:rsidR="00C02903" w:rsidRDefault="00C02903" w:rsidP="00C02903">
      <w:pPr>
        <w:jc w:val="center"/>
        <w:rPr>
          <w:lang w:eastAsia="en-US"/>
        </w:rPr>
      </w:pPr>
    </w:p>
    <w:p w14:paraId="27F8575E" w14:textId="77777777" w:rsidR="00C02903" w:rsidRDefault="00C02903" w:rsidP="00C02903">
      <w:pPr>
        <w:jc w:val="center"/>
        <w:rPr>
          <w:rFonts w:ascii="Calibri" w:eastAsia="Calibri" w:hAnsi="Calibri" w:cs="Calibri"/>
        </w:rPr>
      </w:pPr>
      <w:r>
        <w:rPr>
          <w:rFonts w:ascii="Calibri" w:eastAsia="Calibri" w:hAnsi="Calibri" w:cs="Calibri"/>
        </w:rPr>
        <w:t>April 6, 2023</w:t>
      </w:r>
    </w:p>
    <w:p w14:paraId="44708D04" w14:textId="45CA8EB6" w:rsidR="00C02903" w:rsidRDefault="00C02903" w:rsidP="00C02903">
      <w:pPr>
        <w:rPr>
          <w:lang w:eastAsia="en-US"/>
        </w:rPr>
      </w:pPr>
    </w:p>
    <w:p w14:paraId="06D1AEC4" w14:textId="06BE1DEC" w:rsidR="00C02903" w:rsidRDefault="00C02903" w:rsidP="00C02903">
      <w:pPr>
        <w:rPr>
          <w:lang w:eastAsia="en-US"/>
        </w:rPr>
      </w:pPr>
    </w:p>
    <w:p w14:paraId="468EAB4B" w14:textId="31E9DCE3" w:rsidR="00C02903" w:rsidRDefault="00C02903" w:rsidP="00C02903">
      <w:pPr>
        <w:rPr>
          <w:lang w:eastAsia="en-US"/>
        </w:rPr>
      </w:pPr>
    </w:p>
    <w:p w14:paraId="63D75345" w14:textId="77777777" w:rsidR="00C02903" w:rsidRDefault="00C02903" w:rsidP="00C02903">
      <w:pPr>
        <w:jc w:val="center"/>
        <w:rPr>
          <w:lang w:eastAsia="en-US"/>
        </w:rPr>
        <w:sectPr w:rsidR="00C02903" w:rsidSect="000941AD">
          <w:footerReference w:type="default" r:id="rId11"/>
          <w:pgSz w:w="12240" w:h="15840"/>
          <w:pgMar w:top="1440" w:right="1440" w:bottom="1440" w:left="1440" w:header="720" w:footer="720" w:gutter="0"/>
          <w:cols w:space="720"/>
          <w:docGrid w:linePitch="360"/>
        </w:sectPr>
      </w:pPr>
      <w:r>
        <w:rPr>
          <w:noProof/>
        </w:rPr>
        <w:drawing>
          <wp:inline distT="0" distB="0" distL="0" distR="0" wp14:anchorId="5E31F977" wp14:editId="2628ACB1">
            <wp:extent cx="2800350" cy="1886646"/>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29909" cy="1906561"/>
                    </a:xfrm>
                    <a:prstGeom prst="rect">
                      <a:avLst/>
                    </a:prstGeom>
                  </pic:spPr>
                </pic:pic>
              </a:graphicData>
            </a:graphic>
          </wp:inline>
        </w:drawing>
      </w:r>
    </w:p>
    <w:p w14:paraId="3F067B5F" w14:textId="76B7BC0E" w:rsidR="000F0F37" w:rsidRPr="000F0F37" w:rsidRDefault="00C93F99" w:rsidP="000F0F37">
      <w:pPr>
        <w:pStyle w:val="Heading1"/>
      </w:pPr>
      <w:bookmarkStart w:id="1" w:name="_Toc62593585"/>
      <w:bookmarkStart w:id="2" w:name="_Toc120703895"/>
      <w:r w:rsidRPr="00117E0B">
        <w:lastRenderedPageBreak/>
        <w:t>Executive Summary</w:t>
      </w:r>
      <w:bookmarkEnd w:id="1"/>
      <w:bookmarkEnd w:id="2"/>
    </w:p>
    <w:p w14:paraId="40AA59D5" w14:textId="530642B4" w:rsidR="4FFD04F3" w:rsidRDefault="4FFD04F3" w:rsidP="00B21BF3">
      <w:pPr>
        <w:rPr>
          <w:rFonts w:ascii="Calibri" w:eastAsia="Calibri" w:hAnsi="Calibri" w:cs="Calibri"/>
        </w:rPr>
      </w:pPr>
      <w:r w:rsidRPr="7DFA81C2">
        <w:rPr>
          <w:rFonts w:ascii="Calibri" w:eastAsia="Calibri" w:hAnsi="Calibri" w:cs="Calibri"/>
        </w:rPr>
        <w:t xml:space="preserve">Randolph County has community assets that make it a distinct housing market in the region. The City of Elkins is a regional economic hub </w:t>
      </w:r>
      <w:r w:rsidR="009D1E03">
        <w:rPr>
          <w:rFonts w:ascii="Calibri" w:eastAsia="Calibri" w:hAnsi="Calibri" w:cs="Calibri"/>
        </w:rPr>
        <w:t>that provides</w:t>
      </w:r>
      <w:r w:rsidR="009D1E03" w:rsidRPr="7DFA81C2">
        <w:rPr>
          <w:rFonts w:ascii="Calibri" w:eastAsia="Calibri" w:hAnsi="Calibri" w:cs="Calibri"/>
        </w:rPr>
        <w:t xml:space="preserve"> </w:t>
      </w:r>
      <w:r w:rsidRPr="7DFA81C2">
        <w:rPr>
          <w:rFonts w:ascii="Calibri" w:eastAsia="Calibri" w:hAnsi="Calibri" w:cs="Calibri"/>
        </w:rPr>
        <w:t>access to retail</w:t>
      </w:r>
      <w:r w:rsidR="00B21BF3">
        <w:rPr>
          <w:rFonts w:ascii="Calibri" w:eastAsia="Calibri" w:hAnsi="Calibri" w:cs="Calibri"/>
        </w:rPr>
        <w:t>,</w:t>
      </w:r>
      <w:r w:rsidRPr="7DFA81C2">
        <w:rPr>
          <w:rFonts w:ascii="Calibri" w:eastAsia="Calibri" w:hAnsi="Calibri" w:cs="Calibri"/>
        </w:rPr>
        <w:t xml:space="preserve"> dining, and entertainment</w:t>
      </w:r>
      <w:r w:rsidR="00C75F38">
        <w:rPr>
          <w:rFonts w:ascii="Calibri" w:eastAsia="Calibri" w:hAnsi="Calibri" w:cs="Calibri"/>
        </w:rPr>
        <w:t>.</w:t>
      </w:r>
      <w:r w:rsidRPr="7DFA81C2">
        <w:rPr>
          <w:rFonts w:ascii="Calibri" w:eastAsia="Calibri" w:hAnsi="Calibri" w:cs="Calibri"/>
        </w:rPr>
        <w:t xml:space="preserve"> </w:t>
      </w:r>
      <w:r w:rsidR="00C75F38">
        <w:rPr>
          <w:rFonts w:ascii="Calibri" w:eastAsia="Calibri" w:hAnsi="Calibri" w:cs="Calibri"/>
        </w:rPr>
        <w:t>I</w:t>
      </w:r>
      <w:r w:rsidR="009D1E03">
        <w:rPr>
          <w:rFonts w:ascii="Calibri" w:eastAsia="Calibri" w:hAnsi="Calibri" w:cs="Calibri"/>
        </w:rPr>
        <w:t xml:space="preserve">t </w:t>
      </w:r>
      <w:r w:rsidRPr="7DFA81C2">
        <w:rPr>
          <w:rFonts w:ascii="Calibri" w:eastAsia="Calibri" w:hAnsi="Calibri" w:cs="Calibri"/>
        </w:rPr>
        <w:t>serves as a gateway to the Monongahela National Forest</w:t>
      </w:r>
      <w:r w:rsidR="00C75F38">
        <w:rPr>
          <w:rFonts w:ascii="Calibri" w:eastAsia="Calibri" w:hAnsi="Calibri" w:cs="Calibri"/>
        </w:rPr>
        <w:t>,</w:t>
      </w:r>
      <w:r w:rsidRPr="7DFA81C2">
        <w:rPr>
          <w:rFonts w:ascii="Calibri" w:eastAsia="Calibri" w:hAnsi="Calibri" w:cs="Calibri"/>
        </w:rPr>
        <w:t xml:space="preserve"> which has evolved into an outdoor recreation hotspot with easy access to iconic destinations like Seneca Rocks, Canaan </w:t>
      </w:r>
      <w:r w:rsidR="2CB399F6" w:rsidRPr="7DFA81C2">
        <w:rPr>
          <w:rFonts w:ascii="Calibri" w:eastAsia="Calibri" w:hAnsi="Calibri" w:cs="Calibri"/>
        </w:rPr>
        <w:t>Valley,</w:t>
      </w:r>
      <w:r w:rsidRPr="7DFA81C2">
        <w:rPr>
          <w:rFonts w:ascii="Calibri" w:eastAsia="Calibri" w:hAnsi="Calibri" w:cs="Calibri"/>
        </w:rPr>
        <w:t xml:space="preserve"> and Blackwater Falls. The </w:t>
      </w:r>
      <w:r w:rsidR="00CD6831">
        <w:rPr>
          <w:rFonts w:ascii="Calibri" w:eastAsia="Calibri" w:hAnsi="Calibri" w:cs="Calibri"/>
        </w:rPr>
        <w:t>C</w:t>
      </w:r>
      <w:r w:rsidR="00CD6831" w:rsidRPr="7DFA81C2">
        <w:rPr>
          <w:rFonts w:ascii="Calibri" w:eastAsia="Calibri" w:hAnsi="Calibri" w:cs="Calibri"/>
        </w:rPr>
        <w:t xml:space="preserve">ounty’s </w:t>
      </w:r>
      <w:r w:rsidRPr="7DFA81C2">
        <w:rPr>
          <w:rFonts w:ascii="Calibri" w:eastAsia="Calibri" w:hAnsi="Calibri" w:cs="Calibri"/>
        </w:rPr>
        <w:t>rural environment offers access to unique lifestyle amenities and a slower pace of life that many</w:t>
      </w:r>
      <w:r w:rsidR="00C75F38">
        <w:rPr>
          <w:rFonts w:ascii="Calibri" w:eastAsia="Calibri" w:hAnsi="Calibri" w:cs="Calibri"/>
        </w:rPr>
        <w:t xml:space="preserve"> people </w:t>
      </w:r>
      <w:r w:rsidRPr="7DFA81C2">
        <w:rPr>
          <w:rFonts w:ascii="Calibri" w:eastAsia="Calibri" w:hAnsi="Calibri" w:cs="Calibri"/>
        </w:rPr>
        <w:t xml:space="preserve">find </w:t>
      </w:r>
      <w:r w:rsidR="00C75F38">
        <w:rPr>
          <w:rFonts w:ascii="Calibri" w:eastAsia="Calibri" w:hAnsi="Calibri" w:cs="Calibri"/>
        </w:rPr>
        <w:t>appealing</w:t>
      </w:r>
      <w:r w:rsidRPr="7DFA81C2">
        <w:rPr>
          <w:rFonts w:ascii="Calibri" w:eastAsia="Calibri" w:hAnsi="Calibri" w:cs="Calibri"/>
        </w:rPr>
        <w:t xml:space="preserve">. Locally, anchor institutions </w:t>
      </w:r>
      <w:r w:rsidR="00C75F38">
        <w:rPr>
          <w:rFonts w:ascii="Calibri" w:eastAsia="Calibri" w:hAnsi="Calibri" w:cs="Calibri"/>
        </w:rPr>
        <w:t>such as</w:t>
      </w:r>
      <w:r w:rsidR="00C75F38" w:rsidRPr="7DFA81C2">
        <w:rPr>
          <w:rFonts w:ascii="Calibri" w:eastAsia="Calibri" w:hAnsi="Calibri" w:cs="Calibri"/>
        </w:rPr>
        <w:t xml:space="preserve"> </w:t>
      </w:r>
      <w:r w:rsidRPr="7DFA81C2">
        <w:rPr>
          <w:rFonts w:ascii="Calibri" w:eastAsia="Calibri" w:hAnsi="Calibri" w:cs="Calibri"/>
        </w:rPr>
        <w:t xml:space="preserve">Davis and Elkins </w:t>
      </w:r>
      <w:r w:rsidR="5AC2B828" w:rsidRPr="7DFA81C2">
        <w:rPr>
          <w:rFonts w:ascii="Calibri" w:eastAsia="Calibri" w:hAnsi="Calibri" w:cs="Calibri"/>
        </w:rPr>
        <w:t>College</w:t>
      </w:r>
      <w:r w:rsidRPr="7DFA81C2">
        <w:rPr>
          <w:rFonts w:ascii="Calibri" w:eastAsia="Calibri" w:hAnsi="Calibri" w:cs="Calibri"/>
        </w:rPr>
        <w:t xml:space="preserve"> (D&amp;E) and Davis Health System provide stable sources of economic, human, and social capital. Forward</w:t>
      </w:r>
      <w:r w:rsidR="00F20594">
        <w:rPr>
          <w:rFonts w:ascii="Calibri" w:eastAsia="Calibri" w:hAnsi="Calibri" w:cs="Calibri"/>
        </w:rPr>
        <w:t>-</w:t>
      </w:r>
      <w:r w:rsidRPr="7DFA81C2">
        <w:rPr>
          <w:rFonts w:ascii="Calibri" w:eastAsia="Calibri" w:hAnsi="Calibri" w:cs="Calibri"/>
        </w:rPr>
        <w:t>looking investments like enhanced broadband coverage delivered through public and private partnerships will allow the community to take advantage of trends in remote work.</w:t>
      </w:r>
    </w:p>
    <w:p w14:paraId="3BB055A9" w14:textId="3E6E57B5" w:rsidR="4A3FEE94" w:rsidRDefault="4A3FEE94" w:rsidP="47C0E03C">
      <w:pPr>
        <w:rPr>
          <w:rFonts w:ascii="Calibri" w:eastAsia="Calibri" w:hAnsi="Calibri" w:cs="Calibri"/>
        </w:rPr>
      </w:pPr>
      <w:r w:rsidRPr="47C0E03C">
        <w:rPr>
          <w:rFonts w:ascii="Calibri" w:eastAsia="Calibri" w:hAnsi="Calibri" w:cs="Calibri"/>
        </w:rPr>
        <w:t>With a market vacancy rate between 2</w:t>
      </w:r>
      <w:r w:rsidR="00392DCA">
        <w:rPr>
          <w:rFonts w:ascii="Calibri" w:eastAsia="Calibri" w:hAnsi="Calibri" w:cs="Calibri"/>
        </w:rPr>
        <w:t>–</w:t>
      </w:r>
      <w:r w:rsidRPr="47C0E03C">
        <w:rPr>
          <w:rFonts w:ascii="Calibri" w:eastAsia="Calibri" w:hAnsi="Calibri" w:cs="Calibri"/>
        </w:rPr>
        <w:t>7</w:t>
      </w:r>
      <w:r w:rsidR="00392DCA">
        <w:rPr>
          <w:rFonts w:ascii="Calibri" w:eastAsia="Calibri" w:hAnsi="Calibri" w:cs="Calibri"/>
        </w:rPr>
        <w:t xml:space="preserve"> percent</w:t>
      </w:r>
      <w:r w:rsidR="00392DCA" w:rsidRPr="47C0E03C">
        <w:rPr>
          <w:rFonts w:ascii="Calibri" w:eastAsia="Calibri" w:hAnsi="Calibri" w:cs="Calibri"/>
        </w:rPr>
        <w:t xml:space="preserve"> </w:t>
      </w:r>
      <w:r w:rsidRPr="47C0E03C">
        <w:rPr>
          <w:rFonts w:ascii="Calibri" w:eastAsia="Calibri" w:hAnsi="Calibri" w:cs="Calibri"/>
        </w:rPr>
        <w:t xml:space="preserve">and many for-sale units remaining on the market for 30 days or less, Randolph County and the greater Elkins community demonstrate a healthy housing market. However, affordability data for both rental units and owned/for-sale homes </w:t>
      </w:r>
      <w:r w:rsidR="00121996">
        <w:rPr>
          <w:rFonts w:ascii="Calibri" w:eastAsia="Calibri" w:hAnsi="Calibri" w:cs="Calibri"/>
        </w:rPr>
        <w:t>highlight</w:t>
      </w:r>
      <w:r w:rsidR="00121996" w:rsidRPr="47C0E03C">
        <w:rPr>
          <w:rFonts w:ascii="Calibri" w:eastAsia="Calibri" w:hAnsi="Calibri" w:cs="Calibri"/>
        </w:rPr>
        <w:t xml:space="preserve"> </w:t>
      </w:r>
      <w:r w:rsidR="00E63A2C">
        <w:rPr>
          <w:rFonts w:ascii="Calibri" w:eastAsia="Calibri" w:hAnsi="Calibri" w:cs="Calibri"/>
        </w:rPr>
        <w:t>the</w:t>
      </w:r>
      <w:r w:rsidR="00E63A2C" w:rsidRPr="47C0E03C">
        <w:rPr>
          <w:rFonts w:ascii="Calibri" w:eastAsia="Calibri" w:hAnsi="Calibri" w:cs="Calibri"/>
        </w:rPr>
        <w:t xml:space="preserve"> </w:t>
      </w:r>
      <w:r w:rsidRPr="47C0E03C">
        <w:rPr>
          <w:rFonts w:ascii="Calibri" w:eastAsia="Calibri" w:hAnsi="Calibri" w:cs="Calibri"/>
        </w:rPr>
        <w:t xml:space="preserve">need for more low-income and market rate rentals and homes. </w:t>
      </w:r>
    </w:p>
    <w:p w14:paraId="614B959F" w14:textId="73272E08" w:rsidR="4A3FEE94" w:rsidRDefault="4A3FEE94" w:rsidP="4C6DF855">
      <w:pPr>
        <w:rPr>
          <w:rFonts w:ascii="Calibri" w:eastAsia="Calibri" w:hAnsi="Calibri" w:cs="Calibri"/>
        </w:rPr>
      </w:pPr>
      <w:r w:rsidRPr="7DFA81C2">
        <w:rPr>
          <w:rFonts w:ascii="Calibri" w:eastAsia="Calibri" w:hAnsi="Calibri" w:cs="Calibri"/>
        </w:rPr>
        <w:t xml:space="preserve">Data for low-income residents </w:t>
      </w:r>
      <w:r w:rsidR="00832144">
        <w:rPr>
          <w:rFonts w:ascii="Calibri" w:eastAsia="Calibri" w:hAnsi="Calibri" w:cs="Calibri"/>
        </w:rPr>
        <w:t>indicate</w:t>
      </w:r>
      <w:r w:rsidR="00832144" w:rsidRPr="7DFA81C2">
        <w:rPr>
          <w:rFonts w:ascii="Calibri" w:eastAsia="Calibri" w:hAnsi="Calibri" w:cs="Calibri"/>
        </w:rPr>
        <w:t xml:space="preserve"> </w:t>
      </w:r>
      <w:r w:rsidRPr="7DFA81C2">
        <w:rPr>
          <w:rFonts w:ascii="Calibri" w:eastAsia="Calibri" w:hAnsi="Calibri" w:cs="Calibri"/>
        </w:rPr>
        <w:t xml:space="preserve">that more than 2,300 households, including more than 1,000 </w:t>
      </w:r>
      <w:r w:rsidR="686839BC" w:rsidRPr="7DFA81C2">
        <w:rPr>
          <w:rFonts w:ascii="Calibri" w:eastAsia="Calibri" w:hAnsi="Calibri" w:cs="Calibri"/>
        </w:rPr>
        <w:t>renters,</w:t>
      </w:r>
      <w:r w:rsidRPr="7DFA81C2">
        <w:rPr>
          <w:rFonts w:ascii="Calibri" w:eastAsia="Calibri" w:hAnsi="Calibri" w:cs="Calibri"/>
        </w:rPr>
        <w:t xml:space="preserve"> are cost-burdened and unable to access housing without sacrificing other elements of their basic well-being. At least half of</w:t>
      </w:r>
      <w:r w:rsidR="00011476">
        <w:rPr>
          <w:rFonts w:ascii="Calibri" w:eastAsia="Calibri" w:hAnsi="Calibri" w:cs="Calibri"/>
        </w:rPr>
        <w:t xml:space="preserve"> the</w:t>
      </w:r>
      <w:r w:rsidRPr="7DFA81C2">
        <w:rPr>
          <w:rFonts w:ascii="Calibri" w:eastAsia="Calibri" w:hAnsi="Calibri" w:cs="Calibri"/>
        </w:rPr>
        <w:t xml:space="preserve"> workers in the </w:t>
      </w:r>
      <w:r w:rsidR="000D771F">
        <w:rPr>
          <w:rFonts w:ascii="Calibri" w:eastAsia="Calibri" w:hAnsi="Calibri" w:cs="Calibri"/>
        </w:rPr>
        <w:t>C</w:t>
      </w:r>
      <w:r w:rsidR="000D771F" w:rsidRPr="7DFA81C2">
        <w:rPr>
          <w:rFonts w:ascii="Calibri" w:eastAsia="Calibri" w:hAnsi="Calibri" w:cs="Calibri"/>
        </w:rPr>
        <w:t xml:space="preserve">ounty’s </w:t>
      </w:r>
      <w:r w:rsidRPr="7DFA81C2">
        <w:rPr>
          <w:rFonts w:ascii="Calibri" w:eastAsia="Calibri" w:hAnsi="Calibri" w:cs="Calibri"/>
        </w:rPr>
        <w:t xml:space="preserve">top </w:t>
      </w:r>
      <w:r w:rsidR="00832144">
        <w:rPr>
          <w:rFonts w:ascii="Calibri" w:eastAsia="Calibri" w:hAnsi="Calibri" w:cs="Calibri"/>
        </w:rPr>
        <w:t>10</w:t>
      </w:r>
      <w:r w:rsidR="00832144" w:rsidRPr="7DFA81C2">
        <w:rPr>
          <w:rFonts w:ascii="Calibri" w:eastAsia="Calibri" w:hAnsi="Calibri" w:cs="Calibri"/>
        </w:rPr>
        <w:t xml:space="preserve"> </w:t>
      </w:r>
      <w:r w:rsidRPr="7DFA81C2">
        <w:rPr>
          <w:rFonts w:ascii="Calibri" w:eastAsia="Calibri" w:hAnsi="Calibri" w:cs="Calibri"/>
        </w:rPr>
        <w:t xml:space="preserve">occupations are unable to afford </w:t>
      </w:r>
      <w:r w:rsidR="007A56C3">
        <w:rPr>
          <w:rFonts w:ascii="Calibri" w:eastAsia="Calibri" w:hAnsi="Calibri" w:cs="Calibri"/>
        </w:rPr>
        <w:t xml:space="preserve">the </w:t>
      </w:r>
      <w:r w:rsidRPr="7DFA81C2">
        <w:rPr>
          <w:rFonts w:ascii="Calibri" w:eastAsia="Calibri" w:hAnsi="Calibri" w:cs="Calibri"/>
        </w:rPr>
        <w:t>median gross rent ($691 per month) as single earners</w:t>
      </w:r>
      <w:r w:rsidR="00DA0B32">
        <w:rPr>
          <w:rFonts w:ascii="Calibri" w:eastAsia="Calibri" w:hAnsi="Calibri" w:cs="Calibri"/>
        </w:rPr>
        <w:t>, including</w:t>
      </w:r>
      <w:r w:rsidRPr="7DFA81C2">
        <w:rPr>
          <w:rFonts w:ascii="Calibri" w:eastAsia="Calibri" w:hAnsi="Calibri" w:cs="Calibri"/>
        </w:rPr>
        <w:t xml:space="preserve"> workers in critical occupations </w:t>
      </w:r>
      <w:r w:rsidR="002E41F7">
        <w:rPr>
          <w:rFonts w:ascii="Calibri" w:eastAsia="Calibri" w:hAnsi="Calibri" w:cs="Calibri"/>
        </w:rPr>
        <w:t>such as</w:t>
      </w:r>
      <w:r w:rsidR="002E41F7" w:rsidRPr="7DFA81C2">
        <w:rPr>
          <w:rFonts w:ascii="Calibri" w:eastAsia="Calibri" w:hAnsi="Calibri" w:cs="Calibri"/>
        </w:rPr>
        <w:t xml:space="preserve"> </w:t>
      </w:r>
      <w:r w:rsidRPr="7DFA81C2">
        <w:rPr>
          <w:rFonts w:ascii="Calibri" w:eastAsia="Calibri" w:hAnsi="Calibri" w:cs="Calibri"/>
        </w:rPr>
        <w:t xml:space="preserve">home health and personal care aides, nursing assistants, and retail workers and cashiers. </w:t>
      </w:r>
      <w:r w:rsidR="011BF519" w:rsidRPr="7DFA81C2">
        <w:rPr>
          <w:rFonts w:ascii="Calibri" w:eastAsia="Calibri" w:hAnsi="Calibri" w:cs="Calibri"/>
        </w:rPr>
        <w:t>Nearly 1,000 cost-burdened households have low incomes and may be at risk of homelessness or regularly endure extreme hardship to retain their housing.</w:t>
      </w:r>
    </w:p>
    <w:p w14:paraId="4F811DDD" w14:textId="3239C2E4" w:rsidR="4A3FEE94" w:rsidRDefault="002A580A" w:rsidP="47C0E03C">
      <w:r w:rsidRPr="47C0E03C">
        <w:rPr>
          <w:rFonts w:ascii="Calibri" w:eastAsia="Calibri" w:hAnsi="Calibri" w:cs="Calibri"/>
        </w:rPr>
        <w:t>Wh</w:t>
      </w:r>
      <w:r>
        <w:rPr>
          <w:rFonts w:ascii="Calibri" w:eastAsia="Calibri" w:hAnsi="Calibri" w:cs="Calibri"/>
        </w:rPr>
        <w:t>ereas</w:t>
      </w:r>
      <w:r w:rsidRPr="47C0E03C">
        <w:rPr>
          <w:rFonts w:ascii="Calibri" w:eastAsia="Calibri" w:hAnsi="Calibri" w:cs="Calibri"/>
        </w:rPr>
        <w:t xml:space="preserve"> </w:t>
      </w:r>
      <w:r w:rsidR="4A3FEE94" w:rsidRPr="47C0E03C">
        <w:rPr>
          <w:rFonts w:ascii="Calibri" w:eastAsia="Calibri" w:hAnsi="Calibri" w:cs="Calibri"/>
        </w:rPr>
        <w:t xml:space="preserve">concrete housing numbers for higher earners are harder to quantify, income and occupation data show that </w:t>
      </w:r>
      <w:r w:rsidR="00806D5D" w:rsidRPr="47C0E03C">
        <w:rPr>
          <w:rFonts w:ascii="Calibri" w:eastAsia="Calibri" w:hAnsi="Calibri" w:cs="Calibri"/>
        </w:rPr>
        <w:t>experienced workers earning at or above the 90th percentile</w:t>
      </w:r>
      <w:r w:rsidR="00806D5D" w:rsidRPr="47C0E03C" w:rsidDel="00806D5D">
        <w:rPr>
          <w:rFonts w:ascii="Calibri" w:eastAsia="Calibri" w:hAnsi="Calibri" w:cs="Calibri"/>
        </w:rPr>
        <w:t xml:space="preserve"> </w:t>
      </w:r>
      <w:r w:rsidR="4A3FEE94" w:rsidRPr="47C0E03C">
        <w:rPr>
          <w:rFonts w:ascii="Calibri" w:eastAsia="Calibri" w:hAnsi="Calibri" w:cs="Calibri"/>
        </w:rPr>
        <w:t xml:space="preserve">in </w:t>
      </w:r>
      <w:r w:rsidR="008F0FCF">
        <w:rPr>
          <w:rFonts w:ascii="Calibri" w:eastAsia="Calibri" w:hAnsi="Calibri" w:cs="Calibri"/>
        </w:rPr>
        <w:t xml:space="preserve">4 </w:t>
      </w:r>
      <w:r w:rsidR="4A3FEE94" w:rsidRPr="47C0E03C">
        <w:rPr>
          <w:rFonts w:ascii="Calibri" w:eastAsia="Calibri" w:hAnsi="Calibri" w:cs="Calibri"/>
        </w:rPr>
        <w:t xml:space="preserve">of the </w:t>
      </w:r>
      <w:r w:rsidR="00CD6831">
        <w:rPr>
          <w:rFonts w:ascii="Calibri" w:eastAsia="Calibri" w:hAnsi="Calibri" w:cs="Calibri"/>
        </w:rPr>
        <w:t>C</w:t>
      </w:r>
      <w:r w:rsidR="00CD6831" w:rsidRPr="47C0E03C">
        <w:rPr>
          <w:rFonts w:ascii="Calibri" w:eastAsia="Calibri" w:hAnsi="Calibri" w:cs="Calibri"/>
        </w:rPr>
        <w:t xml:space="preserve">ounty’s </w:t>
      </w:r>
      <w:r w:rsidR="4A3FEE94" w:rsidRPr="47C0E03C">
        <w:rPr>
          <w:rFonts w:ascii="Calibri" w:eastAsia="Calibri" w:hAnsi="Calibri" w:cs="Calibri"/>
        </w:rPr>
        <w:t xml:space="preserve">top </w:t>
      </w:r>
      <w:r w:rsidR="00AF5861">
        <w:rPr>
          <w:rFonts w:ascii="Calibri" w:eastAsia="Calibri" w:hAnsi="Calibri" w:cs="Calibri"/>
        </w:rPr>
        <w:t>10</w:t>
      </w:r>
      <w:r w:rsidR="00AF5861" w:rsidRPr="47C0E03C">
        <w:rPr>
          <w:rFonts w:ascii="Calibri" w:eastAsia="Calibri" w:hAnsi="Calibri" w:cs="Calibri"/>
        </w:rPr>
        <w:t xml:space="preserve"> </w:t>
      </w:r>
      <w:r w:rsidR="4A3FEE94" w:rsidRPr="47C0E03C">
        <w:rPr>
          <w:rFonts w:ascii="Calibri" w:eastAsia="Calibri" w:hAnsi="Calibri" w:cs="Calibri"/>
        </w:rPr>
        <w:t xml:space="preserve">occupations can afford </w:t>
      </w:r>
      <w:r w:rsidR="00D2771C">
        <w:rPr>
          <w:rFonts w:ascii="Calibri" w:eastAsia="Calibri" w:hAnsi="Calibri" w:cs="Calibri"/>
        </w:rPr>
        <w:t xml:space="preserve">the </w:t>
      </w:r>
      <w:r w:rsidR="4A3FEE94" w:rsidRPr="47C0E03C">
        <w:rPr>
          <w:rFonts w:ascii="Calibri" w:eastAsia="Calibri" w:hAnsi="Calibri" w:cs="Calibri"/>
        </w:rPr>
        <w:t xml:space="preserve">median homeownership costs as single earners </w:t>
      </w:r>
      <w:r w:rsidR="00B92A98">
        <w:rPr>
          <w:rFonts w:ascii="Calibri" w:eastAsia="Calibri" w:hAnsi="Calibri" w:cs="Calibri"/>
        </w:rPr>
        <w:t>as well as</w:t>
      </w:r>
      <w:r w:rsidR="4A3FEE94" w:rsidRPr="47C0E03C">
        <w:rPr>
          <w:rFonts w:ascii="Calibri" w:eastAsia="Calibri" w:hAnsi="Calibri" w:cs="Calibri"/>
        </w:rPr>
        <w:t xml:space="preserve"> support substantial housing costs. Moreover, nearly 1,600 highly paid workers earning more than $40,000 annually and who can afford more than $1,000 per month for housing commute into the </w:t>
      </w:r>
      <w:r w:rsidR="00CD6831">
        <w:rPr>
          <w:rFonts w:ascii="Calibri" w:eastAsia="Calibri" w:hAnsi="Calibri" w:cs="Calibri"/>
        </w:rPr>
        <w:t>C</w:t>
      </w:r>
      <w:r w:rsidR="00CD6831" w:rsidRPr="47C0E03C">
        <w:rPr>
          <w:rFonts w:ascii="Calibri" w:eastAsia="Calibri" w:hAnsi="Calibri" w:cs="Calibri"/>
        </w:rPr>
        <w:t xml:space="preserve">ounty </w:t>
      </w:r>
      <w:r w:rsidR="4A3FEE94" w:rsidRPr="47C0E03C">
        <w:rPr>
          <w:rFonts w:ascii="Calibri" w:eastAsia="Calibri" w:hAnsi="Calibri" w:cs="Calibri"/>
        </w:rPr>
        <w:t xml:space="preserve">for their primary job. Interviewees and focus group attendants suggested that there </w:t>
      </w:r>
      <w:r w:rsidR="00657823">
        <w:rPr>
          <w:rFonts w:ascii="Calibri" w:eastAsia="Calibri" w:hAnsi="Calibri" w:cs="Calibri"/>
        </w:rPr>
        <w:t>exists</w:t>
      </w:r>
      <w:r w:rsidR="00657823" w:rsidRPr="47C0E03C">
        <w:rPr>
          <w:rFonts w:ascii="Calibri" w:eastAsia="Calibri" w:hAnsi="Calibri" w:cs="Calibri"/>
        </w:rPr>
        <w:t xml:space="preserve"> </w:t>
      </w:r>
      <w:r w:rsidR="1D1CFF20" w:rsidRPr="47C0E03C">
        <w:rPr>
          <w:rFonts w:ascii="Calibri" w:eastAsia="Calibri" w:hAnsi="Calibri" w:cs="Calibri"/>
        </w:rPr>
        <w:t>demand for</w:t>
      </w:r>
      <w:r w:rsidR="4A3FEE94" w:rsidRPr="47C0E03C">
        <w:rPr>
          <w:rFonts w:ascii="Calibri" w:eastAsia="Calibri" w:hAnsi="Calibri" w:cs="Calibri"/>
        </w:rPr>
        <w:t xml:space="preserve"> </w:t>
      </w:r>
      <w:r w:rsidR="5848351D" w:rsidRPr="47C0E03C">
        <w:rPr>
          <w:rFonts w:ascii="Calibri" w:eastAsia="Calibri" w:hAnsi="Calibri" w:cs="Calibri"/>
        </w:rPr>
        <w:t>moderate- and upper-income</w:t>
      </w:r>
      <w:r w:rsidR="4A3FEE94" w:rsidRPr="47C0E03C">
        <w:rPr>
          <w:rFonts w:ascii="Calibri" w:eastAsia="Calibri" w:hAnsi="Calibri" w:cs="Calibri"/>
        </w:rPr>
        <w:t xml:space="preserve"> housing in the </w:t>
      </w:r>
      <w:r w:rsidR="00CD6831">
        <w:rPr>
          <w:rFonts w:ascii="Calibri" w:eastAsia="Calibri" w:hAnsi="Calibri" w:cs="Calibri"/>
        </w:rPr>
        <w:t>C</w:t>
      </w:r>
      <w:r w:rsidR="00CD6831" w:rsidRPr="47C0E03C">
        <w:rPr>
          <w:rFonts w:ascii="Calibri" w:eastAsia="Calibri" w:hAnsi="Calibri" w:cs="Calibri"/>
        </w:rPr>
        <w:t>ounty</w:t>
      </w:r>
      <w:r w:rsidR="4A3FEE94" w:rsidRPr="47C0E03C">
        <w:rPr>
          <w:rFonts w:ascii="Calibri" w:eastAsia="Calibri" w:hAnsi="Calibri" w:cs="Calibri"/>
        </w:rPr>
        <w:t xml:space="preserve">, especially in </w:t>
      </w:r>
      <w:r w:rsidR="201C2181" w:rsidRPr="47C0E03C">
        <w:rPr>
          <w:rFonts w:ascii="Calibri" w:eastAsia="Calibri" w:hAnsi="Calibri" w:cs="Calibri"/>
        </w:rPr>
        <w:t>the $200,000</w:t>
      </w:r>
      <w:r w:rsidR="4A3FEE94" w:rsidRPr="47C0E03C">
        <w:rPr>
          <w:rFonts w:ascii="Calibri" w:eastAsia="Calibri" w:hAnsi="Calibri" w:cs="Calibri"/>
        </w:rPr>
        <w:t xml:space="preserve"> to $250,000 price range. For both high and low-income workers, opportunities for homeownership </w:t>
      </w:r>
      <w:r w:rsidR="00AC0757">
        <w:rPr>
          <w:rFonts w:ascii="Calibri" w:eastAsia="Calibri" w:hAnsi="Calibri" w:cs="Calibri"/>
        </w:rPr>
        <w:t>is</w:t>
      </w:r>
      <w:r w:rsidR="4A3FEE94" w:rsidRPr="47C0E03C">
        <w:rPr>
          <w:rFonts w:ascii="Calibri" w:eastAsia="Calibri" w:hAnsi="Calibri" w:cs="Calibri"/>
        </w:rPr>
        <w:t xml:space="preserve"> essential for anchoring these residents in </w:t>
      </w:r>
      <w:r w:rsidR="00AC0757">
        <w:rPr>
          <w:rFonts w:ascii="Calibri" w:eastAsia="Calibri" w:hAnsi="Calibri" w:cs="Calibri"/>
        </w:rPr>
        <w:t xml:space="preserve">the </w:t>
      </w:r>
      <w:r w:rsidR="4A3FEE94" w:rsidRPr="47C0E03C">
        <w:rPr>
          <w:rFonts w:ascii="Calibri" w:eastAsia="Calibri" w:hAnsi="Calibri" w:cs="Calibri"/>
        </w:rPr>
        <w:t xml:space="preserve">County. Both </w:t>
      </w:r>
      <w:r w:rsidR="619BB2B1" w:rsidRPr="47C0E03C">
        <w:rPr>
          <w:rFonts w:ascii="Calibri" w:eastAsia="Calibri" w:hAnsi="Calibri" w:cs="Calibri"/>
        </w:rPr>
        <w:t>the cost</w:t>
      </w:r>
      <w:r w:rsidR="4A3FEE94" w:rsidRPr="47C0E03C">
        <w:rPr>
          <w:rFonts w:ascii="Calibri" w:eastAsia="Calibri" w:hAnsi="Calibri" w:cs="Calibri"/>
        </w:rPr>
        <w:t xml:space="preserve"> and availability of housing factor into </w:t>
      </w:r>
      <w:r w:rsidR="025B7B4A" w:rsidRPr="47C0E03C">
        <w:rPr>
          <w:rFonts w:ascii="Calibri" w:eastAsia="Calibri" w:hAnsi="Calibri" w:cs="Calibri"/>
        </w:rPr>
        <w:t>workers</w:t>
      </w:r>
      <w:r w:rsidR="4A3FEE94" w:rsidRPr="47C0E03C">
        <w:rPr>
          <w:rFonts w:ascii="Calibri" w:eastAsia="Calibri" w:hAnsi="Calibri" w:cs="Calibri"/>
        </w:rPr>
        <w:t>’ choice to live in the County</w:t>
      </w:r>
      <w:r w:rsidR="00A71409">
        <w:rPr>
          <w:rFonts w:ascii="Calibri" w:eastAsia="Calibri" w:hAnsi="Calibri" w:cs="Calibri"/>
        </w:rPr>
        <w:t>.</w:t>
      </w:r>
      <w:r w:rsidR="4A3FEE94" w:rsidRPr="47C0E03C">
        <w:rPr>
          <w:rFonts w:ascii="Calibri" w:eastAsia="Calibri" w:hAnsi="Calibri" w:cs="Calibri"/>
        </w:rPr>
        <w:t xml:space="preserve"> </w:t>
      </w:r>
      <w:r w:rsidR="00A71409">
        <w:rPr>
          <w:rFonts w:ascii="Calibri" w:eastAsia="Calibri" w:hAnsi="Calibri" w:cs="Calibri"/>
        </w:rPr>
        <w:t>Wi</w:t>
      </w:r>
      <w:r w:rsidR="4A3FEE94" w:rsidRPr="47C0E03C">
        <w:rPr>
          <w:rFonts w:ascii="Calibri" w:eastAsia="Calibri" w:hAnsi="Calibri" w:cs="Calibri"/>
        </w:rPr>
        <w:t>thout appropriate housing options</w:t>
      </w:r>
      <w:r w:rsidR="00996333">
        <w:rPr>
          <w:rFonts w:ascii="Calibri" w:eastAsia="Calibri" w:hAnsi="Calibri" w:cs="Calibri"/>
        </w:rPr>
        <w:t>,</w:t>
      </w:r>
      <w:r w:rsidR="4A3FEE94" w:rsidRPr="47C0E03C">
        <w:rPr>
          <w:rFonts w:ascii="Calibri" w:eastAsia="Calibri" w:hAnsi="Calibri" w:cs="Calibri"/>
        </w:rPr>
        <w:t xml:space="preserve"> they are likely </w:t>
      </w:r>
      <w:r w:rsidR="3D86B147" w:rsidRPr="47C0E03C">
        <w:rPr>
          <w:rFonts w:ascii="Calibri" w:eastAsia="Calibri" w:hAnsi="Calibri" w:cs="Calibri"/>
        </w:rPr>
        <w:t>to live</w:t>
      </w:r>
      <w:r w:rsidR="4A3FEE94" w:rsidRPr="47C0E03C">
        <w:rPr>
          <w:rFonts w:ascii="Calibri" w:eastAsia="Calibri" w:hAnsi="Calibri" w:cs="Calibri"/>
        </w:rPr>
        <w:t xml:space="preserve"> elsewhere. </w:t>
      </w:r>
    </w:p>
    <w:p w14:paraId="1109BE89" w14:textId="6CF673F3" w:rsidR="4A3FEE94" w:rsidRDefault="4A3FEE94" w:rsidP="00302324">
      <w:pPr>
        <w:rPr>
          <w:rFonts w:ascii="Calibri" w:eastAsia="Calibri" w:hAnsi="Calibri" w:cs="Calibri"/>
        </w:rPr>
      </w:pPr>
      <w:r w:rsidRPr="7DFA81C2">
        <w:rPr>
          <w:rFonts w:ascii="Calibri" w:eastAsia="Calibri" w:hAnsi="Calibri" w:cs="Calibri"/>
        </w:rPr>
        <w:t xml:space="preserve">The County should promote the development of a variety of housing to meet the needs of current and prospective residents. This includes creating </w:t>
      </w:r>
      <w:r w:rsidR="5917C8F4" w:rsidRPr="7DFA81C2">
        <w:rPr>
          <w:rFonts w:ascii="Calibri" w:eastAsia="Calibri" w:hAnsi="Calibri" w:cs="Calibri"/>
        </w:rPr>
        <w:t>turnkey</w:t>
      </w:r>
      <w:r w:rsidRPr="7DFA81C2">
        <w:rPr>
          <w:rFonts w:ascii="Calibri" w:eastAsia="Calibri" w:hAnsi="Calibri" w:cs="Calibri"/>
        </w:rPr>
        <w:t>, well</w:t>
      </w:r>
      <w:r w:rsidR="002F3CB1">
        <w:rPr>
          <w:rFonts w:ascii="Calibri" w:eastAsia="Calibri" w:hAnsi="Calibri" w:cs="Calibri"/>
        </w:rPr>
        <w:t>-</w:t>
      </w:r>
      <w:r w:rsidRPr="7DFA81C2">
        <w:rPr>
          <w:rFonts w:ascii="Calibri" w:eastAsia="Calibri" w:hAnsi="Calibri" w:cs="Calibri"/>
        </w:rPr>
        <w:t xml:space="preserve">located homes for </w:t>
      </w:r>
      <w:r w:rsidR="7CE14185" w:rsidRPr="7DFA81C2">
        <w:rPr>
          <w:rFonts w:ascii="Calibri" w:eastAsia="Calibri" w:hAnsi="Calibri" w:cs="Calibri"/>
        </w:rPr>
        <w:t>higher-income</w:t>
      </w:r>
      <w:r w:rsidRPr="7DFA81C2">
        <w:rPr>
          <w:rFonts w:ascii="Calibri" w:eastAsia="Calibri" w:hAnsi="Calibri" w:cs="Calibri"/>
        </w:rPr>
        <w:t xml:space="preserve"> households and a mix of upper</w:t>
      </w:r>
      <w:r w:rsidR="00D709F1">
        <w:rPr>
          <w:rFonts w:ascii="Calibri" w:eastAsia="Calibri" w:hAnsi="Calibri" w:cs="Calibri"/>
        </w:rPr>
        <w:t>-</w:t>
      </w:r>
      <w:r w:rsidRPr="7DFA81C2">
        <w:rPr>
          <w:rFonts w:ascii="Calibri" w:eastAsia="Calibri" w:hAnsi="Calibri" w:cs="Calibri"/>
        </w:rPr>
        <w:t xml:space="preserve"> and moderate-income rental units </w:t>
      </w:r>
      <w:r w:rsidR="00D709F1" w:rsidRPr="7DFA81C2">
        <w:rPr>
          <w:rFonts w:ascii="Calibri" w:eastAsia="Calibri" w:hAnsi="Calibri" w:cs="Calibri"/>
        </w:rPr>
        <w:t>a</w:t>
      </w:r>
      <w:r w:rsidR="00D709F1">
        <w:rPr>
          <w:rFonts w:ascii="Calibri" w:eastAsia="Calibri" w:hAnsi="Calibri" w:cs="Calibri"/>
        </w:rPr>
        <w:t>s well as</w:t>
      </w:r>
      <w:r w:rsidR="00D709F1" w:rsidRPr="7DFA81C2">
        <w:rPr>
          <w:rFonts w:ascii="Calibri" w:eastAsia="Calibri" w:hAnsi="Calibri" w:cs="Calibri"/>
        </w:rPr>
        <w:t xml:space="preserve"> </w:t>
      </w:r>
      <w:r w:rsidRPr="7DFA81C2">
        <w:rPr>
          <w:rFonts w:ascii="Calibri" w:eastAsia="Calibri" w:hAnsi="Calibri" w:cs="Calibri"/>
        </w:rPr>
        <w:t>new income</w:t>
      </w:r>
      <w:r w:rsidR="00D709F1">
        <w:rPr>
          <w:rFonts w:ascii="Calibri" w:eastAsia="Calibri" w:hAnsi="Calibri" w:cs="Calibri"/>
        </w:rPr>
        <w:t>-</w:t>
      </w:r>
      <w:r w:rsidRPr="7DFA81C2">
        <w:rPr>
          <w:rFonts w:ascii="Calibri" w:eastAsia="Calibri" w:hAnsi="Calibri" w:cs="Calibri"/>
        </w:rPr>
        <w:t>restricted units. This broad approach to housing development address</w:t>
      </w:r>
      <w:r w:rsidR="00C974E1">
        <w:rPr>
          <w:rFonts w:ascii="Calibri" w:eastAsia="Calibri" w:hAnsi="Calibri" w:cs="Calibri"/>
        </w:rPr>
        <w:t>es</w:t>
      </w:r>
      <w:r w:rsidRPr="7DFA81C2">
        <w:rPr>
          <w:rFonts w:ascii="Calibri" w:eastAsia="Calibri" w:hAnsi="Calibri" w:cs="Calibri"/>
        </w:rPr>
        <w:t xml:space="preserve"> the desires of higher earners, free</w:t>
      </w:r>
      <w:r w:rsidR="004E6C9C">
        <w:rPr>
          <w:rFonts w:ascii="Calibri" w:eastAsia="Calibri" w:hAnsi="Calibri" w:cs="Calibri"/>
        </w:rPr>
        <w:t>s</w:t>
      </w:r>
      <w:r w:rsidRPr="7DFA81C2">
        <w:rPr>
          <w:rFonts w:ascii="Calibri" w:eastAsia="Calibri" w:hAnsi="Calibri" w:cs="Calibri"/>
        </w:rPr>
        <w:t xml:space="preserve"> up </w:t>
      </w:r>
      <w:r w:rsidR="00622D93">
        <w:rPr>
          <w:rFonts w:ascii="Calibri" w:eastAsia="Calibri" w:hAnsi="Calibri" w:cs="Calibri"/>
        </w:rPr>
        <w:t xml:space="preserve">occupied </w:t>
      </w:r>
      <w:r w:rsidR="00C571B5">
        <w:rPr>
          <w:rFonts w:ascii="Calibri" w:eastAsia="Calibri" w:hAnsi="Calibri" w:cs="Calibri"/>
        </w:rPr>
        <w:t xml:space="preserve">moderate-income </w:t>
      </w:r>
      <w:r w:rsidRPr="7DFA81C2">
        <w:rPr>
          <w:rFonts w:ascii="Calibri" w:eastAsia="Calibri" w:hAnsi="Calibri" w:cs="Calibri"/>
        </w:rPr>
        <w:t>properties, and stabilize</w:t>
      </w:r>
      <w:r w:rsidR="00C571B5">
        <w:rPr>
          <w:rFonts w:ascii="Calibri" w:eastAsia="Calibri" w:hAnsi="Calibri" w:cs="Calibri"/>
        </w:rPr>
        <w:t>s</w:t>
      </w:r>
      <w:r w:rsidRPr="7DFA81C2">
        <w:rPr>
          <w:rFonts w:ascii="Calibri" w:eastAsia="Calibri" w:hAnsi="Calibri" w:cs="Calibri"/>
        </w:rPr>
        <w:t xml:space="preserve"> vulnerable low-income community members. </w:t>
      </w:r>
      <w:r w:rsidR="004202F1">
        <w:rPr>
          <w:rFonts w:ascii="Calibri" w:eastAsia="Calibri" w:hAnsi="Calibri" w:cs="Calibri"/>
        </w:rPr>
        <w:t>Although</w:t>
      </w:r>
      <w:r w:rsidR="004202F1" w:rsidRPr="7DFA81C2">
        <w:rPr>
          <w:rFonts w:ascii="Calibri" w:eastAsia="Calibri" w:hAnsi="Calibri" w:cs="Calibri"/>
        </w:rPr>
        <w:t xml:space="preserve"> </w:t>
      </w:r>
      <w:r w:rsidRPr="7DFA81C2">
        <w:rPr>
          <w:rFonts w:ascii="Calibri" w:eastAsia="Calibri" w:hAnsi="Calibri" w:cs="Calibri"/>
        </w:rPr>
        <w:t xml:space="preserve">the market likely won’t </w:t>
      </w:r>
      <w:r w:rsidR="00046F2C">
        <w:rPr>
          <w:rFonts w:ascii="Calibri" w:eastAsia="Calibri" w:hAnsi="Calibri" w:cs="Calibri"/>
        </w:rPr>
        <w:t>support the</w:t>
      </w:r>
      <w:r w:rsidR="00046F2C" w:rsidRPr="7DFA81C2">
        <w:rPr>
          <w:rFonts w:ascii="Calibri" w:eastAsia="Calibri" w:hAnsi="Calibri" w:cs="Calibri"/>
        </w:rPr>
        <w:t xml:space="preserve"> </w:t>
      </w:r>
      <w:r w:rsidRPr="7DFA81C2">
        <w:rPr>
          <w:rFonts w:ascii="Calibri" w:eastAsia="Calibri" w:hAnsi="Calibri" w:cs="Calibri"/>
        </w:rPr>
        <w:t>large-scale development required to gain economies of scale, there are opportunities for infill development in upper</w:t>
      </w:r>
      <w:r w:rsidR="00361FA9">
        <w:rPr>
          <w:rFonts w:ascii="Calibri" w:eastAsia="Calibri" w:hAnsi="Calibri" w:cs="Calibri"/>
        </w:rPr>
        <w:t>-</w:t>
      </w:r>
      <w:r w:rsidRPr="7DFA81C2">
        <w:rPr>
          <w:rFonts w:ascii="Calibri" w:eastAsia="Calibri" w:hAnsi="Calibri" w:cs="Calibri"/>
        </w:rPr>
        <w:t>story lofts and demolition or rehabilitation of b</w:t>
      </w:r>
      <w:r w:rsidR="00135E4A">
        <w:rPr>
          <w:rFonts w:ascii="Calibri" w:eastAsia="Calibri" w:hAnsi="Calibri" w:cs="Calibri"/>
        </w:rPr>
        <w:t>l</w:t>
      </w:r>
      <w:r w:rsidRPr="7DFA81C2">
        <w:rPr>
          <w:rFonts w:ascii="Calibri" w:eastAsia="Calibri" w:hAnsi="Calibri" w:cs="Calibri"/>
        </w:rPr>
        <w:t xml:space="preserve">ighted units. </w:t>
      </w:r>
      <w:r w:rsidR="00BF394F">
        <w:rPr>
          <w:rFonts w:ascii="Calibri" w:eastAsia="Calibri" w:hAnsi="Calibri" w:cs="Calibri"/>
        </w:rPr>
        <w:t>In addition</w:t>
      </w:r>
      <w:r w:rsidRPr="7DFA81C2">
        <w:rPr>
          <w:rFonts w:ascii="Calibri" w:eastAsia="Calibri" w:hAnsi="Calibri" w:cs="Calibri"/>
        </w:rPr>
        <w:t>, investments in repair, maintenance</w:t>
      </w:r>
      <w:r w:rsidR="00DA72EF">
        <w:rPr>
          <w:rFonts w:ascii="Calibri" w:eastAsia="Calibri" w:hAnsi="Calibri" w:cs="Calibri"/>
        </w:rPr>
        <w:t>,</w:t>
      </w:r>
      <w:r w:rsidRPr="7DFA81C2">
        <w:rPr>
          <w:rFonts w:ascii="Calibri" w:eastAsia="Calibri" w:hAnsi="Calibri" w:cs="Calibri"/>
        </w:rPr>
        <w:t xml:space="preserve"> and upgrades to existing homes owned by low</w:t>
      </w:r>
      <w:r w:rsidR="00C9669A">
        <w:rPr>
          <w:rFonts w:ascii="Calibri" w:eastAsia="Calibri" w:hAnsi="Calibri" w:cs="Calibri"/>
        </w:rPr>
        <w:t>-</w:t>
      </w:r>
      <w:r w:rsidRPr="7DFA81C2">
        <w:rPr>
          <w:rFonts w:ascii="Calibri" w:eastAsia="Calibri" w:hAnsi="Calibri" w:cs="Calibri"/>
        </w:rPr>
        <w:t xml:space="preserve"> and moderate-income households will stabilize existing housing stock</w:t>
      </w:r>
      <w:r w:rsidR="00182187">
        <w:rPr>
          <w:rFonts w:ascii="Calibri" w:eastAsia="Calibri" w:hAnsi="Calibri" w:cs="Calibri"/>
        </w:rPr>
        <w:t>,</w:t>
      </w:r>
      <w:r w:rsidRPr="7DFA81C2">
        <w:rPr>
          <w:rFonts w:ascii="Calibri" w:eastAsia="Calibri" w:hAnsi="Calibri" w:cs="Calibri"/>
        </w:rPr>
        <w:t xml:space="preserve"> enhancing property values, local tax revenues, and community attractiveness. If the County and City of Elkins are to be successful in </w:t>
      </w:r>
      <w:r w:rsidRPr="7DFA81C2">
        <w:rPr>
          <w:rFonts w:ascii="Calibri" w:eastAsia="Calibri" w:hAnsi="Calibri" w:cs="Calibri"/>
        </w:rPr>
        <w:lastRenderedPageBreak/>
        <w:t xml:space="preserve">catalyzing housing development and </w:t>
      </w:r>
      <w:r w:rsidR="00302324">
        <w:rPr>
          <w:rFonts w:ascii="Calibri" w:eastAsia="Calibri" w:hAnsi="Calibri" w:cs="Calibri"/>
        </w:rPr>
        <w:t>plan to</w:t>
      </w:r>
      <w:r w:rsidRPr="7DFA81C2">
        <w:rPr>
          <w:rFonts w:ascii="Calibri" w:eastAsia="Calibri" w:hAnsi="Calibri" w:cs="Calibri"/>
        </w:rPr>
        <w:t xml:space="preserve"> encourage more growth, they should embark on community development initiatives and </w:t>
      </w:r>
      <w:r w:rsidR="00A76CEF">
        <w:rPr>
          <w:rFonts w:ascii="Calibri" w:eastAsia="Calibri" w:hAnsi="Calibri" w:cs="Calibri"/>
        </w:rPr>
        <w:t xml:space="preserve">conduct </w:t>
      </w:r>
      <w:r w:rsidRPr="7DFA81C2">
        <w:rPr>
          <w:rFonts w:ascii="Calibri" w:eastAsia="Calibri" w:hAnsi="Calibri" w:cs="Calibri"/>
        </w:rPr>
        <w:t>plan</w:t>
      </w:r>
      <w:r w:rsidR="00A76CEF">
        <w:rPr>
          <w:rFonts w:ascii="Calibri" w:eastAsia="Calibri" w:hAnsi="Calibri" w:cs="Calibri"/>
        </w:rPr>
        <w:t>ning</w:t>
      </w:r>
      <w:r w:rsidRPr="7DFA81C2">
        <w:rPr>
          <w:rFonts w:ascii="Calibri" w:eastAsia="Calibri" w:hAnsi="Calibri" w:cs="Calibri"/>
        </w:rPr>
        <w:t xml:space="preserve"> </w:t>
      </w:r>
      <w:r w:rsidR="00C0677E">
        <w:rPr>
          <w:rFonts w:ascii="Calibri" w:eastAsia="Calibri" w:hAnsi="Calibri" w:cs="Calibri"/>
        </w:rPr>
        <w:t>considering</w:t>
      </w:r>
      <w:r w:rsidR="00C0677E" w:rsidRPr="7DFA81C2">
        <w:rPr>
          <w:rFonts w:ascii="Calibri" w:eastAsia="Calibri" w:hAnsi="Calibri" w:cs="Calibri"/>
        </w:rPr>
        <w:t xml:space="preserve"> </w:t>
      </w:r>
      <w:r w:rsidRPr="7DFA81C2">
        <w:rPr>
          <w:rFonts w:ascii="Calibri" w:eastAsia="Calibri" w:hAnsi="Calibri" w:cs="Calibri"/>
        </w:rPr>
        <w:t>combined development efforts.</w:t>
      </w:r>
    </w:p>
    <w:p w14:paraId="410DB79C" w14:textId="77777777" w:rsidR="005A106F" w:rsidRDefault="005A106F" w:rsidP="005A106F">
      <w:pPr>
        <w:spacing w:after="0"/>
        <w:rPr>
          <w:rFonts w:eastAsia="Calibri" w:cstheme="minorHAnsi"/>
          <w:color w:val="000000" w:themeColor="text1"/>
        </w:rPr>
      </w:pPr>
    </w:p>
    <w:p w14:paraId="61481474" w14:textId="77777777" w:rsidR="005A106F" w:rsidRDefault="005A106F" w:rsidP="005A106F">
      <w:pPr>
        <w:spacing w:after="0"/>
        <w:rPr>
          <w:rFonts w:eastAsia="Calibri" w:cstheme="minorHAnsi"/>
          <w:color w:val="000000" w:themeColor="text1"/>
        </w:rPr>
        <w:sectPr w:rsidR="005A106F" w:rsidSect="00C02903">
          <w:footerReference w:type="default" r:id="rId13"/>
          <w:pgSz w:w="12240" w:h="15840"/>
          <w:pgMar w:top="1440" w:right="1440" w:bottom="1440" w:left="1440" w:header="720" w:footer="720" w:gutter="0"/>
          <w:pgNumType w:start="1"/>
          <w:cols w:space="720"/>
          <w:docGrid w:linePitch="360"/>
        </w:sectPr>
      </w:pPr>
    </w:p>
    <w:p w14:paraId="34AE8B68" w14:textId="5F247A91" w:rsidR="00E07BCA" w:rsidRPr="005A106F" w:rsidRDefault="00E07BCA" w:rsidP="005A106F">
      <w:pPr>
        <w:spacing w:after="0"/>
        <w:rPr>
          <w:rFonts w:ascii="Calibri" w:eastAsia="Calibri" w:hAnsi="Calibri" w:cs="Calibri"/>
        </w:rPr>
      </w:pPr>
      <w:r>
        <w:rPr>
          <w:rFonts w:ascii="Calibri" w:eastAsia="Calibri" w:hAnsi="Calibri" w:cs="Calibri"/>
        </w:rPr>
        <w:br w:type="page"/>
      </w:r>
    </w:p>
    <w:sdt>
      <w:sdtPr>
        <w:rPr>
          <w:rFonts w:asciiTheme="minorHAnsi" w:eastAsiaTheme="minorEastAsia" w:hAnsiTheme="minorHAnsi" w:cstheme="minorBidi"/>
          <w:color w:val="auto"/>
          <w:sz w:val="22"/>
          <w:szCs w:val="22"/>
          <w:lang w:eastAsia="ko-KR"/>
        </w:rPr>
        <w:id w:val="2103379963"/>
        <w:docPartObj>
          <w:docPartGallery w:val="Table of Contents"/>
          <w:docPartUnique/>
        </w:docPartObj>
      </w:sdtPr>
      <w:sdtEndPr>
        <w:rPr>
          <w:b/>
          <w:bCs/>
          <w:noProof/>
        </w:rPr>
      </w:sdtEndPr>
      <w:sdtContent>
        <w:p w14:paraId="752D5184" w14:textId="29CA8B2B" w:rsidR="000F0F37" w:rsidRDefault="000F0F37">
          <w:pPr>
            <w:pStyle w:val="TOCHeading"/>
          </w:pPr>
          <w:r>
            <w:t>Contents</w:t>
          </w:r>
        </w:p>
        <w:p w14:paraId="4F1F4F24" w14:textId="20ACD13F" w:rsidR="005D7B33" w:rsidRDefault="000F0F37">
          <w:pPr>
            <w:pStyle w:val="TOC1"/>
            <w:tabs>
              <w:tab w:val="right" w:leader="dot" w:pos="9350"/>
            </w:tabs>
            <w:rPr>
              <w:noProof/>
              <w:lang w:eastAsia="en-US"/>
            </w:rPr>
          </w:pPr>
          <w:r>
            <w:fldChar w:fldCharType="begin"/>
          </w:r>
          <w:r>
            <w:instrText xml:space="preserve"> TOC \o "1-3" \h \z \u </w:instrText>
          </w:r>
          <w:r>
            <w:fldChar w:fldCharType="separate"/>
          </w:r>
          <w:hyperlink w:anchor="_Toc120703895" w:history="1">
            <w:r w:rsidR="005D7B33" w:rsidRPr="007676B1">
              <w:rPr>
                <w:rStyle w:val="Hyperlink"/>
                <w:noProof/>
              </w:rPr>
              <w:t>Executive Summary</w:t>
            </w:r>
            <w:r w:rsidR="005D7B33">
              <w:rPr>
                <w:noProof/>
                <w:webHidden/>
              </w:rPr>
              <w:tab/>
            </w:r>
            <w:r w:rsidR="005D7B33">
              <w:rPr>
                <w:noProof/>
                <w:webHidden/>
              </w:rPr>
              <w:fldChar w:fldCharType="begin"/>
            </w:r>
            <w:r w:rsidR="005D7B33">
              <w:rPr>
                <w:noProof/>
                <w:webHidden/>
              </w:rPr>
              <w:instrText xml:space="preserve"> PAGEREF _Toc120703895 \h </w:instrText>
            </w:r>
            <w:r w:rsidR="005D7B33">
              <w:rPr>
                <w:noProof/>
                <w:webHidden/>
              </w:rPr>
            </w:r>
            <w:r w:rsidR="005D7B33">
              <w:rPr>
                <w:noProof/>
                <w:webHidden/>
              </w:rPr>
              <w:fldChar w:fldCharType="separate"/>
            </w:r>
            <w:r w:rsidR="00EF58F3">
              <w:rPr>
                <w:noProof/>
                <w:webHidden/>
              </w:rPr>
              <w:t>1</w:t>
            </w:r>
            <w:r w:rsidR="005D7B33">
              <w:rPr>
                <w:noProof/>
                <w:webHidden/>
              </w:rPr>
              <w:fldChar w:fldCharType="end"/>
            </w:r>
          </w:hyperlink>
        </w:p>
        <w:p w14:paraId="7F2BEEEB" w14:textId="1B2808BF" w:rsidR="005D7B33" w:rsidRDefault="00C02903">
          <w:pPr>
            <w:pStyle w:val="TOC1"/>
            <w:tabs>
              <w:tab w:val="right" w:leader="dot" w:pos="9350"/>
            </w:tabs>
            <w:rPr>
              <w:noProof/>
              <w:lang w:eastAsia="en-US"/>
            </w:rPr>
          </w:pPr>
          <w:hyperlink w:anchor="_Toc120703896" w:history="1">
            <w:r w:rsidR="005D7B33" w:rsidRPr="007676B1">
              <w:rPr>
                <w:rStyle w:val="Hyperlink"/>
                <w:noProof/>
              </w:rPr>
              <w:t>Approach</w:t>
            </w:r>
            <w:r w:rsidR="005D7B33">
              <w:rPr>
                <w:noProof/>
                <w:webHidden/>
              </w:rPr>
              <w:tab/>
            </w:r>
            <w:r w:rsidR="005D7B33">
              <w:rPr>
                <w:noProof/>
                <w:webHidden/>
              </w:rPr>
              <w:fldChar w:fldCharType="begin"/>
            </w:r>
            <w:r w:rsidR="005D7B33">
              <w:rPr>
                <w:noProof/>
                <w:webHidden/>
              </w:rPr>
              <w:instrText xml:space="preserve"> PAGEREF _Toc120703896 \h </w:instrText>
            </w:r>
            <w:r w:rsidR="005D7B33">
              <w:rPr>
                <w:noProof/>
                <w:webHidden/>
              </w:rPr>
            </w:r>
            <w:r w:rsidR="005D7B33">
              <w:rPr>
                <w:noProof/>
                <w:webHidden/>
              </w:rPr>
              <w:fldChar w:fldCharType="separate"/>
            </w:r>
            <w:r w:rsidR="00EF58F3">
              <w:rPr>
                <w:noProof/>
                <w:webHidden/>
              </w:rPr>
              <w:t>4</w:t>
            </w:r>
            <w:r w:rsidR="005D7B33">
              <w:rPr>
                <w:noProof/>
                <w:webHidden/>
              </w:rPr>
              <w:fldChar w:fldCharType="end"/>
            </w:r>
          </w:hyperlink>
        </w:p>
        <w:p w14:paraId="53799B37" w14:textId="7698A097" w:rsidR="005D7B33" w:rsidRDefault="00C02903">
          <w:pPr>
            <w:pStyle w:val="TOC2"/>
            <w:rPr>
              <w:noProof/>
              <w:lang w:eastAsia="en-US"/>
            </w:rPr>
          </w:pPr>
          <w:hyperlink w:anchor="_Toc120703897" w:history="1">
            <w:r w:rsidR="005D7B33" w:rsidRPr="007676B1">
              <w:rPr>
                <w:rStyle w:val="Hyperlink"/>
                <w:noProof/>
              </w:rPr>
              <w:t>About Team</w:t>
            </w:r>
            <w:r w:rsidR="005D7B33">
              <w:rPr>
                <w:noProof/>
                <w:webHidden/>
              </w:rPr>
              <w:tab/>
            </w:r>
            <w:r w:rsidR="005D7B33">
              <w:rPr>
                <w:noProof/>
                <w:webHidden/>
              </w:rPr>
              <w:fldChar w:fldCharType="begin"/>
            </w:r>
            <w:r w:rsidR="005D7B33">
              <w:rPr>
                <w:noProof/>
                <w:webHidden/>
              </w:rPr>
              <w:instrText xml:space="preserve"> PAGEREF _Toc120703897 \h </w:instrText>
            </w:r>
            <w:r w:rsidR="005D7B33">
              <w:rPr>
                <w:noProof/>
                <w:webHidden/>
              </w:rPr>
            </w:r>
            <w:r w:rsidR="005D7B33">
              <w:rPr>
                <w:noProof/>
                <w:webHidden/>
              </w:rPr>
              <w:fldChar w:fldCharType="separate"/>
            </w:r>
            <w:r w:rsidR="00EF58F3">
              <w:rPr>
                <w:noProof/>
                <w:webHidden/>
              </w:rPr>
              <w:t>4</w:t>
            </w:r>
            <w:r w:rsidR="005D7B33">
              <w:rPr>
                <w:noProof/>
                <w:webHidden/>
              </w:rPr>
              <w:fldChar w:fldCharType="end"/>
            </w:r>
          </w:hyperlink>
        </w:p>
        <w:p w14:paraId="7B4471E8" w14:textId="68AEDE4E" w:rsidR="005D7B33" w:rsidRDefault="00C02903">
          <w:pPr>
            <w:pStyle w:val="TOC2"/>
            <w:rPr>
              <w:noProof/>
              <w:lang w:eastAsia="en-US"/>
            </w:rPr>
          </w:pPr>
          <w:hyperlink w:anchor="_Toc120703898" w:history="1">
            <w:r w:rsidR="005D7B33" w:rsidRPr="007676B1">
              <w:rPr>
                <w:rStyle w:val="Hyperlink"/>
                <w:noProof/>
              </w:rPr>
              <w:t>Data and Methodological Notes</w:t>
            </w:r>
            <w:r w:rsidR="005D7B33">
              <w:rPr>
                <w:noProof/>
                <w:webHidden/>
              </w:rPr>
              <w:tab/>
            </w:r>
            <w:r w:rsidR="005D7B33">
              <w:rPr>
                <w:noProof/>
                <w:webHidden/>
              </w:rPr>
              <w:fldChar w:fldCharType="begin"/>
            </w:r>
            <w:r w:rsidR="005D7B33">
              <w:rPr>
                <w:noProof/>
                <w:webHidden/>
              </w:rPr>
              <w:instrText xml:space="preserve"> PAGEREF _Toc120703898 \h </w:instrText>
            </w:r>
            <w:r w:rsidR="005D7B33">
              <w:rPr>
                <w:noProof/>
                <w:webHidden/>
              </w:rPr>
            </w:r>
            <w:r w:rsidR="005D7B33">
              <w:rPr>
                <w:noProof/>
                <w:webHidden/>
              </w:rPr>
              <w:fldChar w:fldCharType="separate"/>
            </w:r>
            <w:r w:rsidR="00EF58F3">
              <w:rPr>
                <w:noProof/>
                <w:webHidden/>
              </w:rPr>
              <w:t>5</w:t>
            </w:r>
            <w:r w:rsidR="005D7B33">
              <w:rPr>
                <w:noProof/>
                <w:webHidden/>
              </w:rPr>
              <w:fldChar w:fldCharType="end"/>
            </w:r>
          </w:hyperlink>
        </w:p>
        <w:p w14:paraId="0BD2C4D3" w14:textId="056C975C" w:rsidR="005D7B33" w:rsidRDefault="00C02903">
          <w:pPr>
            <w:pStyle w:val="TOC2"/>
            <w:rPr>
              <w:noProof/>
              <w:lang w:eastAsia="en-US"/>
            </w:rPr>
          </w:pPr>
          <w:hyperlink w:anchor="_Toc120703899" w:history="1">
            <w:r w:rsidR="005D7B33" w:rsidRPr="007676B1">
              <w:rPr>
                <w:rStyle w:val="Hyperlink"/>
                <w:bCs/>
                <w:noProof/>
              </w:rPr>
              <w:t>Study Geography</w:t>
            </w:r>
            <w:r w:rsidR="005D7B33">
              <w:rPr>
                <w:noProof/>
                <w:webHidden/>
              </w:rPr>
              <w:tab/>
            </w:r>
            <w:r w:rsidR="005D7B33">
              <w:rPr>
                <w:noProof/>
                <w:webHidden/>
              </w:rPr>
              <w:fldChar w:fldCharType="begin"/>
            </w:r>
            <w:r w:rsidR="005D7B33">
              <w:rPr>
                <w:noProof/>
                <w:webHidden/>
              </w:rPr>
              <w:instrText xml:space="preserve"> PAGEREF _Toc120703899 \h </w:instrText>
            </w:r>
            <w:r w:rsidR="005D7B33">
              <w:rPr>
                <w:noProof/>
                <w:webHidden/>
              </w:rPr>
            </w:r>
            <w:r w:rsidR="005D7B33">
              <w:rPr>
                <w:noProof/>
                <w:webHidden/>
              </w:rPr>
              <w:fldChar w:fldCharType="separate"/>
            </w:r>
            <w:r w:rsidR="00EF58F3">
              <w:rPr>
                <w:noProof/>
                <w:webHidden/>
              </w:rPr>
              <w:t>5</w:t>
            </w:r>
            <w:r w:rsidR="005D7B33">
              <w:rPr>
                <w:noProof/>
                <w:webHidden/>
              </w:rPr>
              <w:fldChar w:fldCharType="end"/>
            </w:r>
          </w:hyperlink>
        </w:p>
        <w:p w14:paraId="2FD589BA" w14:textId="77C05210" w:rsidR="005D7B33" w:rsidRDefault="00C02903">
          <w:pPr>
            <w:pStyle w:val="TOC2"/>
            <w:rPr>
              <w:noProof/>
              <w:lang w:eastAsia="en-US"/>
            </w:rPr>
          </w:pPr>
          <w:hyperlink w:anchor="_Toc120703900" w:history="1">
            <w:r w:rsidR="005D7B33" w:rsidRPr="007676B1">
              <w:rPr>
                <w:rStyle w:val="Hyperlink"/>
                <w:noProof/>
              </w:rPr>
              <w:t>Data Analysis</w:t>
            </w:r>
            <w:r w:rsidR="005D7B33">
              <w:rPr>
                <w:noProof/>
                <w:webHidden/>
              </w:rPr>
              <w:tab/>
            </w:r>
            <w:r w:rsidR="005D7B33">
              <w:rPr>
                <w:noProof/>
                <w:webHidden/>
              </w:rPr>
              <w:fldChar w:fldCharType="begin"/>
            </w:r>
            <w:r w:rsidR="005D7B33">
              <w:rPr>
                <w:noProof/>
                <w:webHidden/>
              </w:rPr>
              <w:instrText xml:space="preserve"> PAGEREF _Toc120703900 \h </w:instrText>
            </w:r>
            <w:r w:rsidR="005D7B33">
              <w:rPr>
                <w:noProof/>
                <w:webHidden/>
              </w:rPr>
            </w:r>
            <w:r w:rsidR="005D7B33">
              <w:rPr>
                <w:noProof/>
                <w:webHidden/>
              </w:rPr>
              <w:fldChar w:fldCharType="separate"/>
            </w:r>
            <w:r w:rsidR="00EF58F3">
              <w:rPr>
                <w:noProof/>
                <w:webHidden/>
              </w:rPr>
              <w:t>5</w:t>
            </w:r>
            <w:r w:rsidR="005D7B33">
              <w:rPr>
                <w:noProof/>
                <w:webHidden/>
              </w:rPr>
              <w:fldChar w:fldCharType="end"/>
            </w:r>
          </w:hyperlink>
        </w:p>
        <w:p w14:paraId="2E116B74" w14:textId="665A1D8B" w:rsidR="005D7B33" w:rsidRDefault="00C02903">
          <w:pPr>
            <w:pStyle w:val="TOC3"/>
            <w:rPr>
              <w:noProof/>
              <w:lang w:eastAsia="en-US"/>
            </w:rPr>
          </w:pPr>
          <w:hyperlink w:anchor="_Toc120703901" w:history="1">
            <w:r w:rsidR="005D7B33" w:rsidRPr="007676B1">
              <w:rPr>
                <w:rStyle w:val="Hyperlink"/>
                <w:noProof/>
              </w:rPr>
              <w:t xml:space="preserve">Focus </w:t>
            </w:r>
            <w:r w:rsidR="00E07BCA">
              <w:rPr>
                <w:rStyle w:val="Hyperlink"/>
                <w:noProof/>
              </w:rPr>
              <w:t>G</w:t>
            </w:r>
            <w:r w:rsidR="00E07BCA" w:rsidRPr="007676B1">
              <w:rPr>
                <w:rStyle w:val="Hyperlink"/>
                <w:noProof/>
              </w:rPr>
              <w:t xml:space="preserve">roups </w:t>
            </w:r>
            <w:r w:rsidR="005D7B33" w:rsidRPr="007676B1">
              <w:rPr>
                <w:rStyle w:val="Hyperlink"/>
                <w:noProof/>
              </w:rPr>
              <w:t xml:space="preserve">and </w:t>
            </w:r>
            <w:r w:rsidR="00E07BCA">
              <w:rPr>
                <w:rStyle w:val="Hyperlink"/>
                <w:noProof/>
              </w:rPr>
              <w:t>I</w:t>
            </w:r>
            <w:r w:rsidR="00E07BCA" w:rsidRPr="007676B1">
              <w:rPr>
                <w:rStyle w:val="Hyperlink"/>
                <w:noProof/>
              </w:rPr>
              <w:t>nterview</w:t>
            </w:r>
            <w:r w:rsidR="005D7B33">
              <w:rPr>
                <w:noProof/>
                <w:webHidden/>
              </w:rPr>
              <w:tab/>
            </w:r>
            <w:r w:rsidR="005D7B33">
              <w:rPr>
                <w:noProof/>
                <w:webHidden/>
              </w:rPr>
              <w:fldChar w:fldCharType="begin"/>
            </w:r>
            <w:r w:rsidR="005D7B33">
              <w:rPr>
                <w:noProof/>
                <w:webHidden/>
              </w:rPr>
              <w:instrText xml:space="preserve"> PAGEREF _Toc120703901 \h </w:instrText>
            </w:r>
            <w:r w:rsidR="005D7B33">
              <w:rPr>
                <w:noProof/>
                <w:webHidden/>
              </w:rPr>
            </w:r>
            <w:r w:rsidR="005D7B33">
              <w:rPr>
                <w:noProof/>
                <w:webHidden/>
              </w:rPr>
              <w:fldChar w:fldCharType="separate"/>
            </w:r>
            <w:r w:rsidR="00EF58F3">
              <w:rPr>
                <w:noProof/>
                <w:webHidden/>
              </w:rPr>
              <w:t>6</w:t>
            </w:r>
            <w:r w:rsidR="005D7B33">
              <w:rPr>
                <w:noProof/>
                <w:webHidden/>
              </w:rPr>
              <w:fldChar w:fldCharType="end"/>
            </w:r>
          </w:hyperlink>
        </w:p>
        <w:p w14:paraId="6D541489" w14:textId="020819BB" w:rsidR="005D7B33" w:rsidRDefault="00C02903">
          <w:pPr>
            <w:pStyle w:val="TOC1"/>
            <w:tabs>
              <w:tab w:val="right" w:leader="dot" w:pos="9350"/>
            </w:tabs>
            <w:rPr>
              <w:noProof/>
              <w:lang w:eastAsia="en-US"/>
            </w:rPr>
          </w:pPr>
          <w:hyperlink w:anchor="_Toc120703902" w:history="1">
            <w:r w:rsidR="005D7B33" w:rsidRPr="007676B1">
              <w:rPr>
                <w:rStyle w:val="Hyperlink"/>
                <w:noProof/>
              </w:rPr>
              <w:t>Important Terms and References</w:t>
            </w:r>
            <w:r w:rsidR="005D7B33">
              <w:rPr>
                <w:noProof/>
                <w:webHidden/>
              </w:rPr>
              <w:tab/>
            </w:r>
            <w:r w:rsidR="005D7B33">
              <w:rPr>
                <w:noProof/>
                <w:webHidden/>
              </w:rPr>
              <w:fldChar w:fldCharType="begin"/>
            </w:r>
            <w:r w:rsidR="005D7B33">
              <w:rPr>
                <w:noProof/>
                <w:webHidden/>
              </w:rPr>
              <w:instrText xml:space="preserve"> PAGEREF _Toc120703902 \h </w:instrText>
            </w:r>
            <w:r w:rsidR="005D7B33">
              <w:rPr>
                <w:noProof/>
                <w:webHidden/>
              </w:rPr>
            </w:r>
            <w:r w:rsidR="005D7B33">
              <w:rPr>
                <w:noProof/>
                <w:webHidden/>
              </w:rPr>
              <w:fldChar w:fldCharType="separate"/>
            </w:r>
            <w:r w:rsidR="00EF58F3">
              <w:rPr>
                <w:noProof/>
                <w:webHidden/>
              </w:rPr>
              <w:t>6</w:t>
            </w:r>
            <w:r w:rsidR="005D7B33">
              <w:rPr>
                <w:noProof/>
                <w:webHidden/>
              </w:rPr>
              <w:fldChar w:fldCharType="end"/>
            </w:r>
          </w:hyperlink>
        </w:p>
        <w:p w14:paraId="4DA4ABFA" w14:textId="3E0EC53E" w:rsidR="005D7B33" w:rsidRDefault="00C02903">
          <w:pPr>
            <w:pStyle w:val="TOC1"/>
            <w:tabs>
              <w:tab w:val="right" w:leader="dot" w:pos="9350"/>
            </w:tabs>
            <w:rPr>
              <w:noProof/>
              <w:lang w:eastAsia="en-US"/>
            </w:rPr>
          </w:pPr>
          <w:hyperlink w:anchor="_Toc120703903" w:history="1">
            <w:r w:rsidR="005D7B33" w:rsidRPr="007676B1">
              <w:rPr>
                <w:rStyle w:val="Hyperlink"/>
                <w:noProof/>
              </w:rPr>
              <w:t>Introduction</w:t>
            </w:r>
            <w:r w:rsidR="005D7B33">
              <w:rPr>
                <w:noProof/>
                <w:webHidden/>
              </w:rPr>
              <w:tab/>
            </w:r>
            <w:r w:rsidR="005D7B33">
              <w:rPr>
                <w:noProof/>
                <w:webHidden/>
              </w:rPr>
              <w:fldChar w:fldCharType="begin"/>
            </w:r>
            <w:r w:rsidR="005D7B33">
              <w:rPr>
                <w:noProof/>
                <w:webHidden/>
              </w:rPr>
              <w:instrText xml:space="preserve"> PAGEREF _Toc120703903 \h </w:instrText>
            </w:r>
            <w:r w:rsidR="005D7B33">
              <w:rPr>
                <w:noProof/>
                <w:webHidden/>
              </w:rPr>
            </w:r>
            <w:r w:rsidR="005D7B33">
              <w:rPr>
                <w:noProof/>
                <w:webHidden/>
              </w:rPr>
              <w:fldChar w:fldCharType="separate"/>
            </w:r>
            <w:r w:rsidR="00EF58F3">
              <w:rPr>
                <w:noProof/>
                <w:webHidden/>
              </w:rPr>
              <w:t>7</w:t>
            </w:r>
            <w:r w:rsidR="005D7B33">
              <w:rPr>
                <w:noProof/>
                <w:webHidden/>
              </w:rPr>
              <w:fldChar w:fldCharType="end"/>
            </w:r>
          </w:hyperlink>
        </w:p>
        <w:p w14:paraId="4166785A" w14:textId="5633F5B4" w:rsidR="005D7B33" w:rsidRDefault="00C02903">
          <w:pPr>
            <w:pStyle w:val="TOC1"/>
            <w:tabs>
              <w:tab w:val="right" w:leader="dot" w:pos="9350"/>
            </w:tabs>
            <w:rPr>
              <w:noProof/>
              <w:lang w:eastAsia="en-US"/>
            </w:rPr>
          </w:pPr>
          <w:hyperlink w:anchor="_Toc120703904" w:history="1">
            <w:r w:rsidR="005D7B33" w:rsidRPr="007676B1">
              <w:rPr>
                <w:rStyle w:val="Hyperlink"/>
                <w:noProof/>
              </w:rPr>
              <w:t>Household Characteristics</w:t>
            </w:r>
            <w:r w:rsidR="005D7B33">
              <w:rPr>
                <w:noProof/>
                <w:webHidden/>
              </w:rPr>
              <w:tab/>
            </w:r>
            <w:r w:rsidR="005D7B33">
              <w:rPr>
                <w:noProof/>
                <w:webHidden/>
              </w:rPr>
              <w:fldChar w:fldCharType="begin"/>
            </w:r>
            <w:r w:rsidR="005D7B33">
              <w:rPr>
                <w:noProof/>
                <w:webHidden/>
              </w:rPr>
              <w:instrText xml:space="preserve"> PAGEREF _Toc120703904 \h </w:instrText>
            </w:r>
            <w:r w:rsidR="005D7B33">
              <w:rPr>
                <w:noProof/>
                <w:webHidden/>
              </w:rPr>
            </w:r>
            <w:r w:rsidR="005D7B33">
              <w:rPr>
                <w:noProof/>
                <w:webHidden/>
              </w:rPr>
              <w:fldChar w:fldCharType="separate"/>
            </w:r>
            <w:r w:rsidR="00EF58F3">
              <w:rPr>
                <w:noProof/>
                <w:webHidden/>
              </w:rPr>
              <w:t>9</w:t>
            </w:r>
            <w:r w:rsidR="005D7B33">
              <w:rPr>
                <w:noProof/>
                <w:webHidden/>
              </w:rPr>
              <w:fldChar w:fldCharType="end"/>
            </w:r>
          </w:hyperlink>
        </w:p>
        <w:p w14:paraId="1323E911" w14:textId="3B0C84C2" w:rsidR="005D7B33" w:rsidRDefault="00C02903">
          <w:pPr>
            <w:pStyle w:val="TOC2"/>
            <w:rPr>
              <w:noProof/>
              <w:lang w:eastAsia="en-US"/>
            </w:rPr>
          </w:pPr>
          <w:hyperlink w:anchor="_Toc120703905" w:history="1">
            <w:r w:rsidR="005D7B33" w:rsidRPr="007676B1">
              <w:rPr>
                <w:rStyle w:val="Hyperlink"/>
                <w:noProof/>
              </w:rPr>
              <w:t>Household Size</w:t>
            </w:r>
            <w:r w:rsidR="005D7B33">
              <w:rPr>
                <w:noProof/>
                <w:webHidden/>
              </w:rPr>
              <w:tab/>
            </w:r>
            <w:r w:rsidR="005D7B33">
              <w:rPr>
                <w:noProof/>
                <w:webHidden/>
              </w:rPr>
              <w:fldChar w:fldCharType="begin"/>
            </w:r>
            <w:r w:rsidR="005D7B33">
              <w:rPr>
                <w:noProof/>
                <w:webHidden/>
              </w:rPr>
              <w:instrText xml:space="preserve"> PAGEREF _Toc120703905 \h </w:instrText>
            </w:r>
            <w:r w:rsidR="005D7B33">
              <w:rPr>
                <w:noProof/>
                <w:webHidden/>
              </w:rPr>
            </w:r>
            <w:r w:rsidR="005D7B33">
              <w:rPr>
                <w:noProof/>
                <w:webHidden/>
              </w:rPr>
              <w:fldChar w:fldCharType="separate"/>
            </w:r>
            <w:r w:rsidR="00EF58F3">
              <w:rPr>
                <w:noProof/>
                <w:webHidden/>
              </w:rPr>
              <w:t>10</w:t>
            </w:r>
            <w:r w:rsidR="005D7B33">
              <w:rPr>
                <w:noProof/>
                <w:webHidden/>
              </w:rPr>
              <w:fldChar w:fldCharType="end"/>
            </w:r>
          </w:hyperlink>
        </w:p>
        <w:p w14:paraId="63B0F8E1" w14:textId="459B3804" w:rsidR="005D7B33" w:rsidRDefault="00C02903">
          <w:pPr>
            <w:pStyle w:val="TOC2"/>
            <w:rPr>
              <w:noProof/>
              <w:lang w:eastAsia="en-US"/>
            </w:rPr>
          </w:pPr>
          <w:hyperlink w:anchor="_Toc120703906" w:history="1">
            <w:r w:rsidR="005D7B33" w:rsidRPr="007676B1">
              <w:rPr>
                <w:rStyle w:val="Hyperlink"/>
                <w:noProof/>
              </w:rPr>
              <w:t>Household Type</w:t>
            </w:r>
            <w:r w:rsidR="005D7B33">
              <w:rPr>
                <w:noProof/>
                <w:webHidden/>
              </w:rPr>
              <w:tab/>
            </w:r>
            <w:r w:rsidR="005D7B33">
              <w:rPr>
                <w:noProof/>
                <w:webHidden/>
              </w:rPr>
              <w:fldChar w:fldCharType="begin"/>
            </w:r>
            <w:r w:rsidR="005D7B33">
              <w:rPr>
                <w:noProof/>
                <w:webHidden/>
              </w:rPr>
              <w:instrText xml:space="preserve"> PAGEREF _Toc120703906 \h </w:instrText>
            </w:r>
            <w:r w:rsidR="005D7B33">
              <w:rPr>
                <w:noProof/>
                <w:webHidden/>
              </w:rPr>
            </w:r>
            <w:r w:rsidR="005D7B33">
              <w:rPr>
                <w:noProof/>
                <w:webHidden/>
              </w:rPr>
              <w:fldChar w:fldCharType="separate"/>
            </w:r>
            <w:r w:rsidR="00EF58F3">
              <w:rPr>
                <w:noProof/>
                <w:webHidden/>
              </w:rPr>
              <w:t>11</w:t>
            </w:r>
            <w:r w:rsidR="005D7B33">
              <w:rPr>
                <w:noProof/>
                <w:webHidden/>
              </w:rPr>
              <w:fldChar w:fldCharType="end"/>
            </w:r>
          </w:hyperlink>
        </w:p>
        <w:p w14:paraId="1748C96D" w14:textId="75384E6F" w:rsidR="005D7B33" w:rsidRDefault="00C02903">
          <w:pPr>
            <w:pStyle w:val="TOC2"/>
            <w:rPr>
              <w:noProof/>
              <w:lang w:eastAsia="en-US"/>
            </w:rPr>
          </w:pPr>
          <w:hyperlink w:anchor="_Toc120703907" w:history="1">
            <w:r w:rsidR="005D7B33" w:rsidRPr="007676B1">
              <w:rPr>
                <w:rStyle w:val="Hyperlink"/>
                <w:noProof/>
              </w:rPr>
              <w:t>Age of Householder</w:t>
            </w:r>
            <w:r w:rsidR="005D7B33">
              <w:rPr>
                <w:noProof/>
                <w:webHidden/>
              </w:rPr>
              <w:tab/>
            </w:r>
            <w:r w:rsidR="005D7B33">
              <w:rPr>
                <w:noProof/>
                <w:webHidden/>
              </w:rPr>
              <w:fldChar w:fldCharType="begin"/>
            </w:r>
            <w:r w:rsidR="005D7B33">
              <w:rPr>
                <w:noProof/>
                <w:webHidden/>
              </w:rPr>
              <w:instrText xml:space="preserve"> PAGEREF _Toc120703907 \h </w:instrText>
            </w:r>
            <w:r w:rsidR="005D7B33">
              <w:rPr>
                <w:noProof/>
                <w:webHidden/>
              </w:rPr>
            </w:r>
            <w:r w:rsidR="005D7B33">
              <w:rPr>
                <w:noProof/>
                <w:webHidden/>
              </w:rPr>
              <w:fldChar w:fldCharType="separate"/>
            </w:r>
            <w:r w:rsidR="00EF58F3">
              <w:rPr>
                <w:noProof/>
                <w:webHidden/>
              </w:rPr>
              <w:t>12</w:t>
            </w:r>
            <w:r w:rsidR="005D7B33">
              <w:rPr>
                <w:noProof/>
                <w:webHidden/>
              </w:rPr>
              <w:fldChar w:fldCharType="end"/>
            </w:r>
          </w:hyperlink>
        </w:p>
        <w:p w14:paraId="5E640D79" w14:textId="24694B12" w:rsidR="005D7B33" w:rsidRDefault="00C02903">
          <w:pPr>
            <w:pStyle w:val="TOC2"/>
            <w:rPr>
              <w:noProof/>
              <w:lang w:eastAsia="en-US"/>
            </w:rPr>
          </w:pPr>
          <w:hyperlink w:anchor="_Toc120703908" w:history="1">
            <w:r w:rsidR="005D7B33" w:rsidRPr="007676B1">
              <w:rPr>
                <w:rStyle w:val="Hyperlink"/>
                <w:noProof/>
              </w:rPr>
              <w:t>Tenure</w:t>
            </w:r>
            <w:r w:rsidR="005D7B33">
              <w:rPr>
                <w:noProof/>
                <w:webHidden/>
              </w:rPr>
              <w:tab/>
            </w:r>
            <w:r w:rsidR="005D7B33">
              <w:rPr>
                <w:noProof/>
                <w:webHidden/>
              </w:rPr>
              <w:fldChar w:fldCharType="begin"/>
            </w:r>
            <w:r w:rsidR="005D7B33">
              <w:rPr>
                <w:noProof/>
                <w:webHidden/>
              </w:rPr>
              <w:instrText xml:space="preserve"> PAGEREF _Toc120703908 \h </w:instrText>
            </w:r>
            <w:r w:rsidR="005D7B33">
              <w:rPr>
                <w:noProof/>
                <w:webHidden/>
              </w:rPr>
            </w:r>
            <w:r w:rsidR="005D7B33">
              <w:rPr>
                <w:noProof/>
                <w:webHidden/>
              </w:rPr>
              <w:fldChar w:fldCharType="separate"/>
            </w:r>
            <w:r w:rsidR="00EF58F3">
              <w:rPr>
                <w:noProof/>
                <w:webHidden/>
              </w:rPr>
              <w:t>13</w:t>
            </w:r>
            <w:r w:rsidR="005D7B33">
              <w:rPr>
                <w:noProof/>
                <w:webHidden/>
              </w:rPr>
              <w:fldChar w:fldCharType="end"/>
            </w:r>
          </w:hyperlink>
        </w:p>
        <w:p w14:paraId="3F65C19C" w14:textId="06633C1D" w:rsidR="005D7B33" w:rsidRDefault="00C02903">
          <w:pPr>
            <w:pStyle w:val="TOC2"/>
            <w:rPr>
              <w:noProof/>
              <w:lang w:eastAsia="en-US"/>
            </w:rPr>
          </w:pPr>
          <w:hyperlink w:anchor="_Toc120703909" w:history="1">
            <w:r w:rsidR="005D7B33" w:rsidRPr="007676B1">
              <w:rPr>
                <w:rStyle w:val="Hyperlink"/>
                <w:noProof/>
              </w:rPr>
              <w:t>Household Income</w:t>
            </w:r>
            <w:r w:rsidR="005D7B33">
              <w:rPr>
                <w:noProof/>
                <w:webHidden/>
              </w:rPr>
              <w:tab/>
            </w:r>
            <w:r w:rsidR="005D7B33">
              <w:rPr>
                <w:noProof/>
                <w:webHidden/>
              </w:rPr>
              <w:fldChar w:fldCharType="begin"/>
            </w:r>
            <w:r w:rsidR="005D7B33">
              <w:rPr>
                <w:noProof/>
                <w:webHidden/>
              </w:rPr>
              <w:instrText xml:space="preserve"> PAGEREF _Toc120703909 \h </w:instrText>
            </w:r>
            <w:r w:rsidR="005D7B33">
              <w:rPr>
                <w:noProof/>
                <w:webHidden/>
              </w:rPr>
            </w:r>
            <w:r w:rsidR="005D7B33">
              <w:rPr>
                <w:noProof/>
                <w:webHidden/>
              </w:rPr>
              <w:fldChar w:fldCharType="separate"/>
            </w:r>
            <w:r w:rsidR="00EF58F3">
              <w:rPr>
                <w:noProof/>
                <w:webHidden/>
              </w:rPr>
              <w:t>13</w:t>
            </w:r>
            <w:r w:rsidR="005D7B33">
              <w:rPr>
                <w:noProof/>
                <w:webHidden/>
              </w:rPr>
              <w:fldChar w:fldCharType="end"/>
            </w:r>
          </w:hyperlink>
        </w:p>
        <w:p w14:paraId="3DC151AB" w14:textId="022E88EC" w:rsidR="005D7B33" w:rsidRDefault="00C02903">
          <w:pPr>
            <w:pStyle w:val="TOC1"/>
            <w:tabs>
              <w:tab w:val="right" w:leader="dot" w:pos="9350"/>
            </w:tabs>
            <w:rPr>
              <w:noProof/>
              <w:lang w:eastAsia="en-US"/>
            </w:rPr>
          </w:pPr>
          <w:hyperlink w:anchor="_Toc120703910" w:history="1">
            <w:r w:rsidR="005D7B33" w:rsidRPr="007676B1">
              <w:rPr>
                <w:rStyle w:val="Hyperlink"/>
                <w:noProof/>
              </w:rPr>
              <w:t>Other Vulnerable Populations</w:t>
            </w:r>
            <w:r w:rsidR="005D7B33">
              <w:rPr>
                <w:noProof/>
                <w:webHidden/>
              </w:rPr>
              <w:tab/>
            </w:r>
            <w:r w:rsidR="005D7B33">
              <w:rPr>
                <w:noProof/>
                <w:webHidden/>
              </w:rPr>
              <w:fldChar w:fldCharType="begin"/>
            </w:r>
            <w:r w:rsidR="005D7B33">
              <w:rPr>
                <w:noProof/>
                <w:webHidden/>
              </w:rPr>
              <w:instrText xml:space="preserve"> PAGEREF _Toc120703910 \h </w:instrText>
            </w:r>
            <w:r w:rsidR="005D7B33">
              <w:rPr>
                <w:noProof/>
                <w:webHidden/>
              </w:rPr>
            </w:r>
            <w:r w:rsidR="005D7B33">
              <w:rPr>
                <w:noProof/>
                <w:webHidden/>
              </w:rPr>
              <w:fldChar w:fldCharType="separate"/>
            </w:r>
            <w:r w:rsidR="00EF58F3">
              <w:rPr>
                <w:noProof/>
                <w:webHidden/>
              </w:rPr>
              <w:t>19</w:t>
            </w:r>
            <w:r w:rsidR="005D7B33">
              <w:rPr>
                <w:noProof/>
                <w:webHidden/>
              </w:rPr>
              <w:fldChar w:fldCharType="end"/>
            </w:r>
          </w:hyperlink>
        </w:p>
        <w:p w14:paraId="3C66D85A" w14:textId="2780589A" w:rsidR="005D7B33" w:rsidRDefault="00C02903">
          <w:pPr>
            <w:pStyle w:val="TOC1"/>
            <w:tabs>
              <w:tab w:val="right" w:leader="dot" w:pos="9350"/>
            </w:tabs>
            <w:rPr>
              <w:noProof/>
              <w:lang w:eastAsia="en-US"/>
            </w:rPr>
          </w:pPr>
          <w:hyperlink w:anchor="_Toc120703911" w:history="1">
            <w:r w:rsidR="005D7B33" w:rsidRPr="007676B1">
              <w:rPr>
                <w:rStyle w:val="Hyperlink"/>
                <w:noProof/>
              </w:rPr>
              <w:t>Housing Unit Characteristics</w:t>
            </w:r>
            <w:r w:rsidR="005D7B33">
              <w:rPr>
                <w:noProof/>
                <w:webHidden/>
              </w:rPr>
              <w:tab/>
            </w:r>
            <w:r w:rsidR="005D7B33">
              <w:rPr>
                <w:noProof/>
                <w:webHidden/>
              </w:rPr>
              <w:fldChar w:fldCharType="begin"/>
            </w:r>
            <w:r w:rsidR="005D7B33">
              <w:rPr>
                <w:noProof/>
                <w:webHidden/>
              </w:rPr>
              <w:instrText xml:space="preserve"> PAGEREF _Toc120703911 \h </w:instrText>
            </w:r>
            <w:r w:rsidR="005D7B33">
              <w:rPr>
                <w:noProof/>
                <w:webHidden/>
              </w:rPr>
            </w:r>
            <w:r w:rsidR="005D7B33">
              <w:rPr>
                <w:noProof/>
                <w:webHidden/>
              </w:rPr>
              <w:fldChar w:fldCharType="separate"/>
            </w:r>
            <w:r w:rsidR="00EF58F3">
              <w:rPr>
                <w:noProof/>
                <w:webHidden/>
              </w:rPr>
              <w:t>20</w:t>
            </w:r>
            <w:r w:rsidR="005D7B33">
              <w:rPr>
                <w:noProof/>
                <w:webHidden/>
              </w:rPr>
              <w:fldChar w:fldCharType="end"/>
            </w:r>
          </w:hyperlink>
        </w:p>
        <w:p w14:paraId="5086B642" w14:textId="38570AE0" w:rsidR="005D7B33" w:rsidRDefault="00C02903">
          <w:pPr>
            <w:pStyle w:val="TOC2"/>
            <w:rPr>
              <w:noProof/>
              <w:lang w:eastAsia="en-US"/>
            </w:rPr>
          </w:pPr>
          <w:hyperlink w:anchor="_Toc120703912" w:history="1">
            <w:r w:rsidR="005D7B33" w:rsidRPr="007676B1">
              <w:rPr>
                <w:rStyle w:val="Hyperlink"/>
                <w:noProof/>
              </w:rPr>
              <w:t>Housing Condition</w:t>
            </w:r>
            <w:r w:rsidR="005D7B33">
              <w:rPr>
                <w:noProof/>
                <w:webHidden/>
              </w:rPr>
              <w:tab/>
            </w:r>
            <w:r w:rsidR="005D7B33">
              <w:rPr>
                <w:noProof/>
                <w:webHidden/>
              </w:rPr>
              <w:fldChar w:fldCharType="begin"/>
            </w:r>
            <w:r w:rsidR="005D7B33">
              <w:rPr>
                <w:noProof/>
                <w:webHidden/>
              </w:rPr>
              <w:instrText xml:space="preserve"> PAGEREF _Toc120703912 \h </w:instrText>
            </w:r>
            <w:r w:rsidR="005D7B33">
              <w:rPr>
                <w:noProof/>
                <w:webHidden/>
              </w:rPr>
            </w:r>
            <w:r w:rsidR="005D7B33">
              <w:rPr>
                <w:noProof/>
                <w:webHidden/>
              </w:rPr>
              <w:fldChar w:fldCharType="separate"/>
            </w:r>
            <w:r w:rsidR="00EF58F3">
              <w:rPr>
                <w:noProof/>
                <w:webHidden/>
              </w:rPr>
              <w:t>26</w:t>
            </w:r>
            <w:r w:rsidR="005D7B33">
              <w:rPr>
                <w:noProof/>
                <w:webHidden/>
              </w:rPr>
              <w:fldChar w:fldCharType="end"/>
            </w:r>
          </w:hyperlink>
        </w:p>
        <w:p w14:paraId="5B0AD957" w14:textId="51569922" w:rsidR="005D7B33" w:rsidRDefault="00C02903">
          <w:pPr>
            <w:pStyle w:val="TOC2"/>
            <w:rPr>
              <w:noProof/>
              <w:lang w:eastAsia="en-US"/>
            </w:rPr>
          </w:pPr>
          <w:hyperlink w:anchor="_Toc120703913" w:history="1">
            <w:r w:rsidR="005D7B33" w:rsidRPr="007676B1">
              <w:rPr>
                <w:rStyle w:val="Hyperlink"/>
                <w:noProof/>
              </w:rPr>
              <w:t>Vacancy</w:t>
            </w:r>
            <w:r w:rsidR="005D7B33">
              <w:rPr>
                <w:noProof/>
                <w:webHidden/>
              </w:rPr>
              <w:tab/>
            </w:r>
            <w:r w:rsidR="005D7B33">
              <w:rPr>
                <w:noProof/>
                <w:webHidden/>
              </w:rPr>
              <w:fldChar w:fldCharType="begin"/>
            </w:r>
            <w:r w:rsidR="005D7B33">
              <w:rPr>
                <w:noProof/>
                <w:webHidden/>
              </w:rPr>
              <w:instrText xml:space="preserve"> PAGEREF _Toc120703913 \h </w:instrText>
            </w:r>
            <w:r w:rsidR="005D7B33">
              <w:rPr>
                <w:noProof/>
                <w:webHidden/>
              </w:rPr>
            </w:r>
            <w:r w:rsidR="005D7B33">
              <w:rPr>
                <w:noProof/>
                <w:webHidden/>
              </w:rPr>
              <w:fldChar w:fldCharType="separate"/>
            </w:r>
            <w:r w:rsidR="00EF58F3">
              <w:rPr>
                <w:noProof/>
                <w:webHidden/>
              </w:rPr>
              <w:t>34</w:t>
            </w:r>
            <w:r w:rsidR="005D7B33">
              <w:rPr>
                <w:noProof/>
                <w:webHidden/>
              </w:rPr>
              <w:fldChar w:fldCharType="end"/>
            </w:r>
          </w:hyperlink>
        </w:p>
        <w:p w14:paraId="4A40D6DD" w14:textId="0CF9BA2B" w:rsidR="005D7B33" w:rsidRDefault="00C02903">
          <w:pPr>
            <w:pStyle w:val="TOC1"/>
            <w:tabs>
              <w:tab w:val="right" w:leader="dot" w:pos="9350"/>
            </w:tabs>
            <w:rPr>
              <w:noProof/>
              <w:lang w:eastAsia="en-US"/>
            </w:rPr>
          </w:pPr>
          <w:hyperlink w:anchor="_Toc120703914" w:history="1">
            <w:r w:rsidR="005D7B33" w:rsidRPr="007676B1">
              <w:rPr>
                <w:rStyle w:val="Hyperlink"/>
                <w:noProof/>
              </w:rPr>
              <w:t>Housing Costs</w:t>
            </w:r>
            <w:r w:rsidR="005D7B33">
              <w:rPr>
                <w:noProof/>
                <w:webHidden/>
              </w:rPr>
              <w:tab/>
            </w:r>
            <w:r w:rsidR="005D7B33">
              <w:rPr>
                <w:noProof/>
                <w:webHidden/>
              </w:rPr>
              <w:fldChar w:fldCharType="begin"/>
            </w:r>
            <w:r w:rsidR="005D7B33">
              <w:rPr>
                <w:noProof/>
                <w:webHidden/>
              </w:rPr>
              <w:instrText xml:space="preserve"> PAGEREF _Toc120703914 \h </w:instrText>
            </w:r>
            <w:r w:rsidR="005D7B33">
              <w:rPr>
                <w:noProof/>
                <w:webHidden/>
              </w:rPr>
            </w:r>
            <w:r w:rsidR="005D7B33">
              <w:rPr>
                <w:noProof/>
                <w:webHidden/>
              </w:rPr>
              <w:fldChar w:fldCharType="separate"/>
            </w:r>
            <w:r w:rsidR="00EF58F3">
              <w:rPr>
                <w:noProof/>
                <w:webHidden/>
              </w:rPr>
              <w:t>34</w:t>
            </w:r>
            <w:r w:rsidR="005D7B33">
              <w:rPr>
                <w:noProof/>
                <w:webHidden/>
              </w:rPr>
              <w:fldChar w:fldCharType="end"/>
            </w:r>
          </w:hyperlink>
        </w:p>
        <w:p w14:paraId="347FCA95" w14:textId="1B4475A2" w:rsidR="005D7B33" w:rsidRDefault="00C02903">
          <w:pPr>
            <w:pStyle w:val="TOC1"/>
            <w:tabs>
              <w:tab w:val="right" w:leader="dot" w:pos="9350"/>
            </w:tabs>
            <w:rPr>
              <w:noProof/>
              <w:lang w:eastAsia="en-US"/>
            </w:rPr>
          </w:pPr>
          <w:hyperlink w:anchor="_Toc120703915" w:history="1">
            <w:r w:rsidR="005D7B33" w:rsidRPr="007676B1">
              <w:rPr>
                <w:rStyle w:val="Hyperlink"/>
                <w:noProof/>
              </w:rPr>
              <w:t>Housing Needs</w:t>
            </w:r>
            <w:r w:rsidR="005D7B33">
              <w:rPr>
                <w:noProof/>
                <w:webHidden/>
              </w:rPr>
              <w:tab/>
            </w:r>
            <w:r w:rsidR="005D7B33">
              <w:rPr>
                <w:noProof/>
                <w:webHidden/>
              </w:rPr>
              <w:fldChar w:fldCharType="begin"/>
            </w:r>
            <w:r w:rsidR="005D7B33">
              <w:rPr>
                <w:noProof/>
                <w:webHidden/>
              </w:rPr>
              <w:instrText xml:space="preserve"> PAGEREF _Toc120703915 \h </w:instrText>
            </w:r>
            <w:r w:rsidR="005D7B33">
              <w:rPr>
                <w:noProof/>
                <w:webHidden/>
              </w:rPr>
            </w:r>
            <w:r w:rsidR="005D7B33">
              <w:rPr>
                <w:noProof/>
                <w:webHidden/>
              </w:rPr>
              <w:fldChar w:fldCharType="separate"/>
            </w:r>
            <w:r w:rsidR="00EF58F3">
              <w:rPr>
                <w:noProof/>
                <w:webHidden/>
              </w:rPr>
              <w:t>36</w:t>
            </w:r>
            <w:r w:rsidR="005D7B33">
              <w:rPr>
                <w:noProof/>
                <w:webHidden/>
              </w:rPr>
              <w:fldChar w:fldCharType="end"/>
            </w:r>
          </w:hyperlink>
        </w:p>
        <w:p w14:paraId="258B77FE" w14:textId="32FBB4BB" w:rsidR="005D7B33" w:rsidRDefault="00C02903">
          <w:pPr>
            <w:pStyle w:val="TOC1"/>
            <w:tabs>
              <w:tab w:val="right" w:leader="dot" w:pos="9350"/>
            </w:tabs>
            <w:rPr>
              <w:noProof/>
              <w:lang w:eastAsia="en-US"/>
            </w:rPr>
          </w:pPr>
          <w:hyperlink w:anchor="_Toc120703916" w:history="1">
            <w:r w:rsidR="005D7B33" w:rsidRPr="007676B1">
              <w:rPr>
                <w:rStyle w:val="Hyperlink"/>
                <w:noProof/>
              </w:rPr>
              <w:t>Recommendations</w:t>
            </w:r>
            <w:r w:rsidR="005D7B33">
              <w:rPr>
                <w:noProof/>
                <w:webHidden/>
              </w:rPr>
              <w:tab/>
            </w:r>
            <w:r w:rsidR="005D7B33">
              <w:rPr>
                <w:noProof/>
                <w:webHidden/>
              </w:rPr>
              <w:fldChar w:fldCharType="begin"/>
            </w:r>
            <w:r w:rsidR="005D7B33">
              <w:rPr>
                <w:noProof/>
                <w:webHidden/>
              </w:rPr>
              <w:instrText xml:space="preserve"> PAGEREF _Toc120703916 \h </w:instrText>
            </w:r>
            <w:r w:rsidR="005D7B33">
              <w:rPr>
                <w:noProof/>
                <w:webHidden/>
              </w:rPr>
            </w:r>
            <w:r w:rsidR="005D7B33">
              <w:rPr>
                <w:noProof/>
                <w:webHidden/>
              </w:rPr>
              <w:fldChar w:fldCharType="separate"/>
            </w:r>
            <w:r w:rsidR="00EF58F3">
              <w:rPr>
                <w:noProof/>
                <w:webHidden/>
              </w:rPr>
              <w:t>38</w:t>
            </w:r>
            <w:r w:rsidR="005D7B33">
              <w:rPr>
                <w:noProof/>
                <w:webHidden/>
              </w:rPr>
              <w:fldChar w:fldCharType="end"/>
            </w:r>
          </w:hyperlink>
        </w:p>
        <w:p w14:paraId="72871826" w14:textId="31543818" w:rsidR="005D7B33" w:rsidRDefault="00C02903">
          <w:pPr>
            <w:pStyle w:val="TOC1"/>
            <w:tabs>
              <w:tab w:val="right" w:leader="dot" w:pos="9350"/>
            </w:tabs>
            <w:rPr>
              <w:noProof/>
              <w:lang w:eastAsia="en-US"/>
            </w:rPr>
          </w:pPr>
          <w:hyperlink w:anchor="_Toc120703917" w:history="1">
            <w:r w:rsidR="005D7B33" w:rsidRPr="007676B1">
              <w:rPr>
                <w:rStyle w:val="Hyperlink"/>
                <w:noProof/>
              </w:rPr>
              <w:t>References</w:t>
            </w:r>
            <w:r w:rsidR="005D7B33">
              <w:rPr>
                <w:noProof/>
                <w:webHidden/>
              </w:rPr>
              <w:tab/>
            </w:r>
            <w:r w:rsidR="005D7B33">
              <w:rPr>
                <w:noProof/>
                <w:webHidden/>
              </w:rPr>
              <w:fldChar w:fldCharType="begin"/>
            </w:r>
            <w:r w:rsidR="005D7B33">
              <w:rPr>
                <w:noProof/>
                <w:webHidden/>
              </w:rPr>
              <w:instrText xml:space="preserve"> PAGEREF _Toc120703917 \h </w:instrText>
            </w:r>
            <w:r w:rsidR="005D7B33">
              <w:rPr>
                <w:noProof/>
                <w:webHidden/>
              </w:rPr>
            </w:r>
            <w:r w:rsidR="005D7B33">
              <w:rPr>
                <w:noProof/>
                <w:webHidden/>
              </w:rPr>
              <w:fldChar w:fldCharType="separate"/>
            </w:r>
            <w:r w:rsidR="00EF58F3">
              <w:rPr>
                <w:noProof/>
                <w:webHidden/>
              </w:rPr>
              <w:t>40</w:t>
            </w:r>
            <w:r w:rsidR="005D7B33">
              <w:rPr>
                <w:noProof/>
                <w:webHidden/>
              </w:rPr>
              <w:fldChar w:fldCharType="end"/>
            </w:r>
          </w:hyperlink>
        </w:p>
        <w:p w14:paraId="43B65195" w14:textId="10DEA8DE" w:rsidR="005D7B33" w:rsidRDefault="00C02903">
          <w:pPr>
            <w:pStyle w:val="TOC1"/>
            <w:tabs>
              <w:tab w:val="right" w:leader="dot" w:pos="9350"/>
            </w:tabs>
            <w:rPr>
              <w:noProof/>
              <w:lang w:eastAsia="en-US"/>
            </w:rPr>
          </w:pPr>
          <w:hyperlink w:anchor="_Toc120703918" w:history="1">
            <w:r w:rsidR="005D7B33" w:rsidRPr="007676B1">
              <w:rPr>
                <w:rStyle w:val="Hyperlink"/>
                <w:noProof/>
              </w:rPr>
              <w:t>Appendix I. Owned/For-Sale and Rented/For-Rent Housing Gap</w:t>
            </w:r>
            <w:r w:rsidR="005D7B33">
              <w:rPr>
                <w:noProof/>
                <w:webHidden/>
              </w:rPr>
              <w:tab/>
            </w:r>
            <w:r w:rsidR="005D7B33">
              <w:rPr>
                <w:noProof/>
                <w:webHidden/>
              </w:rPr>
              <w:fldChar w:fldCharType="begin"/>
            </w:r>
            <w:r w:rsidR="005D7B33">
              <w:rPr>
                <w:noProof/>
                <w:webHidden/>
              </w:rPr>
              <w:instrText xml:space="preserve"> PAGEREF _Toc120703918 \h </w:instrText>
            </w:r>
            <w:r w:rsidR="005D7B33">
              <w:rPr>
                <w:noProof/>
                <w:webHidden/>
              </w:rPr>
            </w:r>
            <w:r w:rsidR="005D7B33">
              <w:rPr>
                <w:noProof/>
                <w:webHidden/>
              </w:rPr>
              <w:fldChar w:fldCharType="separate"/>
            </w:r>
            <w:r w:rsidR="00EF58F3">
              <w:rPr>
                <w:noProof/>
                <w:webHidden/>
              </w:rPr>
              <w:t>42</w:t>
            </w:r>
            <w:r w:rsidR="005D7B33">
              <w:rPr>
                <w:noProof/>
                <w:webHidden/>
              </w:rPr>
              <w:fldChar w:fldCharType="end"/>
            </w:r>
          </w:hyperlink>
        </w:p>
        <w:p w14:paraId="669D287E" w14:textId="4EE8AC1A" w:rsidR="000F0F37" w:rsidRDefault="000F0F37">
          <w:r>
            <w:rPr>
              <w:b/>
              <w:bCs/>
              <w:noProof/>
            </w:rPr>
            <w:fldChar w:fldCharType="end"/>
          </w:r>
        </w:p>
      </w:sdtContent>
    </w:sdt>
    <w:p w14:paraId="5889AD41" w14:textId="46EF972E" w:rsidR="000F0F37" w:rsidRDefault="000F0F37" w:rsidP="47C0E03C">
      <w:pPr>
        <w:rPr>
          <w:rFonts w:ascii="Calibri" w:eastAsia="Calibri" w:hAnsi="Calibri" w:cs="Calibri"/>
        </w:rPr>
      </w:pPr>
    </w:p>
    <w:p w14:paraId="70879A99" w14:textId="1D42C616" w:rsidR="000F0F37" w:rsidRDefault="000F0F37" w:rsidP="47C0E03C">
      <w:pPr>
        <w:rPr>
          <w:rFonts w:ascii="Calibri" w:eastAsia="Calibri" w:hAnsi="Calibri" w:cs="Calibri"/>
        </w:rPr>
      </w:pPr>
    </w:p>
    <w:p w14:paraId="25B6000D" w14:textId="4016513B" w:rsidR="000F0F37" w:rsidRDefault="000F0F37" w:rsidP="47C0E03C">
      <w:pPr>
        <w:rPr>
          <w:rFonts w:ascii="Calibri" w:eastAsia="Calibri" w:hAnsi="Calibri" w:cs="Calibri"/>
        </w:rPr>
      </w:pPr>
    </w:p>
    <w:p w14:paraId="3337192E" w14:textId="4154352E" w:rsidR="000F0F37" w:rsidRDefault="000F0F37" w:rsidP="47C0E03C">
      <w:pPr>
        <w:rPr>
          <w:rFonts w:ascii="Calibri" w:eastAsia="Calibri" w:hAnsi="Calibri" w:cs="Calibri"/>
        </w:rPr>
      </w:pPr>
    </w:p>
    <w:p w14:paraId="5688FAC1" w14:textId="78A35460" w:rsidR="000F0F37" w:rsidRDefault="000F0F37" w:rsidP="47C0E03C">
      <w:pPr>
        <w:rPr>
          <w:rFonts w:ascii="Calibri" w:eastAsia="Calibri" w:hAnsi="Calibri" w:cs="Calibri"/>
        </w:rPr>
      </w:pPr>
    </w:p>
    <w:p w14:paraId="2CE8D432" w14:textId="3FE4D5EF" w:rsidR="000F0F37" w:rsidRDefault="000F0F37" w:rsidP="47C0E03C">
      <w:pPr>
        <w:rPr>
          <w:rFonts w:ascii="Calibri" w:eastAsia="Calibri" w:hAnsi="Calibri" w:cs="Calibri"/>
        </w:rPr>
      </w:pPr>
    </w:p>
    <w:p w14:paraId="6C61DCF4" w14:textId="5671C195" w:rsidR="002803DA" w:rsidRPr="00037615" w:rsidRDefault="002803DA" w:rsidP="002803DA">
      <w:pPr>
        <w:pStyle w:val="Heading1"/>
        <w:rPr>
          <w:b/>
          <w:bCs/>
          <w:noProof/>
        </w:rPr>
      </w:pPr>
      <w:bookmarkStart w:id="3" w:name="_Toc62593586"/>
      <w:bookmarkStart w:id="4" w:name="_Toc120703896"/>
      <w:r>
        <w:lastRenderedPageBreak/>
        <w:t>Approach</w:t>
      </w:r>
      <w:bookmarkEnd w:id="3"/>
      <w:bookmarkEnd w:id="4"/>
    </w:p>
    <w:p w14:paraId="01666445" w14:textId="0D94192F" w:rsidR="002803DA" w:rsidRDefault="002803DA" w:rsidP="002803DA">
      <w:pPr>
        <w:spacing w:after="0"/>
      </w:pPr>
      <w:r>
        <w:t xml:space="preserve">The Virginia Center for Housing Research at Virginia Tech (VCHR), West Virginia University Extension Service, Woodlands Development Group, the Homeownership Center, and the Randolph County Housing Authority collaborated to complete this study. The study benefited from subject matter experts in the housing market, affordable housing, workforce and economic development, </w:t>
      </w:r>
      <w:r w:rsidR="00B468F0">
        <w:t xml:space="preserve">and </w:t>
      </w:r>
      <w:r>
        <w:t>housing policy and planning</w:t>
      </w:r>
      <w:r w:rsidR="00B468F0">
        <w:t>,</w:t>
      </w:r>
      <w:r>
        <w:t xml:space="preserve"> as well as local expertise in housing, planning, economic development, and community development.</w:t>
      </w:r>
    </w:p>
    <w:p w14:paraId="502166A2" w14:textId="77777777" w:rsidR="002803DA" w:rsidRDefault="002803DA" w:rsidP="002803DA">
      <w:pPr>
        <w:spacing w:after="0"/>
      </w:pPr>
    </w:p>
    <w:p w14:paraId="4B6C904D" w14:textId="6F63B281" w:rsidR="002803DA" w:rsidRDefault="002803DA" w:rsidP="002803DA">
      <w:pPr>
        <w:spacing w:after="0"/>
        <w:rPr>
          <w:highlight w:val="yellow"/>
        </w:rPr>
      </w:pPr>
      <w:r>
        <w:t xml:space="preserve">The team sought to understand </w:t>
      </w:r>
      <w:r w:rsidR="00AA0CBF">
        <w:t xml:space="preserve">changing </w:t>
      </w:r>
      <w:r>
        <w:t xml:space="preserve">market-wide housing dynamics and demand in rural and urban portions of the </w:t>
      </w:r>
      <w:r w:rsidR="00684E9C">
        <w:t>County</w:t>
      </w:r>
      <w:r>
        <w:t>. The</w:t>
      </w:r>
      <w:r w:rsidR="00AA0CBF">
        <w:t>y also identified</w:t>
      </w:r>
      <w:r>
        <w:t xml:space="preserve"> housing needs</w:t>
      </w:r>
      <w:r w:rsidR="00AA0CBF">
        <w:t>,</w:t>
      </w:r>
      <w:r>
        <w:t xml:space="preserve"> including workforce housing and housing affordability, vacant and dilapidated housing and home repair/maintenance needs, </w:t>
      </w:r>
      <w:r w:rsidR="00AA0CBF">
        <w:t xml:space="preserve">and </w:t>
      </w:r>
      <w:r>
        <w:t>supportive housing need.</w:t>
      </w:r>
    </w:p>
    <w:p w14:paraId="7B807E31" w14:textId="0B76202E" w:rsidR="002803DA" w:rsidRDefault="002803DA" w:rsidP="002803DA">
      <w:pPr>
        <w:spacing w:after="0"/>
      </w:pPr>
    </w:p>
    <w:p w14:paraId="60FEFBF5" w14:textId="1FC3E4DC" w:rsidR="002803DA" w:rsidRDefault="002803DA" w:rsidP="002803DA">
      <w:pPr>
        <w:spacing w:after="0"/>
      </w:pPr>
      <w:r>
        <w:t>This report discusses the study team’s analysis and findings</w:t>
      </w:r>
      <w:r w:rsidR="003646CE">
        <w:t>. It also</w:t>
      </w:r>
      <w:r>
        <w:t xml:space="preserve"> describes the importance of these findings in the context of workforce and economic development to emphasize the interconnectedness of housing issues and the</w:t>
      </w:r>
      <w:r w:rsidR="000757E3">
        <w:t>ir</w:t>
      </w:r>
      <w:r>
        <w:t xml:space="preserve"> implications for Randolph County’s communities and businesses. The analysis and conclusions discussed in this report will inform the team’s forthcoming program and policy recommendations. </w:t>
      </w:r>
    </w:p>
    <w:p w14:paraId="3114C431" w14:textId="77777777" w:rsidR="002803DA" w:rsidRDefault="002803DA" w:rsidP="002803DA">
      <w:pPr>
        <w:spacing w:after="0"/>
      </w:pPr>
    </w:p>
    <w:p w14:paraId="04B74BA5" w14:textId="165097C7" w:rsidR="002803DA" w:rsidRPr="004D6F02" w:rsidRDefault="002803DA" w:rsidP="002803DA">
      <w:pPr>
        <w:pStyle w:val="Heading2"/>
      </w:pPr>
      <w:bookmarkStart w:id="5" w:name="_Toc62593587"/>
      <w:bookmarkStart w:id="6" w:name="_Toc120703897"/>
      <w:r w:rsidRPr="004D6F02">
        <w:t xml:space="preserve">About </w:t>
      </w:r>
      <w:r>
        <w:t>Team</w:t>
      </w:r>
      <w:bookmarkEnd w:id="5"/>
      <w:bookmarkEnd w:id="6"/>
    </w:p>
    <w:p w14:paraId="06DDA321" w14:textId="63BB3AF0" w:rsidR="002803DA" w:rsidRDefault="002803DA" w:rsidP="002803DA">
      <w:pPr>
        <w:spacing w:after="0"/>
      </w:pPr>
      <w:r>
        <w:t xml:space="preserve">The Virginia General Assembly and Virginia Tech created VCHR in 1989 to respond to the housing research needs of Virginia and the nation. In its 25-year performance record, VCHR has established an unparalleled reputation for high-quality research on affordable housing that integrates policy, building technology, and the housing industry. Mel Jones, Research Scientist and Associate Director, led the project team. As a faculty member at VCHR, Ms. Jones has conducted housing studies for communities and regions throughout Virginia and beyond. Mel has developed a unique expertise in assessing housing data and applying it to help communities tackle housing affordability, community development, and economic development goals. </w:t>
      </w:r>
      <w:r w:rsidR="00857BB4" w:rsidRPr="007E266A">
        <w:t xml:space="preserve">Seungbee Choi, </w:t>
      </w:r>
      <w:r w:rsidR="002313A3" w:rsidRPr="007E266A">
        <w:t>Postdoctoral A</w:t>
      </w:r>
      <w:r w:rsidR="00D44770" w:rsidRPr="007E266A">
        <w:t>ssociate</w:t>
      </w:r>
      <w:r w:rsidR="00F34505" w:rsidRPr="007E266A">
        <w:t>,</w:t>
      </w:r>
      <w:r w:rsidR="00701CA7" w:rsidRPr="007E266A">
        <w:t xml:space="preserve"> has</w:t>
      </w:r>
      <w:r w:rsidR="00F34505" w:rsidRPr="007E266A">
        <w:t xml:space="preserve"> </w:t>
      </w:r>
      <w:r w:rsidR="000B2D4E" w:rsidRPr="007E266A">
        <w:t>conducted</w:t>
      </w:r>
      <w:r w:rsidR="00987DAA" w:rsidRPr="007E266A">
        <w:t xml:space="preserve"> </w:t>
      </w:r>
      <w:r w:rsidR="00DC05AA" w:rsidRPr="007E266A">
        <w:t>numerous</w:t>
      </w:r>
      <w:r w:rsidR="000B2D4E" w:rsidRPr="007E266A">
        <w:t xml:space="preserve"> </w:t>
      </w:r>
      <w:r w:rsidR="009E3F6F" w:rsidRPr="007E266A">
        <w:t>research p</w:t>
      </w:r>
      <w:r w:rsidR="00A152BD" w:rsidRPr="007E266A">
        <w:t xml:space="preserve">rojects </w:t>
      </w:r>
      <w:r w:rsidR="00FC2524" w:rsidRPr="007E266A">
        <w:t xml:space="preserve">at VCHR. </w:t>
      </w:r>
      <w:r w:rsidR="00F054F0" w:rsidRPr="007E266A">
        <w:t>H</w:t>
      </w:r>
      <w:r w:rsidR="003E3853" w:rsidRPr="007E266A">
        <w:t>e</w:t>
      </w:r>
      <w:r w:rsidR="009B535D" w:rsidRPr="007E266A">
        <w:t xml:space="preserve"> specialize</w:t>
      </w:r>
      <w:r w:rsidR="00C23293">
        <w:t>s</w:t>
      </w:r>
      <w:r w:rsidR="009B535D" w:rsidRPr="007E266A">
        <w:t xml:space="preserve"> in </w:t>
      </w:r>
      <w:r w:rsidR="009F4B7E" w:rsidRPr="007E266A">
        <w:t xml:space="preserve">quantitative and empirical </w:t>
      </w:r>
      <w:r w:rsidR="009C1C84" w:rsidRPr="007E266A">
        <w:t>research</w:t>
      </w:r>
      <w:r w:rsidR="00E66ACB" w:rsidRPr="007E266A">
        <w:t xml:space="preserve"> </w:t>
      </w:r>
      <w:r w:rsidR="00BE2D26" w:rsidRPr="007E266A">
        <w:t>related</w:t>
      </w:r>
      <w:r w:rsidR="00490631" w:rsidRPr="007E266A">
        <w:t xml:space="preserve"> to</w:t>
      </w:r>
      <w:r w:rsidR="00E66ACB" w:rsidRPr="007E266A">
        <w:t xml:space="preserve"> housing issues</w:t>
      </w:r>
      <w:r w:rsidR="00BB7377" w:rsidRPr="007E266A">
        <w:t xml:space="preserve"> using various data</w:t>
      </w:r>
      <w:r w:rsidR="00E23AB4" w:rsidRPr="007E266A">
        <w:t>sets.</w:t>
      </w:r>
      <w:r w:rsidR="00E66ACB" w:rsidRPr="007E266A">
        <w:t xml:space="preserve"> </w:t>
      </w:r>
      <w:r w:rsidR="004A488A" w:rsidRPr="007E266A">
        <w:t xml:space="preserve">Seungbee has </w:t>
      </w:r>
      <w:r w:rsidR="0080195F">
        <w:t>helped</w:t>
      </w:r>
      <w:r w:rsidR="00706A9A" w:rsidRPr="007E266A">
        <w:t xml:space="preserve"> </w:t>
      </w:r>
      <w:r w:rsidR="00833237" w:rsidRPr="007E266A">
        <w:t>communities</w:t>
      </w:r>
      <w:r w:rsidR="00F9250A" w:rsidRPr="007E266A">
        <w:t xml:space="preserve"> </w:t>
      </w:r>
      <w:r w:rsidR="00DC65A2" w:rsidRPr="007E266A">
        <w:t xml:space="preserve">through in-depth research on </w:t>
      </w:r>
      <w:r w:rsidR="007A02E1" w:rsidRPr="007E266A">
        <w:t>residential mobility</w:t>
      </w:r>
      <w:r w:rsidR="00936886" w:rsidRPr="007E266A">
        <w:t xml:space="preserve"> and housing policies.</w:t>
      </w:r>
    </w:p>
    <w:p w14:paraId="7FC7E693" w14:textId="77777777" w:rsidR="002803DA" w:rsidRDefault="002803DA" w:rsidP="002803DA">
      <w:pPr>
        <w:spacing w:after="0"/>
      </w:pPr>
    </w:p>
    <w:p w14:paraId="32E5A172" w14:textId="500F8CDA" w:rsidR="002803DA" w:rsidRDefault="002803DA" w:rsidP="002803DA">
      <w:pPr>
        <w:spacing w:after="0"/>
      </w:pPr>
      <w:r>
        <w:t xml:space="preserve">The West Virginia University Extension Service </w:t>
      </w:r>
      <w:r w:rsidR="008A51BF">
        <w:t xml:space="preserve">connects communities </w:t>
      </w:r>
      <w:r>
        <w:t>to timely, research-based knowledge from the state’s land-grant university. Extension’s community and economic development technical assistance and educational programs strengthen the capacity of citizens and organizations throughout the state of West Virginia to understand community change and identify opportunities to improve their social and economic well-being. Daniel Eades, an Extension Associate Professor and state Specialist</w:t>
      </w:r>
      <w:r w:rsidR="00AD6CE6">
        <w:t>,</w:t>
      </w:r>
      <w:r>
        <w:t xml:space="preserve"> coordinated local research efforts at West Virginia University (WVU</w:t>
      </w:r>
      <w:r w:rsidR="00D0700C">
        <w:t xml:space="preserve">) in </w:t>
      </w:r>
      <w:r>
        <w:t>Morgantown, WV. His teaching and outreach activities engage government and community leaders in the process of data</w:t>
      </w:r>
      <w:r w:rsidR="001A477B">
        <w:t>-</w:t>
      </w:r>
      <w:r>
        <w:t>driven economic development decision making and support a breadth of community and economic development initiatives focused on local planning and place making.</w:t>
      </w:r>
    </w:p>
    <w:p w14:paraId="648C96A0" w14:textId="007B55A4" w:rsidR="00AA0D2C" w:rsidRDefault="00AA0D2C" w:rsidP="002803DA">
      <w:pPr>
        <w:spacing w:after="0"/>
      </w:pPr>
    </w:p>
    <w:p w14:paraId="57EE8773" w14:textId="77777777" w:rsidR="00AA0D2C" w:rsidRPr="004D6F02" w:rsidRDefault="00AA0D2C" w:rsidP="00AA0D2C">
      <w:pPr>
        <w:pStyle w:val="Heading2"/>
      </w:pPr>
      <w:bookmarkStart w:id="7" w:name="_Toc62593588"/>
      <w:bookmarkStart w:id="8" w:name="_Toc120703898"/>
      <w:r w:rsidRPr="004D6F02">
        <w:lastRenderedPageBreak/>
        <w:t>Data and Methodological Notes</w:t>
      </w:r>
      <w:bookmarkEnd w:id="7"/>
      <w:bookmarkEnd w:id="8"/>
    </w:p>
    <w:p w14:paraId="74CF32DC" w14:textId="28C604F2" w:rsidR="00AA0D2C" w:rsidRDefault="00AA0D2C" w:rsidP="00AA0D2C">
      <w:r>
        <w:t xml:space="preserve">The study team analyzed market-wide housing data to understand supply and demand dynamics in </w:t>
      </w:r>
      <w:r w:rsidR="00F37A95">
        <w:t>Randolph</w:t>
      </w:r>
      <w:r>
        <w:t xml:space="preserve"> County and the surrounding region</w:t>
      </w:r>
      <w:r w:rsidR="00F37A95">
        <w:t xml:space="preserve"> </w:t>
      </w:r>
      <w:r w:rsidR="00110D77">
        <w:t xml:space="preserve">as well as </w:t>
      </w:r>
      <w:r w:rsidR="00F37A95">
        <w:t>specific housing needs in the County.</w:t>
      </w:r>
    </w:p>
    <w:p w14:paraId="4BDF0F9E" w14:textId="7D92600B" w:rsidR="00AA0D2C" w:rsidRDefault="00AA0D2C" w:rsidP="00381702">
      <w:r>
        <w:t xml:space="preserve">The availability of </w:t>
      </w:r>
      <w:r w:rsidR="007C1C6F">
        <w:t>high</w:t>
      </w:r>
      <w:r w:rsidR="002A27B3">
        <w:t>-</w:t>
      </w:r>
      <w:r>
        <w:t xml:space="preserve">quality, publicly available data is limited </w:t>
      </w:r>
      <w:r w:rsidR="002E1FFB">
        <w:t xml:space="preserve">because </w:t>
      </w:r>
      <w:r w:rsidR="11AE6103">
        <w:t xml:space="preserve">the </w:t>
      </w:r>
      <w:r>
        <w:t>Census i</w:t>
      </w:r>
      <w:r w:rsidR="4FE47D8A">
        <w:t>s</w:t>
      </w:r>
      <w:r>
        <w:t xml:space="preserve"> unable to collect </w:t>
      </w:r>
      <w:r w:rsidR="009E3FC9">
        <w:t xml:space="preserve">sufficient </w:t>
      </w:r>
      <w:r>
        <w:t xml:space="preserve">sample data to make reliable estimates for many rural jurisdictions and other small places. The team analyzed and reported </w:t>
      </w:r>
      <w:r w:rsidR="00381702">
        <w:t>on</w:t>
      </w:r>
      <w:r w:rsidR="000A2193">
        <w:t>ly</w:t>
      </w:r>
      <w:r w:rsidR="00381702">
        <w:t xml:space="preserve"> </w:t>
      </w:r>
      <w:r>
        <w:t xml:space="preserve">reliable </w:t>
      </w:r>
      <w:r w:rsidR="7FCB4B02">
        <w:t>data</w:t>
      </w:r>
      <w:r w:rsidR="000A2193">
        <w:t>,</w:t>
      </w:r>
      <w:r w:rsidR="7FCB4B02">
        <w:t xml:space="preserve"> </w:t>
      </w:r>
      <w:r w:rsidR="000A2193">
        <w:t xml:space="preserve">which was </w:t>
      </w:r>
      <w:r>
        <w:t xml:space="preserve">supplemented with local assessment data and information from interviews with local experts and stakeholders. The study team conducted interviews with </w:t>
      </w:r>
      <w:r w:rsidR="000A2193">
        <w:t>the following stakeholders:</w:t>
      </w:r>
    </w:p>
    <w:p w14:paraId="4766F73D" w14:textId="512F8AC6" w:rsidR="00AA0D2C" w:rsidRPr="00F37A95" w:rsidRDefault="00AA0D2C" w:rsidP="0F573FC4">
      <w:pPr>
        <w:pStyle w:val="ListParagraph"/>
        <w:numPr>
          <w:ilvl w:val="0"/>
          <w:numId w:val="5"/>
        </w:numPr>
      </w:pPr>
      <w:r>
        <w:t>local housing experts</w:t>
      </w:r>
      <w:r w:rsidR="000A2193">
        <w:t xml:space="preserve">, including </w:t>
      </w:r>
      <w:r>
        <w:t xml:space="preserve">realtors, developers, </w:t>
      </w:r>
      <w:r w:rsidR="000A2193">
        <w:t xml:space="preserve">and </w:t>
      </w:r>
      <w:r>
        <w:t>housing providers</w:t>
      </w:r>
    </w:p>
    <w:p w14:paraId="5427CD01" w14:textId="1A75755D" w:rsidR="00AA0D2C" w:rsidRPr="00F37A95" w:rsidRDefault="00AA0D2C" w:rsidP="0F573FC4">
      <w:pPr>
        <w:pStyle w:val="ListParagraph"/>
        <w:numPr>
          <w:ilvl w:val="0"/>
          <w:numId w:val="5"/>
        </w:numPr>
      </w:pPr>
      <w:r>
        <w:t>those who understand existing and future need</w:t>
      </w:r>
      <w:r w:rsidR="000A2193">
        <w:t xml:space="preserve">, such as </w:t>
      </w:r>
      <w:r>
        <w:t>K</w:t>
      </w:r>
      <w:r w:rsidR="000A2193">
        <w:t>–</w:t>
      </w:r>
      <w:r>
        <w:t>12 school representatives, local elected officials and government staff, representatives of the faith community, economic developers, community service providers, and employers</w:t>
      </w:r>
    </w:p>
    <w:p w14:paraId="15F08425" w14:textId="77777777" w:rsidR="00AA0D2C" w:rsidRDefault="00AA0D2C" w:rsidP="00AA0D2C">
      <w:pPr>
        <w:pStyle w:val="Heading2"/>
        <w:rPr>
          <w:bCs/>
        </w:rPr>
      </w:pPr>
      <w:bookmarkStart w:id="9" w:name="_Toc62593589"/>
      <w:bookmarkStart w:id="10" w:name="_Toc120703899"/>
      <w:r>
        <w:rPr>
          <w:bCs/>
        </w:rPr>
        <w:t>Study Geography</w:t>
      </w:r>
      <w:bookmarkEnd w:id="9"/>
      <w:bookmarkEnd w:id="10"/>
    </w:p>
    <w:p w14:paraId="4679989F" w14:textId="67D9A408" w:rsidR="007E266A" w:rsidRDefault="00382537" w:rsidP="000A2193">
      <w:pPr>
        <w:contextualSpacing/>
      </w:pPr>
      <w:r>
        <w:rPr>
          <w:b/>
          <w:noProof/>
        </w:rPr>
        <w:drawing>
          <wp:anchor distT="0" distB="0" distL="114300" distR="114300" simplePos="0" relativeHeight="251658240" behindDoc="0" locked="0" layoutInCell="1" allowOverlap="1" wp14:anchorId="3C5A317A" wp14:editId="1EF3C165">
            <wp:simplePos x="0" y="0"/>
            <wp:positionH relativeFrom="margin">
              <wp:posOffset>3194050</wp:posOffset>
            </wp:positionH>
            <wp:positionV relativeFrom="paragraph">
              <wp:posOffset>88900</wp:posOffset>
            </wp:positionV>
            <wp:extent cx="2644775" cy="3255010"/>
            <wp:effectExtent l="19050" t="19050" r="22225" b="2159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muting to Randolph.png"/>
                    <pic:cNvPicPr/>
                  </pic:nvPicPr>
                  <pic:blipFill>
                    <a:blip r:embed="rId14">
                      <a:extLst>
                        <a:ext uri="{28A0092B-C50C-407E-A947-70E740481C1C}">
                          <a14:useLocalDpi xmlns:a14="http://schemas.microsoft.com/office/drawing/2010/main" val="0"/>
                        </a:ext>
                      </a:extLst>
                    </a:blip>
                    <a:stretch>
                      <a:fillRect/>
                    </a:stretch>
                  </pic:blipFill>
                  <pic:spPr>
                    <a:xfrm>
                      <a:off x="0" y="0"/>
                      <a:ext cx="2644775" cy="3255010"/>
                    </a:xfrm>
                    <a:prstGeom prst="rect">
                      <a:avLst/>
                    </a:prstGeom>
                    <a:ln>
                      <a:solidFill>
                        <a:schemeClr val="bg2">
                          <a:lumMod val="75000"/>
                        </a:schemeClr>
                      </a:solidFill>
                    </a:ln>
                  </pic:spPr>
                </pic:pic>
              </a:graphicData>
            </a:graphic>
            <wp14:sizeRelH relativeFrom="margin">
              <wp14:pctWidth>0</wp14:pctWidth>
            </wp14:sizeRelH>
            <wp14:sizeRelV relativeFrom="margin">
              <wp14:pctHeight>0</wp14:pctHeight>
            </wp14:sizeRelV>
          </wp:anchor>
        </w:drawing>
      </w:r>
      <w:r w:rsidR="00AA0D2C" w:rsidRPr="0F573FC4">
        <w:t xml:space="preserve">The team compared </w:t>
      </w:r>
      <w:r w:rsidR="00F37A95" w:rsidRPr="0F573FC4">
        <w:t>Randolph</w:t>
      </w:r>
      <w:r w:rsidR="00AA0D2C" w:rsidRPr="0F573FC4">
        <w:t xml:space="preserve"> County </w:t>
      </w:r>
      <w:r w:rsidR="00334049" w:rsidRPr="0F573FC4">
        <w:t xml:space="preserve">to counties </w:t>
      </w:r>
      <w:r w:rsidR="00423903" w:rsidRPr="0F573FC4">
        <w:t>in the</w:t>
      </w:r>
      <w:r w:rsidR="00AA0D2C" w:rsidRPr="0F573FC4">
        <w:t xml:space="preserve"> regional housing market delineated using commuting pattern data. Households generally choose a home within an acceptable commuting distance from their job or look for a job within an acceptable commuting distance of their home. For this analysis, the regional market includes Upshur</w:t>
      </w:r>
      <w:r w:rsidR="00F37A95" w:rsidRPr="0F573FC4">
        <w:t>, Tucker,</w:t>
      </w:r>
      <w:r w:rsidR="00F67807" w:rsidRPr="0F573FC4">
        <w:t xml:space="preserve"> and </w:t>
      </w:r>
      <w:r w:rsidR="00F37A95" w:rsidRPr="0F573FC4">
        <w:t xml:space="preserve">Barbour </w:t>
      </w:r>
      <w:r w:rsidR="00AA0D2C" w:rsidRPr="0F573FC4">
        <w:t xml:space="preserve">Counties. The availability and diversity of housing options within a reasonable commute of </w:t>
      </w:r>
      <w:r w:rsidR="00F37A95" w:rsidRPr="0F573FC4">
        <w:t>Randolph</w:t>
      </w:r>
      <w:r w:rsidR="00AA0D2C" w:rsidRPr="0F573FC4">
        <w:t xml:space="preserve"> County may make these </w:t>
      </w:r>
      <w:r w:rsidR="00F37A95" w:rsidRPr="0F573FC4">
        <w:t>counties</w:t>
      </w:r>
      <w:r w:rsidR="00AA0D2C" w:rsidRPr="0F573FC4">
        <w:t xml:space="preserve"> a desirable alternative to living </w:t>
      </w:r>
      <w:r w:rsidR="2078D86A" w:rsidRPr="0F573FC4">
        <w:t>in Randolph</w:t>
      </w:r>
      <w:r w:rsidR="3E837281" w:rsidRPr="0F573FC4">
        <w:t xml:space="preserve"> County</w:t>
      </w:r>
      <w:r w:rsidR="00F37A95" w:rsidRPr="0F573FC4">
        <w:t xml:space="preserve">, especially given </w:t>
      </w:r>
      <w:r w:rsidR="4AB25093" w:rsidRPr="0F573FC4">
        <w:t xml:space="preserve">the </w:t>
      </w:r>
      <w:r w:rsidR="00F37A95" w:rsidRPr="0F573FC4">
        <w:t>diversity of housing preferences</w:t>
      </w:r>
      <w:r w:rsidR="00AA0D2C" w:rsidRPr="0F573FC4">
        <w:t xml:space="preserve">. </w:t>
      </w:r>
      <w:r w:rsidR="00E36B72" w:rsidRPr="0F573FC4">
        <w:t xml:space="preserve">Furthermore, </w:t>
      </w:r>
      <w:r w:rsidR="003D470B" w:rsidRPr="0F573FC4">
        <w:t xml:space="preserve">the team considered </w:t>
      </w:r>
      <w:r w:rsidR="00A9512D" w:rsidRPr="0F573FC4">
        <w:t xml:space="preserve">the City of Elkins, the </w:t>
      </w:r>
      <w:r w:rsidR="00DC5603">
        <w:t>ZIP</w:t>
      </w:r>
      <w:r w:rsidR="00D34258" w:rsidRPr="0F573FC4">
        <w:t xml:space="preserve"> code surrounding Elkins</w:t>
      </w:r>
      <w:r w:rsidR="000A2193">
        <w:t xml:space="preserve"> (</w:t>
      </w:r>
      <w:r w:rsidR="000A2193" w:rsidRPr="0F573FC4">
        <w:t>26241</w:t>
      </w:r>
      <w:r w:rsidR="000A2193">
        <w:t>)</w:t>
      </w:r>
      <w:r w:rsidR="00D34258" w:rsidRPr="0F573FC4">
        <w:t xml:space="preserve">, and each of the </w:t>
      </w:r>
      <w:r w:rsidR="0053081A" w:rsidRPr="0F573FC4">
        <w:t xml:space="preserve">towns </w:t>
      </w:r>
      <w:r w:rsidR="00C61B2A" w:rsidRPr="0F573FC4">
        <w:t xml:space="preserve">within the </w:t>
      </w:r>
      <w:r w:rsidR="00D40C78">
        <w:t>C</w:t>
      </w:r>
      <w:r w:rsidR="00D40C78" w:rsidRPr="0F573FC4">
        <w:t>ounty</w:t>
      </w:r>
      <w:r w:rsidR="00C61B2A" w:rsidRPr="0F573FC4">
        <w:t xml:space="preserve">: Harman, </w:t>
      </w:r>
      <w:r w:rsidR="00982B5A" w:rsidRPr="0F573FC4">
        <w:t>Beverly, Mill Creek, Coalton, Montrose, and Huttonsville</w:t>
      </w:r>
      <w:r w:rsidR="00C06651" w:rsidRPr="0F573FC4">
        <w:t>.</w:t>
      </w:r>
      <w:r w:rsidR="007E266A" w:rsidRPr="0F573FC4">
        <w:t xml:space="preserve"> </w:t>
      </w:r>
    </w:p>
    <w:p w14:paraId="6CC68BC0" w14:textId="77777777" w:rsidR="007E266A" w:rsidRDefault="007E266A" w:rsidP="007E266A">
      <w:pPr>
        <w:contextualSpacing/>
        <w:rPr>
          <w:b/>
        </w:rPr>
      </w:pPr>
    </w:p>
    <w:p w14:paraId="3CEC7D30" w14:textId="30BA8BD4" w:rsidR="007E266A" w:rsidRDefault="007E266A" w:rsidP="007E266A">
      <w:pPr>
        <w:contextualSpacing/>
        <w:rPr>
          <w:b/>
        </w:rPr>
      </w:pPr>
    </w:p>
    <w:p w14:paraId="1C12784E" w14:textId="247A8284" w:rsidR="007E266A" w:rsidRDefault="007E266A" w:rsidP="7DFA81C2">
      <w:pPr>
        <w:contextualSpacing/>
        <w:jc w:val="right"/>
        <w:rPr>
          <w:b/>
          <w:bCs/>
        </w:rPr>
      </w:pPr>
      <w:r w:rsidRPr="7DFA81C2">
        <w:rPr>
          <w:b/>
          <w:bCs/>
        </w:rPr>
        <w:t xml:space="preserve">Figure </w:t>
      </w:r>
      <w:r w:rsidR="003E7473">
        <w:rPr>
          <w:b/>
          <w:bCs/>
        </w:rPr>
        <w:t>1</w:t>
      </w:r>
      <w:r w:rsidR="4F604B68" w:rsidRPr="7DFA81C2">
        <w:rPr>
          <w:b/>
          <w:bCs/>
        </w:rPr>
        <w:t>. Commuting</w:t>
      </w:r>
      <w:r w:rsidRPr="7DFA81C2">
        <w:rPr>
          <w:b/>
          <w:bCs/>
        </w:rPr>
        <w:t xml:space="preserve"> to Randolph for Primary Jobs</w:t>
      </w:r>
    </w:p>
    <w:p w14:paraId="773FD173" w14:textId="578B74F3" w:rsidR="007E266A" w:rsidRPr="007E266A" w:rsidRDefault="007E266A" w:rsidP="007E266A">
      <w:pPr>
        <w:contextualSpacing/>
        <w:jc w:val="right"/>
        <w:rPr>
          <w:b/>
        </w:rPr>
      </w:pPr>
      <w:r>
        <w:t xml:space="preserve">Source: </w:t>
      </w:r>
      <w:r w:rsidRPr="007B5E7C">
        <w:t>U.S.</w:t>
      </w:r>
      <w:r>
        <w:t xml:space="preserve"> </w:t>
      </w:r>
      <w:r w:rsidRPr="007B5E7C">
        <w:t>Census Bureau, Center for Economic Studies, LEHD</w:t>
      </w:r>
    </w:p>
    <w:p w14:paraId="470A3EAE" w14:textId="7B1FC2A7" w:rsidR="00AA0D2C" w:rsidRDefault="00AA0D2C" w:rsidP="000F6D8D">
      <w:pPr>
        <w:spacing w:after="0"/>
        <w:jc w:val="both"/>
        <w:rPr>
          <w:bCs/>
        </w:rPr>
      </w:pPr>
    </w:p>
    <w:p w14:paraId="6F137EBC" w14:textId="77777777" w:rsidR="00AA0D2C" w:rsidRPr="005D6D20" w:rsidRDefault="00AA0D2C" w:rsidP="00AA0D2C">
      <w:pPr>
        <w:spacing w:after="0"/>
        <w:rPr>
          <w:bCs/>
        </w:rPr>
      </w:pPr>
    </w:p>
    <w:p w14:paraId="59F1F738" w14:textId="77777777" w:rsidR="00AA0D2C" w:rsidRDefault="00AA0D2C" w:rsidP="00AA0D2C">
      <w:pPr>
        <w:pStyle w:val="Heading2"/>
      </w:pPr>
      <w:bookmarkStart w:id="11" w:name="_Toc62593590"/>
      <w:bookmarkStart w:id="12" w:name="_Toc120703900"/>
      <w:r>
        <w:t>Data Analysis</w:t>
      </w:r>
      <w:bookmarkEnd w:id="11"/>
      <w:bookmarkEnd w:id="12"/>
    </w:p>
    <w:p w14:paraId="32A6022D" w14:textId="768D9CAE" w:rsidR="00AA0D2C" w:rsidRDefault="00BF1B6F" w:rsidP="00AA0D2C">
      <w:pPr>
        <w:spacing w:after="0"/>
      </w:pPr>
      <w:r>
        <w:t>D</w:t>
      </w:r>
      <w:r w:rsidR="00AA0D2C">
        <w:t xml:space="preserve">ata used in this study </w:t>
      </w:r>
      <w:r>
        <w:t xml:space="preserve">were </w:t>
      </w:r>
      <w:r w:rsidR="00AA0D2C">
        <w:t>from the following sources: 201</w:t>
      </w:r>
      <w:r w:rsidR="00A25CA3">
        <w:t>5</w:t>
      </w:r>
      <w:r>
        <w:t>–</w:t>
      </w:r>
      <w:r w:rsidR="00AA0D2C">
        <w:t>201</w:t>
      </w:r>
      <w:r w:rsidR="00A25CA3">
        <w:t>9</w:t>
      </w:r>
      <w:r w:rsidR="00AA0D2C">
        <w:t xml:space="preserve"> US Census Bureau American Community Survey (ACS) published tables, 201</w:t>
      </w:r>
      <w:r w:rsidR="00A25CA3">
        <w:t>4</w:t>
      </w:r>
      <w:r>
        <w:t>–</w:t>
      </w:r>
      <w:r w:rsidR="00AA0D2C">
        <w:t>201</w:t>
      </w:r>
      <w:r w:rsidR="00A25CA3">
        <w:t>8</w:t>
      </w:r>
      <w:r w:rsidR="00AA0D2C">
        <w:t xml:space="preserve"> HUD Consolidated Housing Affordability Strategy (CHAS) data, </w:t>
      </w:r>
      <w:r w:rsidR="004D0169">
        <w:t xml:space="preserve">the </w:t>
      </w:r>
      <w:r w:rsidR="00AA0D2C">
        <w:t>Bureau of Labor Statistics</w:t>
      </w:r>
      <w:r w:rsidR="00562649">
        <w:t xml:space="preserve"> (BLS)</w:t>
      </w:r>
      <w:r w:rsidR="00AA0D2C">
        <w:t xml:space="preserve"> State Occupational Employment and Wage Estimates, and the Workforce West Virginia Labor Market Information program. The study team calculated the reliability of ACS and CHAS estimates and used only reliable estimates when performing the analysis</w:t>
      </w:r>
      <w:r w:rsidR="0058172C">
        <w:t>.</w:t>
      </w:r>
      <w:r w:rsidR="00AA0D2C">
        <w:t xml:space="preserve"> </w:t>
      </w:r>
      <w:r w:rsidR="0058172C">
        <w:lastRenderedPageBreak/>
        <w:t xml:space="preserve">Given </w:t>
      </w:r>
      <w:r w:rsidR="00AA0D2C">
        <w:t xml:space="preserve">the limited sampling </w:t>
      </w:r>
      <w:r w:rsidR="0058172C">
        <w:t>for</w:t>
      </w:r>
      <w:r w:rsidR="00AA0D2C">
        <w:t xml:space="preserve"> very small geographies</w:t>
      </w:r>
      <w:r w:rsidR="0058172C">
        <w:t>,</w:t>
      </w:r>
      <w:r w:rsidR="00AA0D2C">
        <w:t xml:space="preserve"> </w:t>
      </w:r>
      <w:r w:rsidR="0058172C">
        <w:t xml:space="preserve">most </w:t>
      </w:r>
      <w:r w:rsidR="00AA0D2C">
        <w:t xml:space="preserve">data for the regional market is reported at the county level. </w:t>
      </w:r>
    </w:p>
    <w:p w14:paraId="25AE423B" w14:textId="77777777" w:rsidR="00AA0D2C" w:rsidRDefault="00AA0D2C" w:rsidP="00AA0D2C">
      <w:pPr>
        <w:spacing w:after="0"/>
      </w:pPr>
    </w:p>
    <w:p w14:paraId="292F88A8" w14:textId="0CF2CEB4" w:rsidR="00AA0D2C" w:rsidRDefault="00562649" w:rsidP="00AA0D2C">
      <w:pPr>
        <w:spacing w:after="0"/>
      </w:pPr>
      <w:r>
        <w:t xml:space="preserve">To assess housing needs for workers, </w:t>
      </w:r>
      <w:r w:rsidR="00AA0D2C">
        <w:t xml:space="preserve">BLS and Workforce West Virginia Labor Market Analysis </w:t>
      </w:r>
      <w:r>
        <w:t xml:space="preserve">data on </w:t>
      </w:r>
      <w:r w:rsidR="00D31CC5">
        <w:t xml:space="preserve">wages </w:t>
      </w:r>
      <w:r w:rsidR="00AA0D2C">
        <w:t xml:space="preserve">by occupation </w:t>
      </w:r>
      <w:r>
        <w:t>were used</w:t>
      </w:r>
      <w:r w:rsidDel="00562649">
        <w:t xml:space="preserve"> </w:t>
      </w:r>
      <w:r w:rsidR="00AA0D2C">
        <w:t>as well as 201</w:t>
      </w:r>
      <w:r w:rsidR="00A25CA3">
        <w:t>9</w:t>
      </w:r>
      <w:r w:rsidR="00AA0D2C">
        <w:t xml:space="preserve"> </w:t>
      </w:r>
      <w:proofErr w:type="spellStart"/>
      <w:r w:rsidR="00AA0D2C">
        <w:t>OnTheMap</w:t>
      </w:r>
      <w:proofErr w:type="spellEnd"/>
      <w:r w:rsidR="00AA0D2C">
        <w:t xml:space="preserve"> data from the US Census Bureau for Economic Studies. The team used the most</w:t>
      </w:r>
      <w:r w:rsidR="00EB1706">
        <w:t>-</w:t>
      </w:r>
      <w:r w:rsidR="00AA0D2C">
        <w:t xml:space="preserve">recent </w:t>
      </w:r>
      <w:r w:rsidR="00D31CC5">
        <w:t xml:space="preserve">wage </w:t>
      </w:r>
      <w:r w:rsidR="00AA0D2C">
        <w:t xml:space="preserve">data available </w:t>
      </w:r>
      <w:r w:rsidR="00D31CC5">
        <w:t>(</w:t>
      </w:r>
      <w:r w:rsidR="00AA0D2C">
        <w:t>2018</w:t>
      </w:r>
      <w:r w:rsidR="00D31CC5">
        <w:t>)</w:t>
      </w:r>
      <w:r w:rsidR="00AA0D2C">
        <w:t xml:space="preserve"> to evaluate whether workers can afford the prevailing rents in the market.</w:t>
      </w:r>
    </w:p>
    <w:p w14:paraId="47BC4B2D" w14:textId="77777777" w:rsidR="00E62849" w:rsidRDefault="00E62849" w:rsidP="00AA0D2C">
      <w:pPr>
        <w:spacing w:after="0"/>
      </w:pPr>
    </w:p>
    <w:p w14:paraId="1F9A69DA" w14:textId="71125E58" w:rsidR="00AA0D2C" w:rsidRPr="00BC0DBE" w:rsidRDefault="00200C63" w:rsidP="7DFA81C2">
      <w:pPr>
        <w:spacing w:after="0"/>
        <w:rPr>
          <w:rFonts w:asciiTheme="majorHAnsi" w:eastAsiaTheme="majorEastAsia" w:hAnsiTheme="majorHAnsi" w:cstheme="majorBidi"/>
          <w:color w:val="1F3763" w:themeColor="accent1" w:themeShade="7F"/>
          <w:sz w:val="24"/>
          <w:szCs w:val="24"/>
        </w:rPr>
      </w:pPr>
      <w:r>
        <w:t>H</w:t>
      </w:r>
      <w:r w:rsidR="5E4C75DE">
        <w:t xml:space="preserve">ousehold nonresponse increased substantially in the </w:t>
      </w:r>
      <w:r w:rsidR="00F60BEB">
        <w:t xml:space="preserve">ACS </w:t>
      </w:r>
      <w:r>
        <w:t>during the COVID-19 pandemic</w:t>
      </w:r>
      <w:r w:rsidR="00F60BEB">
        <w:t xml:space="preserve"> </w:t>
      </w:r>
      <w:r>
        <w:t>because of the challenges of conducting a household survey</w:t>
      </w:r>
      <w:r w:rsidR="000863A6">
        <w:t>,</w:t>
      </w:r>
      <w:r w:rsidR="5E4C75DE">
        <w:t xml:space="preserve"> especially for households </w:t>
      </w:r>
      <w:r>
        <w:t>with lower socioeconomic status</w:t>
      </w:r>
      <w:r>
        <w:rPr>
          <w:rFonts w:cstheme="minorHAnsi"/>
        </w:rPr>
        <w:t>—</w:t>
      </w:r>
      <w:r w:rsidR="5E4C75DE">
        <w:t xml:space="preserve">those most likely to experience housing </w:t>
      </w:r>
      <w:bookmarkStart w:id="13" w:name="_Int_Wir23gYb"/>
      <w:r w:rsidR="5E4C75DE">
        <w:t>burden</w:t>
      </w:r>
      <w:bookmarkEnd w:id="13"/>
      <w:r w:rsidR="5E4C75DE">
        <w:t xml:space="preserve"> and other housing</w:t>
      </w:r>
      <w:r>
        <w:t>-</w:t>
      </w:r>
      <w:r w:rsidR="5E4C75DE">
        <w:t xml:space="preserve">related challenges. </w:t>
      </w:r>
      <w:r>
        <w:t xml:space="preserve">Although </w:t>
      </w:r>
      <w:r w:rsidR="5E4C75DE">
        <w:t xml:space="preserve">the Census Bureau has refined its methodology to reduce the </w:t>
      </w:r>
      <w:r w:rsidR="007D3D50">
        <w:t xml:space="preserve">effect </w:t>
      </w:r>
      <w:r w:rsidR="5E4C75DE">
        <w:t xml:space="preserve">of nonresponse bias </w:t>
      </w:r>
      <w:r w:rsidR="007B6318">
        <w:t xml:space="preserve">owing </w:t>
      </w:r>
      <w:r w:rsidR="5E4C75DE">
        <w:t xml:space="preserve">to the COVID-19 pandemic, </w:t>
      </w:r>
      <w:r w:rsidR="00975E32">
        <w:t xml:space="preserve">the organization </w:t>
      </w:r>
      <w:r w:rsidR="00775489">
        <w:t>still labels 2020 data as experiment</w:t>
      </w:r>
      <w:r w:rsidR="00436B9D">
        <w:t xml:space="preserve">al. </w:t>
      </w:r>
      <w:r w:rsidR="00975E32">
        <w:t>Therefore</w:t>
      </w:r>
      <w:r w:rsidR="00436B9D">
        <w:t>, we u</w:t>
      </w:r>
      <w:r w:rsidR="00A035BF">
        <w:t xml:space="preserve">sed 2019 5-year estimates </w:t>
      </w:r>
      <w:r w:rsidR="00162448">
        <w:t xml:space="preserve">in this report and </w:t>
      </w:r>
      <w:r w:rsidR="5E4C75DE">
        <w:t xml:space="preserve">encourage the community to consider updating quantitative data following the release of the 2017-2021 5-year </w:t>
      </w:r>
      <w:r w:rsidR="00475B12">
        <w:t xml:space="preserve">ACS </w:t>
      </w:r>
      <w:r w:rsidR="5E4C75DE">
        <w:t>estimates in winter and spring 2023.</w:t>
      </w:r>
    </w:p>
    <w:p w14:paraId="361C1488" w14:textId="36A4D883" w:rsidR="6C3C34E4" w:rsidRDefault="6C3C34E4" w:rsidP="6C3C34E4">
      <w:pPr>
        <w:pStyle w:val="Heading3"/>
      </w:pPr>
    </w:p>
    <w:p w14:paraId="01DB9B5A" w14:textId="7BD24EF6" w:rsidR="00AA0D2C" w:rsidRDefault="009340C2" w:rsidP="00AA0D2C">
      <w:pPr>
        <w:pStyle w:val="Heading3"/>
      </w:pPr>
      <w:bookmarkStart w:id="14" w:name="_Toc120703901"/>
      <w:r>
        <w:t>Focus groups and interview</w:t>
      </w:r>
      <w:bookmarkEnd w:id="14"/>
    </w:p>
    <w:p w14:paraId="777E6ED5" w14:textId="454F2C16" w:rsidR="00310385" w:rsidRPr="008F32E4" w:rsidRDefault="0769C491">
      <w:r>
        <w:t>The team collected qualitative data collection and stakeholder engagement through in-person and online focus groups</w:t>
      </w:r>
      <w:r w:rsidR="66380507">
        <w:t xml:space="preserve"> and interviews</w:t>
      </w:r>
      <w:r>
        <w:t xml:space="preserve">, public </w:t>
      </w:r>
      <w:r w:rsidR="6A65845B">
        <w:t>meetings,</w:t>
      </w:r>
      <w:r>
        <w:t xml:space="preserve"> and stakeholder input meetings to solicit </w:t>
      </w:r>
      <w:r w:rsidR="00F15EC6">
        <w:t xml:space="preserve">input from </w:t>
      </w:r>
      <w:r>
        <w:t>local expert</w:t>
      </w:r>
      <w:r w:rsidR="00F15EC6">
        <w:t>s</w:t>
      </w:r>
      <w:r>
        <w:t xml:space="preserve">, </w:t>
      </w:r>
      <w:r w:rsidR="55A02085">
        <w:t>stakeholder</w:t>
      </w:r>
      <w:r w:rsidR="00F15EC6">
        <w:t>s</w:t>
      </w:r>
      <w:r w:rsidR="55A02085">
        <w:t>,</w:t>
      </w:r>
      <w:r>
        <w:t xml:space="preserve"> and </w:t>
      </w:r>
      <w:r w:rsidR="00F15EC6">
        <w:t xml:space="preserve">the </w:t>
      </w:r>
      <w:r>
        <w:t xml:space="preserve">public. The study team conducted interviews with realtors, housing providers, local government staff, elected officials, businesses, and other stakeholders </w:t>
      </w:r>
      <w:r w:rsidR="4EA743A1">
        <w:t xml:space="preserve">to </w:t>
      </w:r>
      <w:r>
        <w:t>gain insight into local challenges and development opportunities. The data collected from interviews helped the team interpret quantitative data and test its validity. Interview data is included throughout the report, providing examples of real-life experiences that make the data conclusions more concrete and comprehensible.</w:t>
      </w:r>
    </w:p>
    <w:p w14:paraId="685E2D0F" w14:textId="77777777" w:rsidR="00310385" w:rsidRPr="00A62549" w:rsidRDefault="00310385" w:rsidP="00310385">
      <w:pPr>
        <w:pStyle w:val="Heading1"/>
      </w:pPr>
      <w:bookmarkStart w:id="15" w:name="_Toc120703902"/>
      <w:r>
        <w:t>Important Terms and References</w:t>
      </w:r>
      <w:bookmarkEnd w:id="15"/>
    </w:p>
    <w:p w14:paraId="7FF37F52" w14:textId="77777777" w:rsidR="00310385" w:rsidRDefault="00310385" w:rsidP="00310385">
      <w:pPr>
        <w:spacing w:after="0"/>
      </w:pPr>
      <w:r w:rsidRPr="00D11FB0">
        <w:rPr>
          <w:b/>
        </w:rPr>
        <w:t>Tenure</w:t>
      </w:r>
      <w:r>
        <w:t xml:space="preserve"> – The method by which a household possesses their home: renting, fully owned with no home loan, or owned with a mortgage or other home loan.</w:t>
      </w:r>
    </w:p>
    <w:p w14:paraId="3B687C0D" w14:textId="77777777" w:rsidR="00310385" w:rsidRDefault="00310385" w:rsidP="00310385">
      <w:pPr>
        <w:spacing w:after="0"/>
      </w:pPr>
    </w:p>
    <w:p w14:paraId="326BE3F4" w14:textId="095B334B" w:rsidR="00310385" w:rsidRDefault="00310385" w:rsidP="00310385">
      <w:pPr>
        <w:spacing w:after="0"/>
      </w:pPr>
      <w:r w:rsidRPr="00D11FB0">
        <w:rPr>
          <w:b/>
        </w:rPr>
        <w:t>Cost-burdened Households</w:t>
      </w:r>
      <w:r>
        <w:t xml:space="preserve"> – The US Department of Housing and Urban Development (HUD) established the term “cost-burdened” to describe households that need more affordable housing. HUD defines cost-burdened households as “families who pay more than 30 percent of their income for housing... and may have difficulty affording necessities such as food, clothing, transportation, and medical care.” Severely cost-burdened households pay 50 percent or more of their income for housing and are likely to be making tough choices between housing and other necessities.</w:t>
      </w:r>
    </w:p>
    <w:p w14:paraId="7014CA53" w14:textId="77777777" w:rsidR="00310385" w:rsidRDefault="00310385" w:rsidP="00310385">
      <w:pPr>
        <w:spacing w:after="0"/>
      </w:pPr>
    </w:p>
    <w:p w14:paraId="68A2C551" w14:textId="76C24A08" w:rsidR="00310385" w:rsidRDefault="00310385" w:rsidP="00310385">
      <w:pPr>
        <w:spacing w:after="0"/>
      </w:pPr>
      <w:r w:rsidRPr="00D11FB0">
        <w:rPr>
          <w:b/>
        </w:rPr>
        <w:t>Percent of Area Median Income (AMI)</w:t>
      </w:r>
      <w:r>
        <w:t xml:space="preserve"> – HUD sets income limits by household size that determine eligibility for assisted housing programs. HUD develops these income limits based on Median Family Income estimates and Fair Market Rent area definitions for each metropolitan area, parts of some metropolitan areas, and each non-metropolitan county. These income limits are useful tools for housing needs assessments because they are a common standard with which to categorize households based on income considering household size. VCHR has provided the 2020 income limits for Barbour County for </w:t>
      </w:r>
      <w:r>
        <w:lastRenderedPageBreak/>
        <w:t>reference</w:t>
      </w:r>
      <w:r w:rsidR="008F2A2D">
        <w:t xml:space="preserve">; in addition, </w:t>
      </w:r>
      <w:r>
        <w:t xml:space="preserve">appropriate annual income limits based on </w:t>
      </w:r>
      <w:r w:rsidR="00E92255">
        <w:t xml:space="preserve">data </w:t>
      </w:r>
      <w:r>
        <w:t>vintage were applied in the analysis.</w:t>
      </w:r>
    </w:p>
    <w:p w14:paraId="4778954F" w14:textId="77777777" w:rsidR="00310385" w:rsidRDefault="00310385" w:rsidP="00310385">
      <w:pPr>
        <w:spacing w:after="0"/>
      </w:pPr>
    </w:p>
    <w:p w14:paraId="7804CC37" w14:textId="127DDC51" w:rsidR="00310385" w:rsidRPr="000147CF" w:rsidRDefault="00310385" w:rsidP="00310385">
      <w:pPr>
        <w:spacing w:after="0"/>
        <w:rPr>
          <w:b/>
        </w:rPr>
      </w:pPr>
      <w:r>
        <w:rPr>
          <w:b/>
        </w:rPr>
        <w:t xml:space="preserve">Table </w:t>
      </w:r>
      <w:r w:rsidR="00D34513">
        <w:rPr>
          <w:b/>
        </w:rPr>
        <w:t>1</w:t>
      </w:r>
      <w:r>
        <w:rPr>
          <w:b/>
        </w:rPr>
        <w:t xml:space="preserve">. </w:t>
      </w:r>
      <w:r w:rsidRPr="000147CF">
        <w:rPr>
          <w:b/>
        </w:rPr>
        <w:t>202</w:t>
      </w:r>
      <w:r w:rsidR="009859A9">
        <w:rPr>
          <w:b/>
        </w:rPr>
        <w:t>2</w:t>
      </w:r>
      <w:r w:rsidRPr="000147CF">
        <w:rPr>
          <w:b/>
        </w:rPr>
        <w:t xml:space="preserve"> HUD Income Limits for </w:t>
      </w:r>
      <w:r w:rsidR="009859A9">
        <w:rPr>
          <w:b/>
        </w:rPr>
        <w:t>Randolph</w:t>
      </w:r>
      <w:r w:rsidRPr="000147CF">
        <w:rPr>
          <w:b/>
        </w:rPr>
        <w:t xml:space="preserve"> County, WV</w:t>
      </w:r>
    </w:p>
    <w:tbl>
      <w:tblPr>
        <w:tblStyle w:val="TableGrid"/>
        <w:tblW w:w="0" w:type="auto"/>
        <w:tblLook w:val="04A0" w:firstRow="1" w:lastRow="0" w:firstColumn="1" w:lastColumn="0" w:noHBand="0" w:noVBand="1"/>
      </w:tblPr>
      <w:tblGrid>
        <w:gridCol w:w="2335"/>
        <w:gridCol w:w="1753"/>
        <w:gridCol w:w="1754"/>
        <w:gridCol w:w="1754"/>
        <w:gridCol w:w="1754"/>
      </w:tblGrid>
      <w:tr w:rsidR="00310385" w14:paraId="0A697B55" w14:textId="77777777" w:rsidTr="7DFA81C2">
        <w:tc>
          <w:tcPr>
            <w:tcW w:w="2335" w:type="dxa"/>
          </w:tcPr>
          <w:p w14:paraId="6B1B55FC" w14:textId="77777777" w:rsidR="00310385" w:rsidRDefault="00310385" w:rsidP="00C20538">
            <w:r>
              <w:t>Income Level</w:t>
            </w:r>
          </w:p>
        </w:tc>
        <w:tc>
          <w:tcPr>
            <w:tcW w:w="1753" w:type="dxa"/>
          </w:tcPr>
          <w:p w14:paraId="12BE9611" w14:textId="77777777" w:rsidR="00310385" w:rsidRDefault="00310385" w:rsidP="00C20538">
            <w:pPr>
              <w:jc w:val="center"/>
            </w:pPr>
            <w:r>
              <w:t>1-person</w:t>
            </w:r>
          </w:p>
        </w:tc>
        <w:tc>
          <w:tcPr>
            <w:tcW w:w="1754" w:type="dxa"/>
          </w:tcPr>
          <w:p w14:paraId="348FC4D8" w14:textId="77777777" w:rsidR="00310385" w:rsidRDefault="00310385" w:rsidP="00C20538">
            <w:pPr>
              <w:jc w:val="center"/>
            </w:pPr>
            <w:r>
              <w:t>2-person</w:t>
            </w:r>
          </w:p>
        </w:tc>
        <w:tc>
          <w:tcPr>
            <w:tcW w:w="1754" w:type="dxa"/>
          </w:tcPr>
          <w:p w14:paraId="0A7F74EE" w14:textId="77777777" w:rsidR="00310385" w:rsidRDefault="00310385" w:rsidP="00C20538">
            <w:pPr>
              <w:jc w:val="center"/>
            </w:pPr>
            <w:r>
              <w:t>3-person</w:t>
            </w:r>
          </w:p>
        </w:tc>
        <w:tc>
          <w:tcPr>
            <w:tcW w:w="1754" w:type="dxa"/>
          </w:tcPr>
          <w:p w14:paraId="56B5757F" w14:textId="77777777" w:rsidR="00310385" w:rsidRDefault="00310385" w:rsidP="00C20538">
            <w:pPr>
              <w:jc w:val="center"/>
            </w:pPr>
            <w:r>
              <w:t>4-person</w:t>
            </w:r>
          </w:p>
        </w:tc>
      </w:tr>
      <w:tr w:rsidR="00310385" w14:paraId="0C06F9ED" w14:textId="77777777" w:rsidTr="7DFA81C2">
        <w:tc>
          <w:tcPr>
            <w:tcW w:w="2335" w:type="dxa"/>
          </w:tcPr>
          <w:p w14:paraId="0BAD1877" w14:textId="77777777" w:rsidR="00310385" w:rsidRDefault="00310385" w:rsidP="00C20538">
            <w:r>
              <w:t xml:space="preserve">&lt;30% AMI </w:t>
            </w:r>
          </w:p>
          <w:p w14:paraId="0A9043A2" w14:textId="77777777" w:rsidR="00310385" w:rsidRDefault="00310385" w:rsidP="00C20538">
            <w:r>
              <w:t>(</w:t>
            </w:r>
            <w:bookmarkStart w:id="16" w:name="_Int_YbUXDi2w"/>
            <w:r>
              <w:t>extremely</w:t>
            </w:r>
            <w:bookmarkEnd w:id="16"/>
            <w:r>
              <w:t xml:space="preserve"> low income)</w:t>
            </w:r>
          </w:p>
        </w:tc>
        <w:tc>
          <w:tcPr>
            <w:tcW w:w="1753" w:type="dxa"/>
            <w:vAlign w:val="center"/>
          </w:tcPr>
          <w:p w14:paraId="5B7F4C61" w14:textId="0BDDA1EA" w:rsidR="00310385" w:rsidRDefault="00310385" w:rsidP="00C20538">
            <w:pPr>
              <w:jc w:val="center"/>
            </w:pPr>
            <w:r>
              <w:t>$</w:t>
            </w:r>
            <w:r w:rsidR="008C37E0">
              <w:t>13,590</w:t>
            </w:r>
          </w:p>
        </w:tc>
        <w:tc>
          <w:tcPr>
            <w:tcW w:w="1754" w:type="dxa"/>
            <w:vAlign w:val="center"/>
          </w:tcPr>
          <w:p w14:paraId="3DA21DB9" w14:textId="79D9518E" w:rsidR="00310385" w:rsidRDefault="00310385" w:rsidP="00C20538">
            <w:pPr>
              <w:jc w:val="center"/>
            </w:pPr>
            <w:r>
              <w:t>$</w:t>
            </w:r>
            <w:r w:rsidRPr="00694465">
              <w:t>1</w:t>
            </w:r>
            <w:r w:rsidR="008C37E0">
              <w:t>8,130</w:t>
            </w:r>
          </w:p>
        </w:tc>
        <w:tc>
          <w:tcPr>
            <w:tcW w:w="1754" w:type="dxa"/>
            <w:vAlign w:val="center"/>
          </w:tcPr>
          <w:p w14:paraId="0F5B1F0C" w14:textId="47E24ACD" w:rsidR="00310385" w:rsidRDefault="00310385" w:rsidP="00C20538">
            <w:pPr>
              <w:jc w:val="center"/>
            </w:pPr>
            <w:r>
              <w:t>$</w:t>
            </w:r>
            <w:r w:rsidRPr="00694465">
              <w:t>2</w:t>
            </w:r>
            <w:r w:rsidR="008C37E0">
              <w:t>3,030</w:t>
            </w:r>
          </w:p>
        </w:tc>
        <w:tc>
          <w:tcPr>
            <w:tcW w:w="1754" w:type="dxa"/>
            <w:vAlign w:val="center"/>
          </w:tcPr>
          <w:p w14:paraId="35C2C4DC" w14:textId="450602D8" w:rsidR="00310385" w:rsidRDefault="00310385" w:rsidP="00C20538">
            <w:pPr>
              <w:jc w:val="center"/>
            </w:pPr>
            <w:r>
              <w:t>$</w:t>
            </w:r>
            <w:r w:rsidRPr="00694465">
              <w:t>2</w:t>
            </w:r>
            <w:r w:rsidR="008C37E0">
              <w:t>7,750</w:t>
            </w:r>
          </w:p>
        </w:tc>
      </w:tr>
      <w:tr w:rsidR="00310385" w14:paraId="41C04EEF" w14:textId="77777777" w:rsidTr="7DFA81C2">
        <w:tc>
          <w:tcPr>
            <w:tcW w:w="2335" w:type="dxa"/>
          </w:tcPr>
          <w:p w14:paraId="02AEAFF3" w14:textId="7F9B6095" w:rsidR="00310385" w:rsidRDefault="00310385" w:rsidP="00C20538">
            <w:r>
              <w:t>30</w:t>
            </w:r>
            <w:r w:rsidR="00C677A3">
              <w:t>–</w:t>
            </w:r>
            <w:r>
              <w:t xml:space="preserve">50% of AMI </w:t>
            </w:r>
          </w:p>
          <w:p w14:paraId="02A0AF42" w14:textId="77777777" w:rsidR="00310385" w:rsidRDefault="00310385" w:rsidP="00C20538">
            <w:r>
              <w:t>(</w:t>
            </w:r>
            <w:bookmarkStart w:id="17" w:name="_Int_sPk9KJeh"/>
            <w:r>
              <w:t>very</w:t>
            </w:r>
            <w:bookmarkEnd w:id="17"/>
            <w:r>
              <w:t xml:space="preserve"> low income)</w:t>
            </w:r>
          </w:p>
        </w:tc>
        <w:tc>
          <w:tcPr>
            <w:tcW w:w="1753" w:type="dxa"/>
            <w:vAlign w:val="center"/>
          </w:tcPr>
          <w:p w14:paraId="6970305F" w14:textId="1424A7AE" w:rsidR="00310385" w:rsidRDefault="00310385" w:rsidP="00C20538">
            <w:pPr>
              <w:jc w:val="center"/>
            </w:pPr>
            <w:r>
              <w:t>$</w:t>
            </w:r>
            <w:r w:rsidR="008C37E0">
              <w:t>22,050</w:t>
            </w:r>
          </w:p>
        </w:tc>
        <w:tc>
          <w:tcPr>
            <w:tcW w:w="1754" w:type="dxa"/>
            <w:vAlign w:val="center"/>
          </w:tcPr>
          <w:p w14:paraId="0FFCA299" w14:textId="51552F52" w:rsidR="00310385" w:rsidRDefault="00310385" w:rsidP="00C20538">
            <w:pPr>
              <w:jc w:val="center"/>
            </w:pPr>
            <w:r>
              <w:t>$</w:t>
            </w:r>
            <w:r w:rsidRPr="0034024F">
              <w:t>2</w:t>
            </w:r>
            <w:r w:rsidR="008C37E0">
              <w:t>5,200</w:t>
            </w:r>
          </w:p>
        </w:tc>
        <w:tc>
          <w:tcPr>
            <w:tcW w:w="1754" w:type="dxa"/>
            <w:vAlign w:val="center"/>
          </w:tcPr>
          <w:p w14:paraId="69F67D9A" w14:textId="2EA2B79E" w:rsidR="00310385" w:rsidRDefault="00310385" w:rsidP="00C20538">
            <w:pPr>
              <w:jc w:val="center"/>
            </w:pPr>
            <w:r>
              <w:t>$</w:t>
            </w:r>
            <w:r w:rsidRPr="0034024F">
              <w:t>2</w:t>
            </w:r>
            <w:r w:rsidR="008C37E0">
              <w:t>8,350</w:t>
            </w:r>
          </w:p>
        </w:tc>
        <w:tc>
          <w:tcPr>
            <w:tcW w:w="1754" w:type="dxa"/>
            <w:vAlign w:val="center"/>
          </w:tcPr>
          <w:p w14:paraId="303D7BBA" w14:textId="70DC5CDF" w:rsidR="00310385" w:rsidRDefault="00310385" w:rsidP="00C20538">
            <w:pPr>
              <w:jc w:val="center"/>
            </w:pPr>
            <w:r>
              <w:t>$</w:t>
            </w:r>
            <w:r w:rsidR="008C37E0">
              <w:t>31</w:t>
            </w:r>
            <w:r w:rsidRPr="0034024F">
              <w:t>,450</w:t>
            </w:r>
          </w:p>
        </w:tc>
      </w:tr>
      <w:tr w:rsidR="00310385" w14:paraId="12D7F963" w14:textId="77777777" w:rsidTr="7DFA81C2">
        <w:tc>
          <w:tcPr>
            <w:tcW w:w="2335" w:type="dxa"/>
          </w:tcPr>
          <w:p w14:paraId="09A101CA" w14:textId="06D528B9" w:rsidR="00310385" w:rsidRDefault="00310385" w:rsidP="00C20538">
            <w:r>
              <w:t>50</w:t>
            </w:r>
            <w:r w:rsidR="00C677A3">
              <w:t>–</w:t>
            </w:r>
            <w:r>
              <w:t xml:space="preserve">80% of AMI </w:t>
            </w:r>
          </w:p>
          <w:p w14:paraId="00CE697E" w14:textId="77777777" w:rsidR="00310385" w:rsidRDefault="00310385" w:rsidP="00C20538">
            <w:r>
              <w:t>(</w:t>
            </w:r>
            <w:bookmarkStart w:id="18" w:name="_Int_bcdsZxZd"/>
            <w:r>
              <w:t>low</w:t>
            </w:r>
            <w:bookmarkEnd w:id="18"/>
            <w:r>
              <w:t xml:space="preserve"> income)</w:t>
            </w:r>
          </w:p>
        </w:tc>
        <w:tc>
          <w:tcPr>
            <w:tcW w:w="1753" w:type="dxa"/>
            <w:vAlign w:val="center"/>
          </w:tcPr>
          <w:p w14:paraId="09B1C8B7" w14:textId="54BE2E9E" w:rsidR="00310385" w:rsidRDefault="00310385" w:rsidP="00C20538">
            <w:pPr>
              <w:jc w:val="center"/>
            </w:pPr>
            <w:r>
              <w:t>$</w:t>
            </w:r>
            <w:r w:rsidR="008C37E0">
              <w:t>35,250</w:t>
            </w:r>
          </w:p>
        </w:tc>
        <w:tc>
          <w:tcPr>
            <w:tcW w:w="1754" w:type="dxa"/>
            <w:vAlign w:val="center"/>
          </w:tcPr>
          <w:p w14:paraId="046DC1F8" w14:textId="3DAD9A5D" w:rsidR="00310385" w:rsidRDefault="00310385" w:rsidP="00C20538">
            <w:pPr>
              <w:jc w:val="center"/>
            </w:pPr>
            <w:r>
              <w:t>$</w:t>
            </w:r>
            <w:r w:rsidR="008C37E0">
              <w:t>40,250</w:t>
            </w:r>
          </w:p>
        </w:tc>
        <w:tc>
          <w:tcPr>
            <w:tcW w:w="1754" w:type="dxa"/>
            <w:vAlign w:val="center"/>
          </w:tcPr>
          <w:p w14:paraId="01B6E987" w14:textId="07B95644" w:rsidR="00310385" w:rsidRDefault="00310385" w:rsidP="00C20538">
            <w:pPr>
              <w:jc w:val="center"/>
            </w:pPr>
            <w:r>
              <w:t>$</w:t>
            </w:r>
            <w:r w:rsidR="008C37E0">
              <w:t>45,300</w:t>
            </w:r>
          </w:p>
        </w:tc>
        <w:tc>
          <w:tcPr>
            <w:tcW w:w="1754" w:type="dxa"/>
            <w:vAlign w:val="center"/>
          </w:tcPr>
          <w:p w14:paraId="61299221" w14:textId="1B993AC2" w:rsidR="00310385" w:rsidRDefault="00310385" w:rsidP="00C20538">
            <w:pPr>
              <w:jc w:val="center"/>
            </w:pPr>
            <w:r>
              <w:t>$</w:t>
            </w:r>
            <w:r w:rsidR="008C37E0">
              <w:t>50,300</w:t>
            </w:r>
          </w:p>
        </w:tc>
      </w:tr>
    </w:tbl>
    <w:p w14:paraId="0287014B" w14:textId="77777777" w:rsidR="00310385" w:rsidRDefault="00310385" w:rsidP="00310385">
      <w:pPr>
        <w:spacing w:after="0"/>
      </w:pPr>
    </w:p>
    <w:p w14:paraId="104941D0" w14:textId="77777777" w:rsidR="00310385" w:rsidRDefault="00310385" w:rsidP="00310385">
      <w:pPr>
        <w:spacing w:after="0"/>
      </w:pPr>
      <w:r w:rsidRPr="00D11FB0">
        <w:rPr>
          <w:b/>
        </w:rPr>
        <w:t>Housing Affordability</w:t>
      </w:r>
      <w:r>
        <w:t xml:space="preserve"> – Housing affordability is a broad term used to discuss the degree to which housing units in a market or submarket meet the income-based needs of households in that market. Researchers and practitioners generally consider housing affordability for income groups that may face challenges related to affording housing, including the following:</w:t>
      </w:r>
    </w:p>
    <w:p w14:paraId="656E7871" w14:textId="77777777" w:rsidR="00310385" w:rsidRDefault="00310385" w:rsidP="00310385">
      <w:pPr>
        <w:spacing w:after="0"/>
      </w:pPr>
    </w:p>
    <w:p w14:paraId="5A0F7A84" w14:textId="1C38201B" w:rsidR="00310385" w:rsidRDefault="00310385" w:rsidP="00310385">
      <w:pPr>
        <w:pStyle w:val="ListParagraph"/>
        <w:numPr>
          <w:ilvl w:val="0"/>
          <w:numId w:val="2"/>
        </w:numPr>
        <w:spacing w:after="0"/>
      </w:pPr>
      <w:r>
        <w:t>extremely low-income households that do not make enough money to obtain decent housing</w:t>
      </w:r>
    </w:p>
    <w:p w14:paraId="1EDBF046" w14:textId="30346714" w:rsidR="00310385" w:rsidRDefault="00310385" w:rsidP="00310385">
      <w:pPr>
        <w:pStyle w:val="ListParagraph"/>
        <w:numPr>
          <w:ilvl w:val="0"/>
          <w:numId w:val="2"/>
        </w:numPr>
        <w:spacing w:after="0"/>
      </w:pPr>
      <w:r>
        <w:t>young professionals who wish to become homeowners but cannot find a starter home with associated costs within their budget</w:t>
      </w:r>
    </w:p>
    <w:p w14:paraId="769D6A7E" w14:textId="2A5E46D2" w:rsidR="00310385" w:rsidRDefault="00310385" w:rsidP="00310385">
      <w:pPr>
        <w:pStyle w:val="ListParagraph"/>
        <w:numPr>
          <w:ilvl w:val="0"/>
          <w:numId w:val="2"/>
        </w:numPr>
        <w:spacing w:after="0"/>
      </w:pPr>
      <w:r>
        <w:t>established owners who cannot find an appropriate home to “upgrade” to as their families grow and they enter their professional prime</w:t>
      </w:r>
    </w:p>
    <w:p w14:paraId="100B6567" w14:textId="77777777" w:rsidR="00310385" w:rsidRDefault="00310385" w:rsidP="00310385">
      <w:pPr>
        <w:spacing w:after="0"/>
      </w:pPr>
    </w:p>
    <w:p w14:paraId="203DDD30" w14:textId="77777777" w:rsidR="00310385" w:rsidRDefault="00310385" w:rsidP="00310385">
      <w:pPr>
        <w:spacing w:after="0"/>
      </w:pPr>
      <w:r>
        <w:t>Housing affordability is not usually a concern for higher-income households that can obtain their desired housing without sacrificing other household needs such as safety, transportation, medical care, food, education, and childcare. However, a shortage of housing for households at any income level may affect businesses expanding in the market or economic development efforts for attracting new businesses.</w:t>
      </w:r>
    </w:p>
    <w:p w14:paraId="005B39D5" w14:textId="77777777" w:rsidR="00310385" w:rsidRDefault="00310385" w:rsidP="00310385">
      <w:pPr>
        <w:spacing w:after="0"/>
      </w:pPr>
    </w:p>
    <w:p w14:paraId="7FC22FB0" w14:textId="0A695A53" w:rsidR="00674E63" w:rsidRDefault="00310385" w:rsidP="00310385">
      <w:pPr>
        <w:spacing w:after="0"/>
      </w:pPr>
      <w:r w:rsidRPr="691CFC2A">
        <w:rPr>
          <w:b/>
          <w:bCs/>
        </w:rPr>
        <w:t>Householder</w:t>
      </w:r>
      <w:r>
        <w:t xml:space="preserve"> – This report refers to “householder” when the available data pertains to the householder as defined by the US Census. </w:t>
      </w:r>
      <w:r w:rsidR="09A33063">
        <w:t>According to</w:t>
      </w:r>
      <w:r>
        <w:t xml:space="preserve"> the Census subject definitions, “the householder refers to the person (or one of the people) in whose name the housing unit is owned or rented (maintained) or, if there is no such person, any adult member, excluding roomers, boarders, or paid employees. If the house is owned or rented jointly by a married couple, the householder may be either the husband or the wife. The person designated as the householder is the ‘reference person’ to whom the relationship of all other household members, if any, is recorded.”</w:t>
      </w:r>
    </w:p>
    <w:p w14:paraId="02C48002" w14:textId="24ABF9D8" w:rsidR="47C0E03C" w:rsidRDefault="00674E63" w:rsidP="003E7473">
      <w:pPr>
        <w:pStyle w:val="Heading1"/>
      </w:pPr>
      <w:bookmarkStart w:id="19" w:name="_Toc62593593"/>
      <w:bookmarkStart w:id="20" w:name="_Toc120703903"/>
      <w:r>
        <w:t>Introduction</w:t>
      </w:r>
      <w:bookmarkEnd w:id="19"/>
      <w:bookmarkEnd w:id="20"/>
    </w:p>
    <w:p w14:paraId="5676ABDA" w14:textId="7DCFB51C" w:rsidR="00674E63" w:rsidRDefault="25183769" w:rsidP="00894D0B">
      <w:pPr>
        <w:spacing w:after="0"/>
      </w:pPr>
      <w:r>
        <w:t>Housing plays a critical role in economic opportunity for individual workers and their families, affecting current and future workers, employers, communities, and regional markets. Benefits of appropriate, affordable housing and consequences when such housing is unavailable are most concrete at the individual and neighborhood level. However, as demand for housing increases and housing becomes more expensive to produce, its availability and affordability have distinct effects on businesses and markets. This overview illuminates some of the connections between housing, individual economic opportunity, workforce, and economic development that have been explored by researchers</w:t>
      </w:r>
      <w:r w:rsidR="0AEAFA4F">
        <w:t xml:space="preserve">. </w:t>
      </w:r>
    </w:p>
    <w:p w14:paraId="7D89F5A5" w14:textId="0CEF0F67" w:rsidR="00674E63" w:rsidRDefault="25183769" w:rsidP="47C0E03C">
      <w:pPr>
        <w:spacing w:after="0"/>
      </w:pPr>
      <w:r>
        <w:t xml:space="preserve"> </w:t>
      </w:r>
    </w:p>
    <w:p w14:paraId="3ACC50E9" w14:textId="1BB99650" w:rsidR="00674E63" w:rsidRDefault="25183769" w:rsidP="47C0E03C">
      <w:pPr>
        <w:spacing w:after="0"/>
      </w:pPr>
      <w:r>
        <w:lastRenderedPageBreak/>
        <w:t xml:space="preserve">Individuals and families </w:t>
      </w:r>
      <w:r w:rsidR="003B0C90">
        <w:t xml:space="preserve">choose </w:t>
      </w:r>
      <w:r w:rsidR="00F758DA">
        <w:t>where to live</w:t>
      </w:r>
      <w:r>
        <w:t xml:space="preserve"> </w:t>
      </w:r>
      <w:r w:rsidR="003B0C90">
        <w:t>based</w:t>
      </w:r>
      <w:r w:rsidR="018C3885">
        <w:t xml:space="preserve"> on</w:t>
      </w:r>
      <w:r>
        <w:t xml:space="preserve"> a host of related features, resources, amenities, and opportunities. For instance, they choose access to specific schools, proximity to grocers and other shopping, proximity to family and other important social networks, and opportunities for recreation and exercise. Households choose the best housing they can afford and gravitate toward markets that offer better housing “packages” at the best prices. Housing costs are among the top five factors affecting where households choose to live and work. To provide a high quality of life for all households, jurisdictions must encourage developers and builders to produce housing that is appropriate and affordable for households at every income level. </w:t>
      </w:r>
    </w:p>
    <w:p w14:paraId="030F42C0" w14:textId="72BDA582" w:rsidR="00674E63" w:rsidRDefault="25183769" w:rsidP="47C0E03C">
      <w:pPr>
        <w:spacing w:after="0"/>
      </w:pPr>
      <w:r>
        <w:t xml:space="preserve"> </w:t>
      </w:r>
    </w:p>
    <w:p w14:paraId="3C0EB111" w14:textId="20043D0E" w:rsidR="00674E63" w:rsidRDefault="25183769" w:rsidP="47C0E03C">
      <w:pPr>
        <w:spacing w:after="0"/>
      </w:pPr>
      <w:r>
        <w:t xml:space="preserve">According to data from the U.S. Census Bureau and Brookings, 56 major metropolitan areas (populations greater than 1 million) reported population declines between July 2020 and July 2021. </w:t>
      </w:r>
      <w:r w:rsidR="35828A08">
        <w:t xml:space="preserve">At the same time, smaller metro areas experienced higher population growth than in the previous </w:t>
      </w:r>
      <w:r w:rsidR="0051198F">
        <w:t xml:space="preserve">2 </w:t>
      </w:r>
      <w:r w:rsidR="35828A08">
        <w:t>years, and non-metro areas reported the greatest annual population gain in over a decade (Frey, 2022).</w:t>
      </w:r>
      <w:r w:rsidR="628449D3">
        <w:t xml:space="preserve"> </w:t>
      </w:r>
      <w:r>
        <w:t xml:space="preserve">This population migration has been accompanied by changes in housing preferences. </w:t>
      </w:r>
      <w:r w:rsidR="0051198F">
        <w:t>Concurrently</w:t>
      </w:r>
      <w:r>
        <w:t xml:space="preserve">, more Millennial homebuyers have entered the market. Both trends may </w:t>
      </w:r>
      <w:r w:rsidR="0051198F">
        <w:t xml:space="preserve">provide </w:t>
      </w:r>
      <w:r>
        <w:t xml:space="preserve">rural and small communities </w:t>
      </w:r>
      <w:r w:rsidR="0051198F">
        <w:t xml:space="preserve">with </w:t>
      </w:r>
      <w:r>
        <w:t>a competitive advantage</w:t>
      </w:r>
      <w:r w:rsidR="48078A23">
        <w:t xml:space="preserve">. </w:t>
      </w:r>
    </w:p>
    <w:p w14:paraId="4513919E" w14:textId="76D148EF" w:rsidR="00674E63" w:rsidRDefault="25183769" w:rsidP="47C0E03C">
      <w:pPr>
        <w:spacing w:after="0"/>
      </w:pPr>
      <w:r>
        <w:t xml:space="preserve"> </w:t>
      </w:r>
    </w:p>
    <w:p w14:paraId="114BCF03" w14:textId="0AA64790" w:rsidR="00674E63" w:rsidRDefault="25183769" w:rsidP="47C0E03C">
      <w:pPr>
        <w:spacing w:after="0"/>
      </w:pPr>
      <w:r>
        <w:t xml:space="preserve">Even before the COVID-19 pandemic, </w:t>
      </w:r>
      <w:r w:rsidR="00FA3BE5">
        <w:t xml:space="preserve">the </w:t>
      </w:r>
      <w:r>
        <w:t xml:space="preserve">data </w:t>
      </w:r>
      <w:r w:rsidR="00FA3BE5">
        <w:t>implied</w:t>
      </w:r>
      <w:r>
        <w:t xml:space="preserve"> an increased preference for detached home options. </w:t>
      </w:r>
      <w:r w:rsidR="00D05303">
        <w:t xml:space="preserve">Furthermore, the </w:t>
      </w:r>
      <w:r>
        <w:t xml:space="preserve">pandemic appears to have accelerated this trend. </w:t>
      </w:r>
      <w:r w:rsidR="00FE4366">
        <w:t xml:space="preserve">This preference has risen from 55 percent to 59 percent and from 55 percent to 61 percent among </w:t>
      </w:r>
      <w:r>
        <w:t>Millennials (aged 26</w:t>
      </w:r>
      <w:r w:rsidR="00FA3BE5">
        <w:t>–</w:t>
      </w:r>
      <w:r>
        <w:t>42)</w:t>
      </w:r>
      <w:r w:rsidR="00FE4366">
        <w:t xml:space="preserve"> and</w:t>
      </w:r>
      <w:r>
        <w:t xml:space="preserve"> Gen X</w:t>
      </w:r>
      <w:r w:rsidR="00FA3BE5">
        <w:t>,</w:t>
      </w:r>
      <w:r>
        <w:t xml:space="preserve"> </w:t>
      </w:r>
      <w:r w:rsidR="00FE4366">
        <w:t>respectively</w:t>
      </w:r>
      <w:r>
        <w:t xml:space="preserve"> (Broberg, 2020). Similarly, data from Pew Research Center point to increased desirability for homes that are larger and farther apart</w:t>
      </w:r>
      <w:r w:rsidR="00FE4366">
        <w:t xml:space="preserve"> (60</w:t>
      </w:r>
      <w:r w:rsidR="00392DCA">
        <w:t xml:space="preserve"> percent</w:t>
      </w:r>
      <w:r w:rsidR="00FE4366">
        <w:t xml:space="preserve"> of those surveyed)</w:t>
      </w:r>
      <w:r>
        <w:t xml:space="preserve">, even if schools, stores, and restaurants are several miles away (Gomez, 2021). </w:t>
      </w:r>
      <w:r w:rsidR="007D73CC">
        <w:t>T</w:t>
      </w:r>
      <w:r>
        <w:t>he CoreLogic Single-Family Rent Index (SFRI) by property type suggest</w:t>
      </w:r>
      <w:r w:rsidR="007D73CC">
        <w:t>s</w:t>
      </w:r>
      <w:r>
        <w:t xml:space="preserve"> a shift in demand during the pandemic </w:t>
      </w:r>
      <w:r w:rsidR="00FE4366">
        <w:t xml:space="preserve">to </w:t>
      </w:r>
      <w:r>
        <w:t>more interior and exterior residential space and to communities with lower population density</w:t>
      </w:r>
      <w:r w:rsidR="005B7ED0">
        <w:t>. This has</w:t>
      </w:r>
      <w:r>
        <w:t xml:space="preserve"> </w:t>
      </w:r>
      <w:r w:rsidR="005B7ED0">
        <w:t>led</w:t>
      </w:r>
      <w:r w:rsidR="007D73CC">
        <w:t xml:space="preserve"> </w:t>
      </w:r>
      <w:r>
        <w:t>to higher rent increases for detached houses</w:t>
      </w:r>
      <w:r w:rsidR="00570C3A">
        <w:rPr>
          <w:rFonts w:cstheme="minorHAnsi"/>
        </w:rPr>
        <w:t>—</w:t>
      </w:r>
      <w:r>
        <w:t xml:space="preserve">more than 5 </w:t>
      </w:r>
      <w:r w:rsidR="00316FCB">
        <w:t>percent</w:t>
      </w:r>
      <w:r>
        <w:t xml:space="preserve"> higher than for attached properties (Boesel, Chen, &amp; Nothaft, 2021).</w:t>
      </w:r>
    </w:p>
    <w:p w14:paraId="6151C47B" w14:textId="72415A71" w:rsidR="00674E63" w:rsidRDefault="25183769" w:rsidP="47C0E03C">
      <w:pPr>
        <w:spacing w:after="0"/>
      </w:pPr>
      <w:r>
        <w:t xml:space="preserve"> </w:t>
      </w:r>
    </w:p>
    <w:p w14:paraId="0B575A05" w14:textId="7FD3F848" w:rsidR="00674E63" w:rsidRDefault="25183769" w:rsidP="47C0E03C">
      <w:pPr>
        <w:spacing w:after="0"/>
      </w:pPr>
      <w:r>
        <w:t xml:space="preserve">Despite the trend </w:t>
      </w:r>
      <w:r w:rsidR="00570C3A">
        <w:t xml:space="preserve">toward </w:t>
      </w:r>
      <w:proofErr w:type="gramStart"/>
      <w:r>
        <w:t>lower</w:t>
      </w:r>
      <w:r w:rsidR="00570C3A">
        <w:t>-</w:t>
      </w:r>
      <w:r>
        <w:t>density</w:t>
      </w:r>
      <w:proofErr w:type="gramEnd"/>
      <w:r>
        <w:t xml:space="preserve"> living, younger generations </w:t>
      </w:r>
      <w:r w:rsidR="007E23F7">
        <w:t>(</w:t>
      </w:r>
      <w:r>
        <w:t>especially Millennials</w:t>
      </w:r>
      <w:r w:rsidR="007E23F7">
        <w:t>)</w:t>
      </w:r>
      <w:r>
        <w:t xml:space="preserve"> show a preference for suburban living that allows for both personal space and easy access to walkable downtowns with central city amenities. Home amenities </w:t>
      </w:r>
      <w:r w:rsidR="00C3217F">
        <w:t xml:space="preserve">desired include </w:t>
      </w:r>
      <w:r>
        <w:t xml:space="preserve">more </w:t>
      </w:r>
      <w:r w:rsidR="00C3217F">
        <w:t xml:space="preserve">interior and exterior </w:t>
      </w:r>
      <w:r>
        <w:t xml:space="preserve">space </w:t>
      </w:r>
      <w:r w:rsidR="00C3217F">
        <w:t>as well as</w:t>
      </w:r>
      <w:r>
        <w:t xml:space="preserve"> “specialty spaces</w:t>
      </w:r>
      <w:r w:rsidR="00C3217F">
        <w:t>,</w:t>
      </w:r>
      <w:r>
        <w:t xml:space="preserve">” </w:t>
      </w:r>
      <w:r w:rsidR="00C3217F">
        <w:t xml:space="preserve">such as a </w:t>
      </w:r>
      <w:r>
        <w:t xml:space="preserve">home office or private workspace; however, there was an expressed preference for affordability even if it requires accepting a smaller house or lot (Coomer, 2019; Broberg, 2020). Randolph County’s small towns, lower cost of living, and vibrant downtown amenities in Elkins may </w:t>
      </w:r>
      <w:r w:rsidR="00AF0D88">
        <w:t xml:space="preserve">setup </w:t>
      </w:r>
      <w:r>
        <w:t xml:space="preserve">the community </w:t>
      </w:r>
      <w:r w:rsidR="00AF0D88">
        <w:t>for</w:t>
      </w:r>
      <w:r>
        <w:t xml:space="preserve"> </w:t>
      </w:r>
      <w:r w:rsidR="00AF0D88">
        <w:t xml:space="preserve">capitalizing </w:t>
      </w:r>
      <w:r>
        <w:t>on current demand trends.</w:t>
      </w:r>
    </w:p>
    <w:p w14:paraId="675B5F32" w14:textId="77777777" w:rsidR="009B01BD" w:rsidRDefault="009B01BD" w:rsidP="00310385">
      <w:pPr>
        <w:spacing w:after="0"/>
      </w:pPr>
    </w:p>
    <w:p w14:paraId="73EE60B2" w14:textId="77777777" w:rsidR="009B01BD" w:rsidRDefault="009B01BD" w:rsidP="00310385">
      <w:pPr>
        <w:spacing w:after="0"/>
      </w:pPr>
    </w:p>
    <w:p w14:paraId="44271CA8" w14:textId="77777777" w:rsidR="009E1115" w:rsidRDefault="009E1115">
      <w:pPr>
        <w:rPr>
          <w:rFonts w:asciiTheme="majorHAnsi" w:eastAsiaTheme="majorEastAsia" w:hAnsiTheme="majorHAnsi" w:cstheme="majorBidi"/>
          <w:color w:val="2F5496" w:themeColor="accent1" w:themeShade="BF"/>
          <w:sz w:val="28"/>
          <w:szCs w:val="32"/>
          <w:lang w:eastAsia="en-US"/>
        </w:rPr>
      </w:pPr>
      <w:bookmarkStart w:id="21" w:name="_Toc62593595"/>
      <w:r>
        <w:br w:type="page"/>
      </w:r>
    </w:p>
    <w:p w14:paraId="24227A57" w14:textId="49CA2C82" w:rsidR="009B01BD" w:rsidRDefault="009B01BD" w:rsidP="009B01BD">
      <w:pPr>
        <w:pStyle w:val="Heading1"/>
      </w:pPr>
      <w:bookmarkStart w:id="22" w:name="_Toc120703904"/>
      <w:r>
        <w:lastRenderedPageBreak/>
        <w:t>Household Characteristics</w:t>
      </w:r>
      <w:bookmarkEnd w:id="21"/>
      <w:bookmarkEnd w:id="22"/>
    </w:p>
    <w:p w14:paraId="6AB10F3D" w14:textId="262FD4E6" w:rsidR="009B01BD" w:rsidRDefault="00AF0D88" w:rsidP="00277BDA">
      <w:pPr>
        <w:rPr>
          <w:highlight w:val="yellow"/>
        </w:rPr>
      </w:pPr>
      <w:r>
        <w:t xml:space="preserve">In total, </w:t>
      </w:r>
      <w:r w:rsidR="0002237F">
        <w:t>28,930</w:t>
      </w:r>
      <w:r w:rsidR="009B01BD">
        <w:t xml:space="preserve"> people comprise </w:t>
      </w:r>
      <w:r w:rsidR="0002237F">
        <w:t>11,135</w:t>
      </w:r>
      <w:r w:rsidR="009B01BD">
        <w:t xml:space="preserve"> households in </w:t>
      </w:r>
      <w:r w:rsidR="000E6E27">
        <w:t>Randolph</w:t>
      </w:r>
      <w:r w:rsidR="009B01BD">
        <w:t xml:space="preserve"> County. </w:t>
      </w:r>
      <w:r w:rsidR="00004FB2">
        <w:t>Most households (</w:t>
      </w:r>
      <w:r w:rsidR="009E6F85">
        <w:t>67 percent</w:t>
      </w:r>
      <w:r w:rsidR="00004FB2">
        <w:t>) live in unincorporated parts of the County.</w:t>
      </w:r>
      <w:r w:rsidR="00AC5145">
        <w:t xml:space="preserve"> One quarter of households </w:t>
      </w:r>
      <w:r w:rsidR="6403134D">
        <w:t>live in</w:t>
      </w:r>
      <w:r w:rsidR="005E53E4">
        <w:t xml:space="preserve"> the City of Elkins</w:t>
      </w:r>
      <w:r w:rsidR="002432CD">
        <w:t>,</w:t>
      </w:r>
      <w:r w:rsidR="005E53E4">
        <w:t xml:space="preserve"> and more than 50</w:t>
      </w:r>
      <w:r w:rsidR="0069104F">
        <w:t xml:space="preserve"> percent </w:t>
      </w:r>
      <w:r w:rsidR="00A7535C">
        <w:t xml:space="preserve">live in or near the </w:t>
      </w:r>
      <w:r w:rsidR="000122C8">
        <w:t xml:space="preserve">City </w:t>
      </w:r>
      <w:r w:rsidR="00A7535C">
        <w:t>of Elkins in the 26241</w:t>
      </w:r>
      <w:r w:rsidR="002476CF">
        <w:t xml:space="preserve"> </w:t>
      </w:r>
      <w:r w:rsidR="0008224A">
        <w:t>ZIP</w:t>
      </w:r>
      <w:r w:rsidR="002432CD">
        <w:t xml:space="preserve"> </w:t>
      </w:r>
      <w:r w:rsidR="002476CF">
        <w:t>code</w:t>
      </w:r>
      <w:r w:rsidR="002432CD">
        <w:t>,</w:t>
      </w:r>
      <w:r w:rsidR="002476CF">
        <w:t xml:space="preserve"> which encompasses many of the </w:t>
      </w:r>
      <w:r w:rsidR="000122C8">
        <w:t>City</w:t>
      </w:r>
      <w:r w:rsidR="009272D7">
        <w:t>-</w:t>
      </w:r>
      <w:r w:rsidR="002476CF">
        <w:t>adjacent housing development</w:t>
      </w:r>
      <w:r w:rsidR="009272D7">
        <w:t>s</w:t>
      </w:r>
      <w:r w:rsidR="002476CF">
        <w:t xml:space="preserve"> </w:t>
      </w:r>
      <w:r w:rsidR="000D145F">
        <w:t>or settlements.</w:t>
      </w:r>
      <w:r w:rsidR="002476CF">
        <w:t xml:space="preserve"> </w:t>
      </w:r>
      <w:r w:rsidR="00257DCF">
        <w:t xml:space="preserve">Beverly and Mill Creek are the largest towns in the </w:t>
      </w:r>
      <w:r w:rsidR="000122C8">
        <w:t>County</w:t>
      </w:r>
      <w:r w:rsidR="00236CCF">
        <w:t xml:space="preserve">. Harman, Huttonsville, </w:t>
      </w:r>
      <w:r w:rsidR="00575EDC">
        <w:t>Montrose</w:t>
      </w:r>
      <w:r w:rsidR="000122C8">
        <w:t>,</w:t>
      </w:r>
      <w:r w:rsidR="00575EDC">
        <w:t xml:space="preserve"> and Womelsdorf </w:t>
      </w:r>
      <w:r w:rsidR="001F7FC9">
        <w:t>(Coalton)</w:t>
      </w:r>
      <w:r w:rsidR="00575EDC">
        <w:t xml:space="preserve"> </w:t>
      </w:r>
      <w:r w:rsidR="00991CFE">
        <w:t xml:space="preserve">each include less than 1 percent of </w:t>
      </w:r>
      <w:r w:rsidR="00A4430D">
        <w:t xml:space="preserve">County </w:t>
      </w:r>
      <w:r w:rsidR="00991CFE">
        <w:t>households.</w:t>
      </w:r>
      <w:r w:rsidR="00E47A91">
        <w:t xml:space="preserve"> </w:t>
      </w:r>
      <w:r w:rsidR="1AB213AD">
        <w:t>The number</w:t>
      </w:r>
      <w:r w:rsidR="00E47A91">
        <w:t xml:space="preserve"> of households has fluctuated by 2</w:t>
      </w:r>
      <w:r w:rsidR="00A4430D">
        <w:t>–</w:t>
      </w:r>
      <w:r w:rsidR="00E47A91">
        <w:t>4</w:t>
      </w:r>
      <w:r w:rsidR="00155381">
        <w:t xml:space="preserve"> perce</w:t>
      </w:r>
      <w:r w:rsidR="00EB11F3">
        <w:t>nt</w:t>
      </w:r>
      <w:r w:rsidR="00E47A91">
        <w:t xml:space="preserve"> over 10 years (2010</w:t>
      </w:r>
      <w:r w:rsidR="00AA5C68">
        <w:t>–</w:t>
      </w:r>
      <w:r w:rsidR="00E47A91">
        <w:t>2019), with a net loss of 2</w:t>
      </w:r>
      <w:r w:rsidR="00155381">
        <w:t xml:space="preserve"> percent</w:t>
      </w:r>
      <w:r w:rsidR="00EB11F3">
        <w:t xml:space="preserve">. Focus group participants and </w:t>
      </w:r>
      <w:r w:rsidR="00F93889">
        <w:t xml:space="preserve">stakeholders </w:t>
      </w:r>
      <w:r w:rsidR="003A67A6">
        <w:t>have</w:t>
      </w:r>
      <w:r w:rsidR="00F93889">
        <w:t xml:space="preserve"> </w:t>
      </w:r>
      <w:r w:rsidR="00A91425">
        <w:t>observe</w:t>
      </w:r>
      <w:r w:rsidR="003A67A6">
        <w:t>d</w:t>
      </w:r>
      <w:r w:rsidR="00A91425">
        <w:t xml:space="preserve"> </w:t>
      </w:r>
      <w:r w:rsidR="00AD5C73">
        <w:t xml:space="preserve">growth in population </w:t>
      </w:r>
      <w:r w:rsidR="006C4911">
        <w:t>and households</w:t>
      </w:r>
      <w:r w:rsidR="00AD5C73">
        <w:t xml:space="preserve"> </w:t>
      </w:r>
      <w:r w:rsidR="00197A3D">
        <w:t>in the years since 2019</w:t>
      </w:r>
      <w:r w:rsidR="006C4911">
        <w:t xml:space="preserve"> </w:t>
      </w:r>
      <w:r w:rsidR="00277BDA">
        <w:t xml:space="preserve">as well as </w:t>
      </w:r>
      <w:r w:rsidR="006C4911">
        <w:t>associated demand in the housing market</w:t>
      </w:r>
      <w:r w:rsidR="61CD3F70">
        <w:t xml:space="preserve">. </w:t>
      </w:r>
      <w:r w:rsidR="004F14E8">
        <w:t xml:space="preserve">Although </w:t>
      </w:r>
      <w:r w:rsidR="006C4911">
        <w:t xml:space="preserve">these trends </w:t>
      </w:r>
      <w:r w:rsidR="002A7FD0">
        <w:t xml:space="preserve">cannot be observed or verified until </w:t>
      </w:r>
      <w:r w:rsidR="0008224A">
        <w:t xml:space="preserve">the </w:t>
      </w:r>
      <w:r w:rsidR="002A7FD0">
        <w:t>2021 ACS data is released</w:t>
      </w:r>
      <w:r w:rsidR="43DEF0AB">
        <w:t>, conversations with realtors, lenders, and other focus group participants indicated that desirable properties were selling in under 30 days</w:t>
      </w:r>
      <w:r w:rsidR="3ACFFDC7">
        <w:t>.</w:t>
      </w:r>
    </w:p>
    <w:p w14:paraId="653D2E81" w14:textId="39591105" w:rsidR="009B01BD" w:rsidRDefault="009B01BD" w:rsidP="009B01BD">
      <w:pPr>
        <w:spacing w:after="0"/>
        <w:rPr>
          <w:b/>
        </w:rPr>
      </w:pPr>
      <w:r w:rsidRPr="00DC784C">
        <w:rPr>
          <w:b/>
        </w:rPr>
        <w:t xml:space="preserve">Table </w:t>
      </w:r>
      <w:r w:rsidR="00D34513">
        <w:rPr>
          <w:b/>
        </w:rPr>
        <w:t>2</w:t>
      </w:r>
      <w:r w:rsidRPr="00DC784C">
        <w:rPr>
          <w:b/>
        </w:rPr>
        <w:t>. Population</w:t>
      </w:r>
      <w:r w:rsidRPr="00CE6E30">
        <w:rPr>
          <w:b/>
        </w:rPr>
        <w:t xml:space="preserve"> and</w:t>
      </w:r>
      <w:r>
        <w:t xml:space="preserve"> </w:t>
      </w:r>
      <w:r w:rsidRPr="0016256E">
        <w:rPr>
          <w:b/>
        </w:rPr>
        <w:t xml:space="preserve">Number of Households in </w:t>
      </w:r>
      <w:r w:rsidR="00E459BB">
        <w:rPr>
          <w:b/>
        </w:rPr>
        <w:t>Randolph</w:t>
      </w:r>
      <w:r>
        <w:rPr>
          <w:b/>
        </w:rPr>
        <w:t xml:space="preserve"> County by Jurisdiction</w:t>
      </w:r>
    </w:p>
    <w:p w14:paraId="7C75B8FD" w14:textId="6D591436" w:rsidR="00674E63" w:rsidRDefault="009B01BD" w:rsidP="00310385">
      <w:pPr>
        <w:spacing w:after="0"/>
      </w:pPr>
      <w:r>
        <w:t>Source: US Census Bureau, 201</w:t>
      </w:r>
      <w:r w:rsidR="00BD7DA7">
        <w:t>9</w:t>
      </w:r>
      <w:r>
        <w:t xml:space="preserve"> ACS 5-Year Estimates</w:t>
      </w:r>
    </w:p>
    <w:tbl>
      <w:tblPr>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8"/>
        <w:gridCol w:w="1447"/>
        <w:gridCol w:w="1074"/>
        <w:gridCol w:w="1069"/>
        <w:gridCol w:w="1452"/>
      </w:tblGrid>
      <w:tr w:rsidR="009E1115" w:rsidRPr="00AB0B30" w14:paraId="5796323F" w14:textId="77777777" w:rsidTr="009E6F85">
        <w:trPr>
          <w:trHeight w:val="328"/>
        </w:trPr>
        <w:tc>
          <w:tcPr>
            <w:tcW w:w="4308" w:type="dxa"/>
            <w:shd w:val="clear" w:color="auto" w:fill="auto"/>
            <w:noWrap/>
            <w:vAlign w:val="bottom"/>
            <w:hideMark/>
          </w:tcPr>
          <w:p w14:paraId="6B5D41BA" w14:textId="77777777" w:rsidR="009E1115" w:rsidRPr="00AB0B30" w:rsidRDefault="009E1115" w:rsidP="00C20538">
            <w:pPr>
              <w:spacing w:after="0" w:line="240" w:lineRule="auto"/>
              <w:rPr>
                <w:rFonts w:ascii="Times New Roman" w:eastAsia="Times New Roman" w:hAnsi="Times New Roman" w:cs="Times New Roman"/>
                <w:sz w:val="24"/>
                <w:szCs w:val="24"/>
              </w:rPr>
            </w:pPr>
          </w:p>
        </w:tc>
        <w:tc>
          <w:tcPr>
            <w:tcW w:w="2521" w:type="dxa"/>
            <w:gridSpan w:val="2"/>
            <w:shd w:val="clear" w:color="auto" w:fill="auto"/>
            <w:noWrap/>
            <w:vAlign w:val="bottom"/>
            <w:hideMark/>
          </w:tcPr>
          <w:p w14:paraId="73AF5FEC" w14:textId="77777777" w:rsidR="009E1115" w:rsidRPr="00AB0B30" w:rsidRDefault="009E1115" w:rsidP="00C20538">
            <w:pPr>
              <w:spacing w:after="0" w:line="240" w:lineRule="auto"/>
              <w:jc w:val="center"/>
              <w:rPr>
                <w:rFonts w:ascii="Calibri" w:eastAsia="Times New Roman" w:hAnsi="Calibri" w:cs="Calibri"/>
                <w:color w:val="000000"/>
              </w:rPr>
            </w:pPr>
            <w:r>
              <w:rPr>
                <w:rFonts w:ascii="Calibri" w:eastAsia="Times New Roman" w:hAnsi="Calibri" w:cs="Calibri"/>
                <w:color w:val="000000"/>
              </w:rPr>
              <w:t>P</w:t>
            </w:r>
            <w:r w:rsidRPr="00AB0B30">
              <w:rPr>
                <w:rFonts w:ascii="Calibri" w:eastAsia="Times New Roman" w:hAnsi="Calibri" w:cs="Calibri"/>
                <w:color w:val="000000"/>
              </w:rPr>
              <w:t>opulation</w:t>
            </w:r>
          </w:p>
        </w:tc>
        <w:tc>
          <w:tcPr>
            <w:tcW w:w="2521" w:type="dxa"/>
            <w:gridSpan w:val="2"/>
            <w:shd w:val="clear" w:color="auto" w:fill="auto"/>
            <w:noWrap/>
            <w:vAlign w:val="bottom"/>
            <w:hideMark/>
          </w:tcPr>
          <w:p w14:paraId="29FFDB8B" w14:textId="77777777" w:rsidR="009E1115" w:rsidRPr="00AB0B30" w:rsidRDefault="009E1115" w:rsidP="00C20538">
            <w:pPr>
              <w:spacing w:after="0" w:line="240" w:lineRule="auto"/>
              <w:jc w:val="center"/>
              <w:rPr>
                <w:rFonts w:ascii="Calibri" w:eastAsia="Times New Roman" w:hAnsi="Calibri" w:cs="Calibri"/>
                <w:color w:val="000000"/>
              </w:rPr>
            </w:pPr>
            <w:r w:rsidRPr="00AB0B30">
              <w:rPr>
                <w:rFonts w:ascii="Calibri" w:eastAsia="Times New Roman" w:hAnsi="Calibri" w:cs="Calibri"/>
                <w:color w:val="000000"/>
              </w:rPr>
              <w:t>Households</w:t>
            </w:r>
          </w:p>
        </w:tc>
      </w:tr>
      <w:tr w:rsidR="009E1115" w:rsidRPr="00AB0B30" w14:paraId="0903CECA" w14:textId="77777777" w:rsidTr="009E6F85">
        <w:trPr>
          <w:trHeight w:val="328"/>
        </w:trPr>
        <w:tc>
          <w:tcPr>
            <w:tcW w:w="4308" w:type="dxa"/>
            <w:shd w:val="clear" w:color="auto" w:fill="auto"/>
            <w:noWrap/>
            <w:vAlign w:val="bottom"/>
            <w:hideMark/>
          </w:tcPr>
          <w:p w14:paraId="3812710E" w14:textId="77777777" w:rsidR="009E1115" w:rsidRPr="00AB0B30" w:rsidRDefault="009E1115" w:rsidP="00C20538">
            <w:pPr>
              <w:spacing w:after="0" w:line="240" w:lineRule="auto"/>
              <w:jc w:val="center"/>
              <w:rPr>
                <w:rFonts w:ascii="Calibri" w:eastAsia="Times New Roman" w:hAnsi="Calibri" w:cs="Calibri"/>
                <w:color w:val="000000"/>
              </w:rPr>
            </w:pPr>
          </w:p>
        </w:tc>
        <w:tc>
          <w:tcPr>
            <w:tcW w:w="1447" w:type="dxa"/>
            <w:shd w:val="clear" w:color="auto" w:fill="auto"/>
            <w:noWrap/>
            <w:vAlign w:val="bottom"/>
            <w:hideMark/>
          </w:tcPr>
          <w:p w14:paraId="3687FB94" w14:textId="77777777" w:rsidR="009E1115" w:rsidRPr="00AB0B30" w:rsidRDefault="009E1115" w:rsidP="00C20538">
            <w:pPr>
              <w:spacing w:after="0" w:line="240" w:lineRule="auto"/>
              <w:rPr>
                <w:rFonts w:ascii="Calibri" w:eastAsia="Times New Roman" w:hAnsi="Calibri" w:cs="Calibri"/>
                <w:color w:val="000000"/>
              </w:rPr>
            </w:pPr>
            <w:r w:rsidRPr="00AB0B30">
              <w:rPr>
                <w:rFonts w:ascii="Calibri" w:eastAsia="Times New Roman" w:hAnsi="Calibri" w:cs="Calibri"/>
                <w:color w:val="000000"/>
              </w:rPr>
              <w:t>Estimate</w:t>
            </w:r>
          </w:p>
        </w:tc>
        <w:tc>
          <w:tcPr>
            <w:tcW w:w="1074" w:type="dxa"/>
            <w:shd w:val="clear" w:color="auto" w:fill="auto"/>
            <w:noWrap/>
            <w:vAlign w:val="bottom"/>
            <w:hideMark/>
          </w:tcPr>
          <w:p w14:paraId="19CB4046" w14:textId="1B24C989" w:rsidR="009E1115" w:rsidRPr="00AB0B30" w:rsidRDefault="0008224A" w:rsidP="00C20538">
            <w:pPr>
              <w:spacing w:after="0" w:line="240" w:lineRule="auto"/>
              <w:rPr>
                <w:rFonts w:ascii="Calibri" w:eastAsia="Times New Roman" w:hAnsi="Calibri" w:cs="Calibri"/>
                <w:color w:val="000000"/>
              </w:rPr>
            </w:pPr>
            <w:r>
              <w:rPr>
                <w:rFonts w:ascii="Calibri" w:eastAsia="Times New Roman" w:hAnsi="Calibri" w:cs="Calibri"/>
                <w:color w:val="000000"/>
              </w:rPr>
              <w:t>P</w:t>
            </w:r>
            <w:r w:rsidRPr="00AB0B30">
              <w:rPr>
                <w:rFonts w:ascii="Calibri" w:eastAsia="Times New Roman" w:hAnsi="Calibri" w:cs="Calibri"/>
                <w:color w:val="000000"/>
              </w:rPr>
              <w:t>ercent</w:t>
            </w:r>
          </w:p>
        </w:tc>
        <w:tc>
          <w:tcPr>
            <w:tcW w:w="1069" w:type="dxa"/>
            <w:shd w:val="clear" w:color="auto" w:fill="auto"/>
            <w:noWrap/>
            <w:vAlign w:val="bottom"/>
            <w:hideMark/>
          </w:tcPr>
          <w:p w14:paraId="256D794D" w14:textId="77777777" w:rsidR="009E1115" w:rsidRPr="00AB0B30" w:rsidRDefault="009E1115" w:rsidP="00C20538">
            <w:pPr>
              <w:spacing w:after="0" w:line="240" w:lineRule="auto"/>
              <w:rPr>
                <w:rFonts w:ascii="Calibri" w:eastAsia="Times New Roman" w:hAnsi="Calibri" w:cs="Calibri"/>
                <w:color w:val="000000"/>
              </w:rPr>
            </w:pPr>
            <w:r w:rsidRPr="00AB0B30">
              <w:rPr>
                <w:rFonts w:ascii="Calibri" w:eastAsia="Times New Roman" w:hAnsi="Calibri" w:cs="Calibri"/>
                <w:color w:val="000000"/>
              </w:rPr>
              <w:t>Estimate</w:t>
            </w:r>
          </w:p>
        </w:tc>
        <w:tc>
          <w:tcPr>
            <w:tcW w:w="1452" w:type="dxa"/>
            <w:shd w:val="clear" w:color="auto" w:fill="auto"/>
            <w:noWrap/>
            <w:vAlign w:val="bottom"/>
            <w:hideMark/>
          </w:tcPr>
          <w:p w14:paraId="73D33777" w14:textId="6D545E84" w:rsidR="009E1115" w:rsidRPr="00AB0B30" w:rsidRDefault="0008224A" w:rsidP="00C20538">
            <w:pPr>
              <w:spacing w:after="0" w:line="240" w:lineRule="auto"/>
              <w:rPr>
                <w:rFonts w:ascii="Calibri" w:eastAsia="Times New Roman" w:hAnsi="Calibri" w:cs="Calibri"/>
                <w:color w:val="000000"/>
              </w:rPr>
            </w:pPr>
            <w:r>
              <w:rPr>
                <w:rFonts w:ascii="Calibri" w:eastAsia="Times New Roman" w:hAnsi="Calibri" w:cs="Calibri"/>
                <w:color w:val="000000"/>
              </w:rPr>
              <w:t>P</w:t>
            </w:r>
            <w:r w:rsidRPr="00AB0B30">
              <w:rPr>
                <w:rFonts w:ascii="Calibri" w:eastAsia="Times New Roman" w:hAnsi="Calibri" w:cs="Calibri"/>
                <w:color w:val="000000"/>
              </w:rPr>
              <w:t>ercent</w:t>
            </w:r>
          </w:p>
        </w:tc>
      </w:tr>
      <w:tr w:rsidR="009E1115" w:rsidRPr="00AB0B30" w14:paraId="071BBC7D" w14:textId="77777777" w:rsidTr="009E6F85">
        <w:trPr>
          <w:trHeight w:val="328"/>
        </w:trPr>
        <w:tc>
          <w:tcPr>
            <w:tcW w:w="4308" w:type="dxa"/>
            <w:shd w:val="clear" w:color="auto" w:fill="auto"/>
            <w:noWrap/>
            <w:vAlign w:val="bottom"/>
            <w:hideMark/>
          </w:tcPr>
          <w:p w14:paraId="7220C6EA" w14:textId="58BACE4F" w:rsidR="009E1115" w:rsidRPr="00AB0B30" w:rsidRDefault="009E1115" w:rsidP="00C20538">
            <w:pPr>
              <w:spacing w:after="0" w:line="240" w:lineRule="auto"/>
              <w:rPr>
                <w:rFonts w:ascii="Calibri" w:eastAsia="Times New Roman" w:hAnsi="Calibri" w:cs="Calibri"/>
                <w:color w:val="000000"/>
              </w:rPr>
            </w:pPr>
            <w:r w:rsidRPr="00AB0B30">
              <w:rPr>
                <w:rFonts w:ascii="Calibri" w:eastAsia="Times New Roman" w:hAnsi="Calibri" w:cs="Calibri"/>
                <w:color w:val="000000"/>
              </w:rPr>
              <w:t xml:space="preserve">Randolph </w:t>
            </w:r>
            <w:r w:rsidR="0008224A">
              <w:rPr>
                <w:rFonts w:ascii="Calibri" w:eastAsia="Times New Roman" w:hAnsi="Calibri" w:cs="Calibri"/>
                <w:color w:val="000000"/>
              </w:rPr>
              <w:t>C</w:t>
            </w:r>
            <w:r w:rsidR="0008224A" w:rsidRPr="00AB0B30">
              <w:rPr>
                <w:rFonts w:ascii="Calibri" w:eastAsia="Times New Roman" w:hAnsi="Calibri" w:cs="Calibri"/>
                <w:color w:val="000000"/>
              </w:rPr>
              <w:t>ounty</w:t>
            </w:r>
          </w:p>
        </w:tc>
        <w:tc>
          <w:tcPr>
            <w:tcW w:w="1447" w:type="dxa"/>
            <w:shd w:val="clear" w:color="auto" w:fill="auto"/>
            <w:noWrap/>
            <w:vAlign w:val="bottom"/>
            <w:hideMark/>
          </w:tcPr>
          <w:p w14:paraId="6E7BED4D"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28,930</w:t>
            </w:r>
          </w:p>
        </w:tc>
        <w:tc>
          <w:tcPr>
            <w:tcW w:w="1074" w:type="dxa"/>
            <w:shd w:val="clear" w:color="auto" w:fill="auto"/>
            <w:noWrap/>
            <w:vAlign w:val="bottom"/>
            <w:hideMark/>
          </w:tcPr>
          <w:p w14:paraId="234B8B33"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100%</w:t>
            </w:r>
          </w:p>
        </w:tc>
        <w:tc>
          <w:tcPr>
            <w:tcW w:w="1069" w:type="dxa"/>
            <w:shd w:val="clear" w:color="auto" w:fill="auto"/>
            <w:noWrap/>
            <w:vAlign w:val="bottom"/>
            <w:hideMark/>
          </w:tcPr>
          <w:p w14:paraId="2427F07B"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11,135</w:t>
            </w:r>
          </w:p>
        </w:tc>
        <w:tc>
          <w:tcPr>
            <w:tcW w:w="1452" w:type="dxa"/>
            <w:shd w:val="clear" w:color="auto" w:fill="auto"/>
            <w:noWrap/>
            <w:vAlign w:val="bottom"/>
            <w:hideMark/>
          </w:tcPr>
          <w:p w14:paraId="2B416711"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100%</w:t>
            </w:r>
          </w:p>
        </w:tc>
      </w:tr>
      <w:tr w:rsidR="00274DE0" w:rsidRPr="00AB0B30" w14:paraId="6FC34BA6" w14:textId="77777777" w:rsidTr="009E6F85">
        <w:trPr>
          <w:trHeight w:val="328"/>
        </w:trPr>
        <w:tc>
          <w:tcPr>
            <w:tcW w:w="4308" w:type="dxa"/>
            <w:shd w:val="clear" w:color="auto" w:fill="auto"/>
            <w:noWrap/>
            <w:vAlign w:val="bottom"/>
          </w:tcPr>
          <w:p w14:paraId="018DE4CA" w14:textId="11899D52" w:rsidR="00274DE0" w:rsidRPr="00AB0B30" w:rsidRDefault="00274DE0" w:rsidP="00C20538">
            <w:pPr>
              <w:spacing w:after="0" w:line="240" w:lineRule="auto"/>
              <w:rPr>
                <w:rFonts w:ascii="Calibri" w:eastAsia="Times New Roman" w:hAnsi="Calibri" w:cs="Calibri"/>
                <w:color w:val="000000"/>
              </w:rPr>
            </w:pPr>
            <w:r>
              <w:rPr>
                <w:rFonts w:ascii="Calibri" w:eastAsia="Times New Roman" w:hAnsi="Calibri" w:cs="Calibri"/>
                <w:color w:val="000000"/>
              </w:rPr>
              <w:t xml:space="preserve">    </w:t>
            </w:r>
            <w:r w:rsidR="003D11A5">
              <w:rPr>
                <w:rFonts w:ascii="Calibri" w:eastAsia="Times New Roman" w:hAnsi="Calibri" w:cs="Calibri"/>
                <w:color w:val="000000"/>
              </w:rPr>
              <w:t xml:space="preserve"> </w:t>
            </w:r>
            <w:r>
              <w:rPr>
                <w:rFonts w:ascii="Calibri" w:eastAsia="Times New Roman" w:hAnsi="Calibri" w:cs="Calibri"/>
                <w:color w:val="000000"/>
              </w:rPr>
              <w:t xml:space="preserve">ZIP Code 26241 (including </w:t>
            </w:r>
            <w:r w:rsidRPr="00AB0B30">
              <w:rPr>
                <w:rFonts w:ascii="Calibri" w:eastAsia="Times New Roman" w:hAnsi="Calibri" w:cs="Calibri"/>
                <w:color w:val="000000"/>
              </w:rPr>
              <w:t xml:space="preserve">Elkins </w:t>
            </w:r>
            <w:r w:rsidR="0008224A">
              <w:rPr>
                <w:rFonts w:ascii="Calibri" w:eastAsia="Times New Roman" w:hAnsi="Calibri" w:cs="Calibri"/>
                <w:color w:val="000000"/>
              </w:rPr>
              <w:t>C</w:t>
            </w:r>
            <w:r w:rsidR="0008224A" w:rsidRPr="00AB0B30">
              <w:rPr>
                <w:rFonts w:ascii="Calibri" w:eastAsia="Times New Roman" w:hAnsi="Calibri" w:cs="Calibri"/>
                <w:color w:val="000000"/>
              </w:rPr>
              <w:t>ity</w:t>
            </w:r>
            <w:r>
              <w:rPr>
                <w:rFonts w:ascii="Calibri" w:eastAsia="Times New Roman" w:hAnsi="Calibri" w:cs="Calibri"/>
                <w:color w:val="000000"/>
              </w:rPr>
              <w:t>)</w:t>
            </w:r>
          </w:p>
        </w:tc>
        <w:tc>
          <w:tcPr>
            <w:tcW w:w="1447" w:type="dxa"/>
            <w:shd w:val="clear" w:color="auto" w:fill="auto"/>
            <w:noWrap/>
            <w:vAlign w:val="bottom"/>
          </w:tcPr>
          <w:p w14:paraId="3B8ECBE3" w14:textId="281B3229" w:rsidR="00274DE0" w:rsidRPr="00AB0B30" w:rsidRDefault="00D40948"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13,702</w:t>
            </w:r>
          </w:p>
        </w:tc>
        <w:tc>
          <w:tcPr>
            <w:tcW w:w="1074" w:type="dxa"/>
            <w:shd w:val="clear" w:color="auto" w:fill="auto"/>
            <w:noWrap/>
            <w:vAlign w:val="bottom"/>
          </w:tcPr>
          <w:p w14:paraId="70308746" w14:textId="748DAAF1" w:rsidR="00274DE0" w:rsidRPr="00AB0B30" w:rsidRDefault="0002237F"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47%</w:t>
            </w:r>
          </w:p>
        </w:tc>
        <w:tc>
          <w:tcPr>
            <w:tcW w:w="1069" w:type="dxa"/>
            <w:shd w:val="clear" w:color="auto" w:fill="auto"/>
            <w:noWrap/>
            <w:vAlign w:val="bottom"/>
          </w:tcPr>
          <w:p w14:paraId="10C27C7F" w14:textId="7111F50C" w:rsidR="00274DE0" w:rsidRPr="00AB0B30" w:rsidRDefault="003D11A5"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5,627</w:t>
            </w:r>
          </w:p>
        </w:tc>
        <w:tc>
          <w:tcPr>
            <w:tcW w:w="1452" w:type="dxa"/>
            <w:shd w:val="clear" w:color="auto" w:fill="auto"/>
            <w:noWrap/>
            <w:vAlign w:val="bottom"/>
          </w:tcPr>
          <w:p w14:paraId="102ED58D" w14:textId="1253C258" w:rsidR="00274DE0" w:rsidRPr="00AB0B30" w:rsidRDefault="0002237F"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51%</w:t>
            </w:r>
          </w:p>
        </w:tc>
      </w:tr>
      <w:tr w:rsidR="009E1115" w:rsidRPr="00AB0B30" w14:paraId="5EC8DB18" w14:textId="77777777" w:rsidTr="009E6F85">
        <w:trPr>
          <w:trHeight w:val="328"/>
        </w:trPr>
        <w:tc>
          <w:tcPr>
            <w:tcW w:w="4308" w:type="dxa"/>
            <w:shd w:val="clear" w:color="auto" w:fill="auto"/>
            <w:noWrap/>
            <w:vAlign w:val="bottom"/>
            <w:hideMark/>
          </w:tcPr>
          <w:p w14:paraId="4E1ABB8F" w14:textId="6765067D" w:rsidR="009E1115" w:rsidRPr="00AB0B30" w:rsidRDefault="00274DE0" w:rsidP="00274DE0">
            <w:pPr>
              <w:spacing w:after="0" w:line="240" w:lineRule="auto"/>
              <w:ind w:left="720"/>
              <w:rPr>
                <w:rFonts w:ascii="Calibri" w:eastAsia="Times New Roman" w:hAnsi="Calibri" w:cs="Calibri"/>
                <w:color w:val="000000"/>
              </w:rPr>
            </w:pPr>
            <w:r w:rsidRPr="00AB0B30">
              <w:rPr>
                <w:rFonts w:ascii="Calibri" w:eastAsia="Times New Roman" w:hAnsi="Calibri" w:cs="Calibri"/>
                <w:color w:val="000000"/>
              </w:rPr>
              <w:t xml:space="preserve">Elkins </w:t>
            </w:r>
            <w:r w:rsidR="0008224A">
              <w:rPr>
                <w:rFonts w:ascii="Calibri" w:eastAsia="Times New Roman" w:hAnsi="Calibri" w:cs="Calibri"/>
                <w:color w:val="000000"/>
              </w:rPr>
              <w:t>C</w:t>
            </w:r>
            <w:r w:rsidR="0008224A" w:rsidRPr="00AB0B30">
              <w:rPr>
                <w:rFonts w:ascii="Calibri" w:eastAsia="Times New Roman" w:hAnsi="Calibri" w:cs="Calibri"/>
                <w:color w:val="000000"/>
              </w:rPr>
              <w:t>ity</w:t>
            </w:r>
            <w:r>
              <w:rPr>
                <w:rFonts w:ascii="Calibri" w:eastAsia="Times New Roman" w:hAnsi="Calibri" w:cs="Calibri"/>
                <w:color w:val="000000"/>
              </w:rPr>
              <w:t>, West Virginia</w:t>
            </w:r>
          </w:p>
        </w:tc>
        <w:tc>
          <w:tcPr>
            <w:tcW w:w="1447" w:type="dxa"/>
            <w:shd w:val="clear" w:color="auto" w:fill="auto"/>
            <w:noWrap/>
            <w:vAlign w:val="bottom"/>
            <w:hideMark/>
          </w:tcPr>
          <w:p w14:paraId="729A46F8"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7,072</w:t>
            </w:r>
          </w:p>
        </w:tc>
        <w:tc>
          <w:tcPr>
            <w:tcW w:w="1074" w:type="dxa"/>
            <w:shd w:val="clear" w:color="auto" w:fill="auto"/>
            <w:noWrap/>
            <w:vAlign w:val="bottom"/>
            <w:hideMark/>
          </w:tcPr>
          <w:p w14:paraId="23A1991F"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24%</w:t>
            </w:r>
          </w:p>
        </w:tc>
        <w:tc>
          <w:tcPr>
            <w:tcW w:w="1069" w:type="dxa"/>
            <w:shd w:val="clear" w:color="auto" w:fill="auto"/>
            <w:noWrap/>
            <w:vAlign w:val="bottom"/>
            <w:hideMark/>
          </w:tcPr>
          <w:p w14:paraId="097C0C03"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2,744</w:t>
            </w:r>
          </w:p>
        </w:tc>
        <w:tc>
          <w:tcPr>
            <w:tcW w:w="1452" w:type="dxa"/>
            <w:shd w:val="clear" w:color="auto" w:fill="auto"/>
            <w:noWrap/>
            <w:vAlign w:val="bottom"/>
            <w:hideMark/>
          </w:tcPr>
          <w:p w14:paraId="76E58915"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25%</w:t>
            </w:r>
          </w:p>
        </w:tc>
      </w:tr>
      <w:tr w:rsidR="009E1115" w:rsidRPr="00AB0B30" w14:paraId="2891F348" w14:textId="77777777" w:rsidTr="009E6F85">
        <w:trPr>
          <w:trHeight w:val="328"/>
        </w:trPr>
        <w:tc>
          <w:tcPr>
            <w:tcW w:w="4308" w:type="dxa"/>
            <w:shd w:val="clear" w:color="auto" w:fill="auto"/>
            <w:noWrap/>
            <w:vAlign w:val="bottom"/>
            <w:hideMark/>
          </w:tcPr>
          <w:p w14:paraId="5A8A1A48" w14:textId="29B6CFFD" w:rsidR="009E1115" w:rsidRPr="00AB0B30" w:rsidRDefault="009E1115" w:rsidP="00C47E16">
            <w:pPr>
              <w:spacing w:after="0" w:line="240" w:lineRule="auto"/>
              <w:ind w:left="720"/>
              <w:rPr>
                <w:rFonts w:ascii="Calibri" w:eastAsia="Times New Roman" w:hAnsi="Calibri" w:cs="Calibri"/>
                <w:color w:val="000000"/>
              </w:rPr>
            </w:pPr>
            <w:r w:rsidRPr="00AB0B30">
              <w:rPr>
                <w:rFonts w:ascii="Calibri" w:eastAsia="Times New Roman" w:hAnsi="Calibri" w:cs="Calibri"/>
                <w:color w:val="000000"/>
              </w:rPr>
              <w:t xml:space="preserve">Beverly </w:t>
            </w:r>
            <w:r w:rsidR="0008224A">
              <w:rPr>
                <w:rFonts w:ascii="Calibri" w:eastAsia="Times New Roman" w:hAnsi="Calibri" w:cs="Calibri"/>
                <w:color w:val="000000"/>
              </w:rPr>
              <w:t>T</w:t>
            </w:r>
            <w:r w:rsidR="0008224A" w:rsidRPr="00AB0B30">
              <w:rPr>
                <w:rFonts w:ascii="Calibri" w:eastAsia="Times New Roman" w:hAnsi="Calibri" w:cs="Calibri"/>
                <w:color w:val="000000"/>
              </w:rPr>
              <w:t>own</w:t>
            </w:r>
            <w:r w:rsidRPr="00AB0B30">
              <w:rPr>
                <w:rFonts w:ascii="Calibri" w:eastAsia="Times New Roman" w:hAnsi="Calibri" w:cs="Calibri"/>
                <w:color w:val="000000"/>
              </w:rPr>
              <w:t>, West Virginia</w:t>
            </w:r>
          </w:p>
        </w:tc>
        <w:tc>
          <w:tcPr>
            <w:tcW w:w="1447" w:type="dxa"/>
            <w:shd w:val="clear" w:color="auto" w:fill="auto"/>
            <w:noWrap/>
            <w:vAlign w:val="bottom"/>
            <w:hideMark/>
          </w:tcPr>
          <w:p w14:paraId="7F1F31F1"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746</w:t>
            </w:r>
          </w:p>
        </w:tc>
        <w:tc>
          <w:tcPr>
            <w:tcW w:w="1074" w:type="dxa"/>
            <w:shd w:val="clear" w:color="auto" w:fill="auto"/>
            <w:noWrap/>
            <w:vAlign w:val="bottom"/>
            <w:hideMark/>
          </w:tcPr>
          <w:p w14:paraId="6ACBD911"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3%</w:t>
            </w:r>
          </w:p>
        </w:tc>
        <w:tc>
          <w:tcPr>
            <w:tcW w:w="1069" w:type="dxa"/>
            <w:shd w:val="clear" w:color="auto" w:fill="auto"/>
            <w:noWrap/>
            <w:vAlign w:val="bottom"/>
            <w:hideMark/>
          </w:tcPr>
          <w:p w14:paraId="29535E62"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346</w:t>
            </w:r>
          </w:p>
        </w:tc>
        <w:tc>
          <w:tcPr>
            <w:tcW w:w="1452" w:type="dxa"/>
            <w:shd w:val="clear" w:color="auto" w:fill="auto"/>
            <w:noWrap/>
            <w:vAlign w:val="bottom"/>
            <w:hideMark/>
          </w:tcPr>
          <w:p w14:paraId="7E589D28"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3%</w:t>
            </w:r>
          </w:p>
        </w:tc>
      </w:tr>
      <w:tr w:rsidR="009E1115" w:rsidRPr="00AB0B30" w14:paraId="2B2721D6" w14:textId="77777777" w:rsidTr="009E6F85">
        <w:trPr>
          <w:trHeight w:val="328"/>
        </w:trPr>
        <w:tc>
          <w:tcPr>
            <w:tcW w:w="4308" w:type="dxa"/>
            <w:shd w:val="clear" w:color="auto" w:fill="auto"/>
            <w:noWrap/>
            <w:vAlign w:val="bottom"/>
            <w:hideMark/>
          </w:tcPr>
          <w:p w14:paraId="022ECC6E" w14:textId="6555E9EF" w:rsidR="009E1115" w:rsidRPr="00AB0B30" w:rsidRDefault="009E1115" w:rsidP="00C47E16">
            <w:pPr>
              <w:spacing w:after="0" w:line="240" w:lineRule="auto"/>
              <w:ind w:left="720"/>
              <w:rPr>
                <w:rFonts w:ascii="Calibri" w:eastAsia="Times New Roman" w:hAnsi="Calibri" w:cs="Calibri"/>
                <w:color w:val="000000"/>
              </w:rPr>
            </w:pPr>
            <w:r w:rsidRPr="00AB0B30">
              <w:rPr>
                <w:rFonts w:ascii="Calibri" w:eastAsia="Times New Roman" w:hAnsi="Calibri" w:cs="Calibri"/>
                <w:color w:val="000000"/>
              </w:rPr>
              <w:t xml:space="preserve">Harman </w:t>
            </w:r>
            <w:r w:rsidR="0008224A">
              <w:rPr>
                <w:rFonts w:ascii="Calibri" w:eastAsia="Times New Roman" w:hAnsi="Calibri" w:cs="Calibri"/>
                <w:color w:val="000000"/>
              </w:rPr>
              <w:t>T</w:t>
            </w:r>
            <w:r w:rsidR="0008224A" w:rsidRPr="00AB0B30">
              <w:rPr>
                <w:rFonts w:ascii="Calibri" w:eastAsia="Times New Roman" w:hAnsi="Calibri" w:cs="Calibri"/>
                <w:color w:val="000000"/>
              </w:rPr>
              <w:t>own</w:t>
            </w:r>
            <w:r w:rsidRPr="00AB0B30">
              <w:rPr>
                <w:rFonts w:ascii="Calibri" w:eastAsia="Times New Roman" w:hAnsi="Calibri" w:cs="Calibri"/>
                <w:color w:val="000000"/>
              </w:rPr>
              <w:t>, West Virginia</w:t>
            </w:r>
          </w:p>
        </w:tc>
        <w:tc>
          <w:tcPr>
            <w:tcW w:w="1447" w:type="dxa"/>
            <w:shd w:val="clear" w:color="auto" w:fill="auto"/>
            <w:noWrap/>
            <w:vAlign w:val="bottom"/>
            <w:hideMark/>
          </w:tcPr>
          <w:p w14:paraId="58653F13" w14:textId="24415ACF" w:rsidR="009E1115" w:rsidRPr="00AB0B30" w:rsidRDefault="001C7D9B"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[60-</w:t>
            </w:r>
            <w:r w:rsidR="00D22D6C">
              <w:rPr>
                <w:rFonts w:ascii="Calibri" w:eastAsia="Times New Roman" w:hAnsi="Calibri" w:cs="Calibri"/>
                <w:color w:val="000000"/>
              </w:rPr>
              <w:t>145]</w:t>
            </w:r>
          </w:p>
        </w:tc>
        <w:tc>
          <w:tcPr>
            <w:tcW w:w="1074" w:type="dxa"/>
            <w:shd w:val="clear" w:color="auto" w:fill="auto"/>
            <w:noWrap/>
            <w:vAlign w:val="bottom"/>
            <w:hideMark/>
          </w:tcPr>
          <w:p w14:paraId="3F318EB3"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0%</w:t>
            </w:r>
          </w:p>
        </w:tc>
        <w:tc>
          <w:tcPr>
            <w:tcW w:w="1069" w:type="dxa"/>
            <w:shd w:val="clear" w:color="auto" w:fill="auto"/>
            <w:noWrap/>
            <w:vAlign w:val="bottom"/>
            <w:hideMark/>
          </w:tcPr>
          <w:p w14:paraId="6B3C4EDA" w14:textId="19AC7CBD" w:rsidR="009E1115" w:rsidRPr="00AB0B30" w:rsidRDefault="00F97BD6"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[37-</w:t>
            </w:r>
            <w:r w:rsidR="004348EB">
              <w:rPr>
                <w:rFonts w:ascii="Calibri" w:eastAsia="Times New Roman" w:hAnsi="Calibri" w:cs="Calibri"/>
                <w:color w:val="000000"/>
              </w:rPr>
              <w:t>99]</w:t>
            </w:r>
          </w:p>
        </w:tc>
        <w:tc>
          <w:tcPr>
            <w:tcW w:w="1452" w:type="dxa"/>
            <w:shd w:val="clear" w:color="auto" w:fill="auto"/>
            <w:noWrap/>
            <w:vAlign w:val="bottom"/>
            <w:hideMark/>
          </w:tcPr>
          <w:p w14:paraId="03A9FBA2" w14:textId="409B2830" w:rsidR="009E1115" w:rsidRPr="00AB0B30" w:rsidRDefault="00815082"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&lt;</w:t>
            </w:r>
            <w:r w:rsidR="009E1115" w:rsidRPr="00AB0B30">
              <w:rPr>
                <w:rFonts w:ascii="Calibri" w:eastAsia="Times New Roman" w:hAnsi="Calibri" w:cs="Calibri"/>
                <w:color w:val="000000"/>
              </w:rPr>
              <w:t>1%</w:t>
            </w:r>
          </w:p>
        </w:tc>
      </w:tr>
      <w:tr w:rsidR="009E1115" w:rsidRPr="00AB0B30" w14:paraId="08C621E1" w14:textId="77777777" w:rsidTr="009E6F85">
        <w:trPr>
          <w:trHeight w:val="328"/>
        </w:trPr>
        <w:tc>
          <w:tcPr>
            <w:tcW w:w="4308" w:type="dxa"/>
            <w:shd w:val="clear" w:color="auto" w:fill="auto"/>
            <w:noWrap/>
            <w:vAlign w:val="bottom"/>
            <w:hideMark/>
          </w:tcPr>
          <w:p w14:paraId="1749DA1F" w14:textId="2BFC6B8A" w:rsidR="009E1115" w:rsidRPr="00AB0B30" w:rsidRDefault="009E1115" w:rsidP="00C47E16">
            <w:pPr>
              <w:spacing w:after="0" w:line="240" w:lineRule="auto"/>
              <w:ind w:left="720"/>
              <w:rPr>
                <w:rFonts w:ascii="Calibri" w:eastAsia="Times New Roman" w:hAnsi="Calibri" w:cs="Calibri"/>
                <w:color w:val="000000"/>
              </w:rPr>
            </w:pPr>
            <w:r w:rsidRPr="00AB0B30">
              <w:rPr>
                <w:rFonts w:ascii="Calibri" w:eastAsia="Times New Roman" w:hAnsi="Calibri" w:cs="Calibri"/>
                <w:color w:val="000000"/>
              </w:rPr>
              <w:t xml:space="preserve">Huttonsville </w:t>
            </w:r>
            <w:r w:rsidR="0008224A">
              <w:rPr>
                <w:rFonts w:ascii="Calibri" w:eastAsia="Times New Roman" w:hAnsi="Calibri" w:cs="Calibri"/>
                <w:color w:val="000000"/>
              </w:rPr>
              <w:t>T</w:t>
            </w:r>
            <w:r w:rsidR="0008224A" w:rsidRPr="00AB0B30">
              <w:rPr>
                <w:rFonts w:ascii="Calibri" w:eastAsia="Times New Roman" w:hAnsi="Calibri" w:cs="Calibri"/>
                <w:color w:val="000000"/>
              </w:rPr>
              <w:t>own</w:t>
            </w:r>
            <w:r w:rsidRPr="00AB0B30">
              <w:rPr>
                <w:rFonts w:ascii="Calibri" w:eastAsia="Times New Roman" w:hAnsi="Calibri" w:cs="Calibri"/>
                <w:color w:val="000000"/>
              </w:rPr>
              <w:t>, West Virginia</w:t>
            </w:r>
          </w:p>
        </w:tc>
        <w:tc>
          <w:tcPr>
            <w:tcW w:w="1447" w:type="dxa"/>
            <w:shd w:val="clear" w:color="auto" w:fill="auto"/>
            <w:noWrap/>
            <w:vAlign w:val="bottom"/>
            <w:hideMark/>
          </w:tcPr>
          <w:p w14:paraId="0741A6C4" w14:textId="164E763D" w:rsidR="009E1115" w:rsidRPr="00AB0B30" w:rsidRDefault="008E02DC"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[122-352]</w:t>
            </w:r>
          </w:p>
        </w:tc>
        <w:tc>
          <w:tcPr>
            <w:tcW w:w="1074" w:type="dxa"/>
            <w:shd w:val="clear" w:color="auto" w:fill="auto"/>
            <w:noWrap/>
            <w:vAlign w:val="bottom"/>
            <w:hideMark/>
          </w:tcPr>
          <w:p w14:paraId="7CA755F6"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1%</w:t>
            </w:r>
          </w:p>
        </w:tc>
        <w:tc>
          <w:tcPr>
            <w:tcW w:w="1069" w:type="dxa"/>
            <w:shd w:val="clear" w:color="auto" w:fill="auto"/>
            <w:noWrap/>
            <w:vAlign w:val="bottom"/>
            <w:hideMark/>
          </w:tcPr>
          <w:p w14:paraId="3A99B761" w14:textId="2BDB61AC" w:rsidR="009E1115" w:rsidRPr="00AB0B30" w:rsidRDefault="009C1CC1"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[49-97]</w:t>
            </w:r>
          </w:p>
        </w:tc>
        <w:tc>
          <w:tcPr>
            <w:tcW w:w="1452" w:type="dxa"/>
            <w:shd w:val="clear" w:color="auto" w:fill="auto"/>
            <w:noWrap/>
            <w:vAlign w:val="bottom"/>
            <w:hideMark/>
          </w:tcPr>
          <w:p w14:paraId="361CC534" w14:textId="1B61A231" w:rsidR="009E1115" w:rsidRPr="00AB0B30" w:rsidRDefault="00815082" w:rsidP="00C20538">
            <w:pPr>
              <w:spacing w:after="0" w:line="240" w:lineRule="auto"/>
              <w:jc w:val="right"/>
              <w:rPr>
                <w:rFonts w:ascii="Calibri" w:eastAsia="Times New Roman" w:hAnsi="Calibri" w:cs="Calibri"/>
                <w:color w:val="000000"/>
              </w:rPr>
            </w:pPr>
            <w:r>
              <w:rPr>
                <w:rFonts w:ascii="Calibri" w:eastAsia="Times New Roman" w:hAnsi="Calibri" w:cs="Calibri"/>
                <w:color w:val="000000"/>
              </w:rPr>
              <w:t>&lt;</w:t>
            </w:r>
            <w:r w:rsidR="009E1115" w:rsidRPr="00AB0B30">
              <w:rPr>
                <w:rFonts w:ascii="Calibri" w:eastAsia="Times New Roman" w:hAnsi="Calibri" w:cs="Calibri"/>
                <w:color w:val="000000"/>
              </w:rPr>
              <w:t>1%</w:t>
            </w:r>
          </w:p>
        </w:tc>
      </w:tr>
      <w:tr w:rsidR="009E1115" w:rsidRPr="00AB0B30" w14:paraId="18880E52" w14:textId="77777777" w:rsidTr="009E6F85">
        <w:trPr>
          <w:trHeight w:val="328"/>
        </w:trPr>
        <w:tc>
          <w:tcPr>
            <w:tcW w:w="4308" w:type="dxa"/>
            <w:shd w:val="clear" w:color="auto" w:fill="auto"/>
            <w:noWrap/>
            <w:vAlign w:val="bottom"/>
            <w:hideMark/>
          </w:tcPr>
          <w:p w14:paraId="340E5AE1" w14:textId="0DB64E53" w:rsidR="009E1115" w:rsidRPr="00AB0B30" w:rsidRDefault="009E1115" w:rsidP="00C47E16">
            <w:pPr>
              <w:spacing w:after="0" w:line="240" w:lineRule="auto"/>
              <w:ind w:left="720"/>
              <w:rPr>
                <w:rFonts w:ascii="Calibri" w:eastAsia="Times New Roman" w:hAnsi="Calibri" w:cs="Calibri"/>
                <w:color w:val="000000"/>
              </w:rPr>
            </w:pPr>
            <w:r w:rsidRPr="00AB0B30">
              <w:rPr>
                <w:rFonts w:ascii="Calibri" w:eastAsia="Times New Roman" w:hAnsi="Calibri" w:cs="Calibri"/>
                <w:color w:val="000000"/>
              </w:rPr>
              <w:t xml:space="preserve">Mill Creek </w:t>
            </w:r>
            <w:r w:rsidR="0008224A">
              <w:rPr>
                <w:rFonts w:ascii="Calibri" w:eastAsia="Times New Roman" w:hAnsi="Calibri" w:cs="Calibri"/>
                <w:color w:val="000000"/>
              </w:rPr>
              <w:t>T</w:t>
            </w:r>
            <w:r w:rsidR="0008224A" w:rsidRPr="00AB0B30">
              <w:rPr>
                <w:rFonts w:ascii="Calibri" w:eastAsia="Times New Roman" w:hAnsi="Calibri" w:cs="Calibri"/>
                <w:color w:val="000000"/>
              </w:rPr>
              <w:t>own</w:t>
            </w:r>
            <w:r w:rsidRPr="00AB0B30">
              <w:rPr>
                <w:rFonts w:ascii="Calibri" w:eastAsia="Times New Roman" w:hAnsi="Calibri" w:cs="Calibri"/>
                <w:color w:val="000000"/>
              </w:rPr>
              <w:t>, West Virginia</w:t>
            </w:r>
          </w:p>
        </w:tc>
        <w:tc>
          <w:tcPr>
            <w:tcW w:w="1447" w:type="dxa"/>
            <w:shd w:val="clear" w:color="auto" w:fill="auto"/>
            <w:noWrap/>
            <w:vAlign w:val="bottom"/>
            <w:hideMark/>
          </w:tcPr>
          <w:p w14:paraId="25C12EAD"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689</w:t>
            </w:r>
          </w:p>
        </w:tc>
        <w:tc>
          <w:tcPr>
            <w:tcW w:w="1074" w:type="dxa"/>
            <w:shd w:val="clear" w:color="auto" w:fill="auto"/>
            <w:noWrap/>
            <w:vAlign w:val="bottom"/>
            <w:hideMark/>
          </w:tcPr>
          <w:p w14:paraId="7F285A84"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2%</w:t>
            </w:r>
          </w:p>
        </w:tc>
        <w:tc>
          <w:tcPr>
            <w:tcW w:w="1069" w:type="dxa"/>
            <w:shd w:val="clear" w:color="auto" w:fill="auto"/>
            <w:noWrap/>
            <w:vAlign w:val="bottom"/>
            <w:hideMark/>
          </w:tcPr>
          <w:p w14:paraId="4A257895"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291</w:t>
            </w:r>
          </w:p>
        </w:tc>
        <w:tc>
          <w:tcPr>
            <w:tcW w:w="1452" w:type="dxa"/>
            <w:shd w:val="clear" w:color="auto" w:fill="auto"/>
            <w:noWrap/>
            <w:vAlign w:val="bottom"/>
            <w:hideMark/>
          </w:tcPr>
          <w:p w14:paraId="1A8FC512"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3%</w:t>
            </w:r>
          </w:p>
        </w:tc>
      </w:tr>
      <w:tr w:rsidR="009E1115" w:rsidRPr="00AB0B30" w14:paraId="1516D7AD" w14:textId="77777777" w:rsidTr="009E6F85">
        <w:trPr>
          <w:trHeight w:val="328"/>
        </w:trPr>
        <w:tc>
          <w:tcPr>
            <w:tcW w:w="4308" w:type="dxa"/>
            <w:shd w:val="clear" w:color="auto" w:fill="auto"/>
            <w:noWrap/>
            <w:vAlign w:val="bottom"/>
            <w:hideMark/>
          </w:tcPr>
          <w:p w14:paraId="369A1DE8" w14:textId="25E77AAE" w:rsidR="009E1115" w:rsidRPr="00815082" w:rsidRDefault="009E1115" w:rsidP="00C47E16">
            <w:pPr>
              <w:spacing w:after="0" w:line="240" w:lineRule="auto"/>
              <w:ind w:left="720"/>
              <w:rPr>
                <w:rFonts w:ascii="Calibri" w:eastAsia="Times New Roman" w:hAnsi="Calibri" w:cs="Calibri"/>
                <w:color w:val="000000"/>
              </w:rPr>
            </w:pPr>
            <w:r w:rsidRPr="00815082">
              <w:rPr>
                <w:rFonts w:ascii="Calibri" w:eastAsia="Times New Roman" w:hAnsi="Calibri" w:cs="Calibri"/>
                <w:color w:val="000000"/>
              </w:rPr>
              <w:t xml:space="preserve">Montrose </w:t>
            </w:r>
            <w:r w:rsidR="0008224A">
              <w:rPr>
                <w:rFonts w:ascii="Calibri" w:eastAsia="Times New Roman" w:hAnsi="Calibri" w:cs="Calibri"/>
                <w:color w:val="000000"/>
              </w:rPr>
              <w:t>T</w:t>
            </w:r>
            <w:r w:rsidR="0008224A" w:rsidRPr="00815082">
              <w:rPr>
                <w:rFonts w:ascii="Calibri" w:eastAsia="Times New Roman" w:hAnsi="Calibri" w:cs="Calibri"/>
                <w:color w:val="000000"/>
              </w:rPr>
              <w:t>own</w:t>
            </w:r>
            <w:r w:rsidRPr="00815082">
              <w:rPr>
                <w:rFonts w:ascii="Calibri" w:eastAsia="Times New Roman" w:hAnsi="Calibri" w:cs="Calibri"/>
                <w:color w:val="000000"/>
              </w:rPr>
              <w:t>, West Virginia</w:t>
            </w:r>
          </w:p>
        </w:tc>
        <w:tc>
          <w:tcPr>
            <w:tcW w:w="1447" w:type="dxa"/>
            <w:shd w:val="clear" w:color="auto" w:fill="auto"/>
            <w:noWrap/>
            <w:vAlign w:val="bottom"/>
            <w:hideMark/>
          </w:tcPr>
          <w:p w14:paraId="517A1703" w14:textId="74F75A7E" w:rsidR="009E1115" w:rsidRPr="00815082" w:rsidRDefault="00A92C09" w:rsidP="00C20538">
            <w:pPr>
              <w:spacing w:after="0" w:line="240" w:lineRule="auto"/>
              <w:jc w:val="right"/>
              <w:rPr>
                <w:rFonts w:ascii="Calibri" w:eastAsia="Times New Roman" w:hAnsi="Calibri" w:cs="Calibri"/>
                <w:color w:val="000000"/>
              </w:rPr>
            </w:pPr>
            <w:r w:rsidRPr="00815082">
              <w:rPr>
                <w:rFonts w:ascii="Calibri" w:eastAsia="Times New Roman" w:hAnsi="Calibri" w:cs="Calibri"/>
                <w:color w:val="000000"/>
              </w:rPr>
              <w:t>[91-225]</w:t>
            </w:r>
          </w:p>
        </w:tc>
        <w:tc>
          <w:tcPr>
            <w:tcW w:w="1074" w:type="dxa"/>
            <w:shd w:val="clear" w:color="auto" w:fill="auto"/>
            <w:noWrap/>
            <w:vAlign w:val="bottom"/>
            <w:hideMark/>
          </w:tcPr>
          <w:p w14:paraId="53D19DBD" w14:textId="77777777" w:rsidR="009E1115" w:rsidRPr="00815082" w:rsidRDefault="009E1115" w:rsidP="00C20538">
            <w:pPr>
              <w:spacing w:after="0" w:line="240" w:lineRule="auto"/>
              <w:jc w:val="right"/>
              <w:rPr>
                <w:rFonts w:ascii="Calibri" w:eastAsia="Times New Roman" w:hAnsi="Calibri" w:cs="Calibri"/>
                <w:color w:val="000000"/>
              </w:rPr>
            </w:pPr>
            <w:r w:rsidRPr="00815082">
              <w:rPr>
                <w:rFonts w:ascii="Calibri" w:eastAsia="Times New Roman" w:hAnsi="Calibri" w:cs="Calibri"/>
                <w:color w:val="000000"/>
              </w:rPr>
              <w:t>1%</w:t>
            </w:r>
          </w:p>
        </w:tc>
        <w:tc>
          <w:tcPr>
            <w:tcW w:w="1069" w:type="dxa"/>
            <w:shd w:val="clear" w:color="auto" w:fill="auto"/>
            <w:noWrap/>
            <w:vAlign w:val="bottom"/>
            <w:hideMark/>
          </w:tcPr>
          <w:p w14:paraId="2B9D38B9" w14:textId="3C9F6A88" w:rsidR="009E1115" w:rsidRPr="00815082" w:rsidRDefault="009C1CC1" w:rsidP="00C20538">
            <w:pPr>
              <w:spacing w:after="0" w:line="240" w:lineRule="auto"/>
              <w:jc w:val="right"/>
              <w:rPr>
                <w:rFonts w:ascii="Calibri" w:eastAsia="Times New Roman" w:hAnsi="Calibri" w:cs="Calibri"/>
                <w:color w:val="000000"/>
              </w:rPr>
            </w:pPr>
            <w:r w:rsidRPr="00815082">
              <w:rPr>
                <w:rFonts w:ascii="Calibri" w:eastAsia="Times New Roman" w:hAnsi="Calibri" w:cs="Calibri"/>
                <w:color w:val="000000"/>
              </w:rPr>
              <w:t>[47</w:t>
            </w:r>
            <w:r w:rsidR="00ED5991" w:rsidRPr="00815082">
              <w:rPr>
                <w:rFonts w:ascii="Calibri" w:eastAsia="Times New Roman" w:hAnsi="Calibri" w:cs="Calibri"/>
                <w:color w:val="000000"/>
              </w:rPr>
              <w:t>-111]</w:t>
            </w:r>
          </w:p>
        </w:tc>
        <w:tc>
          <w:tcPr>
            <w:tcW w:w="1452" w:type="dxa"/>
            <w:shd w:val="clear" w:color="auto" w:fill="auto"/>
            <w:noWrap/>
            <w:vAlign w:val="bottom"/>
            <w:hideMark/>
          </w:tcPr>
          <w:p w14:paraId="4995DB9C" w14:textId="0B97E2BC" w:rsidR="009E1115" w:rsidRPr="00815082" w:rsidRDefault="00815082" w:rsidP="00C20538">
            <w:pPr>
              <w:spacing w:after="0" w:line="240" w:lineRule="auto"/>
              <w:jc w:val="right"/>
              <w:rPr>
                <w:rFonts w:ascii="Calibri" w:eastAsia="Times New Roman" w:hAnsi="Calibri" w:cs="Calibri"/>
                <w:color w:val="000000"/>
              </w:rPr>
            </w:pPr>
            <w:r w:rsidRPr="00815082">
              <w:rPr>
                <w:rFonts w:ascii="Calibri" w:eastAsia="Times New Roman" w:hAnsi="Calibri" w:cs="Calibri"/>
                <w:color w:val="000000"/>
              </w:rPr>
              <w:t>&lt;</w:t>
            </w:r>
            <w:r w:rsidR="009E1115" w:rsidRPr="00815082">
              <w:rPr>
                <w:rFonts w:ascii="Calibri" w:eastAsia="Times New Roman" w:hAnsi="Calibri" w:cs="Calibri"/>
                <w:color w:val="000000"/>
              </w:rPr>
              <w:t>1%</w:t>
            </w:r>
          </w:p>
        </w:tc>
      </w:tr>
      <w:tr w:rsidR="009E1115" w:rsidRPr="00AB0B30" w14:paraId="3228033B" w14:textId="77777777" w:rsidTr="009E6F85">
        <w:trPr>
          <w:trHeight w:val="328"/>
        </w:trPr>
        <w:tc>
          <w:tcPr>
            <w:tcW w:w="4308" w:type="dxa"/>
            <w:shd w:val="clear" w:color="auto" w:fill="auto"/>
            <w:noWrap/>
            <w:vAlign w:val="bottom"/>
            <w:hideMark/>
          </w:tcPr>
          <w:p w14:paraId="285CBFD2" w14:textId="6957B3C0" w:rsidR="009E1115" w:rsidRPr="00815082" w:rsidRDefault="007603D5" w:rsidP="00C47E16">
            <w:pPr>
              <w:spacing w:after="0" w:line="240" w:lineRule="auto"/>
              <w:ind w:left="720"/>
              <w:rPr>
                <w:rFonts w:ascii="Calibri" w:eastAsia="Times New Roman" w:hAnsi="Calibri" w:cs="Calibri"/>
                <w:color w:val="000000"/>
              </w:rPr>
            </w:pPr>
            <w:r w:rsidRPr="00815082">
              <w:rPr>
                <w:rFonts w:ascii="Calibri" w:eastAsia="Times New Roman" w:hAnsi="Calibri" w:cs="Calibri"/>
                <w:color w:val="000000" w:themeColor="text1"/>
              </w:rPr>
              <w:t xml:space="preserve">Coalton </w:t>
            </w:r>
            <w:r w:rsidR="0008224A">
              <w:rPr>
                <w:rFonts w:ascii="Calibri" w:eastAsia="Times New Roman" w:hAnsi="Calibri" w:cs="Calibri"/>
                <w:color w:val="000000" w:themeColor="text1"/>
              </w:rPr>
              <w:t>T</w:t>
            </w:r>
            <w:r w:rsidR="0008224A" w:rsidRPr="00815082">
              <w:rPr>
                <w:rFonts w:ascii="Calibri" w:eastAsia="Times New Roman" w:hAnsi="Calibri" w:cs="Calibri"/>
                <w:color w:val="000000" w:themeColor="text1"/>
              </w:rPr>
              <w:t>own</w:t>
            </w:r>
            <w:r w:rsidR="0008224A">
              <w:rPr>
                <w:rFonts w:ascii="Calibri" w:eastAsia="Times New Roman" w:hAnsi="Calibri" w:cs="Calibri"/>
                <w:color w:val="000000" w:themeColor="text1"/>
              </w:rPr>
              <w:t>*</w:t>
            </w:r>
            <w:r w:rsidR="009E1115" w:rsidRPr="00815082">
              <w:rPr>
                <w:rFonts w:ascii="Calibri" w:eastAsia="Times New Roman" w:hAnsi="Calibri" w:cs="Calibri"/>
                <w:color w:val="000000" w:themeColor="text1"/>
              </w:rPr>
              <w:t>, West Virginia</w:t>
            </w:r>
          </w:p>
        </w:tc>
        <w:tc>
          <w:tcPr>
            <w:tcW w:w="1447" w:type="dxa"/>
            <w:shd w:val="clear" w:color="auto" w:fill="auto"/>
            <w:noWrap/>
            <w:vAlign w:val="bottom"/>
            <w:hideMark/>
          </w:tcPr>
          <w:p w14:paraId="0937A911" w14:textId="680E8DE6" w:rsidR="009E1115" w:rsidRPr="00815082" w:rsidRDefault="005136A3" w:rsidP="00C20538">
            <w:pPr>
              <w:spacing w:after="0" w:line="240" w:lineRule="auto"/>
              <w:jc w:val="right"/>
              <w:rPr>
                <w:rFonts w:ascii="Calibri" w:eastAsia="Times New Roman" w:hAnsi="Calibri" w:cs="Calibri"/>
                <w:color w:val="000000"/>
              </w:rPr>
            </w:pPr>
            <w:r w:rsidRPr="00815082">
              <w:rPr>
                <w:rFonts w:ascii="Calibri" w:eastAsia="Times New Roman" w:hAnsi="Calibri" w:cs="Calibri"/>
                <w:color w:val="000000"/>
              </w:rPr>
              <w:t>[183-</w:t>
            </w:r>
            <w:r w:rsidR="00D37E6D" w:rsidRPr="00815082">
              <w:rPr>
                <w:rFonts w:ascii="Calibri" w:eastAsia="Times New Roman" w:hAnsi="Calibri" w:cs="Calibri"/>
                <w:color w:val="000000"/>
              </w:rPr>
              <w:t>411]</w:t>
            </w:r>
          </w:p>
        </w:tc>
        <w:tc>
          <w:tcPr>
            <w:tcW w:w="1074" w:type="dxa"/>
            <w:shd w:val="clear" w:color="auto" w:fill="auto"/>
            <w:noWrap/>
            <w:vAlign w:val="bottom"/>
            <w:hideMark/>
          </w:tcPr>
          <w:p w14:paraId="375DB97C" w14:textId="77777777" w:rsidR="009E1115" w:rsidRPr="00815082" w:rsidRDefault="009E1115" w:rsidP="00C20538">
            <w:pPr>
              <w:spacing w:after="0" w:line="240" w:lineRule="auto"/>
              <w:jc w:val="right"/>
              <w:rPr>
                <w:rFonts w:ascii="Calibri" w:eastAsia="Times New Roman" w:hAnsi="Calibri" w:cs="Calibri"/>
                <w:color w:val="000000"/>
              </w:rPr>
            </w:pPr>
            <w:r w:rsidRPr="00815082">
              <w:rPr>
                <w:rFonts w:ascii="Calibri" w:eastAsia="Times New Roman" w:hAnsi="Calibri" w:cs="Calibri"/>
                <w:color w:val="000000"/>
              </w:rPr>
              <w:t>1%</w:t>
            </w:r>
          </w:p>
        </w:tc>
        <w:tc>
          <w:tcPr>
            <w:tcW w:w="1069" w:type="dxa"/>
            <w:shd w:val="clear" w:color="auto" w:fill="auto"/>
            <w:noWrap/>
            <w:vAlign w:val="bottom"/>
            <w:hideMark/>
          </w:tcPr>
          <w:p w14:paraId="21A18864" w14:textId="79F5F522" w:rsidR="009E1115" w:rsidRPr="00815082" w:rsidRDefault="00ED5991" w:rsidP="00C20538">
            <w:pPr>
              <w:spacing w:after="0" w:line="240" w:lineRule="auto"/>
              <w:jc w:val="right"/>
              <w:rPr>
                <w:rFonts w:ascii="Calibri" w:eastAsia="Times New Roman" w:hAnsi="Calibri" w:cs="Calibri"/>
                <w:color w:val="000000"/>
              </w:rPr>
            </w:pPr>
            <w:r w:rsidRPr="00815082">
              <w:rPr>
                <w:rFonts w:ascii="Calibri" w:eastAsia="Times New Roman" w:hAnsi="Calibri" w:cs="Calibri"/>
                <w:color w:val="000000"/>
              </w:rPr>
              <w:t>[81-</w:t>
            </w:r>
            <w:r w:rsidR="009E1115" w:rsidRPr="00815082">
              <w:rPr>
                <w:rFonts w:ascii="Calibri" w:eastAsia="Times New Roman" w:hAnsi="Calibri" w:cs="Calibri"/>
                <w:color w:val="000000"/>
              </w:rPr>
              <w:t>1</w:t>
            </w:r>
            <w:r w:rsidR="00643283" w:rsidRPr="00815082">
              <w:rPr>
                <w:rFonts w:ascii="Calibri" w:eastAsia="Times New Roman" w:hAnsi="Calibri" w:cs="Calibri"/>
                <w:color w:val="000000"/>
              </w:rPr>
              <w:t>43]</w:t>
            </w:r>
          </w:p>
        </w:tc>
        <w:tc>
          <w:tcPr>
            <w:tcW w:w="1452" w:type="dxa"/>
            <w:shd w:val="clear" w:color="auto" w:fill="auto"/>
            <w:noWrap/>
            <w:vAlign w:val="bottom"/>
            <w:hideMark/>
          </w:tcPr>
          <w:p w14:paraId="4CFA1C99" w14:textId="5CE1EADC" w:rsidR="009E1115" w:rsidRPr="00815082" w:rsidRDefault="00815082" w:rsidP="00C20538">
            <w:pPr>
              <w:spacing w:after="0" w:line="240" w:lineRule="auto"/>
              <w:jc w:val="right"/>
              <w:rPr>
                <w:rFonts w:ascii="Calibri" w:eastAsia="Times New Roman" w:hAnsi="Calibri" w:cs="Calibri"/>
                <w:color w:val="000000"/>
              </w:rPr>
            </w:pPr>
            <w:r w:rsidRPr="00815082">
              <w:rPr>
                <w:rFonts w:ascii="Calibri" w:eastAsia="Times New Roman" w:hAnsi="Calibri" w:cs="Calibri"/>
                <w:color w:val="000000"/>
              </w:rPr>
              <w:t>&lt;</w:t>
            </w:r>
            <w:r w:rsidR="009E1115" w:rsidRPr="00815082">
              <w:rPr>
                <w:rFonts w:ascii="Calibri" w:eastAsia="Times New Roman" w:hAnsi="Calibri" w:cs="Calibri"/>
                <w:color w:val="000000"/>
              </w:rPr>
              <w:t>1%</w:t>
            </w:r>
          </w:p>
        </w:tc>
      </w:tr>
      <w:tr w:rsidR="009E1115" w:rsidRPr="00AB0B30" w14:paraId="00BDAE21" w14:textId="77777777" w:rsidTr="009E6F85">
        <w:trPr>
          <w:trHeight w:val="328"/>
        </w:trPr>
        <w:tc>
          <w:tcPr>
            <w:tcW w:w="4308" w:type="dxa"/>
            <w:shd w:val="clear" w:color="auto" w:fill="auto"/>
            <w:noWrap/>
            <w:vAlign w:val="bottom"/>
            <w:hideMark/>
          </w:tcPr>
          <w:p w14:paraId="4410CC9E" w14:textId="77777777" w:rsidR="009E1115" w:rsidRPr="00AB0B30" w:rsidRDefault="009E1115" w:rsidP="00C47E16">
            <w:pPr>
              <w:spacing w:after="0" w:line="240" w:lineRule="auto"/>
              <w:ind w:left="720"/>
              <w:rPr>
                <w:rFonts w:ascii="Calibri" w:eastAsia="Times New Roman" w:hAnsi="Calibri" w:cs="Calibri"/>
                <w:color w:val="000000"/>
              </w:rPr>
            </w:pPr>
            <w:r w:rsidRPr="00AB0B30">
              <w:rPr>
                <w:rFonts w:ascii="Calibri" w:eastAsia="Times New Roman" w:hAnsi="Calibri" w:cs="Calibri"/>
                <w:color w:val="000000"/>
              </w:rPr>
              <w:t>Unincorporated Areas</w:t>
            </w:r>
          </w:p>
        </w:tc>
        <w:tc>
          <w:tcPr>
            <w:tcW w:w="1447" w:type="dxa"/>
            <w:shd w:val="clear" w:color="auto" w:fill="auto"/>
            <w:noWrap/>
            <w:vAlign w:val="bottom"/>
            <w:hideMark/>
          </w:tcPr>
          <w:p w14:paraId="5386AF9A"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19,628</w:t>
            </w:r>
          </w:p>
        </w:tc>
        <w:tc>
          <w:tcPr>
            <w:tcW w:w="1074" w:type="dxa"/>
            <w:shd w:val="clear" w:color="auto" w:fill="auto"/>
            <w:noWrap/>
            <w:vAlign w:val="bottom"/>
            <w:hideMark/>
          </w:tcPr>
          <w:p w14:paraId="710B777E"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68%</w:t>
            </w:r>
          </w:p>
        </w:tc>
        <w:tc>
          <w:tcPr>
            <w:tcW w:w="1069" w:type="dxa"/>
            <w:shd w:val="clear" w:color="auto" w:fill="auto"/>
            <w:noWrap/>
            <w:vAlign w:val="bottom"/>
            <w:hideMark/>
          </w:tcPr>
          <w:p w14:paraId="5FF400BA"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7,422</w:t>
            </w:r>
          </w:p>
        </w:tc>
        <w:tc>
          <w:tcPr>
            <w:tcW w:w="1452" w:type="dxa"/>
            <w:shd w:val="clear" w:color="auto" w:fill="auto"/>
            <w:noWrap/>
            <w:vAlign w:val="bottom"/>
            <w:hideMark/>
          </w:tcPr>
          <w:p w14:paraId="2ECCC566" w14:textId="77777777" w:rsidR="009E1115" w:rsidRPr="00AB0B30" w:rsidRDefault="009E1115" w:rsidP="00C20538">
            <w:pPr>
              <w:spacing w:after="0" w:line="240" w:lineRule="auto"/>
              <w:jc w:val="right"/>
              <w:rPr>
                <w:rFonts w:ascii="Calibri" w:eastAsia="Times New Roman" w:hAnsi="Calibri" w:cs="Calibri"/>
                <w:color w:val="000000"/>
              </w:rPr>
            </w:pPr>
            <w:r w:rsidRPr="00AB0B30">
              <w:rPr>
                <w:rFonts w:ascii="Calibri" w:eastAsia="Times New Roman" w:hAnsi="Calibri" w:cs="Calibri"/>
                <w:color w:val="000000"/>
              </w:rPr>
              <w:t>67%</w:t>
            </w:r>
          </w:p>
        </w:tc>
      </w:tr>
    </w:tbl>
    <w:p w14:paraId="1A0BF547" w14:textId="540CA2B9" w:rsidR="007603D5" w:rsidRDefault="007603D5" w:rsidP="00310385">
      <w:pPr>
        <w:spacing w:after="0"/>
      </w:pPr>
      <w:r>
        <w:t>*Womelsdorf</w:t>
      </w:r>
      <w:r w:rsidR="00BE11B4">
        <w:t xml:space="preserve"> in ACS published tables</w:t>
      </w:r>
    </w:p>
    <w:p w14:paraId="3E248DD2" w14:textId="4863F222" w:rsidR="0008224A" w:rsidRDefault="0008224A">
      <w:pPr>
        <w:rPr>
          <w:rFonts w:asciiTheme="majorHAnsi" w:eastAsiaTheme="majorEastAsia" w:hAnsiTheme="majorHAnsi" w:cstheme="majorBidi"/>
          <w:color w:val="2F5496" w:themeColor="accent1" w:themeShade="BF"/>
          <w:sz w:val="26"/>
          <w:szCs w:val="26"/>
          <w:lang w:eastAsia="en-US"/>
        </w:rPr>
      </w:pPr>
      <w:r>
        <w:br w:type="page"/>
      </w:r>
    </w:p>
    <w:p w14:paraId="7F1E2FE0" w14:textId="364E1133" w:rsidR="0016450D" w:rsidRDefault="0016450D" w:rsidP="0016450D">
      <w:pPr>
        <w:pStyle w:val="Heading2"/>
        <w:rPr>
          <w:rStyle w:val="Heading2Char"/>
        </w:rPr>
      </w:pPr>
      <w:bookmarkStart w:id="23" w:name="_Toc120703905"/>
      <w:r>
        <w:lastRenderedPageBreak/>
        <w:t>H</w:t>
      </w:r>
      <w:r w:rsidRPr="00933E4F">
        <w:rPr>
          <w:rStyle w:val="Heading2Char"/>
        </w:rPr>
        <w:t>ousehold Size</w:t>
      </w:r>
      <w:bookmarkEnd w:id="23"/>
    </w:p>
    <w:p w14:paraId="7AA40772" w14:textId="73FF73BE" w:rsidR="00265D95" w:rsidRPr="00265D95" w:rsidRDefault="00265D95" w:rsidP="00265D95">
      <w:pPr>
        <w:rPr>
          <w:lang w:eastAsia="en-US"/>
        </w:rPr>
      </w:pPr>
      <w:r>
        <w:rPr>
          <w:lang w:eastAsia="en-US"/>
        </w:rPr>
        <w:t xml:space="preserve">The </w:t>
      </w:r>
      <w:r w:rsidR="00C20538">
        <w:rPr>
          <w:lang w:eastAsia="en-US"/>
        </w:rPr>
        <w:t xml:space="preserve">average </w:t>
      </w:r>
      <w:r w:rsidR="0008224A">
        <w:rPr>
          <w:lang w:eastAsia="en-US"/>
        </w:rPr>
        <w:t xml:space="preserve">household </w:t>
      </w:r>
      <w:r w:rsidR="00C20538">
        <w:rPr>
          <w:lang w:eastAsia="en-US"/>
        </w:rPr>
        <w:t xml:space="preserve">size </w:t>
      </w:r>
      <w:r w:rsidR="0008224A">
        <w:rPr>
          <w:lang w:eastAsia="en-US"/>
        </w:rPr>
        <w:t xml:space="preserve">in </w:t>
      </w:r>
      <w:r>
        <w:rPr>
          <w:lang w:eastAsia="en-US"/>
        </w:rPr>
        <w:t>Randolph County is 2.4</w:t>
      </w:r>
      <w:r w:rsidR="00C20538">
        <w:rPr>
          <w:lang w:eastAsia="en-US"/>
        </w:rPr>
        <w:t xml:space="preserve">0 and the average family size is 3.05. </w:t>
      </w:r>
    </w:p>
    <w:p w14:paraId="751B83F3" w14:textId="68DB1419" w:rsidR="00196951" w:rsidRPr="00DC784C" w:rsidRDefault="00196951" w:rsidP="00196951">
      <w:pPr>
        <w:contextualSpacing/>
        <w:rPr>
          <w:b/>
        </w:rPr>
      </w:pPr>
      <w:r w:rsidRPr="00DC784C">
        <w:rPr>
          <w:b/>
        </w:rPr>
        <w:t xml:space="preserve">Figure </w:t>
      </w:r>
      <w:r w:rsidR="00D34513">
        <w:rPr>
          <w:b/>
        </w:rPr>
        <w:t>2</w:t>
      </w:r>
      <w:r w:rsidRPr="00DC784C">
        <w:rPr>
          <w:b/>
        </w:rPr>
        <w:t>. Households by Size</w:t>
      </w:r>
    </w:p>
    <w:p w14:paraId="3BA1E947" w14:textId="2A083B22" w:rsidR="00196951" w:rsidRDefault="00196951" w:rsidP="00196951">
      <w:pPr>
        <w:contextualSpacing/>
      </w:pPr>
      <w:r>
        <w:t xml:space="preserve">Source: </w:t>
      </w:r>
      <w:r w:rsidR="00517DB6">
        <w:t>VCHR</w:t>
      </w:r>
      <w:r>
        <w:t xml:space="preserve"> </w:t>
      </w:r>
      <w:r w:rsidR="00DB4368">
        <w:t xml:space="preserve">Tabulation </w:t>
      </w:r>
      <w:r>
        <w:t>of 201</w:t>
      </w:r>
      <w:r w:rsidR="00517DB6">
        <w:t>9</w:t>
      </w:r>
      <w:r>
        <w:t xml:space="preserve"> ACS 5-year Estimates</w:t>
      </w:r>
    </w:p>
    <w:p w14:paraId="16DB54E6" w14:textId="141BA957" w:rsidR="00DC5BED" w:rsidRPr="00DC5BED" w:rsidRDefault="00DC5BED" w:rsidP="00DC5BED">
      <w:pPr>
        <w:spacing w:after="0" w:line="240" w:lineRule="auto"/>
        <w:rPr>
          <w:rFonts w:ascii="Times New Roman" w:eastAsia="Times New Roman" w:hAnsi="Times New Roman" w:cs="Times New Roman"/>
          <w:sz w:val="24"/>
          <w:szCs w:val="24"/>
          <w:lang w:eastAsia="en-US"/>
        </w:rPr>
      </w:pPr>
      <w:r w:rsidRPr="00DC5BED">
        <w:rPr>
          <w:rFonts w:ascii="Segoe UI" w:eastAsia="Times New Roman" w:hAnsi="Segoe UI" w:cs="Segoe UI"/>
          <w:b/>
          <w:bCs/>
          <w:noProof/>
          <w:color w:val="333333"/>
          <w:sz w:val="27"/>
          <w:szCs w:val="27"/>
        </w:rPr>
        <w:drawing>
          <wp:inline distT="0" distB="0" distL="0" distR="0" wp14:anchorId="64045FC8" wp14:editId="6656E09D">
            <wp:extent cx="5943600" cy="3487420"/>
            <wp:effectExtent l="0" t="0" r="0" b="0"/>
            <wp:docPr id="3" name="Picture 3" descr="C:\Users\deades\AppData\Local\Microsoft\Windows\INetCache\Content.MSO\BD5A54E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ades\AppData\Local\Microsoft\Windows\INetCache\Content.MSO\BD5A54ED.t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487420"/>
                    </a:xfrm>
                    <a:prstGeom prst="rect">
                      <a:avLst/>
                    </a:prstGeom>
                    <a:noFill/>
                    <a:ln>
                      <a:noFill/>
                    </a:ln>
                  </pic:spPr>
                </pic:pic>
              </a:graphicData>
            </a:graphic>
          </wp:inline>
        </w:drawing>
      </w:r>
    </w:p>
    <w:p w14:paraId="304E8BB8" w14:textId="77777777" w:rsidR="009E6F85" w:rsidRDefault="009E6F85" w:rsidP="00196951"/>
    <w:p w14:paraId="220CEAC4" w14:textId="030D146F" w:rsidR="00196951" w:rsidRDefault="00AE1615" w:rsidP="00196951">
      <w:r>
        <w:t xml:space="preserve">Randolph County includes a larger proportion of </w:t>
      </w:r>
      <w:r w:rsidR="003235F3">
        <w:t>one and two</w:t>
      </w:r>
      <w:r w:rsidR="00455A25">
        <w:t>-</w:t>
      </w:r>
      <w:r w:rsidR="003235F3">
        <w:t xml:space="preserve">person </w:t>
      </w:r>
      <w:r w:rsidR="003A0B6E">
        <w:t>households</w:t>
      </w:r>
      <w:r w:rsidR="00265D95">
        <w:t xml:space="preserve"> than surrounding counties</w:t>
      </w:r>
      <w:r w:rsidR="006851D9">
        <w:t xml:space="preserve">, in part because </w:t>
      </w:r>
      <w:r w:rsidR="00D01BA6">
        <w:t>households in City of Elkins and its surrounding neighborhoods</w:t>
      </w:r>
      <w:r w:rsidR="00DC05AA">
        <w:t xml:space="preserve"> include a larger proportion of one and two-person households</w:t>
      </w:r>
      <w:r w:rsidR="00265D95">
        <w:t xml:space="preserve"> than the unincorporated parts of the </w:t>
      </w:r>
      <w:r w:rsidR="00D40C78">
        <w:t xml:space="preserve">County </w:t>
      </w:r>
      <w:r w:rsidR="0008224A">
        <w:t>do</w:t>
      </w:r>
      <w:r w:rsidR="6EBF04AB">
        <w:t xml:space="preserve">. </w:t>
      </w:r>
      <w:r w:rsidR="0092147B">
        <w:t xml:space="preserve">The 26241 </w:t>
      </w:r>
      <w:r w:rsidR="0008224A">
        <w:t xml:space="preserve">ZIP code </w:t>
      </w:r>
      <w:r w:rsidR="0092147B">
        <w:t xml:space="preserve">also includes </w:t>
      </w:r>
      <w:r w:rsidR="0095351C">
        <w:t>more non-family households</w:t>
      </w:r>
      <w:r w:rsidR="00205E9A">
        <w:t xml:space="preserve">, that is, </w:t>
      </w:r>
      <w:r w:rsidR="008458C0">
        <w:t xml:space="preserve">singles and </w:t>
      </w:r>
      <w:r w:rsidR="00205E9A">
        <w:t xml:space="preserve">people with </w:t>
      </w:r>
      <w:r w:rsidR="008458C0">
        <w:t>roommates.</w:t>
      </w:r>
    </w:p>
    <w:p w14:paraId="3DFEA664" w14:textId="0EAC2BBA" w:rsidR="00205E9A" w:rsidRDefault="00205E9A">
      <w:pPr>
        <w:rPr>
          <w:rFonts w:asciiTheme="majorHAnsi" w:eastAsiaTheme="majorEastAsia" w:hAnsiTheme="majorHAnsi" w:cstheme="majorBidi"/>
          <w:color w:val="2F5496" w:themeColor="accent1" w:themeShade="BF"/>
          <w:sz w:val="26"/>
          <w:szCs w:val="26"/>
          <w:lang w:eastAsia="en-US"/>
        </w:rPr>
      </w:pPr>
      <w:r>
        <w:br w:type="page"/>
      </w:r>
    </w:p>
    <w:p w14:paraId="146A1F28" w14:textId="370807C5" w:rsidR="005E5798" w:rsidRPr="005E5798" w:rsidRDefault="00926641" w:rsidP="005E5798">
      <w:pPr>
        <w:pStyle w:val="Heading2"/>
      </w:pPr>
      <w:bookmarkStart w:id="24" w:name="_Toc120703906"/>
      <w:r>
        <w:lastRenderedPageBreak/>
        <w:t>Household Type</w:t>
      </w:r>
      <w:bookmarkEnd w:id="24"/>
    </w:p>
    <w:p w14:paraId="4544C6B4" w14:textId="2C034490" w:rsidR="00B03D70" w:rsidRPr="00DC784C" w:rsidRDefault="00B03D70" w:rsidP="00B03D70">
      <w:pPr>
        <w:contextualSpacing/>
        <w:rPr>
          <w:b/>
        </w:rPr>
      </w:pPr>
      <w:r w:rsidRPr="00DC784C">
        <w:rPr>
          <w:b/>
        </w:rPr>
        <w:t xml:space="preserve">Figure </w:t>
      </w:r>
      <w:r w:rsidR="00D34513">
        <w:rPr>
          <w:b/>
        </w:rPr>
        <w:t>3</w:t>
      </w:r>
      <w:r w:rsidRPr="00DC784C">
        <w:rPr>
          <w:b/>
        </w:rPr>
        <w:t>: Family and Non-Family Households</w:t>
      </w:r>
      <w:r>
        <w:rPr>
          <w:b/>
        </w:rPr>
        <w:t xml:space="preserve"> as a Percent of All Households</w:t>
      </w:r>
    </w:p>
    <w:p w14:paraId="7A87C02D" w14:textId="0015D545" w:rsidR="00B03D70" w:rsidRDefault="00B03D70" w:rsidP="00B03D70">
      <w:pPr>
        <w:contextualSpacing/>
      </w:pPr>
      <w:r>
        <w:t xml:space="preserve">Source: </w:t>
      </w:r>
      <w:r w:rsidR="00D46B89">
        <w:t>VCHR</w:t>
      </w:r>
      <w:r>
        <w:t xml:space="preserve"> </w:t>
      </w:r>
      <w:r w:rsidR="00DB4368">
        <w:t xml:space="preserve">Tabulation </w:t>
      </w:r>
      <w:r>
        <w:t xml:space="preserve">of </w:t>
      </w:r>
      <w:r w:rsidR="00D46B89">
        <w:t xml:space="preserve">2019 </w:t>
      </w:r>
      <w:r>
        <w:t>ACS 5-year Estimates</w:t>
      </w:r>
    </w:p>
    <w:p w14:paraId="3D7D7DB1" w14:textId="397329E2" w:rsidR="00DC5BED" w:rsidRPr="00DC5BED" w:rsidRDefault="00DC5BED" w:rsidP="00DC5BED">
      <w:pPr>
        <w:spacing w:after="0" w:line="240" w:lineRule="auto"/>
        <w:rPr>
          <w:rFonts w:ascii="Times New Roman" w:eastAsia="Times New Roman" w:hAnsi="Times New Roman" w:cs="Times New Roman"/>
          <w:sz w:val="24"/>
          <w:szCs w:val="24"/>
          <w:lang w:eastAsia="en-US"/>
        </w:rPr>
      </w:pPr>
      <w:r w:rsidRPr="00DC5BED">
        <w:rPr>
          <w:noProof/>
        </w:rPr>
        <w:drawing>
          <wp:inline distT="0" distB="0" distL="0" distR="0" wp14:anchorId="79188A45" wp14:editId="6928750E">
            <wp:extent cx="5905500" cy="3011609"/>
            <wp:effectExtent l="0" t="0" r="0" b="0"/>
            <wp:docPr id="4" name="Picture 4" descr="C:\Users\deades\AppData\Local\Microsoft\Windows\INetCache\Content.MSO\5618A28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ades\AppData\Local\Microsoft\Windows\INetCache\Content.MSO\5618A283.tm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13996" cy="3015942"/>
                    </a:xfrm>
                    <a:prstGeom prst="rect">
                      <a:avLst/>
                    </a:prstGeom>
                    <a:noFill/>
                    <a:ln>
                      <a:noFill/>
                    </a:ln>
                  </pic:spPr>
                </pic:pic>
              </a:graphicData>
            </a:graphic>
          </wp:inline>
        </w:drawing>
      </w:r>
    </w:p>
    <w:p w14:paraId="5225D9A0" w14:textId="1D100AEF" w:rsidR="00205E9A" w:rsidRDefault="00205E9A">
      <w:pPr>
        <w:rPr>
          <w:rFonts w:asciiTheme="majorHAnsi" w:eastAsiaTheme="majorEastAsia" w:hAnsiTheme="majorHAnsi" w:cstheme="majorBidi"/>
          <w:color w:val="2F5496" w:themeColor="accent1" w:themeShade="BF"/>
          <w:sz w:val="26"/>
          <w:szCs w:val="26"/>
          <w:lang w:eastAsia="en-US"/>
        </w:rPr>
      </w:pPr>
      <w:r>
        <w:br w:type="page"/>
      </w:r>
    </w:p>
    <w:p w14:paraId="1459B881" w14:textId="3B789CDE" w:rsidR="00F66F68" w:rsidRDefault="00F05909" w:rsidP="005E5798">
      <w:pPr>
        <w:pStyle w:val="Heading2"/>
      </w:pPr>
      <w:bookmarkStart w:id="25" w:name="_Toc62593598"/>
      <w:bookmarkStart w:id="26" w:name="_Toc120703907"/>
      <w:r>
        <w:lastRenderedPageBreak/>
        <w:t>Age of Householder</w:t>
      </w:r>
      <w:bookmarkEnd w:id="25"/>
      <w:bookmarkEnd w:id="26"/>
      <w:r w:rsidDel="00046BD6">
        <w:t xml:space="preserve"> </w:t>
      </w:r>
    </w:p>
    <w:p w14:paraId="6AC97A6E" w14:textId="51A06C5C" w:rsidR="004B352A" w:rsidRPr="00F66F68" w:rsidRDefault="00CB2864" w:rsidP="00F66F68">
      <w:pPr>
        <w:spacing w:after="0"/>
      </w:pPr>
      <w:r>
        <w:t xml:space="preserve">Randolph County has one of the highest proportions of households </w:t>
      </w:r>
      <w:r w:rsidR="008C7D3E">
        <w:t xml:space="preserve">headed by someone 65 and older in the study area. </w:t>
      </w:r>
      <w:r w:rsidR="00205E9A">
        <w:t>These households</w:t>
      </w:r>
      <w:r w:rsidR="000A399F">
        <w:t xml:space="preserve"> are more prominent in </w:t>
      </w:r>
      <w:r w:rsidR="00D41D2B">
        <w:t xml:space="preserve">the 26241 </w:t>
      </w:r>
      <w:r w:rsidR="00205E9A">
        <w:t xml:space="preserve">ZIP </w:t>
      </w:r>
      <w:r w:rsidR="00D41D2B">
        <w:t xml:space="preserve">code than in the rest of the </w:t>
      </w:r>
      <w:r w:rsidR="00D40C78">
        <w:t>County</w:t>
      </w:r>
      <w:r w:rsidR="008C330C">
        <w:t xml:space="preserve">, suggesting </w:t>
      </w:r>
      <w:r w:rsidR="00B855F0">
        <w:t xml:space="preserve">that Elkins and the surrounding neighborhoods may be </w:t>
      </w:r>
      <w:r w:rsidR="086CEEEE">
        <w:t>preferred</w:t>
      </w:r>
      <w:r w:rsidR="007B00B4">
        <w:t xml:space="preserve"> among (and possibly more accessible by)</w:t>
      </w:r>
      <w:r w:rsidR="00B855F0">
        <w:t xml:space="preserve"> householders 65 </w:t>
      </w:r>
      <w:r w:rsidR="007B00B4">
        <w:t>and older.</w:t>
      </w:r>
      <w:r w:rsidR="008C330C">
        <w:t xml:space="preserve"> </w:t>
      </w:r>
      <w:r w:rsidR="00D31391">
        <w:t>One</w:t>
      </w:r>
      <w:r w:rsidR="00FD6859">
        <w:t xml:space="preserve"> </w:t>
      </w:r>
      <w:r w:rsidR="00D31391">
        <w:t xml:space="preserve">third of </w:t>
      </w:r>
      <w:r w:rsidR="00515F9D">
        <w:t>C</w:t>
      </w:r>
      <w:r w:rsidR="00BF64BB">
        <w:t xml:space="preserve">ounty </w:t>
      </w:r>
      <w:r w:rsidR="00D31391">
        <w:t>household</w:t>
      </w:r>
      <w:r w:rsidR="00DC05AA">
        <w:t>s</w:t>
      </w:r>
      <w:r w:rsidR="00D31391">
        <w:t xml:space="preserve"> are headed by someone 65 or older, </w:t>
      </w:r>
      <w:r w:rsidR="00A12A63">
        <w:t xml:space="preserve">and </w:t>
      </w:r>
      <w:r w:rsidR="008313B4">
        <w:t>37</w:t>
      </w:r>
      <w:r w:rsidR="00CD3506">
        <w:t xml:space="preserve"> </w:t>
      </w:r>
      <w:r w:rsidR="008313B4">
        <w:t>percent include at least one person 65 or older</w:t>
      </w:r>
      <w:r w:rsidR="1522D890">
        <w:t>.</w:t>
      </w:r>
      <w:r w:rsidR="00A12A63">
        <w:t xml:space="preserve"> Moreover,</w:t>
      </w:r>
      <w:r w:rsidR="1522D890">
        <w:t xml:space="preserve"> </w:t>
      </w:r>
      <w:r w:rsidR="00D31391">
        <w:t>39 percent are headed by someone 45</w:t>
      </w:r>
      <w:r w:rsidR="004D37D6">
        <w:t>–</w:t>
      </w:r>
      <w:r w:rsidR="00D31391">
        <w:t>64, 25</w:t>
      </w:r>
      <w:r w:rsidR="00821E6F">
        <w:t xml:space="preserve"> percent</w:t>
      </w:r>
      <w:r w:rsidR="00D31391">
        <w:t xml:space="preserve"> by someone 25</w:t>
      </w:r>
      <w:r w:rsidR="00665877">
        <w:t>–</w:t>
      </w:r>
      <w:r w:rsidR="00D31391">
        <w:t xml:space="preserve">44, </w:t>
      </w:r>
      <w:r w:rsidR="00E83917">
        <w:t xml:space="preserve">and less than </w:t>
      </w:r>
      <w:r w:rsidR="00D31391">
        <w:t xml:space="preserve">3 </w:t>
      </w:r>
      <w:r w:rsidR="00C522E8">
        <w:t xml:space="preserve">percent </w:t>
      </w:r>
      <w:r w:rsidR="00D31391">
        <w:t>by someone younger than 25</w:t>
      </w:r>
      <w:r w:rsidR="00C522E8">
        <w:t>.</w:t>
      </w:r>
      <w:r w:rsidR="00FB4A10">
        <w:t xml:space="preserve"> About one quarter of households include children,</w:t>
      </w:r>
      <w:r w:rsidR="007E6E3F">
        <w:t xml:space="preserve"> that is,</w:t>
      </w:r>
      <w:r w:rsidR="00FB4A10">
        <w:t xml:space="preserve"> </w:t>
      </w:r>
      <w:r w:rsidR="005B01C9">
        <w:t>at least one person younger than 18.</w:t>
      </w:r>
    </w:p>
    <w:p w14:paraId="740C1978" w14:textId="77777777" w:rsidR="004B352A" w:rsidRDefault="004B352A" w:rsidP="00F05909">
      <w:pPr>
        <w:contextualSpacing/>
        <w:rPr>
          <w:b/>
        </w:rPr>
      </w:pPr>
    </w:p>
    <w:p w14:paraId="76357EA0" w14:textId="2A558234" w:rsidR="00F05909" w:rsidRPr="00DC784C" w:rsidRDefault="00F05909" w:rsidP="00F05909">
      <w:pPr>
        <w:contextualSpacing/>
        <w:rPr>
          <w:b/>
        </w:rPr>
      </w:pPr>
      <w:r w:rsidRPr="00DC784C">
        <w:rPr>
          <w:b/>
        </w:rPr>
        <w:t xml:space="preserve">Figure </w:t>
      </w:r>
      <w:r w:rsidR="00D34513">
        <w:rPr>
          <w:b/>
        </w:rPr>
        <w:t>4</w:t>
      </w:r>
      <w:r w:rsidRPr="00DC784C">
        <w:rPr>
          <w:b/>
        </w:rPr>
        <w:t xml:space="preserve">: </w:t>
      </w:r>
      <w:r w:rsidR="0022761D">
        <w:rPr>
          <w:b/>
        </w:rPr>
        <w:t>Age of</w:t>
      </w:r>
      <w:r w:rsidRPr="00DC784C">
        <w:rPr>
          <w:b/>
        </w:rPr>
        <w:t xml:space="preserve"> Household</w:t>
      </w:r>
      <w:r w:rsidR="0022761D">
        <w:rPr>
          <w:b/>
        </w:rPr>
        <w:t>er</w:t>
      </w:r>
      <w:r>
        <w:rPr>
          <w:b/>
        </w:rPr>
        <w:t xml:space="preserve"> as a Percent of All Households</w:t>
      </w:r>
    </w:p>
    <w:p w14:paraId="7D47B60F" w14:textId="149755CA" w:rsidR="00F05909" w:rsidRDefault="00F05909" w:rsidP="00F05909">
      <w:pPr>
        <w:contextualSpacing/>
      </w:pPr>
      <w:r>
        <w:t xml:space="preserve">Source: VCHR </w:t>
      </w:r>
      <w:r w:rsidR="00DB4368">
        <w:t xml:space="preserve">Tabulation </w:t>
      </w:r>
      <w:r>
        <w:t>of 2019 ACS 5-year Estimates</w:t>
      </w:r>
    </w:p>
    <w:p w14:paraId="13916C23" w14:textId="011462A0" w:rsidR="00DC5BED" w:rsidRPr="00DC5BED" w:rsidRDefault="00DC5BED" w:rsidP="00DC5BED">
      <w:pPr>
        <w:spacing w:after="0" w:line="240" w:lineRule="auto"/>
        <w:rPr>
          <w:rFonts w:ascii="Times New Roman" w:eastAsia="Times New Roman" w:hAnsi="Times New Roman" w:cs="Times New Roman"/>
          <w:sz w:val="24"/>
          <w:szCs w:val="24"/>
          <w:lang w:eastAsia="en-US"/>
        </w:rPr>
      </w:pPr>
      <w:r w:rsidRPr="00DC5BED">
        <w:rPr>
          <w:rFonts w:asciiTheme="majorHAnsi" w:eastAsiaTheme="majorEastAsia" w:hAnsiTheme="majorHAnsi" w:cstheme="majorBidi"/>
          <w:noProof/>
          <w:color w:val="2F5496" w:themeColor="accent1" w:themeShade="BF"/>
          <w:sz w:val="26"/>
          <w:szCs w:val="26"/>
          <w:lang w:eastAsia="en-US"/>
        </w:rPr>
        <w:drawing>
          <wp:inline distT="0" distB="0" distL="0" distR="0" wp14:anchorId="419BDD9B" wp14:editId="05A81FDA">
            <wp:extent cx="5734050" cy="2924175"/>
            <wp:effectExtent l="0" t="0" r="0" b="9525"/>
            <wp:docPr id="5" name="Picture 5" descr="C:\Users\deades\AppData\Local\Microsoft\Windows\INetCache\Content.MSO\26BC28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ades\AppData\Local\Microsoft\Windows\INetCache\Content.MSO\26BC289.t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4050" cy="2924175"/>
                    </a:xfrm>
                    <a:prstGeom prst="rect">
                      <a:avLst/>
                    </a:prstGeom>
                    <a:noFill/>
                    <a:ln>
                      <a:noFill/>
                    </a:ln>
                  </pic:spPr>
                </pic:pic>
              </a:graphicData>
            </a:graphic>
          </wp:inline>
        </w:drawing>
      </w:r>
    </w:p>
    <w:p w14:paraId="5035447B" w14:textId="77777777" w:rsidR="0079439E" w:rsidRDefault="0079439E" w:rsidP="00090518">
      <w:pPr>
        <w:pStyle w:val="Heading2"/>
      </w:pPr>
    </w:p>
    <w:p w14:paraId="122BE6AF" w14:textId="5B01416D" w:rsidR="00D41464" w:rsidRPr="003020BD" w:rsidRDefault="00D41464" w:rsidP="00D41464">
      <w:pPr>
        <w:contextualSpacing/>
      </w:pPr>
      <w:r w:rsidRPr="00DC784C">
        <w:rPr>
          <w:b/>
        </w:rPr>
        <w:t xml:space="preserve">Figure </w:t>
      </w:r>
      <w:r w:rsidR="00D34513">
        <w:rPr>
          <w:b/>
        </w:rPr>
        <w:t>5</w:t>
      </w:r>
      <w:r w:rsidRPr="00DC784C">
        <w:rPr>
          <w:b/>
        </w:rPr>
        <w:t xml:space="preserve">: </w:t>
      </w:r>
      <w:r w:rsidRPr="003020BD">
        <w:rPr>
          <w:b/>
          <w:bCs/>
        </w:rPr>
        <w:t>Randolph County Households by Tenure and Age of Householder</w:t>
      </w:r>
    </w:p>
    <w:p w14:paraId="393D86D0" w14:textId="77777777" w:rsidR="00D41464" w:rsidRPr="003020BD" w:rsidRDefault="00D41464" w:rsidP="00D41464">
      <w:pPr>
        <w:contextualSpacing/>
      </w:pPr>
      <w:r>
        <w:t xml:space="preserve">Source: </w:t>
      </w:r>
      <w:r w:rsidRPr="003020BD">
        <w:t>VCHR Tabulation of 2019 ACS 5-year Estimates</w:t>
      </w:r>
    </w:p>
    <w:p w14:paraId="0869BF18" w14:textId="7F96433E" w:rsidR="00D41464" w:rsidRDefault="00D41464" w:rsidP="00D41464">
      <w:pPr>
        <w:spacing w:after="0"/>
      </w:pPr>
      <w:r>
        <w:rPr>
          <w:noProof/>
        </w:rPr>
        <w:drawing>
          <wp:inline distT="0" distB="0" distL="0" distR="0" wp14:anchorId="48CC143E" wp14:editId="09266D84">
            <wp:extent cx="5581650" cy="1724025"/>
            <wp:effectExtent l="0" t="0" r="0" b="9525"/>
            <wp:docPr id="13" name="Chart 13">
              <a:extLst xmlns:a="http://schemas.openxmlformats.org/drawingml/2006/main">
                <a:ext uri="{FF2B5EF4-FFF2-40B4-BE49-F238E27FC236}">
                  <a16:creationId xmlns:a16="http://schemas.microsoft.com/office/drawing/2014/main" id="{01B80B2D-6B49-4CE5-98A3-A655B09F01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BD4B3EA" w14:textId="77777777" w:rsidR="00D41464" w:rsidRDefault="00D41464" w:rsidP="00D41464">
      <w:pPr>
        <w:contextualSpacing/>
        <w:rPr>
          <w:b/>
        </w:rPr>
      </w:pPr>
    </w:p>
    <w:p w14:paraId="75F63AC6" w14:textId="77777777" w:rsidR="005E5798" w:rsidRDefault="005E5798" w:rsidP="0079439E">
      <w:pPr>
        <w:contextualSpacing/>
      </w:pPr>
    </w:p>
    <w:p w14:paraId="23BE6C25" w14:textId="0CC2EF24" w:rsidR="0079439E" w:rsidRPr="0079439E" w:rsidRDefault="00D41464" w:rsidP="0079439E">
      <w:pPr>
        <w:contextualSpacing/>
      </w:pPr>
      <w:r w:rsidRPr="00D42D4E">
        <w:t>Households headed by someone younger than 44 are far more likely to rent</w:t>
      </w:r>
      <w:r w:rsidR="00DC05AA">
        <w:t xml:space="preserve"> than </w:t>
      </w:r>
      <w:r w:rsidR="007E6E3F">
        <w:t xml:space="preserve">those </w:t>
      </w:r>
      <w:r w:rsidR="00DC05AA">
        <w:t>headed by someone older.</w:t>
      </w:r>
    </w:p>
    <w:p w14:paraId="34D4415E" w14:textId="2A2FA277" w:rsidR="00090518" w:rsidRPr="000F5620" w:rsidRDefault="00090518" w:rsidP="00090518">
      <w:pPr>
        <w:pStyle w:val="Heading2"/>
        <w:rPr>
          <w:rFonts w:asciiTheme="minorHAnsi" w:eastAsiaTheme="minorHAnsi" w:hAnsiTheme="minorHAnsi" w:cstheme="minorBidi"/>
          <w:color w:val="auto"/>
        </w:rPr>
      </w:pPr>
      <w:bookmarkStart w:id="27" w:name="_Toc120703908"/>
      <w:r>
        <w:lastRenderedPageBreak/>
        <w:t>Tenure</w:t>
      </w:r>
      <w:bookmarkEnd w:id="27"/>
    </w:p>
    <w:p w14:paraId="5F4154C7" w14:textId="04DD9529" w:rsidR="00310385" w:rsidRDefault="0A105EE2">
      <w:r>
        <w:t>Randolph County has the largest proportion of renters in the study region, and renters are more concentrated in and around Elkins.</w:t>
      </w:r>
      <w:r w:rsidR="37AF0D4B">
        <w:t xml:space="preserve"> This is likely </w:t>
      </w:r>
      <w:r w:rsidR="172F0977">
        <w:t>d</w:t>
      </w:r>
      <w:r w:rsidR="03F04E1D">
        <w:t>riven in part by</w:t>
      </w:r>
      <w:r w:rsidR="37AF0D4B">
        <w:t xml:space="preserve"> the presence of Davis and Elkins College</w:t>
      </w:r>
      <w:r w:rsidR="00100112">
        <w:t>,</w:t>
      </w:r>
      <w:r w:rsidR="6F138240">
        <w:t xml:space="preserve"> which has a population of just over 800 students.</w:t>
      </w:r>
    </w:p>
    <w:p w14:paraId="48ECFA18" w14:textId="2DF1E516" w:rsidR="00C93B63" w:rsidRPr="008C4152" w:rsidRDefault="00C93B63" w:rsidP="00C93B63">
      <w:pPr>
        <w:contextualSpacing/>
        <w:rPr>
          <w:b/>
        </w:rPr>
      </w:pPr>
      <w:r w:rsidRPr="008C4152">
        <w:rPr>
          <w:b/>
        </w:rPr>
        <w:t xml:space="preserve">Figure </w:t>
      </w:r>
      <w:r w:rsidR="00D34513">
        <w:rPr>
          <w:b/>
        </w:rPr>
        <w:t>6</w:t>
      </w:r>
      <w:r w:rsidRPr="008C4152">
        <w:rPr>
          <w:b/>
        </w:rPr>
        <w:t>. Households by Tenure (Renter/Owner)</w:t>
      </w:r>
    </w:p>
    <w:p w14:paraId="61A586A1" w14:textId="2D5CF9DE" w:rsidR="00DC5BED" w:rsidRPr="00DC5BED" w:rsidRDefault="00C93B63" w:rsidP="00DC5BED">
      <w:pPr>
        <w:rPr>
          <w:rFonts w:ascii="Times New Roman" w:eastAsia="Times New Roman" w:hAnsi="Times New Roman" w:cs="Times New Roman"/>
          <w:sz w:val="24"/>
          <w:szCs w:val="24"/>
          <w:lang w:eastAsia="en-US"/>
        </w:rPr>
      </w:pPr>
      <w:r>
        <w:t xml:space="preserve">Source: VCHR </w:t>
      </w:r>
      <w:r w:rsidR="00DB4368">
        <w:t xml:space="preserve">Tabulation </w:t>
      </w:r>
      <w:r>
        <w:t>of 2019 ACS 5-year Estimates</w:t>
      </w:r>
      <w:r w:rsidR="00DC5BED" w:rsidRPr="00DC5BED">
        <w:rPr>
          <w:noProof/>
        </w:rPr>
        <w:drawing>
          <wp:inline distT="0" distB="0" distL="0" distR="0" wp14:anchorId="1AE516B9" wp14:editId="51CF9CF2">
            <wp:extent cx="5734050" cy="2924175"/>
            <wp:effectExtent l="0" t="0" r="0" b="9525"/>
            <wp:docPr id="6" name="Picture 6" descr="C:\Users\deades\AppData\Local\Microsoft\Windows\INetCache\Content.MSO\301E0E7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ades\AppData\Local\Microsoft\Windows\INetCache\Content.MSO\301E0E7F.t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4050" cy="2924175"/>
                    </a:xfrm>
                    <a:prstGeom prst="rect">
                      <a:avLst/>
                    </a:prstGeom>
                    <a:noFill/>
                    <a:ln>
                      <a:noFill/>
                    </a:ln>
                  </pic:spPr>
                </pic:pic>
              </a:graphicData>
            </a:graphic>
          </wp:inline>
        </w:drawing>
      </w:r>
    </w:p>
    <w:p w14:paraId="432606FC" w14:textId="77777777" w:rsidR="00DC5BED" w:rsidRDefault="00DC5BED"/>
    <w:p w14:paraId="69ECFCDC" w14:textId="1269F6A4" w:rsidR="000129B7" w:rsidRDefault="00D027A6">
      <w:r>
        <w:t>Throughout the study region, renter</w:t>
      </w:r>
      <w:r w:rsidR="30914DA5">
        <w:t>s</w:t>
      </w:r>
      <w:r>
        <w:t xml:space="preserve"> tend to have far</w:t>
      </w:r>
      <w:r w:rsidR="00483C8C">
        <w:t>-</w:t>
      </w:r>
      <w:r>
        <w:t>lower incomes than owners</w:t>
      </w:r>
      <w:r w:rsidR="00100112">
        <w:t xml:space="preserve"> do</w:t>
      </w:r>
      <w:r w:rsidR="002D31FF">
        <w:t xml:space="preserve">. The median income in Randolph is the </w:t>
      </w:r>
      <w:proofErr w:type="gramStart"/>
      <w:r w:rsidR="002D31FF">
        <w:t>second</w:t>
      </w:r>
      <w:r w:rsidR="00BA0572">
        <w:t>-</w:t>
      </w:r>
      <w:r w:rsidR="002D31FF">
        <w:t>highest</w:t>
      </w:r>
      <w:proofErr w:type="gramEnd"/>
      <w:r w:rsidR="002D31FF">
        <w:t xml:space="preserve"> in the study region</w:t>
      </w:r>
      <w:r w:rsidR="00452F41">
        <w:t>,</w:t>
      </w:r>
      <w:r w:rsidR="0039460F">
        <w:t xml:space="preserve"> and household income</w:t>
      </w:r>
      <w:r w:rsidR="251AF01E">
        <w:t>s</w:t>
      </w:r>
      <w:r w:rsidR="0039460F">
        <w:t xml:space="preserve"> in and around the </w:t>
      </w:r>
      <w:r w:rsidR="00452F41">
        <w:t xml:space="preserve">City </w:t>
      </w:r>
      <w:r w:rsidR="0039460F">
        <w:t xml:space="preserve">of Elkins are much higher </w:t>
      </w:r>
      <w:r w:rsidR="79A09DD8">
        <w:t xml:space="preserve">than </w:t>
      </w:r>
      <w:r w:rsidR="00452F41">
        <w:t xml:space="preserve">that </w:t>
      </w:r>
      <w:r w:rsidR="79A09DD8">
        <w:t>in</w:t>
      </w:r>
      <w:r w:rsidR="0039460F">
        <w:t xml:space="preserve"> the </w:t>
      </w:r>
      <w:r w:rsidR="00452F41">
        <w:t>County overall</w:t>
      </w:r>
      <w:r w:rsidR="0039460F">
        <w:t>.</w:t>
      </w:r>
    </w:p>
    <w:p w14:paraId="46C1E467" w14:textId="2D125622" w:rsidR="00FB4F69" w:rsidRDefault="00FB4F69" w:rsidP="00FB4F69">
      <w:pPr>
        <w:pStyle w:val="Heading2"/>
      </w:pPr>
      <w:bookmarkStart w:id="28" w:name="_Toc62593600"/>
      <w:bookmarkStart w:id="29" w:name="_Toc120703909"/>
      <w:r>
        <w:t>Household Income</w:t>
      </w:r>
      <w:bookmarkEnd w:id="28"/>
      <w:bookmarkEnd w:id="29"/>
    </w:p>
    <w:p w14:paraId="68B3139D" w14:textId="4E0344AD" w:rsidR="00E8013E" w:rsidRDefault="007E266A" w:rsidP="00693D07">
      <w:r>
        <w:t xml:space="preserve">Median income in Randolph County is among the highest in its commute shed but 7 percent lower than the West Virginia </w:t>
      </w:r>
      <w:r w:rsidR="001701C5">
        <w:t>median</w:t>
      </w:r>
      <w:r>
        <w:t>. Renters have significantly lower incomes than owners throughout the entire commute shed. The median renter household in Randolph County has an income of $25,625 and can afford no more than $640 per month for housing. The median owner household</w:t>
      </w:r>
      <w:r w:rsidR="00F50204">
        <w:t xml:space="preserve"> has an income of $51,815, more than twice that of the median renter</w:t>
      </w:r>
      <w:r w:rsidR="00E42EE8">
        <w:t>, and they</w:t>
      </w:r>
      <w:r w:rsidR="00F50204">
        <w:t xml:space="preserve"> can afford no more than $1,295 per month for housing costs. The income gap between owners and </w:t>
      </w:r>
      <w:r w:rsidR="78246810">
        <w:t>renters</w:t>
      </w:r>
      <w:r w:rsidR="00F50204">
        <w:t xml:space="preserve"> in the Elkins area is larger</w:t>
      </w:r>
      <w:r w:rsidR="002C78CE">
        <w:t>:</w:t>
      </w:r>
      <w:r w:rsidR="00F50204">
        <w:t xml:space="preserve"> the owner median </w:t>
      </w:r>
      <w:r w:rsidR="002C78CE">
        <w:t xml:space="preserve">is </w:t>
      </w:r>
      <w:r w:rsidR="00F50204">
        <w:t xml:space="preserve">58 percent greater than the renter median. </w:t>
      </w:r>
    </w:p>
    <w:p w14:paraId="34415BCF" w14:textId="77777777" w:rsidR="00693D07" w:rsidRDefault="00693D07">
      <w:pPr>
        <w:rPr>
          <w:b/>
        </w:rPr>
      </w:pPr>
      <w:r>
        <w:rPr>
          <w:b/>
        </w:rPr>
        <w:br w:type="page"/>
      </w:r>
    </w:p>
    <w:p w14:paraId="7392F972" w14:textId="0F8D2140" w:rsidR="00FB4F69" w:rsidRDefault="00992DE6" w:rsidP="005637DF">
      <w:pPr>
        <w:contextualSpacing/>
        <w:rPr>
          <w:b/>
        </w:rPr>
      </w:pPr>
      <w:r w:rsidRPr="00933E4F">
        <w:rPr>
          <w:b/>
        </w:rPr>
        <w:lastRenderedPageBreak/>
        <w:t xml:space="preserve">Table </w:t>
      </w:r>
      <w:r w:rsidR="00D34513">
        <w:rPr>
          <w:b/>
        </w:rPr>
        <w:t>3</w:t>
      </w:r>
      <w:r w:rsidRPr="00933E4F">
        <w:rPr>
          <w:b/>
        </w:rPr>
        <w:t xml:space="preserve">. Median Household Income </w:t>
      </w:r>
    </w:p>
    <w:p w14:paraId="3D10093F" w14:textId="5F5D1956" w:rsidR="00CA35CE" w:rsidRDefault="00CA35CE">
      <w:r>
        <w:t xml:space="preserve">Source: </w:t>
      </w:r>
      <w:r w:rsidR="005637DF">
        <w:t>2019 ACS Median Income, VCHR Tabulation of Maximum Affordable Housing Costs</w:t>
      </w:r>
    </w:p>
    <w:tbl>
      <w:tblPr>
        <w:tblW w:w="8910" w:type="dxa"/>
        <w:tblLook w:val="04A0" w:firstRow="1" w:lastRow="0" w:firstColumn="1" w:lastColumn="0" w:noHBand="0" w:noVBand="1"/>
      </w:tblPr>
      <w:tblGrid>
        <w:gridCol w:w="3833"/>
        <w:gridCol w:w="2334"/>
        <w:gridCol w:w="2743"/>
      </w:tblGrid>
      <w:tr w:rsidR="003049C9" w:rsidRPr="003049C9" w14:paraId="106C970C" w14:textId="77777777" w:rsidTr="00966CD9">
        <w:trPr>
          <w:trHeight w:val="233"/>
        </w:trPr>
        <w:tc>
          <w:tcPr>
            <w:tcW w:w="38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1B3A59" w14:textId="77777777" w:rsidR="003049C9" w:rsidRPr="003049C9" w:rsidRDefault="003049C9" w:rsidP="003049C9">
            <w:pPr>
              <w:spacing w:after="0" w:line="240" w:lineRule="auto"/>
              <w:rPr>
                <w:rFonts w:ascii="Arial" w:eastAsia="Times New Roman" w:hAnsi="Arial" w:cs="Arial"/>
                <w:color w:val="000000"/>
                <w:sz w:val="20"/>
                <w:szCs w:val="20"/>
              </w:rPr>
            </w:pPr>
            <w:r w:rsidRPr="003049C9">
              <w:rPr>
                <w:rFonts w:ascii="Arial" w:eastAsia="Times New Roman" w:hAnsi="Arial" w:cs="Arial"/>
                <w:color w:val="000000"/>
                <w:sz w:val="20"/>
                <w:szCs w:val="20"/>
              </w:rPr>
              <w:t> </w:t>
            </w:r>
          </w:p>
        </w:tc>
        <w:tc>
          <w:tcPr>
            <w:tcW w:w="2334" w:type="dxa"/>
            <w:tcBorders>
              <w:top w:val="single" w:sz="4" w:space="0" w:color="auto"/>
              <w:left w:val="nil"/>
              <w:bottom w:val="single" w:sz="4" w:space="0" w:color="auto"/>
              <w:right w:val="single" w:sz="4" w:space="0" w:color="auto"/>
            </w:tcBorders>
            <w:shd w:val="clear" w:color="auto" w:fill="auto"/>
            <w:noWrap/>
            <w:vAlign w:val="bottom"/>
            <w:hideMark/>
          </w:tcPr>
          <w:p w14:paraId="2C9A3B94" w14:textId="77777777" w:rsidR="003049C9" w:rsidRPr="003049C9" w:rsidRDefault="003049C9" w:rsidP="00E523B2">
            <w:pPr>
              <w:spacing w:after="0" w:line="240" w:lineRule="auto"/>
              <w:rPr>
                <w:rFonts w:ascii="Calibri" w:eastAsia="Times New Roman" w:hAnsi="Calibri" w:cs="Calibri"/>
                <w:color w:val="000000"/>
                <w:lang w:eastAsia="en-US"/>
              </w:rPr>
            </w:pPr>
            <w:r w:rsidRPr="003049C9">
              <w:rPr>
                <w:rFonts w:ascii="Calibri" w:eastAsia="Times New Roman" w:hAnsi="Calibri" w:cs="Calibri"/>
                <w:color w:val="000000"/>
                <w:lang w:eastAsia="en-US"/>
              </w:rPr>
              <w:t>Median Income</w:t>
            </w:r>
          </w:p>
        </w:tc>
        <w:tc>
          <w:tcPr>
            <w:tcW w:w="2743" w:type="dxa"/>
            <w:tcBorders>
              <w:top w:val="single" w:sz="4" w:space="0" w:color="auto"/>
              <w:left w:val="nil"/>
              <w:bottom w:val="single" w:sz="4" w:space="0" w:color="auto"/>
              <w:right w:val="single" w:sz="4" w:space="0" w:color="auto"/>
            </w:tcBorders>
            <w:shd w:val="clear" w:color="auto" w:fill="auto"/>
            <w:noWrap/>
            <w:vAlign w:val="bottom"/>
            <w:hideMark/>
          </w:tcPr>
          <w:p w14:paraId="33EC6F0A" w14:textId="77777777" w:rsidR="003049C9" w:rsidRPr="003049C9" w:rsidRDefault="003049C9" w:rsidP="00E523B2">
            <w:pPr>
              <w:spacing w:after="0" w:line="240" w:lineRule="auto"/>
              <w:rPr>
                <w:rFonts w:ascii="Calibri" w:eastAsia="Times New Roman" w:hAnsi="Calibri" w:cs="Calibri"/>
                <w:color w:val="000000"/>
                <w:lang w:eastAsia="en-US"/>
              </w:rPr>
            </w:pPr>
            <w:r w:rsidRPr="003049C9">
              <w:rPr>
                <w:rFonts w:ascii="Calibri" w:eastAsia="Times New Roman" w:hAnsi="Calibri" w:cs="Calibri"/>
                <w:color w:val="000000"/>
                <w:lang w:eastAsia="en-US"/>
              </w:rPr>
              <w:t>Maximum Affordable Housing Costs</w:t>
            </w:r>
          </w:p>
        </w:tc>
      </w:tr>
      <w:tr w:rsidR="003049C9" w:rsidRPr="003049C9" w14:paraId="7E6130F2" w14:textId="77777777" w:rsidTr="00966CD9">
        <w:trPr>
          <w:trHeight w:val="233"/>
        </w:trPr>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30EB549E" w14:textId="77777777" w:rsidR="003049C9" w:rsidRPr="003049C9" w:rsidRDefault="003049C9" w:rsidP="00E523B2">
            <w:pPr>
              <w:spacing w:after="0" w:line="240" w:lineRule="auto"/>
              <w:jc w:val="both"/>
              <w:rPr>
                <w:rFonts w:ascii="Calibri" w:eastAsia="Times New Roman" w:hAnsi="Calibri" w:cs="Calibri"/>
                <w:color w:val="000000"/>
                <w:lang w:eastAsia="en-US"/>
              </w:rPr>
            </w:pPr>
            <w:r w:rsidRPr="003049C9">
              <w:rPr>
                <w:rFonts w:ascii="Calibri" w:eastAsia="Times New Roman" w:hAnsi="Calibri" w:cs="Calibri"/>
                <w:color w:val="000000"/>
                <w:lang w:eastAsia="en-US"/>
              </w:rPr>
              <w:t>West Virginia</w:t>
            </w:r>
          </w:p>
        </w:tc>
        <w:tc>
          <w:tcPr>
            <w:tcW w:w="2334" w:type="dxa"/>
            <w:tcBorders>
              <w:top w:val="nil"/>
              <w:left w:val="nil"/>
              <w:bottom w:val="single" w:sz="4" w:space="0" w:color="auto"/>
              <w:right w:val="single" w:sz="4" w:space="0" w:color="auto"/>
            </w:tcBorders>
            <w:shd w:val="clear" w:color="auto" w:fill="auto"/>
            <w:noWrap/>
            <w:vAlign w:val="bottom"/>
            <w:hideMark/>
          </w:tcPr>
          <w:p w14:paraId="4F1A0026"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$46,711 </w:t>
            </w:r>
          </w:p>
        </w:tc>
        <w:tc>
          <w:tcPr>
            <w:tcW w:w="2743" w:type="dxa"/>
            <w:tcBorders>
              <w:top w:val="nil"/>
              <w:left w:val="nil"/>
              <w:bottom w:val="single" w:sz="4" w:space="0" w:color="auto"/>
              <w:right w:val="single" w:sz="4" w:space="0" w:color="auto"/>
            </w:tcBorders>
            <w:shd w:val="clear" w:color="auto" w:fill="auto"/>
            <w:noWrap/>
            <w:vAlign w:val="bottom"/>
            <w:hideMark/>
          </w:tcPr>
          <w:p w14:paraId="338487F9"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$1,168 </w:t>
            </w:r>
          </w:p>
        </w:tc>
      </w:tr>
      <w:tr w:rsidR="003049C9" w:rsidRPr="003049C9" w14:paraId="59347A36" w14:textId="77777777" w:rsidTr="00966CD9">
        <w:trPr>
          <w:trHeight w:val="233"/>
        </w:trPr>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719FBDC8" w14:textId="77777777" w:rsidR="003049C9" w:rsidRPr="003049C9" w:rsidRDefault="003049C9" w:rsidP="00E523B2">
            <w:pPr>
              <w:spacing w:after="0" w:line="240" w:lineRule="auto"/>
              <w:jc w:val="both"/>
              <w:rPr>
                <w:rFonts w:ascii="Calibri" w:eastAsia="Times New Roman" w:hAnsi="Calibri" w:cs="Calibri"/>
                <w:color w:val="000000"/>
                <w:lang w:eastAsia="en-US"/>
              </w:rPr>
            </w:pPr>
            <w:r w:rsidRPr="003049C9">
              <w:rPr>
                <w:rFonts w:ascii="Calibri" w:eastAsia="Times New Roman" w:hAnsi="Calibri" w:cs="Calibri"/>
                <w:color w:val="000000"/>
                <w:lang w:eastAsia="en-US"/>
              </w:rPr>
              <w:t>Randolph County</w:t>
            </w:r>
          </w:p>
        </w:tc>
        <w:tc>
          <w:tcPr>
            <w:tcW w:w="2334" w:type="dxa"/>
            <w:tcBorders>
              <w:top w:val="nil"/>
              <w:left w:val="nil"/>
              <w:bottom w:val="single" w:sz="4" w:space="0" w:color="auto"/>
              <w:right w:val="single" w:sz="4" w:space="0" w:color="auto"/>
            </w:tcBorders>
            <w:shd w:val="clear" w:color="auto" w:fill="auto"/>
            <w:noWrap/>
            <w:vAlign w:val="bottom"/>
            <w:hideMark/>
          </w:tcPr>
          <w:p w14:paraId="184083E4"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$43,320 </w:t>
            </w:r>
          </w:p>
        </w:tc>
        <w:tc>
          <w:tcPr>
            <w:tcW w:w="2743" w:type="dxa"/>
            <w:tcBorders>
              <w:top w:val="nil"/>
              <w:left w:val="nil"/>
              <w:bottom w:val="single" w:sz="4" w:space="0" w:color="auto"/>
              <w:right w:val="single" w:sz="4" w:space="0" w:color="auto"/>
            </w:tcBorders>
            <w:shd w:val="clear" w:color="auto" w:fill="auto"/>
            <w:noWrap/>
            <w:vAlign w:val="bottom"/>
            <w:hideMark/>
          </w:tcPr>
          <w:p w14:paraId="7E107A65"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$1,083 </w:t>
            </w:r>
          </w:p>
        </w:tc>
      </w:tr>
      <w:tr w:rsidR="003049C9" w:rsidRPr="003049C9" w14:paraId="73843C42" w14:textId="77777777" w:rsidTr="00966CD9">
        <w:trPr>
          <w:trHeight w:val="233"/>
        </w:trPr>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4D415DD5" w14:textId="77777777" w:rsidR="003049C9" w:rsidRPr="003049C9" w:rsidRDefault="003049C9" w:rsidP="00E523B2">
            <w:pPr>
              <w:spacing w:after="0" w:line="240" w:lineRule="auto"/>
              <w:jc w:val="both"/>
              <w:rPr>
                <w:rFonts w:ascii="Calibri" w:eastAsia="Times New Roman" w:hAnsi="Calibri" w:cs="Calibri"/>
                <w:color w:val="000000"/>
                <w:lang w:eastAsia="en-US"/>
              </w:rPr>
            </w:pPr>
            <w:r w:rsidRPr="003049C9">
              <w:rPr>
                <w:rFonts w:ascii="Calibri" w:eastAsia="Times New Roman" w:hAnsi="Calibri" w:cs="Calibri"/>
                <w:color w:val="000000"/>
                <w:lang w:eastAsia="en-US"/>
              </w:rPr>
              <w:t>ZIP Code 26241</w:t>
            </w:r>
          </w:p>
        </w:tc>
        <w:tc>
          <w:tcPr>
            <w:tcW w:w="2334" w:type="dxa"/>
            <w:tcBorders>
              <w:top w:val="nil"/>
              <w:left w:val="nil"/>
              <w:bottom w:val="single" w:sz="4" w:space="0" w:color="auto"/>
              <w:right w:val="single" w:sz="4" w:space="0" w:color="auto"/>
            </w:tcBorders>
            <w:shd w:val="clear" w:color="auto" w:fill="auto"/>
            <w:noWrap/>
            <w:vAlign w:val="bottom"/>
            <w:hideMark/>
          </w:tcPr>
          <w:p w14:paraId="5FB983A7"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$42,563 </w:t>
            </w:r>
          </w:p>
        </w:tc>
        <w:tc>
          <w:tcPr>
            <w:tcW w:w="2743" w:type="dxa"/>
            <w:tcBorders>
              <w:top w:val="nil"/>
              <w:left w:val="nil"/>
              <w:bottom w:val="single" w:sz="4" w:space="0" w:color="auto"/>
              <w:right w:val="single" w:sz="4" w:space="0" w:color="auto"/>
            </w:tcBorders>
            <w:shd w:val="clear" w:color="auto" w:fill="auto"/>
            <w:noWrap/>
            <w:vAlign w:val="bottom"/>
            <w:hideMark/>
          </w:tcPr>
          <w:p w14:paraId="6AFC7E40"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$1,064 </w:t>
            </w:r>
          </w:p>
        </w:tc>
      </w:tr>
      <w:tr w:rsidR="003049C9" w:rsidRPr="003049C9" w14:paraId="6F6FFFF9" w14:textId="77777777" w:rsidTr="00966CD9">
        <w:trPr>
          <w:trHeight w:val="233"/>
        </w:trPr>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3308961B" w14:textId="77777777" w:rsidR="003049C9" w:rsidRPr="003049C9" w:rsidRDefault="003049C9" w:rsidP="00E523B2">
            <w:pPr>
              <w:spacing w:after="0" w:line="240" w:lineRule="auto"/>
              <w:jc w:val="both"/>
              <w:rPr>
                <w:rFonts w:ascii="Calibri" w:eastAsia="Times New Roman" w:hAnsi="Calibri" w:cs="Calibri"/>
                <w:color w:val="000000"/>
                <w:lang w:eastAsia="en-US"/>
              </w:rPr>
            </w:pPr>
            <w:r w:rsidRPr="003049C9">
              <w:rPr>
                <w:rFonts w:ascii="Calibri" w:eastAsia="Times New Roman" w:hAnsi="Calibri" w:cs="Calibri"/>
                <w:color w:val="000000"/>
                <w:lang w:eastAsia="en-US"/>
              </w:rPr>
              <w:t>Barbour County</w:t>
            </w:r>
          </w:p>
        </w:tc>
        <w:tc>
          <w:tcPr>
            <w:tcW w:w="2334" w:type="dxa"/>
            <w:tcBorders>
              <w:top w:val="nil"/>
              <w:left w:val="nil"/>
              <w:bottom w:val="single" w:sz="4" w:space="0" w:color="auto"/>
              <w:right w:val="single" w:sz="4" w:space="0" w:color="auto"/>
            </w:tcBorders>
            <w:shd w:val="clear" w:color="auto" w:fill="auto"/>
            <w:noWrap/>
            <w:vAlign w:val="bottom"/>
            <w:hideMark/>
          </w:tcPr>
          <w:p w14:paraId="6B735376"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$38,459 </w:t>
            </w:r>
          </w:p>
        </w:tc>
        <w:tc>
          <w:tcPr>
            <w:tcW w:w="2743" w:type="dxa"/>
            <w:tcBorders>
              <w:top w:val="nil"/>
              <w:left w:val="nil"/>
              <w:bottom w:val="single" w:sz="4" w:space="0" w:color="auto"/>
              <w:right w:val="single" w:sz="4" w:space="0" w:color="auto"/>
            </w:tcBorders>
            <w:shd w:val="clear" w:color="auto" w:fill="auto"/>
            <w:noWrap/>
            <w:vAlign w:val="bottom"/>
            <w:hideMark/>
          </w:tcPr>
          <w:p w14:paraId="4255C4E9"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$961 </w:t>
            </w:r>
          </w:p>
        </w:tc>
      </w:tr>
      <w:tr w:rsidR="003049C9" w:rsidRPr="003049C9" w14:paraId="0899049E" w14:textId="77777777" w:rsidTr="00966CD9">
        <w:trPr>
          <w:trHeight w:val="233"/>
        </w:trPr>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36BBF1C9" w14:textId="77777777" w:rsidR="003049C9" w:rsidRPr="003049C9" w:rsidRDefault="003049C9" w:rsidP="00E523B2">
            <w:pPr>
              <w:spacing w:after="0" w:line="240" w:lineRule="auto"/>
              <w:jc w:val="both"/>
              <w:rPr>
                <w:rFonts w:ascii="Calibri" w:eastAsia="Times New Roman" w:hAnsi="Calibri" w:cs="Calibri"/>
                <w:color w:val="000000"/>
                <w:lang w:eastAsia="en-US"/>
              </w:rPr>
            </w:pPr>
            <w:r w:rsidRPr="003049C9">
              <w:rPr>
                <w:rFonts w:ascii="Calibri" w:eastAsia="Times New Roman" w:hAnsi="Calibri" w:cs="Calibri"/>
                <w:color w:val="000000"/>
                <w:lang w:eastAsia="en-US"/>
              </w:rPr>
              <w:t>Tucker County</w:t>
            </w:r>
          </w:p>
        </w:tc>
        <w:tc>
          <w:tcPr>
            <w:tcW w:w="2334" w:type="dxa"/>
            <w:tcBorders>
              <w:top w:val="nil"/>
              <w:left w:val="nil"/>
              <w:bottom w:val="single" w:sz="4" w:space="0" w:color="auto"/>
              <w:right w:val="single" w:sz="4" w:space="0" w:color="auto"/>
            </w:tcBorders>
            <w:shd w:val="clear" w:color="auto" w:fill="auto"/>
            <w:noWrap/>
            <w:vAlign w:val="bottom"/>
            <w:hideMark/>
          </w:tcPr>
          <w:p w14:paraId="63378F73"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$49,118 </w:t>
            </w:r>
          </w:p>
        </w:tc>
        <w:tc>
          <w:tcPr>
            <w:tcW w:w="2743" w:type="dxa"/>
            <w:tcBorders>
              <w:top w:val="nil"/>
              <w:left w:val="nil"/>
              <w:bottom w:val="single" w:sz="4" w:space="0" w:color="auto"/>
              <w:right w:val="single" w:sz="4" w:space="0" w:color="auto"/>
            </w:tcBorders>
            <w:shd w:val="clear" w:color="auto" w:fill="auto"/>
            <w:noWrap/>
            <w:vAlign w:val="bottom"/>
            <w:hideMark/>
          </w:tcPr>
          <w:p w14:paraId="65870A0A"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$1,228 </w:t>
            </w:r>
          </w:p>
        </w:tc>
      </w:tr>
      <w:tr w:rsidR="003049C9" w:rsidRPr="003049C9" w14:paraId="5EB0CE5F" w14:textId="77777777" w:rsidTr="00966CD9">
        <w:trPr>
          <w:trHeight w:val="233"/>
        </w:trPr>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7152D2D9" w14:textId="77777777" w:rsidR="003049C9" w:rsidRPr="003049C9" w:rsidRDefault="003049C9" w:rsidP="00E523B2">
            <w:pPr>
              <w:spacing w:after="0" w:line="240" w:lineRule="auto"/>
              <w:jc w:val="both"/>
              <w:rPr>
                <w:rFonts w:ascii="Calibri" w:eastAsia="Times New Roman" w:hAnsi="Calibri" w:cs="Calibri"/>
                <w:color w:val="000000"/>
                <w:lang w:eastAsia="en-US"/>
              </w:rPr>
            </w:pPr>
            <w:r w:rsidRPr="003049C9">
              <w:rPr>
                <w:rFonts w:ascii="Calibri" w:eastAsia="Times New Roman" w:hAnsi="Calibri" w:cs="Calibri"/>
                <w:color w:val="000000"/>
                <w:lang w:eastAsia="en-US"/>
              </w:rPr>
              <w:t>Upshur County</w:t>
            </w:r>
          </w:p>
        </w:tc>
        <w:tc>
          <w:tcPr>
            <w:tcW w:w="2334" w:type="dxa"/>
            <w:tcBorders>
              <w:top w:val="nil"/>
              <w:left w:val="nil"/>
              <w:bottom w:val="single" w:sz="4" w:space="0" w:color="auto"/>
              <w:right w:val="single" w:sz="4" w:space="0" w:color="auto"/>
            </w:tcBorders>
            <w:shd w:val="clear" w:color="auto" w:fill="auto"/>
            <w:noWrap/>
            <w:vAlign w:val="bottom"/>
            <w:hideMark/>
          </w:tcPr>
          <w:p w14:paraId="116FCA8B"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$40,322 </w:t>
            </w:r>
          </w:p>
        </w:tc>
        <w:tc>
          <w:tcPr>
            <w:tcW w:w="2743" w:type="dxa"/>
            <w:tcBorders>
              <w:top w:val="nil"/>
              <w:left w:val="nil"/>
              <w:bottom w:val="single" w:sz="4" w:space="0" w:color="auto"/>
              <w:right w:val="single" w:sz="4" w:space="0" w:color="auto"/>
            </w:tcBorders>
            <w:shd w:val="clear" w:color="auto" w:fill="auto"/>
            <w:noWrap/>
            <w:vAlign w:val="bottom"/>
            <w:hideMark/>
          </w:tcPr>
          <w:p w14:paraId="08B9E5C8" w14:textId="77777777" w:rsidR="003049C9" w:rsidRPr="003049C9" w:rsidRDefault="003049C9" w:rsidP="00A55492">
            <w:pPr>
              <w:spacing w:after="0" w:line="240" w:lineRule="auto"/>
              <w:jc w:val="right"/>
              <w:rPr>
                <w:rFonts w:ascii="Calibri" w:eastAsia="Times New Roman" w:hAnsi="Calibri" w:cs="Calibri"/>
                <w:color w:val="000000"/>
                <w:lang w:eastAsia="en-US"/>
              </w:rPr>
            </w:pPr>
            <w:r w:rsidRPr="003049C9">
              <w:rPr>
                <w:rFonts w:ascii="Calibri" w:eastAsia="Times New Roman" w:hAnsi="Calibri" w:cs="Calibri"/>
                <w:color w:val="000000"/>
                <w:lang w:eastAsia="en-US"/>
              </w:rPr>
              <w:t xml:space="preserve">$1,008 </w:t>
            </w:r>
          </w:p>
        </w:tc>
      </w:tr>
    </w:tbl>
    <w:p w14:paraId="7B793F22" w14:textId="77777777" w:rsidR="000129B7" w:rsidRDefault="000129B7"/>
    <w:p w14:paraId="178CED34" w14:textId="01780C0D" w:rsidR="000129B7" w:rsidRDefault="00992DE6">
      <w:pPr>
        <w:contextualSpacing/>
        <w:rPr>
          <w:b/>
        </w:rPr>
      </w:pPr>
      <w:r w:rsidRPr="008C4152">
        <w:rPr>
          <w:b/>
        </w:rPr>
        <w:t xml:space="preserve">Figure </w:t>
      </w:r>
      <w:r w:rsidR="00D34513">
        <w:rPr>
          <w:b/>
        </w:rPr>
        <w:t>7</w:t>
      </w:r>
      <w:r w:rsidRPr="008C4152">
        <w:rPr>
          <w:b/>
        </w:rPr>
        <w:t xml:space="preserve">. </w:t>
      </w:r>
      <w:r>
        <w:rPr>
          <w:b/>
        </w:rPr>
        <w:t>Median Income</w:t>
      </w:r>
      <w:r w:rsidRPr="008C4152">
        <w:rPr>
          <w:b/>
        </w:rPr>
        <w:t xml:space="preserve"> by Tenure (Renter/Owner)</w:t>
      </w:r>
    </w:p>
    <w:p w14:paraId="18170953" w14:textId="6E6E7464" w:rsidR="00396609" w:rsidRPr="00396609" w:rsidRDefault="00396609">
      <w:r>
        <w:t xml:space="preserve">Source: VCHR </w:t>
      </w:r>
      <w:r w:rsidR="00DB4368">
        <w:t xml:space="preserve">Tabulation </w:t>
      </w:r>
      <w:r>
        <w:t>of 2019 ACS 5-year Estimates</w:t>
      </w:r>
    </w:p>
    <w:p w14:paraId="7E6F7E45" w14:textId="16BCFCAE" w:rsidR="007A7841" w:rsidRDefault="00FA242A">
      <w:r>
        <w:rPr>
          <w:noProof/>
        </w:rPr>
        <w:drawing>
          <wp:inline distT="0" distB="0" distL="0" distR="0" wp14:anchorId="47BC8E47" wp14:editId="1FD34BCF">
            <wp:extent cx="5272088" cy="3155950"/>
            <wp:effectExtent l="0" t="0" r="5080" b="6350"/>
            <wp:docPr id="29" name="Chart 29">
              <a:extLst xmlns:a="http://schemas.openxmlformats.org/drawingml/2006/main">
                <a:ext uri="{FF2B5EF4-FFF2-40B4-BE49-F238E27FC236}">
                  <a16:creationId xmlns:a16="http://schemas.microsoft.com/office/drawing/2014/main" id="{0FF4F5A9-E035-78C3-C738-36DCD25B81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13142C4" w14:textId="77777777" w:rsidR="00F7417E" w:rsidRDefault="00F7417E" w:rsidP="00F7417E">
      <w:pPr>
        <w:contextualSpacing/>
        <w:rPr>
          <w:b/>
        </w:rPr>
      </w:pPr>
    </w:p>
    <w:p w14:paraId="3068A652" w14:textId="7E78FE99" w:rsidR="00F50204" w:rsidRDefault="00693D07" w:rsidP="00F50204">
      <w:r>
        <w:t xml:space="preserve">Approximately </w:t>
      </w:r>
      <w:r w:rsidR="00F50204">
        <w:t xml:space="preserve">40 percent of Randolph County households are not working. The </w:t>
      </w:r>
      <w:r>
        <w:t xml:space="preserve">high </w:t>
      </w:r>
      <w:r w:rsidR="00F50204">
        <w:t xml:space="preserve">percentage of non-working households </w:t>
      </w:r>
      <w:r>
        <w:t>is partially comprised of</w:t>
      </w:r>
      <w:r w:rsidR="00F50204">
        <w:t xml:space="preserve"> households who are retired: 24 percent of households receive retirement income from a source other than social security</w:t>
      </w:r>
      <w:r>
        <w:t>,</w:t>
      </w:r>
      <w:r w:rsidR="00F50204">
        <w:t xml:space="preserve"> and 37 percent of householders are 65 or older. </w:t>
      </w:r>
      <w:r w:rsidR="00BF172B">
        <w:t>In addition</w:t>
      </w:r>
      <w:r w:rsidR="00F50204">
        <w:t>, 4,587 households</w:t>
      </w:r>
      <w:r w:rsidR="00BF172B">
        <w:t xml:space="preserve"> (</w:t>
      </w:r>
      <w:r w:rsidR="00F50204">
        <w:t>41</w:t>
      </w:r>
      <w:r w:rsidR="00BF172B">
        <w:t xml:space="preserve"> percent) </w:t>
      </w:r>
      <w:r w:rsidR="00F50204">
        <w:t xml:space="preserve">receive social security income either </w:t>
      </w:r>
      <w:r w:rsidR="00BF172B">
        <w:t xml:space="preserve">from </w:t>
      </w:r>
      <w:r w:rsidR="00F50204">
        <w:t>retirement or disability.</w:t>
      </w:r>
      <w:r w:rsidR="00434956">
        <w:t xml:space="preserve"> </w:t>
      </w:r>
      <w:r w:rsidR="00BF172B">
        <w:t xml:space="preserve">Furthermore, approximately </w:t>
      </w:r>
      <w:r w:rsidR="00B048D2">
        <w:t xml:space="preserve">4,674 individuals in the </w:t>
      </w:r>
      <w:r w:rsidR="00BF172B">
        <w:t xml:space="preserve">County </w:t>
      </w:r>
      <w:r w:rsidR="00B048D2">
        <w:t>have a disability</w:t>
      </w:r>
      <w:r w:rsidR="00F50204" w:rsidRPr="691CFC2A">
        <w:rPr>
          <w:rStyle w:val="FootnoteReference"/>
        </w:rPr>
        <w:footnoteReference w:id="2"/>
      </w:r>
      <w:r w:rsidR="00B048D2">
        <w:t>.</w:t>
      </w:r>
    </w:p>
    <w:p w14:paraId="77BB8636" w14:textId="51722748" w:rsidR="00E8013E" w:rsidRDefault="00E8013E" w:rsidP="00F50204"/>
    <w:p w14:paraId="2359D9C9" w14:textId="77777777" w:rsidR="00E8013E" w:rsidRDefault="00E8013E" w:rsidP="00F50204"/>
    <w:p w14:paraId="66C443ED" w14:textId="6C8CF2FA" w:rsidR="009173C8" w:rsidRDefault="009173C8" w:rsidP="009173C8">
      <w:pPr>
        <w:contextualSpacing/>
        <w:rPr>
          <w:b/>
        </w:rPr>
      </w:pPr>
      <w:r w:rsidRPr="00933E4F">
        <w:rPr>
          <w:b/>
        </w:rPr>
        <w:lastRenderedPageBreak/>
        <w:t xml:space="preserve">Table </w:t>
      </w:r>
      <w:r w:rsidR="00D34513">
        <w:rPr>
          <w:b/>
        </w:rPr>
        <w:t>4</w:t>
      </w:r>
      <w:r w:rsidRPr="00933E4F">
        <w:rPr>
          <w:b/>
        </w:rPr>
        <w:t xml:space="preserve">. </w:t>
      </w:r>
      <w:r>
        <w:rPr>
          <w:b/>
        </w:rPr>
        <w:t>Households</w:t>
      </w:r>
      <w:r w:rsidR="00104912">
        <w:rPr>
          <w:b/>
        </w:rPr>
        <w:t xml:space="preserve"> with a </w:t>
      </w:r>
      <w:r w:rsidR="00D75241">
        <w:rPr>
          <w:b/>
        </w:rPr>
        <w:t>Disability</w:t>
      </w:r>
      <w:r w:rsidR="00D75241" w:rsidRPr="00933E4F">
        <w:rPr>
          <w:b/>
        </w:rPr>
        <w:t xml:space="preserve"> </w:t>
      </w:r>
    </w:p>
    <w:p w14:paraId="126EDA07" w14:textId="00804E0F" w:rsidR="009173C8" w:rsidRDefault="009173C8" w:rsidP="009173C8">
      <w:r>
        <w:t xml:space="preserve">Source: </w:t>
      </w:r>
      <w:r w:rsidR="00417A64" w:rsidRPr="00383996">
        <w:t>VCHR tabulation of 2014</w:t>
      </w:r>
      <w:r w:rsidR="00D75241">
        <w:t>–</w:t>
      </w:r>
      <w:r w:rsidR="00417A64" w:rsidRPr="00383996">
        <w:t>2018 CHAS data</w:t>
      </w:r>
    </w:p>
    <w:tbl>
      <w:tblPr>
        <w:tblW w:w="9314" w:type="dxa"/>
        <w:tblLook w:val="04A0" w:firstRow="1" w:lastRow="0" w:firstColumn="1" w:lastColumn="0" w:noHBand="0" w:noVBand="1"/>
      </w:tblPr>
      <w:tblGrid>
        <w:gridCol w:w="1798"/>
        <w:gridCol w:w="1359"/>
        <w:gridCol w:w="1292"/>
        <w:gridCol w:w="1216"/>
        <w:gridCol w:w="1216"/>
        <w:gridCol w:w="1216"/>
        <w:gridCol w:w="1217"/>
      </w:tblGrid>
      <w:tr w:rsidR="00FB78C9" w:rsidRPr="00FB78C9" w14:paraId="17DAE9AA" w14:textId="77777777" w:rsidTr="7DFA81C2">
        <w:trPr>
          <w:trHeight w:val="269"/>
        </w:trPr>
        <w:tc>
          <w:tcPr>
            <w:tcW w:w="17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6C4374" w14:textId="77777777" w:rsidR="00FB78C9" w:rsidRPr="00FB78C9" w:rsidRDefault="00FB78C9" w:rsidP="00FB78C9">
            <w:pPr>
              <w:spacing w:after="0" w:line="240" w:lineRule="auto"/>
              <w:rPr>
                <w:rFonts w:ascii="Arial" w:eastAsia="Times New Roman" w:hAnsi="Arial" w:cs="Arial"/>
                <w:color w:val="000000"/>
                <w:sz w:val="20"/>
                <w:szCs w:val="20"/>
              </w:rPr>
            </w:pPr>
            <w:r w:rsidRPr="00FB78C9">
              <w:rPr>
                <w:rFonts w:ascii="Arial" w:eastAsia="Times New Roman" w:hAnsi="Arial" w:cs="Arial"/>
                <w:color w:val="000000"/>
                <w:sz w:val="20"/>
                <w:szCs w:val="20"/>
              </w:rPr>
              <w:t> </w:t>
            </w:r>
          </w:p>
        </w:tc>
        <w:tc>
          <w:tcPr>
            <w:tcW w:w="1359" w:type="dxa"/>
            <w:tcBorders>
              <w:top w:val="single" w:sz="4" w:space="0" w:color="auto"/>
              <w:left w:val="nil"/>
              <w:bottom w:val="single" w:sz="4" w:space="0" w:color="auto"/>
              <w:right w:val="single" w:sz="4" w:space="0" w:color="auto"/>
            </w:tcBorders>
            <w:shd w:val="clear" w:color="auto" w:fill="auto"/>
            <w:noWrap/>
            <w:vAlign w:val="bottom"/>
            <w:hideMark/>
          </w:tcPr>
          <w:p w14:paraId="7D6492C0" w14:textId="77777777" w:rsidR="00FB78C9" w:rsidRPr="00FB78C9" w:rsidRDefault="00FB78C9" w:rsidP="00FB78C9">
            <w:pPr>
              <w:spacing w:after="0" w:line="240" w:lineRule="auto"/>
              <w:rPr>
                <w:rFonts w:ascii="Arial" w:eastAsia="Times New Roman" w:hAnsi="Arial" w:cs="Arial"/>
                <w:color w:val="000000"/>
                <w:sz w:val="20"/>
                <w:szCs w:val="20"/>
              </w:rPr>
            </w:pPr>
            <w:r w:rsidRPr="00FB78C9">
              <w:rPr>
                <w:rFonts w:ascii="Arial" w:eastAsia="Times New Roman" w:hAnsi="Arial" w:cs="Arial"/>
                <w:color w:val="000000"/>
                <w:sz w:val="20"/>
                <w:szCs w:val="20"/>
              </w:rPr>
              <w:t>Randolph County</w:t>
            </w:r>
          </w:p>
        </w:tc>
        <w:tc>
          <w:tcPr>
            <w:tcW w:w="1292" w:type="dxa"/>
            <w:tcBorders>
              <w:top w:val="single" w:sz="4" w:space="0" w:color="auto"/>
              <w:left w:val="nil"/>
              <w:bottom w:val="single" w:sz="4" w:space="0" w:color="auto"/>
              <w:right w:val="single" w:sz="4" w:space="0" w:color="auto"/>
            </w:tcBorders>
            <w:shd w:val="clear" w:color="auto" w:fill="auto"/>
            <w:noWrap/>
            <w:vAlign w:val="bottom"/>
            <w:hideMark/>
          </w:tcPr>
          <w:p w14:paraId="165ED93F" w14:textId="77777777" w:rsidR="00FB78C9" w:rsidRPr="00FB78C9" w:rsidRDefault="00FB78C9" w:rsidP="00FB78C9">
            <w:pPr>
              <w:spacing w:after="0" w:line="240" w:lineRule="auto"/>
              <w:rPr>
                <w:rFonts w:ascii="Arial" w:eastAsia="Times New Roman" w:hAnsi="Arial" w:cs="Arial"/>
                <w:color w:val="000000"/>
                <w:sz w:val="20"/>
                <w:szCs w:val="20"/>
              </w:rPr>
            </w:pPr>
            <w:r w:rsidRPr="00FB78C9">
              <w:rPr>
                <w:rFonts w:ascii="Arial" w:eastAsia="Times New Roman" w:hAnsi="Arial" w:cs="Arial"/>
                <w:color w:val="000000"/>
                <w:sz w:val="20"/>
                <w:szCs w:val="20"/>
              </w:rPr>
              <w:t>ZIP Code 26241</w:t>
            </w:r>
          </w:p>
        </w:tc>
        <w:tc>
          <w:tcPr>
            <w:tcW w:w="1216" w:type="dxa"/>
            <w:tcBorders>
              <w:top w:val="single" w:sz="4" w:space="0" w:color="auto"/>
              <w:left w:val="nil"/>
              <w:bottom w:val="single" w:sz="4" w:space="0" w:color="auto"/>
              <w:right w:val="single" w:sz="4" w:space="0" w:color="auto"/>
            </w:tcBorders>
            <w:shd w:val="clear" w:color="auto" w:fill="auto"/>
            <w:noWrap/>
            <w:vAlign w:val="bottom"/>
            <w:hideMark/>
          </w:tcPr>
          <w:p w14:paraId="4FC1055A" w14:textId="77777777" w:rsidR="00FB78C9" w:rsidRPr="00FB78C9" w:rsidRDefault="00FB78C9" w:rsidP="00FB78C9">
            <w:pPr>
              <w:spacing w:after="0" w:line="240" w:lineRule="auto"/>
              <w:rPr>
                <w:rFonts w:ascii="Arial" w:eastAsia="Times New Roman" w:hAnsi="Arial" w:cs="Arial"/>
                <w:color w:val="000000"/>
                <w:sz w:val="20"/>
                <w:szCs w:val="20"/>
              </w:rPr>
            </w:pPr>
            <w:r w:rsidRPr="00FB78C9">
              <w:rPr>
                <w:rFonts w:ascii="Arial" w:eastAsia="Times New Roman" w:hAnsi="Arial" w:cs="Arial"/>
                <w:color w:val="000000"/>
                <w:sz w:val="20"/>
                <w:szCs w:val="20"/>
              </w:rPr>
              <w:t>Barbour County</w:t>
            </w:r>
          </w:p>
        </w:tc>
        <w:tc>
          <w:tcPr>
            <w:tcW w:w="1216" w:type="dxa"/>
            <w:tcBorders>
              <w:top w:val="single" w:sz="4" w:space="0" w:color="auto"/>
              <w:left w:val="nil"/>
              <w:bottom w:val="single" w:sz="4" w:space="0" w:color="auto"/>
              <w:right w:val="single" w:sz="4" w:space="0" w:color="auto"/>
            </w:tcBorders>
            <w:shd w:val="clear" w:color="auto" w:fill="auto"/>
            <w:noWrap/>
            <w:vAlign w:val="bottom"/>
            <w:hideMark/>
          </w:tcPr>
          <w:p w14:paraId="3AF721C4" w14:textId="77777777" w:rsidR="00FB78C9" w:rsidRPr="00FB78C9" w:rsidRDefault="00FB78C9" w:rsidP="00FB78C9">
            <w:pPr>
              <w:spacing w:after="0" w:line="240" w:lineRule="auto"/>
              <w:rPr>
                <w:rFonts w:ascii="Arial" w:eastAsia="Times New Roman" w:hAnsi="Arial" w:cs="Arial"/>
                <w:color w:val="000000"/>
                <w:sz w:val="20"/>
                <w:szCs w:val="20"/>
              </w:rPr>
            </w:pPr>
            <w:r w:rsidRPr="00FB78C9">
              <w:rPr>
                <w:rFonts w:ascii="Arial" w:eastAsia="Times New Roman" w:hAnsi="Arial" w:cs="Arial"/>
                <w:color w:val="000000"/>
                <w:sz w:val="20"/>
                <w:szCs w:val="20"/>
              </w:rPr>
              <w:t>Tucker County</w:t>
            </w:r>
          </w:p>
        </w:tc>
        <w:tc>
          <w:tcPr>
            <w:tcW w:w="1216" w:type="dxa"/>
            <w:tcBorders>
              <w:top w:val="single" w:sz="4" w:space="0" w:color="auto"/>
              <w:left w:val="nil"/>
              <w:bottom w:val="single" w:sz="4" w:space="0" w:color="auto"/>
              <w:right w:val="single" w:sz="4" w:space="0" w:color="auto"/>
            </w:tcBorders>
            <w:shd w:val="clear" w:color="auto" w:fill="auto"/>
            <w:noWrap/>
            <w:vAlign w:val="bottom"/>
            <w:hideMark/>
          </w:tcPr>
          <w:p w14:paraId="35D72E67" w14:textId="77777777" w:rsidR="00FB78C9" w:rsidRPr="00FB78C9" w:rsidRDefault="00FB78C9" w:rsidP="00FB78C9">
            <w:pPr>
              <w:spacing w:after="0" w:line="240" w:lineRule="auto"/>
              <w:rPr>
                <w:rFonts w:ascii="Arial" w:eastAsia="Times New Roman" w:hAnsi="Arial" w:cs="Arial"/>
                <w:color w:val="000000"/>
                <w:sz w:val="20"/>
                <w:szCs w:val="20"/>
              </w:rPr>
            </w:pPr>
            <w:r w:rsidRPr="00FB78C9">
              <w:rPr>
                <w:rFonts w:ascii="Arial" w:eastAsia="Times New Roman" w:hAnsi="Arial" w:cs="Arial"/>
                <w:color w:val="000000"/>
                <w:sz w:val="20"/>
                <w:szCs w:val="20"/>
              </w:rPr>
              <w:t>Upshur County</w:t>
            </w:r>
          </w:p>
        </w:tc>
        <w:tc>
          <w:tcPr>
            <w:tcW w:w="1217" w:type="dxa"/>
            <w:tcBorders>
              <w:top w:val="single" w:sz="4" w:space="0" w:color="auto"/>
              <w:left w:val="nil"/>
              <w:bottom w:val="single" w:sz="4" w:space="0" w:color="auto"/>
              <w:right w:val="single" w:sz="4" w:space="0" w:color="auto"/>
            </w:tcBorders>
            <w:shd w:val="clear" w:color="auto" w:fill="auto"/>
            <w:noWrap/>
            <w:vAlign w:val="bottom"/>
            <w:hideMark/>
          </w:tcPr>
          <w:p w14:paraId="1B1BE2DD" w14:textId="77777777" w:rsidR="00FB78C9" w:rsidRPr="00FB78C9" w:rsidRDefault="00FB78C9" w:rsidP="00FB78C9">
            <w:pPr>
              <w:spacing w:after="0" w:line="240" w:lineRule="auto"/>
              <w:rPr>
                <w:rFonts w:ascii="Arial" w:eastAsia="Times New Roman" w:hAnsi="Arial" w:cs="Arial"/>
                <w:color w:val="000000"/>
                <w:sz w:val="20"/>
                <w:szCs w:val="20"/>
              </w:rPr>
            </w:pPr>
            <w:r w:rsidRPr="00FB78C9">
              <w:rPr>
                <w:rFonts w:ascii="Arial" w:eastAsia="Times New Roman" w:hAnsi="Arial" w:cs="Arial"/>
                <w:color w:val="000000"/>
                <w:sz w:val="20"/>
                <w:szCs w:val="20"/>
              </w:rPr>
              <w:t>Webster County</w:t>
            </w:r>
          </w:p>
        </w:tc>
      </w:tr>
      <w:tr w:rsidR="00FB78C9" w:rsidRPr="00FB78C9" w14:paraId="1293BFED" w14:textId="77777777" w:rsidTr="7DFA81C2">
        <w:trPr>
          <w:trHeight w:val="269"/>
        </w:trPr>
        <w:tc>
          <w:tcPr>
            <w:tcW w:w="1798" w:type="dxa"/>
            <w:tcBorders>
              <w:top w:val="nil"/>
              <w:left w:val="single" w:sz="4" w:space="0" w:color="auto"/>
              <w:bottom w:val="single" w:sz="4" w:space="0" w:color="auto"/>
              <w:right w:val="single" w:sz="4" w:space="0" w:color="auto"/>
            </w:tcBorders>
            <w:shd w:val="clear" w:color="auto" w:fill="auto"/>
            <w:noWrap/>
            <w:vAlign w:val="bottom"/>
            <w:hideMark/>
          </w:tcPr>
          <w:p w14:paraId="4442ED22" w14:textId="553F5477" w:rsidR="00FB78C9" w:rsidRPr="00FB78C9" w:rsidRDefault="00FB78C9" w:rsidP="00FB78C9">
            <w:pPr>
              <w:spacing w:after="0" w:line="240" w:lineRule="auto"/>
              <w:rPr>
                <w:rFonts w:ascii="Arial" w:eastAsia="Times New Roman" w:hAnsi="Arial" w:cs="Arial"/>
                <w:color w:val="000000"/>
                <w:sz w:val="20"/>
                <w:szCs w:val="20"/>
              </w:rPr>
            </w:pPr>
            <w:r w:rsidRPr="00FB78C9">
              <w:rPr>
                <w:rFonts w:ascii="Arial" w:eastAsia="Times New Roman" w:hAnsi="Arial" w:cs="Arial"/>
                <w:color w:val="000000"/>
                <w:sz w:val="20"/>
                <w:szCs w:val="20"/>
              </w:rPr>
              <w:t xml:space="preserve">With a </w:t>
            </w:r>
            <w:r w:rsidR="000B206D">
              <w:rPr>
                <w:rFonts w:ascii="Arial" w:eastAsia="Times New Roman" w:hAnsi="Arial" w:cs="Arial"/>
                <w:color w:val="000000"/>
                <w:sz w:val="20"/>
                <w:szCs w:val="20"/>
              </w:rPr>
              <w:t>D</w:t>
            </w:r>
            <w:r w:rsidR="000B206D" w:rsidRPr="00FB78C9">
              <w:rPr>
                <w:rFonts w:ascii="Arial" w:eastAsia="Times New Roman" w:hAnsi="Arial" w:cs="Arial"/>
                <w:color w:val="000000"/>
                <w:sz w:val="20"/>
                <w:szCs w:val="20"/>
              </w:rPr>
              <w:t>isability</w:t>
            </w:r>
          </w:p>
        </w:tc>
        <w:tc>
          <w:tcPr>
            <w:tcW w:w="1359" w:type="dxa"/>
            <w:tcBorders>
              <w:top w:val="nil"/>
              <w:left w:val="nil"/>
              <w:bottom w:val="single" w:sz="4" w:space="0" w:color="auto"/>
              <w:right w:val="single" w:sz="4" w:space="0" w:color="auto"/>
            </w:tcBorders>
            <w:shd w:val="clear" w:color="auto" w:fill="auto"/>
            <w:noWrap/>
            <w:vAlign w:val="bottom"/>
            <w:hideMark/>
          </w:tcPr>
          <w:p w14:paraId="56900B0A"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4,674</w:t>
            </w:r>
          </w:p>
        </w:tc>
        <w:tc>
          <w:tcPr>
            <w:tcW w:w="1292" w:type="dxa"/>
            <w:tcBorders>
              <w:top w:val="nil"/>
              <w:left w:val="nil"/>
              <w:bottom w:val="single" w:sz="4" w:space="0" w:color="auto"/>
              <w:right w:val="single" w:sz="4" w:space="0" w:color="auto"/>
            </w:tcBorders>
            <w:shd w:val="clear" w:color="auto" w:fill="auto"/>
            <w:noWrap/>
            <w:vAlign w:val="bottom"/>
            <w:hideMark/>
          </w:tcPr>
          <w:p w14:paraId="6F0468BB"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2,203</w:t>
            </w:r>
          </w:p>
        </w:tc>
        <w:tc>
          <w:tcPr>
            <w:tcW w:w="1216" w:type="dxa"/>
            <w:tcBorders>
              <w:top w:val="nil"/>
              <w:left w:val="nil"/>
              <w:bottom w:val="single" w:sz="4" w:space="0" w:color="auto"/>
              <w:right w:val="single" w:sz="4" w:space="0" w:color="auto"/>
            </w:tcBorders>
            <w:shd w:val="clear" w:color="auto" w:fill="auto"/>
            <w:noWrap/>
            <w:vAlign w:val="bottom"/>
            <w:hideMark/>
          </w:tcPr>
          <w:p w14:paraId="1732AF91"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2,920</w:t>
            </w:r>
          </w:p>
        </w:tc>
        <w:tc>
          <w:tcPr>
            <w:tcW w:w="1216" w:type="dxa"/>
            <w:tcBorders>
              <w:top w:val="nil"/>
              <w:left w:val="nil"/>
              <w:bottom w:val="single" w:sz="4" w:space="0" w:color="auto"/>
              <w:right w:val="single" w:sz="4" w:space="0" w:color="auto"/>
            </w:tcBorders>
            <w:shd w:val="clear" w:color="auto" w:fill="auto"/>
            <w:noWrap/>
            <w:vAlign w:val="bottom"/>
            <w:hideMark/>
          </w:tcPr>
          <w:p w14:paraId="0E861B3B"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4,674</w:t>
            </w:r>
          </w:p>
        </w:tc>
        <w:tc>
          <w:tcPr>
            <w:tcW w:w="1216" w:type="dxa"/>
            <w:tcBorders>
              <w:top w:val="nil"/>
              <w:left w:val="nil"/>
              <w:bottom w:val="single" w:sz="4" w:space="0" w:color="auto"/>
              <w:right w:val="single" w:sz="4" w:space="0" w:color="auto"/>
            </w:tcBorders>
            <w:shd w:val="clear" w:color="auto" w:fill="auto"/>
            <w:noWrap/>
            <w:vAlign w:val="bottom"/>
            <w:hideMark/>
          </w:tcPr>
          <w:p w14:paraId="49CF59D6"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3,506</w:t>
            </w:r>
          </w:p>
        </w:tc>
        <w:tc>
          <w:tcPr>
            <w:tcW w:w="1217" w:type="dxa"/>
            <w:tcBorders>
              <w:top w:val="nil"/>
              <w:left w:val="nil"/>
              <w:bottom w:val="single" w:sz="4" w:space="0" w:color="auto"/>
              <w:right w:val="single" w:sz="4" w:space="0" w:color="auto"/>
            </w:tcBorders>
            <w:shd w:val="clear" w:color="auto" w:fill="auto"/>
            <w:noWrap/>
            <w:vAlign w:val="bottom"/>
            <w:hideMark/>
          </w:tcPr>
          <w:p w14:paraId="32B63172"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1,662</w:t>
            </w:r>
          </w:p>
        </w:tc>
      </w:tr>
      <w:tr w:rsidR="00FB78C9" w:rsidRPr="00FB78C9" w14:paraId="3F2BFD66" w14:textId="77777777" w:rsidTr="7DFA81C2">
        <w:trPr>
          <w:trHeight w:val="269"/>
        </w:trPr>
        <w:tc>
          <w:tcPr>
            <w:tcW w:w="1798" w:type="dxa"/>
            <w:tcBorders>
              <w:top w:val="nil"/>
              <w:left w:val="single" w:sz="4" w:space="0" w:color="auto"/>
              <w:bottom w:val="single" w:sz="4" w:space="0" w:color="auto"/>
              <w:right w:val="single" w:sz="4" w:space="0" w:color="auto"/>
            </w:tcBorders>
            <w:shd w:val="clear" w:color="auto" w:fill="auto"/>
            <w:noWrap/>
            <w:vAlign w:val="bottom"/>
            <w:hideMark/>
          </w:tcPr>
          <w:p w14:paraId="4936B4F3" w14:textId="799829DA" w:rsidR="00FB78C9" w:rsidRPr="00FB78C9" w:rsidRDefault="00BF2BAF" w:rsidP="00FB78C9">
            <w:pPr>
              <w:spacing w:after="0" w:line="240" w:lineRule="auto"/>
              <w:rPr>
                <w:rFonts w:ascii="Arial" w:eastAsia="Times New Roman" w:hAnsi="Arial" w:cs="Arial"/>
                <w:color w:val="000000"/>
                <w:sz w:val="20"/>
                <w:szCs w:val="20"/>
              </w:rPr>
            </w:pPr>
            <w:r w:rsidRPr="7DFA81C2">
              <w:rPr>
                <w:rFonts w:ascii="Arial" w:eastAsia="Times New Roman" w:hAnsi="Arial" w:cs="Arial"/>
                <w:color w:val="000000" w:themeColor="text1"/>
                <w:sz w:val="20"/>
                <w:szCs w:val="20"/>
              </w:rPr>
              <w:t xml:space="preserve">% </w:t>
            </w:r>
            <w:bookmarkStart w:id="30" w:name="_Int_4fHMF1bg"/>
            <w:r w:rsidRPr="7DFA81C2">
              <w:rPr>
                <w:rFonts w:ascii="Arial" w:eastAsia="Times New Roman" w:hAnsi="Arial" w:cs="Arial"/>
                <w:color w:val="000000" w:themeColor="text1"/>
                <w:sz w:val="20"/>
                <w:szCs w:val="20"/>
              </w:rPr>
              <w:t>of</w:t>
            </w:r>
            <w:bookmarkEnd w:id="30"/>
            <w:r w:rsidR="00F01EBB">
              <w:rPr>
                <w:rFonts w:ascii="Arial" w:eastAsia="Times New Roman" w:hAnsi="Arial" w:cs="Arial"/>
                <w:color w:val="000000" w:themeColor="text1"/>
                <w:sz w:val="20"/>
                <w:szCs w:val="20"/>
              </w:rPr>
              <w:t xml:space="preserve"> </w:t>
            </w:r>
            <w:r w:rsidR="000B206D">
              <w:rPr>
                <w:rFonts w:ascii="Arial" w:eastAsia="Times New Roman" w:hAnsi="Arial" w:cs="Arial"/>
                <w:color w:val="000000" w:themeColor="text1"/>
                <w:sz w:val="20"/>
                <w:szCs w:val="20"/>
              </w:rPr>
              <w:t>T</w:t>
            </w:r>
            <w:r w:rsidR="00F01EBB">
              <w:rPr>
                <w:rFonts w:ascii="Arial" w:eastAsia="Times New Roman" w:hAnsi="Arial" w:cs="Arial"/>
                <w:color w:val="000000" w:themeColor="text1"/>
                <w:sz w:val="20"/>
                <w:szCs w:val="20"/>
              </w:rPr>
              <w:t xml:space="preserve">otal </w:t>
            </w:r>
            <w:r w:rsidR="000B206D">
              <w:rPr>
                <w:rFonts w:ascii="Arial" w:eastAsia="Times New Roman" w:hAnsi="Arial" w:cs="Arial"/>
                <w:color w:val="000000" w:themeColor="text1"/>
                <w:sz w:val="20"/>
                <w:szCs w:val="20"/>
              </w:rPr>
              <w:t>H</w:t>
            </w:r>
            <w:r w:rsidR="00F01EBB">
              <w:rPr>
                <w:rFonts w:ascii="Arial" w:eastAsia="Times New Roman" w:hAnsi="Arial" w:cs="Arial"/>
                <w:color w:val="000000" w:themeColor="text1"/>
                <w:sz w:val="20"/>
                <w:szCs w:val="20"/>
              </w:rPr>
              <w:t>ouseholds with</w:t>
            </w:r>
            <w:r w:rsidRPr="7DFA81C2">
              <w:rPr>
                <w:rFonts w:ascii="Arial" w:eastAsia="Times New Roman" w:hAnsi="Arial" w:cs="Arial"/>
                <w:color w:val="000000" w:themeColor="text1"/>
                <w:sz w:val="20"/>
                <w:szCs w:val="20"/>
              </w:rPr>
              <w:t xml:space="preserve"> </w:t>
            </w:r>
            <w:r w:rsidR="000B206D">
              <w:rPr>
                <w:rFonts w:ascii="Arial" w:eastAsia="Times New Roman" w:hAnsi="Arial" w:cs="Arial"/>
                <w:color w:val="000000" w:themeColor="text1"/>
                <w:sz w:val="20"/>
                <w:szCs w:val="20"/>
              </w:rPr>
              <w:t>D</w:t>
            </w:r>
            <w:r w:rsidR="000B206D" w:rsidRPr="7DFA81C2">
              <w:rPr>
                <w:rFonts w:ascii="Arial" w:eastAsia="Times New Roman" w:hAnsi="Arial" w:cs="Arial"/>
                <w:color w:val="000000" w:themeColor="text1"/>
                <w:sz w:val="20"/>
                <w:szCs w:val="20"/>
              </w:rPr>
              <w:t>isability</w:t>
            </w:r>
          </w:p>
        </w:tc>
        <w:tc>
          <w:tcPr>
            <w:tcW w:w="1359" w:type="dxa"/>
            <w:tcBorders>
              <w:top w:val="nil"/>
              <w:left w:val="nil"/>
              <w:bottom w:val="single" w:sz="4" w:space="0" w:color="auto"/>
              <w:right w:val="single" w:sz="4" w:space="0" w:color="auto"/>
            </w:tcBorders>
            <w:shd w:val="clear" w:color="auto" w:fill="auto"/>
            <w:noWrap/>
            <w:vAlign w:val="bottom"/>
            <w:hideMark/>
          </w:tcPr>
          <w:p w14:paraId="52C89D8D"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17.1%</w:t>
            </w:r>
          </w:p>
        </w:tc>
        <w:tc>
          <w:tcPr>
            <w:tcW w:w="1292" w:type="dxa"/>
            <w:tcBorders>
              <w:top w:val="nil"/>
              <w:left w:val="nil"/>
              <w:bottom w:val="single" w:sz="4" w:space="0" w:color="auto"/>
              <w:right w:val="single" w:sz="4" w:space="0" w:color="auto"/>
            </w:tcBorders>
            <w:shd w:val="clear" w:color="auto" w:fill="auto"/>
            <w:noWrap/>
            <w:vAlign w:val="bottom"/>
            <w:hideMark/>
          </w:tcPr>
          <w:p w14:paraId="75510ACD"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16.7%</w:t>
            </w:r>
          </w:p>
        </w:tc>
        <w:tc>
          <w:tcPr>
            <w:tcW w:w="1216" w:type="dxa"/>
            <w:tcBorders>
              <w:top w:val="nil"/>
              <w:left w:val="nil"/>
              <w:bottom w:val="single" w:sz="4" w:space="0" w:color="auto"/>
              <w:right w:val="single" w:sz="4" w:space="0" w:color="auto"/>
            </w:tcBorders>
            <w:shd w:val="clear" w:color="auto" w:fill="auto"/>
            <w:noWrap/>
            <w:vAlign w:val="bottom"/>
            <w:hideMark/>
          </w:tcPr>
          <w:p w14:paraId="41185FD8"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17.6%</w:t>
            </w:r>
          </w:p>
        </w:tc>
        <w:tc>
          <w:tcPr>
            <w:tcW w:w="1216" w:type="dxa"/>
            <w:tcBorders>
              <w:top w:val="nil"/>
              <w:left w:val="nil"/>
              <w:bottom w:val="single" w:sz="4" w:space="0" w:color="auto"/>
              <w:right w:val="single" w:sz="4" w:space="0" w:color="auto"/>
            </w:tcBorders>
            <w:shd w:val="clear" w:color="auto" w:fill="auto"/>
            <w:noWrap/>
            <w:vAlign w:val="bottom"/>
            <w:hideMark/>
          </w:tcPr>
          <w:p w14:paraId="5F21C798"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21.3%</w:t>
            </w:r>
          </w:p>
        </w:tc>
        <w:tc>
          <w:tcPr>
            <w:tcW w:w="1216" w:type="dxa"/>
            <w:tcBorders>
              <w:top w:val="nil"/>
              <w:left w:val="nil"/>
              <w:bottom w:val="single" w:sz="4" w:space="0" w:color="auto"/>
              <w:right w:val="single" w:sz="4" w:space="0" w:color="auto"/>
            </w:tcBorders>
            <w:shd w:val="clear" w:color="auto" w:fill="auto"/>
            <w:noWrap/>
            <w:vAlign w:val="bottom"/>
            <w:hideMark/>
          </w:tcPr>
          <w:p w14:paraId="2DF3022A"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14.4%</w:t>
            </w:r>
          </w:p>
        </w:tc>
        <w:tc>
          <w:tcPr>
            <w:tcW w:w="1217" w:type="dxa"/>
            <w:tcBorders>
              <w:top w:val="nil"/>
              <w:left w:val="nil"/>
              <w:bottom w:val="single" w:sz="4" w:space="0" w:color="auto"/>
              <w:right w:val="single" w:sz="4" w:space="0" w:color="auto"/>
            </w:tcBorders>
            <w:shd w:val="clear" w:color="auto" w:fill="auto"/>
            <w:noWrap/>
            <w:vAlign w:val="bottom"/>
            <w:hideMark/>
          </w:tcPr>
          <w:p w14:paraId="5EA6C6F8" w14:textId="77777777" w:rsidR="00FB78C9" w:rsidRPr="00FB78C9" w:rsidRDefault="00FB78C9" w:rsidP="00FB78C9">
            <w:pPr>
              <w:spacing w:after="0" w:line="240" w:lineRule="auto"/>
              <w:jc w:val="right"/>
              <w:rPr>
                <w:rFonts w:ascii="Arial" w:eastAsia="Times New Roman" w:hAnsi="Arial" w:cs="Arial"/>
                <w:color w:val="000000"/>
                <w:sz w:val="20"/>
                <w:szCs w:val="20"/>
              </w:rPr>
            </w:pPr>
            <w:r w:rsidRPr="00FB78C9">
              <w:rPr>
                <w:rFonts w:ascii="Arial" w:eastAsia="Times New Roman" w:hAnsi="Arial" w:cs="Arial"/>
                <w:color w:val="000000"/>
                <w:sz w:val="20"/>
                <w:szCs w:val="20"/>
              </w:rPr>
              <w:t>19.6%</w:t>
            </w:r>
          </w:p>
        </w:tc>
      </w:tr>
    </w:tbl>
    <w:p w14:paraId="2D7A80F7" w14:textId="77777777" w:rsidR="00E9059C" w:rsidRDefault="00E9059C" w:rsidP="00F50204"/>
    <w:p w14:paraId="4DBB95A4" w14:textId="06B6B309" w:rsidR="00F50204" w:rsidRDefault="00F50204" w:rsidP="00F7417E">
      <w:pPr>
        <w:rPr>
          <w:b/>
        </w:rPr>
      </w:pPr>
      <w:r>
        <w:t>Among working households, 3,860 are single-earner households and 2</w:t>
      </w:r>
      <w:r w:rsidR="00367C5A">
        <w:t>,</w:t>
      </w:r>
      <w:r>
        <w:t xml:space="preserve">340 include </w:t>
      </w:r>
      <w:r w:rsidR="00F01EBB">
        <w:t xml:space="preserve">two </w:t>
      </w:r>
      <w:r>
        <w:t>or</w:t>
      </w:r>
      <w:r w:rsidR="00F01EBB">
        <w:t xml:space="preserve"> </w:t>
      </w:r>
      <w:r>
        <w:t xml:space="preserve">more earners. </w:t>
      </w:r>
    </w:p>
    <w:p w14:paraId="45DA7631" w14:textId="496C8473" w:rsidR="00F7417E" w:rsidRDefault="00F7417E" w:rsidP="00F7417E">
      <w:pPr>
        <w:contextualSpacing/>
        <w:rPr>
          <w:b/>
        </w:rPr>
      </w:pPr>
      <w:r>
        <w:rPr>
          <w:b/>
        </w:rPr>
        <w:t xml:space="preserve">Figure </w:t>
      </w:r>
      <w:r w:rsidR="00D34513">
        <w:rPr>
          <w:b/>
        </w:rPr>
        <w:t>8</w:t>
      </w:r>
      <w:r>
        <w:rPr>
          <w:b/>
        </w:rPr>
        <w:t xml:space="preserve">. </w:t>
      </w:r>
      <w:r w:rsidR="00DD441E">
        <w:rPr>
          <w:b/>
        </w:rPr>
        <w:t xml:space="preserve">Number of </w:t>
      </w:r>
      <w:r w:rsidR="00AB730C">
        <w:rPr>
          <w:b/>
        </w:rPr>
        <w:t>Workers in Households</w:t>
      </w:r>
    </w:p>
    <w:p w14:paraId="68F50EE3" w14:textId="77777777" w:rsidR="00F7417E" w:rsidRPr="00AF1A8A" w:rsidRDefault="00F7417E" w:rsidP="00F7417E">
      <w:pPr>
        <w:contextualSpacing/>
      </w:pPr>
      <w:r w:rsidRPr="00AF1A8A">
        <w:t>Source: VCHR Tabulation of 2019 ACS 5-year Estimates</w:t>
      </w:r>
    </w:p>
    <w:p w14:paraId="02474FB9" w14:textId="127FF7B0" w:rsidR="00EE6153" w:rsidRDefault="00A720D2">
      <w:r>
        <w:rPr>
          <w:noProof/>
        </w:rPr>
        <w:drawing>
          <wp:inline distT="0" distB="0" distL="0" distR="0" wp14:anchorId="477F9282" wp14:editId="49CD2507">
            <wp:extent cx="5943600" cy="1470907"/>
            <wp:effectExtent l="0" t="0" r="0" b="15240"/>
            <wp:docPr id="23" name="Chart 23">
              <a:extLst xmlns:a="http://schemas.openxmlformats.org/drawingml/2006/main">
                <a:ext uri="{FF2B5EF4-FFF2-40B4-BE49-F238E27FC236}">
                  <a16:creationId xmlns:a16="http://schemas.microsoft.com/office/drawing/2014/main" id="{B5AB9A26-15D4-4931-A952-E26870E9B0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EBA3A88" w14:textId="37AE4EB1" w:rsidR="000A0CBC" w:rsidRDefault="00A26A62">
      <w:r>
        <w:t>Randolph County workers and the households they comprise have different abilities to pay for housing based on their occupation and household composition.</w:t>
      </w:r>
      <w:r w:rsidR="00B428BB">
        <w:t xml:space="preserve"> </w:t>
      </w:r>
      <w:r w:rsidR="14E3E732">
        <w:t xml:space="preserve">The </w:t>
      </w:r>
      <w:r w:rsidR="00C501BC">
        <w:t xml:space="preserve">following </w:t>
      </w:r>
      <w:r w:rsidR="14E3E732">
        <w:t>table</w:t>
      </w:r>
      <w:r w:rsidR="00D86928">
        <w:t xml:space="preserve"> </w:t>
      </w:r>
      <w:r w:rsidR="14E3E732">
        <w:t>shows the wages and income required to support a household of varying compositions and annual costs for necessary household expenses</w:t>
      </w:r>
      <w:r w:rsidR="00D86928">
        <w:t xml:space="preserve"> (</w:t>
      </w:r>
      <w:proofErr w:type="spellStart"/>
      <w:r w:rsidR="00D86928">
        <w:t>Glasmeier</w:t>
      </w:r>
      <w:proofErr w:type="spellEnd"/>
      <w:r w:rsidR="00D86928">
        <w:t>, 2020)</w:t>
      </w:r>
      <w:r w:rsidR="14E3E732">
        <w:t>.</w:t>
      </w:r>
    </w:p>
    <w:p w14:paraId="4E62E5D0" w14:textId="2C256D86" w:rsidR="00335ACB" w:rsidRDefault="00D34513" w:rsidP="00AA4B46">
      <w:pPr>
        <w:contextualSpacing/>
      </w:pPr>
      <w:r>
        <w:rPr>
          <w:b/>
        </w:rPr>
        <w:t xml:space="preserve">Table 5. </w:t>
      </w:r>
      <w:r w:rsidR="00335ACB" w:rsidRPr="00335ACB">
        <w:rPr>
          <w:b/>
        </w:rPr>
        <w:t>Wage/</w:t>
      </w:r>
      <w:r w:rsidR="00B1043F">
        <w:rPr>
          <w:b/>
        </w:rPr>
        <w:t>Income</w:t>
      </w:r>
      <w:r w:rsidR="00335ACB" w:rsidRPr="00335ACB">
        <w:rPr>
          <w:b/>
        </w:rPr>
        <w:t xml:space="preserve"> Requirements and Expenses by Household Composition</w:t>
      </w:r>
      <w:r w:rsidR="00D86928">
        <w:rPr>
          <w:b/>
        </w:rPr>
        <w:br/>
      </w:r>
      <w:r w:rsidR="00D86928">
        <w:rPr>
          <w:bCs/>
        </w:rPr>
        <w:t>Source: MIT Living Wage Calculator</w:t>
      </w:r>
    </w:p>
    <w:tbl>
      <w:tblPr>
        <w:tblStyle w:val="TableGrid"/>
        <w:tblW w:w="0" w:type="auto"/>
        <w:tblLayout w:type="fixed"/>
        <w:tblLook w:val="04A0" w:firstRow="1" w:lastRow="0" w:firstColumn="1" w:lastColumn="0" w:noHBand="0" w:noVBand="1"/>
      </w:tblPr>
      <w:tblGrid>
        <w:gridCol w:w="1525"/>
        <w:gridCol w:w="978"/>
        <w:gridCol w:w="978"/>
        <w:gridCol w:w="978"/>
        <w:gridCol w:w="978"/>
        <w:gridCol w:w="978"/>
        <w:gridCol w:w="978"/>
        <w:gridCol w:w="978"/>
        <w:gridCol w:w="979"/>
      </w:tblGrid>
      <w:tr w:rsidR="00807DDD" w14:paraId="29AB374E" w14:textId="77777777" w:rsidTr="00807DDD">
        <w:tc>
          <w:tcPr>
            <w:tcW w:w="1525" w:type="dxa"/>
            <w:vMerge w:val="restart"/>
          </w:tcPr>
          <w:p w14:paraId="74E51D7E" w14:textId="7ED0E299" w:rsidR="00807DDD" w:rsidRPr="00335ACB" w:rsidRDefault="00807DDD">
            <w:pPr>
              <w:rPr>
                <w:rFonts w:cstheme="minorHAnsi"/>
              </w:rPr>
            </w:pPr>
          </w:p>
        </w:tc>
        <w:tc>
          <w:tcPr>
            <w:tcW w:w="2934" w:type="dxa"/>
            <w:gridSpan w:val="3"/>
            <w:tcBorders>
              <w:right w:val="single" w:sz="12" w:space="0" w:color="auto"/>
            </w:tcBorders>
          </w:tcPr>
          <w:p w14:paraId="5B8E1DA7" w14:textId="446824BB" w:rsidR="00807DDD" w:rsidRPr="00807DDD" w:rsidRDefault="00807DDD" w:rsidP="00807DDD">
            <w:pPr>
              <w:jc w:val="center"/>
              <w:rPr>
                <w:rFonts w:cstheme="minorHAnsi"/>
                <w:b/>
              </w:rPr>
            </w:pPr>
            <w:r w:rsidRPr="00807DDD">
              <w:rPr>
                <w:rFonts w:cstheme="minorHAnsi"/>
                <w:b/>
              </w:rPr>
              <w:t>1 Adult</w:t>
            </w:r>
          </w:p>
        </w:tc>
        <w:tc>
          <w:tcPr>
            <w:tcW w:w="1956" w:type="dxa"/>
            <w:gridSpan w:val="2"/>
            <w:tcBorders>
              <w:left w:val="single" w:sz="12" w:space="0" w:color="auto"/>
              <w:right w:val="single" w:sz="12" w:space="0" w:color="auto"/>
            </w:tcBorders>
          </w:tcPr>
          <w:p w14:paraId="2298B40B" w14:textId="42C60F84" w:rsidR="00807DDD" w:rsidRPr="00807DDD" w:rsidRDefault="00807DDD" w:rsidP="00807DDD">
            <w:pPr>
              <w:jc w:val="center"/>
              <w:rPr>
                <w:rFonts w:cstheme="minorHAnsi"/>
                <w:b/>
              </w:rPr>
            </w:pPr>
            <w:r w:rsidRPr="00807DDD">
              <w:rPr>
                <w:rFonts w:cstheme="minorHAnsi"/>
                <w:b/>
              </w:rPr>
              <w:t xml:space="preserve">2 </w:t>
            </w:r>
            <w:r w:rsidR="00B95BB1">
              <w:rPr>
                <w:rFonts w:cstheme="minorHAnsi"/>
                <w:b/>
              </w:rPr>
              <w:t>A</w:t>
            </w:r>
            <w:r w:rsidR="00B95BB1" w:rsidRPr="00807DDD">
              <w:rPr>
                <w:rFonts w:cstheme="minorHAnsi"/>
                <w:b/>
              </w:rPr>
              <w:t>dults</w:t>
            </w:r>
            <w:r w:rsidRPr="00807DDD">
              <w:rPr>
                <w:rFonts w:cstheme="minorHAnsi"/>
                <w:b/>
              </w:rPr>
              <w:t xml:space="preserve">, 1 </w:t>
            </w:r>
            <w:r w:rsidR="00B95BB1">
              <w:rPr>
                <w:rFonts w:cstheme="minorHAnsi"/>
                <w:b/>
              </w:rPr>
              <w:t>W</w:t>
            </w:r>
            <w:r w:rsidR="00B95BB1" w:rsidRPr="00807DDD">
              <w:rPr>
                <w:rFonts w:cstheme="minorHAnsi"/>
                <w:b/>
              </w:rPr>
              <w:t>orking</w:t>
            </w:r>
          </w:p>
        </w:tc>
        <w:tc>
          <w:tcPr>
            <w:tcW w:w="2935" w:type="dxa"/>
            <w:gridSpan w:val="3"/>
            <w:tcBorders>
              <w:left w:val="single" w:sz="12" w:space="0" w:color="auto"/>
            </w:tcBorders>
          </w:tcPr>
          <w:p w14:paraId="449F2DC2" w14:textId="281D420B" w:rsidR="00807DDD" w:rsidRPr="00807DDD" w:rsidRDefault="00807DDD" w:rsidP="00807DDD">
            <w:pPr>
              <w:jc w:val="center"/>
              <w:rPr>
                <w:rFonts w:cstheme="minorHAnsi"/>
                <w:b/>
              </w:rPr>
            </w:pPr>
            <w:r w:rsidRPr="00807DDD">
              <w:rPr>
                <w:rFonts w:cstheme="minorHAnsi"/>
                <w:b/>
              </w:rPr>
              <w:t xml:space="preserve">2 </w:t>
            </w:r>
            <w:r w:rsidR="00B95BB1">
              <w:rPr>
                <w:rFonts w:cstheme="minorHAnsi"/>
                <w:b/>
              </w:rPr>
              <w:t>A</w:t>
            </w:r>
            <w:r w:rsidR="00B95BB1" w:rsidRPr="00807DDD">
              <w:rPr>
                <w:rFonts w:cstheme="minorHAnsi"/>
                <w:b/>
              </w:rPr>
              <w:t>dults</w:t>
            </w:r>
            <w:r w:rsidRPr="00807DDD">
              <w:rPr>
                <w:rFonts w:cstheme="minorHAnsi"/>
                <w:b/>
              </w:rPr>
              <w:t xml:space="preserve">, </w:t>
            </w:r>
            <w:r w:rsidR="00B95BB1">
              <w:rPr>
                <w:rFonts w:cstheme="minorHAnsi"/>
                <w:b/>
              </w:rPr>
              <w:t>B</w:t>
            </w:r>
            <w:r w:rsidR="00B95BB1" w:rsidRPr="00807DDD">
              <w:rPr>
                <w:rFonts w:cstheme="minorHAnsi"/>
                <w:b/>
              </w:rPr>
              <w:t xml:space="preserve">oth </w:t>
            </w:r>
            <w:r w:rsidR="00B95BB1">
              <w:rPr>
                <w:rFonts w:cstheme="minorHAnsi"/>
                <w:b/>
              </w:rPr>
              <w:t>W</w:t>
            </w:r>
            <w:r w:rsidR="00B95BB1" w:rsidRPr="00807DDD">
              <w:rPr>
                <w:rFonts w:cstheme="minorHAnsi"/>
                <w:b/>
              </w:rPr>
              <w:t>orking</w:t>
            </w:r>
          </w:p>
        </w:tc>
      </w:tr>
      <w:tr w:rsidR="00807DDD" w14:paraId="23EE9307" w14:textId="77777777" w:rsidTr="00807DDD">
        <w:tc>
          <w:tcPr>
            <w:tcW w:w="1525" w:type="dxa"/>
            <w:vMerge/>
            <w:tcBorders>
              <w:bottom w:val="single" w:sz="12" w:space="0" w:color="auto"/>
            </w:tcBorders>
          </w:tcPr>
          <w:p w14:paraId="28757E49" w14:textId="7A7E5ADD" w:rsidR="00807DDD" w:rsidRPr="00335ACB" w:rsidRDefault="00807DDD">
            <w:pPr>
              <w:rPr>
                <w:rFonts w:cstheme="minorHAnsi"/>
              </w:rPr>
            </w:pPr>
          </w:p>
        </w:tc>
        <w:tc>
          <w:tcPr>
            <w:tcW w:w="978" w:type="dxa"/>
            <w:tcBorders>
              <w:bottom w:val="single" w:sz="12" w:space="0" w:color="auto"/>
            </w:tcBorders>
          </w:tcPr>
          <w:p w14:paraId="3E7A6CEB" w14:textId="48A15694" w:rsidR="00807DDD" w:rsidRPr="00807DDD" w:rsidRDefault="00807DDD" w:rsidP="00807DDD">
            <w:pPr>
              <w:jc w:val="center"/>
              <w:rPr>
                <w:rFonts w:cstheme="minorHAnsi"/>
                <w:b/>
              </w:rPr>
            </w:pPr>
            <w:r w:rsidRPr="00807DDD">
              <w:rPr>
                <w:rFonts w:cstheme="minorHAnsi"/>
                <w:b/>
              </w:rPr>
              <w:t>0 Kids</w:t>
            </w:r>
          </w:p>
        </w:tc>
        <w:tc>
          <w:tcPr>
            <w:tcW w:w="978" w:type="dxa"/>
            <w:tcBorders>
              <w:bottom w:val="single" w:sz="12" w:space="0" w:color="auto"/>
            </w:tcBorders>
          </w:tcPr>
          <w:p w14:paraId="79B14843" w14:textId="1217A67E" w:rsidR="00807DDD" w:rsidRPr="00807DDD" w:rsidRDefault="00807DDD" w:rsidP="00807DDD">
            <w:pPr>
              <w:jc w:val="center"/>
              <w:rPr>
                <w:rFonts w:cstheme="minorHAnsi"/>
                <w:b/>
              </w:rPr>
            </w:pPr>
            <w:r w:rsidRPr="00807DDD">
              <w:rPr>
                <w:rFonts w:cstheme="minorHAnsi"/>
                <w:b/>
              </w:rPr>
              <w:t>1 Kid</w:t>
            </w:r>
          </w:p>
        </w:tc>
        <w:tc>
          <w:tcPr>
            <w:tcW w:w="978" w:type="dxa"/>
            <w:tcBorders>
              <w:bottom w:val="single" w:sz="12" w:space="0" w:color="auto"/>
              <w:right w:val="single" w:sz="12" w:space="0" w:color="auto"/>
            </w:tcBorders>
          </w:tcPr>
          <w:p w14:paraId="212E2AD4" w14:textId="1182555A" w:rsidR="00807DDD" w:rsidRPr="00807DDD" w:rsidRDefault="00807DDD" w:rsidP="00807DDD">
            <w:pPr>
              <w:jc w:val="center"/>
              <w:rPr>
                <w:rFonts w:cstheme="minorHAnsi"/>
                <w:b/>
              </w:rPr>
            </w:pPr>
            <w:r w:rsidRPr="00807DDD">
              <w:rPr>
                <w:rFonts w:cstheme="minorHAnsi"/>
                <w:b/>
              </w:rPr>
              <w:t>2 Kids</w:t>
            </w:r>
          </w:p>
        </w:tc>
        <w:tc>
          <w:tcPr>
            <w:tcW w:w="978" w:type="dxa"/>
            <w:tcBorders>
              <w:left w:val="single" w:sz="12" w:space="0" w:color="auto"/>
              <w:bottom w:val="single" w:sz="12" w:space="0" w:color="auto"/>
            </w:tcBorders>
          </w:tcPr>
          <w:p w14:paraId="0CCB4047" w14:textId="00B4AABE" w:rsidR="00807DDD" w:rsidRPr="00807DDD" w:rsidRDefault="00807DDD" w:rsidP="00807DDD">
            <w:pPr>
              <w:jc w:val="center"/>
              <w:rPr>
                <w:rFonts w:cstheme="minorHAnsi"/>
                <w:b/>
              </w:rPr>
            </w:pPr>
            <w:r w:rsidRPr="00807DDD">
              <w:rPr>
                <w:rFonts w:cstheme="minorHAnsi"/>
                <w:b/>
              </w:rPr>
              <w:t>1 Kid</w:t>
            </w:r>
          </w:p>
        </w:tc>
        <w:tc>
          <w:tcPr>
            <w:tcW w:w="978" w:type="dxa"/>
            <w:tcBorders>
              <w:bottom w:val="single" w:sz="12" w:space="0" w:color="auto"/>
              <w:right w:val="single" w:sz="12" w:space="0" w:color="auto"/>
            </w:tcBorders>
          </w:tcPr>
          <w:p w14:paraId="6C6D8B6E" w14:textId="1EFD4AA6" w:rsidR="00807DDD" w:rsidRPr="00807DDD" w:rsidRDefault="00807DDD" w:rsidP="00807DDD">
            <w:pPr>
              <w:jc w:val="center"/>
              <w:rPr>
                <w:rFonts w:cstheme="minorHAnsi"/>
                <w:b/>
              </w:rPr>
            </w:pPr>
            <w:r w:rsidRPr="00807DDD">
              <w:rPr>
                <w:rFonts w:cstheme="minorHAnsi"/>
                <w:b/>
              </w:rPr>
              <w:t>2 Kids</w:t>
            </w:r>
          </w:p>
        </w:tc>
        <w:tc>
          <w:tcPr>
            <w:tcW w:w="978" w:type="dxa"/>
            <w:tcBorders>
              <w:left w:val="single" w:sz="12" w:space="0" w:color="auto"/>
              <w:bottom w:val="single" w:sz="12" w:space="0" w:color="auto"/>
            </w:tcBorders>
          </w:tcPr>
          <w:p w14:paraId="33114EF0" w14:textId="47DBAB6A" w:rsidR="00807DDD" w:rsidRPr="00807DDD" w:rsidRDefault="00807DDD" w:rsidP="00807DDD">
            <w:pPr>
              <w:jc w:val="center"/>
              <w:rPr>
                <w:rFonts w:cstheme="minorHAnsi"/>
                <w:b/>
              </w:rPr>
            </w:pPr>
            <w:r w:rsidRPr="00807DDD">
              <w:rPr>
                <w:rFonts w:cstheme="minorHAnsi"/>
                <w:b/>
              </w:rPr>
              <w:t>0 Kids</w:t>
            </w:r>
          </w:p>
        </w:tc>
        <w:tc>
          <w:tcPr>
            <w:tcW w:w="978" w:type="dxa"/>
            <w:tcBorders>
              <w:bottom w:val="single" w:sz="12" w:space="0" w:color="auto"/>
            </w:tcBorders>
          </w:tcPr>
          <w:p w14:paraId="418AEF2A" w14:textId="65759F26" w:rsidR="00807DDD" w:rsidRPr="00807DDD" w:rsidRDefault="00807DDD" w:rsidP="00807DDD">
            <w:pPr>
              <w:jc w:val="center"/>
              <w:rPr>
                <w:rFonts w:cstheme="minorHAnsi"/>
                <w:b/>
              </w:rPr>
            </w:pPr>
            <w:r w:rsidRPr="00807DDD">
              <w:rPr>
                <w:rFonts w:cstheme="minorHAnsi"/>
                <w:b/>
              </w:rPr>
              <w:t>1 Kid</w:t>
            </w:r>
          </w:p>
        </w:tc>
        <w:tc>
          <w:tcPr>
            <w:tcW w:w="979" w:type="dxa"/>
            <w:tcBorders>
              <w:bottom w:val="single" w:sz="12" w:space="0" w:color="auto"/>
            </w:tcBorders>
          </w:tcPr>
          <w:p w14:paraId="0A0604B0" w14:textId="56994F90" w:rsidR="00807DDD" w:rsidRPr="00807DDD" w:rsidRDefault="00807DDD" w:rsidP="00807DDD">
            <w:pPr>
              <w:jc w:val="center"/>
              <w:rPr>
                <w:rFonts w:cstheme="minorHAnsi"/>
                <w:b/>
              </w:rPr>
            </w:pPr>
            <w:r w:rsidRPr="00807DDD">
              <w:rPr>
                <w:rFonts w:cstheme="minorHAnsi"/>
                <w:b/>
              </w:rPr>
              <w:t>2 Kids</w:t>
            </w:r>
          </w:p>
        </w:tc>
      </w:tr>
      <w:tr w:rsidR="00807DDD" w14:paraId="7DD5DD26" w14:textId="77777777" w:rsidTr="00807DDD">
        <w:tc>
          <w:tcPr>
            <w:tcW w:w="1525" w:type="dxa"/>
            <w:tcBorders>
              <w:top w:val="single" w:sz="12" w:space="0" w:color="auto"/>
            </w:tcBorders>
          </w:tcPr>
          <w:p w14:paraId="128B4B23" w14:textId="42549B8F" w:rsidR="00545E7A" w:rsidRPr="00807DDD" w:rsidRDefault="00545E7A" w:rsidP="00545E7A">
            <w:pPr>
              <w:rPr>
                <w:rFonts w:cstheme="minorHAnsi"/>
                <w:b/>
              </w:rPr>
            </w:pPr>
            <w:r w:rsidRPr="00807DDD">
              <w:rPr>
                <w:rFonts w:cstheme="minorHAnsi"/>
                <w:b/>
              </w:rPr>
              <w:t>Living Wage</w:t>
            </w:r>
          </w:p>
        </w:tc>
        <w:tc>
          <w:tcPr>
            <w:tcW w:w="978" w:type="dxa"/>
            <w:tcBorders>
              <w:top w:val="single" w:sz="12" w:space="0" w:color="auto"/>
            </w:tcBorders>
          </w:tcPr>
          <w:p w14:paraId="04CE3E28" w14:textId="67F0B4E1" w:rsidR="00545E7A" w:rsidRPr="00335ACB" w:rsidRDefault="00545E7A" w:rsidP="00335ACB">
            <w:pPr>
              <w:jc w:val="right"/>
              <w:rPr>
                <w:rFonts w:cstheme="minorHAnsi"/>
              </w:rPr>
            </w:pPr>
            <w:r w:rsidRPr="00335ACB">
              <w:rPr>
                <w:rFonts w:cstheme="minorHAnsi"/>
              </w:rPr>
              <w:t>$14.96</w:t>
            </w:r>
          </w:p>
        </w:tc>
        <w:tc>
          <w:tcPr>
            <w:tcW w:w="978" w:type="dxa"/>
            <w:tcBorders>
              <w:top w:val="single" w:sz="12" w:space="0" w:color="auto"/>
            </w:tcBorders>
          </w:tcPr>
          <w:p w14:paraId="77334019" w14:textId="185801CB" w:rsidR="00545E7A" w:rsidRPr="00335ACB" w:rsidRDefault="00545E7A" w:rsidP="00335ACB">
            <w:pPr>
              <w:jc w:val="right"/>
              <w:rPr>
                <w:rFonts w:cstheme="minorHAnsi"/>
              </w:rPr>
            </w:pPr>
            <w:r w:rsidRPr="00335ACB">
              <w:rPr>
                <w:rFonts w:cstheme="minorHAnsi"/>
              </w:rPr>
              <w:t>$29.81</w:t>
            </w:r>
          </w:p>
        </w:tc>
        <w:tc>
          <w:tcPr>
            <w:tcW w:w="978" w:type="dxa"/>
            <w:tcBorders>
              <w:top w:val="single" w:sz="12" w:space="0" w:color="auto"/>
              <w:right w:val="single" w:sz="12" w:space="0" w:color="auto"/>
            </w:tcBorders>
          </w:tcPr>
          <w:p w14:paraId="042EE86F" w14:textId="03498B5D" w:rsidR="00545E7A" w:rsidRPr="00335ACB" w:rsidRDefault="00545E7A" w:rsidP="00335ACB">
            <w:pPr>
              <w:jc w:val="right"/>
              <w:rPr>
                <w:rFonts w:cstheme="minorHAnsi"/>
              </w:rPr>
            </w:pPr>
            <w:r w:rsidRPr="00335ACB">
              <w:rPr>
                <w:rFonts w:cstheme="minorHAnsi"/>
              </w:rPr>
              <w:t>$37.80</w:t>
            </w:r>
          </w:p>
        </w:tc>
        <w:tc>
          <w:tcPr>
            <w:tcW w:w="978" w:type="dxa"/>
            <w:tcBorders>
              <w:top w:val="single" w:sz="12" w:space="0" w:color="auto"/>
              <w:left w:val="single" w:sz="12" w:space="0" w:color="auto"/>
            </w:tcBorders>
            <w:vAlign w:val="center"/>
          </w:tcPr>
          <w:p w14:paraId="53CC7947" w14:textId="6EB2C160" w:rsidR="00545E7A" w:rsidRPr="00335ACB" w:rsidRDefault="00545E7A" w:rsidP="00335ACB">
            <w:pPr>
              <w:jc w:val="right"/>
              <w:rPr>
                <w:rFonts w:cstheme="minorHAnsi"/>
              </w:rPr>
            </w:pPr>
            <w:r w:rsidRPr="00335ACB">
              <w:rPr>
                <w:rFonts w:cstheme="minorHAnsi"/>
              </w:rPr>
              <w:t>$28.52</w:t>
            </w:r>
          </w:p>
        </w:tc>
        <w:tc>
          <w:tcPr>
            <w:tcW w:w="978" w:type="dxa"/>
            <w:tcBorders>
              <w:top w:val="single" w:sz="12" w:space="0" w:color="auto"/>
              <w:right w:val="single" w:sz="12" w:space="0" w:color="auto"/>
            </w:tcBorders>
            <w:vAlign w:val="center"/>
          </w:tcPr>
          <w:p w14:paraId="665585F6" w14:textId="5AB178CF" w:rsidR="00545E7A" w:rsidRPr="00335ACB" w:rsidRDefault="00545E7A" w:rsidP="00335ACB">
            <w:pPr>
              <w:jc w:val="right"/>
              <w:rPr>
                <w:rFonts w:cstheme="minorHAnsi"/>
              </w:rPr>
            </w:pPr>
            <w:r w:rsidRPr="00335ACB">
              <w:rPr>
                <w:rFonts w:cstheme="minorHAnsi"/>
              </w:rPr>
              <w:t>$34.22</w:t>
            </w:r>
          </w:p>
        </w:tc>
        <w:tc>
          <w:tcPr>
            <w:tcW w:w="978" w:type="dxa"/>
            <w:tcBorders>
              <w:top w:val="single" w:sz="12" w:space="0" w:color="auto"/>
              <w:left w:val="single" w:sz="12" w:space="0" w:color="auto"/>
            </w:tcBorders>
          </w:tcPr>
          <w:p w14:paraId="00147F92" w14:textId="1A7A3F07" w:rsidR="00545E7A" w:rsidRPr="00335ACB" w:rsidRDefault="00545E7A" w:rsidP="00335ACB">
            <w:pPr>
              <w:jc w:val="right"/>
              <w:rPr>
                <w:rFonts w:cstheme="minorHAnsi"/>
              </w:rPr>
            </w:pPr>
            <w:r w:rsidRPr="00335ACB">
              <w:rPr>
                <w:rFonts w:cstheme="minorHAnsi"/>
              </w:rPr>
              <w:t>$12.16</w:t>
            </w:r>
          </w:p>
        </w:tc>
        <w:tc>
          <w:tcPr>
            <w:tcW w:w="978" w:type="dxa"/>
            <w:tcBorders>
              <w:top w:val="single" w:sz="12" w:space="0" w:color="auto"/>
            </w:tcBorders>
          </w:tcPr>
          <w:p w14:paraId="7A012127" w14:textId="5ED0AD35" w:rsidR="00545E7A" w:rsidRPr="00335ACB" w:rsidRDefault="00545E7A" w:rsidP="00335ACB">
            <w:pPr>
              <w:jc w:val="right"/>
              <w:rPr>
                <w:rFonts w:cstheme="minorHAnsi"/>
              </w:rPr>
            </w:pPr>
            <w:r w:rsidRPr="00335ACB">
              <w:rPr>
                <w:rFonts w:cstheme="minorHAnsi"/>
              </w:rPr>
              <w:t>$16.66</w:t>
            </w:r>
          </w:p>
        </w:tc>
        <w:tc>
          <w:tcPr>
            <w:tcW w:w="979" w:type="dxa"/>
            <w:tcBorders>
              <w:top w:val="single" w:sz="12" w:space="0" w:color="auto"/>
            </w:tcBorders>
          </w:tcPr>
          <w:p w14:paraId="1861DFDD" w14:textId="0691B6E7" w:rsidR="00545E7A" w:rsidRPr="00335ACB" w:rsidRDefault="00545E7A" w:rsidP="00335ACB">
            <w:pPr>
              <w:jc w:val="right"/>
              <w:rPr>
                <w:rFonts w:cstheme="minorHAnsi"/>
              </w:rPr>
            </w:pPr>
            <w:r w:rsidRPr="00335ACB">
              <w:rPr>
                <w:rFonts w:cstheme="minorHAnsi"/>
              </w:rPr>
              <w:t>$21.73</w:t>
            </w:r>
          </w:p>
        </w:tc>
      </w:tr>
      <w:tr w:rsidR="00545E7A" w14:paraId="0245641B" w14:textId="77777777" w:rsidTr="00807DDD">
        <w:tc>
          <w:tcPr>
            <w:tcW w:w="1525" w:type="dxa"/>
          </w:tcPr>
          <w:p w14:paraId="10920008" w14:textId="6B5A6273" w:rsidR="00545E7A" w:rsidRPr="00807DDD" w:rsidRDefault="00545E7A" w:rsidP="00545E7A">
            <w:pPr>
              <w:rPr>
                <w:rFonts w:cstheme="minorHAnsi"/>
                <w:b/>
              </w:rPr>
            </w:pPr>
            <w:r w:rsidRPr="00807DDD">
              <w:rPr>
                <w:rFonts w:cstheme="minorHAnsi"/>
                <w:b/>
              </w:rPr>
              <w:t>Poverty Wage</w:t>
            </w:r>
          </w:p>
        </w:tc>
        <w:tc>
          <w:tcPr>
            <w:tcW w:w="978" w:type="dxa"/>
            <w:vAlign w:val="center"/>
          </w:tcPr>
          <w:p w14:paraId="4C17E4E2" w14:textId="65FEA500" w:rsidR="00545E7A" w:rsidRPr="00335ACB" w:rsidRDefault="00545E7A" w:rsidP="00335ACB">
            <w:pPr>
              <w:jc w:val="right"/>
              <w:rPr>
                <w:rFonts w:cstheme="minorHAnsi"/>
              </w:rPr>
            </w:pPr>
            <w:r w:rsidRPr="00335ACB">
              <w:rPr>
                <w:rFonts w:cstheme="minorHAnsi"/>
              </w:rPr>
              <w:t>$6.19</w:t>
            </w:r>
          </w:p>
        </w:tc>
        <w:tc>
          <w:tcPr>
            <w:tcW w:w="978" w:type="dxa"/>
            <w:vAlign w:val="center"/>
          </w:tcPr>
          <w:p w14:paraId="4BB491DC" w14:textId="750CCDD5" w:rsidR="00545E7A" w:rsidRPr="00335ACB" w:rsidRDefault="00545E7A" w:rsidP="00335ACB">
            <w:pPr>
              <w:jc w:val="right"/>
              <w:rPr>
                <w:rFonts w:cstheme="minorHAnsi"/>
              </w:rPr>
            </w:pPr>
            <w:r w:rsidRPr="00335ACB">
              <w:rPr>
                <w:rFonts w:cstheme="minorHAnsi"/>
              </w:rPr>
              <w:t>$8.38</w:t>
            </w:r>
          </w:p>
        </w:tc>
        <w:tc>
          <w:tcPr>
            <w:tcW w:w="978" w:type="dxa"/>
            <w:tcBorders>
              <w:right w:val="single" w:sz="12" w:space="0" w:color="auto"/>
            </w:tcBorders>
            <w:vAlign w:val="center"/>
          </w:tcPr>
          <w:p w14:paraId="694C8401" w14:textId="0741669C" w:rsidR="00545E7A" w:rsidRPr="00335ACB" w:rsidRDefault="00545E7A" w:rsidP="00335ACB">
            <w:pPr>
              <w:jc w:val="right"/>
              <w:rPr>
                <w:rFonts w:cstheme="minorHAnsi"/>
              </w:rPr>
            </w:pPr>
            <w:r w:rsidRPr="00335ACB">
              <w:rPr>
                <w:rFonts w:cstheme="minorHAnsi"/>
              </w:rPr>
              <w:t>$10.56</w:t>
            </w:r>
          </w:p>
        </w:tc>
        <w:tc>
          <w:tcPr>
            <w:tcW w:w="978" w:type="dxa"/>
            <w:tcBorders>
              <w:left w:val="single" w:sz="12" w:space="0" w:color="auto"/>
            </w:tcBorders>
            <w:vAlign w:val="center"/>
          </w:tcPr>
          <w:p w14:paraId="0637FF54" w14:textId="0DA7DC73" w:rsidR="00545E7A" w:rsidRPr="00335ACB" w:rsidRDefault="00545E7A" w:rsidP="00335ACB">
            <w:pPr>
              <w:jc w:val="right"/>
              <w:rPr>
                <w:rFonts w:cstheme="minorHAnsi"/>
              </w:rPr>
            </w:pPr>
            <w:r w:rsidRPr="00335ACB">
              <w:rPr>
                <w:rFonts w:cstheme="minorHAnsi"/>
              </w:rPr>
              <w:t>$10.56</w:t>
            </w:r>
          </w:p>
        </w:tc>
        <w:tc>
          <w:tcPr>
            <w:tcW w:w="978" w:type="dxa"/>
            <w:tcBorders>
              <w:right w:val="single" w:sz="12" w:space="0" w:color="auto"/>
            </w:tcBorders>
            <w:vAlign w:val="center"/>
          </w:tcPr>
          <w:p w14:paraId="2D4AFB9B" w14:textId="7BC0EECE" w:rsidR="00545E7A" w:rsidRPr="00335ACB" w:rsidRDefault="00545E7A" w:rsidP="00335ACB">
            <w:pPr>
              <w:jc w:val="right"/>
              <w:rPr>
                <w:rFonts w:cstheme="minorHAnsi"/>
              </w:rPr>
            </w:pPr>
            <w:r w:rsidRPr="00335ACB">
              <w:rPr>
                <w:rFonts w:cstheme="minorHAnsi"/>
              </w:rPr>
              <w:t>$12.74</w:t>
            </w:r>
          </w:p>
        </w:tc>
        <w:tc>
          <w:tcPr>
            <w:tcW w:w="978" w:type="dxa"/>
            <w:tcBorders>
              <w:left w:val="single" w:sz="12" w:space="0" w:color="auto"/>
            </w:tcBorders>
            <w:vAlign w:val="center"/>
          </w:tcPr>
          <w:p w14:paraId="387DEAA3" w14:textId="34E2612F" w:rsidR="00545E7A" w:rsidRPr="00335ACB" w:rsidRDefault="00545E7A" w:rsidP="00335ACB">
            <w:pPr>
              <w:jc w:val="right"/>
              <w:rPr>
                <w:rFonts w:cstheme="minorHAnsi"/>
              </w:rPr>
            </w:pPr>
            <w:r w:rsidRPr="00335ACB">
              <w:rPr>
                <w:rFonts w:cstheme="minorHAnsi"/>
              </w:rPr>
              <w:t>$4.19</w:t>
            </w:r>
          </w:p>
        </w:tc>
        <w:tc>
          <w:tcPr>
            <w:tcW w:w="978" w:type="dxa"/>
            <w:vAlign w:val="center"/>
          </w:tcPr>
          <w:p w14:paraId="30A324BA" w14:textId="6BB70EA8" w:rsidR="00545E7A" w:rsidRPr="00335ACB" w:rsidRDefault="00545E7A" w:rsidP="00335ACB">
            <w:pPr>
              <w:jc w:val="right"/>
              <w:rPr>
                <w:rFonts w:cstheme="minorHAnsi"/>
              </w:rPr>
            </w:pPr>
            <w:r w:rsidRPr="00335ACB">
              <w:rPr>
                <w:rFonts w:cstheme="minorHAnsi"/>
              </w:rPr>
              <w:t>$5.28</w:t>
            </w:r>
          </w:p>
        </w:tc>
        <w:tc>
          <w:tcPr>
            <w:tcW w:w="979" w:type="dxa"/>
            <w:vAlign w:val="center"/>
          </w:tcPr>
          <w:p w14:paraId="7DC4CEFB" w14:textId="68BA20EA" w:rsidR="00545E7A" w:rsidRPr="00335ACB" w:rsidRDefault="00545E7A" w:rsidP="00335ACB">
            <w:pPr>
              <w:jc w:val="right"/>
              <w:rPr>
                <w:rFonts w:cstheme="minorHAnsi"/>
              </w:rPr>
            </w:pPr>
            <w:r w:rsidRPr="00335ACB">
              <w:rPr>
                <w:rFonts w:cstheme="minorHAnsi"/>
              </w:rPr>
              <w:t>$6.37</w:t>
            </w:r>
          </w:p>
        </w:tc>
      </w:tr>
      <w:tr w:rsidR="00807DDD" w14:paraId="1C6427DF" w14:textId="77777777" w:rsidTr="00807DDD">
        <w:tc>
          <w:tcPr>
            <w:tcW w:w="1525" w:type="dxa"/>
            <w:tcBorders>
              <w:bottom w:val="single" w:sz="12" w:space="0" w:color="auto"/>
            </w:tcBorders>
          </w:tcPr>
          <w:p w14:paraId="0825494C" w14:textId="1A0E6281" w:rsidR="005509E7" w:rsidRPr="00807DDD" w:rsidRDefault="005509E7" w:rsidP="005509E7">
            <w:pPr>
              <w:rPr>
                <w:rFonts w:cstheme="minorHAnsi"/>
                <w:b/>
              </w:rPr>
            </w:pPr>
            <w:r w:rsidRPr="00807DDD">
              <w:rPr>
                <w:rFonts w:cstheme="minorHAnsi"/>
                <w:b/>
              </w:rPr>
              <w:t>Required Ann. Gross Income</w:t>
            </w:r>
          </w:p>
        </w:tc>
        <w:tc>
          <w:tcPr>
            <w:tcW w:w="978" w:type="dxa"/>
            <w:tcBorders>
              <w:bottom w:val="single" w:sz="12" w:space="0" w:color="auto"/>
            </w:tcBorders>
            <w:vAlign w:val="center"/>
          </w:tcPr>
          <w:p w14:paraId="1979B005" w14:textId="209F73A3" w:rsidR="005509E7" w:rsidRPr="00335ACB" w:rsidRDefault="00335ACB" w:rsidP="00335ACB">
            <w:pPr>
              <w:jc w:val="right"/>
              <w:rPr>
                <w:rFonts w:cstheme="minorHAnsi"/>
              </w:rPr>
            </w:pPr>
            <w:r>
              <w:rPr>
                <w:rFonts w:cstheme="minorHAnsi"/>
              </w:rPr>
              <w:t>$</w:t>
            </w:r>
            <w:r w:rsidR="005509E7" w:rsidRPr="00335ACB">
              <w:rPr>
                <w:rFonts w:cstheme="minorHAnsi"/>
              </w:rPr>
              <w:t>31,126</w:t>
            </w:r>
          </w:p>
        </w:tc>
        <w:tc>
          <w:tcPr>
            <w:tcW w:w="978" w:type="dxa"/>
            <w:tcBorders>
              <w:bottom w:val="single" w:sz="12" w:space="0" w:color="auto"/>
            </w:tcBorders>
            <w:vAlign w:val="center"/>
          </w:tcPr>
          <w:p w14:paraId="6C626743" w14:textId="2024085D" w:rsidR="005509E7" w:rsidRPr="00335ACB" w:rsidRDefault="00335ACB" w:rsidP="00335ACB">
            <w:pPr>
              <w:jc w:val="right"/>
              <w:rPr>
                <w:rFonts w:cstheme="minorHAnsi"/>
              </w:rPr>
            </w:pPr>
            <w:r>
              <w:rPr>
                <w:rFonts w:cstheme="minorHAnsi"/>
              </w:rPr>
              <w:t>$</w:t>
            </w:r>
            <w:r w:rsidR="005509E7" w:rsidRPr="00335ACB">
              <w:rPr>
                <w:rFonts w:cstheme="minorHAnsi"/>
              </w:rPr>
              <w:t>62,007</w:t>
            </w:r>
          </w:p>
        </w:tc>
        <w:tc>
          <w:tcPr>
            <w:tcW w:w="978" w:type="dxa"/>
            <w:tcBorders>
              <w:bottom w:val="single" w:sz="12" w:space="0" w:color="auto"/>
              <w:right w:val="single" w:sz="12" w:space="0" w:color="auto"/>
            </w:tcBorders>
            <w:vAlign w:val="center"/>
          </w:tcPr>
          <w:p w14:paraId="16205F11" w14:textId="21618A97" w:rsidR="005509E7" w:rsidRPr="00335ACB" w:rsidRDefault="00335ACB" w:rsidP="00335ACB">
            <w:pPr>
              <w:jc w:val="right"/>
              <w:rPr>
                <w:rFonts w:cstheme="minorHAnsi"/>
              </w:rPr>
            </w:pPr>
            <w:r>
              <w:rPr>
                <w:rFonts w:cstheme="minorHAnsi"/>
              </w:rPr>
              <w:t>$</w:t>
            </w:r>
            <w:r w:rsidR="005509E7" w:rsidRPr="00335ACB">
              <w:rPr>
                <w:rFonts w:cstheme="minorHAnsi"/>
              </w:rPr>
              <w:t>78,628</w:t>
            </w:r>
          </w:p>
        </w:tc>
        <w:tc>
          <w:tcPr>
            <w:tcW w:w="978" w:type="dxa"/>
            <w:tcBorders>
              <w:left w:val="single" w:sz="12" w:space="0" w:color="auto"/>
              <w:bottom w:val="single" w:sz="12" w:space="0" w:color="auto"/>
            </w:tcBorders>
            <w:vAlign w:val="center"/>
          </w:tcPr>
          <w:p w14:paraId="5B4C3EAE" w14:textId="360E7C2D" w:rsidR="005509E7" w:rsidRPr="00335ACB" w:rsidRDefault="00335ACB" w:rsidP="00335ACB">
            <w:pPr>
              <w:jc w:val="right"/>
              <w:rPr>
                <w:rFonts w:cstheme="minorHAnsi"/>
              </w:rPr>
            </w:pPr>
            <w:r>
              <w:rPr>
                <w:rFonts w:cstheme="minorHAnsi"/>
              </w:rPr>
              <w:t>$</w:t>
            </w:r>
            <w:r w:rsidR="005509E7" w:rsidRPr="00335ACB">
              <w:rPr>
                <w:rFonts w:cstheme="minorHAnsi"/>
              </w:rPr>
              <w:t>50,573</w:t>
            </w:r>
          </w:p>
        </w:tc>
        <w:tc>
          <w:tcPr>
            <w:tcW w:w="978" w:type="dxa"/>
            <w:tcBorders>
              <w:bottom w:val="single" w:sz="12" w:space="0" w:color="auto"/>
              <w:right w:val="single" w:sz="12" w:space="0" w:color="auto"/>
            </w:tcBorders>
            <w:vAlign w:val="center"/>
          </w:tcPr>
          <w:p w14:paraId="170D8C87" w14:textId="64BEA276" w:rsidR="005509E7" w:rsidRPr="00335ACB" w:rsidRDefault="00335ACB" w:rsidP="00335ACB">
            <w:pPr>
              <w:jc w:val="right"/>
              <w:rPr>
                <w:rFonts w:cstheme="minorHAnsi"/>
              </w:rPr>
            </w:pPr>
            <w:r>
              <w:rPr>
                <w:rFonts w:cstheme="minorHAnsi"/>
              </w:rPr>
              <w:t>$</w:t>
            </w:r>
            <w:r w:rsidR="005509E7" w:rsidRPr="00335ACB">
              <w:rPr>
                <w:rFonts w:cstheme="minorHAnsi"/>
              </w:rPr>
              <w:t>59,313</w:t>
            </w:r>
          </w:p>
        </w:tc>
        <w:tc>
          <w:tcPr>
            <w:tcW w:w="978" w:type="dxa"/>
            <w:tcBorders>
              <w:left w:val="single" w:sz="12" w:space="0" w:color="auto"/>
              <w:bottom w:val="single" w:sz="12" w:space="0" w:color="auto"/>
            </w:tcBorders>
            <w:vAlign w:val="center"/>
          </w:tcPr>
          <w:p w14:paraId="6AD28BE5" w14:textId="006B7A17" w:rsidR="005509E7" w:rsidRPr="00335ACB" w:rsidRDefault="00335ACB" w:rsidP="00335ACB">
            <w:pPr>
              <w:jc w:val="right"/>
              <w:rPr>
                <w:rFonts w:cstheme="minorHAnsi"/>
              </w:rPr>
            </w:pPr>
            <w:r>
              <w:rPr>
                <w:rFonts w:cstheme="minorHAnsi"/>
              </w:rPr>
              <w:t>$</w:t>
            </w:r>
            <w:r w:rsidR="005509E7" w:rsidRPr="00335ACB">
              <w:rPr>
                <w:rFonts w:cstheme="minorHAnsi"/>
              </w:rPr>
              <w:t>50,573</w:t>
            </w:r>
          </w:p>
        </w:tc>
        <w:tc>
          <w:tcPr>
            <w:tcW w:w="978" w:type="dxa"/>
            <w:tcBorders>
              <w:bottom w:val="single" w:sz="12" w:space="0" w:color="auto"/>
            </w:tcBorders>
            <w:vAlign w:val="center"/>
          </w:tcPr>
          <w:p w14:paraId="7DD4DF6C" w14:textId="36376314" w:rsidR="005509E7" w:rsidRPr="00335ACB" w:rsidRDefault="00335ACB" w:rsidP="00335ACB">
            <w:pPr>
              <w:jc w:val="right"/>
              <w:rPr>
                <w:rFonts w:cstheme="minorHAnsi"/>
              </w:rPr>
            </w:pPr>
            <w:r>
              <w:rPr>
                <w:rFonts w:cstheme="minorHAnsi"/>
              </w:rPr>
              <w:t>$</w:t>
            </w:r>
            <w:r w:rsidR="005509E7" w:rsidRPr="00335ACB">
              <w:rPr>
                <w:rFonts w:cstheme="minorHAnsi"/>
              </w:rPr>
              <w:t>69,300</w:t>
            </w:r>
          </w:p>
        </w:tc>
        <w:tc>
          <w:tcPr>
            <w:tcW w:w="979" w:type="dxa"/>
            <w:tcBorders>
              <w:bottom w:val="single" w:sz="12" w:space="0" w:color="auto"/>
            </w:tcBorders>
            <w:vAlign w:val="center"/>
          </w:tcPr>
          <w:p w14:paraId="6A8C1DE7" w14:textId="05E0BBE1" w:rsidR="005509E7" w:rsidRPr="00335ACB" w:rsidRDefault="00335ACB" w:rsidP="00335ACB">
            <w:pPr>
              <w:jc w:val="right"/>
              <w:rPr>
                <w:rFonts w:cstheme="minorHAnsi"/>
              </w:rPr>
            </w:pPr>
            <w:r>
              <w:rPr>
                <w:rFonts w:cstheme="minorHAnsi"/>
              </w:rPr>
              <w:t>$</w:t>
            </w:r>
            <w:r w:rsidR="005509E7" w:rsidRPr="00335ACB">
              <w:rPr>
                <w:rFonts w:cstheme="minorHAnsi"/>
              </w:rPr>
              <w:t>90,403</w:t>
            </w:r>
          </w:p>
        </w:tc>
      </w:tr>
      <w:tr w:rsidR="00807DDD" w14:paraId="6A2BD60E" w14:textId="77777777" w:rsidTr="00807DDD">
        <w:tc>
          <w:tcPr>
            <w:tcW w:w="1525" w:type="dxa"/>
            <w:tcBorders>
              <w:top w:val="single" w:sz="12" w:space="0" w:color="auto"/>
            </w:tcBorders>
          </w:tcPr>
          <w:p w14:paraId="3B1E0918" w14:textId="7E01EBC2" w:rsidR="00A754DD" w:rsidRPr="00807DDD" w:rsidRDefault="00A754DD" w:rsidP="00A754DD">
            <w:pPr>
              <w:rPr>
                <w:rFonts w:cstheme="minorHAnsi"/>
                <w:b/>
              </w:rPr>
            </w:pPr>
            <w:r w:rsidRPr="00807DDD">
              <w:rPr>
                <w:rFonts w:cstheme="minorHAnsi"/>
                <w:b/>
              </w:rPr>
              <w:t>Food</w:t>
            </w:r>
          </w:p>
        </w:tc>
        <w:tc>
          <w:tcPr>
            <w:tcW w:w="978" w:type="dxa"/>
            <w:tcBorders>
              <w:top w:val="single" w:sz="12" w:space="0" w:color="auto"/>
            </w:tcBorders>
          </w:tcPr>
          <w:p w14:paraId="0A4FBAC9" w14:textId="26B7A20C" w:rsidR="00A754DD" w:rsidRPr="00335ACB" w:rsidRDefault="00A754DD" w:rsidP="00335ACB">
            <w:pPr>
              <w:jc w:val="right"/>
              <w:rPr>
                <w:rFonts w:cstheme="minorHAnsi"/>
              </w:rPr>
            </w:pPr>
            <w:r w:rsidRPr="00335ACB">
              <w:rPr>
                <w:rFonts w:cstheme="minorHAnsi"/>
              </w:rPr>
              <w:t>$3,351</w:t>
            </w:r>
          </w:p>
        </w:tc>
        <w:tc>
          <w:tcPr>
            <w:tcW w:w="978" w:type="dxa"/>
            <w:tcBorders>
              <w:top w:val="single" w:sz="12" w:space="0" w:color="auto"/>
            </w:tcBorders>
          </w:tcPr>
          <w:p w14:paraId="2FBD6C10" w14:textId="6DD07E3F" w:rsidR="00A754DD" w:rsidRPr="00335ACB" w:rsidRDefault="00A754DD" w:rsidP="00335ACB">
            <w:pPr>
              <w:jc w:val="right"/>
              <w:rPr>
                <w:rFonts w:cstheme="minorHAnsi"/>
              </w:rPr>
            </w:pPr>
            <w:r w:rsidRPr="00335ACB">
              <w:rPr>
                <w:rFonts w:cstheme="minorHAnsi"/>
              </w:rPr>
              <w:t>$4,937</w:t>
            </w:r>
          </w:p>
        </w:tc>
        <w:tc>
          <w:tcPr>
            <w:tcW w:w="978" w:type="dxa"/>
            <w:tcBorders>
              <w:top w:val="single" w:sz="12" w:space="0" w:color="auto"/>
              <w:right w:val="single" w:sz="12" w:space="0" w:color="auto"/>
            </w:tcBorders>
          </w:tcPr>
          <w:p w14:paraId="10E780C0" w14:textId="7288398F" w:rsidR="00A754DD" w:rsidRPr="00335ACB" w:rsidRDefault="00A754DD" w:rsidP="00335ACB">
            <w:pPr>
              <w:jc w:val="right"/>
              <w:rPr>
                <w:rFonts w:cstheme="minorHAnsi"/>
              </w:rPr>
            </w:pPr>
            <w:r w:rsidRPr="00335ACB">
              <w:rPr>
                <w:rFonts w:cstheme="minorHAnsi"/>
              </w:rPr>
              <w:t>$7,417</w:t>
            </w:r>
          </w:p>
        </w:tc>
        <w:tc>
          <w:tcPr>
            <w:tcW w:w="978" w:type="dxa"/>
            <w:tcBorders>
              <w:top w:val="single" w:sz="12" w:space="0" w:color="auto"/>
              <w:left w:val="single" w:sz="12" w:space="0" w:color="auto"/>
            </w:tcBorders>
            <w:vAlign w:val="center"/>
          </w:tcPr>
          <w:p w14:paraId="512C0E8F" w14:textId="1C5DCADB" w:rsidR="00A754DD" w:rsidRPr="00335ACB" w:rsidRDefault="00A754DD" w:rsidP="00335ACB">
            <w:pPr>
              <w:jc w:val="right"/>
              <w:rPr>
                <w:rFonts w:cstheme="minorHAnsi"/>
              </w:rPr>
            </w:pPr>
            <w:r w:rsidRPr="00335ACB">
              <w:rPr>
                <w:rFonts w:cstheme="minorHAnsi"/>
              </w:rPr>
              <w:t>$7,645</w:t>
            </w:r>
          </w:p>
        </w:tc>
        <w:tc>
          <w:tcPr>
            <w:tcW w:w="978" w:type="dxa"/>
            <w:tcBorders>
              <w:top w:val="single" w:sz="12" w:space="0" w:color="auto"/>
              <w:right w:val="single" w:sz="12" w:space="0" w:color="auto"/>
            </w:tcBorders>
            <w:vAlign w:val="center"/>
          </w:tcPr>
          <w:p w14:paraId="22376BA7" w14:textId="553BE622" w:rsidR="00A754DD" w:rsidRPr="00335ACB" w:rsidRDefault="00A754DD" w:rsidP="00335ACB">
            <w:pPr>
              <w:jc w:val="right"/>
              <w:rPr>
                <w:rFonts w:cstheme="minorHAnsi"/>
              </w:rPr>
            </w:pPr>
            <w:r w:rsidRPr="00335ACB">
              <w:rPr>
                <w:rFonts w:cstheme="minorHAnsi"/>
              </w:rPr>
              <w:t>$9,856</w:t>
            </w:r>
          </w:p>
        </w:tc>
        <w:tc>
          <w:tcPr>
            <w:tcW w:w="978" w:type="dxa"/>
            <w:tcBorders>
              <w:top w:val="single" w:sz="12" w:space="0" w:color="auto"/>
              <w:left w:val="single" w:sz="12" w:space="0" w:color="auto"/>
            </w:tcBorders>
          </w:tcPr>
          <w:p w14:paraId="22E7AC5E" w14:textId="3C0D9435" w:rsidR="00A754DD" w:rsidRPr="00335ACB" w:rsidRDefault="00A754DD" w:rsidP="00335ACB">
            <w:pPr>
              <w:jc w:val="right"/>
              <w:rPr>
                <w:rFonts w:cstheme="minorHAnsi"/>
              </w:rPr>
            </w:pPr>
            <w:r w:rsidRPr="00335ACB">
              <w:rPr>
                <w:rFonts w:cstheme="minorHAnsi"/>
              </w:rPr>
              <w:t>$6,143</w:t>
            </w:r>
          </w:p>
        </w:tc>
        <w:tc>
          <w:tcPr>
            <w:tcW w:w="978" w:type="dxa"/>
            <w:tcBorders>
              <w:top w:val="single" w:sz="12" w:space="0" w:color="auto"/>
            </w:tcBorders>
          </w:tcPr>
          <w:p w14:paraId="4329A821" w14:textId="6FFB8F2A" w:rsidR="00A754DD" w:rsidRPr="00335ACB" w:rsidRDefault="00A754DD" w:rsidP="00335ACB">
            <w:pPr>
              <w:jc w:val="right"/>
              <w:rPr>
                <w:rFonts w:cstheme="minorHAnsi"/>
              </w:rPr>
            </w:pPr>
            <w:r w:rsidRPr="00335ACB">
              <w:rPr>
                <w:rFonts w:cstheme="minorHAnsi"/>
              </w:rPr>
              <w:t>$7,645</w:t>
            </w:r>
          </w:p>
        </w:tc>
        <w:tc>
          <w:tcPr>
            <w:tcW w:w="979" w:type="dxa"/>
            <w:tcBorders>
              <w:top w:val="single" w:sz="12" w:space="0" w:color="auto"/>
            </w:tcBorders>
          </w:tcPr>
          <w:p w14:paraId="3023D840" w14:textId="20B03D43" w:rsidR="00A754DD" w:rsidRPr="00335ACB" w:rsidRDefault="00A754DD" w:rsidP="00335ACB">
            <w:pPr>
              <w:jc w:val="right"/>
              <w:rPr>
                <w:rFonts w:cstheme="minorHAnsi"/>
              </w:rPr>
            </w:pPr>
            <w:r w:rsidRPr="00335ACB">
              <w:rPr>
                <w:rFonts w:cstheme="minorHAnsi"/>
              </w:rPr>
              <w:t>$9,856</w:t>
            </w:r>
          </w:p>
        </w:tc>
      </w:tr>
      <w:tr w:rsidR="002E275E" w14:paraId="089C6AB7" w14:textId="77777777" w:rsidTr="00807DDD">
        <w:tc>
          <w:tcPr>
            <w:tcW w:w="1525" w:type="dxa"/>
          </w:tcPr>
          <w:p w14:paraId="2EBFC9E1" w14:textId="3E0958A8" w:rsidR="002E275E" w:rsidRPr="00807DDD" w:rsidRDefault="002E275E" w:rsidP="002E275E">
            <w:pPr>
              <w:rPr>
                <w:rFonts w:cstheme="minorHAnsi"/>
                <w:b/>
              </w:rPr>
            </w:pPr>
            <w:r w:rsidRPr="00807DDD">
              <w:rPr>
                <w:rFonts w:cstheme="minorHAnsi"/>
                <w:b/>
              </w:rPr>
              <w:t>Childcare</w:t>
            </w:r>
          </w:p>
        </w:tc>
        <w:tc>
          <w:tcPr>
            <w:tcW w:w="978" w:type="dxa"/>
          </w:tcPr>
          <w:p w14:paraId="0EB07AB5" w14:textId="705D510B" w:rsidR="002E275E" w:rsidRPr="00335ACB" w:rsidRDefault="002E275E" w:rsidP="00335ACB">
            <w:pPr>
              <w:jc w:val="right"/>
              <w:rPr>
                <w:rFonts w:cstheme="minorHAnsi"/>
              </w:rPr>
            </w:pPr>
            <w:r w:rsidRPr="00335ACB">
              <w:rPr>
                <w:rFonts w:cstheme="minorHAnsi"/>
              </w:rPr>
              <w:t>$0</w:t>
            </w:r>
          </w:p>
        </w:tc>
        <w:tc>
          <w:tcPr>
            <w:tcW w:w="978" w:type="dxa"/>
          </w:tcPr>
          <w:p w14:paraId="23602D8C" w14:textId="6768B71C" w:rsidR="002E275E" w:rsidRPr="00335ACB" w:rsidRDefault="002E275E" w:rsidP="00335ACB">
            <w:pPr>
              <w:jc w:val="right"/>
              <w:rPr>
                <w:rFonts w:cstheme="minorHAnsi"/>
              </w:rPr>
            </w:pPr>
            <w:r w:rsidRPr="00335ACB">
              <w:rPr>
                <w:rFonts w:cstheme="minorHAnsi"/>
              </w:rPr>
              <w:t>$7,648</w:t>
            </w:r>
          </w:p>
        </w:tc>
        <w:tc>
          <w:tcPr>
            <w:tcW w:w="978" w:type="dxa"/>
            <w:tcBorders>
              <w:right w:val="single" w:sz="12" w:space="0" w:color="auto"/>
            </w:tcBorders>
          </w:tcPr>
          <w:p w14:paraId="3BC02BC0" w14:textId="3745910D" w:rsidR="002E275E" w:rsidRPr="00335ACB" w:rsidRDefault="002E275E" w:rsidP="00335ACB">
            <w:pPr>
              <w:jc w:val="right"/>
              <w:rPr>
                <w:rFonts w:cstheme="minorHAnsi"/>
              </w:rPr>
            </w:pPr>
            <w:r w:rsidRPr="00335ACB">
              <w:rPr>
                <w:rFonts w:cstheme="minorHAnsi"/>
              </w:rPr>
              <w:t>$15,296</w:t>
            </w:r>
          </w:p>
        </w:tc>
        <w:tc>
          <w:tcPr>
            <w:tcW w:w="978" w:type="dxa"/>
            <w:tcBorders>
              <w:left w:val="single" w:sz="12" w:space="0" w:color="auto"/>
            </w:tcBorders>
          </w:tcPr>
          <w:p w14:paraId="05DBD443" w14:textId="3C686969" w:rsidR="002E275E" w:rsidRPr="00335ACB" w:rsidRDefault="002E275E" w:rsidP="00335ACB">
            <w:pPr>
              <w:jc w:val="right"/>
              <w:rPr>
                <w:rFonts w:cstheme="minorHAnsi"/>
              </w:rPr>
            </w:pPr>
            <w:r w:rsidRPr="00335ACB">
              <w:rPr>
                <w:rFonts w:cstheme="minorHAnsi"/>
              </w:rPr>
              <w:t>$0</w:t>
            </w:r>
          </w:p>
        </w:tc>
        <w:tc>
          <w:tcPr>
            <w:tcW w:w="978" w:type="dxa"/>
            <w:tcBorders>
              <w:right w:val="single" w:sz="12" w:space="0" w:color="auto"/>
            </w:tcBorders>
          </w:tcPr>
          <w:p w14:paraId="5D6AD2D3" w14:textId="357F5AA6" w:rsidR="002E275E" w:rsidRPr="00335ACB" w:rsidRDefault="002E275E" w:rsidP="00335ACB">
            <w:pPr>
              <w:jc w:val="right"/>
              <w:rPr>
                <w:rFonts w:cstheme="minorHAnsi"/>
              </w:rPr>
            </w:pPr>
            <w:r w:rsidRPr="00335ACB">
              <w:rPr>
                <w:rFonts w:cstheme="minorHAnsi"/>
              </w:rPr>
              <w:t>$0</w:t>
            </w:r>
          </w:p>
        </w:tc>
        <w:tc>
          <w:tcPr>
            <w:tcW w:w="978" w:type="dxa"/>
            <w:tcBorders>
              <w:left w:val="single" w:sz="12" w:space="0" w:color="auto"/>
            </w:tcBorders>
            <w:vAlign w:val="center"/>
          </w:tcPr>
          <w:p w14:paraId="4CC7F839" w14:textId="6CCA4879" w:rsidR="002E275E" w:rsidRPr="00335ACB" w:rsidRDefault="002E275E" w:rsidP="00335ACB">
            <w:pPr>
              <w:jc w:val="right"/>
              <w:rPr>
                <w:rFonts w:cstheme="minorHAnsi"/>
              </w:rPr>
            </w:pPr>
            <w:r w:rsidRPr="00335ACB">
              <w:rPr>
                <w:rFonts w:cstheme="minorHAnsi"/>
              </w:rPr>
              <w:t>$0</w:t>
            </w:r>
          </w:p>
        </w:tc>
        <w:tc>
          <w:tcPr>
            <w:tcW w:w="978" w:type="dxa"/>
            <w:vAlign w:val="center"/>
          </w:tcPr>
          <w:p w14:paraId="6626C33D" w14:textId="274B2DB0" w:rsidR="002E275E" w:rsidRPr="00335ACB" w:rsidRDefault="002E275E" w:rsidP="00335ACB">
            <w:pPr>
              <w:jc w:val="right"/>
              <w:rPr>
                <w:rFonts w:cstheme="minorHAnsi"/>
              </w:rPr>
            </w:pPr>
            <w:r w:rsidRPr="00335ACB">
              <w:rPr>
                <w:rFonts w:cstheme="minorHAnsi"/>
              </w:rPr>
              <w:t>$7,648</w:t>
            </w:r>
          </w:p>
        </w:tc>
        <w:tc>
          <w:tcPr>
            <w:tcW w:w="979" w:type="dxa"/>
            <w:vAlign w:val="center"/>
          </w:tcPr>
          <w:p w14:paraId="781CEC26" w14:textId="0A2489CA" w:rsidR="002E275E" w:rsidRPr="00335ACB" w:rsidRDefault="002E275E" w:rsidP="00335ACB">
            <w:pPr>
              <w:jc w:val="right"/>
              <w:rPr>
                <w:rFonts w:cstheme="minorHAnsi"/>
              </w:rPr>
            </w:pPr>
            <w:r w:rsidRPr="00335ACB">
              <w:rPr>
                <w:rFonts w:cstheme="minorHAnsi"/>
              </w:rPr>
              <w:t>$15,296</w:t>
            </w:r>
          </w:p>
        </w:tc>
      </w:tr>
      <w:tr w:rsidR="00335ACB" w14:paraId="2102A202" w14:textId="77777777" w:rsidTr="00807DDD">
        <w:tc>
          <w:tcPr>
            <w:tcW w:w="1525" w:type="dxa"/>
          </w:tcPr>
          <w:p w14:paraId="73B69A29" w14:textId="4A3DB69F" w:rsidR="00335ACB" w:rsidRPr="00807DDD" w:rsidRDefault="00335ACB" w:rsidP="00335ACB">
            <w:pPr>
              <w:rPr>
                <w:rFonts w:cstheme="minorHAnsi"/>
                <w:b/>
              </w:rPr>
            </w:pPr>
            <w:r w:rsidRPr="00807DDD">
              <w:rPr>
                <w:rFonts w:cstheme="minorHAnsi"/>
                <w:b/>
              </w:rPr>
              <w:t>Medical</w:t>
            </w:r>
          </w:p>
        </w:tc>
        <w:tc>
          <w:tcPr>
            <w:tcW w:w="978" w:type="dxa"/>
            <w:vAlign w:val="center"/>
          </w:tcPr>
          <w:p w14:paraId="3F451320" w14:textId="3189F185" w:rsidR="00335ACB" w:rsidRPr="00335ACB" w:rsidRDefault="00335ACB" w:rsidP="00335ACB">
            <w:pPr>
              <w:jc w:val="right"/>
              <w:rPr>
                <w:rFonts w:cstheme="minorHAnsi"/>
              </w:rPr>
            </w:pPr>
            <w:r w:rsidRPr="00335ACB">
              <w:rPr>
                <w:rFonts w:cstheme="minorHAnsi"/>
              </w:rPr>
              <w:t>$2,599</w:t>
            </w:r>
          </w:p>
        </w:tc>
        <w:tc>
          <w:tcPr>
            <w:tcW w:w="978" w:type="dxa"/>
            <w:vAlign w:val="center"/>
          </w:tcPr>
          <w:p w14:paraId="57FB92C2" w14:textId="140343A0" w:rsidR="00335ACB" w:rsidRPr="00335ACB" w:rsidRDefault="00335ACB" w:rsidP="00335ACB">
            <w:pPr>
              <w:jc w:val="right"/>
              <w:rPr>
                <w:rFonts w:cstheme="minorHAnsi"/>
              </w:rPr>
            </w:pPr>
            <w:r w:rsidRPr="00335ACB">
              <w:rPr>
                <w:rFonts w:cstheme="minorHAnsi"/>
              </w:rPr>
              <w:t>$7,207</w:t>
            </w:r>
          </w:p>
        </w:tc>
        <w:tc>
          <w:tcPr>
            <w:tcW w:w="978" w:type="dxa"/>
            <w:tcBorders>
              <w:right w:val="single" w:sz="12" w:space="0" w:color="auto"/>
            </w:tcBorders>
            <w:vAlign w:val="center"/>
          </w:tcPr>
          <w:p w14:paraId="6939F809" w14:textId="5C460F77" w:rsidR="00335ACB" w:rsidRPr="00335ACB" w:rsidRDefault="00335ACB" w:rsidP="00335ACB">
            <w:pPr>
              <w:jc w:val="right"/>
              <w:rPr>
                <w:rFonts w:cstheme="minorHAnsi"/>
              </w:rPr>
            </w:pPr>
            <w:r w:rsidRPr="00335ACB">
              <w:rPr>
                <w:rFonts w:cstheme="minorHAnsi"/>
              </w:rPr>
              <w:t>$6,994</w:t>
            </w:r>
          </w:p>
        </w:tc>
        <w:tc>
          <w:tcPr>
            <w:tcW w:w="978" w:type="dxa"/>
            <w:tcBorders>
              <w:left w:val="single" w:sz="12" w:space="0" w:color="auto"/>
            </w:tcBorders>
          </w:tcPr>
          <w:p w14:paraId="02F342F6" w14:textId="46EC1601" w:rsidR="00335ACB" w:rsidRPr="00335ACB" w:rsidRDefault="00335ACB" w:rsidP="00335ACB">
            <w:pPr>
              <w:jc w:val="right"/>
              <w:rPr>
                <w:rFonts w:cstheme="minorHAnsi"/>
              </w:rPr>
            </w:pPr>
            <w:r w:rsidRPr="00335ACB">
              <w:rPr>
                <w:rFonts w:cstheme="minorHAnsi"/>
              </w:rPr>
              <w:t>$6,994</w:t>
            </w:r>
          </w:p>
        </w:tc>
        <w:tc>
          <w:tcPr>
            <w:tcW w:w="978" w:type="dxa"/>
            <w:tcBorders>
              <w:right w:val="single" w:sz="12" w:space="0" w:color="auto"/>
            </w:tcBorders>
          </w:tcPr>
          <w:p w14:paraId="495C87D8" w14:textId="6A14F1B0" w:rsidR="00335ACB" w:rsidRPr="00335ACB" w:rsidRDefault="00335ACB" w:rsidP="00335ACB">
            <w:pPr>
              <w:jc w:val="right"/>
              <w:rPr>
                <w:rFonts w:cstheme="minorHAnsi"/>
              </w:rPr>
            </w:pPr>
            <w:r w:rsidRPr="00335ACB">
              <w:rPr>
                <w:rFonts w:cstheme="minorHAnsi"/>
              </w:rPr>
              <w:t>$7,303</w:t>
            </w:r>
          </w:p>
        </w:tc>
        <w:tc>
          <w:tcPr>
            <w:tcW w:w="978" w:type="dxa"/>
            <w:tcBorders>
              <w:left w:val="single" w:sz="12" w:space="0" w:color="auto"/>
            </w:tcBorders>
          </w:tcPr>
          <w:p w14:paraId="677D6E00" w14:textId="370C5DE3" w:rsidR="00335ACB" w:rsidRPr="00335ACB" w:rsidRDefault="00335ACB" w:rsidP="00335ACB">
            <w:pPr>
              <w:jc w:val="right"/>
              <w:rPr>
                <w:rFonts w:cstheme="minorHAnsi"/>
              </w:rPr>
            </w:pPr>
            <w:r w:rsidRPr="00335ACB">
              <w:rPr>
                <w:rFonts w:cstheme="minorHAnsi"/>
              </w:rPr>
              <w:t>$6,092</w:t>
            </w:r>
          </w:p>
        </w:tc>
        <w:tc>
          <w:tcPr>
            <w:tcW w:w="978" w:type="dxa"/>
          </w:tcPr>
          <w:p w14:paraId="7DD45750" w14:textId="707AA893" w:rsidR="00335ACB" w:rsidRPr="00335ACB" w:rsidRDefault="00335ACB" w:rsidP="00335ACB">
            <w:pPr>
              <w:jc w:val="right"/>
              <w:rPr>
                <w:rFonts w:cstheme="minorHAnsi"/>
              </w:rPr>
            </w:pPr>
            <w:r w:rsidRPr="00335ACB">
              <w:rPr>
                <w:rFonts w:cstheme="minorHAnsi"/>
              </w:rPr>
              <w:t>$6,994</w:t>
            </w:r>
          </w:p>
        </w:tc>
        <w:tc>
          <w:tcPr>
            <w:tcW w:w="979" w:type="dxa"/>
          </w:tcPr>
          <w:p w14:paraId="562693D8" w14:textId="2CA20AD0" w:rsidR="00335ACB" w:rsidRPr="00335ACB" w:rsidRDefault="00335ACB" w:rsidP="00335ACB">
            <w:pPr>
              <w:jc w:val="right"/>
              <w:rPr>
                <w:rFonts w:cstheme="minorHAnsi"/>
              </w:rPr>
            </w:pPr>
            <w:r w:rsidRPr="00335ACB">
              <w:rPr>
                <w:rFonts w:cstheme="minorHAnsi"/>
              </w:rPr>
              <w:t>$7,303</w:t>
            </w:r>
          </w:p>
        </w:tc>
      </w:tr>
      <w:tr w:rsidR="00335ACB" w14:paraId="79E9CB6B" w14:textId="77777777" w:rsidTr="00807DDD">
        <w:tc>
          <w:tcPr>
            <w:tcW w:w="1525" w:type="dxa"/>
          </w:tcPr>
          <w:p w14:paraId="7D0DE6B6" w14:textId="4C24A2DA" w:rsidR="00335ACB" w:rsidRPr="00807DDD" w:rsidRDefault="00335ACB" w:rsidP="00335ACB">
            <w:pPr>
              <w:rPr>
                <w:rFonts w:cstheme="minorHAnsi"/>
                <w:b/>
              </w:rPr>
            </w:pPr>
            <w:r w:rsidRPr="00807DDD">
              <w:rPr>
                <w:rFonts w:cstheme="minorHAnsi"/>
                <w:b/>
              </w:rPr>
              <w:t>Housing</w:t>
            </w:r>
          </w:p>
        </w:tc>
        <w:tc>
          <w:tcPr>
            <w:tcW w:w="978" w:type="dxa"/>
            <w:vAlign w:val="center"/>
          </w:tcPr>
          <w:p w14:paraId="1958D8F8" w14:textId="51FE084D" w:rsidR="00335ACB" w:rsidRPr="00335ACB" w:rsidRDefault="00335ACB" w:rsidP="00335ACB">
            <w:pPr>
              <w:jc w:val="right"/>
              <w:rPr>
                <w:rFonts w:cstheme="minorHAnsi"/>
              </w:rPr>
            </w:pPr>
            <w:r w:rsidRPr="00335ACB">
              <w:rPr>
                <w:rFonts w:cstheme="minorHAnsi"/>
              </w:rPr>
              <w:t>$6,791</w:t>
            </w:r>
          </w:p>
        </w:tc>
        <w:tc>
          <w:tcPr>
            <w:tcW w:w="978" w:type="dxa"/>
            <w:vAlign w:val="center"/>
          </w:tcPr>
          <w:p w14:paraId="00885786" w14:textId="19914B24" w:rsidR="00335ACB" w:rsidRPr="00335ACB" w:rsidRDefault="00335ACB" w:rsidP="00335ACB">
            <w:pPr>
              <w:jc w:val="right"/>
              <w:rPr>
                <w:rFonts w:cstheme="minorHAnsi"/>
              </w:rPr>
            </w:pPr>
            <w:r w:rsidRPr="00335ACB">
              <w:rPr>
                <w:rFonts w:cstheme="minorHAnsi"/>
              </w:rPr>
              <w:t>$8,894</w:t>
            </w:r>
          </w:p>
        </w:tc>
        <w:tc>
          <w:tcPr>
            <w:tcW w:w="978" w:type="dxa"/>
            <w:tcBorders>
              <w:right w:val="single" w:sz="12" w:space="0" w:color="auto"/>
            </w:tcBorders>
            <w:vAlign w:val="center"/>
          </w:tcPr>
          <w:p w14:paraId="0992505A" w14:textId="75FC5D65" w:rsidR="00335ACB" w:rsidRPr="00335ACB" w:rsidRDefault="00335ACB" w:rsidP="00335ACB">
            <w:pPr>
              <w:jc w:val="right"/>
              <w:rPr>
                <w:rFonts w:cstheme="minorHAnsi"/>
              </w:rPr>
            </w:pPr>
            <w:r w:rsidRPr="00335ACB">
              <w:rPr>
                <w:rFonts w:cstheme="minorHAnsi"/>
              </w:rPr>
              <w:t>$8,894</w:t>
            </w:r>
          </w:p>
        </w:tc>
        <w:tc>
          <w:tcPr>
            <w:tcW w:w="978" w:type="dxa"/>
            <w:tcBorders>
              <w:left w:val="single" w:sz="12" w:space="0" w:color="auto"/>
            </w:tcBorders>
          </w:tcPr>
          <w:p w14:paraId="10C7283A" w14:textId="537EBAD5" w:rsidR="00335ACB" w:rsidRPr="00335ACB" w:rsidRDefault="00335ACB" w:rsidP="00335ACB">
            <w:pPr>
              <w:jc w:val="right"/>
              <w:rPr>
                <w:rFonts w:cstheme="minorHAnsi"/>
              </w:rPr>
            </w:pPr>
            <w:r w:rsidRPr="00335ACB">
              <w:rPr>
                <w:rFonts w:cstheme="minorHAnsi"/>
              </w:rPr>
              <w:t>$8,894</w:t>
            </w:r>
          </w:p>
        </w:tc>
        <w:tc>
          <w:tcPr>
            <w:tcW w:w="978" w:type="dxa"/>
            <w:tcBorders>
              <w:right w:val="single" w:sz="12" w:space="0" w:color="auto"/>
            </w:tcBorders>
          </w:tcPr>
          <w:p w14:paraId="435F0499" w14:textId="3FD2715E" w:rsidR="00335ACB" w:rsidRPr="00335ACB" w:rsidRDefault="00335ACB" w:rsidP="00335ACB">
            <w:pPr>
              <w:jc w:val="right"/>
              <w:rPr>
                <w:rFonts w:cstheme="minorHAnsi"/>
              </w:rPr>
            </w:pPr>
            <w:r w:rsidRPr="00335ACB">
              <w:rPr>
                <w:rFonts w:cstheme="minorHAnsi"/>
              </w:rPr>
              <w:t>$8,894</w:t>
            </w:r>
          </w:p>
        </w:tc>
        <w:tc>
          <w:tcPr>
            <w:tcW w:w="978" w:type="dxa"/>
            <w:tcBorders>
              <w:left w:val="single" w:sz="12" w:space="0" w:color="auto"/>
            </w:tcBorders>
          </w:tcPr>
          <w:p w14:paraId="0AAC1E6F" w14:textId="7D17A850" w:rsidR="00335ACB" w:rsidRPr="00335ACB" w:rsidRDefault="00335ACB" w:rsidP="00335ACB">
            <w:pPr>
              <w:jc w:val="right"/>
              <w:rPr>
                <w:rFonts w:cstheme="minorHAnsi"/>
              </w:rPr>
            </w:pPr>
            <w:r w:rsidRPr="00335ACB">
              <w:rPr>
                <w:rFonts w:cstheme="minorHAnsi"/>
              </w:rPr>
              <w:t>$7,609</w:t>
            </w:r>
          </w:p>
        </w:tc>
        <w:tc>
          <w:tcPr>
            <w:tcW w:w="978" w:type="dxa"/>
          </w:tcPr>
          <w:p w14:paraId="2F403F05" w14:textId="0FA10A97" w:rsidR="00335ACB" w:rsidRPr="00335ACB" w:rsidRDefault="00335ACB" w:rsidP="00335ACB">
            <w:pPr>
              <w:jc w:val="right"/>
              <w:rPr>
                <w:rFonts w:cstheme="minorHAnsi"/>
              </w:rPr>
            </w:pPr>
            <w:r w:rsidRPr="00335ACB">
              <w:rPr>
                <w:rFonts w:cstheme="minorHAnsi"/>
              </w:rPr>
              <w:t>$8,894</w:t>
            </w:r>
          </w:p>
        </w:tc>
        <w:tc>
          <w:tcPr>
            <w:tcW w:w="979" w:type="dxa"/>
          </w:tcPr>
          <w:p w14:paraId="4EBE69B3" w14:textId="301FEA58" w:rsidR="00335ACB" w:rsidRPr="00335ACB" w:rsidRDefault="00335ACB" w:rsidP="00335ACB">
            <w:pPr>
              <w:jc w:val="right"/>
              <w:rPr>
                <w:rFonts w:cstheme="minorHAnsi"/>
              </w:rPr>
            </w:pPr>
            <w:r w:rsidRPr="00335ACB">
              <w:rPr>
                <w:rFonts w:cstheme="minorHAnsi"/>
              </w:rPr>
              <w:t>$8,894</w:t>
            </w:r>
          </w:p>
        </w:tc>
      </w:tr>
      <w:tr w:rsidR="00335ACB" w14:paraId="4E554CBE" w14:textId="77777777" w:rsidTr="00807DDD">
        <w:tc>
          <w:tcPr>
            <w:tcW w:w="1525" w:type="dxa"/>
          </w:tcPr>
          <w:p w14:paraId="597E460C" w14:textId="1B838DD9" w:rsidR="00335ACB" w:rsidRPr="00807DDD" w:rsidRDefault="00335ACB" w:rsidP="00335ACB">
            <w:pPr>
              <w:rPr>
                <w:rFonts w:cstheme="minorHAnsi"/>
                <w:b/>
              </w:rPr>
            </w:pPr>
            <w:r w:rsidRPr="00807DDD">
              <w:rPr>
                <w:rFonts w:cstheme="minorHAnsi"/>
                <w:b/>
              </w:rPr>
              <w:t>Transport</w:t>
            </w:r>
          </w:p>
        </w:tc>
        <w:tc>
          <w:tcPr>
            <w:tcW w:w="978" w:type="dxa"/>
          </w:tcPr>
          <w:p w14:paraId="5C522761" w14:textId="110CA1F0" w:rsidR="00335ACB" w:rsidRPr="00335ACB" w:rsidRDefault="00335ACB" w:rsidP="00335ACB">
            <w:pPr>
              <w:jc w:val="right"/>
              <w:rPr>
                <w:rFonts w:cstheme="minorHAnsi"/>
              </w:rPr>
            </w:pPr>
            <w:r w:rsidRPr="00335ACB">
              <w:rPr>
                <w:rFonts w:cstheme="minorHAnsi"/>
              </w:rPr>
              <w:t>$5,509</w:t>
            </w:r>
          </w:p>
        </w:tc>
        <w:tc>
          <w:tcPr>
            <w:tcW w:w="978" w:type="dxa"/>
          </w:tcPr>
          <w:p w14:paraId="56BD9917" w14:textId="2CAD280A" w:rsidR="00335ACB" w:rsidRPr="00335ACB" w:rsidRDefault="00335ACB" w:rsidP="00335ACB">
            <w:pPr>
              <w:jc w:val="right"/>
              <w:rPr>
                <w:rFonts w:cstheme="minorHAnsi"/>
              </w:rPr>
            </w:pPr>
            <w:r w:rsidRPr="00335ACB">
              <w:rPr>
                <w:rFonts w:cstheme="minorHAnsi"/>
              </w:rPr>
              <w:t>$9,776</w:t>
            </w:r>
          </w:p>
        </w:tc>
        <w:tc>
          <w:tcPr>
            <w:tcW w:w="978" w:type="dxa"/>
            <w:tcBorders>
              <w:right w:val="single" w:sz="12" w:space="0" w:color="auto"/>
            </w:tcBorders>
          </w:tcPr>
          <w:p w14:paraId="42A6F3ED" w14:textId="09E5D5C9" w:rsidR="00335ACB" w:rsidRPr="00335ACB" w:rsidRDefault="00335ACB" w:rsidP="00335ACB">
            <w:pPr>
              <w:jc w:val="right"/>
              <w:rPr>
                <w:rFonts w:cstheme="minorHAnsi"/>
              </w:rPr>
            </w:pPr>
            <w:r w:rsidRPr="00335ACB">
              <w:rPr>
                <w:rFonts w:cstheme="minorHAnsi"/>
              </w:rPr>
              <w:t>$12,709</w:t>
            </w:r>
          </w:p>
        </w:tc>
        <w:tc>
          <w:tcPr>
            <w:tcW w:w="978" w:type="dxa"/>
            <w:tcBorders>
              <w:left w:val="single" w:sz="12" w:space="0" w:color="auto"/>
            </w:tcBorders>
            <w:vAlign w:val="center"/>
          </w:tcPr>
          <w:p w14:paraId="0E2EAFCD" w14:textId="1B106879" w:rsidR="00335ACB" w:rsidRPr="00335ACB" w:rsidRDefault="00335ACB" w:rsidP="00335ACB">
            <w:pPr>
              <w:jc w:val="right"/>
              <w:rPr>
                <w:rFonts w:cstheme="minorHAnsi"/>
              </w:rPr>
            </w:pPr>
            <w:r w:rsidRPr="00335ACB">
              <w:rPr>
                <w:rFonts w:cstheme="minorHAnsi"/>
              </w:rPr>
              <w:t>$12,709</w:t>
            </w:r>
          </w:p>
        </w:tc>
        <w:tc>
          <w:tcPr>
            <w:tcW w:w="978" w:type="dxa"/>
            <w:tcBorders>
              <w:right w:val="single" w:sz="12" w:space="0" w:color="auto"/>
            </w:tcBorders>
            <w:vAlign w:val="center"/>
          </w:tcPr>
          <w:p w14:paraId="301B0445" w14:textId="5F849CC2" w:rsidR="00335ACB" w:rsidRPr="00335ACB" w:rsidRDefault="00335ACB" w:rsidP="00335ACB">
            <w:pPr>
              <w:jc w:val="right"/>
              <w:rPr>
                <w:rFonts w:cstheme="minorHAnsi"/>
              </w:rPr>
            </w:pPr>
            <w:r w:rsidRPr="00335ACB">
              <w:rPr>
                <w:rFonts w:cstheme="minorHAnsi"/>
              </w:rPr>
              <w:t>$15,012</w:t>
            </w:r>
          </w:p>
        </w:tc>
        <w:tc>
          <w:tcPr>
            <w:tcW w:w="978" w:type="dxa"/>
            <w:tcBorders>
              <w:left w:val="single" w:sz="12" w:space="0" w:color="auto"/>
            </w:tcBorders>
          </w:tcPr>
          <w:p w14:paraId="6A40875C" w14:textId="5E16E6A8" w:rsidR="00335ACB" w:rsidRPr="00335ACB" w:rsidRDefault="00335ACB" w:rsidP="00335ACB">
            <w:pPr>
              <w:jc w:val="right"/>
              <w:rPr>
                <w:rFonts w:cstheme="minorHAnsi"/>
              </w:rPr>
            </w:pPr>
            <w:r w:rsidRPr="00335ACB">
              <w:rPr>
                <w:rFonts w:cstheme="minorHAnsi"/>
              </w:rPr>
              <w:t>$9,776</w:t>
            </w:r>
          </w:p>
        </w:tc>
        <w:tc>
          <w:tcPr>
            <w:tcW w:w="978" w:type="dxa"/>
          </w:tcPr>
          <w:p w14:paraId="177F98C5" w14:textId="2F9BB504" w:rsidR="00335ACB" w:rsidRPr="00335ACB" w:rsidRDefault="00335ACB" w:rsidP="00335ACB">
            <w:pPr>
              <w:jc w:val="right"/>
              <w:rPr>
                <w:rFonts w:cstheme="minorHAnsi"/>
              </w:rPr>
            </w:pPr>
            <w:r w:rsidRPr="00335ACB">
              <w:rPr>
                <w:rFonts w:cstheme="minorHAnsi"/>
              </w:rPr>
              <w:t>$12,709</w:t>
            </w:r>
          </w:p>
        </w:tc>
        <w:tc>
          <w:tcPr>
            <w:tcW w:w="979" w:type="dxa"/>
          </w:tcPr>
          <w:p w14:paraId="15147EE8" w14:textId="037C2935" w:rsidR="00335ACB" w:rsidRPr="00335ACB" w:rsidRDefault="00335ACB" w:rsidP="00335ACB">
            <w:pPr>
              <w:jc w:val="right"/>
              <w:rPr>
                <w:rFonts w:cstheme="minorHAnsi"/>
              </w:rPr>
            </w:pPr>
            <w:r w:rsidRPr="00335ACB">
              <w:rPr>
                <w:rFonts w:cstheme="minorHAnsi"/>
              </w:rPr>
              <w:t>$15,012</w:t>
            </w:r>
          </w:p>
        </w:tc>
      </w:tr>
    </w:tbl>
    <w:p w14:paraId="6BDE7239" w14:textId="221D5893" w:rsidR="00BD7314" w:rsidRDefault="00BD7314">
      <w:pPr>
        <w:rPr>
          <w:highlight w:val="yellow"/>
        </w:rPr>
      </w:pPr>
    </w:p>
    <w:p w14:paraId="7798ED28" w14:textId="5D1E7603" w:rsidR="00BF0695" w:rsidRDefault="00B1043F" w:rsidP="00BF0695">
      <w:r>
        <w:t xml:space="preserve">The </w:t>
      </w:r>
      <w:r w:rsidR="00B95BB1">
        <w:t xml:space="preserve">following </w:t>
      </w:r>
      <w:r>
        <w:t xml:space="preserve">graph </w:t>
      </w:r>
      <w:r w:rsidR="00B95BB1">
        <w:rPr>
          <w:rFonts w:ascii="Calibri" w:hAnsi="Calibri" w:cs="Calibri"/>
        </w:rPr>
        <w:t>compares</w:t>
      </w:r>
      <w:r>
        <w:t xml:space="preserve"> maximum affordable housing costs for workers to the median rent and owner costs in the </w:t>
      </w:r>
      <w:r w:rsidR="001A0494">
        <w:t xml:space="preserve">County </w:t>
      </w:r>
      <w:r>
        <w:t xml:space="preserve">for the top 10 </w:t>
      </w:r>
      <w:r w:rsidR="7EA542D4">
        <w:t>occupations</w:t>
      </w:r>
      <w:r>
        <w:t xml:space="preserve"> by employment. These</w:t>
      </w:r>
      <w:r w:rsidR="009B60B8">
        <w:t xml:space="preserve"> 10</w:t>
      </w:r>
      <w:r>
        <w:t xml:space="preserve"> occupation</w:t>
      </w:r>
      <w:r w:rsidR="009B60B8">
        <w:t>s</w:t>
      </w:r>
      <w:r>
        <w:t xml:space="preserve"> represent</w:t>
      </w:r>
      <w:r w:rsidR="001F2FBD">
        <w:t xml:space="preserve"> </w:t>
      </w:r>
      <w:r w:rsidR="001F2FBD">
        <w:lastRenderedPageBreak/>
        <w:t>2,943 jobs,</w:t>
      </w:r>
      <w:r w:rsidR="00B95BB1">
        <w:t xml:space="preserve"> or</w:t>
      </w:r>
      <w:r w:rsidR="0005413D">
        <w:t xml:space="preserve"> 29 percent</w:t>
      </w:r>
      <w:r w:rsidR="009B60B8">
        <w:t xml:space="preserve"> </w:t>
      </w:r>
      <w:r w:rsidR="00B95BB1">
        <w:t xml:space="preserve">of total jobs </w:t>
      </w:r>
      <w:r w:rsidR="009B60B8">
        <w:t>in Randolph County.</w:t>
      </w:r>
      <w:r>
        <w:t xml:space="preserve"> We conducted this analysis for one- and two-worker household scenarios. We assumed that both workers earn the same wage in the two-worker scenario. </w:t>
      </w:r>
      <w:r w:rsidR="004E205D">
        <w:t xml:space="preserve">For </w:t>
      </w:r>
      <w:r w:rsidR="637AF772">
        <w:t>single earners</w:t>
      </w:r>
      <w:r>
        <w:t xml:space="preserve">, we examined housing affordability for workers earning </w:t>
      </w:r>
      <w:r w:rsidR="00FD446D">
        <w:t>at the median and at the 90</w:t>
      </w:r>
      <w:r w:rsidR="00FD446D" w:rsidRPr="7DFA81C2">
        <w:rPr>
          <w:vertAlign w:val="superscript"/>
        </w:rPr>
        <w:t>th</w:t>
      </w:r>
      <w:r w:rsidR="00FD446D">
        <w:t xml:space="preserve"> percentile to r</w:t>
      </w:r>
      <w:r>
        <w:t>epresent the experience of highly skilled workers or workers who are advanced in their careers.</w:t>
      </w:r>
    </w:p>
    <w:p w14:paraId="67A92875" w14:textId="10C3D851" w:rsidR="003305EE" w:rsidRPr="00BF0695" w:rsidRDefault="4B4E74C7" w:rsidP="00BF0695">
      <w:r>
        <w:t xml:space="preserve">For low-wage workers, sharing housing costs with another worker is required to afford median rent in the </w:t>
      </w:r>
      <w:r w:rsidR="00DC7925">
        <w:t>County</w:t>
      </w:r>
      <w:r>
        <w:t>.</w:t>
      </w:r>
      <w:r w:rsidR="00D13671">
        <w:t xml:space="preserve"> </w:t>
      </w:r>
      <w:r w:rsidR="00F0331A">
        <w:t>Home health and personal care aids</w:t>
      </w:r>
      <w:r w:rsidR="003D14F0">
        <w:t xml:space="preserve">, </w:t>
      </w:r>
      <w:r w:rsidR="007B3817">
        <w:t>nursing assistants</w:t>
      </w:r>
      <w:r w:rsidR="00DF1306">
        <w:t>,</w:t>
      </w:r>
      <w:r w:rsidR="003D14F0">
        <w:t xml:space="preserve"> and </w:t>
      </w:r>
      <w:r w:rsidR="5449AC7D">
        <w:t>fast-food</w:t>
      </w:r>
      <w:r w:rsidR="003D14F0">
        <w:t xml:space="preserve"> counter workers</w:t>
      </w:r>
      <w:r w:rsidR="007B3817">
        <w:t xml:space="preserve"> struggle to afford housing in the County as single earners</w:t>
      </w:r>
      <w:r w:rsidR="00C35890">
        <w:t xml:space="preserve"> even when earning at the 90</w:t>
      </w:r>
      <w:r w:rsidR="00C35890" w:rsidRPr="7DFA81C2">
        <w:rPr>
          <w:vertAlign w:val="superscript"/>
        </w:rPr>
        <w:t>th</w:t>
      </w:r>
      <w:r w:rsidR="00C35890">
        <w:t xml:space="preserve"> percentile.</w:t>
      </w:r>
      <w:r w:rsidR="00D87B5B">
        <w:t xml:space="preserve"> </w:t>
      </w:r>
      <w:r w:rsidR="007A7D6D">
        <w:t xml:space="preserve">Cashiers and retail </w:t>
      </w:r>
      <w:r w:rsidR="323A1FEB">
        <w:t>salespersons</w:t>
      </w:r>
      <w:r w:rsidR="007A7D6D">
        <w:t xml:space="preserve"> </w:t>
      </w:r>
      <w:r w:rsidR="00A32C4D">
        <w:t>struggle to afford housing in the County as single earners unless they are earning at the 90</w:t>
      </w:r>
      <w:r w:rsidR="00A32C4D" w:rsidRPr="7DFA81C2">
        <w:rPr>
          <w:vertAlign w:val="superscript"/>
        </w:rPr>
        <w:t>th</w:t>
      </w:r>
      <w:r w:rsidR="00A32C4D">
        <w:t xml:space="preserve"> percentile. </w:t>
      </w:r>
      <w:r w:rsidR="00053A0E">
        <w:t xml:space="preserve">Workers in each of these occupations would </w:t>
      </w:r>
      <w:r w:rsidR="00764588">
        <w:t xml:space="preserve">likely find homeownership unattainable unless they </w:t>
      </w:r>
      <w:r w:rsidR="005D3FE5">
        <w:t xml:space="preserve">share housing costs with another worker. </w:t>
      </w:r>
    </w:p>
    <w:p w14:paraId="7303A095" w14:textId="752D432B" w:rsidR="1D8864F7" w:rsidRDefault="207E7361" w:rsidP="08CB4B76">
      <w:pPr>
        <w:spacing w:line="257" w:lineRule="auto"/>
        <w:rPr>
          <w:rFonts w:ascii="Calibri" w:eastAsia="Calibri" w:hAnsi="Calibri" w:cs="Calibri"/>
        </w:rPr>
      </w:pPr>
      <w:r w:rsidRPr="691CFC2A">
        <w:rPr>
          <w:rFonts w:ascii="Calibri" w:eastAsia="Calibri" w:hAnsi="Calibri" w:cs="Calibri"/>
        </w:rPr>
        <w:t>Stakeholders interviewed also highlighted the challenge of providing affordable housing options</w:t>
      </w:r>
      <w:r w:rsidR="3642A2E4" w:rsidRPr="691CFC2A">
        <w:rPr>
          <w:rFonts w:ascii="Calibri" w:eastAsia="Calibri" w:hAnsi="Calibri" w:cs="Calibri"/>
        </w:rPr>
        <w:t>, especially for middle</w:t>
      </w:r>
      <w:r w:rsidR="00E13558">
        <w:rPr>
          <w:rFonts w:ascii="Calibri" w:eastAsia="Calibri" w:hAnsi="Calibri" w:cs="Calibri"/>
        </w:rPr>
        <w:t>-</w:t>
      </w:r>
      <w:r w:rsidR="3642A2E4" w:rsidRPr="691CFC2A">
        <w:rPr>
          <w:rFonts w:ascii="Calibri" w:eastAsia="Calibri" w:hAnsi="Calibri" w:cs="Calibri"/>
        </w:rPr>
        <w:t xml:space="preserve">income households. </w:t>
      </w:r>
      <w:r w:rsidR="5B575958" w:rsidRPr="691CFC2A">
        <w:rPr>
          <w:rFonts w:ascii="Calibri" w:eastAsia="Calibri" w:hAnsi="Calibri" w:cs="Calibri"/>
        </w:rPr>
        <w:t xml:space="preserve">One individual commented that </w:t>
      </w:r>
      <w:r w:rsidR="00F33646">
        <w:rPr>
          <w:rFonts w:ascii="Calibri" w:eastAsia="Calibri" w:hAnsi="Calibri" w:cs="Calibri"/>
        </w:rPr>
        <w:t xml:space="preserve">although </w:t>
      </w:r>
      <w:r w:rsidR="5B575958" w:rsidRPr="691CFC2A">
        <w:rPr>
          <w:rFonts w:ascii="Calibri" w:eastAsia="Calibri" w:hAnsi="Calibri" w:cs="Calibri"/>
        </w:rPr>
        <w:t xml:space="preserve">there were </w:t>
      </w:r>
      <w:r w:rsidR="00F33646">
        <w:rPr>
          <w:rFonts w:ascii="Calibri" w:eastAsia="Calibri" w:hAnsi="Calibri" w:cs="Calibri"/>
        </w:rPr>
        <w:t xml:space="preserve">sufficient </w:t>
      </w:r>
      <w:r w:rsidR="5B575958" w:rsidRPr="691CFC2A">
        <w:rPr>
          <w:rFonts w:ascii="Calibri" w:eastAsia="Calibri" w:hAnsi="Calibri" w:cs="Calibri"/>
        </w:rPr>
        <w:t>homes for upper</w:t>
      </w:r>
      <w:r w:rsidR="2B09896E" w:rsidRPr="691CFC2A">
        <w:rPr>
          <w:rFonts w:ascii="Calibri" w:eastAsia="Calibri" w:hAnsi="Calibri" w:cs="Calibri"/>
        </w:rPr>
        <w:t>-</w:t>
      </w:r>
      <w:r w:rsidR="5B575958" w:rsidRPr="691CFC2A">
        <w:rPr>
          <w:rFonts w:ascii="Calibri" w:eastAsia="Calibri" w:hAnsi="Calibri" w:cs="Calibri"/>
        </w:rPr>
        <w:t>level professionals and low-income housing</w:t>
      </w:r>
      <w:r w:rsidR="00F33646">
        <w:rPr>
          <w:rFonts w:ascii="Calibri" w:eastAsia="Calibri" w:hAnsi="Calibri" w:cs="Calibri"/>
        </w:rPr>
        <w:t>,</w:t>
      </w:r>
      <w:r w:rsidR="5B575958" w:rsidRPr="691CFC2A">
        <w:rPr>
          <w:rFonts w:ascii="Calibri" w:eastAsia="Calibri" w:hAnsi="Calibri" w:cs="Calibri"/>
        </w:rPr>
        <w:t xml:space="preserve"> </w:t>
      </w:r>
      <w:r w:rsidR="00135E13">
        <w:rPr>
          <w:rFonts w:ascii="Calibri" w:eastAsia="Calibri" w:hAnsi="Calibri" w:cs="Calibri"/>
        </w:rPr>
        <w:t>there was little available</w:t>
      </w:r>
      <w:r w:rsidR="5B575958" w:rsidRPr="691CFC2A">
        <w:rPr>
          <w:rFonts w:ascii="Calibri" w:eastAsia="Calibri" w:hAnsi="Calibri" w:cs="Calibri"/>
        </w:rPr>
        <w:t xml:space="preserve"> stock between the two. </w:t>
      </w:r>
      <w:r w:rsidR="1AC63551" w:rsidRPr="691CFC2A">
        <w:rPr>
          <w:rFonts w:ascii="Calibri" w:eastAsia="Calibri" w:hAnsi="Calibri" w:cs="Calibri"/>
        </w:rPr>
        <w:t xml:space="preserve">Focus group attendees </w:t>
      </w:r>
      <w:r w:rsidR="293FD0DB" w:rsidRPr="691CFC2A">
        <w:rPr>
          <w:rFonts w:ascii="Calibri" w:eastAsia="Calibri" w:hAnsi="Calibri" w:cs="Calibri"/>
        </w:rPr>
        <w:t>pointed to exis</w:t>
      </w:r>
      <w:r w:rsidR="687BB952" w:rsidRPr="691CFC2A">
        <w:rPr>
          <w:rFonts w:ascii="Calibri" w:eastAsia="Calibri" w:hAnsi="Calibri" w:cs="Calibri"/>
        </w:rPr>
        <w:t>ting developments such as Bridgewater and Highland Meadows as examples of mixed</w:t>
      </w:r>
      <w:r w:rsidR="00135E13">
        <w:rPr>
          <w:rFonts w:ascii="Calibri" w:eastAsia="Calibri" w:hAnsi="Calibri" w:cs="Calibri"/>
        </w:rPr>
        <w:t>-</w:t>
      </w:r>
      <w:r w:rsidR="687BB952" w:rsidRPr="691CFC2A">
        <w:rPr>
          <w:rFonts w:ascii="Calibri" w:eastAsia="Calibri" w:hAnsi="Calibri" w:cs="Calibri"/>
        </w:rPr>
        <w:t xml:space="preserve">development neighborhoods that provide an </w:t>
      </w:r>
      <w:r w:rsidR="36A6CAE4" w:rsidRPr="691CFC2A">
        <w:rPr>
          <w:rFonts w:ascii="Calibri" w:eastAsia="Calibri" w:hAnsi="Calibri" w:cs="Calibri"/>
        </w:rPr>
        <w:t xml:space="preserve">entry point for new buyers and an </w:t>
      </w:r>
      <w:r w:rsidR="687BB952" w:rsidRPr="691CFC2A">
        <w:rPr>
          <w:rFonts w:ascii="Calibri" w:eastAsia="Calibri" w:hAnsi="Calibri" w:cs="Calibri"/>
        </w:rPr>
        <w:t>opportunity for residents to b</w:t>
      </w:r>
      <w:r w:rsidR="49FC7CF6" w:rsidRPr="691CFC2A">
        <w:rPr>
          <w:rFonts w:ascii="Calibri" w:eastAsia="Calibri" w:hAnsi="Calibri" w:cs="Calibri"/>
        </w:rPr>
        <w:t>uild wealth</w:t>
      </w:r>
      <w:r w:rsidR="1B793747" w:rsidRPr="691CFC2A">
        <w:rPr>
          <w:rFonts w:ascii="Calibri" w:eastAsia="Calibri" w:hAnsi="Calibri" w:cs="Calibri"/>
        </w:rPr>
        <w:t xml:space="preserve">. </w:t>
      </w:r>
      <w:r w:rsidR="2F5CEECA" w:rsidRPr="691CFC2A">
        <w:rPr>
          <w:rFonts w:ascii="Calibri" w:eastAsia="Calibri" w:hAnsi="Calibri" w:cs="Calibri"/>
        </w:rPr>
        <w:t>A</w:t>
      </w:r>
      <w:r w:rsidR="1B793747" w:rsidRPr="691CFC2A">
        <w:rPr>
          <w:rFonts w:ascii="Calibri" w:eastAsia="Calibri" w:hAnsi="Calibri" w:cs="Calibri"/>
        </w:rPr>
        <w:t xml:space="preserve">ttendees specifically identified </w:t>
      </w:r>
      <w:r w:rsidR="1AC63551" w:rsidRPr="691CFC2A">
        <w:rPr>
          <w:rFonts w:ascii="Calibri" w:eastAsia="Calibri" w:hAnsi="Calibri" w:cs="Calibri"/>
        </w:rPr>
        <w:t>homes in the $200</w:t>
      </w:r>
      <w:r w:rsidR="00B934B9">
        <w:rPr>
          <w:rFonts w:ascii="Calibri" w:eastAsia="Calibri" w:hAnsi="Calibri" w:cs="Calibri"/>
        </w:rPr>
        <w:t>,000</w:t>
      </w:r>
      <w:r w:rsidR="00085456">
        <w:rPr>
          <w:rFonts w:ascii="Calibri" w:eastAsia="Calibri" w:hAnsi="Calibri" w:cs="Calibri"/>
        </w:rPr>
        <w:t>–</w:t>
      </w:r>
      <w:r w:rsidR="1AC63551" w:rsidRPr="691CFC2A">
        <w:rPr>
          <w:rFonts w:ascii="Calibri" w:eastAsia="Calibri" w:hAnsi="Calibri" w:cs="Calibri"/>
        </w:rPr>
        <w:t xml:space="preserve">250,000 range as a target for future housing development. </w:t>
      </w:r>
    </w:p>
    <w:p w14:paraId="08A265CF" w14:textId="388906F4" w:rsidR="00102963" w:rsidRDefault="004C1A4A" w:rsidP="4C6DF855">
      <w:pPr>
        <w:contextualSpacing/>
        <w:rPr>
          <w:i/>
          <w:iCs/>
        </w:rPr>
      </w:pPr>
      <w:r w:rsidRPr="4C6DF855">
        <w:rPr>
          <w:rFonts w:ascii="Calibri" w:hAnsi="Calibri" w:cs="Calibri"/>
          <w:color w:val="000000" w:themeColor="text1"/>
        </w:rPr>
        <w:t xml:space="preserve">There are high-wage workers </w:t>
      </w:r>
      <w:r w:rsidR="006C2C4B" w:rsidRPr="4C6DF855">
        <w:rPr>
          <w:rFonts w:ascii="Calibri" w:hAnsi="Calibri" w:cs="Calibri"/>
          <w:color w:val="000000" w:themeColor="text1"/>
        </w:rPr>
        <w:t xml:space="preserve">among the top 10 occupations by employment. </w:t>
      </w:r>
      <w:r w:rsidR="00920E6C" w:rsidRPr="4C6DF855">
        <w:rPr>
          <w:rFonts w:ascii="Calibri" w:hAnsi="Calibri" w:cs="Calibri"/>
          <w:color w:val="000000" w:themeColor="text1"/>
        </w:rPr>
        <w:t>Heavy Tractor Trailer Truck Drive</w:t>
      </w:r>
      <w:r w:rsidR="00475C31">
        <w:rPr>
          <w:rFonts w:ascii="Calibri" w:hAnsi="Calibri" w:cs="Calibri"/>
          <w:color w:val="000000" w:themeColor="text1"/>
        </w:rPr>
        <w:t>r</w:t>
      </w:r>
      <w:r w:rsidR="00920E6C" w:rsidRPr="4C6DF855">
        <w:rPr>
          <w:rFonts w:ascii="Calibri" w:hAnsi="Calibri" w:cs="Calibri"/>
          <w:color w:val="000000" w:themeColor="text1"/>
        </w:rPr>
        <w:t>s, Registered Nurses,</w:t>
      </w:r>
      <w:r w:rsidR="002535EE" w:rsidRPr="4C6DF855">
        <w:rPr>
          <w:rFonts w:ascii="Calibri" w:hAnsi="Calibri" w:cs="Calibri"/>
          <w:color w:val="000000" w:themeColor="text1"/>
        </w:rPr>
        <w:t xml:space="preserve"> Post-secondary Teachers, </w:t>
      </w:r>
      <w:r w:rsidR="002053CB">
        <w:rPr>
          <w:rFonts w:ascii="Calibri" w:hAnsi="Calibri" w:cs="Calibri"/>
          <w:color w:val="000000" w:themeColor="text1"/>
        </w:rPr>
        <w:t xml:space="preserve">and </w:t>
      </w:r>
      <w:r w:rsidR="002535EE" w:rsidRPr="4C6DF855">
        <w:rPr>
          <w:rFonts w:ascii="Calibri" w:hAnsi="Calibri" w:cs="Calibri"/>
          <w:color w:val="000000" w:themeColor="text1"/>
        </w:rPr>
        <w:t xml:space="preserve">General and Operations Managers </w:t>
      </w:r>
      <w:r w:rsidR="3E4EF283" w:rsidRPr="4C6DF855">
        <w:rPr>
          <w:rFonts w:ascii="Calibri" w:hAnsi="Calibri" w:cs="Calibri"/>
          <w:color w:val="000000" w:themeColor="text1"/>
        </w:rPr>
        <w:t>can</w:t>
      </w:r>
      <w:r w:rsidR="00D41EDE" w:rsidRPr="4C6DF855">
        <w:rPr>
          <w:rFonts w:ascii="Calibri" w:hAnsi="Calibri" w:cs="Calibri"/>
          <w:color w:val="000000" w:themeColor="text1"/>
        </w:rPr>
        <w:t xml:space="preserve"> afford median ownership costs in Randolph as single earners</w:t>
      </w:r>
      <w:r w:rsidR="00AC63D2" w:rsidRPr="4C6DF855">
        <w:rPr>
          <w:rFonts w:ascii="Calibri" w:hAnsi="Calibri" w:cs="Calibri"/>
          <w:color w:val="000000" w:themeColor="text1"/>
        </w:rPr>
        <w:t xml:space="preserve"> and can support substantial housing costs when earning at or above the 90</w:t>
      </w:r>
      <w:r w:rsidR="00AC63D2" w:rsidRPr="4C6DF855">
        <w:rPr>
          <w:rFonts w:ascii="Calibri" w:hAnsi="Calibri" w:cs="Calibri"/>
          <w:color w:val="000000" w:themeColor="text1"/>
          <w:vertAlign w:val="superscript"/>
        </w:rPr>
        <w:t>th</w:t>
      </w:r>
      <w:r w:rsidR="00AC63D2" w:rsidRPr="4C6DF855">
        <w:rPr>
          <w:rFonts w:ascii="Calibri" w:hAnsi="Calibri" w:cs="Calibri"/>
          <w:color w:val="000000" w:themeColor="text1"/>
        </w:rPr>
        <w:t xml:space="preserve"> percentile. </w:t>
      </w:r>
      <w:r w:rsidR="00102963" w:rsidRPr="4C6DF855">
        <w:rPr>
          <w:rFonts w:ascii="Calibri" w:hAnsi="Calibri" w:cs="Calibri"/>
          <w:color w:val="000000" w:themeColor="text1"/>
        </w:rPr>
        <w:t xml:space="preserve">Nearly 1,600 </w:t>
      </w:r>
      <w:r w:rsidR="006C705B" w:rsidRPr="4C6DF855">
        <w:rPr>
          <w:rFonts w:ascii="Calibri" w:hAnsi="Calibri" w:cs="Calibri"/>
          <w:color w:val="000000" w:themeColor="text1"/>
        </w:rPr>
        <w:t>highly paid workers</w:t>
      </w:r>
      <w:r w:rsidR="001E3A4F" w:rsidRPr="4C6DF855">
        <w:rPr>
          <w:rFonts w:ascii="Calibri" w:hAnsi="Calibri" w:cs="Calibri"/>
          <w:color w:val="000000" w:themeColor="text1"/>
        </w:rPr>
        <w:t xml:space="preserve"> with earning greater than </w:t>
      </w:r>
      <w:r w:rsidR="00590657">
        <w:rPr>
          <w:rFonts w:ascii="Calibri" w:hAnsi="Calibri" w:cs="Calibri"/>
          <w:color w:val="000000" w:themeColor="text1"/>
        </w:rPr>
        <w:t>$</w:t>
      </w:r>
      <w:r w:rsidR="001E3A4F" w:rsidRPr="4C6DF855">
        <w:rPr>
          <w:rFonts w:ascii="Calibri" w:hAnsi="Calibri" w:cs="Calibri"/>
          <w:color w:val="000000" w:themeColor="text1"/>
        </w:rPr>
        <w:t xml:space="preserve">40,000 annually </w:t>
      </w:r>
      <w:r w:rsidR="0035552D" w:rsidRPr="4C6DF855">
        <w:rPr>
          <w:rFonts w:ascii="Calibri" w:hAnsi="Calibri" w:cs="Calibri"/>
          <w:color w:val="000000" w:themeColor="text1"/>
        </w:rPr>
        <w:t>(who can afford more than $1</w:t>
      </w:r>
      <w:r w:rsidR="00590657">
        <w:rPr>
          <w:rFonts w:ascii="Calibri" w:hAnsi="Calibri" w:cs="Calibri"/>
          <w:color w:val="000000" w:themeColor="text1"/>
        </w:rPr>
        <w:t>,</w:t>
      </w:r>
      <w:r w:rsidR="0035552D" w:rsidRPr="4C6DF855">
        <w:rPr>
          <w:rFonts w:ascii="Calibri" w:hAnsi="Calibri" w:cs="Calibri"/>
          <w:color w:val="000000" w:themeColor="text1"/>
        </w:rPr>
        <w:t>000/mo</w:t>
      </w:r>
      <w:r w:rsidR="00590657">
        <w:rPr>
          <w:rFonts w:ascii="Calibri" w:hAnsi="Calibri" w:cs="Calibri"/>
          <w:color w:val="000000" w:themeColor="text1"/>
        </w:rPr>
        <w:t>nth</w:t>
      </w:r>
      <w:r w:rsidR="0035552D" w:rsidRPr="4C6DF855">
        <w:rPr>
          <w:rFonts w:ascii="Calibri" w:hAnsi="Calibri" w:cs="Calibri"/>
          <w:color w:val="000000" w:themeColor="text1"/>
        </w:rPr>
        <w:t xml:space="preserve"> for housing) commute into the County for their primary job. </w:t>
      </w:r>
      <w:r w:rsidR="00102963">
        <w:t xml:space="preserve">In-commuting households are </w:t>
      </w:r>
      <w:r w:rsidR="2B952CBA">
        <w:t>a potential</w:t>
      </w:r>
      <w:r w:rsidR="00102963">
        <w:t xml:space="preserve"> source of demand.</w:t>
      </w:r>
    </w:p>
    <w:p w14:paraId="79AFED83" w14:textId="725D5066" w:rsidR="1E14E64C" w:rsidRDefault="1E14E64C" w:rsidP="1E14E64C">
      <w:pPr>
        <w:contextualSpacing/>
      </w:pPr>
    </w:p>
    <w:p w14:paraId="13761FE5" w14:textId="59B49C06" w:rsidR="78E96B46" w:rsidRDefault="78E96B46" w:rsidP="691CFC2A">
      <w:pPr>
        <w:contextualSpacing/>
      </w:pPr>
      <w:r>
        <w:t xml:space="preserve">Although not included in the </w:t>
      </w:r>
      <w:r w:rsidR="00590657">
        <w:t xml:space="preserve">following </w:t>
      </w:r>
      <w:r>
        <w:t>data</w:t>
      </w:r>
      <w:r w:rsidR="6B5132EB">
        <w:t xml:space="preserve">, remote workers may present another high-wage segment </w:t>
      </w:r>
      <w:r w:rsidR="00C70165">
        <w:t xml:space="preserve">to target </w:t>
      </w:r>
      <w:r w:rsidR="6B5132EB">
        <w:t xml:space="preserve">for recruitment. </w:t>
      </w:r>
      <w:r w:rsidR="00A550FD">
        <w:t>R</w:t>
      </w:r>
      <w:r w:rsidR="4C17A2BB">
        <w:t xml:space="preserve">emote work </w:t>
      </w:r>
      <w:r w:rsidR="00A550FD">
        <w:t xml:space="preserve">severs </w:t>
      </w:r>
      <w:r w:rsidR="4C17A2BB">
        <w:t>the need to be located near the place of employment,</w:t>
      </w:r>
      <w:r w:rsidR="00A550FD">
        <w:t xml:space="preserve"> leading</w:t>
      </w:r>
      <w:r w:rsidR="4C17A2BB">
        <w:t xml:space="preserve"> some households </w:t>
      </w:r>
      <w:r w:rsidR="00A550FD">
        <w:t>to opt</w:t>
      </w:r>
      <w:r w:rsidR="4C17A2BB">
        <w:t xml:space="preserve"> for </w:t>
      </w:r>
      <w:r w:rsidR="00A550FD">
        <w:t>larger</w:t>
      </w:r>
      <w:r w:rsidR="4C17A2BB">
        <w:t xml:space="preserve"> and more</w:t>
      </w:r>
      <w:r w:rsidR="00A550FD">
        <w:t>-</w:t>
      </w:r>
      <w:r w:rsidR="4C17A2BB">
        <w:t>affordable space</w:t>
      </w:r>
      <w:r w:rsidR="00A550FD">
        <w:t>s</w:t>
      </w:r>
      <w:r w:rsidR="4C17A2BB">
        <w:t xml:space="preserve"> in lower-density areas, moving out of high-rise structures in the urban core to suburban and exurban single-family homes (Boesel, Chen, &amp; Nothaft, 2021). This trend was confirmed in part by conversations with local realtors</w:t>
      </w:r>
      <w:r w:rsidR="00A550FD">
        <w:t>,</w:t>
      </w:r>
      <w:r w:rsidR="4C17A2BB">
        <w:t xml:space="preserve"> who noted an increase in buyers from outside the </w:t>
      </w:r>
      <w:r w:rsidR="00F33512">
        <w:t xml:space="preserve">County </w:t>
      </w:r>
      <w:r w:rsidR="4C17A2BB">
        <w:t xml:space="preserve">moving from </w:t>
      </w:r>
      <w:r w:rsidR="65C0C1F3">
        <w:t>one- or two-bedroom</w:t>
      </w:r>
      <w:r w:rsidR="4C17A2BB">
        <w:t xml:space="preserve"> units and desiring a larger home either because of a growing family or because they could simply afford </w:t>
      </w:r>
      <w:r w:rsidR="00F33512">
        <w:t xml:space="preserve">a larger </w:t>
      </w:r>
      <w:r w:rsidR="4C17A2BB">
        <w:t xml:space="preserve">house </w:t>
      </w:r>
      <w:r w:rsidR="00F33512">
        <w:t xml:space="preserve">in the County </w:t>
      </w:r>
      <w:r w:rsidR="4C17A2BB">
        <w:t xml:space="preserve">than </w:t>
      </w:r>
      <w:r w:rsidR="00F33512">
        <w:t xml:space="preserve">they can </w:t>
      </w:r>
      <w:r w:rsidR="4C17A2BB">
        <w:t>in an urban area. In line with national data (National Association of REALTORS, 2021), most buyers are looking for at least a 3</w:t>
      </w:r>
      <w:r w:rsidR="00FD4BB3">
        <w:t>-</w:t>
      </w:r>
      <w:r w:rsidR="4C17A2BB">
        <w:t>bedroom, 2</w:t>
      </w:r>
      <w:r w:rsidR="00FD4BB3">
        <w:t>-</w:t>
      </w:r>
      <w:r w:rsidR="4C17A2BB">
        <w:t xml:space="preserve">bath home with additional space for a home office. While incomes for remote workers vary, the Ascend program, a remote worker recruitment program coordinated by West Virginia’s </w:t>
      </w:r>
      <w:r w:rsidR="007F4AF0">
        <w:t>D</w:t>
      </w:r>
      <w:r w:rsidR="4C17A2BB">
        <w:t xml:space="preserve">epartment of </w:t>
      </w:r>
      <w:r w:rsidR="007F4AF0">
        <w:t xml:space="preserve">Tourism </w:t>
      </w:r>
      <w:r w:rsidR="4C17A2BB">
        <w:t xml:space="preserve">and </w:t>
      </w:r>
      <w:r w:rsidR="007F4AF0">
        <w:t xml:space="preserve">Department of Economic Development </w:t>
      </w:r>
      <w:r w:rsidR="4C17A2BB">
        <w:t>and the West Virginia University Brad and Alys Smith Outdoor Economic Development Collaborative</w:t>
      </w:r>
      <w:r w:rsidR="007F4AF0">
        <w:t>, gathered applicant data and found</w:t>
      </w:r>
      <w:r w:rsidR="4C17A2BB">
        <w:t xml:space="preserve"> average salari</w:t>
      </w:r>
      <w:r w:rsidR="4C17A2BB" w:rsidRPr="004F062B">
        <w:t>es ranging from $65,700 to $115,000</w:t>
      </w:r>
      <w:r w:rsidR="00A47041" w:rsidRPr="004F062B">
        <w:t xml:space="preserve"> (</w:t>
      </w:r>
      <w:proofErr w:type="spellStart"/>
      <w:r w:rsidR="004F062B" w:rsidRPr="004F062B">
        <w:t>P</w:t>
      </w:r>
      <w:r w:rsidR="00D53BFD">
        <w:t>.</w:t>
      </w:r>
      <w:r w:rsidR="004F062B" w:rsidRPr="004F062B">
        <w:t>Winfrey</w:t>
      </w:r>
      <w:proofErr w:type="spellEnd"/>
      <w:r w:rsidR="00A47041" w:rsidRPr="004F062B">
        <w:t xml:space="preserve">, personal communication, </w:t>
      </w:r>
      <w:r w:rsidR="004F062B" w:rsidRPr="004F062B">
        <w:t>October 25, 2022</w:t>
      </w:r>
      <w:r w:rsidR="00A47041" w:rsidRPr="004F062B">
        <w:t>)</w:t>
      </w:r>
      <w:r w:rsidR="4C17A2BB" w:rsidRPr="004F062B">
        <w:t>.</w:t>
      </w:r>
    </w:p>
    <w:p w14:paraId="28E17550" w14:textId="05125EBB" w:rsidR="00366EDD" w:rsidRPr="00924D2E" w:rsidRDefault="002535EE" w:rsidP="00105F5C">
      <w:pPr>
        <w:rPr>
          <w:rFonts w:ascii="Calibri" w:hAnsi="Calibri" w:cs="Calibri"/>
          <w:color w:val="000000"/>
        </w:rPr>
        <w:sectPr w:rsidR="00366EDD" w:rsidRPr="00924D2E" w:rsidSect="005A106F">
          <w:type w:val="continuous"/>
          <w:pgSz w:w="12240" w:h="15840"/>
          <w:pgMar w:top="1440" w:right="1440" w:bottom="1440" w:left="1440" w:header="720" w:footer="720" w:gutter="0"/>
          <w:cols w:space="720"/>
          <w:docGrid w:linePitch="360"/>
        </w:sectPr>
      </w:pPr>
      <w:r>
        <w:rPr>
          <w:rFonts w:ascii="Calibri" w:hAnsi="Calibri" w:cs="Calibri"/>
          <w:color w:val="000000"/>
        </w:rPr>
        <w:t xml:space="preserve"> </w:t>
      </w:r>
      <w:r w:rsidR="00920E6C">
        <w:rPr>
          <w:rFonts w:ascii="Calibri" w:hAnsi="Calibri" w:cs="Calibri"/>
          <w:color w:val="000000"/>
        </w:rPr>
        <w:t xml:space="preserve"> </w:t>
      </w:r>
      <w:r w:rsidR="00924D2E">
        <w:rPr>
          <w:rFonts w:ascii="Calibri" w:hAnsi="Calibri" w:cs="Calibri"/>
          <w:color w:val="000000"/>
        </w:rPr>
        <w:t xml:space="preserve">  </w:t>
      </w:r>
    </w:p>
    <w:p w14:paraId="037CAACA" w14:textId="420C8795" w:rsidR="000941AD" w:rsidRDefault="004B01A3" w:rsidP="00105F5C">
      <w:r>
        <w:rPr>
          <w:noProof/>
        </w:rPr>
        <w:lastRenderedPageBreak/>
        <w:drawing>
          <wp:inline distT="0" distB="0" distL="0" distR="0" wp14:anchorId="6D50F776" wp14:editId="1B916F9F">
            <wp:extent cx="8229600" cy="5740400"/>
            <wp:effectExtent l="0" t="0" r="0" b="12700"/>
            <wp:docPr id="24" name="Chart 24" title="Chart">
              <a:extLst xmlns:a="http://schemas.openxmlformats.org/drawingml/2006/main">
                <a:ext uri="{FF2B5EF4-FFF2-40B4-BE49-F238E27FC236}">
                  <a16:creationId xmlns:a16="http://schemas.microsoft.com/office/drawing/2014/main" id="{643232E6-5372-496A-B589-DFF046B137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548E52C" w14:textId="77777777" w:rsidR="00366EDD" w:rsidRDefault="00366EDD" w:rsidP="00105F5C">
      <w:pPr>
        <w:rPr>
          <w:rFonts w:eastAsia="Times New Roman" w:cstheme="minorHAnsi"/>
          <w:b/>
        </w:rPr>
        <w:sectPr w:rsidR="00366EDD" w:rsidSect="00E07EC0">
          <w:pgSz w:w="15840" w:h="12240" w:orient="landscape"/>
          <w:pgMar w:top="1440" w:right="1440" w:bottom="1440" w:left="1440" w:header="720" w:footer="720" w:gutter="0"/>
          <w:cols w:space="720"/>
          <w:docGrid w:linePitch="360"/>
        </w:sectPr>
      </w:pPr>
    </w:p>
    <w:p w14:paraId="36455E13" w14:textId="47E9E925" w:rsidR="00D34513" w:rsidRDefault="000941AD" w:rsidP="00D34513">
      <w:pPr>
        <w:spacing w:after="0"/>
        <w:rPr>
          <w:rFonts w:eastAsia="Times New Roman" w:cstheme="minorHAnsi"/>
          <w:b/>
        </w:rPr>
      </w:pPr>
      <w:bookmarkStart w:id="31" w:name="_Hlk120699523"/>
      <w:r w:rsidRPr="00026974">
        <w:rPr>
          <w:rFonts w:eastAsia="Times New Roman" w:cstheme="minorHAnsi"/>
          <w:b/>
        </w:rPr>
        <w:lastRenderedPageBreak/>
        <w:t xml:space="preserve">Table </w:t>
      </w:r>
      <w:r w:rsidR="00D34513">
        <w:rPr>
          <w:rFonts w:eastAsia="Times New Roman" w:cstheme="minorHAnsi"/>
          <w:b/>
        </w:rPr>
        <w:t>6</w:t>
      </w:r>
      <w:r w:rsidRPr="00026974">
        <w:rPr>
          <w:rFonts w:eastAsia="Times New Roman" w:cstheme="minorHAnsi"/>
          <w:b/>
        </w:rPr>
        <w:t>: Housing Affordability by Occupation Category</w:t>
      </w:r>
    </w:p>
    <w:p w14:paraId="6D443675" w14:textId="314EE4D7" w:rsidR="00D34513" w:rsidRPr="00DE4F9F" w:rsidRDefault="00E07EC0" w:rsidP="00DE4F9F">
      <w:r>
        <w:t xml:space="preserve">Source: VCHR Tabulation of </w:t>
      </w:r>
      <w:proofErr w:type="spellStart"/>
      <w:r>
        <w:t>Lightcast</w:t>
      </w:r>
      <w:proofErr w:type="spellEnd"/>
      <w:r>
        <w:t xml:space="preserve"> Data</w:t>
      </w:r>
    </w:p>
    <w:tbl>
      <w:tblPr>
        <w:tblW w:w="9355" w:type="dxa"/>
        <w:tblInd w:w="-5" w:type="dxa"/>
        <w:tblLook w:val="04A0" w:firstRow="1" w:lastRow="0" w:firstColumn="1" w:lastColumn="0" w:noHBand="0" w:noVBand="1"/>
      </w:tblPr>
      <w:tblGrid>
        <w:gridCol w:w="5436"/>
        <w:gridCol w:w="624"/>
        <w:gridCol w:w="675"/>
        <w:gridCol w:w="1455"/>
        <w:gridCol w:w="1165"/>
      </w:tblGrid>
      <w:tr w:rsidR="00185157" w:rsidRPr="00303AD1" w14:paraId="4751F284" w14:textId="77777777" w:rsidTr="00026974">
        <w:trPr>
          <w:trHeight w:val="886"/>
        </w:trPr>
        <w:tc>
          <w:tcPr>
            <w:tcW w:w="5436"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4794CEA4" w14:textId="433B3A5F" w:rsidR="00185157" w:rsidRPr="00303AD1" w:rsidRDefault="00185157" w:rsidP="00027994">
            <w:pPr>
              <w:spacing w:after="0" w:line="240" w:lineRule="auto"/>
              <w:rPr>
                <w:rFonts w:ascii="Calibri" w:eastAsia="Times New Roman" w:hAnsi="Calibri" w:cs="Calibri"/>
                <w:color w:val="000000"/>
              </w:rPr>
            </w:pPr>
            <w:bookmarkStart w:id="32" w:name="_Toc62593601"/>
            <w:r w:rsidRPr="00303AD1">
              <w:rPr>
                <w:rFonts w:ascii="Calibri" w:eastAsia="Times New Roman" w:hAnsi="Calibri" w:cs="Calibri"/>
                <w:color w:val="000000"/>
              </w:rPr>
              <w:t>Maximum Affordable Housing Cost</w:t>
            </w:r>
          </w:p>
        </w:tc>
        <w:tc>
          <w:tcPr>
            <w:tcW w:w="1299" w:type="dxa"/>
            <w:gridSpan w:val="2"/>
            <w:tcBorders>
              <w:top w:val="single" w:sz="4" w:space="0" w:color="auto"/>
              <w:left w:val="nil"/>
              <w:bottom w:val="single" w:sz="4" w:space="0" w:color="000000"/>
              <w:right w:val="single" w:sz="4" w:space="0" w:color="000000"/>
            </w:tcBorders>
            <w:shd w:val="clear" w:color="auto" w:fill="auto"/>
            <w:vAlign w:val="bottom"/>
            <w:hideMark/>
          </w:tcPr>
          <w:p w14:paraId="32C8545A" w14:textId="77777777" w:rsidR="00185157" w:rsidRPr="00303AD1" w:rsidRDefault="00185157" w:rsidP="00027994">
            <w:pPr>
              <w:spacing w:after="0" w:line="240" w:lineRule="auto"/>
              <w:jc w:val="center"/>
              <w:rPr>
                <w:rFonts w:ascii="Calibri" w:eastAsia="Times New Roman" w:hAnsi="Calibri" w:cs="Calibri"/>
                <w:b/>
                <w:bCs/>
                <w:color w:val="000000"/>
              </w:rPr>
            </w:pPr>
            <w:r w:rsidRPr="00303AD1">
              <w:rPr>
                <w:rFonts w:ascii="Calibri" w:eastAsia="Times New Roman" w:hAnsi="Calibri" w:cs="Calibri"/>
                <w:b/>
                <w:bCs/>
                <w:color w:val="000000"/>
              </w:rPr>
              <w:t xml:space="preserve"> Single Earner </w:t>
            </w:r>
            <w:r w:rsidRPr="00303AD1">
              <w:rPr>
                <w:rFonts w:ascii="Calibri" w:eastAsia="Times New Roman" w:hAnsi="Calibri" w:cs="Calibri"/>
                <w:b/>
                <w:bCs/>
                <w:color w:val="000000"/>
              </w:rPr>
              <w:br/>
              <w:t>at the Median</w:t>
            </w:r>
          </w:p>
        </w:tc>
        <w:tc>
          <w:tcPr>
            <w:tcW w:w="1455" w:type="dxa"/>
            <w:tcBorders>
              <w:top w:val="single" w:sz="4" w:space="0" w:color="auto"/>
              <w:left w:val="nil"/>
              <w:bottom w:val="single" w:sz="4" w:space="0" w:color="000000"/>
              <w:right w:val="single" w:sz="4" w:space="0" w:color="000000"/>
            </w:tcBorders>
            <w:shd w:val="clear" w:color="auto" w:fill="auto"/>
            <w:vAlign w:val="bottom"/>
            <w:hideMark/>
          </w:tcPr>
          <w:p w14:paraId="4A58D451" w14:textId="77777777" w:rsidR="00185157" w:rsidRPr="00303AD1" w:rsidRDefault="00185157" w:rsidP="00027994">
            <w:pPr>
              <w:spacing w:after="0" w:line="240" w:lineRule="auto"/>
              <w:jc w:val="center"/>
              <w:rPr>
                <w:rFonts w:ascii="Calibri" w:eastAsia="Times New Roman" w:hAnsi="Calibri" w:cs="Calibri"/>
                <w:b/>
                <w:bCs/>
                <w:color w:val="000000"/>
              </w:rPr>
            </w:pPr>
            <w:r w:rsidRPr="00303AD1">
              <w:rPr>
                <w:rFonts w:ascii="Calibri" w:eastAsia="Times New Roman" w:hAnsi="Calibri" w:cs="Calibri"/>
                <w:b/>
                <w:bCs/>
                <w:color w:val="000000"/>
              </w:rPr>
              <w:t xml:space="preserve">Single Earner </w:t>
            </w:r>
            <w:r w:rsidRPr="00303AD1">
              <w:rPr>
                <w:rFonts w:ascii="Calibri" w:eastAsia="Times New Roman" w:hAnsi="Calibri" w:cs="Calibri"/>
                <w:b/>
                <w:bCs/>
                <w:color w:val="000000"/>
              </w:rPr>
              <w:br/>
              <w:t>at the 90th Percentile</w:t>
            </w:r>
          </w:p>
        </w:tc>
        <w:tc>
          <w:tcPr>
            <w:tcW w:w="1165" w:type="dxa"/>
            <w:tcBorders>
              <w:top w:val="single" w:sz="4" w:space="0" w:color="auto"/>
              <w:left w:val="nil"/>
              <w:bottom w:val="single" w:sz="4" w:space="0" w:color="000000"/>
              <w:right w:val="single" w:sz="4" w:space="0" w:color="000000"/>
            </w:tcBorders>
            <w:shd w:val="clear" w:color="auto" w:fill="auto"/>
            <w:vAlign w:val="bottom"/>
            <w:hideMark/>
          </w:tcPr>
          <w:p w14:paraId="4CD5F62D" w14:textId="5DD30D87" w:rsidR="00185157" w:rsidRPr="00303AD1" w:rsidRDefault="007F4AF0" w:rsidP="00027994">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Two Earners</w:t>
            </w:r>
          </w:p>
        </w:tc>
      </w:tr>
      <w:tr w:rsidR="00185157" w:rsidRPr="00303AD1" w14:paraId="3E155107"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2DD18773"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Management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5A4603EB"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$1,690</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4B11309A"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$3,278</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6D8262CD"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$3,379</w:t>
            </w:r>
          </w:p>
        </w:tc>
      </w:tr>
      <w:tr w:rsidR="00185157" w:rsidRPr="00303AD1" w14:paraId="6C3DA297"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52D24B70"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Business and Financial Operations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68A4F5FB"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$1,380</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1B7D8669"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$2,359</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399A3706"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$2,761</w:t>
            </w:r>
          </w:p>
        </w:tc>
      </w:tr>
      <w:tr w:rsidR="00185157" w:rsidRPr="00303AD1" w14:paraId="18069123"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13936AA7"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Computer and Mathematical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196F3C72"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$1,562</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5B6EA898"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$2,459</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3F46BE7D"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$3,123</w:t>
            </w:r>
          </w:p>
        </w:tc>
      </w:tr>
      <w:tr w:rsidR="00185157" w:rsidRPr="00303AD1" w14:paraId="0D0F7264"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4EFAA961"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Architecture and Engineering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0140DAE3"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$1,785</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3019F87A"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$2,712</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6F5E3B22"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$3,570</w:t>
            </w:r>
          </w:p>
        </w:tc>
      </w:tr>
      <w:tr w:rsidR="00185157" w:rsidRPr="00303AD1" w14:paraId="31E52973"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24A418E8"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Community and Social Service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465C470F"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$1,002</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5D1EEEED"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$1,410</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06C0EA32"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$2,005</w:t>
            </w:r>
          </w:p>
        </w:tc>
      </w:tr>
      <w:tr w:rsidR="00185157" w:rsidRPr="00303AD1" w14:paraId="279DA88F"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3F73FDD7"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Legal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5FDDEB82"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$1,345</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5FA0C23A"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$2,858</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35480968"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$2,690</w:t>
            </w:r>
          </w:p>
        </w:tc>
      </w:tr>
      <w:tr w:rsidR="00185157" w:rsidRPr="00303AD1" w14:paraId="75C2DC44"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66583E41"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Educational Instruction and Library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62592851"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$1,099</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116C8A10"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$1,829</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0BF94B1A"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$2,199</w:t>
            </w:r>
          </w:p>
        </w:tc>
      </w:tr>
      <w:tr w:rsidR="00185157" w:rsidRPr="00303AD1" w14:paraId="0EE25311"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4F8902E8"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Arts, Design, Entertainment, Sports, and Media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56414ED4" w14:textId="77777777" w:rsidR="00185157" w:rsidRPr="00303AD1" w:rsidRDefault="00185157" w:rsidP="00027994">
            <w:pPr>
              <w:spacing w:after="0" w:line="240" w:lineRule="auto"/>
              <w:jc w:val="right"/>
              <w:rPr>
                <w:rFonts w:ascii="Calibri" w:eastAsia="Times New Roman" w:hAnsi="Calibri" w:cs="Calibri"/>
                <w:color w:val="00B050"/>
              </w:rPr>
            </w:pPr>
            <w:r w:rsidRPr="00303AD1">
              <w:rPr>
                <w:rFonts w:ascii="Calibri" w:eastAsia="Times New Roman" w:hAnsi="Calibri" w:cs="Calibri"/>
                <w:color w:val="00B050"/>
              </w:rPr>
              <w:t>$899</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2279FEF9"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$1,566</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3D3755C6"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$1,798</w:t>
            </w:r>
          </w:p>
        </w:tc>
      </w:tr>
      <w:tr w:rsidR="00185157" w:rsidRPr="00303AD1" w14:paraId="664508FD"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1B996741"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Healthcare Practitioners and Technical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671AE54E"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$1,516</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0DDBC020"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$2,299</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4266367C"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$3,033</w:t>
            </w:r>
          </w:p>
        </w:tc>
      </w:tr>
      <w:tr w:rsidR="00185157" w:rsidRPr="00303AD1" w14:paraId="72FBCC3B"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0176B8DE"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Healthcare Support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429EBFCA" w14:textId="77777777" w:rsidR="00185157" w:rsidRPr="00303AD1" w:rsidRDefault="00185157" w:rsidP="00027994">
            <w:pPr>
              <w:spacing w:after="0" w:line="240" w:lineRule="auto"/>
              <w:jc w:val="right"/>
              <w:rPr>
                <w:rFonts w:ascii="Calibri" w:eastAsia="Times New Roman" w:hAnsi="Calibri" w:cs="Calibri"/>
                <w:color w:val="FF0000"/>
              </w:rPr>
            </w:pPr>
            <w:r w:rsidRPr="00303AD1">
              <w:rPr>
                <w:rFonts w:ascii="Calibri" w:eastAsia="Times New Roman" w:hAnsi="Calibri" w:cs="Calibri"/>
                <w:color w:val="FF0000"/>
              </w:rPr>
              <w:t>$593</w:t>
            </w:r>
          </w:p>
        </w:tc>
        <w:tc>
          <w:tcPr>
            <w:tcW w:w="1455"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5F30897D" w14:textId="77777777" w:rsidR="00185157" w:rsidRPr="00303AD1" w:rsidRDefault="00185157" w:rsidP="00027994">
            <w:pPr>
              <w:spacing w:after="0" w:line="240" w:lineRule="auto"/>
              <w:jc w:val="right"/>
              <w:rPr>
                <w:rFonts w:ascii="Calibri" w:eastAsia="Times New Roman" w:hAnsi="Calibri" w:cs="Calibri"/>
                <w:color w:val="FF0000"/>
              </w:rPr>
            </w:pPr>
            <w:r w:rsidRPr="00303AD1">
              <w:rPr>
                <w:rFonts w:ascii="Calibri" w:eastAsia="Times New Roman" w:hAnsi="Calibri" w:cs="Calibri"/>
                <w:color w:val="FF0000"/>
              </w:rPr>
              <w:t>$687</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6417754C"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$1,186</w:t>
            </w:r>
          </w:p>
        </w:tc>
      </w:tr>
      <w:tr w:rsidR="00185157" w:rsidRPr="00303AD1" w14:paraId="658A70BC"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40D6FBA7"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Protective Service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12811834"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$996</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7D8A30E5"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$1,354</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3982AF43"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$1,991</w:t>
            </w:r>
          </w:p>
        </w:tc>
      </w:tr>
      <w:tr w:rsidR="00185157" w:rsidRPr="00303AD1" w14:paraId="6AFB98A2"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0B13BC82"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Food Preparation and Serving Related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0F338366" w14:textId="77777777" w:rsidR="00185157" w:rsidRPr="00303AD1" w:rsidRDefault="00185157" w:rsidP="00027994">
            <w:pPr>
              <w:spacing w:after="0" w:line="240" w:lineRule="auto"/>
              <w:jc w:val="right"/>
              <w:rPr>
                <w:rFonts w:ascii="Calibri" w:eastAsia="Times New Roman" w:hAnsi="Calibri" w:cs="Calibri"/>
                <w:color w:val="FF0000"/>
              </w:rPr>
            </w:pPr>
            <w:r w:rsidRPr="00303AD1">
              <w:rPr>
                <w:rFonts w:ascii="Calibri" w:eastAsia="Times New Roman" w:hAnsi="Calibri" w:cs="Calibri"/>
                <w:color w:val="FF0000"/>
              </w:rPr>
              <w:t>$545</w:t>
            </w:r>
          </w:p>
        </w:tc>
        <w:tc>
          <w:tcPr>
            <w:tcW w:w="1455"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46448E10" w14:textId="77777777" w:rsidR="00185157" w:rsidRPr="00303AD1" w:rsidRDefault="00185157" w:rsidP="00027994">
            <w:pPr>
              <w:spacing w:after="0" w:line="240" w:lineRule="auto"/>
              <w:jc w:val="right"/>
              <w:rPr>
                <w:rFonts w:ascii="Calibri" w:eastAsia="Times New Roman" w:hAnsi="Calibri" w:cs="Calibri"/>
                <w:color w:val="FF0000"/>
              </w:rPr>
            </w:pPr>
            <w:r w:rsidRPr="00303AD1">
              <w:rPr>
                <w:rFonts w:ascii="Calibri" w:eastAsia="Times New Roman" w:hAnsi="Calibri" w:cs="Calibri"/>
                <w:color w:val="FF0000"/>
              </w:rPr>
              <w:t>$690</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4F0AC385"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$1,089</w:t>
            </w:r>
          </w:p>
        </w:tc>
      </w:tr>
      <w:tr w:rsidR="00185157" w:rsidRPr="00303AD1" w14:paraId="6EEB4073"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511B7E74"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Building and Grounds Cleaning and Maintenance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26CF0EDF" w14:textId="77777777" w:rsidR="00185157" w:rsidRPr="00303AD1" w:rsidRDefault="00185157" w:rsidP="00027994">
            <w:pPr>
              <w:spacing w:after="0" w:line="240" w:lineRule="auto"/>
              <w:jc w:val="right"/>
              <w:rPr>
                <w:rFonts w:ascii="Calibri" w:eastAsia="Times New Roman" w:hAnsi="Calibri" w:cs="Calibri"/>
                <w:color w:val="FF0000"/>
              </w:rPr>
            </w:pPr>
            <w:r w:rsidRPr="00303AD1">
              <w:rPr>
                <w:rFonts w:ascii="Calibri" w:eastAsia="Times New Roman" w:hAnsi="Calibri" w:cs="Calibri"/>
                <w:color w:val="FF0000"/>
              </w:rPr>
              <w:t>$567</w:t>
            </w:r>
          </w:p>
        </w:tc>
        <w:tc>
          <w:tcPr>
            <w:tcW w:w="1455" w:type="dxa"/>
            <w:tcBorders>
              <w:top w:val="single" w:sz="4" w:space="0" w:color="000000"/>
              <w:left w:val="single" w:sz="4" w:space="0" w:color="000000"/>
              <w:bottom w:val="single" w:sz="4" w:space="0" w:color="000000"/>
              <w:right w:val="single" w:sz="4" w:space="0" w:color="000000"/>
            </w:tcBorders>
            <w:shd w:val="clear" w:color="FFC000" w:fill="FFC000"/>
            <w:noWrap/>
            <w:vAlign w:val="bottom"/>
            <w:hideMark/>
          </w:tcPr>
          <w:p w14:paraId="707A359C"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$848</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1B678F25"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$1,134</w:t>
            </w:r>
          </w:p>
        </w:tc>
      </w:tr>
      <w:tr w:rsidR="00185157" w:rsidRPr="00303AD1" w14:paraId="3C003328"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52147CF4"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Personal Care and Service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770A7C2C" w14:textId="77777777" w:rsidR="00185157" w:rsidRPr="00303AD1" w:rsidRDefault="00185157" w:rsidP="00027994">
            <w:pPr>
              <w:spacing w:after="0" w:line="240" w:lineRule="auto"/>
              <w:jc w:val="right"/>
              <w:rPr>
                <w:rFonts w:ascii="Calibri" w:eastAsia="Times New Roman" w:hAnsi="Calibri" w:cs="Calibri"/>
                <w:color w:val="FF0000"/>
              </w:rPr>
            </w:pPr>
            <w:r w:rsidRPr="00303AD1">
              <w:rPr>
                <w:rFonts w:ascii="Calibri" w:eastAsia="Times New Roman" w:hAnsi="Calibri" w:cs="Calibri"/>
                <w:color w:val="FF0000"/>
              </w:rPr>
              <w:t>$567</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684A9486"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$1,020</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1030D24B"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$1,135</w:t>
            </w:r>
          </w:p>
        </w:tc>
      </w:tr>
      <w:tr w:rsidR="00185157" w:rsidRPr="00303AD1" w14:paraId="6717C8DF"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6EB749F0"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Sales and Related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FFC000" w:fill="FFC000"/>
            <w:noWrap/>
            <w:vAlign w:val="bottom"/>
            <w:hideMark/>
          </w:tcPr>
          <w:p w14:paraId="089C762D"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$716</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756E44BB"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$1,198</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224FB677"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$1,432</w:t>
            </w:r>
          </w:p>
        </w:tc>
      </w:tr>
      <w:tr w:rsidR="00185157" w:rsidRPr="00303AD1" w14:paraId="66DB63E8"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16820475"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Office and Administrative Support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FFC000" w:fill="FFC000"/>
            <w:noWrap/>
            <w:vAlign w:val="bottom"/>
            <w:hideMark/>
          </w:tcPr>
          <w:p w14:paraId="14F1B022"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$804</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16FEC19A"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$1,173</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4655DBBB"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$1,608</w:t>
            </w:r>
          </w:p>
        </w:tc>
      </w:tr>
      <w:tr w:rsidR="00185157" w:rsidRPr="00303AD1" w14:paraId="4A830506"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0994A65C"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Farming, Fishing, and Forestry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26BEBA31" w14:textId="77777777" w:rsidR="00185157" w:rsidRPr="00303AD1" w:rsidRDefault="00185157" w:rsidP="00027994">
            <w:pPr>
              <w:spacing w:after="0" w:line="240" w:lineRule="auto"/>
              <w:jc w:val="right"/>
              <w:rPr>
                <w:rFonts w:ascii="Calibri" w:eastAsia="Times New Roman" w:hAnsi="Calibri" w:cs="Calibri"/>
                <w:color w:val="00B050"/>
              </w:rPr>
            </w:pPr>
            <w:r w:rsidRPr="00303AD1">
              <w:rPr>
                <w:rFonts w:ascii="Calibri" w:eastAsia="Times New Roman" w:hAnsi="Calibri" w:cs="Calibri"/>
                <w:color w:val="00B050"/>
              </w:rPr>
              <w:t>$889</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7DF9A810"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$1,494</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6DB16BD7"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$1,777</w:t>
            </w:r>
          </w:p>
        </w:tc>
      </w:tr>
      <w:tr w:rsidR="00185157" w:rsidRPr="00303AD1" w14:paraId="09B47F37"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1F64A301"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Construction and Extraction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72CE1F72"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$1,102</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6899608E"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$1,704</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5F1A296F"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$2,203</w:t>
            </w:r>
          </w:p>
        </w:tc>
      </w:tr>
      <w:tr w:rsidR="00185157" w:rsidRPr="00303AD1" w14:paraId="49FC6227"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6C810611"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Installation, Maintenance, and Repair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14:paraId="2CD2B702" w14:textId="77777777" w:rsidR="00185157" w:rsidRPr="00303AD1" w:rsidRDefault="00185157" w:rsidP="00027994">
            <w:pPr>
              <w:spacing w:after="0" w:line="240" w:lineRule="auto"/>
              <w:jc w:val="right"/>
              <w:rPr>
                <w:rFonts w:ascii="Calibri" w:eastAsia="Times New Roman" w:hAnsi="Calibri" w:cs="Calibri"/>
                <w:color w:val="00B050"/>
              </w:rPr>
            </w:pPr>
            <w:r w:rsidRPr="00303AD1">
              <w:rPr>
                <w:rFonts w:ascii="Calibri" w:eastAsia="Times New Roman" w:hAnsi="Calibri" w:cs="Calibri"/>
                <w:color w:val="00B050"/>
              </w:rPr>
              <w:t>$950</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2AC392E2"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$1,544</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2BE6A2B2"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$1,899</w:t>
            </w:r>
          </w:p>
        </w:tc>
      </w:tr>
      <w:tr w:rsidR="00185157" w:rsidRPr="00303AD1" w14:paraId="329E3244"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724E43B0"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Production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FFC000" w:fill="FFC000"/>
            <w:noWrap/>
            <w:vAlign w:val="bottom"/>
            <w:hideMark/>
          </w:tcPr>
          <w:p w14:paraId="3F87A8C1"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$830</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5261CAA8"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$1,306</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0CA86102"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$1,661</w:t>
            </w:r>
          </w:p>
        </w:tc>
      </w:tr>
      <w:tr w:rsidR="00185157" w:rsidRPr="00303AD1" w14:paraId="60190FD8" w14:textId="77777777" w:rsidTr="00026974">
        <w:trPr>
          <w:trHeight w:val="295"/>
        </w:trPr>
        <w:tc>
          <w:tcPr>
            <w:tcW w:w="5436" w:type="dxa"/>
            <w:tcBorders>
              <w:top w:val="nil"/>
              <w:left w:val="single" w:sz="4" w:space="0" w:color="000000"/>
              <w:bottom w:val="single" w:sz="4" w:space="0" w:color="000000"/>
              <w:right w:val="single" w:sz="4" w:space="0" w:color="000000"/>
            </w:tcBorders>
            <w:shd w:val="clear" w:color="auto" w:fill="auto"/>
            <w:noWrap/>
            <w:vAlign w:val="bottom"/>
            <w:hideMark/>
          </w:tcPr>
          <w:p w14:paraId="79FB1871" w14:textId="77777777" w:rsidR="00185157" w:rsidRPr="00303AD1" w:rsidRDefault="00185157" w:rsidP="00027994">
            <w:pPr>
              <w:spacing w:after="0" w:line="240" w:lineRule="auto"/>
              <w:rPr>
                <w:rFonts w:ascii="Calibri" w:eastAsia="Times New Roman" w:hAnsi="Calibri" w:cs="Calibri"/>
                <w:color w:val="000000"/>
              </w:rPr>
            </w:pPr>
            <w:r w:rsidRPr="00303AD1">
              <w:rPr>
                <w:rFonts w:ascii="Calibri" w:eastAsia="Times New Roman" w:hAnsi="Calibri" w:cs="Calibri"/>
                <w:color w:val="000000"/>
              </w:rPr>
              <w:t>Transportation and Material Moving Occupations</w:t>
            </w:r>
          </w:p>
        </w:tc>
        <w:tc>
          <w:tcPr>
            <w:tcW w:w="1299" w:type="dxa"/>
            <w:gridSpan w:val="2"/>
            <w:tcBorders>
              <w:top w:val="single" w:sz="4" w:space="0" w:color="000000"/>
              <w:left w:val="single" w:sz="4" w:space="0" w:color="000000"/>
              <w:bottom w:val="single" w:sz="4" w:space="0" w:color="000000"/>
              <w:right w:val="single" w:sz="4" w:space="0" w:color="000000"/>
            </w:tcBorders>
            <w:shd w:val="clear" w:color="FFC000" w:fill="FFC000"/>
            <w:noWrap/>
            <w:vAlign w:val="bottom"/>
            <w:hideMark/>
          </w:tcPr>
          <w:p w14:paraId="30E59AAB"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$817</w:t>
            </w:r>
          </w:p>
        </w:tc>
        <w:tc>
          <w:tcPr>
            <w:tcW w:w="145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736B5015"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$1,302</w:t>
            </w:r>
          </w:p>
        </w:tc>
        <w:tc>
          <w:tcPr>
            <w:tcW w:w="1165" w:type="dxa"/>
            <w:tcBorders>
              <w:top w:val="single" w:sz="4" w:space="0" w:color="000000"/>
              <w:left w:val="single" w:sz="4" w:space="0" w:color="000000"/>
              <w:bottom w:val="single" w:sz="4" w:space="0" w:color="000000"/>
              <w:right w:val="single" w:sz="4" w:space="0" w:color="000000"/>
            </w:tcBorders>
            <w:shd w:val="clear" w:color="00B050" w:fill="00B050"/>
            <w:noWrap/>
            <w:vAlign w:val="bottom"/>
            <w:hideMark/>
          </w:tcPr>
          <w:p w14:paraId="76EC3E25" w14:textId="77777777" w:rsidR="00185157" w:rsidRPr="00303AD1" w:rsidRDefault="00185157" w:rsidP="00027994">
            <w:pPr>
              <w:spacing w:after="0" w:line="240" w:lineRule="auto"/>
              <w:jc w:val="right"/>
              <w:rPr>
                <w:rFonts w:ascii="Calibri" w:eastAsia="Times New Roman" w:hAnsi="Calibri" w:cs="Calibri"/>
                <w:color w:val="000000"/>
              </w:rPr>
            </w:pPr>
            <w:r w:rsidRPr="00303AD1">
              <w:rPr>
                <w:rFonts w:ascii="Calibri" w:eastAsia="Times New Roman" w:hAnsi="Calibri" w:cs="Calibri"/>
                <w:color w:val="000000"/>
              </w:rPr>
              <w:t>$1,634</w:t>
            </w:r>
          </w:p>
        </w:tc>
      </w:tr>
      <w:tr w:rsidR="00185157" w:rsidRPr="00DC488E" w14:paraId="0E3D38C1" w14:textId="77777777" w:rsidTr="00026974">
        <w:trPr>
          <w:gridAfter w:val="3"/>
          <w:wAfter w:w="3295" w:type="dxa"/>
          <w:trHeight w:val="300"/>
        </w:trPr>
        <w:tc>
          <w:tcPr>
            <w:tcW w:w="6060" w:type="dxa"/>
            <w:gridSpan w:val="2"/>
            <w:tcBorders>
              <w:top w:val="single" w:sz="4" w:space="0" w:color="auto"/>
              <w:left w:val="single" w:sz="4" w:space="0" w:color="auto"/>
              <w:bottom w:val="single" w:sz="4" w:space="0" w:color="auto"/>
              <w:right w:val="single" w:sz="4" w:space="0" w:color="auto"/>
            </w:tcBorders>
            <w:shd w:val="clear" w:color="FF0000" w:fill="FF0000"/>
            <w:noWrap/>
            <w:vAlign w:val="bottom"/>
            <w:hideMark/>
          </w:tcPr>
          <w:p w14:paraId="329160D9" w14:textId="77777777" w:rsidR="00185157" w:rsidRPr="00DC488E" w:rsidRDefault="00185157" w:rsidP="00027994">
            <w:pPr>
              <w:spacing w:after="0" w:line="240" w:lineRule="auto"/>
              <w:rPr>
                <w:rFonts w:ascii="Calibri" w:eastAsia="Times New Roman" w:hAnsi="Calibri" w:cs="Calibri"/>
                <w:color w:val="000000"/>
              </w:rPr>
            </w:pPr>
            <w:r w:rsidRPr="00DC488E">
              <w:rPr>
                <w:rFonts w:ascii="Calibri" w:eastAsia="Times New Roman" w:hAnsi="Calibri" w:cs="Calibri"/>
                <w:color w:val="000000"/>
              </w:rPr>
              <w:t>Cannot afford lower quartile rent</w:t>
            </w:r>
          </w:p>
        </w:tc>
      </w:tr>
      <w:tr w:rsidR="00185157" w:rsidRPr="00DC488E" w14:paraId="51C9108F" w14:textId="77777777" w:rsidTr="00026974">
        <w:trPr>
          <w:gridAfter w:val="3"/>
          <w:wAfter w:w="3295" w:type="dxa"/>
          <w:trHeight w:val="300"/>
        </w:trPr>
        <w:tc>
          <w:tcPr>
            <w:tcW w:w="6060" w:type="dxa"/>
            <w:gridSpan w:val="2"/>
            <w:tcBorders>
              <w:top w:val="nil"/>
              <w:left w:val="single" w:sz="4" w:space="0" w:color="auto"/>
              <w:bottom w:val="single" w:sz="4" w:space="0" w:color="auto"/>
              <w:right w:val="single" w:sz="4" w:space="0" w:color="auto"/>
            </w:tcBorders>
            <w:shd w:val="clear" w:color="auto" w:fill="auto"/>
            <w:noWrap/>
            <w:vAlign w:val="bottom"/>
            <w:hideMark/>
          </w:tcPr>
          <w:p w14:paraId="5DB7085F" w14:textId="77777777" w:rsidR="00185157" w:rsidRPr="00DC488E" w:rsidRDefault="00185157" w:rsidP="00027994">
            <w:pPr>
              <w:spacing w:after="0" w:line="240" w:lineRule="auto"/>
              <w:rPr>
                <w:rFonts w:ascii="Calibri" w:eastAsia="Times New Roman" w:hAnsi="Calibri" w:cs="Calibri"/>
                <w:color w:val="FF0000"/>
              </w:rPr>
            </w:pPr>
            <w:r w:rsidRPr="00DC488E">
              <w:rPr>
                <w:rFonts w:ascii="Calibri" w:eastAsia="Times New Roman" w:hAnsi="Calibri" w:cs="Calibri"/>
                <w:color w:val="FF0000"/>
              </w:rPr>
              <w:t xml:space="preserve">Cannot afford median rent; can afford lower quartile rent only </w:t>
            </w:r>
          </w:p>
        </w:tc>
      </w:tr>
      <w:tr w:rsidR="00185157" w:rsidRPr="00DC488E" w14:paraId="246936F9" w14:textId="77777777" w:rsidTr="00026974">
        <w:trPr>
          <w:gridAfter w:val="3"/>
          <w:wAfter w:w="3295" w:type="dxa"/>
          <w:trHeight w:val="300"/>
        </w:trPr>
        <w:tc>
          <w:tcPr>
            <w:tcW w:w="6060" w:type="dxa"/>
            <w:gridSpan w:val="2"/>
            <w:tcBorders>
              <w:top w:val="nil"/>
              <w:left w:val="single" w:sz="4" w:space="0" w:color="auto"/>
              <w:bottom w:val="single" w:sz="4" w:space="0" w:color="auto"/>
              <w:right w:val="single" w:sz="4" w:space="0" w:color="auto"/>
            </w:tcBorders>
            <w:shd w:val="clear" w:color="FFC000" w:fill="FFC000"/>
            <w:noWrap/>
            <w:vAlign w:val="bottom"/>
            <w:hideMark/>
          </w:tcPr>
          <w:p w14:paraId="298D14F1" w14:textId="77777777" w:rsidR="00185157" w:rsidRPr="00DC488E" w:rsidRDefault="00185157" w:rsidP="00027994">
            <w:pPr>
              <w:spacing w:after="0" w:line="240" w:lineRule="auto"/>
              <w:rPr>
                <w:rFonts w:ascii="Calibri" w:eastAsia="Times New Roman" w:hAnsi="Calibri" w:cs="Calibri"/>
                <w:color w:val="000000"/>
              </w:rPr>
            </w:pPr>
            <w:r w:rsidRPr="00DC488E">
              <w:rPr>
                <w:rFonts w:ascii="Calibri" w:eastAsia="Times New Roman" w:hAnsi="Calibri" w:cs="Calibri"/>
                <w:color w:val="000000"/>
              </w:rPr>
              <w:t xml:space="preserve">Can afford median rent </w:t>
            </w:r>
          </w:p>
        </w:tc>
      </w:tr>
      <w:tr w:rsidR="00185157" w:rsidRPr="00DC488E" w14:paraId="76AE9AD6" w14:textId="77777777" w:rsidTr="00026974">
        <w:trPr>
          <w:gridAfter w:val="3"/>
          <w:wAfter w:w="3295" w:type="dxa"/>
          <w:trHeight w:val="300"/>
        </w:trPr>
        <w:tc>
          <w:tcPr>
            <w:tcW w:w="6060" w:type="dxa"/>
            <w:gridSpan w:val="2"/>
            <w:tcBorders>
              <w:top w:val="nil"/>
              <w:left w:val="single" w:sz="4" w:space="0" w:color="auto"/>
              <w:bottom w:val="single" w:sz="4" w:space="0" w:color="auto"/>
              <w:right w:val="single" w:sz="4" w:space="0" w:color="auto"/>
            </w:tcBorders>
            <w:shd w:val="clear" w:color="auto" w:fill="auto"/>
            <w:noWrap/>
            <w:vAlign w:val="bottom"/>
            <w:hideMark/>
          </w:tcPr>
          <w:p w14:paraId="736EA4A1" w14:textId="77777777" w:rsidR="00185157" w:rsidRPr="00DC488E" w:rsidRDefault="00185157" w:rsidP="00027994">
            <w:pPr>
              <w:spacing w:after="0" w:line="240" w:lineRule="auto"/>
              <w:rPr>
                <w:rFonts w:ascii="Calibri" w:eastAsia="Times New Roman" w:hAnsi="Calibri" w:cs="Calibri"/>
                <w:color w:val="00B050"/>
              </w:rPr>
            </w:pPr>
            <w:r w:rsidRPr="00DC488E">
              <w:rPr>
                <w:rFonts w:ascii="Calibri" w:eastAsia="Times New Roman" w:hAnsi="Calibri" w:cs="Calibri"/>
                <w:color w:val="00B050"/>
              </w:rPr>
              <w:t>Can afford to rent but cannot afford to own</w:t>
            </w:r>
          </w:p>
        </w:tc>
      </w:tr>
      <w:tr w:rsidR="00185157" w:rsidRPr="00DC488E" w14:paraId="28972463" w14:textId="77777777" w:rsidTr="00026974">
        <w:trPr>
          <w:gridAfter w:val="3"/>
          <w:wAfter w:w="3295" w:type="dxa"/>
          <w:trHeight w:val="300"/>
        </w:trPr>
        <w:tc>
          <w:tcPr>
            <w:tcW w:w="6060" w:type="dxa"/>
            <w:gridSpan w:val="2"/>
            <w:tcBorders>
              <w:top w:val="nil"/>
              <w:left w:val="single" w:sz="4" w:space="0" w:color="auto"/>
              <w:bottom w:val="single" w:sz="4" w:space="0" w:color="auto"/>
              <w:right w:val="single" w:sz="4" w:space="0" w:color="auto"/>
            </w:tcBorders>
            <w:shd w:val="clear" w:color="00B050" w:fill="00B050"/>
            <w:noWrap/>
            <w:vAlign w:val="bottom"/>
            <w:hideMark/>
          </w:tcPr>
          <w:p w14:paraId="237708BE" w14:textId="77777777" w:rsidR="00185157" w:rsidRPr="00DC488E" w:rsidRDefault="00185157" w:rsidP="00027994">
            <w:pPr>
              <w:spacing w:after="0" w:line="240" w:lineRule="auto"/>
              <w:rPr>
                <w:rFonts w:ascii="Calibri" w:eastAsia="Times New Roman" w:hAnsi="Calibri" w:cs="Calibri"/>
                <w:color w:val="000000"/>
              </w:rPr>
            </w:pPr>
            <w:r w:rsidRPr="00DC488E">
              <w:rPr>
                <w:rFonts w:ascii="Calibri" w:eastAsia="Times New Roman" w:hAnsi="Calibri" w:cs="Calibri"/>
                <w:color w:val="000000"/>
              </w:rPr>
              <w:t xml:space="preserve">Can afford to rent and own </w:t>
            </w:r>
          </w:p>
        </w:tc>
      </w:tr>
    </w:tbl>
    <w:p w14:paraId="495BA8C1" w14:textId="77777777" w:rsidR="00185157" w:rsidRDefault="00185157" w:rsidP="00185157"/>
    <w:p w14:paraId="5C65D631" w14:textId="1964B496" w:rsidR="00185157" w:rsidRPr="000147CF" w:rsidRDefault="00185157" w:rsidP="00185157">
      <w:pPr>
        <w:spacing w:after="0"/>
        <w:rPr>
          <w:b/>
        </w:rPr>
      </w:pPr>
      <w:r>
        <w:rPr>
          <w:b/>
        </w:rPr>
        <w:t xml:space="preserve">Table </w:t>
      </w:r>
      <w:r w:rsidR="00DE4F9F">
        <w:rPr>
          <w:b/>
        </w:rPr>
        <w:t>7</w:t>
      </w:r>
      <w:r>
        <w:rPr>
          <w:b/>
        </w:rPr>
        <w:t xml:space="preserve">. Maximum Affordable Housing Costs by </w:t>
      </w:r>
      <w:r w:rsidRPr="000147CF">
        <w:rPr>
          <w:b/>
        </w:rPr>
        <w:t>202</w:t>
      </w:r>
      <w:r>
        <w:rPr>
          <w:b/>
        </w:rPr>
        <w:t>2</w:t>
      </w:r>
      <w:r w:rsidRPr="000147CF">
        <w:rPr>
          <w:b/>
        </w:rPr>
        <w:t xml:space="preserve"> HUD Income Limits for </w:t>
      </w:r>
      <w:r>
        <w:rPr>
          <w:b/>
        </w:rPr>
        <w:t>Randolph</w:t>
      </w:r>
      <w:r w:rsidRPr="000147CF">
        <w:rPr>
          <w:b/>
        </w:rPr>
        <w:t xml:space="preserve"> County, WV</w:t>
      </w:r>
    </w:p>
    <w:tbl>
      <w:tblPr>
        <w:tblStyle w:val="TableGrid"/>
        <w:tblW w:w="0" w:type="auto"/>
        <w:tblLook w:val="04A0" w:firstRow="1" w:lastRow="0" w:firstColumn="1" w:lastColumn="0" w:noHBand="0" w:noVBand="1"/>
      </w:tblPr>
      <w:tblGrid>
        <w:gridCol w:w="2335"/>
        <w:gridCol w:w="1753"/>
        <w:gridCol w:w="1754"/>
        <w:gridCol w:w="1754"/>
        <w:gridCol w:w="1754"/>
      </w:tblGrid>
      <w:tr w:rsidR="00185157" w14:paraId="3BC8F611" w14:textId="77777777" w:rsidTr="7DFA81C2">
        <w:tc>
          <w:tcPr>
            <w:tcW w:w="2335" w:type="dxa"/>
          </w:tcPr>
          <w:p w14:paraId="49D70D16" w14:textId="77777777" w:rsidR="00185157" w:rsidRDefault="00185157" w:rsidP="00027994">
            <w:r>
              <w:t>Income Level</w:t>
            </w:r>
          </w:p>
        </w:tc>
        <w:tc>
          <w:tcPr>
            <w:tcW w:w="1753" w:type="dxa"/>
          </w:tcPr>
          <w:p w14:paraId="5A1DE56C" w14:textId="77777777" w:rsidR="00185157" w:rsidRDefault="00185157" w:rsidP="00027994">
            <w:pPr>
              <w:jc w:val="center"/>
            </w:pPr>
            <w:r>
              <w:t>1-person</w:t>
            </w:r>
          </w:p>
        </w:tc>
        <w:tc>
          <w:tcPr>
            <w:tcW w:w="1754" w:type="dxa"/>
          </w:tcPr>
          <w:p w14:paraId="47F757AB" w14:textId="77777777" w:rsidR="00185157" w:rsidRDefault="00185157" w:rsidP="00027994">
            <w:pPr>
              <w:jc w:val="center"/>
            </w:pPr>
            <w:r>
              <w:t>2-person</w:t>
            </w:r>
          </w:p>
        </w:tc>
        <w:tc>
          <w:tcPr>
            <w:tcW w:w="1754" w:type="dxa"/>
          </w:tcPr>
          <w:p w14:paraId="76EB297D" w14:textId="77777777" w:rsidR="00185157" w:rsidRDefault="00185157" w:rsidP="00027994">
            <w:pPr>
              <w:jc w:val="center"/>
            </w:pPr>
            <w:r>
              <w:t>3-person</w:t>
            </w:r>
          </w:p>
        </w:tc>
        <w:tc>
          <w:tcPr>
            <w:tcW w:w="1754" w:type="dxa"/>
          </w:tcPr>
          <w:p w14:paraId="36A38F9B" w14:textId="77777777" w:rsidR="00185157" w:rsidRDefault="00185157" w:rsidP="00027994">
            <w:pPr>
              <w:jc w:val="center"/>
            </w:pPr>
            <w:r>
              <w:t>4-person</w:t>
            </w:r>
          </w:p>
        </w:tc>
      </w:tr>
      <w:tr w:rsidR="00185157" w14:paraId="19B23ACD" w14:textId="77777777" w:rsidTr="7DFA81C2">
        <w:tc>
          <w:tcPr>
            <w:tcW w:w="2335" w:type="dxa"/>
          </w:tcPr>
          <w:p w14:paraId="2794ABF7" w14:textId="39D2B34A" w:rsidR="00185157" w:rsidRDefault="00185157" w:rsidP="00027994">
            <w:r>
              <w:t>&lt;30%</w:t>
            </w:r>
            <w:r w:rsidR="007F4AF0">
              <w:t xml:space="preserve"> of</w:t>
            </w:r>
            <w:r>
              <w:t xml:space="preserve"> AMI </w:t>
            </w:r>
          </w:p>
          <w:p w14:paraId="0D95E8A4" w14:textId="77777777" w:rsidR="00185157" w:rsidRDefault="00185157" w:rsidP="00027994">
            <w:r>
              <w:t>(</w:t>
            </w:r>
            <w:bookmarkStart w:id="33" w:name="_Int_hzl4tchE"/>
            <w:r>
              <w:t>extremely</w:t>
            </w:r>
            <w:bookmarkEnd w:id="33"/>
            <w:r>
              <w:t xml:space="preserve"> low income)</w:t>
            </w:r>
          </w:p>
        </w:tc>
        <w:tc>
          <w:tcPr>
            <w:tcW w:w="1753" w:type="dxa"/>
            <w:vAlign w:val="center"/>
          </w:tcPr>
          <w:p w14:paraId="4B0AA11C" w14:textId="77777777" w:rsidR="00185157" w:rsidRDefault="00185157" w:rsidP="00027994">
            <w:pPr>
              <w:jc w:val="center"/>
            </w:pPr>
            <w:r>
              <w:t>$339</w:t>
            </w:r>
          </w:p>
        </w:tc>
        <w:tc>
          <w:tcPr>
            <w:tcW w:w="1754" w:type="dxa"/>
            <w:vAlign w:val="center"/>
          </w:tcPr>
          <w:p w14:paraId="71D39E96" w14:textId="77777777" w:rsidR="00185157" w:rsidRDefault="00185157" w:rsidP="00027994">
            <w:pPr>
              <w:jc w:val="center"/>
            </w:pPr>
            <w:r>
              <w:t>$453</w:t>
            </w:r>
          </w:p>
        </w:tc>
        <w:tc>
          <w:tcPr>
            <w:tcW w:w="1754" w:type="dxa"/>
            <w:vAlign w:val="center"/>
          </w:tcPr>
          <w:p w14:paraId="5E77E484" w14:textId="77777777" w:rsidR="00185157" w:rsidRDefault="00185157" w:rsidP="00027994">
            <w:pPr>
              <w:jc w:val="center"/>
            </w:pPr>
            <w:r>
              <w:t>$500</w:t>
            </w:r>
          </w:p>
        </w:tc>
        <w:tc>
          <w:tcPr>
            <w:tcW w:w="1754" w:type="dxa"/>
            <w:shd w:val="clear" w:color="auto" w:fill="FFE599" w:themeFill="accent4" w:themeFillTint="66"/>
            <w:vAlign w:val="center"/>
          </w:tcPr>
          <w:p w14:paraId="388677E4" w14:textId="77777777" w:rsidR="00185157" w:rsidRDefault="00185157" w:rsidP="00027994">
            <w:pPr>
              <w:jc w:val="center"/>
            </w:pPr>
            <w:r>
              <w:t>$693</w:t>
            </w:r>
          </w:p>
        </w:tc>
      </w:tr>
      <w:tr w:rsidR="00185157" w14:paraId="240C5361" w14:textId="77777777" w:rsidTr="7DFA81C2">
        <w:tc>
          <w:tcPr>
            <w:tcW w:w="2335" w:type="dxa"/>
          </w:tcPr>
          <w:p w14:paraId="65867D32" w14:textId="00D27517" w:rsidR="00185157" w:rsidRDefault="00185157" w:rsidP="00027994">
            <w:r>
              <w:t>30</w:t>
            </w:r>
            <w:r w:rsidR="007F4AF0">
              <w:t>–</w:t>
            </w:r>
            <w:r>
              <w:t xml:space="preserve">50% of AMI </w:t>
            </w:r>
          </w:p>
          <w:p w14:paraId="737DE63D" w14:textId="77777777" w:rsidR="00185157" w:rsidRDefault="00185157" w:rsidP="00027994">
            <w:r>
              <w:t>(</w:t>
            </w:r>
            <w:bookmarkStart w:id="34" w:name="_Int_9inci3dS"/>
            <w:r>
              <w:t>very</w:t>
            </w:r>
            <w:bookmarkEnd w:id="34"/>
            <w:r>
              <w:t xml:space="preserve"> low income)</w:t>
            </w:r>
          </w:p>
        </w:tc>
        <w:tc>
          <w:tcPr>
            <w:tcW w:w="1753" w:type="dxa"/>
            <w:vAlign w:val="center"/>
          </w:tcPr>
          <w:p w14:paraId="3FF6B4C3" w14:textId="77777777" w:rsidR="00185157" w:rsidRDefault="00185157" w:rsidP="00027994">
            <w:pPr>
              <w:jc w:val="center"/>
            </w:pPr>
            <w:r>
              <w:t>$551</w:t>
            </w:r>
          </w:p>
        </w:tc>
        <w:tc>
          <w:tcPr>
            <w:tcW w:w="1754" w:type="dxa"/>
            <w:shd w:val="clear" w:color="auto" w:fill="FFE599" w:themeFill="accent4" w:themeFillTint="66"/>
            <w:vAlign w:val="center"/>
          </w:tcPr>
          <w:p w14:paraId="76816764" w14:textId="77777777" w:rsidR="00185157" w:rsidRDefault="00185157" w:rsidP="00027994">
            <w:pPr>
              <w:jc w:val="center"/>
            </w:pPr>
            <w:r>
              <w:t>$630</w:t>
            </w:r>
          </w:p>
        </w:tc>
        <w:tc>
          <w:tcPr>
            <w:tcW w:w="1754" w:type="dxa"/>
            <w:shd w:val="clear" w:color="auto" w:fill="FFE599" w:themeFill="accent4" w:themeFillTint="66"/>
            <w:vAlign w:val="center"/>
          </w:tcPr>
          <w:p w14:paraId="5D685D44" w14:textId="77777777" w:rsidR="00185157" w:rsidRDefault="00185157" w:rsidP="00027994">
            <w:pPr>
              <w:jc w:val="center"/>
            </w:pPr>
            <w:r>
              <w:t>$708</w:t>
            </w:r>
          </w:p>
        </w:tc>
        <w:tc>
          <w:tcPr>
            <w:tcW w:w="1754" w:type="dxa"/>
            <w:shd w:val="clear" w:color="auto" w:fill="FFE599" w:themeFill="accent4" w:themeFillTint="66"/>
            <w:vAlign w:val="center"/>
          </w:tcPr>
          <w:p w14:paraId="07CECFF3" w14:textId="77777777" w:rsidR="00185157" w:rsidRDefault="00185157" w:rsidP="00027994">
            <w:pPr>
              <w:jc w:val="center"/>
            </w:pPr>
            <w:r>
              <w:t>$786</w:t>
            </w:r>
          </w:p>
        </w:tc>
      </w:tr>
      <w:tr w:rsidR="00185157" w14:paraId="2885E06B" w14:textId="77777777" w:rsidTr="7DFA81C2">
        <w:tc>
          <w:tcPr>
            <w:tcW w:w="2335" w:type="dxa"/>
          </w:tcPr>
          <w:p w14:paraId="07E76943" w14:textId="24E29DD7" w:rsidR="00185157" w:rsidRDefault="00185157" w:rsidP="00027994">
            <w:r>
              <w:t>50</w:t>
            </w:r>
            <w:r w:rsidR="007F4AF0">
              <w:t>–</w:t>
            </w:r>
            <w:r>
              <w:t xml:space="preserve">80% of AMI </w:t>
            </w:r>
          </w:p>
          <w:p w14:paraId="53BDEB95" w14:textId="77777777" w:rsidR="00185157" w:rsidRDefault="00185157" w:rsidP="00027994">
            <w:r>
              <w:t>(</w:t>
            </w:r>
            <w:bookmarkStart w:id="35" w:name="_Int_OmWMY2EZ"/>
            <w:r>
              <w:t>low</w:t>
            </w:r>
            <w:bookmarkEnd w:id="35"/>
            <w:r>
              <w:t xml:space="preserve"> income)</w:t>
            </w:r>
          </w:p>
        </w:tc>
        <w:tc>
          <w:tcPr>
            <w:tcW w:w="1753" w:type="dxa"/>
            <w:shd w:val="clear" w:color="auto" w:fill="FFE599" w:themeFill="accent4" w:themeFillTint="66"/>
            <w:vAlign w:val="center"/>
          </w:tcPr>
          <w:p w14:paraId="38038E78" w14:textId="77777777" w:rsidR="00185157" w:rsidRDefault="00185157" w:rsidP="00027994">
            <w:pPr>
              <w:jc w:val="center"/>
            </w:pPr>
            <w:r>
              <w:t>$881</w:t>
            </w:r>
          </w:p>
        </w:tc>
        <w:tc>
          <w:tcPr>
            <w:tcW w:w="1754" w:type="dxa"/>
            <w:shd w:val="clear" w:color="auto" w:fill="FFE599" w:themeFill="accent4" w:themeFillTint="66"/>
            <w:vAlign w:val="center"/>
          </w:tcPr>
          <w:p w14:paraId="7B7D552D" w14:textId="77777777" w:rsidR="00185157" w:rsidRDefault="00185157" w:rsidP="00027994">
            <w:pPr>
              <w:jc w:val="center"/>
            </w:pPr>
            <w:r>
              <w:t>$1,006</w:t>
            </w:r>
          </w:p>
        </w:tc>
        <w:tc>
          <w:tcPr>
            <w:tcW w:w="1754" w:type="dxa"/>
            <w:shd w:val="clear" w:color="auto" w:fill="FFE599" w:themeFill="accent4" w:themeFillTint="66"/>
            <w:vAlign w:val="center"/>
          </w:tcPr>
          <w:p w14:paraId="12399969" w14:textId="77777777" w:rsidR="00185157" w:rsidRDefault="00185157" w:rsidP="00027994">
            <w:pPr>
              <w:jc w:val="center"/>
            </w:pPr>
            <w:r>
              <w:t>$1,132</w:t>
            </w:r>
          </w:p>
        </w:tc>
        <w:tc>
          <w:tcPr>
            <w:tcW w:w="1754" w:type="dxa"/>
            <w:shd w:val="clear" w:color="auto" w:fill="FFE599" w:themeFill="accent4" w:themeFillTint="66"/>
            <w:vAlign w:val="center"/>
          </w:tcPr>
          <w:p w14:paraId="46BF0093" w14:textId="77777777" w:rsidR="00185157" w:rsidRDefault="00185157" w:rsidP="00027994">
            <w:pPr>
              <w:jc w:val="center"/>
            </w:pPr>
            <w:r>
              <w:t>$1257</w:t>
            </w:r>
          </w:p>
        </w:tc>
      </w:tr>
    </w:tbl>
    <w:p w14:paraId="6EAF873A" w14:textId="1A38AE8E" w:rsidR="00655BE3" w:rsidRDefault="00655BE3" w:rsidP="007F4AF0">
      <w:pPr>
        <w:pStyle w:val="Heading1"/>
      </w:pPr>
      <w:bookmarkStart w:id="36" w:name="_Toc120703910"/>
      <w:bookmarkEnd w:id="31"/>
      <w:r>
        <w:lastRenderedPageBreak/>
        <w:t>Other Vulnerable Populations</w:t>
      </w:r>
      <w:bookmarkEnd w:id="36"/>
    </w:p>
    <w:p w14:paraId="047EFB1E" w14:textId="7657B040" w:rsidR="000E52D4" w:rsidRDefault="00D97116" w:rsidP="00655BE3">
      <w:pPr>
        <w:rPr>
          <w:lang w:eastAsia="en-US"/>
        </w:rPr>
      </w:pPr>
      <w:r w:rsidRPr="4C6DF855">
        <w:rPr>
          <w:lang w:eastAsia="en-US"/>
        </w:rPr>
        <w:t xml:space="preserve">According to the Code of Federal Regulations 91.5, </w:t>
      </w:r>
      <w:r w:rsidR="00917BF0">
        <w:rPr>
          <w:lang w:eastAsia="en-US"/>
        </w:rPr>
        <w:t xml:space="preserve">an individual or family </w:t>
      </w:r>
      <w:r w:rsidR="04DC2B61" w:rsidRPr="4C6DF855">
        <w:rPr>
          <w:lang w:eastAsia="en-US"/>
        </w:rPr>
        <w:t>“</w:t>
      </w:r>
      <w:r w:rsidRPr="4C6DF855">
        <w:rPr>
          <w:lang w:eastAsia="en-US"/>
        </w:rPr>
        <w:t>at-risk of homelessness</w:t>
      </w:r>
      <w:r w:rsidR="545A9F17" w:rsidRPr="4C6DF855">
        <w:rPr>
          <w:lang w:eastAsia="en-US"/>
        </w:rPr>
        <w:t>”</w:t>
      </w:r>
      <w:r w:rsidRPr="4C6DF855">
        <w:rPr>
          <w:lang w:eastAsia="en-US"/>
        </w:rPr>
        <w:t xml:space="preserve"> has an annual income below 30 percent of </w:t>
      </w:r>
      <w:r w:rsidR="004A3E8C">
        <w:rPr>
          <w:lang w:eastAsia="en-US"/>
        </w:rPr>
        <w:t>HUD Area Family Median Income (HAMFI)</w:t>
      </w:r>
      <w:r w:rsidRPr="4C6DF855">
        <w:rPr>
          <w:lang w:eastAsia="en-US"/>
        </w:rPr>
        <w:t>.</w:t>
      </w:r>
      <w:r w:rsidR="00CA1300" w:rsidRPr="4C6DF855">
        <w:rPr>
          <w:lang w:eastAsia="en-US"/>
        </w:rPr>
        <w:t xml:space="preserve"> </w:t>
      </w:r>
      <w:r w:rsidR="00917BF0">
        <w:rPr>
          <w:lang w:eastAsia="en-US"/>
        </w:rPr>
        <w:t>In Randolph County</w:t>
      </w:r>
      <w:r w:rsidR="004A3E8C">
        <w:rPr>
          <w:lang w:eastAsia="en-US"/>
        </w:rPr>
        <w:t>,</w:t>
      </w:r>
      <w:r w:rsidR="00917BF0">
        <w:rPr>
          <w:lang w:eastAsia="en-US"/>
        </w:rPr>
        <w:t xml:space="preserve"> </w:t>
      </w:r>
      <w:r w:rsidR="00CA1300" w:rsidRPr="4C6DF855">
        <w:rPr>
          <w:lang w:eastAsia="en-US"/>
        </w:rPr>
        <w:t>1,430 households have an income of less than 30</w:t>
      </w:r>
      <w:r w:rsidR="00917BF0">
        <w:rPr>
          <w:lang w:eastAsia="en-US"/>
        </w:rPr>
        <w:t xml:space="preserve"> percent</w:t>
      </w:r>
      <w:r w:rsidR="00CA1300" w:rsidRPr="4C6DF855">
        <w:rPr>
          <w:lang w:eastAsia="en-US"/>
        </w:rPr>
        <w:t xml:space="preserve"> of the AMI.</w:t>
      </w:r>
      <w:r w:rsidR="004F2A6D" w:rsidRPr="4C6DF855">
        <w:rPr>
          <w:lang w:eastAsia="en-US"/>
        </w:rPr>
        <w:t xml:space="preserve"> Among extremely low-income households, </w:t>
      </w:r>
      <w:r w:rsidR="006A4E02" w:rsidRPr="4C6DF855">
        <w:rPr>
          <w:lang w:eastAsia="en-US"/>
        </w:rPr>
        <w:t xml:space="preserve">995 </w:t>
      </w:r>
      <w:r w:rsidR="00917BF0" w:rsidRPr="4C6DF855">
        <w:rPr>
          <w:lang w:eastAsia="en-US"/>
        </w:rPr>
        <w:t xml:space="preserve">and 760 households </w:t>
      </w:r>
      <w:r w:rsidR="006A4E02" w:rsidRPr="4C6DF855">
        <w:rPr>
          <w:lang w:eastAsia="en-US"/>
        </w:rPr>
        <w:t>spend more than 30</w:t>
      </w:r>
      <w:r w:rsidR="00917BF0">
        <w:rPr>
          <w:lang w:eastAsia="en-US"/>
        </w:rPr>
        <w:t xml:space="preserve"> percent</w:t>
      </w:r>
      <w:r w:rsidR="00917BF0" w:rsidRPr="4C6DF855">
        <w:rPr>
          <w:lang w:eastAsia="en-US"/>
        </w:rPr>
        <w:t xml:space="preserve"> </w:t>
      </w:r>
      <w:r w:rsidR="00917BF0">
        <w:rPr>
          <w:lang w:eastAsia="en-US"/>
        </w:rPr>
        <w:t xml:space="preserve">and 50 percent </w:t>
      </w:r>
      <w:r w:rsidR="006A4E02" w:rsidRPr="4C6DF855">
        <w:rPr>
          <w:lang w:eastAsia="en-US"/>
        </w:rPr>
        <w:t>of their income on housing</w:t>
      </w:r>
      <w:r w:rsidR="00917BF0">
        <w:rPr>
          <w:lang w:eastAsia="en-US"/>
        </w:rPr>
        <w:t>, respectively</w:t>
      </w:r>
      <w:r w:rsidR="006A4E02" w:rsidRPr="4C6DF855">
        <w:rPr>
          <w:lang w:eastAsia="en-US"/>
        </w:rPr>
        <w:t>.</w:t>
      </w:r>
      <w:r w:rsidR="002E3D25" w:rsidRPr="4C6DF855">
        <w:rPr>
          <w:lang w:eastAsia="en-US"/>
        </w:rPr>
        <w:t xml:space="preserve"> The</w:t>
      </w:r>
      <w:r w:rsidR="00917BF0">
        <w:rPr>
          <w:lang w:eastAsia="en-US"/>
        </w:rPr>
        <w:t>se households</w:t>
      </w:r>
      <w:r w:rsidR="002E3D25" w:rsidRPr="4C6DF855">
        <w:rPr>
          <w:lang w:eastAsia="en-US"/>
        </w:rPr>
        <w:t xml:space="preserve"> are vulnerable to changes in the external environment, such as the COVID-19 pandemic.</w:t>
      </w:r>
    </w:p>
    <w:p w14:paraId="3C2C8753" w14:textId="30F97625" w:rsidR="002636C1" w:rsidRDefault="00FB6F33" w:rsidP="00D00A42">
      <w:pPr>
        <w:spacing w:after="0"/>
        <w:rPr>
          <w:b/>
        </w:rPr>
      </w:pPr>
      <w:r>
        <w:rPr>
          <w:b/>
        </w:rPr>
        <w:t xml:space="preserve">Table </w:t>
      </w:r>
      <w:r w:rsidR="00DE4F9F">
        <w:rPr>
          <w:b/>
        </w:rPr>
        <w:t>8</w:t>
      </w:r>
      <w:r w:rsidR="00D00A42">
        <w:rPr>
          <w:b/>
        </w:rPr>
        <w:t>. Number of Households by Income Level</w:t>
      </w:r>
    </w:p>
    <w:p w14:paraId="6D36399D" w14:textId="482D91BB" w:rsidR="00896989" w:rsidRPr="00896989" w:rsidRDefault="00896989" w:rsidP="00896989">
      <w:r>
        <w:t xml:space="preserve">Source: </w:t>
      </w:r>
      <w:r w:rsidRPr="00383996">
        <w:t xml:space="preserve">VCHR </w:t>
      </w:r>
      <w:r w:rsidR="00DB4368">
        <w:t>T</w:t>
      </w:r>
      <w:r w:rsidR="00DB4368" w:rsidRPr="00383996">
        <w:t xml:space="preserve">abulation </w:t>
      </w:r>
      <w:r w:rsidRPr="00383996">
        <w:t>of 2014</w:t>
      </w:r>
      <w:r w:rsidR="004A3E8C">
        <w:t>–</w:t>
      </w:r>
      <w:r w:rsidRPr="00383996">
        <w:t xml:space="preserve">2018 CHAS </w:t>
      </w:r>
      <w:r w:rsidR="00DB4368">
        <w:t>D</w:t>
      </w:r>
      <w:r w:rsidR="00DB4368" w:rsidRPr="00383996">
        <w:t>ata</w:t>
      </w:r>
    </w:p>
    <w:tbl>
      <w:tblPr>
        <w:tblW w:w="9248" w:type="dxa"/>
        <w:tblLook w:val="04A0" w:firstRow="1" w:lastRow="0" w:firstColumn="1" w:lastColumn="0" w:noHBand="0" w:noVBand="1"/>
      </w:tblPr>
      <w:tblGrid>
        <w:gridCol w:w="1450"/>
        <w:gridCol w:w="1587"/>
        <w:gridCol w:w="1587"/>
        <w:gridCol w:w="1587"/>
        <w:gridCol w:w="1587"/>
        <w:gridCol w:w="1450"/>
      </w:tblGrid>
      <w:tr w:rsidR="002636C1" w:rsidRPr="005E5798" w14:paraId="08D98452" w14:textId="77777777" w:rsidTr="002636C1">
        <w:trPr>
          <w:trHeight w:val="277"/>
        </w:trPr>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01EDF8" w14:textId="77777777" w:rsidR="002636C1" w:rsidRPr="005E5798" w:rsidRDefault="002636C1" w:rsidP="002636C1">
            <w:pPr>
              <w:spacing w:after="0" w:line="240" w:lineRule="auto"/>
              <w:rPr>
                <w:rFonts w:eastAsia="Times New Roman" w:cstheme="minorHAnsi"/>
                <w:color w:val="000000"/>
              </w:rPr>
            </w:pPr>
            <w:r w:rsidRPr="005E5798">
              <w:rPr>
                <w:rFonts w:eastAsia="Times New Roman" w:cstheme="minorHAnsi"/>
                <w:color w:val="000000"/>
              </w:rPr>
              <w:t> </w:t>
            </w:r>
          </w:p>
        </w:tc>
        <w:tc>
          <w:tcPr>
            <w:tcW w:w="1587" w:type="dxa"/>
            <w:tcBorders>
              <w:top w:val="single" w:sz="4" w:space="0" w:color="auto"/>
              <w:left w:val="nil"/>
              <w:bottom w:val="single" w:sz="4" w:space="0" w:color="auto"/>
              <w:right w:val="single" w:sz="4" w:space="0" w:color="auto"/>
            </w:tcBorders>
            <w:shd w:val="clear" w:color="auto" w:fill="auto"/>
            <w:noWrap/>
            <w:vAlign w:val="bottom"/>
            <w:hideMark/>
          </w:tcPr>
          <w:p w14:paraId="2C13276D" w14:textId="77777777" w:rsidR="002636C1" w:rsidRPr="005E5798" w:rsidRDefault="002636C1" w:rsidP="002636C1">
            <w:pPr>
              <w:spacing w:after="0" w:line="240" w:lineRule="auto"/>
              <w:rPr>
                <w:rFonts w:eastAsia="Times New Roman" w:cstheme="minorHAnsi"/>
                <w:color w:val="000000"/>
              </w:rPr>
            </w:pPr>
            <w:r w:rsidRPr="005E5798">
              <w:rPr>
                <w:rFonts w:eastAsia="Times New Roman" w:cstheme="minorHAnsi"/>
                <w:color w:val="000000"/>
              </w:rPr>
              <w:t>&lt;30% of HAMFI</w:t>
            </w:r>
          </w:p>
        </w:tc>
        <w:tc>
          <w:tcPr>
            <w:tcW w:w="1587" w:type="dxa"/>
            <w:tcBorders>
              <w:top w:val="single" w:sz="4" w:space="0" w:color="auto"/>
              <w:left w:val="nil"/>
              <w:bottom w:val="single" w:sz="4" w:space="0" w:color="auto"/>
              <w:right w:val="single" w:sz="4" w:space="0" w:color="auto"/>
            </w:tcBorders>
            <w:shd w:val="clear" w:color="auto" w:fill="auto"/>
            <w:noWrap/>
            <w:vAlign w:val="bottom"/>
            <w:hideMark/>
          </w:tcPr>
          <w:p w14:paraId="75DC3C76" w14:textId="77777777" w:rsidR="002636C1" w:rsidRPr="005E5798" w:rsidRDefault="002636C1" w:rsidP="002636C1">
            <w:pPr>
              <w:spacing w:after="0" w:line="240" w:lineRule="auto"/>
              <w:rPr>
                <w:rFonts w:eastAsia="Times New Roman" w:cstheme="minorHAnsi"/>
                <w:color w:val="000000"/>
              </w:rPr>
            </w:pPr>
            <w:r w:rsidRPr="005E5798">
              <w:rPr>
                <w:rFonts w:eastAsia="Times New Roman" w:cstheme="minorHAnsi"/>
                <w:color w:val="000000"/>
              </w:rPr>
              <w:t>30–50% of HAMFI</w:t>
            </w:r>
          </w:p>
        </w:tc>
        <w:tc>
          <w:tcPr>
            <w:tcW w:w="1587" w:type="dxa"/>
            <w:tcBorders>
              <w:top w:val="single" w:sz="4" w:space="0" w:color="auto"/>
              <w:left w:val="nil"/>
              <w:bottom w:val="single" w:sz="4" w:space="0" w:color="auto"/>
              <w:right w:val="single" w:sz="4" w:space="0" w:color="auto"/>
            </w:tcBorders>
            <w:shd w:val="clear" w:color="auto" w:fill="auto"/>
            <w:noWrap/>
            <w:vAlign w:val="bottom"/>
            <w:hideMark/>
          </w:tcPr>
          <w:p w14:paraId="1D088018" w14:textId="77777777" w:rsidR="002636C1" w:rsidRPr="005E5798" w:rsidRDefault="002636C1" w:rsidP="002636C1">
            <w:pPr>
              <w:spacing w:after="0" w:line="240" w:lineRule="auto"/>
              <w:rPr>
                <w:rFonts w:eastAsia="Times New Roman" w:cstheme="minorHAnsi"/>
                <w:color w:val="000000"/>
              </w:rPr>
            </w:pPr>
            <w:r w:rsidRPr="005E5798">
              <w:rPr>
                <w:rFonts w:eastAsia="Times New Roman" w:cstheme="minorHAnsi"/>
                <w:color w:val="000000"/>
              </w:rPr>
              <w:t>50–80% of HAMFI</w:t>
            </w:r>
          </w:p>
        </w:tc>
        <w:tc>
          <w:tcPr>
            <w:tcW w:w="1587" w:type="dxa"/>
            <w:tcBorders>
              <w:top w:val="single" w:sz="4" w:space="0" w:color="auto"/>
              <w:left w:val="nil"/>
              <w:bottom w:val="single" w:sz="4" w:space="0" w:color="auto"/>
              <w:right w:val="single" w:sz="4" w:space="0" w:color="auto"/>
            </w:tcBorders>
            <w:shd w:val="clear" w:color="auto" w:fill="auto"/>
            <w:noWrap/>
            <w:vAlign w:val="bottom"/>
            <w:hideMark/>
          </w:tcPr>
          <w:p w14:paraId="6A26CAB2" w14:textId="77777777" w:rsidR="002636C1" w:rsidRPr="005E5798" w:rsidRDefault="002636C1" w:rsidP="002636C1">
            <w:pPr>
              <w:spacing w:after="0" w:line="240" w:lineRule="auto"/>
              <w:rPr>
                <w:rFonts w:eastAsia="Times New Roman" w:cstheme="minorHAnsi"/>
                <w:color w:val="000000"/>
              </w:rPr>
            </w:pPr>
            <w:r w:rsidRPr="005E5798">
              <w:rPr>
                <w:rFonts w:eastAsia="Times New Roman" w:cstheme="minorHAnsi"/>
                <w:color w:val="000000"/>
              </w:rPr>
              <w:t>80–100% of HAMFI</w:t>
            </w:r>
          </w:p>
        </w:tc>
        <w:tc>
          <w:tcPr>
            <w:tcW w:w="1450" w:type="dxa"/>
            <w:tcBorders>
              <w:top w:val="single" w:sz="4" w:space="0" w:color="auto"/>
              <w:left w:val="nil"/>
              <w:bottom w:val="single" w:sz="4" w:space="0" w:color="auto"/>
              <w:right w:val="single" w:sz="4" w:space="0" w:color="auto"/>
            </w:tcBorders>
            <w:shd w:val="clear" w:color="auto" w:fill="auto"/>
            <w:noWrap/>
            <w:vAlign w:val="bottom"/>
            <w:hideMark/>
          </w:tcPr>
          <w:p w14:paraId="6D3AEE6C" w14:textId="77777777" w:rsidR="002636C1" w:rsidRPr="005E5798" w:rsidRDefault="002636C1" w:rsidP="002636C1">
            <w:pPr>
              <w:spacing w:after="0" w:line="240" w:lineRule="auto"/>
              <w:rPr>
                <w:rFonts w:eastAsia="Times New Roman" w:cstheme="minorHAnsi"/>
                <w:color w:val="000000"/>
              </w:rPr>
            </w:pPr>
            <w:r w:rsidRPr="005E5798">
              <w:rPr>
                <w:rFonts w:eastAsia="Times New Roman" w:cstheme="minorHAnsi"/>
                <w:color w:val="000000"/>
              </w:rPr>
              <w:t>&gt;100% of HAMFI</w:t>
            </w:r>
          </w:p>
        </w:tc>
      </w:tr>
      <w:tr w:rsidR="00DD75B6" w:rsidRPr="005E5798" w14:paraId="47DC7FBC" w14:textId="77777777" w:rsidTr="002636C1">
        <w:trPr>
          <w:trHeight w:val="277"/>
        </w:trPr>
        <w:tc>
          <w:tcPr>
            <w:tcW w:w="1450" w:type="dxa"/>
            <w:tcBorders>
              <w:top w:val="nil"/>
              <w:left w:val="single" w:sz="4" w:space="0" w:color="auto"/>
              <w:bottom w:val="single" w:sz="4" w:space="0" w:color="auto"/>
              <w:right w:val="single" w:sz="4" w:space="0" w:color="auto"/>
            </w:tcBorders>
            <w:shd w:val="clear" w:color="auto" w:fill="auto"/>
            <w:noWrap/>
            <w:vAlign w:val="bottom"/>
            <w:hideMark/>
          </w:tcPr>
          <w:p w14:paraId="1BB60499" w14:textId="77777777" w:rsidR="00DD75B6" w:rsidRPr="005E5798" w:rsidRDefault="00DD75B6" w:rsidP="00DD75B6">
            <w:pPr>
              <w:spacing w:after="0" w:line="240" w:lineRule="auto"/>
              <w:rPr>
                <w:rFonts w:eastAsia="Times New Roman" w:cstheme="minorHAnsi"/>
                <w:color w:val="000000"/>
              </w:rPr>
            </w:pPr>
            <w:r w:rsidRPr="005E5798">
              <w:rPr>
                <w:rFonts w:eastAsia="Times New Roman" w:cstheme="minorHAnsi"/>
                <w:color w:val="000000"/>
              </w:rPr>
              <w:t>Owner</w:t>
            </w:r>
          </w:p>
        </w:tc>
        <w:tc>
          <w:tcPr>
            <w:tcW w:w="1587" w:type="dxa"/>
            <w:tcBorders>
              <w:top w:val="nil"/>
              <w:left w:val="nil"/>
              <w:bottom w:val="single" w:sz="4" w:space="0" w:color="auto"/>
              <w:right w:val="single" w:sz="4" w:space="0" w:color="auto"/>
            </w:tcBorders>
            <w:shd w:val="clear" w:color="auto" w:fill="auto"/>
            <w:noWrap/>
            <w:vAlign w:val="bottom"/>
            <w:hideMark/>
          </w:tcPr>
          <w:p w14:paraId="30DB2E03" w14:textId="6E8103FD"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[476,794]</w:t>
            </w:r>
          </w:p>
        </w:tc>
        <w:tc>
          <w:tcPr>
            <w:tcW w:w="1587" w:type="dxa"/>
            <w:tcBorders>
              <w:top w:val="nil"/>
              <w:left w:val="nil"/>
              <w:bottom w:val="single" w:sz="4" w:space="0" w:color="auto"/>
              <w:right w:val="single" w:sz="4" w:space="0" w:color="auto"/>
            </w:tcBorders>
            <w:shd w:val="clear" w:color="auto" w:fill="auto"/>
            <w:noWrap/>
            <w:vAlign w:val="bottom"/>
            <w:hideMark/>
          </w:tcPr>
          <w:p w14:paraId="6380E70E" w14:textId="478A0CD7"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790</w:t>
            </w:r>
          </w:p>
        </w:tc>
        <w:tc>
          <w:tcPr>
            <w:tcW w:w="1587" w:type="dxa"/>
            <w:tcBorders>
              <w:top w:val="nil"/>
              <w:left w:val="nil"/>
              <w:bottom w:val="single" w:sz="4" w:space="0" w:color="auto"/>
              <w:right w:val="single" w:sz="4" w:space="0" w:color="auto"/>
            </w:tcBorders>
            <w:shd w:val="clear" w:color="auto" w:fill="auto"/>
            <w:noWrap/>
            <w:vAlign w:val="bottom"/>
            <w:hideMark/>
          </w:tcPr>
          <w:p w14:paraId="632CE63D" w14:textId="36C2BE2A"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1,270</w:t>
            </w:r>
          </w:p>
        </w:tc>
        <w:tc>
          <w:tcPr>
            <w:tcW w:w="1587" w:type="dxa"/>
            <w:tcBorders>
              <w:top w:val="nil"/>
              <w:left w:val="nil"/>
              <w:bottom w:val="single" w:sz="4" w:space="0" w:color="auto"/>
              <w:right w:val="single" w:sz="4" w:space="0" w:color="auto"/>
            </w:tcBorders>
            <w:shd w:val="clear" w:color="auto" w:fill="auto"/>
            <w:noWrap/>
            <w:vAlign w:val="bottom"/>
            <w:hideMark/>
          </w:tcPr>
          <w:p w14:paraId="4C89B06A" w14:textId="4BED3B14"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[473,797]</w:t>
            </w:r>
          </w:p>
        </w:tc>
        <w:tc>
          <w:tcPr>
            <w:tcW w:w="1450" w:type="dxa"/>
            <w:tcBorders>
              <w:top w:val="nil"/>
              <w:left w:val="nil"/>
              <w:bottom w:val="single" w:sz="4" w:space="0" w:color="auto"/>
              <w:right w:val="single" w:sz="4" w:space="0" w:color="auto"/>
            </w:tcBorders>
            <w:shd w:val="clear" w:color="auto" w:fill="auto"/>
            <w:noWrap/>
            <w:vAlign w:val="bottom"/>
            <w:hideMark/>
          </w:tcPr>
          <w:p w14:paraId="5941AED1" w14:textId="10B5A72A"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4,600</w:t>
            </w:r>
          </w:p>
        </w:tc>
      </w:tr>
      <w:tr w:rsidR="00DD75B6" w:rsidRPr="005E5798" w14:paraId="564EB718" w14:textId="77777777" w:rsidTr="002636C1">
        <w:trPr>
          <w:trHeight w:val="277"/>
        </w:trPr>
        <w:tc>
          <w:tcPr>
            <w:tcW w:w="1450" w:type="dxa"/>
            <w:tcBorders>
              <w:top w:val="nil"/>
              <w:left w:val="single" w:sz="4" w:space="0" w:color="auto"/>
              <w:bottom w:val="single" w:sz="4" w:space="0" w:color="auto"/>
              <w:right w:val="single" w:sz="4" w:space="0" w:color="auto"/>
            </w:tcBorders>
            <w:shd w:val="clear" w:color="auto" w:fill="auto"/>
            <w:noWrap/>
            <w:vAlign w:val="bottom"/>
            <w:hideMark/>
          </w:tcPr>
          <w:p w14:paraId="711D3A24" w14:textId="77777777" w:rsidR="00DD75B6" w:rsidRPr="005E5798" w:rsidRDefault="00DD75B6" w:rsidP="00DD75B6">
            <w:pPr>
              <w:spacing w:after="0" w:line="240" w:lineRule="auto"/>
              <w:rPr>
                <w:rFonts w:eastAsia="Times New Roman" w:cstheme="minorHAnsi"/>
                <w:color w:val="000000"/>
              </w:rPr>
            </w:pPr>
            <w:r w:rsidRPr="005E5798">
              <w:rPr>
                <w:rFonts w:eastAsia="Times New Roman" w:cstheme="minorHAnsi"/>
                <w:color w:val="000000"/>
              </w:rPr>
              <w:t>Renter</w:t>
            </w:r>
          </w:p>
        </w:tc>
        <w:tc>
          <w:tcPr>
            <w:tcW w:w="1587" w:type="dxa"/>
            <w:tcBorders>
              <w:top w:val="nil"/>
              <w:left w:val="nil"/>
              <w:bottom w:val="single" w:sz="4" w:space="0" w:color="auto"/>
              <w:right w:val="single" w:sz="4" w:space="0" w:color="auto"/>
            </w:tcBorders>
            <w:shd w:val="clear" w:color="auto" w:fill="auto"/>
            <w:noWrap/>
            <w:vAlign w:val="bottom"/>
            <w:hideMark/>
          </w:tcPr>
          <w:p w14:paraId="094C7809" w14:textId="18E4A97F"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795</w:t>
            </w:r>
          </w:p>
        </w:tc>
        <w:tc>
          <w:tcPr>
            <w:tcW w:w="1587" w:type="dxa"/>
            <w:tcBorders>
              <w:top w:val="nil"/>
              <w:left w:val="nil"/>
              <w:bottom w:val="single" w:sz="4" w:space="0" w:color="auto"/>
              <w:right w:val="single" w:sz="4" w:space="0" w:color="auto"/>
            </w:tcBorders>
            <w:shd w:val="clear" w:color="auto" w:fill="auto"/>
            <w:noWrap/>
            <w:vAlign w:val="bottom"/>
            <w:hideMark/>
          </w:tcPr>
          <w:p w14:paraId="55A5959C" w14:textId="1DBB2438"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[382,658]</w:t>
            </w:r>
          </w:p>
        </w:tc>
        <w:tc>
          <w:tcPr>
            <w:tcW w:w="1587" w:type="dxa"/>
            <w:tcBorders>
              <w:top w:val="nil"/>
              <w:left w:val="nil"/>
              <w:bottom w:val="single" w:sz="4" w:space="0" w:color="auto"/>
              <w:right w:val="single" w:sz="4" w:space="0" w:color="auto"/>
            </w:tcBorders>
            <w:shd w:val="clear" w:color="auto" w:fill="auto"/>
            <w:noWrap/>
            <w:vAlign w:val="bottom"/>
            <w:hideMark/>
          </w:tcPr>
          <w:p w14:paraId="4C695F2F" w14:textId="73EAA49E"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[595,985]</w:t>
            </w:r>
          </w:p>
        </w:tc>
        <w:tc>
          <w:tcPr>
            <w:tcW w:w="1587" w:type="dxa"/>
            <w:tcBorders>
              <w:top w:val="nil"/>
              <w:left w:val="nil"/>
              <w:bottom w:val="single" w:sz="4" w:space="0" w:color="auto"/>
              <w:right w:val="single" w:sz="4" w:space="0" w:color="auto"/>
            </w:tcBorders>
            <w:shd w:val="clear" w:color="auto" w:fill="auto"/>
            <w:noWrap/>
            <w:vAlign w:val="bottom"/>
            <w:hideMark/>
          </w:tcPr>
          <w:p w14:paraId="01755BEE" w14:textId="02512FD5"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[191,459]</w:t>
            </w:r>
          </w:p>
        </w:tc>
        <w:tc>
          <w:tcPr>
            <w:tcW w:w="1450" w:type="dxa"/>
            <w:tcBorders>
              <w:top w:val="nil"/>
              <w:left w:val="nil"/>
              <w:bottom w:val="single" w:sz="4" w:space="0" w:color="auto"/>
              <w:right w:val="single" w:sz="4" w:space="0" w:color="auto"/>
            </w:tcBorders>
            <w:shd w:val="clear" w:color="auto" w:fill="auto"/>
            <w:noWrap/>
            <w:vAlign w:val="bottom"/>
            <w:hideMark/>
          </w:tcPr>
          <w:p w14:paraId="0E546260" w14:textId="6D7002E9"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900</w:t>
            </w:r>
          </w:p>
        </w:tc>
      </w:tr>
      <w:tr w:rsidR="00DD75B6" w:rsidRPr="005E5798" w14:paraId="5A114C46" w14:textId="77777777" w:rsidTr="002636C1">
        <w:trPr>
          <w:trHeight w:val="277"/>
        </w:trPr>
        <w:tc>
          <w:tcPr>
            <w:tcW w:w="1450" w:type="dxa"/>
            <w:tcBorders>
              <w:top w:val="nil"/>
              <w:left w:val="single" w:sz="4" w:space="0" w:color="auto"/>
              <w:bottom w:val="single" w:sz="4" w:space="0" w:color="auto"/>
              <w:right w:val="single" w:sz="4" w:space="0" w:color="auto"/>
            </w:tcBorders>
            <w:shd w:val="clear" w:color="auto" w:fill="auto"/>
            <w:noWrap/>
            <w:vAlign w:val="bottom"/>
            <w:hideMark/>
          </w:tcPr>
          <w:p w14:paraId="24D2FE3B" w14:textId="77777777" w:rsidR="00DD75B6" w:rsidRPr="005E5798" w:rsidRDefault="00DD75B6" w:rsidP="00DD75B6">
            <w:pPr>
              <w:spacing w:after="0" w:line="240" w:lineRule="auto"/>
              <w:rPr>
                <w:rFonts w:eastAsia="Times New Roman" w:cstheme="minorHAnsi"/>
                <w:color w:val="000000"/>
              </w:rPr>
            </w:pPr>
            <w:r w:rsidRPr="005E5798">
              <w:rPr>
                <w:rFonts w:eastAsia="Times New Roman" w:cstheme="minorHAnsi"/>
                <w:color w:val="000000"/>
              </w:rPr>
              <w:t>Total</w:t>
            </w:r>
          </w:p>
        </w:tc>
        <w:tc>
          <w:tcPr>
            <w:tcW w:w="1587" w:type="dxa"/>
            <w:tcBorders>
              <w:top w:val="nil"/>
              <w:left w:val="nil"/>
              <w:bottom w:val="single" w:sz="4" w:space="0" w:color="auto"/>
              <w:right w:val="single" w:sz="4" w:space="0" w:color="auto"/>
            </w:tcBorders>
            <w:shd w:val="clear" w:color="auto" w:fill="auto"/>
            <w:noWrap/>
            <w:vAlign w:val="bottom"/>
            <w:hideMark/>
          </w:tcPr>
          <w:p w14:paraId="4D6FEBCF" w14:textId="31FF8A23"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1,430</w:t>
            </w:r>
          </w:p>
        </w:tc>
        <w:tc>
          <w:tcPr>
            <w:tcW w:w="1587" w:type="dxa"/>
            <w:tcBorders>
              <w:top w:val="nil"/>
              <w:left w:val="nil"/>
              <w:bottom w:val="single" w:sz="4" w:space="0" w:color="auto"/>
              <w:right w:val="single" w:sz="4" w:space="0" w:color="auto"/>
            </w:tcBorders>
            <w:shd w:val="clear" w:color="auto" w:fill="auto"/>
            <w:noWrap/>
            <w:vAlign w:val="bottom"/>
            <w:hideMark/>
          </w:tcPr>
          <w:p w14:paraId="59B63DE3" w14:textId="7D3DD41F"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1,310</w:t>
            </w:r>
          </w:p>
        </w:tc>
        <w:tc>
          <w:tcPr>
            <w:tcW w:w="1587" w:type="dxa"/>
            <w:tcBorders>
              <w:top w:val="nil"/>
              <w:left w:val="nil"/>
              <w:bottom w:val="single" w:sz="4" w:space="0" w:color="auto"/>
              <w:right w:val="single" w:sz="4" w:space="0" w:color="auto"/>
            </w:tcBorders>
            <w:shd w:val="clear" w:color="auto" w:fill="auto"/>
            <w:noWrap/>
            <w:vAlign w:val="bottom"/>
            <w:hideMark/>
          </w:tcPr>
          <w:p w14:paraId="3F711790" w14:textId="35B35060"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2,060</w:t>
            </w:r>
          </w:p>
        </w:tc>
        <w:tc>
          <w:tcPr>
            <w:tcW w:w="1587" w:type="dxa"/>
            <w:tcBorders>
              <w:top w:val="nil"/>
              <w:left w:val="nil"/>
              <w:bottom w:val="single" w:sz="4" w:space="0" w:color="auto"/>
              <w:right w:val="single" w:sz="4" w:space="0" w:color="auto"/>
            </w:tcBorders>
            <w:shd w:val="clear" w:color="auto" w:fill="auto"/>
            <w:noWrap/>
            <w:vAlign w:val="bottom"/>
            <w:hideMark/>
          </w:tcPr>
          <w:p w14:paraId="70A1D0F1" w14:textId="39C945EC"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960</w:t>
            </w:r>
          </w:p>
        </w:tc>
        <w:tc>
          <w:tcPr>
            <w:tcW w:w="1450" w:type="dxa"/>
            <w:tcBorders>
              <w:top w:val="nil"/>
              <w:left w:val="nil"/>
              <w:bottom w:val="single" w:sz="4" w:space="0" w:color="auto"/>
              <w:right w:val="single" w:sz="4" w:space="0" w:color="auto"/>
            </w:tcBorders>
            <w:shd w:val="clear" w:color="auto" w:fill="auto"/>
            <w:noWrap/>
            <w:vAlign w:val="bottom"/>
            <w:hideMark/>
          </w:tcPr>
          <w:p w14:paraId="0AD9A165" w14:textId="146D30BA" w:rsidR="00DD75B6" w:rsidRPr="005E5798" w:rsidRDefault="00DD75B6" w:rsidP="00DD75B6">
            <w:pPr>
              <w:spacing w:after="0" w:line="240" w:lineRule="auto"/>
              <w:jc w:val="right"/>
              <w:rPr>
                <w:rFonts w:eastAsia="Times New Roman" w:cstheme="minorHAnsi"/>
                <w:color w:val="000000"/>
              </w:rPr>
            </w:pPr>
            <w:r w:rsidRPr="005E5798">
              <w:rPr>
                <w:rFonts w:cstheme="minorHAnsi"/>
                <w:color w:val="000000"/>
              </w:rPr>
              <w:t>5,500</w:t>
            </w:r>
          </w:p>
        </w:tc>
      </w:tr>
    </w:tbl>
    <w:p w14:paraId="689AEA87" w14:textId="77777777" w:rsidR="00C24BD0" w:rsidRDefault="00C24BD0" w:rsidP="005C50A7">
      <w:pPr>
        <w:spacing w:after="0"/>
        <w:rPr>
          <w:b/>
        </w:rPr>
      </w:pPr>
    </w:p>
    <w:p w14:paraId="0E003440" w14:textId="30364034" w:rsidR="005C50A7" w:rsidRDefault="005C50A7" w:rsidP="005C50A7">
      <w:pPr>
        <w:spacing w:after="0"/>
        <w:rPr>
          <w:b/>
        </w:rPr>
      </w:pPr>
      <w:r>
        <w:rPr>
          <w:b/>
        </w:rPr>
        <w:t xml:space="preserve">Table </w:t>
      </w:r>
      <w:r w:rsidR="00DE4F9F">
        <w:rPr>
          <w:b/>
        </w:rPr>
        <w:t>9</w:t>
      </w:r>
      <w:r>
        <w:rPr>
          <w:b/>
        </w:rPr>
        <w:t>. Number of Cost-Burden</w:t>
      </w:r>
      <w:r w:rsidR="004A3E8C">
        <w:rPr>
          <w:b/>
        </w:rPr>
        <w:t>ed</w:t>
      </w:r>
      <w:r>
        <w:rPr>
          <w:b/>
        </w:rPr>
        <w:t xml:space="preserve"> Households by Income Level</w:t>
      </w:r>
    </w:p>
    <w:p w14:paraId="02ED17C6" w14:textId="74AF608E" w:rsidR="00896989" w:rsidRPr="00896989" w:rsidRDefault="00896989" w:rsidP="00896989">
      <w:r>
        <w:t xml:space="preserve">Source: </w:t>
      </w:r>
      <w:r w:rsidRPr="00383996">
        <w:t xml:space="preserve">VCHR </w:t>
      </w:r>
      <w:r w:rsidR="00DB4368">
        <w:t>T</w:t>
      </w:r>
      <w:r w:rsidR="00DB4368" w:rsidRPr="00383996">
        <w:t xml:space="preserve">abulation </w:t>
      </w:r>
      <w:r w:rsidRPr="00383996">
        <w:t>of 2014</w:t>
      </w:r>
      <w:r w:rsidR="004A3E8C">
        <w:t>–</w:t>
      </w:r>
      <w:r w:rsidRPr="00383996">
        <w:t xml:space="preserve">2018 CHAS </w:t>
      </w:r>
      <w:r w:rsidR="00DB4368">
        <w:t>D</w:t>
      </w:r>
      <w:r w:rsidR="00DB4368" w:rsidRPr="00383996">
        <w:t>ata</w:t>
      </w:r>
    </w:p>
    <w:tbl>
      <w:tblPr>
        <w:tblW w:w="9277" w:type="dxa"/>
        <w:tblLook w:val="04A0" w:firstRow="1" w:lastRow="0" w:firstColumn="1" w:lastColumn="0" w:noHBand="0" w:noVBand="1"/>
      </w:tblPr>
      <w:tblGrid>
        <w:gridCol w:w="3652"/>
        <w:gridCol w:w="1763"/>
        <w:gridCol w:w="1931"/>
        <w:gridCol w:w="1931"/>
      </w:tblGrid>
      <w:tr w:rsidR="005C50A7" w:rsidRPr="005E5798" w14:paraId="3400E65E" w14:textId="77777777" w:rsidTr="006D29BB">
        <w:trPr>
          <w:trHeight w:val="359"/>
        </w:trPr>
        <w:tc>
          <w:tcPr>
            <w:tcW w:w="36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81907D" w14:textId="77777777" w:rsidR="005C50A7" w:rsidRPr="005E5798" w:rsidRDefault="005C50A7" w:rsidP="005C50A7">
            <w:pPr>
              <w:spacing w:after="0" w:line="240" w:lineRule="auto"/>
              <w:rPr>
                <w:rFonts w:eastAsia="Times New Roman" w:cstheme="minorHAnsi"/>
                <w:color w:val="000000"/>
              </w:rPr>
            </w:pPr>
            <w:r w:rsidRPr="005E5798">
              <w:rPr>
                <w:rFonts w:eastAsia="Times New Roman" w:cstheme="minorHAnsi"/>
                <w:color w:val="000000"/>
              </w:rPr>
              <w:t> </w:t>
            </w:r>
          </w:p>
        </w:tc>
        <w:tc>
          <w:tcPr>
            <w:tcW w:w="1763" w:type="dxa"/>
            <w:tcBorders>
              <w:top w:val="single" w:sz="4" w:space="0" w:color="auto"/>
              <w:left w:val="nil"/>
              <w:bottom w:val="single" w:sz="4" w:space="0" w:color="auto"/>
              <w:right w:val="single" w:sz="4" w:space="0" w:color="auto"/>
            </w:tcBorders>
            <w:shd w:val="clear" w:color="auto" w:fill="auto"/>
            <w:noWrap/>
            <w:vAlign w:val="bottom"/>
            <w:hideMark/>
          </w:tcPr>
          <w:p w14:paraId="0D90C7E1" w14:textId="77777777" w:rsidR="005C50A7" w:rsidRPr="005E5798" w:rsidRDefault="005C50A7" w:rsidP="005C50A7">
            <w:pPr>
              <w:spacing w:after="0" w:line="240" w:lineRule="auto"/>
              <w:rPr>
                <w:rFonts w:eastAsia="Times New Roman" w:cstheme="minorHAnsi"/>
                <w:color w:val="000000"/>
              </w:rPr>
            </w:pPr>
            <w:r w:rsidRPr="005E5798">
              <w:rPr>
                <w:rFonts w:eastAsia="Times New Roman" w:cstheme="minorHAnsi"/>
                <w:color w:val="000000"/>
              </w:rPr>
              <w:t>&lt;30% of HAMFI</w:t>
            </w:r>
          </w:p>
        </w:tc>
        <w:tc>
          <w:tcPr>
            <w:tcW w:w="1931" w:type="dxa"/>
            <w:tcBorders>
              <w:top w:val="single" w:sz="4" w:space="0" w:color="auto"/>
              <w:left w:val="nil"/>
              <w:bottom w:val="single" w:sz="4" w:space="0" w:color="auto"/>
              <w:right w:val="single" w:sz="4" w:space="0" w:color="auto"/>
            </w:tcBorders>
            <w:shd w:val="clear" w:color="auto" w:fill="auto"/>
            <w:noWrap/>
            <w:vAlign w:val="bottom"/>
            <w:hideMark/>
          </w:tcPr>
          <w:p w14:paraId="0650CC9F" w14:textId="77777777" w:rsidR="005C50A7" w:rsidRPr="005E5798" w:rsidRDefault="005C50A7" w:rsidP="005C50A7">
            <w:pPr>
              <w:spacing w:after="0" w:line="240" w:lineRule="auto"/>
              <w:rPr>
                <w:rFonts w:eastAsia="Times New Roman" w:cstheme="minorHAnsi"/>
                <w:color w:val="000000"/>
              </w:rPr>
            </w:pPr>
            <w:r w:rsidRPr="005E5798">
              <w:rPr>
                <w:rFonts w:eastAsia="Times New Roman" w:cstheme="minorHAnsi"/>
                <w:color w:val="000000"/>
              </w:rPr>
              <w:t>30–50% of HAMFI</w:t>
            </w:r>
          </w:p>
        </w:tc>
        <w:tc>
          <w:tcPr>
            <w:tcW w:w="1931" w:type="dxa"/>
            <w:tcBorders>
              <w:top w:val="single" w:sz="4" w:space="0" w:color="auto"/>
              <w:left w:val="nil"/>
              <w:bottom w:val="single" w:sz="4" w:space="0" w:color="auto"/>
              <w:right w:val="single" w:sz="4" w:space="0" w:color="auto"/>
            </w:tcBorders>
            <w:shd w:val="clear" w:color="auto" w:fill="auto"/>
            <w:noWrap/>
            <w:vAlign w:val="bottom"/>
            <w:hideMark/>
          </w:tcPr>
          <w:p w14:paraId="64C6A6FB" w14:textId="77777777" w:rsidR="005C50A7" w:rsidRPr="005E5798" w:rsidRDefault="005C50A7" w:rsidP="005C50A7">
            <w:pPr>
              <w:spacing w:after="0" w:line="240" w:lineRule="auto"/>
              <w:rPr>
                <w:rFonts w:eastAsia="Times New Roman" w:cstheme="minorHAnsi"/>
                <w:color w:val="000000"/>
              </w:rPr>
            </w:pPr>
            <w:r w:rsidRPr="005E5798">
              <w:rPr>
                <w:rFonts w:eastAsia="Times New Roman" w:cstheme="minorHAnsi"/>
                <w:color w:val="000000"/>
              </w:rPr>
              <w:t>50–80% of HAMFI</w:t>
            </w:r>
          </w:p>
        </w:tc>
      </w:tr>
      <w:tr w:rsidR="005C50A7" w:rsidRPr="005E5798" w14:paraId="5C9910ED" w14:textId="77777777" w:rsidTr="006D29BB">
        <w:trPr>
          <w:trHeight w:val="359"/>
        </w:trPr>
        <w:tc>
          <w:tcPr>
            <w:tcW w:w="3652" w:type="dxa"/>
            <w:tcBorders>
              <w:top w:val="nil"/>
              <w:left w:val="single" w:sz="4" w:space="0" w:color="auto"/>
              <w:bottom w:val="single" w:sz="4" w:space="0" w:color="auto"/>
              <w:right w:val="single" w:sz="4" w:space="0" w:color="auto"/>
            </w:tcBorders>
            <w:shd w:val="clear" w:color="auto" w:fill="auto"/>
            <w:noWrap/>
            <w:vAlign w:val="bottom"/>
            <w:hideMark/>
          </w:tcPr>
          <w:p w14:paraId="21926F4E" w14:textId="3327B2DD" w:rsidR="005C50A7" w:rsidRPr="005E5798" w:rsidRDefault="005C50A7" w:rsidP="005C50A7">
            <w:pPr>
              <w:spacing w:after="0" w:line="240" w:lineRule="auto"/>
              <w:rPr>
                <w:rFonts w:eastAsia="Times New Roman" w:cstheme="minorHAnsi"/>
                <w:color w:val="000000"/>
              </w:rPr>
            </w:pPr>
            <w:r w:rsidRPr="005E5798">
              <w:rPr>
                <w:rFonts w:eastAsia="Times New Roman" w:cstheme="minorHAnsi"/>
                <w:color w:val="000000"/>
              </w:rPr>
              <w:t>Cost-Burden</w:t>
            </w:r>
            <w:r w:rsidR="004A3E8C">
              <w:rPr>
                <w:rFonts w:eastAsia="Times New Roman" w:cstheme="minorHAnsi"/>
                <w:color w:val="000000"/>
              </w:rPr>
              <w:t>ed</w:t>
            </w:r>
          </w:p>
        </w:tc>
        <w:tc>
          <w:tcPr>
            <w:tcW w:w="1763" w:type="dxa"/>
            <w:tcBorders>
              <w:top w:val="nil"/>
              <w:left w:val="nil"/>
              <w:bottom w:val="single" w:sz="4" w:space="0" w:color="auto"/>
              <w:right w:val="single" w:sz="4" w:space="0" w:color="auto"/>
            </w:tcBorders>
            <w:shd w:val="clear" w:color="auto" w:fill="auto"/>
            <w:noWrap/>
            <w:vAlign w:val="bottom"/>
            <w:hideMark/>
          </w:tcPr>
          <w:p w14:paraId="09C4BDEF" w14:textId="77777777" w:rsidR="005C50A7" w:rsidRPr="005E5798" w:rsidRDefault="005C50A7" w:rsidP="000D1810">
            <w:pPr>
              <w:spacing w:after="0" w:line="240" w:lineRule="auto"/>
              <w:jc w:val="right"/>
              <w:rPr>
                <w:rFonts w:eastAsia="Times New Roman" w:cstheme="minorHAnsi"/>
                <w:color w:val="000000"/>
              </w:rPr>
            </w:pPr>
            <w:r w:rsidRPr="005E5798">
              <w:rPr>
                <w:rFonts w:eastAsia="Times New Roman" w:cstheme="minorHAnsi"/>
                <w:color w:val="000000"/>
              </w:rPr>
              <w:t>995</w:t>
            </w:r>
          </w:p>
        </w:tc>
        <w:tc>
          <w:tcPr>
            <w:tcW w:w="1931" w:type="dxa"/>
            <w:tcBorders>
              <w:top w:val="nil"/>
              <w:left w:val="nil"/>
              <w:bottom w:val="single" w:sz="4" w:space="0" w:color="auto"/>
              <w:right w:val="single" w:sz="4" w:space="0" w:color="auto"/>
            </w:tcBorders>
            <w:shd w:val="clear" w:color="auto" w:fill="auto"/>
            <w:noWrap/>
            <w:vAlign w:val="bottom"/>
            <w:hideMark/>
          </w:tcPr>
          <w:p w14:paraId="5BB72EF2" w14:textId="77777777" w:rsidR="005C50A7" w:rsidRPr="005E5798" w:rsidRDefault="005C50A7" w:rsidP="000D1810">
            <w:pPr>
              <w:spacing w:after="0" w:line="240" w:lineRule="auto"/>
              <w:jc w:val="right"/>
              <w:rPr>
                <w:rFonts w:eastAsia="Times New Roman" w:cstheme="minorHAnsi"/>
                <w:color w:val="000000"/>
              </w:rPr>
            </w:pPr>
            <w:r w:rsidRPr="005E5798">
              <w:rPr>
                <w:rFonts w:eastAsia="Times New Roman" w:cstheme="minorHAnsi"/>
                <w:color w:val="000000"/>
              </w:rPr>
              <w:t>[421,709]</w:t>
            </w:r>
          </w:p>
        </w:tc>
        <w:tc>
          <w:tcPr>
            <w:tcW w:w="1931" w:type="dxa"/>
            <w:tcBorders>
              <w:top w:val="nil"/>
              <w:left w:val="nil"/>
              <w:bottom w:val="single" w:sz="4" w:space="0" w:color="auto"/>
              <w:right w:val="single" w:sz="4" w:space="0" w:color="auto"/>
            </w:tcBorders>
            <w:shd w:val="clear" w:color="auto" w:fill="auto"/>
            <w:noWrap/>
            <w:vAlign w:val="bottom"/>
            <w:hideMark/>
          </w:tcPr>
          <w:p w14:paraId="1D90F1CD" w14:textId="77777777" w:rsidR="005C50A7" w:rsidRPr="005E5798" w:rsidRDefault="005C50A7" w:rsidP="000D1810">
            <w:pPr>
              <w:spacing w:after="0" w:line="240" w:lineRule="auto"/>
              <w:jc w:val="right"/>
              <w:rPr>
                <w:rFonts w:eastAsia="Times New Roman" w:cstheme="minorHAnsi"/>
                <w:color w:val="000000"/>
              </w:rPr>
            </w:pPr>
            <w:r w:rsidRPr="005E5798">
              <w:rPr>
                <w:rFonts w:eastAsia="Times New Roman" w:cstheme="minorHAnsi"/>
                <w:color w:val="000000"/>
              </w:rPr>
              <w:t>[331,609]</w:t>
            </w:r>
          </w:p>
        </w:tc>
      </w:tr>
      <w:tr w:rsidR="005C50A7" w:rsidRPr="005E5798" w14:paraId="4410EDEC" w14:textId="77777777" w:rsidTr="006D29BB">
        <w:trPr>
          <w:trHeight w:val="359"/>
        </w:trPr>
        <w:tc>
          <w:tcPr>
            <w:tcW w:w="3652" w:type="dxa"/>
            <w:tcBorders>
              <w:top w:val="nil"/>
              <w:left w:val="single" w:sz="4" w:space="0" w:color="auto"/>
              <w:bottom w:val="single" w:sz="4" w:space="0" w:color="auto"/>
              <w:right w:val="single" w:sz="4" w:space="0" w:color="auto"/>
            </w:tcBorders>
            <w:shd w:val="clear" w:color="auto" w:fill="auto"/>
            <w:noWrap/>
            <w:vAlign w:val="bottom"/>
            <w:hideMark/>
          </w:tcPr>
          <w:p w14:paraId="772B2A90" w14:textId="45C042DC" w:rsidR="005C50A7" w:rsidRPr="005E5798" w:rsidRDefault="005C50A7" w:rsidP="005C50A7">
            <w:pPr>
              <w:spacing w:after="0" w:line="240" w:lineRule="auto"/>
              <w:rPr>
                <w:rFonts w:eastAsia="Times New Roman" w:cstheme="minorHAnsi"/>
                <w:color w:val="000000"/>
              </w:rPr>
            </w:pPr>
            <w:r w:rsidRPr="005E5798">
              <w:rPr>
                <w:rFonts w:eastAsia="Times New Roman" w:cstheme="minorHAnsi"/>
                <w:color w:val="000000"/>
              </w:rPr>
              <w:t>Severely Cost-Burden</w:t>
            </w:r>
            <w:r w:rsidR="004A3E8C">
              <w:rPr>
                <w:rFonts w:eastAsia="Times New Roman" w:cstheme="minorHAnsi"/>
                <w:color w:val="000000"/>
              </w:rPr>
              <w:t>ed</w:t>
            </w:r>
          </w:p>
        </w:tc>
        <w:tc>
          <w:tcPr>
            <w:tcW w:w="1763" w:type="dxa"/>
            <w:tcBorders>
              <w:top w:val="nil"/>
              <w:left w:val="nil"/>
              <w:bottom w:val="single" w:sz="4" w:space="0" w:color="auto"/>
              <w:right w:val="single" w:sz="4" w:space="0" w:color="auto"/>
            </w:tcBorders>
            <w:shd w:val="clear" w:color="auto" w:fill="auto"/>
            <w:noWrap/>
            <w:vAlign w:val="bottom"/>
            <w:hideMark/>
          </w:tcPr>
          <w:p w14:paraId="4E0CC7AE" w14:textId="77777777" w:rsidR="005C50A7" w:rsidRPr="005E5798" w:rsidRDefault="005C50A7" w:rsidP="000D1810">
            <w:pPr>
              <w:spacing w:after="0" w:line="240" w:lineRule="auto"/>
              <w:jc w:val="right"/>
              <w:rPr>
                <w:rFonts w:eastAsia="Times New Roman" w:cstheme="minorHAnsi"/>
                <w:color w:val="000000"/>
              </w:rPr>
            </w:pPr>
            <w:r w:rsidRPr="005E5798">
              <w:rPr>
                <w:rFonts w:eastAsia="Times New Roman" w:cstheme="minorHAnsi"/>
                <w:color w:val="000000"/>
              </w:rPr>
              <w:t>760</w:t>
            </w:r>
          </w:p>
        </w:tc>
        <w:tc>
          <w:tcPr>
            <w:tcW w:w="1931" w:type="dxa"/>
            <w:tcBorders>
              <w:top w:val="nil"/>
              <w:left w:val="nil"/>
              <w:bottom w:val="single" w:sz="4" w:space="0" w:color="auto"/>
              <w:right w:val="single" w:sz="4" w:space="0" w:color="auto"/>
            </w:tcBorders>
            <w:shd w:val="clear" w:color="auto" w:fill="auto"/>
            <w:noWrap/>
            <w:vAlign w:val="bottom"/>
            <w:hideMark/>
          </w:tcPr>
          <w:p w14:paraId="5B55314E" w14:textId="77777777" w:rsidR="005C50A7" w:rsidRPr="005E5798" w:rsidRDefault="005C50A7" w:rsidP="000D1810">
            <w:pPr>
              <w:spacing w:after="0" w:line="240" w:lineRule="auto"/>
              <w:jc w:val="right"/>
              <w:rPr>
                <w:rFonts w:eastAsia="Times New Roman" w:cstheme="minorHAnsi"/>
                <w:color w:val="000000"/>
              </w:rPr>
            </w:pPr>
            <w:r w:rsidRPr="005E5798">
              <w:rPr>
                <w:rFonts w:eastAsia="Times New Roman" w:cstheme="minorHAnsi"/>
                <w:color w:val="000000"/>
              </w:rPr>
              <w:t>[126,334]</w:t>
            </w:r>
          </w:p>
        </w:tc>
        <w:tc>
          <w:tcPr>
            <w:tcW w:w="1931" w:type="dxa"/>
            <w:tcBorders>
              <w:top w:val="nil"/>
              <w:left w:val="nil"/>
              <w:bottom w:val="single" w:sz="4" w:space="0" w:color="auto"/>
              <w:right w:val="single" w:sz="4" w:space="0" w:color="auto"/>
            </w:tcBorders>
            <w:shd w:val="clear" w:color="auto" w:fill="auto"/>
            <w:noWrap/>
            <w:vAlign w:val="bottom"/>
            <w:hideMark/>
          </w:tcPr>
          <w:p w14:paraId="6E516808" w14:textId="77777777" w:rsidR="005C50A7" w:rsidRPr="005E5798" w:rsidRDefault="005C50A7" w:rsidP="000D1810">
            <w:pPr>
              <w:spacing w:after="0" w:line="240" w:lineRule="auto"/>
              <w:jc w:val="right"/>
              <w:rPr>
                <w:rFonts w:eastAsia="Times New Roman" w:cstheme="minorHAnsi"/>
                <w:color w:val="000000"/>
              </w:rPr>
            </w:pPr>
            <w:r w:rsidRPr="005E5798">
              <w:rPr>
                <w:rFonts w:eastAsia="Times New Roman" w:cstheme="minorHAnsi"/>
                <w:color w:val="000000"/>
              </w:rPr>
              <w:t>[42,178]</w:t>
            </w:r>
          </w:p>
        </w:tc>
      </w:tr>
    </w:tbl>
    <w:p w14:paraId="61C3F149" w14:textId="77777777" w:rsidR="006724E6" w:rsidRDefault="006724E6" w:rsidP="00655BE3">
      <w:pPr>
        <w:rPr>
          <w:lang w:eastAsia="en-US"/>
        </w:rPr>
      </w:pPr>
    </w:p>
    <w:p w14:paraId="3EF29846" w14:textId="104B562F" w:rsidR="00C24BD0" w:rsidRDefault="00234DC9" w:rsidP="00655BE3">
      <w:pPr>
        <w:rPr>
          <w:lang w:eastAsia="en-US"/>
        </w:rPr>
      </w:pPr>
      <w:r>
        <w:rPr>
          <w:lang w:eastAsia="en-US"/>
        </w:rPr>
        <w:t>Other vulnerable populations include h</w:t>
      </w:r>
      <w:r w:rsidR="004D33DB" w:rsidRPr="7DFA81C2">
        <w:rPr>
          <w:lang w:eastAsia="en-US"/>
        </w:rPr>
        <w:t xml:space="preserve">ouseholds living in overcrowded </w:t>
      </w:r>
      <w:r w:rsidR="433529F9" w:rsidRPr="7DFA81C2">
        <w:rPr>
          <w:lang w:eastAsia="en-US"/>
        </w:rPr>
        <w:t>conditions</w:t>
      </w:r>
      <w:r w:rsidR="004D33DB" w:rsidRPr="7DFA81C2">
        <w:rPr>
          <w:lang w:eastAsia="en-US"/>
        </w:rPr>
        <w:t xml:space="preserve"> </w:t>
      </w:r>
      <w:r w:rsidR="00DD5A0A" w:rsidRPr="7DFA81C2">
        <w:rPr>
          <w:lang w:eastAsia="en-US"/>
        </w:rPr>
        <w:t>and elderly</w:t>
      </w:r>
      <w:r w:rsidR="004D33DB" w:rsidRPr="7DFA81C2">
        <w:rPr>
          <w:lang w:eastAsia="en-US"/>
        </w:rPr>
        <w:t xml:space="preserve"> households.</w:t>
      </w:r>
      <w:r w:rsidR="0AD0B86A" w:rsidRPr="7DFA81C2">
        <w:rPr>
          <w:lang w:eastAsia="en-US"/>
        </w:rPr>
        <w:t xml:space="preserve"> </w:t>
      </w:r>
      <w:r w:rsidR="004A3E8C">
        <w:rPr>
          <w:lang w:eastAsia="en-US"/>
        </w:rPr>
        <w:t>Although</w:t>
      </w:r>
      <w:r w:rsidR="004A3E8C" w:rsidRPr="7DFA81C2">
        <w:rPr>
          <w:lang w:eastAsia="en-US"/>
        </w:rPr>
        <w:t xml:space="preserve"> </w:t>
      </w:r>
      <w:r w:rsidR="0AD0B86A" w:rsidRPr="7DFA81C2">
        <w:rPr>
          <w:lang w:eastAsia="en-US"/>
        </w:rPr>
        <w:t xml:space="preserve">statistics on overcrowding </w:t>
      </w:r>
      <w:r w:rsidR="204E68B9" w:rsidRPr="7DFA81C2">
        <w:rPr>
          <w:lang w:eastAsia="en-US"/>
        </w:rPr>
        <w:t>are not significant</w:t>
      </w:r>
      <w:r w:rsidR="0AD0B86A" w:rsidRPr="7DFA81C2">
        <w:rPr>
          <w:lang w:eastAsia="en-US"/>
        </w:rPr>
        <w:t xml:space="preserve">, </w:t>
      </w:r>
      <w:r w:rsidR="004A3E8C">
        <w:rPr>
          <w:lang w:eastAsia="en-US"/>
        </w:rPr>
        <w:t xml:space="preserve">the </w:t>
      </w:r>
      <w:r w:rsidR="01369DD2" w:rsidRPr="7DFA81C2">
        <w:rPr>
          <w:lang w:eastAsia="en-US"/>
        </w:rPr>
        <w:t xml:space="preserve">data show that </w:t>
      </w:r>
      <w:r w:rsidR="00CB54AA" w:rsidRPr="7DFA81C2">
        <w:rPr>
          <w:lang w:eastAsia="en-US"/>
        </w:rPr>
        <w:t xml:space="preserve">4,194 households include at least one elderly person </w:t>
      </w:r>
      <w:r w:rsidR="41FDFB38" w:rsidRPr="7DFA81C2">
        <w:rPr>
          <w:lang w:eastAsia="en-US"/>
        </w:rPr>
        <w:t>aged</w:t>
      </w:r>
      <w:r w:rsidR="00CB54AA" w:rsidRPr="7DFA81C2">
        <w:rPr>
          <w:lang w:eastAsia="en-US"/>
        </w:rPr>
        <w:t xml:space="preserve"> 62 or older.</w:t>
      </w:r>
    </w:p>
    <w:p w14:paraId="1A608C3D" w14:textId="7182D1C6" w:rsidR="000D1810" w:rsidRDefault="000D1810" w:rsidP="000D1810">
      <w:pPr>
        <w:spacing w:after="0"/>
        <w:rPr>
          <w:b/>
        </w:rPr>
      </w:pPr>
      <w:r>
        <w:rPr>
          <w:b/>
        </w:rPr>
        <w:t xml:space="preserve">Table </w:t>
      </w:r>
      <w:r w:rsidR="00DE4F9F">
        <w:rPr>
          <w:b/>
        </w:rPr>
        <w:t>10</w:t>
      </w:r>
      <w:r>
        <w:rPr>
          <w:b/>
        </w:rPr>
        <w:t>. Number of Households with Person Aged 62 or Over by Income Level</w:t>
      </w:r>
    </w:p>
    <w:p w14:paraId="39AF413D" w14:textId="703A94D3" w:rsidR="00896989" w:rsidRPr="00896989" w:rsidRDefault="00896989" w:rsidP="00896989">
      <w:r>
        <w:t xml:space="preserve">Source: </w:t>
      </w:r>
      <w:r w:rsidRPr="00383996">
        <w:t xml:space="preserve">VCHR </w:t>
      </w:r>
      <w:r w:rsidR="00C51938">
        <w:t>T</w:t>
      </w:r>
      <w:r w:rsidR="00C51938" w:rsidRPr="00383996">
        <w:t xml:space="preserve">abulation </w:t>
      </w:r>
      <w:r w:rsidRPr="00383996">
        <w:t>of 2014</w:t>
      </w:r>
      <w:r w:rsidR="004A3E8C">
        <w:t>–</w:t>
      </w:r>
      <w:r w:rsidRPr="00383996">
        <w:t>2018 CHAS data</w:t>
      </w:r>
    </w:p>
    <w:tbl>
      <w:tblPr>
        <w:tblW w:w="9229" w:type="dxa"/>
        <w:tblLook w:val="04A0" w:firstRow="1" w:lastRow="0" w:firstColumn="1" w:lastColumn="0" w:noHBand="0" w:noVBand="1"/>
      </w:tblPr>
      <w:tblGrid>
        <w:gridCol w:w="3864"/>
        <w:gridCol w:w="1153"/>
        <w:gridCol w:w="1053"/>
        <w:gridCol w:w="1053"/>
        <w:gridCol w:w="1053"/>
        <w:gridCol w:w="1053"/>
      </w:tblGrid>
      <w:tr w:rsidR="006D29BB" w:rsidRPr="005E5798" w14:paraId="0C4420F6" w14:textId="77777777" w:rsidTr="006D29BB">
        <w:trPr>
          <w:trHeight w:val="347"/>
        </w:trPr>
        <w:tc>
          <w:tcPr>
            <w:tcW w:w="38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9D4578" w14:textId="77777777" w:rsidR="006D29BB" w:rsidRPr="005E5798" w:rsidRDefault="006D29BB" w:rsidP="006D29BB">
            <w:pPr>
              <w:spacing w:after="0" w:line="240" w:lineRule="auto"/>
              <w:rPr>
                <w:rFonts w:eastAsia="Times New Roman" w:cstheme="minorHAnsi"/>
                <w:color w:val="000000"/>
              </w:rPr>
            </w:pPr>
            <w:r w:rsidRPr="005E5798">
              <w:rPr>
                <w:rFonts w:eastAsia="Times New Roman" w:cstheme="minorHAnsi"/>
                <w:color w:val="000000"/>
              </w:rPr>
              <w:t> </w:t>
            </w:r>
          </w:p>
        </w:tc>
        <w:tc>
          <w:tcPr>
            <w:tcW w:w="1153" w:type="dxa"/>
            <w:tcBorders>
              <w:top w:val="single" w:sz="4" w:space="0" w:color="auto"/>
              <w:left w:val="nil"/>
              <w:bottom w:val="single" w:sz="4" w:space="0" w:color="auto"/>
              <w:right w:val="single" w:sz="4" w:space="0" w:color="auto"/>
            </w:tcBorders>
            <w:shd w:val="clear" w:color="auto" w:fill="auto"/>
            <w:noWrap/>
            <w:vAlign w:val="bottom"/>
            <w:hideMark/>
          </w:tcPr>
          <w:p w14:paraId="137EC59E" w14:textId="77777777" w:rsidR="006D29BB" w:rsidRPr="005E5798" w:rsidRDefault="006D29BB" w:rsidP="006D29BB">
            <w:pPr>
              <w:spacing w:after="0" w:line="240" w:lineRule="auto"/>
              <w:rPr>
                <w:rFonts w:eastAsia="Times New Roman" w:cstheme="minorHAnsi"/>
                <w:color w:val="000000"/>
              </w:rPr>
            </w:pPr>
            <w:r w:rsidRPr="005E5798">
              <w:rPr>
                <w:rFonts w:eastAsia="Times New Roman" w:cstheme="minorHAnsi"/>
                <w:color w:val="000000"/>
              </w:rPr>
              <w:t>&lt;30% of HAMFI</w:t>
            </w:r>
          </w:p>
        </w:tc>
        <w:tc>
          <w:tcPr>
            <w:tcW w:w="1053" w:type="dxa"/>
            <w:tcBorders>
              <w:top w:val="single" w:sz="4" w:space="0" w:color="auto"/>
              <w:left w:val="nil"/>
              <w:bottom w:val="single" w:sz="4" w:space="0" w:color="auto"/>
              <w:right w:val="single" w:sz="4" w:space="0" w:color="auto"/>
            </w:tcBorders>
            <w:shd w:val="clear" w:color="auto" w:fill="auto"/>
            <w:noWrap/>
            <w:vAlign w:val="bottom"/>
            <w:hideMark/>
          </w:tcPr>
          <w:p w14:paraId="016FFAA5" w14:textId="77777777" w:rsidR="006D29BB" w:rsidRPr="005E5798" w:rsidRDefault="006D29BB" w:rsidP="006D29BB">
            <w:pPr>
              <w:spacing w:after="0" w:line="240" w:lineRule="auto"/>
              <w:rPr>
                <w:rFonts w:eastAsia="Times New Roman" w:cstheme="minorHAnsi"/>
                <w:color w:val="000000"/>
              </w:rPr>
            </w:pPr>
            <w:r w:rsidRPr="005E5798">
              <w:rPr>
                <w:rFonts w:eastAsia="Times New Roman" w:cstheme="minorHAnsi"/>
                <w:color w:val="000000"/>
              </w:rPr>
              <w:t>30–50% of HAMFI</w:t>
            </w:r>
          </w:p>
        </w:tc>
        <w:tc>
          <w:tcPr>
            <w:tcW w:w="1053" w:type="dxa"/>
            <w:tcBorders>
              <w:top w:val="single" w:sz="4" w:space="0" w:color="auto"/>
              <w:left w:val="nil"/>
              <w:bottom w:val="single" w:sz="4" w:space="0" w:color="auto"/>
              <w:right w:val="single" w:sz="4" w:space="0" w:color="auto"/>
            </w:tcBorders>
            <w:shd w:val="clear" w:color="auto" w:fill="auto"/>
            <w:noWrap/>
            <w:vAlign w:val="bottom"/>
            <w:hideMark/>
          </w:tcPr>
          <w:p w14:paraId="3FEF40EB" w14:textId="77777777" w:rsidR="006D29BB" w:rsidRPr="005E5798" w:rsidRDefault="006D29BB" w:rsidP="006D29BB">
            <w:pPr>
              <w:spacing w:after="0" w:line="240" w:lineRule="auto"/>
              <w:rPr>
                <w:rFonts w:eastAsia="Times New Roman" w:cstheme="minorHAnsi"/>
                <w:color w:val="000000"/>
              </w:rPr>
            </w:pPr>
            <w:r w:rsidRPr="005E5798">
              <w:rPr>
                <w:rFonts w:eastAsia="Times New Roman" w:cstheme="minorHAnsi"/>
                <w:color w:val="000000"/>
              </w:rPr>
              <w:t>50–80% of HAMFI</w:t>
            </w:r>
          </w:p>
        </w:tc>
        <w:tc>
          <w:tcPr>
            <w:tcW w:w="1053" w:type="dxa"/>
            <w:tcBorders>
              <w:top w:val="single" w:sz="4" w:space="0" w:color="auto"/>
              <w:left w:val="nil"/>
              <w:bottom w:val="single" w:sz="4" w:space="0" w:color="auto"/>
              <w:right w:val="single" w:sz="4" w:space="0" w:color="auto"/>
            </w:tcBorders>
            <w:shd w:val="clear" w:color="auto" w:fill="auto"/>
            <w:noWrap/>
            <w:vAlign w:val="bottom"/>
            <w:hideMark/>
          </w:tcPr>
          <w:p w14:paraId="589A3AF5" w14:textId="77777777" w:rsidR="006D29BB" w:rsidRPr="005E5798" w:rsidRDefault="006D29BB" w:rsidP="006D29BB">
            <w:pPr>
              <w:spacing w:after="0" w:line="240" w:lineRule="auto"/>
              <w:rPr>
                <w:rFonts w:eastAsia="Times New Roman" w:cstheme="minorHAnsi"/>
                <w:color w:val="000000"/>
              </w:rPr>
            </w:pPr>
            <w:r w:rsidRPr="005E5798">
              <w:rPr>
                <w:rFonts w:eastAsia="Times New Roman" w:cstheme="minorHAnsi"/>
                <w:color w:val="000000"/>
              </w:rPr>
              <w:t>80–100% of HAMFI</w:t>
            </w:r>
          </w:p>
        </w:tc>
        <w:tc>
          <w:tcPr>
            <w:tcW w:w="1053" w:type="dxa"/>
            <w:tcBorders>
              <w:top w:val="single" w:sz="4" w:space="0" w:color="auto"/>
              <w:left w:val="nil"/>
              <w:bottom w:val="single" w:sz="4" w:space="0" w:color="auto"/>
              <w:right w:val="single" w:sz="4" w:space="0" w:color="auto"/>
            </w:tcBorders>
            <w:shd w:val="clear" w:color="auto" w:fill="auto"/>
            <w:noWrap/>
            <w:vAlign w:val="bottom"/>
            <w:hideMark/>
          </w:tcPr>
          <w:p w14:paraId="2FD4A82A" w14:textId="77777777" w:rsidR="006D29BB" w:rsidRPr="005E5798" w:rsidRDefault="006D29BB" w:rsidP="006D29BB">
            <w:pPr>
              <w:spacing w:after="0" w:line="240" w:lineRule="auto"/>
              <w:rPr>
                <w:rFonts w:eastAsia="Times New Roman" w:cstheme="minorHAnsi"/>
                <w:color w:val="000000"/>
              </w:rPr>
            </w:pPr>
            <w:r w:rsidRPr="005E5798">
              <w:rPr>
                <w:rFonts w:eastAsia="Times New Roman" w:cstheme="minorHAnsi"/>
                <w:color w:val="000000"/>
              </w:rPr>
              <w:t>&gt;100% of HAMFI</w:t>
            </w:r>
          </w:p>
        </w:tc>
      </w:tr>
      <w:tr w:rsidR="006D29BB" w:rsidRPr="005E5798" w14:paraId="730729FC" w14:textId="77777777" w:rsidTr="006D29BB">
        <w:trPr>
          <w:trHeight w:val="347"/>
        </w:trPr>
        <w:tc>
          <w:tcPr>
            <w:tcW w:w="3864" w:type="dxa"/>
            <w:tcBorders>
              <w:top w:val="nil"/>
              <w:left w:val="single" w:sz="4" w:space="0" w:color="auto"/>
              <w:bottom w:val="single" w:sz="4" w:space="0" w:color="auto"/>
              <w:right w:val="single" w:sz="4" w:space="0" w:color="auto"/>
            </w:tcBorders>
            <w:shd w:val="clear" w:color="auto" w:fill="auto"/>
            <w:noWrap/>
            <w:vAlign w:val="bottom"/>
            <w:hideMark/>
          </w:tcPr>
          <w:p w14:paraId="2CB13EB5" w14:textId="14738994" w:rsidR="006D29BB" w:rsidRPr="005E5798" w:rsidRDefault="006D29BB" w:rsidP="006D29BB">
            <w:pPr>
              <w:spacing w:after="0" w:line="240" w:lineRule="auto"/>
              <w:rPr>
                <w:rFonts w:eastAsia="Times New Roman" w:cstheme="minorHAnsi"/>
                <w:color w:val="000000"/>
              </w:rPr>
            </w:pPr>
            <w:r w:rsidRPr="005E5798">
              <w:rPr>
                <w:rFonts w:eastAsia="Times New Roman" w:cstheme="minorHAnsi"/>
                <w:color w:val="000000"/>
              </w:rPr>
              <w:t xml:space="preserve">Household with </w:t>
            </w:r>
            <w:r w:rsidR="000B206D">
              <w:rPr>
                <w:rFonts w:eastAsia="Times New Roman" w:cstheme="minorHAnsi"/>
                <w:color w:val="000000"/>
              </w:rPr>
              <w:t>P</w:t>
            </w:r>
            <w:r w:rsidR="000B206D" w:rsidRPr="005E5798">
              <w:rPr>
                <w:rFonts w:eastAsia="Times New Roman" w:cstheme="minorHAnsi"/>
                <w:color w:val="000000"/>
              </w:rPr>
              <w:t xml:space="preserve">erson </w:t>
            </w:r>
            <w:r w:rsidR="000B206D">
              <w:rPr>
                <w:rFonts w:eastAsia="Times New Roman" w:cstheme="minorHAnsi"/>
                <w:color w:val="000000"/>
              </w:rPr>
              <w:t>A</w:t>
            </w:r>
            <w:r w:rsidR="000B206D" w:rsidRPr="005E5798">
              <w:rPr>
                <w:rFonts w:eastAsia="Times New Roman" w:cstheme="minorHAnsi"/>
                <w:color w:val="000000"/>
              </w:rPr>
              <w:t xml:space="preserve">ged </w:t>
            </w:r>
            <w:r w:rsidRPr="005E5798">
              <w:rPr>
                <w:rFonts w:eastAsia="Times New Roman" w:cstheme="minorHAnsi"/>
                <w:color w:val="000000"/>
              </w:rPr>
              <w:t xml:space="preserve">62 or </w:t>
            </w:r>
            <w:r w:rsidR="000B206D">
              <w:rPr>
                <w:rFonts w:eastAsia="Times New Roman" w:cstheme="minorHAnsi"/>
                <w:color w:val="000000"/>
              </w:rPr>
              <w:t>O</w:t>
            </w:r>
            <w:r w:rsidR="000B206D" w:rsidRPr="005E5798">
              <w:rPr>
                <w:rFonts w:eastAsia="Times New Roman" w:cstheme="minorHAnsi"/>
                <w:color w:val="000000"/>
              </w:rPr>
              <w:t>ver</w:t>
            </w:r>
          </w:p>
        </w:tc>
        <w:tc>
          <w:tcPr>
            <w:tcW w:w="1153" w:type="dxa"/>
            <w:tcBorders>
              <w:top w:val="nil"/>
              <w:left w:val="nil"/>
              <w:bottom w:val="single" w:sz="4" w:space="0" w:color="auto"/>
              <w:right w:val="single" w:sz="4" w:space="0" w:color="auto"/>
            </w:tcBorders>
            <w:shd w:val="clear" w:color="auto" w:fill="auto"/>
            <w:noWrap/>
            <w:vAlign w:val="bottom"/>
            <w:hideMark/>
          </w:tcPr>
          <w:p w14:paraId="26BF6838" w14:textId="77777777" w:rsidR="006D29BB" w:rsidRPr="005E5798" w:rsidRDefault="006D29BB" w:rsidP="000D1810">
            <w:pPr>
              <w:spacing w:after="0" w:line="240" w:lineRule="auto"/>
              <w:jc w:val="right"/>
              <w:rPr>
                <w:rFonts w:eastAsia="Times New Roman" w:cstheme="minorHAnsi"/>
                <w:color w:val="000000"/>
              </w:rPr>
            </w:pPr>
            <w:r w:rsidRPr="005E5798">
              <w:rPr>
                <w:rFonts w:eastAsia="Times New Roman" w:cstheme="minorHAnsi"/>
                <w:color w:val="000000"/>
              </w:rPr>
              <w:t>[257,501]</w:t>
            </w:r>
          </w:p>
        </w:tc>
        <w:tc>
          <w:tcPr>
            <w:tcW w:w="1053" w:type="dxa"/>
            <w:tcBorders>
              <w:top w:val="nil"/>
              <w:left w:val="nil"/>
              <w:bottom w:val="single" w:sz="4" w:space="0" w:color="auto"/>
              <w:right w:val="single" w:sz="4" w:space="0" w:color="auto"/>
            </w:tcBorders>
            <w:shd w:val="clear" w:color="auto" w:fill="auto"/>
            <w:noWrap/>
            <w:vAlign w:val="bottom"/>
            <w:hideMark/>
          </w:tcPr>
          <w:p w14:paraId="180DE43E" w14:textId="77777777" w:rsidR="006D29BB" w:rsidRPr="005E5798" w:rsidRDefault="006D29BB" w:rsidP="000D1810">
            <w:pPr>
              <w:spacing w:after="0" w:line="240" w:lineRule="auto"/>
              <w:jc w:val="right"/>
              <w:rPr>
                <w:rFonts w:eastAsia="Times New Roman" w:cstheme="minorHAnsi"/>
                <w:color w:val="000000"/>
              </w:rPr>
            </w:pPr>
            <w:r w:rsidRPr="005E5798">
              <w:rPr>
                <w:rFonts w:eastAsia="Times New Roman" w:cstheme="minorHAnsi"/>
                <w:color w:val="000000"/>
              </w:rPr>
              <w:t>480</w:t>
            </w:r>
          </w:p>
        </w:tc>
        <w:tc>
          <w:tcPr>
            <w:tcW w:w="1053" w:type="dxa"/>
            <w:tcBorders>
              <w:top w:val="nil"/>
              <w:left w:val="nil"/>
              <w:bottom w:val="single" w:sz="4" w:space="0" w:color="auto"/>
              <w:right w:val="single" w:sz="4" w:space="0" w:color="auto"/>
            </w:tcBorders>
            <w:shd w:val="clear" w:color="auto" w:fill="auto"/>
            <w:noWrap/>
            <w:vAlign w:val="bottom"/>
            <w:hideMark/>
          </w:tcPr>
          <w:p w14:paraId="67F9E554" w14:textId="77777777" w:rsidR="006D29BB" w:rsidRPr="005E5798" w:rsidRDefault="006D29BB" w:rsidP="000D1810">
            <w:pPr>
              <w:spacing w:after="0" w:line="240" w:lineRule="auto"/>
              <w:jc w:val="right"/>
              <w:rPr>
                <w:rFonts w:eastAsia="Times New Roman" w:cstheme="minorHAnsi"/>
                <w:color w:val="000000"/>
              </w:rPr>
            </w:pPr>
            <w:r w:rsidRPr="005E5798">
              <w:rPr>
                <w:rFonts w:eastAsia="Times New Roman" w:cstheme="minorHAnsi"/>
                <w:color w:val="000000"/>
              </w:rPr>
              <w:t>885</w:t>
            </w:r>
          </w:p>
        </w:tc>
        <w:tc>
          <w:tcPr>
            <w:tcW w:w="1053" w:type="dxa"/>
            <w:tcBorders>
              <w:top w:val="nil"/>
              <w:left w:val="nil"/>
              <w:bottom w:val="single" w:sz="4" w:space="0" w:color="auto"/>
              <w:right w:val="single" w:sz="4" w:space="0" w:color="auto"/>
            </w:tcBorders>
            <w:shd w:val="clear" w:color="auto" w:fill="auto"/>
            <w:noWrap/>
            <w:vAlign w:val="bottom"/>
            <w:hideMark/>
          </w:tcPr>
          <w:p w14:paraId="78DFBA4D" w14:textId="77777777" w:rsidR="006D29BB" w:rsidRPr="005E5798" w:rsidRDefault="006D29BB" w:rsidP="000D1810">
            <w:pPr>
              <w:spacing w:after="0" w:line="240" w:lineRule="auto"/>
              <w:jc w:val="right"/>
              <w:rPr>
                <w:rFonts w:eastAsia="Times New Roman" w:cstheme="minorHAnsi"/>
                <w:color w:val="000000"/>
              </w:rPr>
            </w:pPr>
            <w:r w:rsidRPr="005E5798">
              <w:rPr>
                <w:rFonts w:eastAsia="Times New Roman" w:cstheme="minorHAnsi"/>
                <w:color w:val="000000"/>
              </w:rPr>
              <w:t>870</w:t>
            </w:r>
          </w:p>
        </w:tc>
        <w:tc>
          <w:tcPr>
            <w:tcW w:w="1053" w:type="dxa"/>
            <w:tcBorders>
              <w:top w:val="nil"/>
              <w:left w:val="nil"/>
              <w:bottom w:val="single" w:sz="4" w:space="0" w:color="auto"/>
              <w:right w:val="single" w:sz="4" w:space="0" w:color="auto"/>
            </w:tcBorders>
            <w:shd w:val="clear" w:color="auto" w:fill="auto"/>
            <w:noWrap/>
            <w:vAlign w:val="bottom"/>
            <w:hideMark/>
          </w:tcPr>
          <w:p w14:paraId="39FB26AA" w14:textId="77777777" w:rsidR="006D29BB" w:rsidRPr="005E5798" w:rsidRDefault="006D29BB" w:rsidP="000D1810">
            <w:pPr>
              <w:spacing w:after="0" w:line="240" w:lineRule="auto"/>
              <w:jc w:val="right"/>
              <w:rPr>
                <w:rFonts w:eastAsia="Times New Roman" w:cstheme="minorHAnsi"/>
                <w:color w:val="000000"/>
              </w:rPr>
            </w:pPr>
            <w:r w:rsidRPr="005E5798">
              <w:rPr>
                <w:rFonts w:eastAsia="Times New Roman" w:cstheme="minorHAnsi"/>
                <w:color w:val="000000"/>
              </w:rPr>
              <w:t>1,395</w:t>
            </w:r>
          </w:p>
        </w:tc>
      </w:tr>
    </w:tbl>
    <w:p w14:paraId="0C17FDD8" w14:textId="02F084D6" w:rsidR="00B76C11" w:rsidRDefault="00B76C11" w:rsidP="00655BE3">
      <w:pPr>
        <w:rPr>
          <w:lang w:eastAsia="en-US"/>
        </w:rPr>
      </w:pPr>
    </w:p>
    <w:p w14:paraId="6024BDDD" w14:textId="7C94A2FF" w:rsidR="00234DC9" w:rsidRDefault="00234DC9" w:rsidP="00655BE3">
      <w:pPr>
        <w:rPr>
          <w:lang w:eastAsia="en-US"/>
        </w:rPr>
      </w:pPr>
    </w:p>
    <w:p w14:paraId="6D3E0E10" w14:textId="00AE7EB7" w:rsidR="00234DC9" w:rsidRDefault="00234DC9" w:rsidP="00655BE3">
      <w:pPr>
        <w:rPr>
          <w:lang w:eastAsia="en-US"/>
        </w:rPr>
      </w:pPr>
    </w:p>
    <w:p w14:paraId="413FF28B" w14:textId="4D48A3F3" w:rsidR="00234DC9" w:rsidRDefault="00234DC9" w:rsidP="00655BE3">
      <w:pPr>
        <w:rPr>
          <w:lang w:eastAsia="en-US"/>
        </w:rPr>
      </w:pPr>
    </w:p>
    <w:p w14:paraId="76C68454" w14:textId="38CF8FAA" w:rsidR="00234DC9" w:rsidRDefault="00234DC9" w:rsidP="00655BE3">
      <w:pPr>
        <w:rPr>
          <w:lang w:eastAsia="en-US"/>
        </w:rPr>
      </w:pPr>
    </w:p>
    <w:p w14:paraId="0DC73E0F" w14:textId="2FA47C00" w:rsidR="00234DC9" w:rsidRDefault="00234DC9" w:rsidP="00655BE3">
      <w:pPr>
        <w:rPr>
          <w:lang w:eastAsia="en-US"/>
        </w:rPr>
      </w:pPr>
    </w:p>
    <w:p w14:paraId="5435C877" w14:textId="2E586D79" w:rsidR="00234DC9" w:rsidRDefault="00234DC9" w:rsidP="00655BE3">
      <w:pPr>
        <w:rPr>
          <w:lang w:eastAsia="en-US"/>
        </w:rPr>
      </w:pPr>
    </w:p>
    <w:p w14:paraId="6FD0E9B0" w14:textId="4B30E39F" w:rsidR="0075253E" w:rsidRDefault="0075253E" w:rsidP="0075253E">
      <w:pPr>
        <w:pStyle w:val="Heading1"/>
      </w:pPr>
      <w:bookmarkStart w:id="37" w:name="_Toc120703911"/>
      <w:r>
        <w:lastRenderedPageBreak/>
        <w:t xml:space="preserve">Housing </w:t>
      </w:r>
      <w:bookmarkEnd w:id="32"/>
      <w:r w:rsidR="00834299">
        <w:t>Unit Characteristics</w:t>
      </w:r>
      <w:bookmarkEnd w:id="37"/>
    </w:p>
    <w:p w14:paraId="47832FE1" w14:textId="22CC1058" w:rsidR="00215CC6" w:rsidRDefault="00215CC6" w:rsidP="00215CC6">
      <w:pPr>
        <w:contextualSpacing/>
        <w:rPr>
          <w:b/>
        </w:rPr>
      </w:pPr>
      <w:r>
        <w:rPr>
          <w:b/>
        </w:rPr>
        <w:t xml:space="preserve">Figure </w:t>
      </w:r>
      <w:r w:rsidR="00DE4F9F">
        <w:rPr>
          <w:b/>
        </w:rPr>
        <w:t>10</w:t>
      </w:r>
      <w:r>
        <w:rPr>
          <w:b/>
        </w:rPr>
        <w:t xml:space="preserve">. </w:t>
      </w:r>
      <w:r w:rsidRPr="00516041">
        <w:rPr>
          <w:b/>
        </w:rPr>
        <w:t>Housing Units by Number of Bedrooms</w:t>
      </w:r>
      <w:r w:rsidR="003D4016">
        <w:rPr>
          <w:b/>
        </w:rPr>
        <w:t>*</w:t>
      </w:r>
    </w:p>
    <w:p w14:paraId="0ED09991" w14:textId="77777777" w:rsidR="00215CC6" w:rsidRDefault="00215CC6" w:rsidP="00215CC6">
      <w:pPr>
        <w:contextualSpacing/>
      </w:pPr>
      <w:r w:rsidRPr="00AF1A8A">
        <w:t>Source: VCHR Tabulation of 2019 ACS 5-year Estimates</w:t>
      </w:r>
    </w:p>
    <w:p w14:paraId="1FCDE19A" w14:textId="5004D3BF" w:rsidR="00DC5BED" w:rsidRPr="00DC5BED" w:rsidRDefault="00DC5BED" w:rsidP="00DC5BED">
      <w:pPr>
        <w:spacing w:after="0" w:line="240" w:lineRule="auto"/>
        <w:rPr>
          <w:rFonts w:ascii="Times New Roman" w:eastAsia="Times New Roman" w:hAnsi="Times New Roman" w:cs="Times New Roman"/>
          <w:sz w:val="24"/>
          <w:szCs w:val="24"/>
          <w:lang w:eastAsia="en-US"/>
        </w:rPr>
      </w:pPr>
      <w:r w:rsidRPr="00DC5BED">
        <w:rPr>
          <w:noProof/>
        </w:rPr>
        <w:drawing>
          <wp:inline distT="0" distB="0" distL="0" distR="0" wp14:anchorId="609DC650" wp14:editId="45793E1B">
            <wp:extent cx="5448300" cy="2957382"/>
            <wp:effectExtent l="0" t="0" r="0" b="0"/>
            <wp:docPr id="7" name="Picture 7" descr="C:\Users\deades\AppData\Local\Microsoft\Windows\INetCache\Content.MSO\25EE9BE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ades\AppData\Local\Microsoft\Windows\INetCache\Content.MSO\25EE9BE5.tm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54531" cy="2960764"/>
                    </a:xfrm>
                    <a:prstGeom prst="rect">
                      <a:avLst/>
                    </a:prstGeom>
                    <a:noFill/>
                    <a:ln>
                      <a:noFill/>
                    </a:ln>
                  </pic:spPr>
                </pic:pic>
              </a:graphicData>
            </a:graphic>
          </wp:inline>
        </w:drawing>
      </w:r>
    </w:p>
    <w:p w14:paraId="5D243B26" w14:textId="75392F01" w:rsidR="00215CC6" w:rsidRPr="00784802" w:rsidRDefault="003D4016" w:rsidP="00215CC6">
      <w:pPr>
        <w:contextualSpacing/>
      </w:pPr>
      <w:r>
        <w:t>*</w:t>
      </w:r>
      <w:r w:rsidR="004A3E8C">
        <w:t xml:space="preserve">Hashed </w:t>
      </w:r>
      <w:r>
        <w:t>portions represent unreliable estimates</w:t>
      </w:r>
    </w:p>
    <w:p w14:paraId="51FE04D5" w14:textId="77777777" w:rsidR="00215CC6" w:rsidRDefault="00215CC6" w:rsidP="00215CC6">
      <w:pPr>
        <w:contextualSpacing/>
        <w:rPr>
          <w:b/>
        </w:rPr>
      </w:pPr>
    </w:p>
    <w:p w14:paraId="190C4C07" w14:textId="391D5195" w:rsidR="00215CC6" w:rsidRPr="004B29FA" w:rsidRDefault="004B29FA" w:rsidP="00215CC6">
      <w:pPr>
        <w:contextualSpacing/>
      </w:pPr>
      <w:r>
        <w:rPr>
          <w:rFonts w:cstheme="minorHAnsi"/>
        </w:rPr>
        <w:t>Wh</w:t>
      </w:r>
      <w:r w:rsidR="004A3E8C">
        <w:rPr>
          <w:rFonts w:cstheme="minorHAnsi"/>
        </w:rPr>
        <w:t>ereas</w:t>
      </w:r>
      <w:r>
        <w:rPr>
          <w:rFonts w:cstheme="minorHAnsi"/>
        </w:rPr>
        <w:t xml:space="preserve"> more than 70 percent of </w:t>
      </w:r>
      <w:r w:rsidR="00C51938">
        <w:rPr>
          <w:rFonts w:cstheme="minorHAnsi"/>
        </w:rPr>
        <w:t xml:space="preserve">County </w:t>
      </w:r>
      <w:r>
        <w:rPr>
          <w:rFonts w:cstheme="minorHAnsi"/>
        </w:rPr>
        <w:t>households include one or two people</w:t>
      </w:r>
      <w:r w:rsidR="00FE631E">
        <w:rPr>
          <w:rFonts w:cstheme="minorHAnsi"/>
        </w:rPr>
        <w:t xml:space="preserve">, </w:t>
      </w:r>
      <w:r w:rsidR="003D4016">
        <w:rPr>
          <w:rFonts w:cstheme="minorHAnsi"/>
        </w:rPr>
        <w:t>65 percent of homes</w:t>
      </w:r>
      <w:r w:rsidR="00215CC6" w:rsidRPr="004B29FA">
        <w:t xml:space="preserve"> are </w:t>
      </w:r>
      <w:r w:rsidR="004A3E8C">
        <w:t xml:space="preserve">sufficiently </w:t>
      </w:r>
      <w:r w:rsidR="00FE631E">
        <w:t>large to accommod</w:t>
      </w:r>
      <w:r w:rsidR="003D4016">
        <w:t xml:space="preserve">ate </w:t>
      </w:r>
      <w:r w:rsidR="003D4016" w:rsidRPr="00265D95">
        <w:t>households with</w:t>
      </w:r>
      <w:r w:rsidR="00265D95" w:rsidRPr="00265D95">
        <w:t xml:space="preserve"> 4 or more people</w:t>
      </w:r>
      <w:r w:rsidR="00FE631E" w:rsidRPr="00265D95">
        <w:t>.</w:t>
      </w:r>
      <w:r w:rsidR="00FE631E">
        <w:t xml:space="preserve"> </w:t>
      </w:r>
      <w:r w:rsidR="006204B2">
        <w:t xml:space="preserve">Only 10 percent of the </w:t>
      </w:r>
      <w:r w:rsidR="00491B4A">
        <w:t xml:space="preserve">County </w:t>
      </w:r>
      <w:r w:rsidR="006204B2">
        <w:t xml:space="preserve">housing stock is appropriately </w:t>
      </w:r>
      <w:r w:rsidR="00FC428F">
        <w:t>sized to accommodate a one or two</w:t>
      </w:r>
      <w:r w:rsidR="00B91574">
        <w:t>-</w:t>
      </w:r>
      <w:r w:rsidR="00FC428F">
        <w:t>person household</w:t>
      </w:r>
      <w:r w:rsidR="00B91574">
        <w:t>. Even two-bedroom units</w:t>
      </w:r>
      <w:r w:rsidR="00A51824">
        <w:t>,</w:t>
      </w:r>
      <w:r w:rsidR="00B91574">
        <w:t xml:space="preserve"> </w:t>
      </w:r>
      <w:r w:rsidR="00466FA1">
        <w:t>which could accommodate</w:t>
      </w:r>
      <w:r w:rsidR="00265D95">
        <w:t xml:space="preserve"> a </w:t>
      </w:r>
      <w:r w:rsidR="000B206D">
        <w:t>three</w:t>
      </w:r>
      <w:r w:rsidR="00265D95">
        <w:t>-person family,</w:t>
      </w:r>
      <w:r w:rsidR="00466FA1">
        <w:t xml:space="preserve"> </w:t>
      </w:r>
      <w:r w:rsidR="000B206D">
        <w:t xml:space="preserve">two </w:t>
      </w:r>
      <w:r w:rsidR="00466FA1">
        <w:t>roommates</w:t>
      </w:r>
      <w:r w:rsidR="00265D95">
        <w:t>, or a couple with a</w:t>
      </w:r>
      <w:r w:rsidR="00466FA1">
        <w:t xml:space="preserve"> dedicated office space</w:t>
      </w:r>
      <w:r w:rsidR="00A51824">
        <w:t>,</w:t>
      </w:r>
      <w:r w:rsidR="00466FA1">
        <w:t xml:space="preserve"> are in relatively short supply relative to the proportion of one and two</w:t>
      </w:r>
      <w:r w:rsidR="00734712">
        <w:t>-</w:t>
      </w:r>
      <w:r w:rsidR="00466FA1">
        <w:t xml:space="preserve">person households. </w:t>
      </w:r>
      <w:r w:rsidR="00D53BFD">
        <w:t>Figures 11 and 12</w:t>
      </w:r>
      <w:r w:rsidR="00C20538">
        <w:t xml:space="preserve"> are shaded to indicate the mismatch between household size and unit size.</w:t>
      </w:r>
    </w:p>
    <w:p w14:paraId="134654F7" w14:textId="77777777" w:rsidR="00734712" w:rsidRDefault="00734712" w:rsidP="00215CC6">
      <w:pPr>
        <w:contextualSpacing/>
      </w:pPr>
    </w:p>
    <w:p w14:paraId="4C4EB910" w14:textId="7A4B220A" w:rsidR="007A7841" w:rsidRPr="00265D95" w:rsidRDefault="00DE4F9F">
      <w:pPr>
        <w:rPr>
          <w:b/>
        </w:rPr>
      </w:pPr>
      <w:r>
        <w:rPr>
          <w:b/>
        </w:rPr>
        <w:t xml:space="preserve">Table 11. </w:t>
      </w:r>
      <w:r w:rsidR="00265D95" w:rsidRPr="00265D95">
        <w:rPr>
          <w:b/>
        </w:rPr>
        <w:t>HUD Assumptions for Maximum Unit Occupancy</w:t>
      </w:r>
    </w:p>
    <w:tbl>
      <w:tblPr>
        <w:tblStyle w:val="TableGrid"/>
        <w:tblW w:w="0" w:type="auto"/>
        <w:tblLook w:val="04A0" w:firstRow="1" w:lastRow="0" w:firstColumn="1" w:lastColumn="0" w:noHBand="0" w:noVBand="1"/>
      </w:tblPr>
      <w:tblGrid>
        <w:gridCol w:w="1870"/>
        <w:gridCol w:w="1870"/>
        <w:gridCol w:w="1870"/>
        <w:gridCol w:w="1870"/>
      </w:tblGrid>
      <w:tr w:rsidR="00265D95" w14:paraId="5837AC4A" w14:textId="77777777" w:rsidTr="00265D95">
        <w:tc>
          <w:tcPr>
            <w:tcW w:w="1870" w:type="dxa"/>
          </w:tcPr>
          <w:p w14:paraId="3B4D0B0F" w14:textId="53646DD7" w:rsidR="00265D95" w:rsidRDefault="00265D95">
            <w:r>
              <w:t>Efficiency</w:t>
            </w:r>
          </w:p>
        </w:tc>
        <w:tc>
          <w:tcPr>
            <w:tcW w:w="1870" w:type="dxa"/>
          </w:tcPr>
          <w:p w14:paraId="15AE1AC4" w14:textId="4D6FAE76" w:rsidR="00265D95" w:rsidRDefault="00265D95">
            <w:r>
              <w:t>1-Bedroom</w:t>
            </w:r>
          </w:p>
        </w:tc>
        <w:tc>
          <w:tcPr>
            <w:tcW w:w="1870" w:type="dxa"/>
          </w:tcPr>
          <w:p w14:paraId="53457C49" w14:textId="448C12DD" w:rsidR="00265D95" w:rsidRDefault="00265D95">
            <w:r>
              <w:t>2-Bedroom</w:t>
            </w:r>
          </w:p>
        </w:tc>
        <w:tc>
          <w:tcPr>
            <w:tcW w:w="1870" w:type="dxa"/>
          </w:tcPr>
          <w:p w14:paraId="2BBDE75E" w14:textId="72D7858D" w:rsidR="00265D95" w:rsidRDefault="00265D95">
            <w:r>
              <w:t>3-</w:t>
            </w:r>
            <w:r w:rsidR="00B64470">
              <w:t>Bedroom</w:t>
            </w:r>
          </w:p>
        </w:tc>
      </w:tr>
      <w:tr w:rsidR="00265D95" w14:paraId="684098CC" w14:textId="77777777" w:rsidTr="00265D95">
        <w:tc>
          <w:tcPr>
            <w:tcW w:w="1870" w:type="dxa"/>
          </w:tcPr>
          <w:p w14:paraId="6AD9696C" w14:textId="0A3C1813" w:rsidR="00265D95" w:rsidRDefault="00265D95">
            <w:r>
              <w:t>1</w:t>
            </w:r>
            <w:r w:rsidR="00B64470">
              <w:t xml:space="preserve"> Person</w:t>
            </w:r>
          </w:p>
        </w:tc>
        <w:tc>
          <w:tcPr>
            <w:tcW w:w="1870" w:type="dxa"/>
          </w:tcPr>
          <w:p w14:paraId="31AE4C92" w14:textId="0C792E10" w:rsidR="00265D95" w:rsidRDefault="00265D95">
            <w:r>
              <w:t>2</w:t>
            </w:r>
            <w:r w:rsidR="00B64470">
              <w:t xml:space="preserve"> People</w:t>
            </w:r>
          </w:p>
        </w:tc>
        <w:tc>
          <w:tcPr>
            <w:tcW w:w="1870" w:type="dxa"/>
          </w:tcPr>
          <w:p w14:paraId="06BC4C18" w14:textId="14186187" w:rsidR="00265D95" w:rsidRDefault="00265D95">
            <w:r>
              <w:t>3</w:t>
            </w:r>
            <w:r w:rsidR="00B64470">
              <w:t xml:space="preserve"> People</w:t>
            </w:r>
          </w:p>
        </w:tc>
        <w:tc>
          <w:tcPr>
            <w:tcW w:w="1870" w:type="dxa"/>
          </w:tcPr>
          <w:p w14:paraId="00BFDA0A" w14:textId="3E743B03" w:rsidR="00265D95" w:rsidRDefault="00265D95">
            <w:r>
              <w:t xml:space="preserve">5 </w:t>
            </w:r>
            <w:r w:rsidR="00B64470">
              <w:t>People</w:t>
            </w:r>
          </w:p>
        </w:tc>
      </w:tr>
    </w:tbl>
    <w:p w14:paraId="1BCDC08C" w14:textId="77777777" w:rsidR="00877088" w:rsidRDefault="00877088"/>
    <w:p w14:paraId="27885A49" w14:textId="0DFEC417" w:rsidR="00B74189" w:rsidRDefault="00B74189" w:rsidP="00B74189">
      <w:pPr>
        <w:contextualSpacing/>
        <w:rPr>
          <w:b/>
        </w:rPr>
      </w:pPr>
      <w:r>
        <w:rPr>
          <w:b/>
        </w:rPr>
        <w:t xml:space="preserve">Figure </w:t>
      </w:r>
      <w:r w:rsidR="00DE4F9F">
        <w:rPr>
          <w:b/>
        </w:rPr>
        <w:t>11</w:t>
      </w:r>
      <w:r>
        <w:rPr>
          <w:b/>
        </w:rPr>
        <w:t xml:space="preserve">. </w:t>
      </w:r>
      <w:r w:rsidR="00BC78DA">
        <w:rPr>
          <w:b/>
        </w:rPr>
        <w:t>Proportion of</w:t>
      </w:r>
      <w:r>
        <w:rPr>
          <w:b/>
        </w:rPr>
        <w:t xml:space="preserve"> Households by Number of People</w:t>
      </w:r>
    </w:p>
    <w:p w14:paraId="34FC5AF1" w14:textId="77777777" w:rsidR="00B74189" w:rsidRPr="00AF1A8A" w:rsidRDefault="00B74189" w:rsidP="00B74189">
      <w:pPr>
        <w:contextualSpacing/>
      </w:pPr>
      <w:r w:rsidRPr="00AF1A8A">
        <w:t>Source: VCHR Tabulation of 2019 ACS 5-year Estimates</w:t>
      </w:r>
    </w:p>
    <w:p w14:paraId="5039A0C6" w14:textId="02C0555C" w:rsidR="00B74189" w:rsidRDefault="00B74189" w:rsidP="00B74189">
      <w:pPr>
        <w:contextualSpacing/>
        <w:rPr>
          <w:rFonts w:cstheme="minorHAnsi"/>
          <w:i/>
        </w:rPr>
      </w:pPr>
      <w:r>
        <w:rPr>
          <w:noProof/>
        </w:rPr>
        <w:drawing>
          <wp:inline distT="0" distB="0" distL="0" distR="0" wp14:anchorId="3123CEF7" wp14:editId="55C6994B">
            <wp:extent cx="5486400" cy="1362075"/>
            <wp:effectExtent l="0" t="0" r="0" b="9525"/>
            <wp:docPr id="15" name="Chart 15">
              <a:extLst xmlns:a="http://schemas.openxmlformats.org/drawingml/2006/main">
                <a:ext uri="{FF2B5EF4-FFF2-40B4-BE49-F238E27FC236}">
                  <a16:creationId xmlns:a16="http://schemas.microsoft.com/office/drawing/2014/main" id="{BDC199EF-B4EA-4FAE-82B1-571A5BF50E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79754E8" w14:textId="77777777" w:rsidR="00C20538" w:rsidRDefault="00C20538" w:rsidP="00B74189">
      <w:pPr>
        <w:contextualSpacing/>
        <w:rPr>
          <w:rFonts w:cstheme="minorHAnsi"/>
          <w:i/>
        </w:rPr>
      </w:pPr>
    </w:p>
    <w:p w14:paraId="3C7B89A0" w14:textId="0DB90499" w:rsidR="00C20538" w:rsidRDefault="00BC78DA" w:rsidP="00C20538">
      <w:pPr>
        <w:contextualSpacing/>
        <w:rPr>
          <w:b/>
        </w:rPr>
      </w:pPr>
      <w:r>
        <w:rPr>
          <w:b/>
        </w:rPr>
        <w:t xml:space="preserve">Figure </w:t>
      </w:r>
      <w:r w:rsidR="00DE4F9F">
        <w:rPr>
          <w:b/>
        </w:rPr>
        <w:t>12</w:t>
      </w:r>
      <w:r>
        <w:rPr>
          <w:b/>
        </w:rPr>
        <w:t xml:space="preserve">. Proportion of </w:t>
      </w:r>
      <w:r w:rsidR="00C20538">
        <w:rPr>
          <w:b/>
        </w:rPr>
        <w:t>Housing Units by Number of Bedrooms</w:t>
      </w:r>
    </w:p>
    <w:p w14:paraId="3E7655A7" w14:textId="7734962F" w:rsidR="00C20538" w:rsidRPr="00C20538" w:rsidRDefault="00C20538" w:rsidP="00B74189">
      <w:pPr>
        <w:contextualSpacing/>
      </w:pPr>
      <w:r>
        <w:t>Source: VCHR Tabulation of 2019 ACS 5-year Estimates</w:t>
      </w:r>
    </w:p>
    <w:p w14:paraId="683CDBDF" w14:textId="01CBF725" w:rsidR="00C20538" w:rsidRDefault="00C20538" w:rsidP="00B74189">
      <w:pPr>
        <w:contextualSpacing/>
        <w:rPr>
          <w:rFonts w:cstheme="minorHAnsi"/>
          <w:i/>
        </w:rPr>
      </w:pPr>
      <w:r>
        <w:rPr>
          <w:noProof/>
        </w:rPr>
        <w:drawing>
          <wp:inline distT="0" distB="0" distL="0" distR="0" wp14:anchorId="08D506F5" wp14:editId="7C72FD4C">
            <wp:extent cx="5467350" cy="1276350"/>
            <wp:effectExtent l="0" t="0" r="0" b="0"/>
            <wp:docPr id="9" name="Chart 9">
              <a:extLst xmlns:a="http://schemas.openxmlformats.org/drawingml/2006/main">
                <a:ext uri="{FF2B5EF4-FFF2-40B4-BE49-F238E27FC236}">
                  <a16:creationId xmlns:a16="http://schemas.microsoft.com/office/drawing/2014/main" id="{43FCD4D5-0EB9-477D-A98E-F95807BD50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D9E4322" w14:textId="77777777" w:rsidR="00E5638D" w:rsidRDefault="00E5638D" w:rsidP="003E54B5">
      <w:pPr>
        <w:contextualSpacing/>
        <w:rPr>
          <w:b/>
        </w:rPr>
      </w:pPr>
    </w:p>
    <w:p w14:paraId="5E824E8C" w14:textId="5E4A185E" w:rsidR="003E54B5" w:rsidRDefault="003E54B5" w:rsidP="003E54B5">
      <w:pPr>
        <w:contextualSpacing/>
        <w:rPr>
          <w:b/>
        </w:rPr>
      </w:pPr>
      <w:r>
        <w:rPr>
          <w:b/>
        </w:rPr>
        <w:t xml:space="preserve">Figure </w:t>
      </w:r>
      <w:r w:rsidR="00DE4F9F">
        <w:rPr>
          <w:b/>
        </w:rPr>
        <w:t>13</w:t>
      </w:r>
      <w:r>
        <w:rPr>
          <w:b/>
        </w:rPr>
        <w:t xml:space="preserve">. </w:t>
      </w:r>
      <w:r w:rsidRPr="007C7B1B">
        <w:rPr>
          <w:b/>
        </w:rPr>
        <w:t>Housing Units by Type of Structure</w:t>
      </w:r>
      <w:r w:rsidR="00CE08DB">
        <w:rPr>
          <w:b/>
        </w:rPr>
        <w:t>*</w:t>
      </w:r>
    </w:p>
    <w:p w14:paraId="303511DA" w14:textId="2752F0BE" w:rsidR="00B96F27" w:rsidRDefault="00396609">
      <w:r>
        <w:t xml:space="preserve">Source: VCHR </w:t>
      </w:r>
      <w:r w:rsidR="00491B4A">
        <w:t xml:space="preserve">Tabulation </w:t>
      </w:r>
      <w:r>
        <w:t>of 2019 ACS 5-year Estimates</w:t>
      </w:r>
      <w:r w:rsidR="00FA7298" w:rsidRPr="00FA7298">
        <w:rPr>
          <w:noProof/>
        </w:rPr>
        <w:t xml:space="preserve"> </w:t>
      </w:r>
    </w:p>
    <w:p w14:paraId="7A0E9E08" w14:textId="79E17056" w:rsidR="00DC5BED" w:rsidRPr="00DC5BED" w:rsidRDefault="00DC5BED" w:rsidP="00DC5BED">
      <w:pPr>
        <w:spacing w:after="0" w:line="240" w:lineRule="auto"/>
        <w:rPr>
          <w:rFonts w:ascii="Times New Roman" w:eastAsia="Times New Roman" w:hAnsi="Times New Roman" w:cs="Times New Roman"/>
          <w:sz w:val="24"/>
          <w:szCs w:val="24"/>
          <w:lang w:eastAsia="en-US"/>
        </w:rPr>
      </w:pPr>
      <w:r w:rsidRPr="00DC5BED">
        <w:rPr>
          <w:noProof/>
        </w:rPr>
        <w:drawing>
          <wp:inline distT="0" distB="0" distL="0" distR="0" wp14:anchorId="0C5A2A1F" wp14:editId="21C9A04B">
            <wp:extent cx="5447051" cy="3238500"/>
            <wp:effectExtent l="0" t="0" r="1270" b="0"/>
            <wp:docPr id="12" name="Picture 12" descr="C:\Users\deades\AppData\Local\Microsoft\Windows\INetCache\Content.MSO\77BC9C3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ades\AppData\Local\Microsoft\Windows\INetCache\Content.MSO\77BC9C3B.tm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67409" cy="3250604"/>
                    </a:xfrm>
                    <a:prstGeom prst="rect">
                      <a:avLst/>
                    </a:prstGeom>
                    <a:noFill/>
                    <a:ln>
                      <a:noFill/>
                    </a:ln>
                  </pic:spPr>
                </pic:pic>
              </a:graphicData>
            </a:graphic>
          </wp:inline>
        </w:drawing>
      </w:r>
    </w:p>
    <w:p w14:paraId="4599A842" w14:textId="6B203813" w:rsidR="0075253E" w:rsidRDefault="00CE08DB">
      <w:r>
        <w:t>*Hashed bars indicate unreliable data.</w:t>
      </w:r>
    </w:p>
    <w:p w14:paraId="673F3A3B" w14:textId="52D06AD5" w:rsidR="001C7B2A" w:rsidRDefault="6D79ABBF">
      <w:r>
        <w:t>Most of</w:t>
      </w:r>
      <w:r w:rsidR="00E5638D">
        <w:t xml:space="preserve"> the </w:t>
      </w:r>
      <w:r w:rsidR="003D7E33">
        <w:t xml:space="preserve">County’s </w:t>
      </w:r>
      <w:r w:rsidR="00E5638D">
        <w:t>housing units are single-family detached stick-built units. Fewer than 485 single-family stick-built units are attached units</w:t>
      </w:r>
      <w:r w:rsidR="00B64470">
        <w:t xml:space="preserve"> (i.e., </w:t>
      </w:r>
      <w:r w:rsidR="00E5638D">
        <w:t>townhome or duplex</w:t>
      </w:r>
      <w:r w:rsidR="00B64470">
        <w:t>)</w:t>
      </w:r>
      <w:r w:rsidR="00E5638D">
        <w:t xml:space="preserve">. There are 2,620 mobile and manufactured units in the </w:t>
      </w:r>
      <w:r w:rsidR="003D7E33">
        <w:t xml:space="preserve">County </w:t>
      </w:r>
      <w:r w:rsidR="00E5638D">
        <w:t xml:space="preserve">and as many as </w:t>
      </w:r>
      <w:r w:rsidR="008778EB">
        <w:t>37 households living in RVs or other types of vehicles. Multifamily buildings include 1,404 housing units, most (44 percent) of which are in small buildings with 3 or 4 units. About one quarter are in larger buildings with 20 units or more.</w:t>
      </w:r>
    </w:p>
    <w:p w14:paraId="470B2B49" w14:textId="11E2262C" w:rsidR="006F0C13" w:rsidRDefault="006F0C13">
      <w:r>
        <w:br w:type="page"/>
      </w:r>
    </w:p>
    <w:p w14:paraId="2FE1C385" w14:textId="0F8D9513" w:rsidR="00212149" w:rsidRDefault="00A84EA8" w:rsidP="00212149">
      <w:pPr>
        <w:contextualSpacing/>
        <w:rPr>
          <w:b/>
        </w:rPr>
      </w:pPr>
      <w:r>
        <w:rPr>
          <w:b/>
        </w:rPr>
        <w:lastRenderedPageBreak/>
        <w:t xml:space="preserve">Figure </w:t>
      </w:r>
      <w:r w:rsidR="00DE4F9F">
        <w:rPr>
          <w:b/>
        </w:rPr>
        <w:t>14</w:t>
      </w:r>
      <w:r>
        <w:rPr>
          <w:b/>
        </w:rPr>
        <w:t xml:space="preserve">. </w:t>
      </w:r>
      <w:r w:rsidR="00212149">
        <w:rPr>
          <w:b/>
        </w:rPr>
        <w:t>Housing Units by Year Built</w:t>
      </w:r>
    </w:p>
    <w:p w14:paraId="031696FE" w14:textId="209F5588" w:rsidR="00212149" w:rsidRPr="007B5E7C" w:rsidRDefault="00212149" w:rsidP="00212149">
      <w:pPr>
        <w:contextualSpacing/>
      </w:pPr>
      <w:r w:rsidRPr="007B5E7C">
        <w:t xml:space="preserve">Source: VCHR </w:t>
      </w:r>
      <w:r w:rsidR="008A4A5D">
        <w:t>T</w:t>
      </w:r>
      <w:r w:rsidR="008A4A5D" w:rsidRPr="007B5E7C">
        <w:t xml:space="preserve">abulation </w:t>
      </w:r>
      <w:r w:rsidRPr="007B5E7C">
        <w:t>of 2019 ACS 5-year Estimates</w:t>
      </w:r>
    </w:p>
    <w:p w14:paraId="08026866" w14:textId="603A36BF" w:rsidR="00877088" w:rsidRPr="00877088" w:rsidRDefault="00877088" w:rsidP="00877088">
      <w:pPr>
        <w:spacing w:after="0" w:line="240" w:lineRule="auto"/>
        <w:rPr>
          <w:rFonts w:ascii="Times New Roman" w:eastAsia="Times New Roman" w:hAnsi="Times New Roman" w:cs="Times New Roman"/>
          <w:sz w:val="24"/>
          <w:szCs w:val="24"/>
          <w:lang w:eastAsia="en-US"/>
        </w:rPr>
      </w:pPr>
      <w:r w:rsidRPr="00877088">
        <w:rPr>
          <w:b/>
          <w:noProof/>
        </w:rPr>
        <w:drawing>
          <wp:inline distT="0" distB="0" distL="0" distR="0" wp14:anchorId="17C8A8DA" wp14:editId="5DB41298">
            <wp:extent cx="5591175" cy="3162300"/>
            <wp:effectExtent l="0" t="0" r="9525" b="0"/>
            <wp:docPr id="14" name="Picture 14" descr="C:\Users\deades\AppData\Local\Microsoft\Windows\INetCache\Content.MSO\CD2027E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eades\AppData\Local\Microsoft\Windows\INetCache\Content.MSO\CD2027EF.tm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91175" cy="3162300"/>
                    </a:xfrm>
                    <a:prstGeom prst="rect">
                      <a:avLst/>
                    </a:prstGeom>
                    <a:noFill/>
                    <a:ln>
                      <a:noFill/>
                    </a:ln>
                  </pic:spPr>
                </pic:pic>
              </a:graphicData>
            </a:graphic>
          </wp:inline>
        </w:drawing>
      </w:r>
    </w:p>
    <w:p w14:paraId="32F923E7" w14:textId="6EF4FA16" w:rsidR="003335E0" w:rsidRDefault="003335E0" w:rsidP="00212149">
      <w:pPr>
        <w:tabs>
          <w:tab w:val="left" w:pos="1520"/>
        </w:tabs>
        <w:contextualSpacing/>
        <w:rPr>
          <w:b/>
        </w:rPr>
      </w:pPr>
    </w:p>
    <w:p w14:paraId="472AFFB3" w14:textId="57A04A78" w:rsidR="00896989" w:rsidRDefault="00896989" w:rsidP="00212149">
      <w:pPr>
        <w:tabs>
          <w:tab w:val="left" w:pos="1520"/>
        </w:tabs>
        <w:contextualSpacing/>
        <w:rPr>
          <w:b/>
        </w:rPr>
      </w:pPr>
    </w:p>
    <w:p w14:paraId="3B55D2A2" w14:textId="77777777" w:rsidR="00896989" w:rsidRDefault="00896989" w:rsidP="00212149">
      <w:pPr>
        <w:tabs>
          <w:tab w:val="left" w:pos="1520"/>
        </w:tabs>
        <w:contextualSpacing/>
        <w:rPr>
          <w:b/>
        </w:rPr>
      </w:pPr>
    </w:p>
    <w:p w14:paraId="7FF6ABC0" w14:textId="5BEF25BB" w:rsidR="003335E0" w:rsidRDefault="003335E0" w:rsidP="003335E0">
      <w:pPr>
        <w:contextualSpacing/>
        <w:rPr>
          <w:b/>
        </w:rPr>
      </w:pPr>
      <w:r>
        <w:rPr>
          <w:b/>
        </w:rPr>
        <w:t xml:space="preserve">Figure </w:t>
      </w:r>
      <w:r w:rsidR="00DE4F9F">
        <w:rPr>
          <w:b/>
        </w:rPr>
        <w:t>15</w:t>
      </w:r>
      <w:r>
        <w:rPr>
          <w:b/>
        </w:rPr>
        <w:t>. House Value</w:t>
      </w:r>
    </w:p>
    <w:p w14:paraId="329761D0" w14:textId="1BA10851" w:rsidR="00877088" w:rsidRPr="00877088" w:rsidRDefault="003335E0" w:rsidP="00877088">
      <w:pPr>
        <w:contextualSpacing/>
      </w:pPr>
      <w:r w:rsidRPr="007B5E7C">
        <w:t xml:space="preserve">Source: VCHR </w:t>
      </w:r>
      <w:r w:rsidR="004652CC">
        <w:t>T</w:t>
      </w:r>
      <w:r w:rsidR="004652CC" w:rsidRPr="007B5E7C">
        <w:t xml:space="preserve">abulation </w:t>
      </w:r>
      <w:r w:rsidRPr="007B5E7C">
        <w:t>of 2019 ACS 5-year Estimates</w:t>
      </w:r>
    </w:p>
    <w:p w14:paraId="4F850B7D" w14:textId="64B2EC5A" w:rsidR="00877088" w:rsidRPr="00877088" w:rsidRDefault="00877088" w:rsidP="00877088">
      <w:pPr>
        <w:spacing w:after="0" w:line="240" w:lineRule="auto"/>
        <w:rPr>
          <w:rFonts w:ascii="Times New Roman" w:eastAsia="Times New Roman" w:hAnsi="Times New Roman" w:cs="Times New Roman"/>
          <w:sz w:val="24"/>
          <w:szCs w:val="24"/>
          <w:lang w:eastAsia="en-US"/>
        </w:rPr>
      </w:pPr>
      <w:r w:rsidRPr="00877088">
        <w:rPr>
          <w:rFonts w:ascii="Times New Roman" w:eastAsia="Times New Roman" w:hAnsi="Times New Roman" w:cs="Times New Roman"/>
          <w:noProof/>
          <w:sz w:val="24"/>
          <w:szCs w:val="24"/>
          <w:lang w:eastAsia="en-US"/>
        </w:rPr>
        <w:drawing>
          <wp:inline distT="0" distB="0" distL="0" distR="0" wp14:anchorId="210B749A" wp14:editId="48F0FA6D">
            <wp:extent cx="5610225" cy="2805113"/>
            <wp:effectExtent l="0" t="0" r="0" b="0"/>
            <wp:docPr id="19" name="Picture 19" descr="C:\Users\deades\AppData\Local\Microsoft\Windows\INetCache\Content.MSO\EE80CF2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eades\AppData\Local\Microsoft\Windows\INetCache\Content.MSO\EE80CF27.tm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9526" cy="2809764"/>
                    </a:xfrm>
                    <a:prstGeom prst="rect">
                      <a:avLst/>
                    </a:prstGeom>
                    <a:noFill/>
                    <a:ln>
                      <a:noFill/>
                    </a:ln>
                  </pic:spPr>
                </pic:pic>
              </a:graphicData>
            </a:graphic>
          </wp:inline>
        </w:drawing>
      </w:r>
    </w:p>
    <w:p w14:paraId="4F785DA3" w14:textId="4D55448C" w:rsidR="00877088" w:rsidRPr="00877088" w:rsidRDefault="00877088" w:rsidP="00877088">
      <w:pPr>
        <w:spacing w:after="0" w:line="240" w:lineRule="auto"/>
        <w:rPr>
          <w:rFonts w:ascii="Times New Roman" w:eastAsia="Times New Roman" w:hAnsi="Times New Roman" w:cs="Times New Roman"/>
          <w:sz w:val="24"/>
          <w:szCs w:val="24"/>
          <w:lang w:eastAsia="en-US"/>
        </w:rPr>
      </w:pPr>
    </w:p>
    <w:p w14:paraId="44E6F3CC" w14:textId="77777777" w:rsidR="00877088" w:rsidRDefault="00877088" w:rsidP="003335E0">
      <w:pPr>
        <w:contextualSpacing/>
      </w:pPr>
    </w:p>
    <w:p w14:paraId="1937AC57" w14:textId="77777777" w:rsidR="00896989" w:rsidRDefault="00896989" w:rsidP="795C0CBA">
      <w:pPr>
        <w:contextualSpacing/>
      </w:pPr>
    </w:p>
    <w:p w14:paraId="018E1C45" w14:textId="77777777" w:rsidR="00896989" w:rsidRDefault="00896989" w:rsidP="795C0CBA">
      <w:pPr>
        <w:contextualSpacing/>
      </w:pPr>
    </w:p>
    <w:p w14:paraId="40FB323A" w14:textId="42AD5150" w:rsidR="00BC19BC" w:rsidRDefault="00E74354" w:rsidP="795C0CBA">
      <w:pPr>
        <w:contextualSpacing/>
      </w:pPr>
      <w:r>
        <w:lastRenderedPageBreak/>
        <w:t xml:space="preserve">Randolph </w:t>
      </w:r>
      <w:r w:rsidR="00BC19BC">
        <w:t xml:space="preserve">County’s housing stock is younger than that of Barbour </w:t>
      </w:r>
      <w:r w:rsidR="00C86147">
        <w:t>County</w:t>
      </w:r>
      <w:r w:rsidR="00BC19BC">
        <w:t xml:space="preserve"> but generally older than </w:t>
      </w:r>
      <w:r w:rsidR="006F0C13">
        <w:t xml:space="preserve">those </w:t>
      </w:r>
      <w:r w:rsidR="00BC19BC">
        <w:t>in Tucker and Upshur counties. Housing built before 1959 is more concentrated in and around Elkins.</w:t>
      </w:r>
      <w:r w:rsidR="00212BA4">
        <w:t xml:space="preserve"> More </w:t>
      </w:r>
      <w:r w:rsidR="56B9DC98" w:rsidRPr="00896989">
        <w:t>details</w:t>
      </w:r>
      <w:r w:rsidR="00212BA4" w:rsidRPr="00896989">
        <w:t xml:space="preserve"> for the </w:t>
      </w:r>
      <w:r w:rsidR="372B086F" w:rsidRPr="00896989">
        <w:t xml:space="preserve">26241 </w:t>
      </w:r>
      <w:r w:rsidR="006F0C13">
        <w:t>ZIP</w:t>
      </w:r>
      <w:r w:rsidR="006F0C13" w:rsidRPr="00896989">
        <w:t xml:space="preserve"> </w:t>
      </w:r>
      <w:r w:rsidR="372B086F" w:rsidRPr="00896989">
        <w:t xml:space="preserve">Code area and City </w:t>
      </w:r>
      <w:r w:rsidR="00212BA4" w:rsidRPr="00896989">
        <w:t xml:space="preserve">of Elkins </w:t>
      </w:r>
      <w:r w:rsidR="61A0BAA9" w:rsidRPr="00896989">
        <w:t xml:space="preserve">are </w:t>
      </w:r>
      <w:r w:rsidR="00212BA4" w:rsidRPr="00896989">
        <w:t xml:space="preserve">provided in </w:t>
      </w:r>
      <w:r w:rsidR="00896989" w:rsidRPr="00896989">
        <w:t>F</w:t>
      </w:r>
      <w:r w:rsidR="00212BA4" w:rsidRPr="00896989">
        <w:t>igure</w:t>
      </w:r>
      <w:r w:rsidR="3DA00B6F" w:rsidRPr="00896989">
        <w:t>s</w:t>
      </w:r>
      <w:r w:rsidR="00212BA4" w:rsidRPr="00896989">
        <w:t xml:space="preserve"> </w:t>
      </w:r>
      <w:r w:rsidR="00896989" w:rsidRPr="00896989">
        <w:t>1</w:t>
      </w:r>
      <w:r w:rsidR="00C86147">
        <w:t>7</w:t>
      </w:r>
      <w:r w:rsidR="24C8E67F" w:rsidRPr="00896989">
        <w:t xml:space="preserve"> and </w:t>
      </w:r>
      <w:r w:rsidR="00896989" w:rsidRPr="00896989">
        <w:t>1</w:t>
      </w:r>
      <w:r w:rsidR="00C86147">
        <w:t>8</w:t>
      </w:r>
      <w:r w:rsidR="00212BA4" w:rsidRPr="00896989">
        <w:t>.</w:t>
      </w:r>
      <w:r w:rsidR="00BC19BC" w:rsidRPr="00896989">
        <w:t xml:space="preserve"> Most of the </w:t>
      </w:r>
      <w:r w:rsidR="003D7E33">
        <w:t>C</w:t>
      </w:r>
      <w:r w:rsidR="003D7E33" w:rsidRPr="00896989">
        <w:t xml:space="preserve">ounty’s </w:t>
      </w:r>
      <w:r w:rsidR="00BC19BC" w:rsidRPr="00896989">
        <w:t>housing was built</w:t>
      </w:r>
      <w:r w:rsidR="00BC19BC">
        <w:t xml:space="preserve"> over two periods: prior to 1939 and 1970</w:t>
      </w:r>
      <w:r w:rsidR="006F0C13">
        <w:t>–</w:t>
      </w:r>
      <w:r w:rsidR="00BC19BC">
        <w:t>1999.</w:t>
      </w:r>
    </w:p>
    <w:p w14:paraId="01965E44" w14:textId="00875CD7" w:rsidR="00BC19BC" w:rsidRDefault="00BC19BC" w:rsidP="0CBA9040">
      <w:pPr>
        <w:contextualSpacing/>
      </w:pPr>
    </w:p>
    <w:p w14:paraId="640158C7" w14:textId="5A6BA710" w:rsidR="00DE4F9F" w:rsidRPr="00896989" w:rsidRDefault="00DE4F9F" w:rsidP="0CBA9040">
      <w:pPr>
        <w:contextualSpacing/>
        <w:rPr>
          <w:b/>
          <w:bCs/>
        </w:rPr>
      </w:pPr>
      <w:r w:rsidRPr="00896989">
        <w:rPr>
          <w:b/>
          <w:bCs/>
        </w:rPr>
        <w:t xml:space="preserve">Figure 16. </w:t>
      </w:r>
      <w:r w:rsidR="00896989" w:rsidRPr="00896989">
        <w:rPr>
          <w:b/>
          <w:bCs/>
        </w:rPr>
        <w:t>Number of Housing Units by Decade Built</w:t>
      </w:r>
    </w:p>
    <w:p w14:paraId="024E77DC" w14:textId="0E154208" w:rsidR="00896989" w:rsidRPr="00877088" w:rsidRDefault="00896989" w:rsidP="00896989">
      <w:pPr>
        <w:contextualSpacing/>
      </w:pPr>
      <w:r w:rsidRPr="007B5E7C">
        <w:t xml:space="preserve">Source: VCHR </w:t>
      </w:r>
      <w:r w:rsidR="00C66AF2">
        <w:t>T</w:t>
      </w:r>
      <w:r w:rsidR="00C66AF2" w:rsidRPr="007B5E7C">
        <w:t xml:space="preserve">abulation </w:t>
      </w:r>
      <w:r w:rsidRPr="007B5E7C">
        <w:t>of 2019 ACS 5-year Estimates</w:t>
      </w:r>
    </w:p>
    <w:p w14:paraId="1A91102D" w14:textId="70DF369A" w:rsidR="00234DC9" w:rsidRPr="00877088" w:rsidRDefault="00BC19BC" w:rsidP="795C0CBA">
      <w:pPr>
        <w:contextualSpacing/>
        <w:rPr>
          <w:rFonts w:cstheme="minorHAnsi"/>
        </w:rPr>
      </w:pPr>
      <w:r>
        <w:rPr>
          <w:noProof/>
        </w:rPr>
        <w:drawing>
          <wp:inline distT="0" distB="0" distL="0" distR="0" wp14:anchorId="5680F96C" wp14:editId="3207D0BA">
            <wp:extent cx="5724525" cy="3467100"/>
            <wp:effectExtent l="0" t="0" r="9525" b="0"/>
            <wp:docPr id="10" name="Chart 10">
              <a:extLst xmlns:a="http://schemas.openxmlformats.org/drawingml/2006/main">
                <a:ext uri="{FF2B5EF4-FFF2-40B4-BE49-F238E27FC236}">
                  <a16:creationId xmlns:a16="http://schemas.microsoft.com/office/drawing/2014/main" id="{A79F8A59-DD32-4BF4-8F71-DA1A38120E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7DAB748" w14:textId="77777777" w:rsidR="00234DC9" w:rsidRDefault="00234DC9" w:rsidP="795C0CBA">
      <w:pPr>
        <w:contextualSpacing/>
        <w:rPr>
          <w:highlight w:val="yellow"/>
        </w:rPr>
      </w:pPr>
    </w:p>
    <w:p w14:paraId="1D9EFA31" w14:textId="2257BE92" w:rsidR="00212149" w:rsidRPr="00C86147" w:rsidRDefault="006F0C13" w:rsidP="795C0CBA">
      <w:pPr>
        <w:contextualSpacing/>
        <w:rPr>
          <w:b/>
          <w:bCs/>
        </w:rPr>
      </w:pPr>
      <w:r>
        <w:rPr>
          <w:highlight w:val="yellow"/>
        </w:rPr>
        <w:br w:type="page"/>
      </w:r>
      <w:r w:rsidR="2C62DB7D" w:rsidRPr="00C86147">
        <w:rPr>
          <w:b/>
          <w:bCs/>
        </w:rPr>
        <w:lastRenderedPageBreak/>
        <w:t xml:space="preserve">Figure </w:t>
      </w:r>
      <w:r w:rsidR="00DE4F9F" w:rsidRPr="00C86147">
        <w:rPr>
          <w:b/>
          <w:bCs/>
        </w:rPr>
        <w:t>17</w:t>
      </w:r>
      <w:r w:rsidR="2C62DB7D" w:rsidRPr="00C86147">
        <w:rPr>
          <w:b/>
          <w:bCs/>
        </w:rPr>
        <w:t xml:space="preserve">. Parcels by Year Built, </w:t>
      </w:r>
      <w:r w:rsidR="5A41A99A" w:rsidRPr="00C86147">
        <w:rPr>
          <w:b/>
          <w:bCs/>
        </w:rPr>
        <w:t>Zip Code 26241</w:t>
      </w:r>
    </w:p>
    <w:p w14:paraId="6E72FAE0" w14:textId="6B235EEF" w:rsidR="00C86147" w:rsidRPr="00C86147" w:rsidRDefault="00C86147" w:rsidP="795C0CBA">
      <w:pPr>
        <w:contextualSpacing/>
      </w:pPr>
      <w:r w:rsidRPr="00C86147">
        <w:t>Source: WVU Tabulation of Randolph County Assessment Data</w:t>
      </w:r>
    </w:p>
    <w:p w14:paraId="096CD987" w14:textId="4D34612B" w:rsidR="007C4646" w:rsidRDefault="007C4646" w:rsidP="795C0CBA">
      <w:r>
        <w:rPr>
          <w:noProof/>
        </w:rPr>
        <mc:AlternateContent>
          <mc:Choice Requires="wps">
            <w:drawing>
              <wp:anchor distT="0" distB="0" distL="114300" distR="114300" simplePos="0" relativeHeight="251659264" behindDoc="0" locked="0" layoutInCell="1" allowOverlap="1" wp14:anchorId="6D809293" wp14:editId="40A44ED6">
                <wp:simplePos x="0" y="0"/>
                <wp:positionH relativeFrom="column">
                  <wp:posOffset>3019425</wp:posOffset>
                </wp:positionH>
                <wp:positionV relativeFrom="paragraph">
                  <wp:posOffset>6772275</wp:posOffset>
                </wp:positionV>
                <wp:extent cx="171450" cy="485775"/>
                <wp:effectExtent l="0" t="0" r="19050" b="28575"/>
                <wp:wrapNone/>
                <wp:docPr id="1" name="Rectangle 1"/>
                <wp:cNvGraphicFramePr/>
                <a:graphic xmlns:a="http://schemas.openxmlformats.org/drawingml/2006/main">
                  <a:graphicData uri="http://schemas.microsoft.com/office/word/2010/wordprocessingShape">
                    <wps:wsp>
                      <wps:cNvSpPr/>
                      <wps:spPr>
                        <a:xfrm>
                          <a:off x="0" y="0"/>
                          <a:ext cx="171450" cy="4857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26804690" id="Rectangle 1" o:spid="_x0000_s1026" style="position:absolute;margin-left:237.75pt;margin-top:533.25pt;width:13.5pt;height:38.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" fillcolor="white [3212]" strokecolor="white [3212]" strokeweight="1pt"/>
            </w:pict>
          </mc:Fallback>
        </mc:AlternateContent>
      </w:r>
      <w:r w:rsidR="27DD7F44">
        <w:rPr>
          <w:noProof/>
        </w:rPr>
        <w:drawing>
          <wp:inline distT="0" distB="0" distL="0" distR="0" wp14:anchorId="61104649" wp14:editId="185E9847">
            <wp:extent cx="5667375" cy="7504430"/>
            <wp:effectExtent l="0" t="0" r="9525" b="1270"/>
            <wp:docPr id="401793952" name="Picture 401793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extLst>
                        <a:ext uri="{28A0092B-C50C-407E-A947-70E740481C1C}">
                          <a14:useLocalDpi xmlns:a14="http://schemas.microsoft.com/office/drawing/2010/main" val="0"/>
                        </a:ext>
                      </a:extLst>
                    </a:blip>
                    <a:srcRect l="2108" t="1745" r="1369"/>
                    <a:stretch/>
                  </pic:blipFill>
                  <pic:spPr bwMode="auto">
                    <a:xfrm>
                      <a:off x="0" y="0"/>
                      <a:ext cx="5704380" cy="7553429"/>
                    </a:xfrm>
                    <a:prstGeom prst="rect">
                      <a:avLst/>
                    </a:prstGeom>
                    <a:ln>
                      <a:noFill/>
                    </a:ln>
                    <a:extLst>
                      <a:ext uri="{53640926-AAD7-44D8-BBD7-CCE9431645EC}">
                        <a14:shadowObscured xmlns:a14="http://schemas.microsoft.com/office/drawing/2010/main"/>
                      </a:ext>
                    </a:extLst>
                  </pic:spPr>
                </pic:pic>
              </a:graphicData>
            </a:graphic>
          </wp:inline>
        </w:drawing>
      </w:r>
    </w:p>
    <w:p w14:paraId="1FCB8D7D" w14:textId="77777777" w:rsidR="007C4646" w:rsidRDefault="007C4646">
      <w:r>
        <w:br w:type="page"/>
      </w:r>
    </w:p>
    <w:p w14:paraId="4C0FC3AF" w14:textId="77777777" w:rsidR="00027E26" w:rsidRDefault="00027E26" w:rsidP="795C0CBA">
      <w:pPr>
        <w:contextualSpacing/>
        <w:rPr>
          <w:b/>
          <w:bCs/>
        </w:rPr>
      </w:pPr>
    </w:p>
    <w:p w14:paraId="526FF6A7" w14:textId="00049D36" w:rsidR="47538A71" w:rsidRPr="00C86147" w:rsidRDefault="47538A71" w:rsidP="795C0CBA">
      <w:pPr>
        <w:contextualSpacing/>
        <w:rPr>
          <w:b/>
          <w:bCs/>
        </w:rPr>
      </w:pPr>
      <w:r w:rsidRPr="00C86147">
        <w:rPr>
          <w:b/>
          <w:bCs/>
        </w:rPr>
        <w:t xml:space="preserve">Figure </w:t>
      </w:r>
      <w:r w:rsidR="00DE4F9F" w:rsidRPr="00C86147">
        <w:rPr>
          <w:b/>
          <w:bCs/>
        </w:rPr>
        <w:t>18</w:t>
      </w:r>
      <w:r w:rsidRPr="00C86147">
        <w:rPr>
          <w:b/>
          <w:bCs/>
        </w:rPr>
        <w:t>. Parcels by Year Built, City of Elkins</w:t>
      </w:r>
    </w:p>
    <w:p w14:paraId="5CC722B3" w14:textId="127BDD7A" w:rsidR="00C86147" w:rsidRDefault="00C86147" w:rsidP="795C0CBA">
      <w:pPr>
        <w:contextualSpacing/>
      </w:pPr>
      <w:r w:rsidRPr="00C86147">
        <w:t>Source: WVU Tabulation of Randolph County Assessment Data</w:t>
      </w:r>
    </w:p>
    <w:p w14:paraId="15C0A8A0" w14:textId="3ED72245" w:rsidR="27DD7F44" w:rsidRDefault="27DD7F44" w:rsidP="795C0CBA">
      <w:r>
        <w:rPr>
          <w:noProof/>
        </w:rPr>
        <w:drawing>
          <wp:inline distT="0" distB="0" distL="0" distR="0" wp14:anchorId="73703C6A" wp14:editId="4FC24BBD">
            <wp:extent cx="5724525" cy="7527008"/>
            <wp:effectExtent l="0" t="0" r="0" b="0"/>
            <wp:docPr id="986555143" name="Picture 986555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555143"/>
                    <pic:cNvPicPr/>
                  </pic:nvPicPr>
                  <pic:blipFill rotWithShape="1">
                    <a:blip r:embed="rId31">
                      <a:extLst>
                        <a:ext uri="{28A0092B-C50C-407E-A947-70E740481C1C}">
                          <a14:useLocalDpi xmlns:a14="http://schemas.microsoft.com/office/drawing/2010/main" val="0"/>
                        </a:ext>
                      </a:extLst>
                    </a:blip>
                    <a:srcRect l="2258" t="1741" r="796"/>
                    <a:stretch/>
                  </pic:blipFill>
                  <pic:spPr bwMode="auto">
                    <a:xfrm>
                      <a:off x="0" y="0"/>
                      <a:ext cx="5779474" cy="7599259"/>
                    </a:xfrm>
                    <a:prstGeom prst="rect">
                      <a:avLst/>
                    </a:prstGeom>
                    <a:ln>
                      <a:noFill/>
                    </a:ln>
                    <a:extLst>
                      <a:ext uri="{53640926-AAD7-44D8-BBD7-CCE9431645EC}">
                        <a14:shadowObscured xmlns:a14="http://schemas.microsoft.com/office/drawing/2010/main"/>
                      </a:ext>
                    </a:extLst>
                  </pic:spPr>
                </pic:pic>
              </a:graphicData>
            </a:graphic>
          </wp:inline>
        </w:drawing>
      </w:r>
    </w:p>
    <w:p w14:paraId="1E0A712C" w14:textId="771B4341" w:rsidR="7CA9815C" w:rsidRDefault="7CA9815C" w:rsidP="003E7473">
      <w:pPr>
        <w:pStyle w:val="Heading2"/>
      </w:pPr>
      <w:bookmarkStart w:id="38" w:name="_Toc120703912"/>
      <w:r w:rsidRPr="4C6DF855">
        <w:lastRenderedPageBreak/>
        <w:t>Housing Condition</w:t>
      </w:r>
      <w:bookmarkEnd w:id="38"/>
    </w:p>
    <w:p w14:paraId="55A44ED8" w14:textId="01A46D99" w:rsidR="0DCC8929" w:rsidRDefault="0DCC8929" w:rsidP="496EF65E">
      <w:pPr>
        <w:spacing w:line="257" w:lineRule="auto"/>
        <w:rPr>
          <w:rFonts w:ascii="Calibri" w:eastAsia="Calibri" w:hAnsi="Calibri" w:cs="Calibri"/>
        </w:rPr>
      </w:pPr>
      <w:r w:rsidRPr="496EF65E">
        <w:rPr>
          <w:rFonts w:ascii="Calibri" w:eastAsia="Calibri" w:hAnsi="Calibri" w:cs="Calibri"/>
        </w:rPr>
        <w:t xml:space="preserve">Several interviewees raised concerns about the condition of affordable rental and for-sale units. Housing service providers and lenders explained that households often cannot find a home in </w:t>
      </w:r>
      <w:r w:rsidR="00CD4F32">
        <w:rPr>
          <w:rFonts w:ascii="Calibri" w:eastAsia="Calibri" w:hAnsi="Calibri" w:cs="Calibri"/>
        </w:rPr>
        <w:t xml:space="preserve">an </w:t>
      </w:r>
      <w:r w:rsidRPr="496EF65E">
        <w:rPr>
          <w:rFonts w:ascii="Calibri" w:eastAsia="Calibri" w:hAnsi="Calibri" w:cs="Calibri"/>
        </w:rPr>
        <w:t xml:space="preserve">acceptable condition to buy because of </w:t>
      </w:r>
      <w:r w:rsidR="00CD4F32" w:rsidRPr="496EF65E">
        <w:rPr>
          <w:rFonts w:ascii="Calibri" w:eastAsia="Calibri" w:hAnsi="Calibri" w:cs="Calibri"/>
        </w:rPr>
        <w:t>either preference</w:t>
      </w:r>
      <w:r w:rsidRPr="496EF65E">
        <w:rPr>
          <w:rFonts w:ascii="Calibri" w:eastAsia="Calibri" w:hAnsi="Calibri" w:cs="Calibri"/>
        </w:rPr>
        <w:t xml:space="preserve"> for updated turn-key properties or mortgage lending restrictions. Assessment data can be used to make inferences about housing conditions; however, these inferences should be validated by conducting a field survey of selected properties. The Randolph County Assessor’s office provided data between the years 2017 and 2022. Many parcels are absent from the data provided. </w:t>
      </w:r>
      <w:r w:rsidR="00CD4F32">
        <w:rPr>
          <w:rFonts w:ascii="Calibri" w:eastAsia="Calibri" w:hAnsi="Calibri" w:cs="Calibri"/>
        </w:rPr>
        <w:t>Although</w:t>
      </w:r>
      <w:r w:rsidR="00CD4F32" w:rsidRPr="496EF65E">
        <w:rPr>
          <w:rFonts w:ascii="Calibri" w:eastAsia="Calibri" w:hAnsi="Calibri" w:cs="Calibri"/>
        </w:rPr>
        <w:t xml:space="preserve"> </w:t>
      </w:r>
      <w:r w:rsidRPr="496EF65E">
        <w:rPr>
          <w:rFonts w:ascii="Calibri" w:eastAsia="Calibri" w:hAnsi="Calibri" w:cs="Calibri"/>
        </w:rPr>
        <w:t>some of the excluded parcels did appear to be residential, many of the parcels with missing values include non-residential properties and parcels owned for business interests.</w:t>
      </w:r>
    </w:p>
    <w:p w14:paraId="55F1A5E1" w14:textId="25615A69" w:rsidR="00CD4F32" w:rsidRDefault="1E66F97D" w:rsidP="007C4646">
      <w:pPr>
        <w:spacing w:line="257" w:lineRule="auto"/>
        <w:rPr>
          <w:rFonts w:ascii="Calibri" w:eastAsia="Calibri" w:hAnsi="Calibri" w:cs="Calibri"/>
          <w:b/>
          <w:bCs/>
        </w:rPr>
      </w:pPr>
      <w:r w:rsidRPr="00027E26">
        <w:rPr>
          <w:rFonts w:ascii="Calibri" w:eastAsia="Calibri" w:hAnsi="Calibri" w:cs="Calibri"/>
        </w:rPr>
        <w:t xml:space="preserve">Assessment data </w:t>
      </w:r>
      <w:r w:rsidR="3F05F7B3" w:rsidRPr="00027E26">
        <w:rPr>
          <w:rFonts w:ascii="Calibri" w:eastAsia="Calibri" w:hAnsi="Calibri" w:cs="Calibri"/>
        </w:rPr>
        <w:t xml:space="preserve">describing property conditions was available for 10,102 </w:t>
      </w:r>
      <w:r w:rsidRPr="00027E26">
        <w:rPr>
          <w:rFonts w:ascii="Calibri" w:eastAsia="Calibri" w:hAnsi="Calibri" w:cs="Calibri"/>
        </w:rPr>
        <w:t>parcels</w:t>
      </w:r>
      <w:r w:rsidR="15CADB40" w:rsidRPr="00027E26">
        <w:rPr>
          <w:rFonts w:ascii="Calibri" w:eastAsia="Calibri" w:hAnsi="Calibri" w:cs="Calibri"/>
        </w:rPr>
        <w:t xml:space="preserve">. </w:t>
      </w:r>
      <w:r w:rsidR="00027E26" w:rsidRPr="00027E26">
        <w:rPr>
          <w:rFonts w:ascii="Calibri" w:eastAsia="Calibri" w:hAnsi="Calibri" w:cs="Calibri"/>
        </w:rPr>
        <w:t>This data</w:t>
      </w:r>
      <w:r w:rsidR="15CADB40" w:rsidRPr="00027E26">
        <w:rPr>
          <w:rFonts w:ascii="Calibri" w:eastAsia="Calibri" w:hAnsi="Calibri" w:cs="Calibri"/>
        </w:rPr>
        <w:t xml:space="preserve"> presented in Figures </w:t>
      </w:r>
      <w:r w:rsidR="00027E26" w:rsidRPr="00027E26">
        <w:rPr>
          <w:rFonts w:ascii="Calibri" w:eastAsia="Calibri" w:hAnsi="Calibri" w:cs="Calibri"/>
        </w:rPr>
        <w:t>19</w:t>
      </w:r>
      <w:r w:rsidR="00CD4F32">
        <w:rPr>
          <w:rFonts w:ascii="Calibri" w:eastAsia="Calibri" w:hAnsi="Calibri" w:cs="Calibri"/>
        </w:rPr>
        <w:t>–</w:t>
      </w:r>
      <w:r w:rsidR="00027E26" w:rsidRPr="00027E26">
        <w:rPr>
          <w:rFonts w:ascii="Calibri" w:eastAsia="Calibri" w:hAnsi="Calibri" w:cs="Calibri"/>
        </w:rPr>
        <w:t>21</w:t>
      </w:r>
      <w:r w:rsidR="15CADB40" w:rsidRPr="00027E26">
        <w:rPr>
          <w:rFonts w:ascii="Calibri" w:eastAsia="Calibri" w:hAnsi="Calibri" w:cs="Calibri"/>
        </w:rPr>
        <w:t xml:space="preserve"> show</w:t>
      </w:r>
      <w:r w:rsidRPr="00027E26">
        <w:rPr>
          <w:rFonts w:ascii="Calibri" w:eastAsia="Calibri" w:hAnsi="Calibri" w:cs="Calibri"/>
        </w:rPr>
        <w:t xml:space="preserve"> that </w:t>
      </w:r>
      <w:r w:rsidR="695A40EF" w:rsidRPr="00027E26">
        <w:rPr>
          <w:rFonts w:ascii="Calibri" w:eastAsia="Calibri" w:hAnsi="Calibri" w:cs="Calibri"/>
        </w:rPr>
        <w:t xml:space="preserve">property conditions for most parcels in the </w:t>
      </w:r>
      <w:r w:rsidR="00E10666">
        <w:rPr>
          <w:rFonts w:ascii="Calibri" w:eastAsia="Calibri" w:hAnsi="Calibri" w:cs="Calibri"/>
        </w:rPr>
        <w:t>C</w:t>
      </w:r>
      <w:r w:rsidR="00E10666" w:rsidRPr="00027E26">
        <w:rPr>
          <w:rFonts w:ascii="Calibri" w:eastAsia="Calibri" w:hAnsi="Calibri" w:cs="Calibri"/>
        </w:rPr>
        <w:t xml:space="preserve">ounty </w:t>
      </w:r>
      <w:r w:rsidR="695A40EF" w:rsidRPr="00027E26">
        <w:rPr>
          <w:rFonts w:ascii="Calibri" w:eastAsia="Calibri" w:hAnsi="Calibri" w:cs="Calibri"/>
        </w:rPr>
        <w:t>remained unchanged between 2017 and 2022</w:t>
      </w:r>
      <w:r w:rsidR="695A40EF" w:rsidRPr="7DFA81C2">
        <w:rPr>
          <w:rFonts w:ascii="Calibri" w:eastAsia="Calibri" w:hAnsi="Calibri" w:cs="Calibri"/>
        </w:rPr>
        <w:t xml:space="preserve"> (40</w:t>
      </w:r>
      <w:r w:rsidR="00392DCA">
        <w:rPr>
          <w:rFonts w:ascii="Calibri" w:eastAsia="Calibri" w:hAnsi="Calibri" w:cs="Calibri"/>
        </w:rPr>
        <w:t xml:space="preserve"> percent</w:t>
      </w:r>
      <w:r w:rsidR="00392DCA" w:rsidRPr="7DFA81C2">
        <w:rPr>
          <w:rFonts w:ascii="Calibri" w:eastAsia="Calibri" w:hAnsi="Calibri" w:cs="Calibri"/>
        </w:rPr>
        <w:t xml:space="preserve">). </w:t>
      </w:r>
      <w:r w:rsidR="695A40EF" w:rsidRPr="7DFA81C2">
        <w:rPr>
          <w:rFonts w:ascii="Calibri" w:eastAsia="Calibri" w:hAnsi="Calibri" w:cs="Calibri"/>
        </w:rPr>
        <w:t>O</w:t>
      </w:r>
      <w:r w:rsidR="75BE0CA8" w:rsidRPr="7DFA81C2">
        <w:rPr>
          <w:rFonts w:ascii="Calibri" w:eastAsia="Calibri" w:hAnsi="Calibri" w:cs="Calibri"/>
        </w:rPr>
        <w:t>nly 1</w:t>
      </w:r>
      <w:r w:rsidR="00392DCA">
        <w:rPr>
          <w:rFonts w:ascii="Calibri" w:eastAsia="Calibri" w:hAnsi="Calibri" w:cs="Calibri"/>
        </w:rPr>
        <w:t xml:space="preserve"> percent</w:t>
      </w:r>
      <w:r w:rsidR="00392DCA" w:rsidRPr="7DFA81C2">
        <w:rPr>
          <w:rFonts w:ascii="Calibri" w:eastAsia="Calibri" w:hAnsi="Calibri" w:cs="Calibri"/>
        </w:rPr>
        <w:t xml:space="preserve"> </w:t>
      </w:r>
      <w:r w:rsidR="75BE0CA8" w:rsidRPr="7DFA81C2">
        <w:rPr>
          <w:rFonts w:ascii="Calibri" w:eastAsia="Calibri" w:hAnsi="Calibri" w:cs="Calibri"/>
        </w:rPr>
        <w:t xml:space="preserve">of properties </w:t>
      </w:r>
      <w:r w:rsidR="2BE0178A" w:rsidRPr="7DFA81C2">
        <w:rPr>
          <w:rFonts w:ascii="Calibri" w:eastAsia="Calibri" w:hAnsi="Calibri" w:cs="Calibri"/>
        </w:rPr>
        <w:t xml:space="preserve">(132) </w:t>
      </w:r>
      <w:r w:rsidR="1101A3C7" w:rsidRPr="7DFA81C2">
        <w:rPr>
          <w:rFonts w:ascii="Calibri" w:eastAsia="Calibri" w:hAnsi="Calibri" w:cs="Calibri"/>
        </w:rPr>
        <w:t>saw an improvement in conditions</w:t>
      </w:r>
      <w:r w:rsidR="00CD4F32">
        <w:rPr>
          <w:rFonts w:ascii="Calibri" w:eastAsia="Calibri" w:hAnsi="Calibri" w:cs="Calibri"/>
        </w:rPr>
        <w:t>,</w:t>
      </w:r>
      <w:r w:rsidR="1101A3C7" w:rsidRPr="7DFA81C2">
        <w:rPr>
          <w:rFonts w:ascii="Calibri" w:eastAsia="Calibri" w:hAnsi="Calibri" w:cs="Calibri"/>
        </w:rPr>
        <w:t xml:space="preserve"> </w:t>
      </w:r>
      <w:r w:rsidR="00CD4F32">
        <w:rPr>
          <w:rFonts w:ascii="Calibri" w:eastAsia="Calibri" w:hAnsi="Calibri" w:cs="Calibri"/>
        </w:rPr>
        <w:t>whereas</w:t>
      </w:r>
      <w:r w:rsidR="75BE0CA8" w:rsidRPr="7DFA81C2">
        <w:rPr>
          <w:rFonts w:ascii="Calibri" w:eastAsia="Calibri" w:hAnsi="Calibri" w:cs="Calibri"/>
        </w:rPr>
        <w:t xml:space="preserve"> 2</w:t>
      </w:r>
      <w:r w:rsidR="00392DCA">
        <w:rPr>
          <w:rFonts w:ascii="Calibri" w:eastAsia="Calibri" w:hAnsi="Calibri" w:cs="Calibri"/>
        </w:rPr>
        <w:t xml:space="preserve"> percent</w:t>
      </w:r>
      <w:r w:rsidR="00392DCA" w:rsidRPr="7DFA81C2">
        <w:rPr>
          <w:rFonts w:ascii="Calibri" w:eastAsia="Calibri" w:hAnsi="Calibri" w:cs="Calibri"/>
        </w:rPr>
        <w:t xml:space="preserve"> </w:t>
      </w:r>
      <w:r w:rsidR="175D856F" w:rsidRPr="7DFA81C2">
        <w:rPr>
          <w:rFonts w:ascii="Calibri" w:eastAsia="Calibri" w:hAnsi="Calibri" w:cs="Calibri"/>
        </w:rPr>
        <w:t xml:space="preserve">of </w:t>
      </w:r>
      <w:r w:rsidR="00CD4F32">
        <w:rPr>
          <w:rFonts w:ascii="Calibri" w:eastAsia="Calibri" w:hAnsi="Calibri" w:cs="Calibri"/>
        </w:rPr>
        <w:t xml:space="preserve">them </w:t>
      </w:r>
      <w:r w:rsidR="175D856F" w:rsidRPr="7DFA81C2">
        <w:rPr>
          <w:rFonts w:ascii="Calibri" w:eastAsia="Calibri" w:hAnsi="Calibri" w:cs="Calibri"/>
        </w:rPr>
        <w:t xml:space="preserve">(419) </w:t>
      </w:r>
      <w:r w:rsidR="00CD4F32">
        <w:rPr>
          <w:rFonts w:ascii="Calibri" w:eastAsia="Calibri" w:hAnsi="Calibri" w:cs="Calibri"/>
        </w:rPr>
        <w:t xml:space="preserve">saw a </w:t>
      </w:r>
      <w:r w:rsidR="75BE0CA8" w:rsidRPr="7DFA81C2">
        <w:rPr>
          <w:rFonts w:ascii="Calibri" w:eastAsia="Calibri" w:hAnsi="Calibri" w:cs="Calibri"/>
        </w:rPr>
        <w:t>dec</w:t>
      </w:r>
      <w:r w:rsidR="31BD5A44" w:rsidRPr="7DFA81C2">
        <w:rPr>
          <w:rFonts w:ascii="Calibri" w:eastAsia="Calibri" w:hAnsi="Calibri" w:cs="Calibri"/>
        </w:rPr>
        <w:t>line</w:t>
      </w:r>
      <w:r w:rsidR="00CD4F32">
        <w:rPr>
          <w:rFonts w:ascii="Calibri" w:eastAsia="Calibri" w:hAnsi="Calibri" w:cs="Calibri"/>
        </w:rPr>
        <w:t xml:space="preserve"> in conditions</w:t>
      </w:r>
      <w:r w:rsidR="31BD5A44" w:rsidRPr="7DFA81C2">
        <w:rPr>
          <w:rFonts w:ascii="Calibri" w:eastAsia="Calibri" w:hAnsi="Calibri" w:cs="Calibri"/>
        </w:rPr>
        <w:t>.</w:t>
      </w:r>
      <w:r w:rsidR="00CD4F32">
        <w:rPr>
          <w:rFonts w:ascii="Calibri" w:eastAsia="Calibri" w:hAnsi="Calibri" w:cs="Calibri"/>
          <w:b/>
          <w:bCs/>
        </w:rPr>
        <w:br w:type="page"/>
      </w:r>
    </w:p>
    <w:p w14:paraId="60ECDFA5" w14:textId="0EA901D9" w:rsidR="00DE4F9F" w:rsidRPr="00027E26" w:rsidRDefault="00DE4F9F" w:rsidP="00027E26">
      <w:pPr>
        <w:spacing w:after="0" w:line="257" w:lineRule="auto"/>
        <w:rPr>
          <w:rFonts w:ascii="Calibri" w:eastAsia="Calibri" w:hAnsi="Calibri" w:cs="Calibri"/>
          <w:b/>
          <w:bCs/>
        </w:rPr>
      </w:pPr>
      <w:r w:rsidRPr="00027E26">
        <w:rPr>
          <w:rFonts w:ascii="Calibri" w:eastAsia="Calibri" w:hAnsi="Calibri" w:cs="Calibri"/>
          <w:b/>
          <w:bCs/>
        </w:rPr>
        <w:lastRenderedPageBreak/>
        <w:t xml:space="preserve">Figure 19. </w:t>
      </w:r>
      <w:r w:rsidR="00027E26" w:rsidRPr="00027E26">
        <w:rPr>
          <w:rFonts w:ascii="Calibri" w:eastAsia="Calibri" w:hAnsi="Calibri" w:cs="Calibri"/>
          <w:b/>
          <w:bCs/>
        </w:rPr>
        <w:t>Change in Housing C</w:t>
      </w:r>
      <w:r w:rsidR="00CD4F32">
        <w:rPr>
          <w:rFonts w:ascii="Calibri" w:eastAsia="Calibri" w:hAnsi="Calibri" w:cs="Calibri"/>
          <w:b/>
          <w:bCs/>
        </w:rPr>
        <w:t>o</w:t>
      </w:r>
      <w:r w:rsidR="00027E26" w:rsidRPr="00027E26">
        <w:rPr>
          <w:rFonts w:ascii="Calibri" w:eastAsia="Calibri" w:hAnsi="Calibri" w:cs="Calibri"/>
          <w:b/>
          <w:bCs/>
        </w:rPr>
        <w:t xml:space="preserve">ndition, </w:t>
      </w:r>
      <w:r w:rsidR="00027E26">
        <w:rPr>
          <w:rFonts w:ascii="Calibri" w:eastAsia="Calibri" w:hAnsi="Calibri" w:cs="Calibri"/>
          <w:b/>
          <w:bCs/>
        </w:rPr>
        <w:t xml:space="preserve">Randolph County, </w:t>
      </w:r>
      <w:r w:rsidR="00027E26" w:rsidRPr="00027E26">
        <w:rPr>
          <w:rFonts w:ascii="Calibri" w:eastAsia="Calibri" w:hAnsi="Calibri" w:cs="Calibri"/>
          <w:b/>
          <w:bCs/>
        </w:rPr>
        <w:t>2017</w:t>
      </w:r>
      <w:r w:rsidR="00CD4F32">
        <w:rPr>
          <w:rFonts w:ascii="Calibri" w:eastAsia="Calibri" w:hAnsi="Calibri" w:cs="Calibri"/>
          <w:b/>
          <w:bCs/>
        </w:rPr>
        <w:t>–</w:t>
      </w:r>
      <w:r w:rsidR="00027E26" w:rsidRPr="00027E26">
        <w:rPr>
          <w:rFonts w:ascii="Calibri" w:eastAsia="Calibri" w:hAnsi="Calibri" w:cs="Calibri"/>
          <w:b/>
          <w:bCs/>
        </w:rPr>
        <w:t>2022</w:t>
      </w:r>
    </w:p>
    <w:p w14:paraId="28F93ACC" w14:textId="3BCF3B31" w:rsidR="00027E26" w:rsidRPr="00C86147" w:rsidRDefault="00027E26" w:rsidP="00027E26">
      <w:pPr>
        <w:spacing w:after="0"/>
        <w:contextualSpacing/>
      </w:pPr>
      <w:r w:rsidRPr="00C86147">
        <w:t>Source: WVU Tabulation of Randolph County Assessment Data</w:t>
      </w:r>
    </w:p>
    <w:p w14:paraId="7F41854F" w14:textId="3692624A" w:rsidR="7CA9815C" w:rsidRDefault="7CA9815C" w:rsidP="496EF65E">
      <w:pPr>
        <w:spacing w:line="257" w:lineRule="auto"/>
        <w:contextualSpacing/>
      </w:pPr>
      <w:r>
        <w:rPr>
          <w:noProof/>
        </w:rPr>
        <w:drawing>
          <wp:inline distT="0" distB="0" distL="0" distR="0" wp14:anchorId="03191CB1" wp14:editId="674DE48B">
            <wp:extent cx="5762362" cy="7656830"/>
            <wp:effectExtent l="0" t="0" r="0" b="1270"/>
            <wp:docPr id="1655620385" name="Picture 1655620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extLst>
                        <a:ext uri="{28A0092B-C50C-407E-A947-70E740481C1C}">
                          <a14:useLocalDpi xmlns:a14="http://schemas.microsoft.com/office/drawing/2010/main" val="0"/>
                        </a:ext>
                      </a:extLst>
                    </a:blip>
                    <a:srcRect l="2103"/>
                    <a:stretch/>
                  </pic:blipFill>
                  <pic:spPr bwMode="auto">
                    <a:xfrm>
                      <a:off x="0" y="0"/>
                      <a:ext cx="5778713" cy="7678557"/>
                    </a:xfrm>
                    <a:prstGeom prst="rect">
                      <a:avLst/>
                    </a:prstGeom>
                    <a:ln>
                      <a:noFill/>
                    </a:ln>
                    <a:extLst>
                      <a:ext uri="{53640926-AAD7-44D8-BBD7-CCE9431645EC}">
                        <a14:shadowObscured xmlns:a14="http://schemas.microsoft.com/office/drawing/2010/main"/>
                      </a:ext>
                    </a:extLst>
                  </pic:spPr>
                </pic:pic>
              </a:graphicData>
            </a:graphic>
          </wp:inline>
        </w:drawing>
      </w:r>
    </w:p>
    <w:p w14:paraId="1ABFA83A" w14:textId="77777777" w:rsidR="00027E26" w:rsidRDefault="00027E26" w:rsidP="00027E26">
      <w:pPr>
        <w:spacing w:after="0" w:line="257" w:lineRule="auto"/>
        <w:rPr>
          <w:rFonts w:ascii="Calibri" w:eastAsia="Calibri" w:hAnsi="Calibri" w:cs="Calibri"/>
          <w:b/>
          <w:bCs/>
        </w:rPr>
      </w:pPr>
    </w:p>
    <w:p w14:paraId="645153AB" w14:textId="04B8922A" w:rsidR="00027E26" w:rsidRPr="00027E26" w:rsidRDefault="00027E26" w:rsidP="00027E26">
      <w:pPr>
        <w:spacing w:after="0" w:line="257" w:lineRule="auto"/>
        <w:rPr>
          <w:rFonts w:ascii="Calibri" w:eastAsia="Calibri" w:hAnsi="Calibri" w:cs="Calibri"/>
          <w:b/>
          <w:bCs/>
        </w:rPr>
      </w:pPr>
      <w:r w:rsidRPr="00027E26">
        <w:rPr>
          <w:rFonts w:ascii="Calibri" w:eastAsia="Calibri" w:hAnsi="Calibri" w:cs="Calibri"/>
          <w:b/>
          <w:bCs/>
        </w:rPr>
        <w:lastRenderedPageBreak/>
        <w:t xml:space="preserve">Figure </w:t>
      </w:r>
      <w:r>
        <w:rPr>
          <w:rFonts w:ascii="Calibri" w:eastAsia="Calibri" w:hAnsi="Calibri" w:cs="Calibri"/>
          <w:b/>
          <w:bCs/>
        </w:rPr>
        <w:t>20</w:t>
      </w:r>
      <w:r w:rsidRPr="00027E26">
        <w:rPr>
          <w:rFonts w:ascii="Calibri" w:eastAsia="Calibri" w:hAnsi="Calibri" w:cs="Calibri"/>
          <w:b/>
          <w:bCs/>
        </w:rPr>
        <w:t xml:space="preserve">. Change in Housing Condition, </w:t>
      </w:r>
      <w:r>
        <w:rPr>
          <w:rFonts w:ascii="Calibri" w:eastAsia="Calibri" w:hAnsi="Calibri" w:cs="Calibri"/>
          <w:b/>
          <w:bCs/>
        </w:rPr>
        <w:t xml:space="preserve">ZIP </w:t>
      </w:r>
      <w:r w:rsidR="00CD4F32">
        <w:rPr>
          <w:rFonts w:ascii="Calibri" w:eastAsia="Calibri" w:hAnsi="Calibri" w:cs="Calibri"/>
          <w:b/>
          <w:bCs/>
        </w:rPr>
        <w:t xml:space="preserve">Code </w:t>
      </w:r>
      <w:r>
        <w:rPr>
          <w:rFonts w:ascii="Calibri" w:eastAsia="Calibri" w:hAnsi="Calibri" w:cs="Calibri"/>
          <w:b/>
          <w:bCs/>
        </w:rPr>
        <w:t xml:space="preserve">26241, </w:t>
      </w:r>
      <w:r w:rsidRPr="00027E26">
        <w:rPr>
          <w:rFonts w:ascii="Calibri" w:eastAsia="Calibri" w:hAnsi="Calibri" w:cs="Calibri"/>
          <w:b/>
          <w:bCs/>
        </w:rPr>
        <w:t>2017</w:t>
      </w:r>
      <w:r w:rsidR="00CD4F32">
        <w:rPr>
          <w:rFonts w:ascii="Calibri" w:eastAsia="Calibri" w:hAnsi="Calibri" w:cs="Calibri"/>
          <w:b/>
          <w:bCs/>
        </w:rPr>
        <w:t>–</w:t>
      </w:r>
      <w:r w:rsidRPr="00027E26">
        <w:rPr>
          <w:rFonts w:ascii="Calibri" w:eastAsia="Calibri" w:hAnsi="Calibri" w:cs="Calibri"/>
          <w:b/>
          <w:bCs/>
        </w:rPr>
        <w:t>2022</w:t>
      </w:r>
    </w:p>
    <w:p w14:paraId="1C359233" w14:textId="6C8FE904" w:rsidR="496EF65E" w:rsidRPr="00027E26" w:rsidRDefault="00027E26" w:rsidP="00027E26">
      <w:pPr>
        <w:spacing w:after="0"/>
        <w:contextualSpacing/>
      </w:pPr>
      <w:r w:rsidRPr="00C86147">
        <w:t>Source: WVU Tabulation of Randolph County Assessment Data</w:t>
      </w:r>
    </w:p>
    <w:p w14:paraId="19BB0C6E" w14:textId="10DEEF94" w:rsidR="7CA9815C" w:rsidRDefault="7CA9815C" w:rsidP="496EF65E">
      <w:pPr>
        <w:spacing w:line="257" w:lineRule="auto"/>
        <w:contextualSpacing/>
      </w:pPr>
      <w:r>
        <w:rPr>
          <w:noProof/>
        </w:rPr>
        <w:drawing>
          <wp:inline distT="0" distB="0" distL="0" distR="0" wp14:anchorId="56844379" wp14:editId="1C82A02F">
            <wp:extent cx="5828665" cy="7598308"/>
            <wp:effectExtent l="0" t="0" r="635" b="3175"/>
            <wp:docPr id="265697066" name="Picture 265697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extLst>
                        <a:ext uri="{28A0092B-C50C-407E-A947-70E740481C1C}">
                          <a14:useLocalDpi xmlns:a14="http://schemas.microsoft.com/office/drawing/2010/main" val="0"/>
                        </a:ext>
                      </a:extLst>
                    </a:blip>
                    <a:srcRect l="2080" t="1604"/>
                    <a:stretch/>
                  </pic:blipFill>
                  <pic:spPr bwMode="auto">
                    <a:xfrm>
                      <a:off x="0" y="0"/>
                      <a:ext cx="5830588" cy="7600815"/>
                    </a:xfrm>
                    <a:prstGeom prst="rect">
                      <a:avLst/>
                    </a:prstGeom>
                    <a:ln>
                      <a:noFill/>
                    </a:ln>
                    <a:extLst>
                      <a:ext uri="{53640926-AAD7-44D8-BBD7-CCE9431645EC}">
                        <a14:shadowObscured xmlns:a14="http://schemas.microsoft.com/office/drawing/2010/main"/>
                      </a:ext>
                    </a:extLst>
                  </pic:spPr>
                </pic:pic>
              </a:graphicData>
            </a:graphic>
          </wp:inline>
        </w:drawing>
      </w:r>
      <w:r w:rsidR="00CD4F32">
        <w:t>I</w:t>
      </w:r>
    </w:p>
    <w:p w14:paraId="5F1F480E" w14:textId="4E1C186A" w:rsidR="00DE4F9F" w:rsidRDefault="00DE4F9F" w:rsidP="496EF65E">
      <w:pPr>
        <w:spacing w:line="257" w:lineRule="auto"/>
        <w:contextualSpacing/>
      </w:pPr>
    </w:p>
    <w:p w14:paraId="2678C7D8" w14:textId="37CC0ECE" w:rsidR="00027E26" w:rsidRPr="00027E26" w:rsidRDefault="00027E26" w:rsidP="00027E26">
      <w:pPr>
        <w:spacing w:after="0" w:line="257" w:lineRule="auto"/>
        <w:rPr>
          <w:rFonts w:ascii="Calibri" w:eastAsia="Calibri" w:hAnsi="Calibri" w:cs="Calibri"/>
          <w:b/>
          <w:bCs/>
        </w:rPr>
      </w:pPr>
      <w:r w:rsidRPr="00027E26">
        <w:rPr>
          <w:rFonts w:ascii="Calibri" w:eastAsia="Calibri" w:hAnsi="Calibri" w:cs="Calibri"/>
          <w:b/>
          <w:bCs/>
        </w:rPr>
        <w:lastRenderedPageBreak/>
        <w:t xml:space="preserve">Figure </w:t>
      </w:r>
      <w:r>
        <w:rPr>
          <w:rFonts w:ascii="Calibri" w:eastAsia="Calibri" w:hAnsi="Calibri" w:cs="Calibri"/>
          <w:b/>
          <w:bCs/>
        </w:rPr>
        <w:t>21</w:t>
      </w:r>
      <w:r w:rsidRPr="00027E26">
        <w:rPr>
          <w:rFonts w:ascii="Calibri" w:eastAsia="Calibri" w:hAnsi="Calibri" w:cs="Calibri"/>
          <w:b/>
          <w:bCs/>
        </w:rPr>
        <w:t xml:space="preserve">. Change in Housing Condition, </w:t>
      </w:r>
      <w:r>
        <w:rPr>
          <w:rFonts w:ascii="Calibri" w:eastAsia="Calibri" w:hAnsi="Calibri" w:cs="Calibri"/>
          <w:b/>
          <w:bCs/>
        </w:rPr>
        <w:t xml:space="preserve">City of Elkins, </w:t>
      </w:r>
      <w:r w:rsidRPr="00027E26">
        <w:rPr>
          <w:rFonts w:ascii="Calibri" w:eastAsia="Calibri" w:hAnsi="Calibri" w:cs="Calibri"/>
          <w:b/>
          <w:bCs/>
        </w:rPr>
        <w:t>2017</w:t>
      </w:r>
      <w:r w:rsidR="00CD4F32">
        <w:rPr>
          <w:rFonts w:ascii="Calibri" w:eastAsia="Calibri" w:hAnsi="Calibri" w:cs="Calibri"/>
          <w:b/>
          <w:bCs/>
        </w:rPr>
        <w:t>–</w:t>
      </w:r>
      <w:r w:rsidRPr="00027E26">
        <w:rPr>
          <w:rFonts w:ascii="Calibri" w:eastAsia="Calibri" w:hAnsi="Calibri" w:cs="Calibri"/>
          <w:b/>
          <w:bCs/>
        </w:rPr>
        <w:t>2022</w:t>
      </w:r>
    </w:p>
    <w:p w14:paraId="26E17C11" w14:textId="7E37C00A" w:rsidR="00DE4F9F" w:rsidRDefault="00027E26" w:rsidP="00027E26">
      <w:pPr>
        <w:spacing w:after="0"/>
        <w:contextualSpacing/>
      </w:pPr>
      <w:r w:rsidRPr="00C86147">
        <w:t>Source: WVU Tabulation of Randolph County Assessment Data</w:t>
      </w:r>
    </w:p>
    <w:p w14:paraId="2ED11A5A" w14:textId="259A6DB9" w:rsidR="7CA9815C" w:rsidRDefault="7CA9815C" w:rsidP="496EF65E">
      <w:pPr>
        <w:contextualSpacing/>
      </w:pPr>
      <w:r>
        <w:rPr>
          <w:noProof/>
        </w:rPr>
        <w:drawing>
          <wp:inline distT="0" distB="0" distL="0" distR="0" wp14:anchorId="538E6AE3" wp14:editId="3691AC6A">
            <wp:extent cx="5915025" cy="7671363"/>
            <wp:effectExtent l="0" t="0" r="0" b="6350"/>
            <wp:docPr id="1310972549" name="Picture 1310972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extLst>
                        <a:ext uri="{28A0092B-C50C-407E-A947-70E740481C1C}">
                          <a14:useLocalDpi xmlns:a14="http://schemas.microsoft.com/office/drawing/2010/main" val="0"/>
                        </a:ext>
                      </a:extLst>
                    </a:blip>
                    <a:srcRect l="1974" t="1779" r="1633" b="1594"/>
                    <a:stretch/>
                  </pic:blipFill>
                  <pic:spPr bwMode="auto">
                    <a:xfrm>
                      <a:off x="0" y="0"/>
                      <a:ext cx="5943898" cy="7708809"/>
                    </a:xfrm>
                    <a:prstGeom prst="rect">
                      <a:avLst/>
                    </a:prstGeom>
                    <a:ln>
                      <a:noFill/>
                    </a:ln>
                    <a:extLst>
                      <a:ext uri="{53640926-AAD7-44D8-BBD7-CCE9431645EC}">
                        <a14:shadowObscured xmlns:a14="http://schemas.microsoft.com/office/drawing/2010/main"/>
                      </a:ext>
                    </a:extLst>
                  </pic:spPr>
                </pic:pic>
              </a:graphicData>
            </a:graphic>
          </wp:inline>
        </w:drawing>
      </w:r>
    </w:p>
    <w:p w14:paraId="30700F46" w14:textId="77777777" w:rsidR="00AF4FCC" w:rsidRDefault="00AF4FCC" w:rsidP="496EF65E">
      <w:pPr>
        <w:contextualSpacing/>
      </w:pPr>
    </w:p>
    <w:p w14:paraId="0603BBFF" w14:textId="374A64A4" w:rsidR="496EF65E" w:rsidRDefault="496EF65E" w:rsidP="496EF65E">
      <w:pPr>
        <w:contextualSpacing/>
      </w:pPr>
    </w:p>
    <w:p w14:paraId="6D255EA8" w14:textId="4B372B5E" w:rsidR="003B7D5D" w:rsidRPr="00E25855" w:rsidRDefault="502B9367" w:rsidP="795C0CBA">
      <w:pPr>
        <w:contextualSpacing/>
      </w:pPr>
      <w:r>
        <w:t xml:space="preserve">The change in assessed building values was calculated for parcels with available data </w:t>
      </w:r>
      <w:r w:rsidR="00CD4F32">
        <w:t xml:space="preserve">for </w:t>
      </w:r>
      <w:r>
        <w:t>2017 to 2022</w:t>
      </w:r>
      <w:r w:rsidR="00CD4F32">
        <w:t xml:space="preserve"> (with many parcels being excluded for lack of data)</w:t>
      </w:r>
      <w:r>
        <w:t xml:space="preserve">. </w:t>
      </w:r>
      <w:r w:rsidR="00CD4F32">
        <w:t>T</w:t>
      </w:r>
      <w:r>
        <w:t xml:space="preserve">he </w:t>
      </w:r>
      <w:r w:rsidR="00CD4F32">
        <w:t>following charts show changes in</w:t>
      </w:r>
      <w:r>
        <w:t xml:space="preserve"> housing values across much of the </w:t>
      </w:r>
      <w:r w:rsidR="00B45FA2">
        <w:t xml:space="preserve">County </w:t>
      </w:r>
      <w:r w:rsidR="00AF4FCC">
        <w:t xml:space="preserve">(Figures 22 and 23) </w:t>
      </w:r>
      <w:r>
        <w:t xml:space="preserve">and </w:t>
      </w:r>
      <w:r w:rsidR="00CD4F32">
        <w:t xml:space="preserve">across </w:t>
      </w:r>
      <w:r>
        <w:t>the City of Elkins</w:t>
      </w:r>
      <w:r w:rsidR="00AF4FCC">
        <w:t xml:space="preserve"> and surrounding areas (Figures 24 and 25)</w:t>
      </w:r>
      <w:r>
        <w:t>.</w:t>
      </w:r>
    </w:p>
    <w:p w14:paraId="6D98B3B8" w14:textId="77777777" w:rsidR="00AF4FCC" w:rsidRDefault="00AF4FCC" w:rsidP="795C0CBA">
      <w:pPr>
        <w:contextualSpacing/>
      </w:pPr>
    </w:p>
    <w:p w14:paraId="5FFE1809" w14:textId="0A7B6B7D" w:rsidR="003B7D5D" w:rsidRDefault="4A547E6A" w:rsidP="795C0CBA">
      <w:pPr>
        <w:contextualSpacing/>
      </w:pPr>
      <w:r>
        <w:t xml:space="preserve">Of the </w:t>
      </w:r>
      <w:r w:rsidR="58CB10B6">
        <w:t>23,770</w:t>
      </w:r>
      <w:r w:rsidR="7788C6D1">
        <w:t xml:space="preserve"> </w:t>
      </w:r>
      <w:r>
        <w:t xml:space="preserve">parcels for which assessment data was provided, </w:t>
      </w:r>
      <w:r w:rsidR="2880E352">
        <w:t xml:space="preserve">property value </w:t>
      </w:r>
      <w:r>
        <w:t xml:space="preserve">data was available for </w:t>
      </w:r>
      <w:r w:rsidR="39FB391C">
        <w:t>22,179</w:t>
      </w:r>
      <w:r>
        <w:t xml:space="preserve"> parcels </w:t>
      </w:r>
      <w:r w:rsidR="0047781B">
        <w:t xml:space="preserve">for the 2017 and 2022 periods </w:t>
      </w:r>
      <w:r>
        <w:t>(</w:t>
      </w:r>
      <w:r w:rsidR="3A6F9068">
        <w:t>93</w:t>
      </w:r>
      <w:r w:rsidR="00392DCA">
        <w:t xml:space="preserve"> percent). </w:t>
      </w:r>
      <w:r>
        <w:t>Most of the properties (</w:t>
      </w:r>
      <w:r w:rsidR="31618FD0">
        <w:t>7</w:t>
      </w:r>
      <w:r>
        <w:t>0</w:t>
      </w:r>
      <w:r w:rsidR="00392DCA">
        <w:t xml:space="preserve"> percent) </w:t>
      </w:r>
      <w:r>
        <w:t>with reported data increased in value</w:t>
      </w:r>
      <w:r w:rsidR="00392DCA">
        <w:t>, of which</w:t>
      </w:r>
      <w:r>
        <w:t xml:space="preserve"> </w:t>
      </w:r>
      <w:r w:rsidR="3A5551A4">
        <w:t>5</w:t>
      </w:r>
      <w:r>
        <w:t>7</w:t>
      </w:r>
      <w:r w:rsidR="00392DCA">
        <w:t xml:space="preserve"> percent </w:t>
      </w:r>
      <w:r>
        <w:t xml:space="preserve">increased </w:t>
      </w:r>
      <w:r w:rsidR="5A5D0EB7">
        <w:t>less than 25</w:t>
      </w:r>
      <w:r w:rsidR="00392DCA">
        <w:t xml:space="preserve"> percent, </w:t>
      </w:r>
      <w:r w:rsidR="4F90FEB1">
        <w:t>8</w:t>
      </w:r>
      <w:r w:rsidR="00392DCA">
        <w:t xml:space="preserve"> percent </w:t>
      </w:r>
      <w:r>
        <w:t xml:space="preserve">increased </w:t>
      </w:r>
      <w:r w:rsidR="7E19DAD6">
        <w:t>25</w:t>
      </w:r>
      <w:r w:rsidR="00392DCA">
        <w:t>–</w:t>
      </w:r>
      <w:r w:rsidR="7E19DAD6">
        <w:t>50</w:t>
      </w:r>
      <w:r w:rsidR="00392DCA">
        <w:t xml:space="preserve"> percent</w:t>
      </w:r>
      <w:r>
        <w:t xml:space="preserve">, </w:t>
      </w:r>
      <w:r w:rsidR="4B85D934">
        <w:t>and 5</w:t>
      </w:r>
      <w:r w:rsidR="00392DCA">
        <w:t xml:space="preserve"> percent </w:t>
      </w:r>
      <w:r w:rsidR="4B85D934">
        <w:t>increased more than 50</w:t>
      </w:r>
      <w:r w:rsidR="00392DCA">
        <w:t xml:space="preserve"> percent in value.</w:t>
      </w:r>
    </w:p>
    <w:p w14:paraId="3E24C2C9" w14:textId="16338F42" w:rsidR="00DE4F9F" w:rsidRDefault="00DE4F9F" w:rsidP="795C0CBA">
      <w:pPr>
        <w:contextualSpacing/>
      </w:pPr>
    </w:p>
    <w:p w14:paraId="03D52AF8" w14:textId="2A60BB7F" w:rsidR="00AF4FCC" w:rsidRPr="00AF4FCC" w:rsidRDefault="00AF4FCC" w:rsidP="00AF4FCC">
      <w:pPr>
        <w:contextualSpacing/>
        <w:rPr>
          <w:b/>
          <w:bCs/>
        </w:rPr>
      </w:pPr>
      <w:r w:rsidRPr="00AF4FCC">
        <w:rPr>
          <w:b/>
          <w:bCs/>
        </w:rPr>
        <w:t>Figure 2</w:t>
      </w:r>
      <w:r>
        <w:rPr>
          <w:b/>
          <w:bCs/>
        </w:rPr>
        <w:t>2</w:t>
      </w:r>
      <w:r w:rsidRPr="00AF4FCC">
        <w:rPr>
          <w:b/>
          <w:bCs/>
        </w:rPr>
        <w:t>. Residential Buildings by Change in Assessed Value, 2017</w:t>
      </w:r>
      <w:r w:rsidR="00392DCA">
        <w:rPr>
          <w:b/>
          <w:bCs/>
        </w:rPr>
        <w:t>–</w:t>
      </w:r>
      <w:r w:rsidRPr="00AF4FCC">
        <w:rPr>
          <w:b/>
          <w:bCs/>
        </w:rPr>
        <w:t>2022</w:t>
      </w:r>
    </w:p>
    <w:p w14:paraId="23DE18FA" w14:textId="77777777" w:rsidR="00AF4FCC" w:rsidRDefault="00AF4FCC" w:rsidP="00AF4FCC">
      <w:pPr>
        <w:contextualSpacing/>
      </w:pPr>
      <w:r>
        <w:t>Source: WVU Tabulation of Randolph County Assessment Data</w:t>
      </w:r>
    </w:p>
    <w:p w14:paraId="1A710118" w14:textId="77777777" w:rsidR="00AF4FCC" w:rsidRDefault="00AF4FCC" w:rsidP="00AF4FCC">
      <w:pPr>
        <w:spacing w:line="257" w:lineRule="auto"/>
        <w:contextualSpacing/>
      </w:pPr>
      <w:r>
        <w:rPr>
          <w:noProof/>
        </w:rPr>
        <w:drawing>
          <wp:inline distT="0" distB="0" distL="0" distR="0" wp14:anchorId="7C43BA20" wp14:editId="1534E13F">
            <wp:extent cx="5486400" cy="3303270"/>
            <wp:effectExtent l="0" t="0" r="0" b="0"/>
            <wp:docPr id="1164359106" name="Picture 1164359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5526056" cy="3327146"/>
                    </a:xfrm>
                    <a:prstGeom prst="rect">
                      <a:avLst/>
                    </a:prstGeom>
                  </pic:spPr>
                </pic:pic>
              </a:graphicData>
            </a:graphic>
          </wp:inline>
        </w:drawing>
      </w:r>
    </w:p>
    <w:p w14:paraId="530BA2BA" w14:textId="006EABEA" w:rsidR="00AF4FCC" w:rsidRDefault="00AF4FCC" w:rsidP="795C0CBA">
      <w:pPr>
        <w:contextualSpacing/>
      </w:pPr>
    </w:p>
    <w:p w14:paraId="30C5EA87" w14:textId="33C31190" w:rsidR="00AF4FCC" w:rsidRDefault="00AF4FCC" w:rsidP="795C0CBA">
      <w:pPr>
        <w:contextualSpacing/>
      </w:pPr>
    </w:p>
    <w:p w14:paraId="5D85A275" w14:textId="6AB63C3A" w:rsidR="00AF4FCC" w:rsidRDefault="00AF4FCC" w:rsidP="795C0CBA">
      <w:pPr>
        <w:contextualSpacing/>
      </w:pPr>
    </w:p>
    <w:p w14:paraId="6C317DCB" w14:textId="41B3D732" w:rsidR="00AF4FCC" w:rsidRDefault="00AF4FCC" w:rsidP="795C0CBA">
      <w:pPr>
        <w:contextualSpacing/>
      </w:pPr>
    </w:p>
    <w:p w14:paraId="2B537C25" w14:textId="3CCE6F42" w:rsidR="00AF4FCC" w:rsidRDefault="00AF4FCC" w:rsidP="795C0CBA">
      <w:pPr>
        <w:contextualSpacing/>
      </w:pPr>
    </w:p>
    <w:p w14:paraId="568F0C52" w14:textId="48D87B5B" w:rsidR="00AF4FCC" w:rsidRDefault="00AF4FCC" w:rsidP="795C0CBA">
      <w:pPr>
        <w:contextualSpacing/>
      </w:pPr>
    </w:p>
    <w:p w14:paraId="34013C88" w14:textId="2E7C0B85" w:rsidR="00AF4FCC" w:rsidRDefault="00AF4FCC" w:rsidP="795C0CBA">
      <w:pPr>
        <w:contextualSpacing/>
      </w:pPr>
    </w:p>
    <w:p w14:paraId="67D2A62F" w14:textId="173E541C" w:rsidR="00AF4FCC" w:rsidRDefault="00AF4FCC" w:rsidP="795C0CBA">
      <w:pPr>
        <w:contextualSpacing/>
      </w:pPr>
    </w:p>
    <w:p w14:paraId="4D2D7363" w14:textId="63B0862A" w:rsidR="00AF4FCC" w:rsidRDefault="00AF4FCC" w:rsidP="795C0CBA">
      <w:pPr>
        <w:contextualSpacing/>
      </w:pPr>
    </w:p>
    <w:p w14:paraId="0617D400" w14:textId="5B2CB633" w:rsidR="00AF4FCC" w:rsidRDefault="00AF4FCC" w:rsidP="795C0CBA">
      <w:pPr>
        <w:contextualSpacing/>
      </w:pPr>
    </w:p>
    <w:p w14:paraId="5D56B730" w14:textId="62BEA585" w:rsidR="00AF4FCC" w:rsidRDefault="00AF4FCC" w:rsidP="795C0CBA">
      <w:pPr>
        <w:contextualSpacing/>
      </w:pPr>
    </w:p>
    <w:p w14:paraId="46E0CD89" w14:textId="3939E207" w:rsidR="00AF4FCC" w:rsidRDefault="00AF4FCC" w:rsidP="795C0CBA">
      <w:pPr>
        <w:contextualSpacing/>
      </w:pPr>
    </w:p>
    <w:p w14:paraId="6C2F64B8" w14:textId="7137D596" w:rsidR="00AF4FCC" w:rsidRDefault="00AF4FCC" w:rsidP="795C0CBA">
      <w:pPr>
        <w:contextualSpacing/>
      </w:pPr>
    </w:p>
    <w:p w14:paraId="523B104C" w14:textId="5C05B5A0" w:rsidR="00027E26" w:rsidRPr="00027E26" w:rsidRDefault="00027E26" w:rsidP="00027E26">
      <w:pPr>
        <w:spacing w:after="0" w:line="257" w:lineRule="auto"/>
        <w:rPr>
          <w:rFonts w:ascii="Calibri" w:eastAsia="Calibri" w:hAnsi="Calibri" w:cs="Calibri"/>
          <w:b/>
          <w:bCs/>
        </w:rPr>
      </w:pPr>
      <w:r w:rsidRPr="00027E26">
        <w:rPr>
          <w:rFonts w:ascii="Calibri" w:eastAsia="Calibri" w:hAnsi="Calibri" w:cs="Calibri"/>
          <w:b/>
          <w:bCs/>
        </w:rPr>
        <w:lastRenderedPageBreak/>
        <w:t xml:space="preserve">Figure </w:t>
      </w:r>
      <w:r>
        <w:rPr>
          <w:rFonts w:ascii="Calibri" w:eastAsia="Calibri" w:hAnsi="Calibri" w:cs="Calibri"/>
          <w:b/>
          <w:bCs/>
        </w:rPr>
        <w:t>2</w:t>
      </w:r>
      <w:r w:rsidR="00AF4FCC">
        <w:rPr>
          <w:rFonts w:ascii="Calibri" w:eastAsia="Calibri" w:hAnsi="Calibri" w:cs="Calibri"/>
          <w:b/>
          <w:bCs/>
        </w:rPr>
        <w:t>3</w:t>
      </w:r>
      <w:r w:rsidRPr="00027E26">
        <w:rPr>
          <w:rFonts w:ascii="Calibri" w:eastAsia="Calibri" w:hAnsi="Calibri" w:cs="Calibri"/>
          <w:b/>
          <w:bCs/>
        </w:rPr>
        <w:t xml:space="preserve">. </w:t>
      </w:r>
      <w:r>
        <w:rPr>
          <w:rFonts w:ascii="Calibri" w:eastAsia="Calibri" w:hAnsi="Calibri" w:cs="Calibri"/>
          <w:b/>
          <w:bCs/>
        </w:rPr>
        <w:t xml:space="preserve">Percent </w:t>
      </w:r>
      <w:r w:rsidRPr="00027E26">
        <w:rPr>
          <w:rFonts w:ascii="Calibri" w:eastAsia="Calibri" w:hAnsi="Calibri" w:cs="Calibri"/>
          <w:b/>
          <w:bCs/>
        </w:rPr>
        <w:t xml:space="preserve">Change in </w:t>
      </w:r>
      <w:r>
        <w:rPr>
          <w:rFonts w:ascii="Calibri" w:eastAsia="Calibri" w:hAnsi="Calibri" w:cs="Calibri"/>
          <w:b/>
          <w:bCs/>
        </w:rPr>
        <w:t>Assessed Value</w:t>
      </w:r>
      <w:r w:rsidRPr="00027E26">
        <w:rPr>
          <w:rFonts w:ascii="Calibri" w:eastAsia="Calibri" w:hAnsi="Calibri" w:cs="Calibri"/>
          <w:b/>
          <w:bCs/>
        </w:rPr>
        <w:t xml:space="preserve">, </w:t>
      </w:r>
      <w:r>
        <w:rPr>
          <w:rFonts w:ascii="Calibri" w:eastAsia="Calibri" w:hAnsi="Calibri" w:cs="Calibri"/>
          <w:b/>
          <w:bCs/>
        </w:rPr>
        <w:t xml:space="preserve">Randolph County, </w:t>
      </w:r>
      <w:r w:rsidRPr="00027E26">
        <w:rPr>
          <w:rFonts w:ascii="Calibri" w:eastAsia="Calibri" w:hAnsi="Calibri" w:cs="Calibri"/>
          <w:b/>
          <w:bCs/>
        </w:rPr>
        <w:t>2017</w:t>
      </w:r>
      <w:r w:rsidR="00392DCA">
        <w:rPr>
          <w:rFonts w:ascii="Calibri" w:eastAsia="Calibri" w:hAnsi="Calibri" w:cs="Calibri"/>
          <w:b/>
          <w:bCs/>
        </w:rPr>
        <w:t>–</w:t>
      </w:r>
      <w:r w:rsidRPr="00027E26">
        <w:rPr>
          <w:rFonts w:ascii="Calibri" w:eastAsia="Calibri" w:hAnsi="Calibri" w:cs="Calibri"/>
          <w:b/>
          <w:bCs/>
        </w:rPr>
        <w:t>2022</w:t>
      </w:r>
    </w:p>
    <w:p w14:paraId="084B411B" w14:textId="257A99DA" w:rsidR="00DE4F9F" w:rsidRPr="00027E26" w:rsidRDefault="00027E26" w:rsidP="00027E26">
      <w:pPr>
        <w:spacing w:after="0"/>
        <w:contextualSpacing/>
      </w:pPr>
      <w:r w:rsidRPr="00C86147">
        <w:t>Source: WVU Tabulation of Randolph County Assessment Data</w:t>
      </w:r>
    </w:p>
    <w:p w14:paraId="089E7E94" w14:textId="054330D7" w:rsidR="00AF4FCC" w:rsidRPr="00AF4FCC" w:rsidRDefault="3E78A278" w:rsidP="00AF4FCC">
      <w:pPr>
        <w:contextualSpacing/>
      </w:pPr>
      <w:r>
        <w:rPr>
          <w:noProof/>
        </w:rPr>
        <w:drawing>
          <wp:inline distT="0" distB="0" distL="0" distR="0" wp14:anchorId="5A771ECA" wp14:editId="3D6A0C17">
            <wp:extent cx="6064509" cy="7820025"/>
            <wp:effectExtent l="0" t="0" r="0" b="0"/>
            <wp:docPr id="539682258" name="Picture 539682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682258"/>
                    <pic:cNvPicPr/>
                  </pic:nvPicPr>
                  <pic:blipFill rotWithShape="1">
                    <a:blip r:embed="rId36">
                      <a:extLst>
                        <a:ext uri="{28A0092B-C50C-407E-A947-70E740481C1C}">
                          <a14:useLocalDpi xmlns:a14="http://schemas.microsoft.com/office/drawing/2010/main" val="0"/>
                        </a:ext>
                      </a:extLst>
                    </a:blip>
                    <a:srcRect l="2149" t="1973" r="1366" b="1346"/>
                    <a:stretch/>
                  </pic:blipFill>
                  <pic:spPr bwMode="auto">
                    <a:xfrm>
                      <a:off x="0" y="0"/>
                      <a:ext cx="6113629" cy="7883364"/>
                    </a:xfrm>
                    <a:prstGeom prst="rect">
                      <a:avLst/>
                    </a:prstGeom>
                    <a:ln>
                      <a:noFill/>
                    </a:ln>
                    <a:extLst>
                      <a:ext uri="{53640926-AAD7-44D8-BBD7-CCE9431645EC}">
                        <a14:shadowObscured xmlns:a14="http://schemas.microsoft.com/office/drawing/2010/main"/>
                      </a:ext>
                    </a:extLst>
                  </pic:spPr>
                </pic:pic>
              </a:graphicData>
            </a:graphic>
          </wp:inline>
        </w:drawing>
      </w:r>
    </w:p>
    <w:p w14:paraId="30C9AFB9" w14:textId="6215A7B2" w:rsidR="00AF4FCC" w:rsidRPr="00027E26" w:rsidRDefault="00AF4FCC" w:rsidP="00AF4FCC">
      <w:pPr>
        <w:spacing w:after="0" w:line="257" w:lineRule="auto"/>
        <w:rPr>
          <w:rFonts w:ascii="Calibri" w:eastAsia="Calibri" w:hAnsi="Calibri" w:cs="Calibri"/>
          <w:b/>
          <w:bCs/>
        </w:rPr>
      </w:pPr>
      <w:r w:rsidRPr="00027E26">
        <w:rPr>
          <w:rFonts w:ascii="Calibri" w:eastAsia="Calibri" w:hAnsi="Calibri" w:cs="Calibri"/>
          <w:b/>
          <w:bCs/>
        </w:rPr>
        <w:lastRenderedPageBreak/>
        <w:t xml:space="preserve">Figure </w:t>
      </w:r>
      <w:r>
        <w:rPr>
          <w:rFonts w:ascii="Calibri" w:eastAsia="Calibri" w:hAnsi="Calibri" w:cs="Calibri"/>
          <w:b/>
          <w:bCs/>
        </w:rPr>
        <w:t>24</w:t>
      </w:r>
      <w:r w:rsidRPr="00027E26">
        <w:rPr>
          <w:rFonts w:ascii="Calibri" w:eastAsia="Calibri" w:hAnsi="Calibri" w:cs="Calibri"/>
          <w:b/>
          <w:bCs/>
        </w:rPr>
        <w:t xml:space="preserve">. </w:t>
      </w:r>
      <w:r>
        <w:rPr>
          <w:rFonts w:ascii="Calibri" w:eastAsia="Calibri" w:hAnsi="Calibri" w:cs="Calibri"/>
          <w:b/>
          <w:bCs/>
        </w:rPr>
        <w:t xml:space="preserve">Percent </w:t>
      </w:r>
      <w:r w:rsidRPr="00027E26">
        <w:rPr>
          <w:rFonts w:ascii="Calibri" w:eastAsia="Calibri" w:hAnsi="Calibri" w:cs="Calibri"/>
          <w:b/>
          <w:bCs/>
        </w:rPr>
        <w:t xml:space="preserve">Change in </w:t>
      </w:r>
      <w:r>
        <w:rPr>
          <w:rFonts w:ascii="Calibri" w:eastAsia="Calibri" w:hAnsi="Calibri" w:cs="Calibri"/>
          <w:b/>
          <w:bCs/>
        </w:rPr>
        <w:t>Assessed Value</w:t>
      </w:r>
      <w:r w:rsidRPr="00027E26">
        <w:rPr>
          <w:rFonts w:ascii="Calibri" w:eastAsia="Calibri" w:hAnsi="Calibri" w:cs="Calibri"/>
          <w:b/>
          <w:bCs/>
        </w:rPr>
        <w:t xml:space="preserve">, </w:t>
      </w:r>
      <w:r>
        <w:rPr>
          <w:rFonts w:ascii="Calibri" w:eastAsia="Calibri" w:hAnsi="Calibri" w:cs="Calibri"/>
          <w:b/>
          <w:bCs/>
        </w:rPr>
        <w:t xml:space="preserve">ZIP </w:t>
      </w:r>
      <w:r w:rsidR="00392DCA">
        <w:rPr>
          <w:rFonts w:ascii="Calibri" w:eastAsia="Calibri" w:hAnsi="Calibri" w:cs="Calibri"/>
          <w:b/>
          <w:bCs/>
        </w:rPr>
        <w:t xml:space="preserve">Code </w:t>
      </w:r>
      <w:r>
        <w:rPr>
          <w:rFonts w:ascii="Calibri" w:eastAsia="Calibri" w:hAnsi="Calibri" w:cs="Calibri"/>
          <w:b/>
          <w:bCs/>
        </w:rPr>
        <w:t xml:space="preserve">26241, </w:t>
      </w:r>
      <w:r w:rsidRPr="00027E26">
        <w:rPr>
          <w:rFonts w:ascii="Calibri" w:eastAsia="Calibri" w:hAnsi="Calibri" w:cs="Calibri"/>
          <w:b/>
          <w:bCs/>
        </w:rPr>
        <w:t>2017</w:t>
      </w:r>
      <w:r w:rsidR="00392DCA">
        <w:rPr>
          <w:rFonts w:ascii="Calibri" w:eastAsia="Calibri" w:hAnsi="Calibri" w:cs="Calibri"/>
          <w:b/>
          <w:bCs/>
        </w:rPr>
        <w:t>–</w:t>
      </w:r>
      <w:r w:rsidRPr="00027E26">
        <w:rPr>
          <w:rFonts w:ascii="Calibri" w:eastAsia="Calibri" w:hAnsi="Calibri" w:cs="Calibri"/>
          <w:b/>
          <w:bCs/>
        </w:rPr>
        <w:t>2022</w:t>
      </w:r>
    </w:p>
    <w:p w14:paraId="013468CC" w14:textId="4350F5DC" w:rsidR="003B7D5D" w:rsidRPr="00E25855" w:rsidRDefault="00AF4FCC" w:rsidP="00AF4FCC">
      <w:pPr>
        <w:spacing w:after="0"/>
        <w:contextualSpacing/>
      </w:pPr>
      <w:r w:rsidRPr="00C86147">
        <w:t>Source: WVU Tabulation of Randolph County Assessment Data</w:t>
      </w:r>
      <w:r w:rsidR="175CF838" w:rsidRPr="795C0CBA">
        <w:rPr>
          <w:rFonts w:ascii="Calibri" w:eastAsia="Calibri" w:hAnsi="Calibri" w:cs="Calibri"/>
        </w:rPr>
        <w:t xml:space="preserve"> </w:t>
      </w:r>
    </w:p>
    <w:p w14:paraId="1D02C793" w14:textId="3F2C6AF5" w:rsidR="003B7D5D" w:rsidRDefault="3FA3B45B" w:rsidP="795C0CBA">
      <w:pPr>
        <w:spacing w:line="257" w:lineRule="auto"/>
        <w:contextualSpacing/>
      </w:pPr>
      <w:r>
        <w:rPr>
          <w:noProof/>
        </w:rPr>
        <w:drawing>
          <wp:inline distT="0" distB="0" distL="0" distR="0" wp14:anchorId="058452F4" wp14:editId="5C434F93">
            <wp:extent cx="6076950" cy="7704885"/>
            <wp:effectExtent l="0" t="0" r="0" b="0"/>
            <wp:docPr id="1040598877" name="Picture 1040598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extLst>
                        <a:ext uri="{28A0092B-C50C-407E-A947-70E740481C1C}">
                          <a14:useLocalDpi xmlns:a14="http://schemas.microsoft.com/office/drawing/2010/main" val="0"/>
                        </a:ext>
                      </a:extLst>
                    </a:blip>
                    <a:srcRect l="2244" t="1606" r="1431" b="4253"/>
                    <a:stretch/>
                  </pic:blipFill>
                  <pic:spPr bwMode="auto">
                    <a:xfrm>
                      <a:off x="0" y="0"/>
                      <a:ext cx="6093859" cy="7726324"/>
                    </a:xfrm>
                    <a:prstGeom prst="rect">
                      <a:avLst/>
                    </a:prstGeom>
                    <a:ln>
                      <a:noFill/>
                    </a:ln>
                    <a:extLst>
                      <a:ext uri="{53640926-AAD7-44D8-BBD7-CCE9431645EC}">
                        <a14:shadowObscured xmlns:a14="http://schemas.microsoft.com/office/drawing/2010/main"/>
                      </a:ext>
                    </a:extLst>
                  </pic:spPr>
                </pic:pic>
              </a:graphicData>
            </a:graphic>
          </wp:inline>
        </w:drawing>
      </w:r>
    </w:p>
    <w:p w14:paraId="52BC56EC" w14:textId="73CF3911" w:rsidR="00AF4FCC" w:rsidRPr="00027E26" w:rsidRDefault="00AF4FCC" w:rsidP="00AF4FCC">
      <w:pPr>
        <w:spacing w:after="0" w:line="257" w:lineRule="auto"/>
        <w:rPr>
          <w:rFonts w:ascii="Calibri" w:eastAsia="Calibri" w:hAnsi="Calibri" w:cs="Calibri"/>
          <w:b/>
          <w:bCs/>
        </w:rPr>
      </w:pPr>
      <w:r w:rsidRPr="00027E26">
        <w:rPr>
          <w:rFonts w:ascii="Calibri" w:eastAsia="Calibri" w:hAnsi="Calibri" w:cs="Calibri"/>
          <w:b/>
          <w:bCs/>
        </w:rPr>
        <w:lastRenderedPageBreak/>
        <w:t xml:space="preserve">Figure </w:t>
      </w:r>
      <w:r>
        <w:rPr>
          <w:rFonts w:ascii="Calibri" w:eastAsia="Calibri" w:hAnsi="Calibri" w:cs="Calibri"/>
          <w:b/>
          <w:bCs/>
        </w:rPr>
        <w:t>25</w:t>
      </w:r>
      <w:r w:rsidRPr="00027E26">
        <w:rPr>
          <w:rFonts w:ascii="Calibri" w:eastAsia="Calibri" w:hAnsi="Calibri" w:cs="Calibri"/>
          <w:b/>
          <w:bCs/>
        </w:rPr>
        <w:t xml:space="preserve">. </w:t>
      </w:r>
      <w:r>
        <w:rPr>
          <w:rFonts w:ascii="Calibri" w:eastAsia="Calibri" w:hAnsi="Calibri" w:cs="Calibri"/>
          <w:b/>
          <w:bCs/>
        </w:rPr>
        <w:t xml:space="preserve">Percent </w:t>
      </w:r>
      <w:r w:rsidRPr="00027E26">
        <w:rPr>
          <w:rFonts w:ascii="Calibri" w:eastAsia="Calibri" w:hAnsi="Calibri" w:cs="Calibri"/>
          <w:b/>
          <w:bCs/>
        </w:rPr>
        <w:t xml:space="preserve">Change in </w:t>
      </w:r>
      <w:r>
        <w:rPr>
          <w:rFonts w:ascii="Calibri" w:eastAsia="Calibri" w:hAnsi="Calibri" w:cs="Calibri"/>
          <w:b/>
          <w:bCs/>
        </w:rPr>
        <w:t>Assessed Value</w:t>
      </w:r>
      <w:r w:rsidRPr="00027E26">
        <w:rPr>
          <w:rFonts w:ascii="Calibri" w:eastAsia="Calibri" w:hAnsi="Calibri" w:cs="Calibri"/>
          <w:b/>
          <w:bCs/>
        </w:rPr>
        <w:t xml:space="preserve">, </w:t>
      </w:r>
      <w:r>
        <w:rPr>
          <w:rFonts w:ascii="Calibri" w:eastAsia="Calibri" w:hAnsi="Calibri" w:cs="Calibri"/>
          <w:b/>
          <w:bCs/>
        </w:rPr>
        <w:t xml:space="preserve">City of Elkins, </w:t>
      </w:r>
      <w:r w:rsidRPr="00027E26">
        <w:rPr>
          <w:rFonts w:ascii="Calibri" w:eastAsia="Calibri" w:hAnsi="Calibri" w:cs="Calibri"/>
          <w:b/>
          <w:bCs/>
        </w:rPr>
        <w:t>2017</w:t>
      </w:r>
      <w:r w:rsidR="00392DCA">
        <w:rPr>
          <w:rFonts w:ascii="Calibri" w:eastAsia="Calibri" w:hAnsi="Calibri" w:cs="Calibri"/>
          <w:b/>
          <w:bCs/>
        </w:rPr>
        <w:t>–</w:t>
      </w:r>
      <w:r w:rsidRPr="00027E26">
        <w:rPr>
          <w:rFonts w:ascii="Calibri" w:eastAsia="Calibri" w:hAnsi="Calibri" w:cs="Calibri"/>
          <w:b/>
          <w:bCs/>
        </w:rPr>
        <w:t>2022</w:t>
      </w:r>
    </w:p>
    <w:p w14:paraId="2610208F" w14:textId="4D906CB2" w:rsidR="00DE4F9F" w:rsidRPr="00E25855" w:rsidRDefault="00AF4FCC" w:rsidP="00AF4FCC">
      <w:pPr>
        <w:spacing w:after="0"/>
        <w:contextualSpacing/>
      </w:pPr>
      <w:r w:rsidRPr="00C86147">
        <w:t>Source: WVU Tabulation of Randolph County Assessment Data</w:t>
      </w:r>
      <w:r w:rsidRPr="795C0CBA">
        <w:rPr>
          <w:rFonts w:ascii="Calibri" w:eastAsia="Calibri" w:hAnsi="Calibri" w:cs="Calibri"/>
        </w:rPr>
        <w:t xml:space="preserve"> </w:t>
      </w:r>
    </w:p>
    <w:p w14:paraId="31DD9C88" w14:textId="5CCBB838" w:rsidR="003B7D5D" w:rsidRPr="00E25855" w:rsidRDefault="175CF838" w:rsidP="795C0CBA">
      <w:pPr>
        <w:spacing w:line="257" w:lineRule="auto"/>
        <w:contextualSpacing/>
      </w:pPr>
      <w:r w:rsidRPr="496EF65E">
        <w:rPr>
          <w:rFonts w:ascii="Calibri" w:eastAsia="Calibri" w:hAnsi="Calibri" w:cs="Calibri"/>
        </w:rPr>
        <w:t xml:space="preserve"> </w:t>
      </w:r>
      <w:r w:rsidR="6E808817">
        <w:rPr>
          <w:noProof/>
        </w:rPr>
        <w:drawing>
          <wp:inline distT="0" distB="0" distL="0" distR="0" wp14:anchorId="023261F8" wp14:editId="38AD16EC">
            <wp:extent cx="5895975" cy="7509401"/>
            <wp:effectExtent l="0" t="0" r="0" b="0"/>
            <wp:docPr id="69279588" name="Picture 69279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79588"/>
                    <pic:cNvPicPr/>
                  </pic:nvPicPr>
                  <pic:blipFill rotWithShape="1">
                    <a:blip r:embed="rId38">
                      <a:extLst>
                        <a:ext uri="{28A0092B-C50C-407E-A947-70E740481C1C}">
                          <a14:useLocalDpi xmlns:a14="http://schemas.microsoft.com/office/drawing/2010/main" val="0"/>
                        </a:ext>
                      </a:extLst>
                    </a:blip>
                    <a:srcRect l="1945" t="1749" r="2094" b="4040"/>
                    <a:stretch/>
                  </pic:blipFill>
                  <pic:spPr bwMode="auto">
                    <a:xfrm>
                      <a:off x="0" y="0"/>
                      <a:ext cx="5918490" cy="7538077"/>
                    </a:xfrm>
                    <a:prstGeom prst="rect">
                      <a:avLst/>
                    </a:prstGeom>
                    <a:ln>
                      <a:noFill/>
                    </a:ln>
                    <a:extLst>
                      <a:ext uri="{53640926-AAD7-44D8-BBD7-CCE9431645EC}">
                        <a14:shadowObscured xmlns:a14="http://schemas.microsoft.com/office/drawing/2010/main"/>
                      </a:ext>
                    </a:extLst>
                  </pic:spPr>
                </pic:pic>
              </a:graphicData>
            </a:graphic>
          </wp:inline>
        </w:drawing>
      </w:r>
    </w:p>
    <w:p w14:paraId="766C5528" w14:textId="4291FF9B" w:rsidR="496EF65E" w:rsidRDefault="496EF65E" w:rsidP="496EF65E">
      <w:pPr>
        <w:spacing w:line="257" w:lineRule="auto"/>
        <w:contextualSpacing/>
      </w:pPr>
    </w:p>
    <w:p w14:paraId="7DC5C3D9" w14:textId="72197D43" w:rsidR="003B7D5D" w:rsidRPr="00E25855" w:rsidRDefault="003B7D5D" w:rsidP="003E7473">
      <w:pPr>
        <w:pStyle w:val="Heading2"/>
      </w:pPr>
      <w:bookmarkStart w:id="39" w:name="_Toc120703913"/>
      <w:r w:rsidRPr="496EF65E">
        <w:lastRenderedPageBreak/>
        <w:t>Vacancy</w:t>
      </w:r>
      <w:bookmarkEnd w:id="39"/>
      <w:r w:rsidRPr="496EF65E">
        <w:t xml:space="preserve"> </w:t>
      </w:r>
    </w:p>
    <w:p w14:paraId="44860BFF" w14:textId="50DD93FB" w:rsidR="00DE4F9F" w:rsidRPr="00DE4F9F" w:rsidRDefault="00DE4F9F" w:rsidP="003B7D5D">
      <w:pPr>
        <w:contextualSpacing/>
        <w:rPr>
          <w:b/>
          <w:bCs/>
        </w:rPr>
      </w:pPr>
      <w:r w:rsidRPr="00DE4F9F">
        <w:rPr>
          <w:b/>
          <w:bCs/>
        </w:rPr>
        <w:t xml:space="preserve">Table </w:t>
      </w:r>
      <w:r w:rsidR="00AF4FCC">
        <w:rPr>
          <w:b/>
          <w:bCs/>
        </w:rPr>
        <w:t>12</w:t>
      </w:r>
      <w:r w:rsidRPr="00DE4F9F">
        <w:rPr>
          <w:b/>
          <w:bCs/>
        </w:rPr>
        <w:t>. Vacancies in Randolph County</w:t>
      </w:r>
    </w:p>
    <w:p w14:paraId="26F764F4" w14:textId="150A3AFF" w:rsidR="003B7D5D" w:rsidRDefault="003B7D5D" w:rsidP="003B7D5D">
      <w:pPr>
        <w:contextualSpacing/>
      </w:pPr>
      <w:r>
        <w:t>Source: VCHR Tabulation of 2019 ACS 5-year Estimates</w:t>
      </w:r>
    </w:p>
    <w:tbl>
      <w:tblPr>
        <w:tblStyle w:val="TableGrid"/>
        <w:tblW w:w="0" w:type="auto"/>
        <w:tblLook w:val="04A0" w:firstRow="1" w:lastRow="0" w:firstColumn="1" w:lastColumn="0" w:noHBand="0" w:noVBand="1"/>
      </w:tblPr>
      <w:tblGrid>
        <w:gridCol w:w="3116"/>
        <w:gridCol w:w="3117"/>
        <w:gridCol w:w="3117"/>
      </w:tblGrid>
      <w:tr w:rsidR="003B7D5D" w14:paraId="6F508E1A" w14:textId="77777777" w:rsidTr="00C20538">
        <w:tc>
          <w:tcPr>
            <w:tcW w:w="3116" w:type="dxa"/>
          </w:tcPr>
          <w:p w14:paraId="7BE8A7B3" w14:textId="77777777" w:rsidR="003B7D5D" w:rsidRDefault="003B7D5D" w:rsidP="00C20538">
            <w:pPr>
              <w:contextualSpacing/>
            </w:pPr>
          </w:p>
        </w:tc>
        <w:tc>
          <w:tcPr>
            <w:tcW w:w="3117" w:type="dxa"/>
          </w:tcPr>
          <w:p w14:paraId="27766DAC" w14:textId="77777777" w:rsidR="003B7D5D" w:rsidRDefault="003B7D5D" w:rsidP="00C20538">
            <w:pPr>
              <w:contextualSpacing/>
            </w:pPr>
            <w:r>
              <w:t>Randolph County</w:t>
            </w:r>
          </w:p>
        </w:tc>
        <w:tc>
          <w:tcPr>
            <w:tcW w:w="3117" w:type="dxa"/>
          </w:tcPr>
          <w:p w14:paraId="055A2BD7" w14:textId="312BBDC3" w:rsidR="003B7D5D" w:rsidRPr="00A756DF" w:rsidRDefault="00A756DF" w:rsidP="00C20538">
            <w:pPr>
              <w:rPr>
                <w:rFonts w:ascii="Arial" w:hAnsi="Arial" w:cs="Arial"/>
                <w:color w:val="000000"/>
                <w:sz w:val="20"/>
                <w:szCs w:val="20"/>
              </w:rPr>
            </w:pPr>
            <w:r>
              <w:rPr>
                <w:rFonts w:ascii="Arial" w:hAnsi="Arial" w:cs="Arial"/>
                <w:color w:val="000000"/>
                <w:sz w:val="20"/>
                <w:szCs w:val="20"/>
              </w:rPr>
              <w:t xml:space="preserve">ZIP </w:t>
            </w:r>
            <w:r w:rsidR="00FC2DBA">
              <w:rPr>
                <w:rFonts w:ascii="Arial" w:hAnsi="Arial" w:cs="Arial"/>
                <w:color w:val="000000"/>
                <w:sz w:val="20"/>
                <w:szCs w:val="20"/>
              </w:rPr>
              <w:t xml:space="preserve">Code </w:t>
            </w:r>
            <w:r>
              <w:rPr>
                <w:rFonts w:ascii="Arial" w:hAnsi="Arial" w:cs="Arial"/>
                <w:color w:val="000000"/>
                <w:sz w:val="20"/>
                <w:szCs w:val="20"/>
              </w:rPr>
              <w:t>26241</w:t>
            </w:r>
          </w:p>
        </w:tc>
      </w:tr>
      <w:tr w:rsidR="003B7D5D" w14:paraId="23C567F7" w14:textId="77777777" w:rsidTr="00C20538">
        <w:tc>
          <w:tcPr>
            <w:tcW w:w="3116" w:type="dxa"/>
          </w:tcPr>
          <w:p w14:paraId="006861BA" w14:textId="77777777" w:rsidR="003B7D5D" w:rsidRDefault="003B7D5D" w:rsidP="00C20538">
            <w:pPr>
              <w:contextualSpacing/>
            </w:pPr>
            <w:r>
              <w:t>Market Vacancy Rate</w:t>
            </w:r>
          </w:p>
        </w:tc>
        <w:tc>
          <w:tcPr>
            <w:tcW w:w="3117" w:type="dxa"/>
          </w:tcPr>
          <w:p w14:paraId="3F79CDCC" w14:textId="3BD740C6" w:rsidR="003B7D5D" w:rsidRDefault="003B7D5D" w:rsidP="00C20538">
            <w:pPr>
              <w:contextualSpacing/>
            </w:pPr>
            <w:r>
              <w:t>2</w:t>
            </w:r>
            <w:r w:rsidR="00921D6A">
              <w:t>–</w:t>
            </w:r>
            <w:r>
              <w:t>5%</w:t>
            </w:r>
          </w:p>
        </w:tc>
        <w:tc>
          <w:tcPr>
            <w:tcW w:w="3117" w:type="dxa"/>
          </w:tcPr>
          <w:p w14:paraId="3ED8F1EA" w14:textId="4BDCC5C5" w:rsidR="003B7D5D" w:rsidRDefault="003B7D5D" w:rsidP="00C20538">
            <w:pPr>
              <w:contextualSpacing/>
            </w:pPr>
            <w:r>
              <w:t>2</w:t>
            </w:r>
            <w:r w:rsidR="00921D6A">
              <w:t>–</w:t>
            </w:r>
            <w:r w:rsidR="00A756DF">
              <w:t>7</w:t>
            </w:r>
            <w:r>
              <w:t>%</w:t>
            </w:r>
          </w:p>
        </w:tc>
      </w:tr>
      <w:tr w:rsidR="003B7D5D" w14:paraId="0A311BA2" w14:textId="77777777" w:rsidTr="00C20538">
        <w:tc>
          <w:tcPr>
            <w:tcW w:w="3116" w:type="dxa"/>
          </w:tcPr>
          <w:p w14:paraId="67322CEB" w14:textId="77777777" w:rsidR="003B7D5D" w:rsidRDefault="003B7D5D" w:rsidP="00C20538">
            <w:pPr>
              <w:contextualSpacing/>
            </w:pPr>
            <w:r>
              <w:t>Seasonal Vacancies</w:t>
            </w:r>
          </w:p>
        </w:tc>
        <w:tc>
          <w:tcPr>
            <w:tcW w:w="3117" w:type="dxa"/>
          </w:tcPr>
          <w:p w14:paraId="0AF22A70" w14:textId="77777777" w:rsidR="003B7D5D" w:rsidRDefault="003B7D5D" w:rsidP="00C20538">
            <w:pPr>
              <w:contextualSpacing/>
            </w:pPr>
            <w:r>
              <w:t>1,519 (48% of vacancy)</w:t>
            </w:r>
          </w:p>
        </w:tc>
        <w:tc>
          <w:tcPr>
            <w:tcW w:w="3117" w:type="dxa"/>
          </w:tcPr>
          <w:p w14:paraId="0752AFDB" w14:textId="7D7B146E" w:rsidR="003B7D5D" w:rsidRDefault="000F24B7" w:rsidP="00C20538">
            <w:pPr>
              <w:contextualSpacing/>
            </w:pPr>
            <w:r>
              <w:t>341</w:t>
            </w:r>
            <w:r w:rsidR="005D2632">
              <w:t xml:space="preserve"> </w:t>
            </w:r>
            <w:r w:rsidR="003B7D5D">
              <w:t>(</w:t>
            </w:r>
            <w:r w:rsidR="00F77826">
              <w:t>32</w:t>
            </w:r>
            <w:r w:rsidR="003B7D5D">
              <w:t>% of vacancy)</w:t>
            </w:r>
          </w:p>
        </w:tc>
      </w:tr>
      <w:tr w:rsidR="003B7D5D" w14:paraId="4EDCEEC2" w14:textId="77777777" w:rsidTr="00C20538">
        <w:tc>
          <w:tcPr>
            <w:tcW w:w="3116" w:type="dxa"/>
          </w:tcPr>
          <w:p w14:paraId="18FDDCBD" w14:textId="77777777" w:rsidR="003B7D5D" w:rsidRDefault="003B7D5D" w:rsidP="00C20538">
            <w:pPr>
              <w:contextualSpacing/>
            </w:pPr>
            <w:r>
              <w:t>Long-term Vacancies</w:t>
            </w:r>
          </w:p>
        </w:tc>
        <w:tc>
          <w:tcPr>
            <w:tcW w:w="3117" w:type="dxa"/>
          </w:tcPr>
          <w:p w14:paraId="5E09EBB1" w14:textId="77777777" w:rsidR="003B7D5D" w:rsidRDefault="003B7D5D" w:rsidP="00C20538">
            <w:pPr>
              <w:contextualSpacing/>
            </w:pPr>
            <w:r>
              <w:t>948 (30% of vacancy)</w:t>
            </w:r>
          </w:p>
        </w:tc>
        <w:tc>
          <w:tcPr>
            <w:tcW w:w="3117" w:type="dxa"/>
          </w:tcPr>
          <w:p w14:paraId="3DA3C582" w14:textId="4762CBC7" w:rsidR="003B7D5D" w:rsidRDefault="000F24B7" w:rsidP="00C20538">
            <w:pPr>
              <w:contextualSpacing/>
            </w:pPr>
            <w:r>
              <w:t>335</w:t>
            </w:r>
            <w:r w:rsidR="003B7D5D">
              <w:t xml:space="preserve"> (3</w:t>
            </w:r>
            <w:r>
              <w:t>1</w:t>
            </w:r>
            <w:r w:rsidR="003B7D5D">
              <w:t>% of vacancy)</w:t>
            </w:r>
          </w:p>
        </w:tc>
      </w:tr>
    </w:tbl>
    <w:p w14:paraId="4455D465" w14:textId="77777777" w:rsidR="00AB2A6D" w:rsidRDefault="00AB2A6D" w:rsidP="003B7D5D">
      <w:pPr>
        <w:contextualSpacing/>
        <w:rPr>
          <w:rFonts w:cstheme="minorHAnsi"/>
        </w:rPr>
      </w:pPr>
    </w:p>
    <w:p w14:paraId="0CC05CD9" w14:textId="53D1660F" w:rsidR="003B7D5D" w:rsidRDefault="00212BA4" w:rsidP="4C6DF855">
      <w:pPr>
        <w:contextualSpacing/>
      </w:pPr>
      <w:r w:rsidRPr="7DFA81C2">
        <w:t>The County and Elkins-area m</w:t>
      </w:r>
      <w:r w:rsidR="003B7D5D">
        <w:t xml:space="preserve">arket vacancy rate (for rent/for sale) is in a healthy range, </w:t>
      </w:r>
      <w:r w:rsidR="005D2632">
        <w:t>showing</w:t>
      </w:r>
      <w:r w:rsidR="00921D6A">
        <w:t xml:space="preserve"> that </w:t>
      </w:r>
      <w:r w:rsidR="003B7D5D">
        <w:t xml:space="preserve">units can be added </w:t>
      </w:r>
      <w:r w:rsidR="005D2632">
        <w:t>while</w:t>
      </w:r>
      <w:r w:rsidR="003B7D5D">
        <w:t xml:space="preserve"> absorption remains strong.</w:t>
      </w:r>
      <w:r>
        <w:t xml:space="preserve"> The Elkins-area vacancy rate is slightly higher than the </w:t>
      </w:r>
      <w:r w:rsidR="00175096">
        <w:t>County</w:t>
      </w:r>
      <w:r w:rsidR="005B757B">
        <w:t>.</w:t>
      </w:r>
      <w:r>
        <w:t xml:space="preserve"> </w:t>
      </w:r>
      <w:r w:rsidR="005B757B">
        <w:t>Thus,</w:t>
      </w:r>
      <w:r>
        <w:t xml:space="preserve"> units in the Elkins area may experience more turnover or may include units that are less desirable </w:t>
      </w:r>
      <w:r w:rsidR="005B757B">
        <w:t>owing to</w:t>
      </w:r>
      <w:r>
        <w:t xml:space="preserve"> need or preference (</w:t>
      </w:r>
      <w:r w:rsidR="7C67EA1C">
        <w:t>e.g.,</w:t>
      </w:r>
      <w:r>
        <w:t xml:space="preserve"> size, affordability, condition, or location).</w:t>
      </w:r>
      <w:r w:rsidR="002E128E">
        <w:t xml:space="preserve"> </w:t>
      </w:r>
      <w:r w:rsidR="68DB6993">
        <w:t>Stakeholders in Elkins indicated that rental d</w:t>
      </w:r>
      <w:r w:rsidR="68DB6993" w:rsidRPr="7DFA81C2">
        <w:rPr>
          <w:rFonts w:ascii="Calibri" w:eastAsia="Calibri" w:hAnsi="Calibri" w:cs="Calibri"/>
        </w:rPr>
        <w:t xml:space="preserve">emand was </w:t>
      </w:r>
      <w:r w:rsidR="005B757B">
        <w:rPr>
          <w:rFonts w:ascii="Calibri" w:eastAsia="Calibri" w:hAnsi="Calibri" w:cs="Calibri"/>
        </w:rPr>
        <w:t xml:space="preserve">sufficiently </w:t>
      </w:r>
      <w:r w:rsidR="1A371F4A" w:rsidRPr="7DFA81C2">
        <w:rPr>
          <w:rFonts w:ascii="Calibri" w:eastAsia="Calibri" w:hAnsi="Calibri" w:cs="Calibri"/>
        </w:rPr>
        <w:t>strong tha</w:t>
      </w:r>
      <w:r w:rsidR="68DB6993" w:rsidRPr="7DFA81C2">
        <w:rPr>
          <w:rFonts w:ascii="Calibri" w:eastAsia="Calibri" w:hAnsi="Calibri" w:cs="Calibri"/>
        </w:rPr>
        <w:t xml:space="preserve">t </w:t>
      </w:r>
      <w:r w:rsidR="66CAC70C" w:rsidRPr="7DFA81C2">
        <w:rPr>
          <w:rFonts w:ascii="Calibri" w:eastAsia="Calibri" w:hAnsi="Calibri" w:cs="Calibri"/>
        </w:rPr>
        <w:t>property owners</w:t>
      </w:r>
      <w:r w:rsidR="68DB6993" w:rsidRPr="7DFA81C2">
        <w:rPr>
          <w:rFonts w:ascii="Calibri" w:eastAsia="Calibri" w:hAnsi="Calibri" w:cs="Calibri"/>
        </w:rPr>
        <w:t xml:space="preserve"> with well-maintained units could be selective in tenant choice</w:t>
      </w:r>
      <w:r w:rsidR="60F79C96" w:rsidRPr="7DFA81C2">
        <w:rPr>
          <w:rFonts w:ascii="Calibri" w:eastAsia="Calibri" w:hAnsi="Calibri" w:cs="Calibri"/>
        </w:rPr>
        <w:t>. I</w:t>
      </w:r>
      <w:r w:rsidR="68DB6993" w:rsidRPr="7DFA81C2">
        <w:rPr>
          <w:rFonts w:ascii="Calibri" w:eastAsia="Calibri" w:hAnsi="Calibri" w:cs="Calibri"/>
        </w:rPr>
        <w:t>n some areas (Edgewater and David Street)</w:t>
      </w:r>
      <w:r w:rsidR="00B75E3C">
        <w:rPr>
          <w:rFonts w:ascii="Calibri" w:eastAsia="Calibri" w:hAnsi="Calibri" w:cs="Calibri"/>
        </w:rPr>
        <w:t>,</w:t>
      </w:r>
      <w:r w:rsidR="68DB6993" w:rsidRPr="7DFA81C2">
        <w:rPr>
          <w:rFonts w:ascii="Calibri" w:eastAsia="Calibri" w:hAnsi="Calibri" w:cs="Calibri"/>
        </w:rPr>
        <w:t xml:space="preserve"> </w:t>
      </w:r>
      <w:r w:rsidR="2252B765" w:rsidRPr="7DFA81C2">
        <w:rPr>
          <w:rFonts w:ascii="Calibri" w:eastAsia="Calibri" w:hAnsi="Calibri" w:cs="Calibri"/>
        </w:rPr>
        <w:t>property owners</w:t>
      </w:r>
      <w:r w:rsidR="68DB6993" w:rsidRPr="7DFA81C2">
        <w:rPr>
          <w:rFonts w:ascii="Calibri" w:eastAsia="Calibri" w:hAnsi="Calibri" w:cs="Calibri"/>
        </w:rPr>
        <w:t xml:space="preserve"> </w:t>
      </w:r>
      <w:r w:rsidR="21E1CFE1" w:rsidRPr="7DFA81C2">
        <w:rPr>
          <w:rFonts w:ascii="Calibri" w:eastAsia="Calibri" w:hAnsi="Calibri" w:cs="Calibri"/>
        </w:rPr>
        <w:t>we</w:t>
      </w:r>
      <w:r w:rsidR="68DB6993" w:rsidRPr="7DFA81C2">
        <w:rPr>
          <w:rFonts w:ascii="Calibri" w:eastAsia="Calibri" w:hAnsi="Calibri" w:cs="Calibri"/>
        </w:rPr>
        <w:t xml:space="preserve">re allowing renters to break lease agreements because they </w:t>
      </w:r>
      <w:r w:rsidR="791CB6A7" w:rsidRPr="7DFA81C2">
        <w:rPr>
          <w:rFonts w:ascii="Calibri" w:eastAsia="Calibri" w:hAnsi="Calibri" w:cs="Calibri"/>
        </w:rPr>
        <w:t>maintained</w:t>
      </w:r>
      <w:r w:rsidR="68DB6993" w:rsidRPr="7DFA81C2">
        <w:rPr>
          <w:rFonts w:ascii="Calibri" w:eastAsia="Calibri" w:hAnsi="Calibri" w:cs="Calibri"/>
        </w:rPr>
        <w:t xml:space="preserve"> </w:t>
      </w:r>
      <w:r w:rsidR="6E14A1DF" w:rsidRPr="7DFA81C2">
        <w:rPr>
          <w:rFonts w:ascii="Calibri" w:eastAsia="Calibri" w:hAnsi="Calibri" w:cs="Calibri"/>
        </w:rPr>
        <w:t>waiting lists for the property</w:t>
      </w:r>
      <w:r w:rsidR="68DB6993" w:rsidRPr="7DFA81C2">
        <w:rPr>
          <w:rFonts w:ascii="Calibri" w:eastAsia="Calibri" w:hAnsi="Calibri" w:cs="Calibri"/>
        </w:rPr>
        <w:t xml:space="preserve">. </w:t>
      </w:r>
      <w:r w:rsidR="009C3ADA">
        <w:rPr>
          <w:rFonts w:ascii="Calibri" w:eastAsia="Calibri" w:hAnsi="Calibri" w:cs="Calibri"/>
        </w:rPr>
        <w:t>R</w:t>
      </w:r>
      <w:r w:rsidR="42576A30">
        <w:t>elators</w:t>
      </w:r>
      <w:r w:rsidR="000D6DD9">
        <w:t xml:space="preserve"> and lenders confirmed </w:t>
      </w:r>
      <w:r w:rsidR="009C3ADA">
        <w:t xml:space="preserve">that the </w:t>
      </w:r>
      <w:r w:rsidR="009C3ADA" w:rsidRPr="7DFA81C2">
        <w:rPr>
          <w:rFonts w:ascii="Calibri" w:eastAsia="Calibri" w:hAnsi="Calibri" w:cs="Calibri"/>
        </w:rPr>
        <w:t>for-sale propert</w:t>
      </w:r>
      <w:r w:rsidR="009C3ADA">
        <w:rPr>
          <w:rFonts w:ascii="Calibri" w:eastAsia="Calibri" w:hAnsi="Calibri" w:cs="Calibri"/>
        </w:rPr>
        <w:t>y</w:t>
      </w:r>
      <w:r w:rsidR="009C3ADA" w:rsidRPr="7DFA81C2">
        <w:rPr>
          <w:rFonts w:ascii="Calibri" w:eastAsia="Calibri" w:hAnsi="Calibri" w:cs="Calibri"/>
        </w:rPr>
        <w:t xml:space="preserve"> </w:t>
      </w:r>
      <w:r w:rsidR="000D6DD9">
        <w:t xml:space="preserve">market </w:t>
      </w:r>
      <w:r w:rsidR="009C3ADA">
        <w:t xml:space="preserve">is </w:t>
      </w:r>
      <w:r w:rsidR="000D6DD9">
        <w:t>health</w:t>
      </w:r>
      <w:r w:rsidR="009C3ADA">
        <w:t>y</w:t>
      </w:r>
      <w:r w:rsidR="000D6DD9">
        <w:t xml:space="preserve">, suggesting that most homes </w:t>
      </w:r>
      <w:r w:rsidR="00FC588F">
        <w:t xml:space="preserve">of adequate size, type, </w:t>
      </w:r>
      <w:r w:rsidR="00FAA264">
        <w:t>condition,</w:t>
      </w:r>
      <w:r w:rsidR="00FC588F">
        <w:t xml:space="preserve"> and location </w:t>
      </w:r>
      <w:r w:rsidR="001927CC">
        <w:t xml:space="preserve">are </w:t>
      </w:r>
      <w:r w:rsidR="00BE1A43">
        <w:t>sold in 20</w:t>
      </w:r>
      <w:r w:rsidR="001927CC">
        <w:t>–</w:t>
      </w:r>
      <w:r w:rsidR="00BE1A43">
        <w:t xml:space="preserve">30 days. </w:t>
      </w:r>
      <w:r w:rsidR="00655BE3">
        <w:t xml:space="preserve">Median days on the market </w:t>
      </w:r>
      <w:r w:rsidR="001927CC">
        <w:t>(</w:t>
      </w:r>
      <w:r w:rsidR="00655BE3">
        <w:t xml:space="preserve">approximately 30 </w:t>
      </w:r>
      <w:r w:rsidR="001927CC">
        <w:t xml:space="preserve">days) </w:t>
      </w:r>
      <w:r w:rsidR="00655BE3">
        <w:t>allow</w:t>
      </w:r>
      <w:r w:rsidR="001927CC">
        <w:t>s</w:t>
      </w:r>
      <w:r w:rsidR="00655BE3">
        <w:t xml:space="preserve"> sellers to sell their home in a reasonable amount of time and allow</w:t>
      </w:r>
      <w:r w:rsidR="001927CC">
        <w:t>s</w:t>
      </w:r>
      <w:r w:rsidR="00655BE3">
        <w:t xml:space="preserve"> buyers </w:t>
      </w:r>
      <w:proofErr w:type="gramStart"/>
      <w:r w:rsidR="001927CC">
        <w:t>sufficient</w:t>
      </w:r>
      <w:proofErr w:type="gramEnd"/>
      <w:r w:rsidR="001927CC">
        <w:t xml:space="preserve"> </w:t>
      </w:r>
      <w:r w:rsidR="00655BE3">
        <w:t xml:space="preserve">time to </w:t>
      </w:r>
      <w:r w:rsidR="00851A87">
        <w:t>conduct important consultations</w:t>
      </w:r>
      <w:r w:rsidR="00655BE3">
        <w:t xml:space="preserve"> </w:t>
      </w:r>
      <w:r w:rsidR="00851A87">
        <w:t xml:space="preserve">such as </w:t>
      </w:r>
      <w:r w:rsidR="00655BE3">
        <w:t xml:space="preserve">home inspections </w:t>
      </w:r>
      <w:r w:rsidR="00851A87">
        <w:t>before choosing their home</w:t>
      </w:r>
      <w:r w:rsidR="00655BE3">
        <w:t xml:space="preserve">. </w:t>
      </w:r>
    </w:p>
    <w:p w14:paraId="14B36157" w14:textId="40A9FCC7" w:rsidR="00655BE3" w:rsidRDefault="00655BE3" w:rsidP="003B7D5D">
      <w:pPr>
        <w:contextualSpacing/>
      </w:pPr>
    </w:p>
    <w:p w14:paraId="545344A5" w14:textId="609E2FA3" w:rsidR="00655BE3" w:rsidRDefault="00655BE3" w:rsidP="4C6DF855">
      <w:pPr>
        <w:contextualSpacing/>
        <w:rPr>
          <w:highlight w:val="yellow"/>
        </w:rPr>
      </w:pPr>
      <w:r>
        <w:t>These countywide market trends are not experienced evenly throughout the market. Some places are in higher or lower demand</w:t>
      </w:r>
      <w:r w:rsidR="003161A7">
        <w:t>,</w:t>
      </w:r>
      <w:r>
        <w:t xml:space="preserve"> or </w:t>
      </w:r>
      <w:r w:rsidR="003161A7">
        <w:t xml:space="preserve">they </w:t>
      </w:r>
      <w:r>
        <w:t xml:space="preserve">may experience more activity and turnover than others. </w:t>
      </w:r>
      <w:r w:rsidR="124E757C">
        <w:t xml:space="preserve">For example, in very rural </w:t>
      </w:r>
      <w:r w:rsidR="35B968DE">
        <w:t>communities</w:t>
      </w:r>
      <w:r w:rsidR="124E757C">
        <w:t xml:space="preserve"> like Harman, stakeholders </w:t>
      </w:r>
      <w:r w:rsidR="007A001D">
        <w:t xml:space="preserve">mentioned that </w:t>
      </w:r>
      <w:r w:rsidR="52799485">
        <w:t xml:space="preserve">very </w:t>
      </w:r>
      <w:r w:rsidR="0BEF0F76">
        <w:t xml:space="preserve">few properties </w:t>
      </w:r>
      <w:r w:rsidR="007A001D">
        <w:t xml:space="preserve">were </w:t>
      </w:r>
      <w:r w:rsidR="0BEF0F76">
        <w:t xml:space="preserve">available for sale or </w:t>
      </w:r>
      <w:r w:rsidR="007A001D">
        <w:t xml:space="preserve">for </w:t>
      </w:r>
      <w:r w:rsidR="0BEF0F76">
        <w:t>rent and</w:t>
      </w:r>
      <w:r w:rsidR="6BBE83D2">
        <w:t xml:space="preserve"> </w:t>
      </w:r>
      <w:r w:rsidR="007A001D">
        <w:t xml:space="preserve">that there was </w:t>
      </w:r>
      <w:r w:rsidR="6BBE83D2">
        <w:t>little demand</w:t>
      </w:r>
      <w:r w:rsidR="2C657334">
        <w:t xml:space="preserve"> </w:t>
      </w:r>
      <w:r w:rsidR="77064A92">
        <w:t>immediately</w:t>
      </w:r>
      <w:r w:rsidR="6BBE83D2">
        <w:t xml:space="preserve"> in town</w:t>
      </w:r>
      <w:r w:rsidR="778A7CB4">
        <w:t xml:space="preserve">. In contrast, </w:t>
      </w:r>
      <w:r w:rsidR="7E6EE8AC">
        <w:t xml:space="preserve">homes in </w:t>
      </w:r>
      <w:r w:rsidR="3870D58A">
        <w:t xml:space="preserve">mixed </w:t>
      </w:r>
      <w:r w:rsidR="6ACCC015">
        <w:t>and upper-</w:t>
      </w:r>
      <w:r w:rsidR="3870D58A">
        <w:t xml:space="preserve">income subdivisions </w:t>
      </w:r>
      <w:r w:rsidR="2701EBBC">
        <w:t>close to Elkins like</w:t>
      </w:r>
      <w:r w:rsidR="3870D58A">
        <w:t xml:space="preserve"> </w:t>
      </w:r>
      <w:r w:rsidR="7E6EE8AC">
        <w:t xml:space="preserve">Highland Meadows </w:t>
      </w:r>
      <w:r w:rsidR="083FE5BE">
        <w:t>and</w:t>
      </w:r>
      <w:r w:rsidR="7791C17D">
        <w:t xml:space="preserve"> </w:t>
      </w:r>
      <w:r w:rsidR="7E6EE8AC">
        <w:t xml:space="preserve">Sullivan’s Crossing </w:t>
      </w:r>
      <w:r w:rsidR="6E286C5A">
        <w:t>were selling quickly.</w:t>
      </w:r>
    </w:p>
    <w:p w14:paraId="4E69FE42" w14:textId="534BF80D" w:rsidR="00AB2A6D" w:rsidRDefault="00AB2A6D" w:rsidP="003B7D5D">
      <w:pPr>
        <w:contextualSpacing/>
      </w:pPr>
    </w:p>
    <w:p w14:paraId="2477EEE7" w14:textId="70F0CD1A" w:rsidR="00AB2A6D" w:rsidRPr="00212BA4" w:rsidRDefault="00AB2A6D" w:rsidP="003B7D5D">
      <w:pPr>
        <w:contextualSpacing/>
      </w:pPr>
      <w:r>
        <w:t xml:space="preserve">Seasonal and long-term vacancies account for the largest share of total vacancies. Seasonal vacancies </w:t>
      </w:r>
      <w:r w:rsidR="141BD75C">
        <w:t>are</w:t>
      </w:r>
      <w:r>
        <w:t xml:space="preserve"> held for seasonal use</w:t>
      </w:r>
      <w:r w:rsidR="007E3933">
        <w:t xml:space="preserve"> and </w:t>
      </w:r>
      <w:r w:rsidR="000D426B">
        <w:t xml:space="preserve">are </w:t>
      </w:r>
      <w:r>
        <w:t xml:space="preserve">not for rent or sale. Long-term vacancies are </w:t>
      </w:r>
      <w:r w:rsidR="007A5D61">
        <w:t xml:space="preserve">properties that are </w:t>
      </w:r>
      <w:r>
        <w:t xml:space="preserve">abandoned, slated for demolition, or otherwise vacant for the </w:t>
      </w:r>
      <w:r w:rsidR="02DE20F8">
        <w:t>long term</w:t>
      </w:r>
      <w:r>
        <w:t xml:space="preserve"> (</w:t>
      </w:r>
      <w:r w:rsidR="44D9FBB5">
        <w:t>e.g.,</w:t>
      </w:r>
      <w:r>
        <w:t xml:space="preserve"> the owner has relocated to long-term care but still owns the home). </w:t>
      </w:r>
      <w:r w:rsidR="007A5D61">
        <w:t>L</w:t>
      </w:r>
      <w:r>
        <w:t xml:space="preserve">ong-term vacancies may present an opportunity for reinvestment or redevelopment </w:t>
      </w:r>
      <w:r w:rsidR="54223333">
        <w:t>if</w:t>
      </w:r>
      <w:r>
        <w:t xml:space="preserve"> they </w:t>
      </w:r>
      <w:r w:rsidR="32A48762">
        <w:t>are in</w:t>
      </w:r>
      <w:r>
        <w:t xml:space="preserve"> desirable places and can respond to prevailing household demand trends.</w:t>
      </w:r>
    </w:p>
    <w:p w14:paraId="3C8FC5DE" w14:textId="77777777" w:rsidR="00D07AC6" w:rsidRDefault="00D07AC6"/>
    <w:p w14:paraId="4FC57805" w14:textId="77777777" w:rsidR="00A25243" w:rsidRDefault="00A25243" w:rsidP="00A25243">
      <w:pPr>
        <w:pStyle w:val="Heading1"/>
      </w:pPr>
      <w:bookmarkStart w:id="40" w:name="_Toc62593603"/>
      <w:bookmarkStart w:id="41" w:name="_Toc120703914"/>
      <w:r>
        <w:t>Housing Costs</w:t>
      </w:r>
      <w:bookmarkEnd w:id="40"/>
      <w:bookmarkEnd w:id="41"/>
    </w:p>
    <w:p w14:paraId="4A5AC20A" w14:textId="124EB598" w:rsidR="003335E0" w:rsidRDefault="00C44E33" w:rsidP="003335E0">
      <w:pPr>
        <w:spacing w:after="0"/>
      </w:pPr>
      <w:r>
        <w:t>Median selected owner costs include mortgage or other home loan payments, real estate taxes, various forms of insurance, utilities, fuels, and/or condominium fees. Median monthly housing costs in Randolph County range from $617 for renters in the Elkins area to $932 for owners with a mortgage.</w:t>
      </w:r>
      <w:r w:rsidR="003335E0">
        <w:t xml:space="preserve"> </w:t>
      </w:r>
      <w:r>
        <w:t>Owner costs are in the midrange for counties in the commute shed, higher than those in Webster and Tucker</w:t>
      </w:r>
      <w:r w:rsidR="008462BD">
        <w:t>,</w:t>
      </w:r>
      <w:r>
        <w:t xml:space="preserve"> and lower than those in Upshur and Barbour. However, rent in the County is among the highest in the commute shed</w:t>
      </w:r>
      <w:r w:rsidR="00BA241A">
        <w:rPr>
          <w:rFonts w:cstheme="minorHAnsi"/>
        </w:rPr>
        <w:t>—</w:t>
      </w:r>
      <w:r w:rsidR="003335E0">
        <w:t xml:space="preserve">only Upshur County </w:t>
      </w:r>
      <w:r w:rsidR="00BA241A">
        <w:t xml:space="preserve">has </w:t>
      </w:r>
      <w:r w:rsidR="003335E0">
        <w:t xml:space="preserve">higher rents. In the </w:t>
      </w:r>
      <w:r w:rsidR="00BA241A">
        <w:t xml:space="preserve">County </w:t>
      </w:r>
      <w:r w:rsidR="003335E0">
        <w:t>and in the Elkins area</w:t>
      </w:r>
      <w:r w:rsidR="14EFF920">
        <w:t>,</w:t>
      </w:r>
      <w:r w:rsidR="003335E0">
        <w:t xml:space="preserve"> rents and owner costs have increased substantially since 2017.</w:t>
      </w:r>
    </w:p>
    <w:p w14:paraId="2CA745FF" w14:textId="3D1320C1" w:rsidR="004E3AAE" w:rsidRDefault="004E3AAE" w:rsidP="004E3AAE">
      <w:pPr>
        <w:contextualSpacing/>
        <w:rPr>
          <w:b/>
        </w:rPr>
      </w:pPr>
      <w:r>
        <w:rPr>
          <w:b/>
        </w:rPr>
        <w:lastRenderedPageBreak/>
        <w:t xml:space="preserve">Figure </w:t>
      </w:r>
      <w:r w:rsidR="00DE4F9F">
        <w:rPr>
          <w:b/>
        </w:rPr>
        <w:t>2</w:t>
      </w:r>
      <w:r w:rsidR="00AF4FCC">
        <w:rPr>
          <w:b/>
        </w:rPr>
        <w:t>6</w:t>
      </w:r>
      <w:r>
        <w:rPr>
          <w:b/>
        </w:rPr>
        <w:t>. Gross Rent</w:t>
      </w:r>
    </w:p>
    <w:p w14:paraId="7F2A204F" w14:textId="709939E5" w:rsidR="004E3AAE" w:rsidRDefault="004E3AAE">
      <w:r w:rsidRPr="007B5E7C">
        <w:t>Source: VCHR tabulation of</w:t>
      </w:r>
      <w:r w:rsidR="00011E92">
        <w:t xml:space="preserve"> 2011</w:t>
      </w:r>
      <w:r w:rsidR="00BA241A">
        <w:t>–</w:t>
      </w:r>
      <w:r w:rsidRPr="007B5E7C">
        <w:t>2019 ACS 5-year Estimates</w:t>
      </w:r>
    </w:p>
    <w:p w14:paraId="483EB159" w14:textId="2DDECBF7" w:rsidR="00220FF5" w:rsidRDefault="00220FF5">
      <w:r>
        <w:rPr>
          <w:noProof/>
        </w:rPr>
        <w:drawing>
          <wp:inline distT="0" distB="0" distL="0" distR="0" wp14:anchorId="57438DCF" wp14:editId="1C842BAF">
            <wp:extent cx="5943600" cy="2965450"/>
            <wp:effectExtent l="0" t="0" r="0" b="6350"/>
            <wp:docPr id="37" name="Chart 37">
              <a:extLst xmlns:a="http://schemas.openxmlformats.org/drawingml/2006/main">
                <a:ext uri="{FF2B5EF4-FFF2-40B4-BE49-F238E27FC236}">
                  <a16:creationId xmlns:a16="http://schemas.microsoft.com/office/drawing/2014/main" id="{EBEFFF36-8649-473E-A714-917F2EE056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484B681" w14:textId="77777777" w:rsidR="00AF4FCC" w:rsidRDefault="00AF4FCC" w:rsidP="000E6A5B">
      <w:pPr>
        <w:contextualSpacing/>
        <w:rPr>
          <w:b/>
        </w:rPr>
      </w:pPr>
    </w:p>
    <w:p w14:paraId="03F739C0" w14:textId="77777777" w:rsidR="00AF4FCC" w:rsidRDefault="00AF4FCC" w:rsidP="000E6A5B">
      <w:pPr>
        <w:contextualSpacing/>
        <w:rPr>
          <w:b/>
        </w:rPr>
      </w:pPr>
    </w:p>
    <w:p w14:paraId="06521941" w14:textId="225A7996" w:rsidR="000E6A5B" w:rsidRDefault="000E6A5B" w:rsidP="000E6A5B">
      <w:pPr>
        <w:contextualSpacing/>
        <w:rPr>
          <w:b/>
        </w:rPr>
      </w:pPr>
      <w:r>
        <w:rPr>
          <w:b/>
        </w:rPr>
        <w:t xml:space="preserve">Figure </w:t>
      </w:r>
      <w:r w:rsidR="00DE4F9F">
        <w:rPr>
          <w:b/>
        </w:rPr>
        <w:t>2</w:t>
      </w:r>
      <w:r w:rsidR="00AF4FCC">
        <w:rPr>
          <w:b/>
        </w:rPr>
        <w:t>7</w:t>
      </w:r>
      <w:r>
        <w:rPr>
          <w:b/>
        </w:rPr>
        <w:t>. Owner Costs</w:t>
      </w:r>
      <w:r w:rsidR="001628B3">
        <w:rPr>
          <w:b/>
        </w:rPr>
        <w:t xml:space="preserve"> for Owners with a Mortgage</w:t>
      </w:r>
    </w:p>
    <w:p w14:paraId="1422638F" w14:textId="0C6AE869" w:rsidR="000E6A5B" w:rsidRDefault="000E6A5B">
      <w:r w:rsidRPr="007B5E7C">
        <w:t xml:space="preserve">Source: VCHR </w:t>
      </w:r>
      <w:r w:rsidR="00DF2C17">
        <w:t>T</w:t>
      </w:r>
      <w:r w:rsidR="00DF2C17" w:rsidRPr="007B5E7C">
        <w:t xml:space="preserve">abulation </w:t>
      </w:r>
      <w:r w:rsidRPr="007B5E7C">
        <w:t>of</w:t>
      </w:r>
      <w:r>
        <w:t xml:space="preserve"> 2011</w:t>
      </w:r>
      <w:r w:rsidR="00BA241A">
        <w:t>–</w:t>
      </w:r>
      <w:r w:rsidRPr="007B5E7C">
        <w:t>2019 ACS 5-year Estimates</w:t>
      </w:r>
    </w:p>
    <w:p w14:paraId="52E3878C" w14:textId="423B1D50" w:rsidR="00364CA2" w:rsidRDefault="00FE1B15">
      <w:r>
        <w:rPr>
          <w:noProof/>
        </w:rPr>
        <w:drawing>
          <wp:inline distT="0" distB="0" distL="0" distR="0" wp14:anchorId="70E04D8B" wp14:editId="0E069652">
            <wp:extent cx="5943600" cy="2965450"/>
            <wp:effectExtent l="0" t="0" r="0" b="6350"/>
            <wp:docPr id="36" name="Chart 36">
              <a:extLst xmlns:a="http://schemas.openxmlformats.org/drawingml/2006/main">
                <a:ext uri="{FF2B5EF4-FFF2-40B4-BE49-F238E27FC236}">
                  <a16:creationId xmlns:a16="http://schemas.microsoft.com/office/drawing/2014/main" id="{094D1D29-BDED-7E19-B818-03637FA337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41A091F" w14:textId="77777777" w:rsidR="00364CA2" w:rsidRDefault="00364CA2"/>
    <w:p w14:paraId="355539F4" w14:textId="47BD0188" w:rsidR="009E7467" w:rsidRDefault="009E7467"/>
    <w:p w14:paraId="31C5C5EE" w14:textId="77777777" w:rsidR="009E7467" w:rsidRDefault="009E7467"/>
    <w:p w14:paraId="2BA507F9" w14:textId="77777777" w:rsidR="005E5798" w:rsidRDefault="00F26D40" w:rsidP="005E5798">
      <w:pPr>
        <w:pStyle w:val="Heading1"/>
      </w:pPr>
      <w:bookmarkStart w:id="42" w:name="_Toc62593604"/>
      <w:bookmarkStart w:id="43" w:name="_Toc120703915"/>
      <w:r>
        <w:lastRenderedPageBreak/>
        <w:t>Housing Needs</w:t>
      </w:r>
      <w:bookmarkEnd w:id="42"/>
      <w:bookmarkEnd w:id="43"/>
    </w:p>
    <w:p w14:paraId="76776402" w14:textId="0A17079C" w:rsidR="00615665" w:rsidRDefault="00615665" w:rsidP="005E5798">
      <w:r>
        <w:t>Approximately 2,335 households</w:t>
      </w:r>
      <w:r w:rsidR="00BA241A">
        <w:t xml:space="preserve"> (</w:t>
      </w:r>
      <w:r>
        <w:t>16</w:t>
      </w:r>
      <w:r w:rsidR="00BA241A">
        <w:t xml:space="preserve"> percent </w:t>
      </w:r>
      <w:r>
        <w:t>of all households</w:t>
      </w:r>
      <w:r w:rsidR="00BA241A">
        <w:t xml:space="preserve">) </w:t>
      </w:r>
      <w:r>
        <w:t xml:space="preserve">spend more than 30 percent of their income on housing. Households that pay more than 30 </w:t>
      </w:r>
      <w:r w:rsidR="1404B23F">
        <w:t>percent of</w:t>
      </w:r>
      <w:r>
        <w:t xml:space="preserve"> their income for housing, particularly those with low and moderate incomes, may not have sufficient money to pay for other needs such as transportation, healthcare, food, and education. Therefore, the number of cost-burdened households is a good indicator of the number of households that need more affordable housing.</w:t>
      </w:r>
    </w:p>
    <w:p w14:paraId="5BB4D68D" w14:textId="0981F6D7" w:rsidR="003F4994" w:rsidRDefault="001357B2" w:rsidP="000C76AC">
      <w:r>
        <w:t>Most cost-burdened households (70</w:t>
      </w:r>
      <w:r w:rsidR="00392DCA">
        <w:t xml:space="preserve"> percent)</w:t>
      </w:r>
      <w:r w:rsidR="004A2F70">
        <w:t xml:space="preserve"> that</w:t>
      </w:r>
      <w:r w:rsidR="00392DCA">
        <w:t xml:space="preserve"> </w:t>
      </w:r>
      <w:r>
        <w:t>have very low income</w:t>
      </w:r>
      <w:r w:rsidR="003F4994">
        <w:t xml:space="preserve"> are likely to be single-earner households or households who have no workers</w:t>
      </w:r>
      <w:r w:rsidR="00BA241A">
        <w:t xml:space="preserve"> and whose inhabitants are </w:t>
      </w:r>
      <w:r w:rsidR="003F4994">
        <w:t xml:space="preserve">likely retired and/or disabled. Indeed, 741 </w:t>
      </w:r>
      <w:r w:rsidR="00BA241A">
        <w:t xml:space="preserve">cost-burdened households </w:t>
      </w:r>
      <w:r w:rsidR="003F4994">
        <w:t>(32</w:t>
      </w:r>
      <w:r w:rsidR="00392DCA">
        <w:t xml:space="preserve"> percent</w:t>
      </w:r>
      <w:r w:rsidR="003F4994">
        <w:t xml:space="preserve">) are seniors. </w:t>
      </w:r>
      <w:r w:rsidR="000C76AC">
        <w:t xml:space="preserve">Single earners earning the median wage in </w:t>
      </w:r>
      <w:r w:rsidR="004C23BE">
        <w:t xml:space="preserve">the occupations of </w:t>
      </w:r>
      <w:r w:rsidR="000C76AC">
        <w:t>healthcare support, food preparation and serving, building and ground cleaning and maintenance</w:t>
      </w:r>
      <w:r w:rsidR="004C23BE">
        <w:t>,</w:t>
      </w:r>
      <w:r w:rsidR="000C76AC">
        <w:t xml:space="preserve"> and personal care and service have too little income to afford the median rent in the County.</w:t>
      </w:r>
    </w:p>
    <w:p w14:paraId="50DADAC3" w14:textId="3CDB3B27" w:rsidR="001357B2" w:rsidRPr="000147CF" w:rsidRDefault="001357B2" w:rsidP="001357B2">
      <w:pPr>
        <w:spacing w:after="0"/>
        <w:rPr>
          <w:b/>
        </w:rPr>
      </w:pPr>
      <w:r>
        <w:rPr>
          <w:b/>
        </w:rPr>
        <w:t xml:space="preserve">Table </w:t>
      </w:r>
      <w:r w:rsidR="00DE4F9F">
        <w:rPr>
          <w:b/>
        </w:rPr>
        <w:t>13</w:t>
      </w:r>
      <w:r>
        <w:rPr>
          <w:b/>
        </w:rPr>
        <w:t xml:space="preserve">. </w:t>
      </w:r>
      <w:r w:rsidRPr="000147CF">
        <w:rPr>
          <w:b/>
        </w:rPr>
        <w:t>202</w:t>
      </w:r>
      <w:r>
        <w:rPr>
          <w:b/>
        </w:rPr>
        <w:t>2</w:t>
      </w:r>
      <w:r w:rsidRPr="000147CF">
        <w:rPr>
          <w:b/>
        </w:rPr>
        <w:t xml:space="preserve"> HUD Income Limits for </w:t>
      </w:r>
      <w:r>
        <w:rPr>
          <w:b/>
        </w:rPr>
        <w:t>Randolph</w:t>
      </w:r>
      <w:r w:rsidRPr="000147CF">
        <w:rPr>
          <w:b/>
        </w:rPr>
        <w:t xml:space="preserve"> County, WV</w:t>
      </w:r>
    </w:p>
    <w:tbl>
      <w:tblPr>
        <w:tblStyle w:val="TableGrid"/>
        <w:tblW w:w="0" w:type="auto"/>
        <w:tblLook w:val="04A0" w:firstRow="1" w:lastRow="0" w:firstColumn="1" w:lastColumn="0" w:noHBand="0" w:noVBand="1"/>
      </w:tblPr>
      <w:tblGrid>
        <w:gridCol w:w="2335"/>
        <w:gridCol w:w="1753"/>
        <w:gridCol w:w="1754"/>
        <w:gridCol w:w="1754"/>
        <w:gridCol w:w="1754"/>
      </w:tblGrid>
      <w:tr w:rsidR="001357B2" w14:paraId="3821218F" w14:textId="77777777" w:rsidTr="7DFA81C2">
        <w:tc>
          <w:tcPr>
            <w:tcW w:w="2335" w:type="dxa"/>
          </w:tcPr>
          <w:p w14:paraId="770756F5" w14:textId="77777777" w:rsidR="001357B2" w:rsidRDefault="001357B2" w:rsidP="004E60FB">
            <w:r>
              <w:t>Income Level</w:t>
            </w:r>
          </w:p>
        </w:tc>
        <w:tc>
          <w:tcPr>
            <w:tcW w:w="1753" w:type="dxa"/>
          </w:tcPr>
          <w:p w14:paraId="6F9FF953" w14:textId="77777777" w:rsidR="001357B2" w:rsidRDefault="001357B2" w:rsidP="004E60FB">
            <w:pPr>
              <w:jc w:val="center"/>
            </w:pPr>
            <w:r>
              <w:t>1-person</w:t>
            </w:r>
          </w:p>
        </w:tc>
        <w:tc>
          <w:tcPr>
            <w:tcW w:w="1754" w:type="dxa"/>
          </w:tcPr>
          <w:p w14:paraId="672CDCF6" w14:textId="77777777" w:rsidR="001357B2" w:rsidRDefault="001357B2" w:rsidP="004E60FB">
            <w:pPr>
              <w:jc w:val="center"/>
            </w:pPr>
            <w:r>
              <w:t>2-person</w:t>
            </w:r>
          </w:p>
        </w:tc>
        <w:tc>
          <w:tcPr>
            <w:tcW w:w="1754" w:type="dxa"/>
          </w:tcPr>
          <w:p w14:paraId="3F25B44A" w14:textId="77777777" w:rsidR="001357B2" w:rsidRDefault="001357B2" w:rsidP="004E60FB">
            <w:pPr>
              <w:jc w:val="center"/>
            </w:pPr>
            <w:r>
              <w:t>3-person</w:t>
            </w:r>
          </w:p>
        </w:tc>
        <w:tc>
          <w:tcPr>
            <w:tcW w:w="1754" w:type="dxa"/>
          </w:tcPr>
          <w:p w14:paraId="24825C71" w14:textId="77777777" w:rsidR="001357B2" w:rsidRDefault="001357B2" w:rsidP="004E60FB">
            <w:pPr>
              <w:jc w:val="center"/>
            </w:pPr>
            <w:r>
              <w:t>4-person</w:t>
            </w:r>
          </w:p>
        </w:tc>
      </w:tr>
      <w:tr w:rsidR="001357B2" w14:paraId="042F99F4" w14:textId="77777777" w:rsidTr="7DFA81C2">
        <w:tc>
          <w:tcPr>
            <w:tcW w:w="2335" w:type="dxa"/>
          </w:tcPr>
          <w:p w14:paraId="6A1141DD" w14:textId="77777777" w:rsidR="001357B2" w:rsidRDefault="001357B2" w:rsidP="004E60FB">
            <w:r>
              <w:t xml:space="preserve">&lt;30% AMI </w:t>
            </w:r>
          </w:p>
          <w:p w14:paraId="3318B019" w14:textId="77777777" w:rsidR="001357B2" w:rsidRDefault="001357B2" w:rsidP="004E60FB">
            <w:r>
              <w:t>(</w:t>
            </w:r>
            <w:bookmarkStart w:id="44" w:name="_Int_akbLdNrK"/>
            <w:r>
              <w:t>extremely</w:t>
            </w:r>
            <w:bookmarkEnd w:id="44"/>
            <w:r>
              <w:t xml:space="preserve"> low income)</w:t>
            </w:r>
          </w:p>
        </w:tc>
        <w:tc>
          <w:tcPr>
            <w:tcW w:w="1753" w:type="dxa"/>
            <w:vAlign w:val="center"/>
          </w:tcPr>
          <w:p w14:paraId="55288FBD" w14:textId="77777777" w:rsidR="001357B2" w:rsidRDefault="001357B2" w:rsidP="004E60FB">
            <w:pPr>
              <w:jc w:val="center"/>
            </w:pPr>
            <w:r>
              <w:t>$13,590</w:t>
            </w:r>
          </w:p>
        </w:tc>
        <w:tc>
          <w:tcPr>
            <w:tcW w:w="1754" w:type="dxa"/>
            <w:vAlign w:val="center"/>
          </w:tcPr>
          <w:p w14:paraId="101F2BA4" w14:textId="77777777" w:rsidR="001357B2" w:rsidRDefault="001357B2" w:rsidP="004E60FB">
            <w:pPr>
              <w:jc w:val="center"/>
            </w:pPr>
            <w:r>
              <w:t>$</w:t>
            </w:r>
            <w:r w:rsidRPr="00694465">
              <w:t>1</w:t>
            </w:r>
            <w:r>
              <w:t>8,130</w:t>
            </w:r>
          </w:p>
        </w:tc>
        <w:tc>
          <w:tcPr>
            <w:tcW w:w="1754" w:type="dxa"/>
            <w:vAlign w:val="center"/>
          </w:tcPr>
          <w:p w14:paraId="16D9EE39" w14:textId="77777777" w:rsidR="001357B2" w:rsidRDefault="001357B2" w:rsidP="004E60FB">
            <w:pPr>
              <w:jc w:val="center"/>
            </w:pPr>
            <w:r>
              <w:t>$</w:t>
            </w:r>
            <w:r w:rsidRPr="00694465">
              <w:t>2</w:t>
            </w:r>
            <w:r>
              <w:t>3,030</w:t>
            </w:r>
          </w:p>
        </w:tc>
        <w:tc>
          <w:tcPr>
            <w:tcW w:w="1754" w:type="dxa"/>
            <w:vAlign w:val="center"/>
          </w:tcPr>
          <w:p w14:paraId="4194CAA9" w14:textId="77777777" w:rsidR="001357B2" w:rsidRDefault="001357B2" w:rsidP="004E60FB">
            <w:pPr>
              <w:jc w:val="center"/>
            </w:pPr>
            <w:r>
              <w:t>$</w:t>
            </w:r>
            <w:r w:rsidRPr="00694465">
              <w:t>2</w:t>
            </w:r>
            <w:r>
              <w:t>7,750</w:t>
            </w:r>
          </w:p>
        </w:tc>
      </w:tr>
      <w:tr w:rsidR="001357B2" w14:paraId="06CC0956" w14:textId="77777777" w:rsidTr="7DFA81C2">
        <w:tc>
          <w:tcPr>
            <w:tcW w:w="2335" w:type="dxa"/>
          </w:tcPr>
          <w:p w14:paraId="3131CFFA" w14:textId="59E75C2A" w:rsidR="001357B2" w:rsidRDefault="001357B2" w:rsidP="004E60FB">
            <w:r>
              <w:t>30</w:t>
            </w:r>
            <w:r w:rsidR="004C23BE">
              <w:t>–</w:t>
            </w:r>
            <w:r>
              <w:t xml:space="preserve">50% of AMI </w:t>
            </w:r>
          </w:p>
          <w:p w14:paraId="5F047559" w14:textId="77777777" w:rsidR="001357B2" w:rsidRDefault="001357B2" w:rsidP="004E60FB">
            <w:r>
              <w:t>(</w:t>
            </w:r>
            <w:bookmarkStart w:id="45" w:name="_Int_DBp0RwKJ"/>
            <w:r>
              <w:t>very</w:t>
            </w:r>
            <w:bookmarkEnd w:id="45"/>
            <w:r>
              <w:t xml:space="preserve"> low income)</w:t>
            </w:r>
          </w:p>
        </w:tc>
        <w:tc>
          <w:tcPr>
            <w:tcW w:w="1753" w:type="dxa"/>
            <w:vAlign w:val="center"/>
          </w:tcPr>
          <w:p w14:paraId="4916B4C4" w14:textId="77777777" w:rsidR="001357B2" w:rsidRDefault="001357B2" w:rsidP="004E60FB">
            <w:pPr>
              <w:jc w:val="center"/>
            </w:pPr>
            <w:r>
              <w:t>$22,050</w:t>
            </w:r>
          </w:p>
        </w:tc>
        <w:tc>
          <w:tcPr>
            <w:tcW w:w="1754" w:type="dxa"/>
            <w:vAlign w:val="center"/>
          </w:tcPr>
          <w:p w14:paraId="0721B074" w14:textId="77777777" w:rsidR="001357B2" w:rsidRDefault="001357B2" w:rsidP="004E60FB">
            <w:pPr>
              <w:jc w:val="center"/>
            </w:pPr>
            <w:r>
              <w:t>$</w:t>
            </w:r>
            <w:r w:rsidRPr="0034024F">
              <w:t>2</w:t>
            </w:r>
            <w:r>
              <w:t>5,200</w:t>
            </w:r>
          </w:p>
        </w:tc>
        <w:tc>
          <w:tcPr>
            <w:tcW w:w="1754" w:type="dxa"/>
            <w:vAlign w:val="center"/>
          </w:tcPr>
          <w:p w14:paraId="327AFF2C" w14:textId="77777777" w:rsidR="001357B2" w:rsidRDefault="001357B2" w:rsidP="004E60FB">
            <w:pPr>
              <w:jc w:val="center"/>
            </w:pPr>
            <w:r>
              <w:t>$</w:t>
            </w:r>
            <w:r w:rsidRPr="0034024F">
              <w:t>2</w:t>
            </w:r>
            <w:r>
              <w:t>8,350</w:t>
            </w:r>
          </w:p>
        </w:tc>
        <w:tc>
          <w:tcPr>
            <w:tcW w:w="1754" w:type="dxa"/>
            <w:vAlign w:val="center"/>
          </w:tcPr>
          <w:p w14:paraId="339C1B32" w14:textId="77777777" w:rsidR="001357B2" w:rsidRDefault="001357B2" w:rsidP="004E60FB">
            <w:pPr>
              <w:jc w:val="center"/>
            </w:pPr>
            <w:r>
              <w:t>$31</w:t>
            </w:r>
            <w:r w:rsidRPr="0034024F">
              <w:t>,450</w:t>
            </w:r>
          </w:p>
        </w:tc>
      </w:tr>
      <w:tr w:rsidR="001357B2" w14:paraId="75F931F0" w14:textId="77777777" w:rsidTr="7DFA81C2">
        <w:tc>
          <w:tcPr>
            <w:tcW w:w="2335" w:type="dxa"/>
          </w:tcPr>
          <w:p w14:paraId="5C8ED63F" w14:textId="1BC7A1B9" w:rsidR="001357B2" w:rsidRDefault="001357B2" w:rsidP="004E60FB">
            <w:r>
              <w:t>50</w:t>
            </w:r>
            <w:r w:rsidR="004C23BE">
              <w:t>–</w:t>
            </w:r>
            <w:r>
              <w:t xml:space="preserve">80% of AMI </w:t>
            </w:r>
          </w:p>
          <w:p w14:paraId="6EBE1CF4" w14:textId="77777777" w:rsidR="001357B2" w:rsidRDefault="001357B2" w:rsidP="004E60FB">
            <w:r>
              <w:t>(</w:t>
            </w:r>
            <w:bookmarkStart w:id="46" w:name="_Int_kGvNdUpq"/>
            <w:r>
              <w:t>low</w:t>
            </w:r>
            <w:bookmarkEnd w:id="46"/>
            <w:r>
              <w:t xml:space="preserve"> income)</w:t>
            </w:r>
          </w:p>
        </w:tc>
        <w:tc>
          <w:tcPr>
            <w:tcW w:w="1753" w:type="dxa"/>
            <w:vAlign w:val="center"/>
          </w:tcPr>
          <w:p w14:paraId="0E69B654" w14:textId="77777777" w:rsidR="001357B2" w:rsidRDefault="001357B2" w:rsidP="004E60FB">
            <w:pPr>
              <w:jc w:val="center"/>
            </w:pPr>
            <w:r>
              <w:t>$35,250</w:t>
            </w:r>
          </w:p>
        </w:tc>
        <w:tc>
          <w:tcPr>
            <w:tcW w:w="1754" w:type="dxa"/>
            <w:vAlign w:val="center"/>
          </w:tcPr>
          <w:p w14:paraId="08846765" w14:textId="77777777" w:rsidR="001357B2" w:rsidRDefault="001357B2" w:rsidP="004E60FB">
            <w:pPr>
              <w:jc w:val="center"/>
            </w:pPr>
            <w:r>
              <w:t>$40,250</w:t>
            </w:r>
          </w:p>
        </w:tc>
        <w:tc>
          <w:tcPr>
            <w:tcW w:w="1754" w:type="dxa"/>
            <w:vAlign w:val="center"/>
          </w:tcPr>
          <w:p w14:paraId="5A7F4DFB" w14:textId="77777777" w:rsidR="001357B2" w:rsidRDefault="001357B2" w:rsidP="004E60FB">
            <w:pPr>
              <w:jc w:val="center"/>
            </w:pPr>
            <w:r>
              <w:t>$45,300</w:t>
            </w:r>
          </w:p>
        </w:tc>
        <w:tc>
          <w:tcPr>
            <w:tcW w:w="1754" w:type="dxa"/>
            <w:vAlign w:val="center"/>
          </w:tcPr>
          <w:p w14:paraId="60DF6A2D" w14:textId="77777777" w:rsidR="001357B2" w:rsidRDefault="001357B2" w:rsidP="004E60FB">
            <w:pPr>
              <w:jc w:val="center"/>
            </w:pPr>
            <w:r>
              <w:t>$50,300</w:t>
            </w:r>
          </w:p>
        </w:tc>
      </w:tr>
    </w:tbl>
    <w:p w14:paraId="580BC456" w14:textId="77777777" w:rsidR="00E760AD" w:rsidRDefault="00E760AD" w:rsidP="00E760AD">
      <w:pPr>
        <w:spacing w:after="0"/>
        <w:rPr>
          <w:b/>
        </w:rPr>
      </w:pPr>
    </w:p>
    <w:p w14:paraId="3FB9A214" w14:textId="1DC4E20C" w:rsidR="00F63642" w:rsidRPr="00F63642" w:rsidRDefault="004C23BE" w:rsidP="00F63642">
      <w:r>
        <w:t xml:space="preserve">Although </w:t>
      </w:r>
      <w:r w:rsidR="000C76AC">
        <w:t>renters are more likely to be cost</w:t>
      </w:r>
      <w:r>
        <w:t>-</w:t>
      </w:r>
      <w:r w:rsidR="000C76AC">
        <w:t xml:space="preserve">burdened, owners make up a larger proportion of cost-burdened households. At least 336 </w:t>
      </w:r>
      <w:r w:rsidR="004124A9">
        <w:t xml:space="preserve">households </w:t>
      </w:r>
      <w:r>
        <w:t>fully own their home (with no mortgage payments) and</w:t>
      </w:r>
      <w:r w:rsidR="000C76AC">
        <w:t xml:space="preserve"> are burdened by utilities, taxes</w:t>
      </w:r>
      <w:r>
        <w:t>,</w:t>
      </w:r>
      <w:r w:rsidR="000C76AC">
        <w:t xml:space="preserve"> and/or insurance. </w:t>
      </w:r>
      <w:r w:rsidR="005704B9">
        <w:t>Moreover</w:t>
      </w:r>
      <w:r w:rsidR="000C76AC">
        <w:t>, 752</w:t>
      </w:r>
      <w:r w:rsidR="004124A9">
        <w:t xml:space="preserve"> households</w:t>
      </w:r>
      <w:r w:rsidR="000C76AC">
        <w:t xml:space="preserve"> (32</w:t>
      </w:r>
      <w:r>
        <w:t xml:space="preserve"> percent</w:t>
      </w:r>
      <w:r w:rsidR="004D6987">
        <w:t xml:space="preserve"> of cost-burdened households</w:t>
      </w:r>
      <w:r w:rsidR="000C76AC">
        <w:t>) have a mortgage</w:t>
      </w:r>
      <w:r>
        <w:t xml:space="preserve">. They </w:t>
      </w:r>
      <w:r w:rsidR="000C76AC">
        <w:t>have likely become cost-burdened because of economic hardship. Owner costs with a mortgage increase</w:t>
      </w:r>
      <w:r w:rsidR="004124A9">
        <w:t>d</w:t>
      </w:r>
      <w:r w:rsidR="000C76AC">
        <w:t xml:space="preserve"> 10</w:t>
      </w:r>
      <w:r>
        <w:t xml:space="preserve"> percent over the period </w:t>
      </w:r>
      <w:r w:rsidR="000C76AC">
        <w:t>2010</w:t>
      </w:r>
      <w:r>
        <w:t>–</w:t>
      </w:r>
      <w:r w:rsidR="000C76AC">
        <w:t>2019.</w:t>
      </w:r>
    </w:p>
    <w:p w14:paraId="1F18C8B2" w14:textId="1DB42176" w:rsidR="269FE5B8" w:rsidRDefault="004C23BE" w:rsidP="13C2804F">
      <w:pPr>
        <w:spacing w:line="257" w:lineRule="auto"/>
        <w:rPr>
          <w:rFonts w:ascii="Calibri" w:eastAsia="Calibri" w:hAnsi="Calibri" w:cs="Calibri"/>
        </w:rPr>
      </w:pPr>
      <w:r>
        <w:t xml:space="preserve">Furthermore, </w:t>
      </w:r>
      <w:r w:rsidR="174EBF04">
        <w:t>1,115 cost</w:t>
      </w:r>
      <w:r>
        <w:t>-</w:t>
      </w:r>
      <w:r w:rsidR="174EBF04">
        <w:t xml:space="preserve">burdened households are </w:t>
      </w:r>
      <w:r>
        <w:t xml:space="preserve">renters </w:t>
      </w:r>
      <w:r w:rsidR="174EBF04">
        <w:t>(48</w:t>
      </w:r>
      <w:r w:rsidR="004D6987">
        <w:t xml:space="preserve"> percent </w:t>
      </w:r>
      <w:r w:rsidR="174EBF04">
        <w:t>of cost-burdened households)</w:t>
      </w:r>
      <w:r w:rsidR="004D6987">
        <w:t xml:space="preserve">, </w:t>
      </w:r>
      <w:r w:rsidR="174EBF04">
        <w:t xml:space="preserve">and rental affordability was a topic routinely mentioned by stakeholder groups. Rent increased 42% </w:t>
      </w:r>
      <w:r w:rsidR="4CE53505">
        <w:t xml:space="preserve">over </w:t>
      </w:r>
      <w:r w:rsidR="78FA70C6">
        <w:t>the 2010</w:t>
      </w:r>
      <w:r w:rsidR="004D6987">
        <w:t>–</w:t>
      </w:r>
      <w:r w:rsidR="174EBF04">
        <w:t>2019</w:t>
      </w:r>
      <w:r w:rsidR="4468C627">
        <w:t xml:space="preserve"> period</w:t>
      </w:r>
      <w:r w:rsidR="004D6987">
        <w:t>,</w:t>
      </w:r>
      <w:r w:rsidR="174EBF04">
        <w:t xml:space="preserve"> </w:t>
      </w:r>
      <w:r w:rsidR="04F9520F">
        <w:t xml:space="preserve">which </w:t>
      </w:r>
      <w:r w:rsidR="004D6987">
        <w:t>places</w:t>
      </w:r>
      <w:r w:rsidR="04F9520F">
        <w:t xml:space="preserve"> a burden on those with fixed incomes</w:t>
      </w:r>
      <w:r w:rsidR="004D6987">
        <w:t xml:space="preserve">, </w:t>
      </w:r>
      <w:r w:rsidR="79A22D4C">
        <w:t>working part-time</w:t>
      </w:r>
      <w:r w:rsidR="004D6987">
        <w:t>,</w:t>
      </w:r>
      <w:r w:rsidR="79A22D4C">
        <w:t xml:space="preserve"> or earning low wages. </w:t>
      </w:r>
      <w:r w:rsidR="2D12148F">
        <w:t xml:space="preserve">According to local housing service providers, </w:t>
      </w:r>
      <w:r w:rsidR="79A22D4C" w:rsidRPr="7DFA81C2">
        <w:rPr>
          <w:rFonts w:ascii="Calibri" w:eastAsia="Calibri" w:hAnsi="Calibri" w:cs="Calibri"/>
        </w:rPr>
        <w:t>many landlords moved to 1</w:t>
      </w:r>
      <w:r w:rsidR="004D6987">
        <w:rPr>
          <w:rFonts w:ascii="Calibri" w:eastAsia="Calibri" w:hAnsi="Calibri" w:cs="Calibri"/>
        </w:rPr>
        <w:t>–</w:t>
      </w:r>
      <w:r w:rsidR="79A22D4C" w:rsidRPr="7DFA81C2">
        <w:rPr>
          <w:rFonts w:ascii="Calibri" w:eastAsia="Calibri" w:hAnsi="Calibri" w:cs="Calibri"/>
        </w:rPr>
        <w:t>3</w:t>
      </w:r>
      <w:r w:rsidR="004D6987">
        <w:rPr>
          <w:rFonts w:ascii="Calibri" w:eastAsia="Calibri" w:hAnsi="Calibri" w:cs="Calibri"/>
        </w:rPr>
        <w:t>-</w:t>
      </w:r>
      <w:r w:rsidR="79A22D4C" w:rsidRPr="7DFA81C2">
        <w:rPr>
          <w:rFonts w:ascii="Calibri" w:eastAsia="Calibri" w:hAnsi="Calibri" w:cs="Calibri"/>
        </w:rPr>
        <w:t xml:space="preserve">month leases </w:t>
      </w:r>
      <w:r w:rsidR="004D6987">
        <w:t xml:space="preserve">following </w:t>
      </w:r>
      <w:r w:rsidR="004D6987" w:rsidRPr="7DFA81C2">
        <w:rPr>
          <w:rFonts w:ascii="Calibri" w:eastAsia="Calibri" w:hAnsi="Calibri" w:cs="Calibri"/>
        </w:rPr>
        <w:t xml:space="preserve">pandemic moratoriums </w:t>
      </w:r>
      <w:r w:rsidR="79A22D4C" w:rsidRPr="7DFA81C2">
        <w:rPr>
          <w:rFonts w:ascii="Calibri" w:eastAsia="Calibri" w:hAnsi="Calibri" w:cs="Calibri"/>
        </w:rPr>
        <w:t>and then increased rent (</w:t>
      </w:r>
      <w:r w:rsidR="004D6987">
        <w:rPr>
          <w:rFonts w:ascii="Calibri" w:eastAsia="Calibri" w:hAnsi="Calibri" w:cs="Calibri"/>
        </w:rPr>
        <w:t xml:space="preserve">by </w:t>
      </w:r>
      <w:r w:rsidR="79A22D4C" w:rsidRPr="7DFA81C2">
        <w:rPr>
          <w:rFonts w:ascii="Calibri" w:eastAsia="Calibri" w:hAnsi="Calibri" w:cs="Calibri"/>
        </w:rPr>
        <w:t>$100</w:t>
      </w:r>
      <w:r w:rsidR="004D6987">
        <w:rPr>
          <w:rFonts w:ascii="Calibri" w:eastAsia="Calibri" w:hAnsi="Calibri" w:cs="Calibri"/>
        </w:rPr>
        <w:t>–</w:t>
      </w:r>
      <w:r w:rsidR="79A22D4C" w:rsidRPr="7DFA81C2">
        <w:rPr>
          <w:rFonts w:ascii="Calibri" w:eastAsia="Calibri" w:hAnsi="Calibri" w:cs="Calibri"/>
        </w:rPr>
        <w:t xml:space="preserve">150) to </w:t>
      </w:r>
      <w:r w:rsidR="004D6987">
        <w:rPr>
          <w:rFonts w:ascii="Calibri" w:eastAsia="Calibri" w:hAnsi="Calibri" w:cs="Calibri"/>
        </w:rPr>
        <w:t>receive a larger</w:t>
      </w:r>
      <w:r w:rsidR="004D6987" w:rsidRPr="7DFA81C2">
        <w:rPr>
          <w:rFonts w:ascii="Calibri" w:eastAsia="Calibri" w:hAnsi="Calibri" w:cs="Calibri"/>
        </w:rPr>
        <w:t xml:space="preserve"> </w:t>
      </w:r>
      <w:r w:rsidR="79A22D4C" w:rsidRPr="7DFA81C2">
        <w:rPr>
          <w:rFonts w:ascii="Calibri" w:eastAsia="Calibri" w:hAnsi="Calibri" w:cs="Calibri"/>
        </w:rPr>
        <w:t xml:space="preserve">assistance payment. </w:t>
      </w:r>
      <w:r w:rsidR="5B0C5013" w:rsidRPr="7DFA81C2">
        <w:rPr>
          <w:rFonts w:ascii="Calibri" w:eastAsia="Calibri" w:hAnsi="Calibri" w:cs="Calibri"/>
        </w:rPr>
        <w:t>The housing</w:t>
      </w:r>
      <w:r w:rsidR="79A22D4C" w:rsidRPr="7DFA81C2">
        <w:rPr>
          <w:rFonts w:ascii="Calibri" w:eastAsia="Calibri" w:hAnsi="Calibri" w:cs="Calibri"/>
        </w:rPr>
        <w:t xml:space="preserve"> service providers we spoke with felt that evictions were underreported. </w:t>
      </w:r>
      <w:r w:rsidR="004D6987">
        <w:rPr>
          <w:rFonts w:ascii="Calibri" w:eastAsia="Calibri" w:hAnsi="Calibri" w:cs="Calibri"/>
        </w:rPr>
        <w:t>Although m</w:t>
      </w:r>
      <w:r w:rsidR="004D6987" w:rsidRPr="7DFA81C2">
        <w:rPr>
          <w:rFonts w:ascii="Calibri" w:eastAsia="Calibri" w:hAnsi="Calibri" w:cs="Calibri"/>
        </w:rPr>
        <w:t xml:space="preserve">odeled </w:t>
      </w:r>
      <w:r w:rsidR="79A22D4C" w:rsidRPr="7DFA81C2">
        <w:rPr>
          <w:rFonts w:ascii="Calibri" w:eastAsia="Calibri" w:hAnsi="Calibri" w:cs="Calibri"/>
        </w:rPr>
        <w:t xml:space="preserve">data from Census Eviction Lab estimates 6.3 evictions in the </w:t>
      </w:r>
      <w:r w:rsidR="004D6987">
        <w:rPr>
          <w:rFonts w:ascii="Calibri" w:eastAsia="Calibri" w:hAnsi="Calibri" w:cs="Calibri"/>
        </w:rPr>
        <w:t>C</w:t>
      </w:r>
      <w:r w:rsidR="004D6987" w:rsidRPr="7DFA81C2">
        <w:rPr>
          <w:rFonts w:ascii="Calibri" w:eastAsia="Calibri" w:hAnsi="Calibri" w:cs="Calibri"/>
        </w:rPr>
        <w:t xml:space="preserve">ounty </w:t>
      </w:r>
      <w:r w:rsidR="79A22D4C" w:rsidRPr="7DFA81C2">
        <w:rPr>
          <w:rFonts w:ascii="Calibri" w:eastAsia="Calibri" w:hAnsi="Calibri" w:cs="Calibri"/>
        </w:rPr>
        <w:t>for every 100 renter households in 2018</w:t>
      </w:r>
      <w:r w:rsidR="004D6987">
        <w:rPr>
          <w:rFonts w:ascii="Calibri" w:eastAsia="Calibri" w:hAnsi="Calibri" w:cs="Calibri"/>
        </w:rPr>
        <w:t>,</w:t>
      </w:r>
      <w:r w:rsidR="004D6987" w:rsidRPr="7DFA81C2">
        <w:rPr>
          <w:rFonts w:ascii="Calibri" w:eastAsia="Calibri" w:hAnsi="Calibri" w:cs="Calibri"/>
        </w:rPr>
        <w:t xml:space="preserve"> </w:t>
      </w:r>
      <w:r w:rsidR="79A22D4C" w:rsidRPr="7DFA81C2">
        <w:rPr>
          <w:rFonts w:ascii="Calibri" w:eastAsia="Calibri" w:hAnsi="Calibri" w:cs="Calibri"/>
        </w:rPr>
        <w:t xml:space="preserve">raw block group data </w:t>
      </w:r>
      <w:r w:rsidR="004D6987">
        <w:rPr>
          <w:rFonts w:ascii="Calibri" w:eastAsia="Calibri" w:hAnsi="Calibri" w:cs="Calibri"/>
        </w:rPr>
        <w:t>showed</w:t>
      </w:r>
      <w:r w:rsidR="004D6987" w:rsidRPr="7DFA81C2">
        <w:rPr>
          <w:rFonts w:ascii="Calibri" w:eastAsia="Calibri" w:hAnsi="Calibri" w:cs="Calibri"/>
        </w:rPr>
        <w:t xml:space="preserve"> </w:t>
      </w:r>
      <w:r w:rsidR="79A22D4C" w:rsidRPr="7DFA81C2">
        <w:rPr>
          <w:rFonts w:ascii="Calibri" w:eastAsia="Calibri" w:hAnsi="Calibri" w:cs="Calibri"/>
        </w:rPr>
        <w:t xml:space="preserve">as high as 17.4 </w:t>
      </w:r>
      <w:r w:rsidR="004D6987">
        <w:rPr>
          <w:rFonts w:ascii="Calibri" w:eastAsia="Calibri" w:hAnsi="Calibri" w:cs="Calibri"/>
        </w:rPr>
        <w:t xml:space="preserve">per 100 </w:t>
      </w:r>
      <w:r w:rsidR="79A22D4C" w:rsidRPr="00C20C7B">
        <w:rPr>
          <w:rFonts w:ascii="Calibri" w:eastAsia="Calibri" w:hAnsi="Calibri" w:cs="Calibri"/>
        </w:rPr>
        <w:t>in Elkins</w:t>
      </w:r>
      <w:r w:rsidR="6682B9C4" w:rsidRPr="00C20C7B">
        <w:rPr>
          <w:rFonts w:ascii="Calibri" w:eastAsia="Calibri" w:hAnsi="Calibri" w:cs="Calibri"/>
        </w:rPr>
        <w:t xml:space="preserve"> (</w:t>
      </w:r>
      <w:r w:rsidR="1956958D" w:rsidRPr="00C20C7B">
        <w:rPr>
          <w:rFonts w:ascii="Calibri" w:eastAsia="Calibri" w:hAnsi="Calibri" w:cs="Calibri"/>
        </w:rPr>
        <w:t>Eviction Lab, 2018</w:t>
      </w:r>
      <w:r w:rsidR="6682B9C4" w:rsidRPr="00C20C7B">
        <w:rPr>
          <w:rFonts w:ascii="Calibri" w:eastAsia="Calibri" w:hAnsi="Calibri" w:cs="Calibri"/>
        </w:rPr>
        <w:t>)</w:t>
      </w:r>
      <w:r w:rsidR="79A22D4C" w:rsidRPr="00C20C7B">
        <w:rPr>
          <w:rFonts w:ascii="Calibri" w:eastAsia="Calibri" w:hAnsi="Calibri" w:cs="Calibri"/>
        </w:rPr>
        <w:t>.</w:t>
      </w:r>
    </w:p>
    <w:p w14:paraId="38B012BE" w14:textId="77777777" w:rsidR="004D6987" w:rsidRDefault="004D6987">
      <w:pPr>
        <w:rPr>
          <w:b/>
          <w:bCs/>
        </w:rPr>
      </w:pPr>
      <w:r>
        <w:rPr>
          <w:b/>
          <w:bCs/>
        </w:rPr>
        <w:br w:type="page"/>
      </w:r>
    </w:p>
    <w:p w14:paraId="58A54693" w14:textId="7665C128" w:rsidR="00383996" w:rsidRPr="00383996" w:rsidRDefault="00383996" w:rsidP="00383996">
      <w:pPr>
        <w:contextualSpacing/>
      </w:pPr>
      <w:r w:rsidRPr="00383996">
        <w:rPr>
          <w:b/>
          <w:bCs/>
        </w:rPr>
        <w:lastRenderedPageBreak/>
        <w:t xml:space="preserve">Figure </w:t>
      </w:r>
      <w:r w:rsidR="00DE4F9F">
        <w:rPr>
          <w:b/>
          <w:bCs/>
        </w:rPr>
        <w:t>2</w:t>
      </w:r>
      <w:r w:rsidR="00AF4FCC">
        <w:rPr>
          <w:b/>
          <w:bCs/>
        </w:rPr>
        <w:t>8</w:t>
      </w:r>
      <w:r w:rsidRPr="00383996">
        <w:rPr>
          <w:b/>
          <w:bCs/>
        </w:rPr>
        <w:t>: Randolph County</w:t>
      </w:r>
      <w:r>
        <w:rPr>
          <w:b/>
          <w:bCs/>
        </w:rPr>
        <w:t xml:space="preserve"> </w:t>
      </w:r>
      <w:r w:rsidRPr="00383996">
        <w:rPr>
          <w:b/>
        </w:rPr>
        <w:t>Rental Housing Stock by Affordability Level</w:t>
      </w:r>
    </w:p>
    <w:p w14:paraId="54BD2F67" w14:textId="69B07424" w:rsidR="00383996" w:rsidRPr="00383996" w:rsidRDefault="00383996" w:rsidP="00383996">
      <w:r w:rsidRPr="00383996">
        <w:t xml:space="preserve">Source: VCHR </w:t>
      </w:r>
      <w:r w:rsidR="0095171B">
        <w:t>T</w:t>
      </w:r>
      <w:r w:rsidR="0095171B" w:rsidRPr="00383996">
        <w:t xml:space="preserve">abulation </w:t>
      </w:r>
      <w:r w:rsidRPr="00383996">
        <w:t>of 2014</w:t>
      </w:r>
      <w:r w:rsidR="004D6987">
        <w:t>–</w:t>
      </w:r>
      <w:r w:rsidRPr="00383996">
        <w:t>2018 CHAS data</w:t>
      </w:r>
    </w:p>
    <w:p w14:paraId="23684858" w14:textId="31D8CDD4" w:rsidR="00277644" w:rsidRDefault="00BB6344" w:rsidP="00AD2B18">
      <w:r>
        <w:rPr>
          <w:noProof/>
        </w:rPr>
        <w:drawing>
          <wp:inline distT="0" distB="0" distL="0" distR="0" wp14:anchorId="5E0D671F" wp14:editId="2DC1859B">
            <wp:extent cx="5616353" cy="3260912"/>
            <wp:effectExtent l="0" t="0" r="3810" b="15875"/>
            <wp:docPr id="2" name="Chart 2">
              <a:extLst xmlns:a="http://schemas.openxmlformats.org/drawingml/2006/main">
                <a:ext uri="{FF2B5EF4-FFF2-40B4-BE49-F238E27FC236}">
                  <a16:creationId xmlns:a16="http://schemas.microsoft.com/office/drawing/2014/main" id="{72BB295B-9BCB-440C-A86F-0F069BCA2A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F40BE7E" w14:textId="77777777" w:rsidR="00383996" w:rsidRDefault="00383996" w:rsidP="00AD2B18"/>
    <w:p w14:paraId="7C3AC198" w14:textId="48B638BC" w:rsidR="00AF5524" w:rsidRDefault="003911E3" w:rsidP="00AF5524">
      <w:pPr>
        <w:pStyle w:val="BodyText"/>
      </w:pPr>
      <w:r>
        <w:t xml:space="preserve">There is </w:t>
      </w:r>
      <w:r w:rsidR="004D6987">
        <w:t>insufficient</w:t>
      </w:r>
      <w:r>
        <w:t xml:space="preserve"> rental stock </w:t>
      </w:r>
      <w:r w:rsidR="004E4DF3">
        <w:t xml:space="preserve">to serve households with </w:t>
      </w:r>
      <w:r w:rsidR="00383A7D">
        <w:t>extremely low incomes</w:t>
      </w:r>
      <w:r w:rsidR="004D6987">
        <w:t>, who</w:t>
      </w:r>
      <w:r w:rsidR="007D2E55">
        <w:t xml:space="preserve"> outnumber the </w:t>
      </w:r>
      <w:r w:rsidR="00F312E9">
        <w:t xml:space="preserve">existing units </w:t>
      </w:r>
      <w:r w:rsidR="004D6987">
        <w:t xml:space="preserve">available to them. In addition, </w:t>
      </w:r>
      <w:r w:rsidR="00F312E9">
        <w:t xml:space="preserve">most of the </w:t>
      </w:r>
      <w:r w:rsidR="00CE4CB0">
        <w:t>existing units</w:t>
      </w:r>
      <w:r w:rsidR="004D6987">
        <w:t xml:space="preserve"> affordable to this group</w:t>
      </w:r>
      <w:r w:rsidR="00CE4CB0">
        <w:t xml:space="preserve"> (about two-thirds) are occupied by households </w:t>
      </w:r>
      <w:r w:rsidR="00AF5524">
        <w:t xml:space="preserve">with higher incomes. </w:t>
      </w:r>
      <w:r w:rsidR="004D6987">
        <w:t xml:space="preserve">Because </w:t>
      </w:r>
      <w:r w:rsidR="00AF5524">
        <w:t xml:space="preserve">the market does not impose occupancy standards that restrict the affordable supply of units to the renters who need them, the gross deficit of affordable units balloons </w:t>
      </w:r>
      <w:r w:rsidR="004D6987">
        <w:t>because of the</w:t>
      </w:r>
      <w:r w:rsidR="00AF5524">
        <w:t xml:space="preserve"> mismatch </w:t>
      </w:r>
      <w:r w:rsidR="43A42EE8">
        <w:t>between</w:t>
      </w:r>
      <w:r w:rsidR="00AF5524">
        <w:t xml:space="preserve"> affordable units and renters. </w:t>
      </w:r>
      <w:r w:rsidR="004D6987">
        <w:t xml:space="preserve">Rental </w:t>
      </w:r>
      <w:r w:rsidR="00AF5524">
        <w:t>units with site-based assistance can impose occupancy standards</w:t>
      </w:r>
      <w:r w:rsidR="004D6987">
        <w:t>. However,</w:t>
      </w:r>
      <w:r w:rsidR="00AF5524">
        <w:t xml:space="preserve"> the supply of </w:t>
      </w:r>
      <w:r w:rsidR="004D6987">
        <w:t xml:space="preserve">such </w:t>
      </w:r>
      <w:r w:rsidR="00AF5524">
        <w:t>units for renters below 30</w:t>
      </w:r>
      <w:r w:rsidR="004D6987">
        <w:t xml:space="preserve"> percent of </w:t>
      </w:r>
      <w:r w:rsidR="00AF5524">
        <w:t xml:space="preserve">HAMFI </w:t>
      </w:r>
      <w:r w:rsidR="006F0405">
        <w:t xml:space="preserve">is </w:t>
      </w:r>
      <w:r w:rsidR="004D6987">
        <w:t>scarce, and m</w:t>
      </w:r>
      <w:r w:rsidR="00AF5524">
        <w:t>arket pressures creat</w:t>
      </w:r>
      <w:r w:rsidR="006F0405">
        <w:t>e</w:t>
      </w:r>
      <w:r w:rsidR="00AF5524">
        <w:t xml:space="preserve"> greater scarcity of affordable units. If dedicated affordable housing units are provided for cost-burdened households making 30</w:t>
      </w:r>
      <w:r w:rsidR="004D6987">
        <w:t xml:space="preserve"> percent </w:t>
      </w:r>
      <w:r w:rsidR="00AF5524">
        <w:t>of HAMFI or less, units affordable to households making 30</w:t>
      </w:r>
      <w:r w:rsidR="004D6987">
        <w:t>–</w:t>
      </w:r>
      <w:r w:rsidR="00AF5524">
        <w:t>50</w:t>
      </w:r>
      <w:r w:rsidR="004D6987">
        <w:t xml:space="preserve"> percent</w:t>
      </w:r>
      <w:r w:rsidR="00AF5524">
        <w:t xml:space="preserve"> of HAMFI </w:t>
      </w:r>
      <w:r w:rsidR="006158A3">
        <w:t xml:space="preserve">may </w:t>
      </w:r>
      <w:r w:rsidR="00AF5524">
        <w:t xml:space="preserve">become available. </w:t>
      </w:r>
      <w:r w:rsidR="000001DF">
        <w:t xml:space="preserve">Although households </w:t>
      </w:r>
      <w:r w:rsidR="272BAB26">
        <w:t xml:space="preserve">with higher incomes may compete to occupy these units, </w:t>
      </w:r>
      <w:r w:rsidR="000001DF">
        <w:t>it will help</w:t>
      </w:r>
      <w:r w:rsidR="272BAB26">
        <w:t xml:space="preserve"> relieve market pressure on midrange units.</w:t>
      </w:r>
    </w:p>
    <w:p w14:paraId="31C606AC" w14:textId="77777777" w:rsidR="00635AE8" w:rsidRDefault="00635AE8" w:rsidP="00AF5524">
      <w:pPr>
        <w:pStyle w:val="BodyText"/>
      </w:pPr>
    </w:p>
    <w:p w14:paraId="7517B454" w14:textId="23779C4F" w:rsidR="00635AE8" w:rsidRDefault="000001DF" w:rsidP="00AF5524">
      <w:pPr>
        <w:pStyle w:val="BodyText"/>
        <w:rPr>
          <w:highlight w:val="yellow"/>
        </w:rPr>
      </w:pPr>
      <w:r>
        <w:t>As shown in Figure 28, t</w:t>
      </w:r>
      <w:r w:rsidR="0002487C" w:rsidRPr="00234DC9">
        <w:t>here are</w:t>
      </w:r>
      <w:r w:rsidR="0002487C">
        <w:t xml:space="preserve"> relatively few rental units </w:t>
      </w:r>
      <w:r w:rsidR="007E7E0C">
        <w:t xml:space="preserve">with rents affordable to households with </w:t>
      </w:r>
      <w:r>
        <w:t xml:space="preserve">income </w:t>
      </w:r>
      <w:r w:rsidR="007E7E0C">
        <w:t>greater than 80</w:t>
      </w:r>
      <w:r>
        <w:t xml:space="preserve"> percent of </w:t>
      </w:r>
      <w:r w:rsidR="007E7E0C">
        <w:t>AMI (</w:t>
      </w:r>
      <w:r>
        <w:t xml:space="preserve">i.e., </w:t>
      </w:r>
      <w:r w:rsidR="007E7E0C">
        <w:t>greater than $40,250 for a two</w:t>
      </w:r>
      <w:r w:rsidR="00252987">
        <w:t>-</w:t>
      </w:r>
      <w:r w:rsidR="007E7E0C">
        <w:t xml:space="preserve">person household). There may be room in the market to create higher-end rental units and attract households out of units priced more affordably. This trend in the </w:t>
      </w:r>
      <w:r>
        <w:t xml:space="preserve">housing </w:t>
      </w:r>
      <w:r w:rsidR="007E7E0C">
        <w:t xml:space="preserve">stock may also be indicative of market response to a </w:t>
      </w:r>
      <w:r w:rsidR="29876B51">
        <w:t>trend</w:t>
      </w:r>
      <w:r w:rsidR="007E7E0C">
        <w:t xml:space="preserve"> toward homeownership as households achieve moderate and higher incomes. However, </w:t>
      </w:r>
      <w:r w:rsidR="009C49E5">
        <w:t xml:space="preserve">as </w:t>
      </w:r>
      <w:r w:rsidR="009C49E5" w:rsidRPr="00AF4FCC">
        <w:t>shown in Figure 29</w:t>
      </w:r>
      <w:r w:rsidR="009C49E5">
        <w:t xml:space="preserve">, </w:t>
      </w:r>
      <w:r w:rsidR="007E7E0C">
        <w:t xml:space="preserve">the owned and for-sale stock is also relatively small for </w:t>
      </w:r>
      <w:r w:rsidR="58DB0567">
        <w:t>households</w:t>
      </w:r>
      <w:r w:rsidR="007E7E0C">
        <w:t xml:space="preserve"> with moderate or higher incomes</w:t>
      </w:r>
      <w:r w:rsidR="007E7E0C" w:rsidRPr="00AF4FCC">
        <w:t>.</w:t>
      </w:r>
    </w:p>
    <w:p w14:paraId="6A0966F6" w14:textId="77777777" w:rsidR="00E4395E" w:rsidRDefault="00E4395E" w:rsidP="00AF5524">
      <w:pPr>
        <w:pStyle w:val="BodyText"/>
      </w:pPr>
    </w:p>
    <w:p w14:paraId="2A92A1B1" w14:textId="0E3D966B" w:rsidR="00E4395E" w:rsidRDefault="009C49E5" w:rsidP="00AF5524">
      <w:pPr>
        <w:pStyle w:val="BodyText"/>
      </w:pPr>
      <w:r>
        <w:t>Despite</w:t>
      </w:r>
      <w:r w:rsidR="00E4395E">
        <w:t xml:space="preserve"> much less cost-burden among owner household</w:t>
      </w:r>
      <w:r>
        <w:t>s, there is likely a</w:t>
      </w:r>
      <w:r w:rsidR="00D36C74">
        <w:t xml:space="preserve"> need for homeownership support among cost-burdened, </w:t>
      </w:r>
      <w:r w:rsidR="00AF4FCC">
        <w:t>low-</w:t>
      </w:r>
      <w:r>
        <w:t>,</w:t>
      </w:r>
      <w:r w:rsidR="00AF4FCC">
        <w:t xml:space="preserve"> and moderate-income</w:t>
      </w:r>
      <w:r w:rsidR="00900CE1">
        <w:t xml:space="preserve"> owners</w:t>
      </w:r>
      <w:r w:rsidR="00EA0D51">
        <w:t xml:space="preserve">, especially for those who have little agency to </w:t>
      </w:r>
      <w:r w:rsidR="0096534F">
        <w:t xml:space="preserve">cover costs through budgeting or higher earnings. </w:t>
      </w:r>
      <w:r w:rsidR="004B315C">
        <w:t xml:space="preserve">With fewer units affordable to </w:t>
      </w:r>
      <w:r w:rsidR="00AF4FCC">
        <w:t xml:space="preserve">moderate- </w:t>
      </w:r>
      <w:r w:rsidR="00AF4FCC">
        <w:lastRenderedPageBreak/>
        <w:t>and higher-income</w:t>
      </w:r>
      <w:r w:rsidR="004B315C">
        <w:t xml:space="preserve"> households</w:t>
      </w:r>
      <w:r>
        <w:t>,</w:t>
      </w:r>
      <w:r w:rsidR="004B315C">
        <w:t xml:space="preserve"> there is room to </w:t>
      </w:r>
      <w:r w:rsidR="006F5C04">
        <w:t>create modest homeownership opportunities</w:t>
      </w:r>
      <w:r w:rsidR="00B86122">
        <w:t xml:space="preserve"> affordable to households with income greater than the median</w:t>
      </w:r>
      <w:r w:rsidR="006F5C04">
        <w:t xml:space="preserve">. </w:t>
      </w:r>
      <w:r>
        <w:t xml:space="preserve">Although current </w:t>
      </w:r>
      <w:r w:rsidR="00B86122">
        <w:t>residents</w:t>
      </w:r>
      <w:r w:rsidR="006F5C04">
        <w:t xml:space="preserve"> </w:t>
      </w:r>
      <w:r w:rsidR="00F025D8">
        <w:t xml:space="preserve">tend to </w:t>
      </w:r>
      <w:r w:rsidR="00D07B8B">
        <w:t>spend</w:t>
      </w:r>
      <w:r w:rsidR="00F025D8">
        <w:t xml:space="preserve"> less than 30 percent of their income for housing</w:t>
      </w:r>
      <w:r w:rsidR="004C1338">
        <w:t>, some households</w:t>
      </w:r>
      <w:r w:rsidR="006E7B1F">
        <w:t xml:space="preserve"> would likely choose to “upgrade” to a</w:t>
      </w:r>
      <w:r w:rsidR="002E5D1B">
        <w:t xml:space="preserve"> more expensive home if the opportunity were available. </w:t>
      </w:r>
      <w:r w:rsidR="007D2BC9">
        <w:t xml:space="preserve">Furthermore, </w:t>
      </w:r>
      <w:r w:rsidR="007D190D">
        <w:t xml:space="preserve">there are nearly </w:t>
      </w:r>
      <w:r w:rsidR="002C2D04">
        <w:t>600</w:t>
      </w:r>
      <w:r w:rsidR="007D190D">
        <w:t xml:space="preserve"> workers</w:t>
      </w:r>
      <w:r w:rsidR="002C2D04">
        <w:t xml:space="preserve"> who </w:t>
      </w:r>
      <w:r w:rsidR="00185A57">
        <w:t xml:space="preserve">can readily afford to own a home based on their annual income. </w:t>
      </w:r>
    </w:p>
    <w:p w14:paraId="5FB73838" w14:textId="77777777" w:rsidR="00CB0FEB" w:rsidRDefault="00CB0FEB" w:rsidP="00CB0FEB">
      <w:pPr>
        <w:contextualSpacing/>
        <w:rPr>
          <w:b/>
          <w:bCs/>
        </w:rPr>
      </w:pPr>
    </w:p>
    <w:p w14:paraId="60B912DE" w14:textId="6991FC66" w:rsidR="00CB0FEB" w:rsidRPr="00CB0FEB" w:rsidRDefault="00CB0FEB" w:rsidP="00CB0FEB">
      <w:pPr>
        <w:contextualSpacing/>
      </w:pPr>
      <w:r w:rsidRPr="00CB0FEB">
        <w:rPr>
          <w:b/>
          <w:bCs/>
        </w:rPr>
        <w:t xml:space="preserve">Figure </w:t>
      </w:r>
      <w:r w:rsidR="00AF4FCC">
        <w:rPr>
          <w:b/>
          <w:bCs/>
        </w:rPr>
        <w:t>29</w:t>
      </w:r>
      <w:r w:rsidRPr="00CB0FEB">
        <w:rPr>
          <w:b/>
          <w:bCs/>
        </w:rPr>
        <w:t>: Randolph County</w:t>
      </w:r>
      <w:r>
        <w:rPr>
          <w:b/>
          <w:bCs/>
        </w:rPr>
        <w:t xml:space="preserve"> Owned/</w:t>
      </w:r>
      <w:r w:rsidRPr="00DE4F9F">
        <w:rPr>
          <w:b/>
          <w:bCs/>
        </w:rPr>
        <w:t>For-Sale Housing Stock by Affordability Level</w:t>
      </w:r>
    </w:p>
    <w:p w14:paraId="54F287C4" w14:textId="45972209" w:rsidR="003911E3" w:rsidRDefault="00CB0FEB" w:rsidP="00CB0FEB">
      <w:pPr>
        <w:contextualSpacing/>
      </w:pPr>
      <w:r w:rsidRPr="00CB0FEB">
        <w:t xml:space="preserve">Source: VCHR </w:t>
      </w:r>
      <w:r w:rsidR="00247205">
        <w:t>T</w:t>
      </w:r>
      <w:r w:rsidR="00247205" w:rsidRPr="00CB0FEB">
        <w:t xml:space="preserve">abulation </w:t>
      </w:r>
      <w:r w:rsidRPr="00CB0FEB">
        <w:t>of 2014</w:t>
      </w:r>
      <w:r w:rsidR="004A3DC8">
        <w:t>–</w:t>
      </w:r>
      <w:r w:rsidRPr="00CB0FEB">
        <w:t xml:space="preserve">2018 CHAS </w:t>
      </w:r>
      <w:r w:rsidR="006A1FA2">
        <w:t>D</w:t>
      </w:r>
      <w:r w:rsidR="006A1FA2" w:rsidRPr="00CB0FEB">
        <w:t>ata</w:t>
      </w:r>
    </w:p>
    <w:p w14:paraId="4091451B" w14:textId="77777777" w:rsidR="00BB6344" w:rsidRDefault="00F23E95" w:rsidP="00AD2B18">
      <w:r>
        <w:rPr>
          <w:noProof/>
        </w:rPr>
        <w:drawing>
          <wp:inline distT="0" distB="0" distL="0" distR="0" wp14:anchorId="617C3B61" wp14:editId="41403966">
            <wp:extent cx="5616353" cy="3260912"/>
            <wp:effectExtent l="0" t="0" r="3810" b="15875"/>
            <wp:docPr id="11" name="Chart 11">
              <a:extLst xmlns:a="http://schemas.openxmlformats.org/drawingml/2006/main">
                <a:ext uri="{FF2B5EF4-FFF2-40B4-BE49-F238E27FC236}">
                  <a16:creationId xmlns:a16="http://schemas.microsoft.com/office/drawing/2014/main" id="{59229C84-7B00-46F7-9AB5-8CAC1BB462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ECE5568" w14:textId="3BA67306" w:rsidR="002938D6" w:rsidRDefault="002938D6" w:rsidP="00AD2B18"/>
    <w:p w14:paraId="2CAF63CE" w14:textId="3BA67306" w:rsidR="002938D6" w:rsidRDefault="002938D6" w:rsidP="002938D6">
      <w:pPr>
        <w:pStyle w:val="Heading1"/>
      </w:pPr>
      <w:bookmarkStart w:id="47" w:name="_Toc120703916"/>
      <w:r>
        <w:t>Recommendations</w:t>
      </w:r>
      <w:bookmarkEnd w:id="47"/>
    </w:p>
    <w:p w14:paraId="620B20B9" w14:textId="257EC756" w:rsidR="002938D6" w:rsidRDefault="002938D6" w:rsidP="004A3DC8">
      <w:pPr>
        <w:rPr>
          <w:lang w:eastAsia="en-US"/>
        </w:rPr>
      </w:pPr>
      <w:r>
        <w:rPr>
          <w:lang w:eastAsia="en-US"/>
        </w:rPr>
        <w:t>Increasing demand for housing along with a healthy housing market offers an opportunity for strategic investment in housing:</w:t>
      </w:r>
    </w:p>
    <w:p w14:paraId="67D89529" w14:textId="0BB1E7A4" w:rsidR="002938D6" w:rsidRDefault="002938D6" w:rsidP="7DFA81C2">
      <w:pPr>
        <w:pStyle w:val="ListParagraph"/>
        <w:numPr>
          <w:ilvl w:val="0"/>
          <w:numId w:val="7"/>
        </w:numPr>
      </w:pPr>
      <w:r>
        <w:t>creating turnkey, well-located homes for higher-income households</w:t>
      </w:r>
    </w:p>
    <w:p w14:paraId="71FC520C" w14:textId="3796DF6B" w:rsidR="7F0AF10B" w:rsidRDefault="004A3DC8" w:rsidP="7DFA81C2">
      <w:pPr>
        <w:pStyle w:val="ListParagraph"/>
        <w:numPr>
          <w:ilvl w:val="0"/>
          <w:numId w:val="7"/>
        </w:numPr>
      </w:pPr>
      <w:r>
        <w:t xml:space="preserve">building </w:t>
      </w:r>
      <w:r w:rsidR="7F0AF10B">
        <w:t>high-quality subsidized housing and homeownership pathways for low-wage workers</w:t>
      </w:r>
    </w:p>
    <w:p w14:paraId="111C77F9" w14:textId="24FFE32C" w:rsidR="002938D6" w:rsidRDefault="002938D6" w:rsidP="002938D6">
      <w:pPr>
        <w:pStyle w:val="ListParagraph"/>
        <w:numPr>
          <w:ilvl w:val="0"/>
          <w:numId w:val="7"/>
        </w:numPr>
      </w:pPr>
      <w:r>
        <w:t>investing in repair, maintenance</w:t>
      </w:r>
      <w:r w:rsidR="004A3DC8">
        <w:t>,</w:t>
      </w:r>
      <w:r>
        <w:t xml:space="preserve"> and upgrade of housing stock owned by low</w:t>
      </w:r>
      <w:r w:rsidR="009C035C">
        <w:t>-</w:t>
      </w:r>
      <w:r>
        <w:t xml:space="preserve"> and moderate-income households (including</w:t>
      </w:r>
      <w:r w:rsidR="009C035C">
        <w:t>/especially</w:t>
      </w:r>
      <w:r>
        <w:t xml:space="preserve"> for seniors)</w:t>
      </w:r>
    </w:p>
    <w:p w14:paraId="7622D956" w14:textId="3A3C37D4" w:rsidR="002938D6" w:rsidRDefault="0AA7AAFD" w:rsidP="7DFA81C2">
      <w:pPr>
        <w:pStyle w:val="ListParagraph"/>
        <w:numPr>
          <w:ilvl w:val="0"/>
          <w:numId w:val="7"/>
        </w:numPr>
      </w:pPr>
      <w:r>
        <w:t>infill development that addresses both rental and ownership</w:t>
      </w:r>
    </w:p>
    <w:p w14:paraId="0D9F9B83" w14:textId="07BAE515" w:rsidR="002938D6" w:rsidRDefault="186F16C2" w:rsidP="7DFA81C2">
      <w:pPr>
        <w:ind w:firstLine="720"/>
      </w:pPr>
      <w:r>
        <w:t xml:space="preserve">Turnkey, well-located homes for higher-income households </w:t>
      </w:r>
    </w:p>
    <w:p w14:paraId="495A9862" w14:textId="27E5FFCC" w:rsidR="002938D6" w:rsidRDefault="0AA7AAFD" w:rsidP="7DFA81C2">
      <w:pPr>
        <w:rPr>
          <w:lang w:eastAsia="en-US"/>
        </w:rPr>
      </w:pPr>
      <w:r w:rsidRPr="7DFA81C2">
        <w:rPr>
          <w:lang w:eastAsia="en-US"/>
        </w:rPr>
        <w:t xml:space="preserve">Quantifying demand for market rate properties is less straightforward than </w:t>
      </w:r>
      <w:r w:rsidR="082EED6B" w:rsidRPr="7DFA81C2">
        <w:rPr>
          <w:lang w:eastAsia="en-US"/>
        </w:rPr>
        <w:t>low-income</w:t>
      </w:r>
      <w:r w:rsidRPr="7DFA81C2">
        <w:rPr>
          <w:lang w:eastAsia="en-US"/>
        </w:rPr>
        <w:t xml:space="preserve"> housing. However, </w:t>
      </w:r>
      <w:r w:rsidR="00FC2DBA">
        <w:rPr>
          <w:lang w:eastAsia="en-US"/>
        </w:rPr>
        <w:t xml:space="preserve">the rate of housing </w:t>
      </w:r>
      <w:r w:rsidR="009C035C">
        <w:rPr>
          <w:lang w:eastAsia="en-US"/>
        </w:rPr>
        <w:t>construction</w:t>
      </w:r>
      <w:r w:rsidRPr="7DFA81C2">
        <w:rPr>
          <w:lang w:eastAsia="en-US"/>
        </w:rPr>
        <w:t xml:space="preserve"> </w:t>
      </w:r>
      <w:r w:rsidR="009C035C">
        <w:rPr>
          <w:lang w:eastAsia="en-US"/>
        </w:rPr>
        <w:t>both nationally and in rural communities</w:t>
      </w:r>
      <w:r w:rsidR="009C035C" w:rsidRPr="7DFA81C2">
        <w:rPr>
          <w:lang w:eastAsia="en-US"/>
        </w:rPr>
        <w:t xml:space="preserve"> </w:t>
      </w:r>
      <w:r w:rsidRPr="7DFA81C2">
        <w:rPr>
          <w:lang w:eastAsia="en-US"/>
        </w:rPr>
        <w:t xml:space="preserve">has </w:t>
      </w:r>
      <w:r w:rsidR="00FC2DBA">
        <w:rPr>
          <w:lang w:eastAsia="en-US"/>
        </w:rPr>
        <w:t xml:space="preserve">yet to return to </w:t>
      </w:r>
      <w:r w:rsidR="0087555D">
        <w:rPr>
          <w:lang w:eastAsia="en-US"/>
        </w:rPr>
        <w:t xml:space="preserve">the </w:t>
      </w:r>
      <w:r w:rsidR="00FC2DBA">
        <w:rPr>
          <w:lang w:eastAsia="en-US"/>
        </w:rPr>
        <w:t>pre-2008 recession level</w:t>
      </w:r>
      <w:r w:rsidRPr="7DFA81C2">
        <w:rPr>
          <w:lang w:eastAsia="en-US"/>
        </w:rPr>
        <w:t xml:space="preserve">. </w:t>
      </w:r>
      <w:r w:rsidR="1DBDDF1C" w:rsidRPr="7DFA81C2">
        <w:rPr>
          <w:lang w:eastAsia="en-US"/>
        </w:rPr>
        <w:t xml:space="preserve">Data for the </w:t>
      </w:r>
      <w:r w:rsidR="005F22EB">
        <w:rPr>
          <w:lang w:eastAsia="en-US"/>
        </w:rPr>
        <w:t>C</w:t>
      </w:r>
      <w:r w:rsidR="005F22EB" w:rsidRPr="7DFA81C2">
        <w:rPr>
          <w:lang w:eastAsia="en-US"/>
        </w:rPr>
        <w:t xml:space="preserve">ounty </w:t>
      </w:r>
      <w:r w:rsidR="1DBDDF1C" w:rsidRPr="7DFA81C2">
        <w:rPr>
          <w:lang w:eastAsia="en-US"/>
        </w:rPr>
        <w:t xml:space="preserve">and conversations with stakeholders indicate a lack of units affordable </w:t>
      </w:r>
      <w:r w:rsidR="1D867AF8" w:rsidRPr="7DFA81C2">
        <w:rPr>
          <w:lang w:eastAsia="en-US"/>
        </w:rPr>
        <w:t xml:space="preserve">to </w:t>
      </w:r>
      <w:r w:rsidR="009C035C">
        <w:rPr>
          <w:lang w:eastAsia="en-US"/>
        </w:rPr>
        <w:t xml:space="preserve">both </w:t>
      </w:r>
      <w:r w:rsidR="43996ADD" w:rsidRPr="7DFA81C2">
        <w:rPr>
          <w:lang w:eastAsia="en-US"/>
        </w:rPr>
        <w:t>moderate- and higher-income</w:t>
      </w:r>
      <w:r w:rsidR="1D867AF8" w:rsidRPr="7DFA81C2">
        <w:rPr>
          <w:lang w:eastAsia="en-US"/>
        </w:rPr>
        <w:t xml:space="preserve"> owners and renters. Moreover, paired income and housing cost data for both the resident </w:t>
      </w:r>
      <w:r w:rsidR="2C6D02A7" w:rsidRPr="7DFA81C2">
        <w:rPr>
          <w:lang w:eastAsia="en-US"/>
        </w:rPr>
        <w:t xml:space="preserve">workforce and commuters show that many can afford </w:t>
      </w:r>
      <w:r w:rsidR="2C6D02A7" w:rsidRPr="7DFA81C2">
        <w:rPr>
          <w:lang w:eastAsia="en-US"/>
        </w:rPr>
        <w:lastRenderedPageBreak/>
        <w:t>substa</w:t>
      </w:r>
      <w:r w:rsidR="22EBDD76" w:rsidRPr="7DFA81C2">
        <w:rPr>
          <w:lang w:eastAsia="en-US"/>
        </w:rPr>
        <w:t>ntial</w:t>
      </w:r>
      <w:r w:rsidR="2C6D02A7" w:rsidRPr="7DFA81C2">
        <w:rPr>
          <w:lang w:eastAsia="en-US"/>
        </w:rPr>
        <w:t xml:space="preserve"> </w:t>
      </w:r>
      <w:r w:rsidR="6EEFE39E" w:rsidRPr="7DFA81C2">
        <w:rPr>
          <w:lang w:eastAsia="en-US"/>
        </w:rPr>
        <w:t xml:space="preserve">housing </w:t>
      </w:r>
      <w:r w:rsidR="2C6D02A7" w:rsidRPr="7DFA81C2">
        <w:rPr>
          <w:lang w:eastAsia="en-US"/>
        </w:rPr>
        <w:t xml:space="preserve">costs even as single earners. </w:t>
      </w:r>
      <w:r w:rsidR="69468B39" w:rsidRPr="7DFA81C2">
        <w:rPr>
          <w:lang w:eastAsia="en-US"/>
        </w:rPr>
        <w:t>New construction or rehabilitation of older properties to create more turnkey, market</w:t>
      </w:r>
      <w:r w:rsidR="000145A8">
        <w:rPr>
          <w:lang w:eastAsia="en-US"/>
        </w:rPr>
        <w:t>-</w:t>
      </w:r>
      <w:r w:rsidR="69468B39" w:rsidRPr="7DFA81C2">
        <w:rPr>
          <w:lang w:eastAsia="en-US"/>
        </w:rPr>
        <w:t>rate housing options for these high earners would help satisfy housing demand for the group and free up properties for middle- and lower-income earners.</w:t>
      </w:r>
    </w:p>
    <w:p w14:paraId="33D3249E" w14:textId="76D7CA8B" w:rsidR="002938D6" w:rsidRDefault="69468B39" w:rsidP="7DFA81C2">
      <w:pPr>
        <w:ind w:firstLine="720"/>
      </w:pPr>
      <w:r>
        <w:t>High-quality, subsidized housing and homeownership pathways for low-wage workers</w:t>
      </w:r>
    </w:p>
    <w:p w14:paraId="25CE3F51" w14:textId="2B831C03" w:rsidR="002938D6" w:rsidRDefault="002938D6" w:rsidP="002938D6">
      <w:pPr>
        <w:rPr>
          <w:lang w:eastAsia="en-US"/>
        </w:rPr>
      </w:pPr>
      <w:r w:rsidRPr="7DFA81C2">
        <w:rPr>
          <w:lang w:eastAsia="en-US"/>
        </w:rPr>
        <w:t xml:space="preserve">As the </w:t>
      </w:r>
      <w:r w:rsidR="00D357D8">
        <w:rPr>
          <w:lang w:eastAsia="en-US"/>
        </w:rPr>
        <w:t>C</w:t>
      </w:r>
      <w:r w:rsidR="00D357D8" w:rsidRPr="7DFA81C2">
        <w:rPr>
          <w:lang w:eastAsia="en-US"/>
        </w:rPr>
        <w:t xml:space="preserve">ounty </w:t>
      </w:r>
      <w:r w:rsidRPr="7DFA81C2">
        <w:rPr>
          <w:lang w:eastAsia="en-US"/>
        </w:rPr>
        <w:t>seeks growth opportunities and to accommodate high-earning workers, incorporating</w:t>
      </w:r>
      <w:r w:rsidR="00BE5470" w:rsidRPr="7DFA81C2">
        <w:rPr>
          <w:lang w:eastAsia="en-US"/>
        </w:rPr>
        <w:t xml:space="preserve"> income</w:t>
      </w:r>
      <w:r w:rsidR="000145A8">
        <w:rPr>
          <w:lang w:eastAsia="en-US"/>
        </w:rPr>
        <w:t>-</w:t>
      </w:r>
      <w:r w:rsidR="00BE5470" w:rsidRPr="7DFA81C2">
        <w:rPr>
          <w:lang w:eastAsia="en-US"/>
        </w:rPr>
        <w:t>restricted,</w:t>
      </w:r>
      <w:r w:rsidRPr="7DFA81C2">
        <w:rPr>
          <w:lang w:eastAsia="en-US"/>
        </w:rPr>
        <w:t xml:space="preserve"> subsidized housing for low</w:t>
      </w:r>
      <w:r w:rsidR="000145A8">
        <w:rPr>
          <w:lang w:eastAsia="en-US"/>
        </w:rPr>
        <w:t>-</w:t>
      </w:r>
      <w:r w:rsidRPr="7DFA81C2">
        <w:rPr>
          <w:lang w:eastAsia="en-US"/>
        </w:rPr>
        <w:t xml:space="preserve">wage workers and home modification and repair support will increase the </w:t>
      </w:r>
      <w:r w:rsidR="000B01D5">
        <w:rPr>
          <w:lang w:eastAsia="en-US"/>
        </w:rPr>
        <w:t>C</w:t>
      </w:r>
      <w:r w:rsidR="000B01D5" w:rsidRPr="7DFA81C2">
        <w:rPr>
          <w:lang w:eastAsia="en-US"/>
        </w:rPr>
        <w:t xml:space="preserve">ounty’s </w:t>
      </w:r>
      <w:r w:rsidRPr="7DFA81C2">
        <w:rPr>
          <w:lang w:eastAsia="en-US"/>
        </w:rPr>
        <w:t xml:space="preserve">competitiveness and avoid deterioration of the housing stock. Growth in rent and owner costs with a mortgage indicate increasing demand and threaten to displace low-income community members. </w:t>
      </w:r>
      <w:r w:rsidR="748E51F9" w:rsidRPr="7DFA81C2">
        <w:rPr>
          <w:lang w:eastAsia="en-US"/>
        </w:rPr>
        <w:t>Seniors may be forced to endure inadequate, deteriorating housing to make ends meet.</w:t>
      </w:r>
      <w:r w:rsidRPr="7DFA81C2">
        <w:rPr>
          <w:lang w:eastAsia="en-US"/>
        </w:rPr>
        <w:t xml:space="preserve"> </w:t>
      </w:r>
      <w:r w:rsidR="0FA5836B" w:rsidRPr="7DFA81C2">
        <w:rPr>
          <w:lang w:eastAsia="en-US"/>
        </w:rPr>
        <w:t>Low-wage workers in retail, food services, and healthcare may choose to seek places where wages and housing opportunities are more advantageous.</w:t>
      </w:r>
      <w:r w:rsidRPr="7DFA81C2">
        <w:rPr>
          <w:lang w:eastAsia="en-US"/>
        </w:rPr>
        <w:t xml:space="preserve"> </w:t>
      </w:r>
    </w:p>
    <w:p w14:paraId="0F78EC52" w14:textId="415D5179" w:rsidR="00F206D1" w:rsidRDefault="00520D5E" w:rsidP="002938D6">
      <w:pPr>
        <w:rPr>
          <w:lang w:eastAsia="en-US"/>
        </w:rPr>
      </w:pPr>
      <w:r w:rsidRPr="7DFA81C2">
        <w:rPr>
          <w:lang w:eastAsia="en-US"/>
        </w:rPr>
        <w:t xml:space="preserve">Rental </w:t>
      </w:r>
      <w:r w:rsidR="008F143A" w:rsidRPr="7DFA81C2">
        <w:rPr>
          <w:lang w:eastAsia="en-US"/>
        </w:rPr>
        <w:t xml:space="preserve">housing is an important </w:t>
      </w:r>
      <w:r w:rsidR="54A39DD6" w:rsidRPr="7DFA81C2">
        <w:rPr>
          <w:lang w:eastAsia="en-US"/>
        </w:rPr>
        <w:t>steppingstone</w:t>
      </w:r>
      <w:r w:rsidR="008F143A" w:rsidRPr="7DFA81C2">
        <w:rPr>
          <w:lang w:eastAsia="en-US"/>
        </w:rPr>
        <w:t xml:space="preserve"> for most households, whether they </w:t>
      </w:r>
      <w:r w:rsidR="00255EEC">
        <w:rPr>
          <w:lang w:eastAsia="en-US"/>
        </w:rPr>
        <w:t>are</w:t>
      </w:r>
      <w:r w:rsidR="00255EEC" w:rsidRPr="7DFA81C2">
        <w:rPr>
          <w:lang w:eastAsia="en-US"/>
        </w:rPr>
        <w:t xml:space="preserve"> </w:t>
      </w:r>
      <w:r w:rsidR="008F143A" w:rsidRPr="7DFA81C2">
        <w:rPr>
          <w:lang w:eastAsia="en-US"/>
        </w:rPr>
        <w:t>new</w:t>
      </w:r>
      <w:r w:rsidR="00D92F9E" w:rsidRPr="7DFA81C2">
        <w:rPr>
          <w:lang w:eastAsia="en-US"/>
        </w:rPr>
        <w:t xml:space="preserve"> </w:t>
      </w:r>
      <w:r w:rsidR="00983732" w:rsidRPr="7DFA81C2">
        <w:rPr>
          <w:lang w:eastAsia="en-US"/>
        </w:rPr>
        <w:t>residents</w:t>
      </w:r>
      <w:r w:rsidR="00D92F9E" w:rsidRPr="7DFA81C2">
        <w:rPr>
          <w:lang w:eastAsia="en-US"/>
        </w:rPr>
        <w:t>, young people just forming house</w:t>
      </w:r>
      <w:r w:rsidR="00983732" w:rsidRPr="7DFA81C2">
        <w:rPr>
          <w:lang w:eastAsia="en-US"/>
        </w:rPr>
        <w:t>holds, households recovering from crisis</w:t>
      </w:r>
      <w:r w:rsidR="00D92102" w:rsidRPr="7DFA81C2">
        <w:rPr>
          <w:lang w:eastAsia="en-US"/>
        </w:rPr>
        <w:t xml:space="preserve"> (economic or otherwise)</w:t>
      </w:r>
      <w:r w:rsidR="00255EEC">
        <w:rPr>
          <w:lang w:eastAsia="en-US"/>
        </w:rPr>
        <w:t>,</w:t>
      </w:r>
      <w:r w:rsidR="00D92102" w:rsidRPr="7DFA81C2">
        <w:rPr>
          <w:lang w:eastAsia="en-US"/>
        </w:rPr>
        <w:t xml:space="preserve"> or households changing life situations (downsizing or otherwise). </w:t>
      </w:r>
      <w:r w:rsidR="007011BD" w:rsidRPr="7DFA81C2">
        <w:rPr>
          <w:lang w:eastAsia="en-US"/>
        </w:rPr>
        <w:t>W</w:t>
      </w:r>
      <w:r w:rsidR="004C5737" w:rsidRPr="7DFA81C2">
        <w:rPr>
          <w:lang w:eastAsia="en-US"/>
        </w:rPr>
        <w:t xml:space="preserve">ell-managed, attainable, accessible, affordable rental housing </w:t>
      </w:r>
      <w:r w:rsidR="007011BD" w:rsidRPr="7DFA81C2">
        <w:rPr>
          <w:lang w:eastAsia="en-US"/>
        </w:rPr>
        <w:t xml:space="preserve">can stabilize households and communities as well as </w:t>
      </w:r>
      <w:r w:rsidR="008E0EEC" w:rsidRPr="7DFA81C2">
        <w:rPr>
          <w:lang w:eastAsia="en-US"/>
        </w:rPr>
        <w:t>anchor households in a community.</w:t>
      </w:r>
    </w:p>
    <w:p w14:paraId="53CA06A1" w14:textId="1D3E5975" w:rsidR="00175124" w:rsidRDefault="00175124" w:rsidP="7DFA81C2">
      <w:pPr>
        <w:ind w:firstLine="720"/>
        <w:rPr>
          <w:lang w:eastAsia="en-US"/>
        </w:rPr>
      </w:pPr>
      <w:r w:rsidRPr="7DFA81C2">
        <w:rPr>
          <w:lang w:eastAsia="en-US"/>
        </w:rPr>
        <w:t xml:space="preserve">Home </w:t>
      </w:r>
      <w:r w:rsidR="0087555D">
        <w:rPr>
          <w:lang w:eastAsia="en-US"/>
        </w:rPr>
        <w:t>r</w:t>
      </w:r>
      <w:r w:rsidR="0087555D" w:rsidRPr="7DFA81C2">
        <w:rPr>
          <w:lang w:eastAsia="en-US"/>
        </w:rPr>
        <w:t>epair</w:t>
      </w:r>
      <w:r w:rsidRPr="7DFA81C2">
        <w:rPr>
          <w:lang w:eastAsia="en-US"/>
        </w:rPr>
        <w:t xml:space="preserve">, </w:t>
      </w:r>
      <w:r w:rsidR="0087555D">
        <w:rPr>
          <w:lang w:eastAsia="en-US"/>
        </w:rPr>
        <w:t>m</w:t>
      </w:r>
      <w:r w:rsidR="0087555D" w:rsidRPr="7DFA81C2">
        <w:rPr>
          <w:lang w:eastAsia="en-US"/>
        </w:rPr>
        <w:t>aintenance</w:t>
      </w:r>
      <w:r w:rsidR="00871964">
        <w:rPr>
          <w:lang w:eastAsia="en-US"/>
        </w:rPr>
        <w:t>,</w:t>
      </w:r>
      <w:r w:rsidRPr="7DFA81C2">
        <w:rPr>
          <w:lang w:eastAsia="en-US"/>
        </w:rPr>
        <w:t xml:space="preserve"> and </w:t>
      </w:r>
      <w:r w:rsidR="0087555D">
        <w:rPr>
          <w:lang w:eastAsia="en-US"/>
        </w:rPr>
        <w:t>u</w:t>
      </w:r>
      <w:r w:rsidR="0087555D" w:rsidRPr="7DFA81C2">
        <w:rPr>
          <w:lang w:eastAsia="en-US"/>
        </w:rPr>
        <w:t>pgrade</w:t>
      </w:r>
    </w:p>
    <w:p w14:paraId="47E31ED9" w14:textId="36BBE11E" w:rsidR="009313D8" w:rsidRDefault="00871964" w:rsidP="002938D6">
      <w:pPr>
        <w:rPr>
          <w:lang w:eastAsia="en-US"/>
        </w:rPr>
      </w:pPr>
      <w:r>
        <w:rPr>
          <w:lang w:eastAsia="en-US"/>
        </w:rPr>
        <w:t>An essential first step is e</w:t>
      </w:r>
      <w:r w:rsidRPr="7DFA81C2">
        <w:rPr>
          <w:lang w:eastAsia="en-US"/>
        </w:rPr>
        <w:t xml:space="preserve">nsuring </w:t>
      </w:r>
      <w:r w:rsidR="009313D8" w:rsidRPr="7DFA81C2">
        <w:rPr>
          <w:lang w:eastAsia="en-US"/>
        </w:rPr>
        <w:t xml:space="preserve">that eligible owners in the County are taking full advantage of </w:t>
      </w:r>
      <w:r>
        <w:rPr>
          <w:lang w:eastAsia="en-US"/>
        </w:rPr>
        <w:t xml:space="preserve">the </w:t>
      </w:r>
      <w:r w:rsidR="009313D8" w:rsidRPr="7DFA81C2">
        <w:rPr>
          <w:lang w:eastAsia="en-US"/>
        </w:rPr>
        <w:t xml:space="preserve">Weatherization Assistance Program, Federal Home Loan Bank Affordable Housing Program, and other opportunities </w:t>
      </w:r>
      <w:r>
        <w:rPr>
          <w:lang w:eastAsia="en-US"/>
        </w:rPr>
        <w:t xml:space="preserve">for </w:t>
      </w:r>
      <w:r w:rsidR="009313D8" w:rsidRPr="7DFA81C2">
        <w:rPr>
          <w:lang w:eastAsia="en-US"/>
        </w:rPr>
        <w:t>home repair and upgrades</w:t>
      </w:r>
      <w:r>
        <w:rPr>
          <w:lang w:eastAsia="en-US"/>
        </w:rPr>
        <w:t>,</w:t>
      </w:r>
      <w:r w:rsidR="009313D8" w:rsidRPr="7DFA81C2">
        <w:rPr>
          <w:lang w:eastAsia="en-US"/>
        </w:rPr>
        <w:t xml:space="preserve"> such as organized volunteer home rehab projects. These programs are </w:t>
      </w:r>
      <w:r>
        <w:rPr>
          <w:lang w:eastAsia="en-US"/>
        </w:rPr>
        <w:t>complex</w:t>
      </w:r>
      <w:r w:rsidR="488AC4B8" w:rsidRPr="7DFA81C2">
        <w:rPr>
          <w:lang w:eastAsia="en-US"/>
        </w:rPr>
        <w:t>,</w:t>
      </w:r>
      <w:r w:rsidR="009313D8" w:rsidRPr="7DFA81C2">
        <w:rPr>
          <w:lang w:eastAsia="en-US"/>
        </w:rPr>
        <w:t xml:space="preserve"> and homeowners may be suspicious of programs that </w:t>
      </w:r>
      <w:r>
        <w:rPr>
          <w:lang w:eastAsia="en-US"/>
        </w:rPr>
        <w:t xml:space="preserve">either </w:t>
      </w:r>
      <w:r w:rsidRPr="7DFA81C2">
        <w:rPr>
          <w:lang w:eastAsia="en-US"/>
        </w:rPr>
        <w:t xml:space="preserve">offer </w:t>
      </w:r>
      <w:r>
        <w:rPr>
          <w:lang w:eastAsia="en-US"/>
        </w:rPr>
        <w:t xml:space="preserve">free </w:t>
      </w:r>
      <w:r w:rsidRPr="7DFA81C2">
        <w:rPr>
          <w:lang w:eastAsia="en-US"/>
        </w:rPr>
        <w:t xml:space="preserve">services </w:t>
      </w:r>
      <w:r>
        <w:rPr>
          <w:lang w:eastAsia="en-US"/>
        </w:rPr>
        <w:t xml:space="preserve">or </w:t>
      </w:r>
      <w:r w:rsidR="009313D8" w:rsidRPr="7DFA81C2">
        <w:rPr>
          <w:lang w:eastAsia="en-US"/>
        </w:rPr>
        <w:t xml:space="preserve">require a </w:t>
      </w:r>
      <w:bookmarkStart w:id="48" w:name="_Int_yZnfs3lo"/>
      <w:r w:rsidR="009313D8" w:rsidRPr="7DFA81C2">
        <w:rPr>
          <w:lang w:eastAsia="en-US"/>
        </w:rPr>
        <w:t>lien</w:t>
      </w:r>
      <w:bookmarkEnd w:id="48"/>
      <w:r w:rsidR="009313D8" w:rsidRPr="7DFA81C2">
        <w:rPr>
          <w:lang w:eastAsia="en-US"/>
        </w:rPr>
        <w:t xml:space="preserve"> or deed of trust. Local leadership</w:t>
      </w:r>
      <w:r w:rsidR="7AF4E85D" w:rsidRPr="7DFA81C2">
        <w:rPr>
          <w:lang w:eastAsia="en-US"/>
        </w:rPr>
        <w:t xml:space="preserve"> </w:t>
      </w:r>
      <w:r w:rsidR="009313D8" w:rsidRPr="7DFA81C2">
        <w:rPr>
          <w:lang w:eastAsia="en-US"/>
        </w:rPr>
        <w:t>is required to</w:t>
      </w:r>
      <w:r w:rsidR="00175124" w:rsidRPr="7DFA81C2">
        <w:rPr>
          <w:lang w:eastAsia="en-US"/>
        </w:rPr>
        <w:t xml:space="preserve"> coordinate resource</w:t>
      </w:r>
      <w:r w:rsidR="6CE18288" w:rsidRPr="7DFA81C2">
        <w:rPr>
          <w:lang w:eastAsia="en-US"/>
        </w:rPr>
        <w:t>s. Outreach and education programs should</w:t>
      </w:r>
      <w:r w:rsidR="009313D8" w:rsidRPr="7DFA81C2">
        <w:rPr>
          <w:lang w:eastAsia="en-US"/>
        </w:rPr>
        <w:t xml:space="preserve"> raise awareness, address </w:t>
      </w:r>
      <w:r w:rsidR="2002B6B7" w:rsidRPr="7DFA81C2">
        <w:rPr>
          <w:lang w:eastAsia="en-US"/>
        </w:rPr>
        <w:t>fears,</w:t>
      </w:r>
      <w:r w:rsidR="009313D8" w:rsidRPr="7DFA81C2">
        <w:rPr>
          <w:lang w:eastAsia="en-US"/>
        </w:rPr>
        <w:t xml:space="preserve"> and support eligible homeowners. Local programs</w:t>
      </w:r>
      <w:r>
        <w:rPr>
          <w:lang w:eastAsia="en-US"/>
        </w:rPr>
        <w:t>,</w:t>
      </w:r>
      <w:r w:rsidR="009313D8" w:rsidRPr="7DFA81C2">
        <w:rPr>
          <w:lang w:eastAsia="en-US"/>
        </w:rPr>
        <w:t xml:space="preserve"> including tax abatement for seniors and specific home upgrades</w:t>
      </w:r>
      <w:r w:rsidR="00175124" w:rsidRPr="7DFA81C2">
        <w:rPr>
          <w:lang w:eastAsia="en-US"/>
        </w:rPr>
        <w:t>, low</w:t>
      </w:r>
      <w:r w:rsidR="00A025C2">
        <w:rPr>
          <w:lang w:eastAsia="en-US"/>
        </w:rPr>
        <w:t>-</w:t>
      </w:r>
      <w:r w:rsidR="00175124" w:rsidRPr="7DFA81C2">
        <w:rPr>
          <w:lang w:eastAsia="en-US"/>
        </w:rPr>
        <w:t xml:space="preserve"> or no-interest loan programs for home repair and upgrade, and referrals to licensed contractors</w:t>
      </w:r>
      <w:r w:rsidR="009313D8" w:rsidRPr="7DFA81C2">
        <w:rPr>
          <w:lang w:eastAsia="en-US"/>
        </w:rPr>
        <w:t xml:space="preserve"> can complement these services</w:t>
      </w:r>
      <w:r w:rsidR="00175124" w:rsidRPr="7DFA81C2">
        <w:rPr>
          <w:lang w:eastAsia="en-US"/>
        </w:rPr>
        <w:t>.</w:t>
      </w:r>
    </w:p>
    <w:p w14:paraId="75814A78" w14:textId="1EB1F2A3" w:rsidR="4EF15B1C" w:rsidRDefault="4EF15B1C" w:rsidP="7DFA81C2">
      <w:pPr>
        <w:ind w:firstLine="720"/>
      </w:pPr>
      <w:r>
        <w:t>Infill development that addresses both rental and ownership</w:t>
      </w:r>
    </w:p>
    <w:p w14:paraId="0C35664C" w14:textId="4B26C586" w:rsidR="002B4981" w:rsidRDefault="002B4981" w:rsidP="7DFA81C2">
      <w:pPr>
        <w:spacing w:after="0"/>
      </w:pPr>
      <w:r w:rsidRPr="7DFA81C2">
        <w:rPr>
          <w:lang w:eastAsia="en-US"/>
        </w:rPr>
        <w:t>I</w:t>
      </w:r>
      <w:r w:rsidR="001537DF" w:rsidRPr="7DFA81C2">
        <w:rPr>
          <w:lang w:eastAsia="en-US"/>
        </w:rPr>
        <w:t>nfill development</w:t>
      </w:r>
      <w:r w:rsidRPr="7DFA81C2">
        <w:rPr>
          <w:lang w:eastAsia="en-US"/>
        </w:rPr>
        <w:t xml:space="preserve"> can complement maintenance, repair, </w:t>
      </w:r>
      <w:r w:rsidR="00A025C2">
        <w:rPr>
          <w:lang w:eastAsia="en-US"/>
        </w:rPr>
        <w:t xml:space="preserve">or </w:t>
      </w:r>
      <w:r w:rsidRPr="7DFA81C2">
        <w:rPr>
          <w:lang w:eastAsia="en-US"/>
        </w:rPr>
        <w:t>upgrade</w:t>
      </w:r>
      <w:r w:rsidR="000C1C73" w:rsidRPr="7DFA81C2">
        <w:rPr>
          <w:lang w:eastAsia="en-US"/>
        </w:rPr>
        <w:t xml:space="preserve"> of the existing stock</w:t>
      </w:r>
      <w:r w:rsidRPr="7DFA81C2">
        <w:rPr>
          <w:lang w:eastAsia="en-US"/>
        </w:rPr>
        <w:t xml:space="preserve"> and promote community development</w:t>
      </w:r>
      <w:r w:rsidR="001537DF" w:rsidRPr="7DFA81C2">
        <w:rPr>
          <w:lang w:eastAsia="en-US"/>
        </w:rPr>
        <w:t xml:space="preserve">. Limited demand </w:t>
      </w:r>
      <w:r w:rsidR="00FA383F" w:rsidRPr="7DFA81C2">
        <w:rPr>
          <w:lang w:eastAsia="en-US"/>
        </w:rPr>
        <w:t xml:space="preserve">in a healthy market </w:t>
      </w:r>
      <w:r w:rsidR="00B355F0" w:rsidRPr="7DFA81C2">
        <w:rPr>
          <w:lang w:eastAsia="en-US"/>
        </w:rPr>
        <w:t xml:space="preserve">requires </w:t>
      </w:r>
      <w:r w:rsidR="6448E8A9" w:rsidRPr="7DFA81C2">
        <w:rPr>
          <w:lang w:eastAsia="en-US"/>
        </w:rPr>
        <w:t xml:space="preserve">that </w:t>
      </w:r>
      <w:r w:rsidR="00B355F0" w:rsidRPr="7DFA81C2">
        <w:rPr>
          <w:lang w:eastAsia="en-US"/>
        </w:rPr>
        <w:t xml:space="preserve">development </w:t>
      </w:r>
      <w:r w:rsidR="29504469" w:rsidRPr="7DFA81C2">
        <w:rPr>
          <w:lang w:eastAsia="en-US"/>
        </w:rPr>
        <w:t>also proceed slowly</w:t>
      </w:r>
      <w:r w:rsidR="00B355F0" w:rsidRPr="7DFA81C2">
        <w:rPr>
          <w:lang w:eastAsia="en-US"/>
        </w:rPr>
        <w:t xml:space="preserve">. </w:t>
      </w:r>
      <w:r w:rsidR="00A025C2">
        <w:rPr>
          <w:lang w:eastAsia="en-US"/>
        </w:rPr>
        <w:t>Because</w:t>
      </w:r>
      <w:r w:rsidR="00A025C2" w:rsidRPr="7DFA81C2">
        <w:rPr>
          <w:lang w:eastAsia="en-US"/>
        </w:rPr>
        <w:t xml:space="preserve"> </w:t>
      </w:r>
      <w:r w:rsidR="0058285A" w:rsidRPr="7DFA81C2">
        <w:rPr>
          <w:lang w:eastAsia="en-US"/>
        </w:rPr>
        <w:t xml:space="preserve">economies of scale are less achievable in this context, </w:t>
      </w:r>
      <w:r w:rsidR="00EC4319" w:rsidRPr="7DFA81C2">
        <w:rPr>
          <w:lang w:eastAsia="en-US"/>
        </w:rPr>
        <w:t>infill and strategic investments that benefit both households and the community</w:t>
      </w:r>
      <w:r w:rsidR="00EC4319">
        <w:rPr>
          <w:lang w:eastAsia="en-US"/>
        </w:rPr>
        <w:t xml:space="preserve"> offer more</w:t>
      </w:r>
      <w:r w:rsidR="00A025C2">
        <w:rPr>
          <w:lang w:eastAsia="en-US"/>
        </w:rPr>
        <w:t xml:space="preserve"> </w:t>
      </w:r>
      <w:r w:rsidR="0058285A" w:rsidRPr="7DFA81C2">
        <w:rPr>
          <w:lang w:eastAsia="en-US"/>
        </w:rPr>
        <w:t xml:space="preserve">advantages </w:t>
      </w:r>
      <w:r w:rsidR="00EC4319">
        <w:rPr>
          <w:lang w:eastAsia="en-US"/>
        </w:rPr>
        <w:t>than</w:t>
      </w:r>
      <w:r w:rsidR="00EC4319" w:rsidRPr="7DFA81C2">
        <w:rPr>
          <w:lang w:eastAsia="en-US"/>
        </w:rPr>
        <w:t xml:space="preserve"> </w:t>
      </w:r>
      <w:r w:rsidR="00A7421D" w:rsidRPr="7DFA81C2">
        <w:rPr>
          <w:lang w:eastAsia="en-US"/>
        </w:rPr>
        <w:t>larger development</w:t>
      </w:r>
      <w:r w:rsidR="00A025C2">
        <w:rPr>
          <w:lang w:eastAsia="en-US"/>
        </w:rPr>
        <w:t>s</w:t>
      </w:r>
      <w:r w:rsidR="00A7421D" w:rsidRPr="7DFA81C2">
        <w:rPr>
          <w:lang w:eastAsia="en-US"/>
        </w:rPr>
        <w:t xml:space="preserve">. </w:t>
      </w:r>
      <w:r w:rsidR="00CF0190" w:rsidRPr="7DFA81C2">
        <w:rPr>
          <w:lang w:eastAsia="en-US"/>
        </w:rPr>
        <w:t xml:space="preserve">Examples include </w:t>
      </w:r>
      <w:r w:rsidR="00EC4319">
        <w:rPr>
          <w:lang w:eastAsia="en-US"/>
        </w:rPr>
        <w:t xml:space="preserve">the </w:t>
      </w:r>
      <w:r w:rsidR="00CF0190" w:rsidRPr="7DFA81C2">
        <w:rPr>
          <w:lang w:eastAsia="en-US"/>
        </w:rPr>
        <w:t>development of apartments</w:t>
      </w:r>
      <w:r w:rsidR="003237BD" w:rsidRPr="7DFA81C2">
        <w:rPr>
          <w:lang w:eastAsia="en-US"/>
        </w:rPr>
        <w:t xml:space="preserve"> above retail</w:t>
      </w:r>
      <w:r w:rsidR="00D23EE7" w:rsidRPr="7DFA81C2">
        <w:rPr>
          <w:lang w:eastAsia="en-US"/>
        </w:rPr>
        <w:t xml:space="preserve"> and offices</w:t>
      </w:r>
      <w:r w:rsidR="00CF0190" w:rsidRPr="7DFA81C2">
        <w:rPr>
          <w:lang w:eastAsia="en-US"/>
        </w:rPr>
        <w:t xml:space="preserve"> in </w:t>
      </w:r>
      <w:r w:rsidR="006A5380">
        <w:rPr>
          <w:lang w:eastAsia="en-US"/>
        </w:rPr>
        <w:t xml:space="preserve">the </w:t>
      </w:r>
      <w:r w:rsidR="00CF0190" w:rsidRPr="7DFA81C2">
        <w:rPr>
          <w:lang w:eastAsia="en-US"/>
        </w:rPr>
        <w:t xml:space="preserve">downtown that increase </w:t>
      </w:r>
      <w:r w:rsidR="006A5380">
        <w:rPr>
          <w:lang w:eastAsia="en-US"/>
        </w:rPr>
        <w:t xml:space="preserve">both </w:t>
      </w:r>
      <w:r w:rsidR="00CF0190" w:rsidRPr="7DFA81C2">
        <w:rPr>
          <w:lang w:eastAsia="en-US"/>
        </w:rPr>
        <w:t>livability for resident</w:t>
      </w:r>
      <w:r w:rsidR="006A5380">
        <w:rPr>
          <w:lang w:eastAsia="en-US"/>
        </w:rPr>
        <w:t>s</w:t>
      </w:r>
      <w:r w:rsidR="00CF0190" w:rsidRPr="7DFA81C2">
        <w:rPr>
          <w:lang w:eastAsia="en-US"/>
        </w:rPr>
        <w:t xml:space="preserve"> and</w:t>
      </w:r>
      <w:r w:rsidR="00E036F6" w:rsidRPr="7DFA81C2">
        <w:rPr>
          <w:lang w:eastAsia="en-US"/>
        </w:rPr>
        <w:t xml:space="preserve"> patronage of community services and business. Stakeholders </w:t>
      </w:r>
      <w:r w:rsidR="00844280" w:rsidRPr="7DFA81C2">
        <w:rPr>
          <w:lang w:eastAsia="en-US"/>
        </w:rPr>
        <w:t xml:space="preserve">suggested that property owners are increasingly interested </w:t>
      </w:r>
      <w:r w:rsidR="00844280">
        <w:t>in converting upper floors into apartments or fixing up the ones that are already there</w:t>
      </w:r>
      <w:r w:rsidR="006A5380">
        <w:t>,</w:t>
      </w:r>
      <w:r w:rsidR="002A4568">
        <w:t xml:space="preserve"> and that additional</w:t>
      </w:r>
      <w:r w:rsidR="00160C27">
        <w:t xml:space="preserve"> high-</w:t>
      </w:r>
      <w:r w:rsidR="002A4568">
        <w:t>quality rentals</w:t>
      </w:r>
      <w:r w:rsidR="00844280">
        <w:t xml:space="preserve"> would help the rental market.</w:t>
      </w:r>
      <w:r w:rsidR="002A4568">
        <w:t xml:space="preserve"> </w:t>
      </w:r>
      <w:r w:rsidR="00160C27">
        <w:t>Similarly</w:t>
      </w:r>
      <w:r w:rsidR="002A4568">
        <w:t xml:space="preserve">, </w:t>
      </w:r>
      <w:r w:rsidR="004205C2">
        <w:t xml:space="preserve">the </w:t>
      </w:r>
      <w:r w:rsidR="002A4568">
        <w:t xml:space="preserve">data suggest that </w:t>
      </w:r>
      <w:r w:rsidR="00E20208">
        <w:t xml:space="preserve">there are </w:t>
      </w:r>
      <w:r w:rsidR="6F21E6BF">
        <w:t>few</w:t>
      </w:r>
      <w:r w:rsidR="00E20208">
        <w:t xml:space="preserve"> high</w:t>
      </w:r>
      <w:r w:rsidR="0034505A">
        <w:t>er</w:t>
      </w:r>
      <w:r w:rsidR="00E20208">
        <w:t xml:space="preserve">-end rental units </w:t>
      </w:r>
      <w:r w:rsidR="008936CE">
        <w:t>despite the</w:t>
      </w:r>
      <w:r w:rsidR="00E20208">
        <w:t xml:space="preserve"> </w:t>
      </w:r>
      <w:r w:rsidR="00251CD7">
        <w:t xml:space="preserve">number of </w:t>
      </w:r>
      <w:r w:rsidR="00E20208">
        <w:t>households that can afford them</w:t>
      </w:r>
      <w:r w:rsidR="2BAA933B">
        <w:t xml:space="preserve">. </w:t>
      </w:r>
      <w:r w:rsidR="57912559">
        <w:t>Local stakeholders should inventory blighted units</w:t>
      </w:r>
      <w:r w:rsidR="23BC8B2D">
        <w:t xml:space="preserve">. Cross-sector partnerships between development entities, local governments, lenders, and service providers should be explored to facilitate the </w:t>
      </w:r>
      <w:r w:rsidR="37D692BE">
        <w:t>acquisition, rehabilitation, and sale</w:t>
      </w:r>
      <w:r w:rsidR="23BC8B2D">
        <w:t xml:space="preserve"> of abandoned units or </w:t>
      </w:r>
      <w:r w:rsidR="00FF3357">
        <w:t xml:space="preserve">the </w:t>
      </w:r>
      <w:r w:rsidR="23BC8B2D">
        <w:t xml:space="preserve">demolition of </w:t>
      </w:r>
      <w:r w:rsidR="169FAFF2">
        <w:t>blighted units and</w:t>
      </w:r>
      <w:r w:rsidR="724E1564">
        <w:t xml:space="preserve"> construction of</w:t>
      </w:r>
      <w:r w:rsidR="169FAFF2">
        <w:t xml:space="preserve"> new </w:t>
      </w:r>
      <w:r w:rsidR="00FF3357">
        <w:t xml:space="preserve">subsidized and market-rate </w:t>
      </w:r>
      <w:r w:rsidR="5861C9BF">
        <w:t xml:space="preserve">units. </w:t>
      </w:r>
    </w:p>
    <w:p w14:paraId="5FCE2F68" w14:textId="77777777" w:rsidR="002B4981" w:rsidRPr="002B4981" w:rsidRDefault="002B4981" w:rsidP="002B4981">
      <w:pPr>
        <w:spacing w:after="0"/>
        <w:rPr>
          <w:rFonts w:eastAsia="Times New Roman" w:cstheme="minorHAnsi"/>
        </w:rPr>
      </w:pPr>
    </w:p>
    <w:p w14:paraId="48BA671B" w14:textId="04F67E8D" w:rsidR="003E7473" w:rsidRDefault="3A85BF9F" w:rsidP="7DFA81C2">
      <w:pPr>
        <w:rPr>
          <w:lang w:eastAsia="en-US"/>
        </w:rPr>
      </w:pPr>
      <w:r w:rsidRPr="7DFA81C2">
        <w:rPr>
          <w:rFonts w:ascii="Calibri" w:hAnsi="Calibri" w:cs="Calibri"/>
          <w:color w:val="222222"/>
        </w:rPr>
        <w:t xml:space="preserve">Housing investments such as new home construction and housing rehabilitation are reported to </w:t>
      </w:r>
      <w:r w:rsidR="00FF3357" w:rsidRPr="7DFA81C2">
        <w:rPr>
          <w:rFonts w:ascii="Calibri" w:hAnsi="Calibri" w:cs="Calibri"/>
          <w:color w:val="222222"/>
        </w:rPr>
        <w:t xml:space="preserve">not only </w:t>
      </w:r>
      <w:r w:rsidRPr="7DFA81C2">
        <w:rPr>
          <w:rFonts w:ascii="Calibri" w:hAnsi="Calibri" w:cs="Calibri"/>
          <w:color w:val="222222"/>
        </w:rPr>
        <w:t xml:space="preserve">benefit residents but also have positive spillover to surrounding neighborhoods and communities. Housing investment </w:t>
      </w:r>
      <w:r w:rsidR="00FF3357">
        <w:rPr>
          <w:rFonts w:ascii="Calibri" w:hAnsi="Calibri" w:cs="Calibri"/>
          <w:color w:val="222222"/>
        </w:rPr>
        <w:t>can improve</w:t>
      </w:r>
      <w:r w:rsidRPr="7DFA81C2">
        <w:rPr>
          <w:rFonts w:ascii="Calibri" w:hAnsi="Calibri" w:cs="Calibri"/>
          <w:color w:val="222222"/>
        </w:rPr>
        <w:t xml:space="preserve"> the quality of neighborhoods by replacing aging or vacant houses or by facilitating the development of vacant sites (Edmiston, 2012). Evidence shows that housing investment is positively associated with an increase in neighborhood housing prices, </w:t>
      </w:r>
      <w:r w:rsidR="63A0F111" w:rsidRPr="7DFA81C2">
        <w:rPr>
          <w:rFonts w:ascii="Calibri" w:hAnsi="Calibri" w:cs="Calibri"/>
          <w:color w:val="222222"/>
        </w:rPr>
        <w:t>suggesting</w:t>
      </w:r>
      <w:r w:rsidRPr="7DFA81C2">
        <w:rPr>
          <w:rFonts w:ascii="Calibri" w:hAnsi="Calibri" w:cs="Calibri"/>
          <w:color w:val="222222"/>
        </w:rPr>
        <w:t xml:space="preserve"> that the neighborhood's quality has increased because of housing investment. In Camden, New Jersey, home prices increased by 42</w:t>
      </w:r>
      <w:r w:rsidR="00DC54C5">
        <w:rPr>
          <w:rFonts w:ascii="Calibri" w:hAnsi="Calibri" w:cs="Calibri"/>
          <w:color w:val="222222"/>
        </w:rPr>
        <w:t xml:space="preserve"> percent</w:t>
      </w:r>
      <w:r w:rsidR="00DC54C5" w:rsidRPr="7DFA81C2">
        <w:rPr>
          <w:rFonts w:ascii="Calibri" w:hAnsi="Calibri" w:cs="Calibri"/>
          <w:color w:val="222222"/>
        </w:rPr>
        <w:t xml:space="preserve"> </w:t>
      </w:r>
      <w:r w:rsidRPr="7DFA81C2">
        <w:rPr>
          <w:rFonts w:ascii="Calibri" w:hAnsi="Calibri" w:cs="Calibri"/>
          <w:color w:val="222222"/>
        </w:rPr>
        <w:t xml:space="preserve">following a redevelopment project (Smith &amp; Hevener, 2011). For homes close to new investment, increases in value are reported regardless of region and housing type (Ding </w:t>
      </w:r>
      <w:r w:rsidR="002C003D">
        <w:rPr>
          <w:rFonts w:ascii="Calibri" w:hAnsi="Calibri" w:cs="Calibri"/>
          <w:color w:val="222222"/>
        </w:rPr>
        <w:t>&amp; Knapp</w:t>
      </w:r>
      <w:r w:rsidRPr="7DFA81C2">
        <w:rPr>
          <w:rFonts w:ascii="Calibri" w:hAnsi="Calibri" w:cs="Calibri"/>
          <w:color w:val="222222"/>
        </w:rPr>
        <w:t xml:space="preserve">, 2002; Edmiston, 2012; </w:t>
      </w:r>
      <w:proofErr w:type="spellStart"/>
      <w:r w:rsidRPr="7DFA81C2">
        <w:rPr>
          <w:rFonts w:ascii="Calibri" w:hAnsi="Calibri" w:cs="Calibri"/>
          <w:color w:val="222222"/>
        </w:rPr>
        <w:t>Kurvinen</w:t>
      </w:r>
      <w:proofErr w:type="spellEnd"/>
      <w:r w:rsidRPr="7DFA81C2">
        <w:rPr>
          <w:rFonts w:ascii="Calibri" w:hAnsi="Calibri" w:cs="Calibri"/>
          <w:color w:val="222222"/>
        </w:rPr>
        <w:t xml:space="preserve"> </w:t>
      </w:r>
      <w:r w:rsidR="00A47041">
        <w:rPr>
          <w:rFonts w:ascii="Calibri" w:hAnsi="Calibri" w:cs="Calibri"/>
          <w:color w:val="222222"/>
        </w:rPr>
        <w:t>&amp;</w:t>
      </w:r>
      <w:r w:rsidRPr="7DFA81C2">
        <w:rPr>
          <w:rFonts w:ascii="Calibri" w:hAnsi="Calibri" w:cs="Calibri"/>
          <w:color w:val="222222"/>
        </w:rPr>
        <w:t xml:space="preserve"> </w:t>
      </w:r>
      <w:proofErr w:type="spellStart"/>
      <w:r w:rsidRPr="7DFA81C2">
        <w:rPr>
          <w:rFonts w:ascii="Calibri" w:hAnsi="Calibri" w:cs="Calibri"/>
          <w:color w:val="222222"/>
        </w:rPr>
        <w:t>Vihola</w:t>
      </w:r>
      <w:proofErr w:type="spellEnd"/>
      <w:r w:rsidRPr="7DFA81C2">
        <w:rPr>
          <w:rFonts w:ascii="Calibri" w:hAnsi="Calibri" w:cs="Calibri"/>
          <w:color w:val="222222"/>
        </w:rPr>
        <w:t xml:space="preserve">, 2016; </w:t>
      </w:r>
      <w:proofErr w:type="spellStart"/>
      <w:r w:rsidRPr="7DFA81C2">
        <w:rPr>
          <w:rFonts w:ascii="Calibri" w:hAnsi="Calibri" w:cs="Calibri"/>
          <w:color w:val="222222"/>
        </w:rPr>
        <w:t>Zahirovich</w:t>
      </w:r>
      <w:proofErr w:type="spellEnd"/>
      <w:r w:rsidRPr="7DFA81C2">
        <w:rPr>
          <w:rFonts w:ascii="Calibri" w:hAnsi="Calibri" w:cs="Calibri"/>
          <w:color w:val="222222"/>
        </w:rPr>
        <w:t xml:space="preserve">-Herbert </w:t>
      </w:r>
      <w:r w:rsidR="00E212B5">
        <w:rPr>
          <w:rFonts w:ascii="Calibri" w:hAnsi="Calibri" w:cs="Calibri"/>
          <w:color w:val="222222"/>
        </w:rPr>
        <w:t>&amp;</w:t>
      </w:r>
      <w:r w:rsidRPr="7DFA81C2">
        <w:rPr>
          <w:rFonts w:ascii="Calibri" w:hAnsi="Calibri" w:cs="Calibri"/>
          <w:color w:val="222222"/>
        </w:rPr>
        <w:t xml:space="preserve"> Gibler, 2014). </w:t>
      </w:r>
      <w:r w:rsidR="11BC9A1D" w:rsidRPr="7DFA81C2">
        <w:rPr>
          <w:rFonts w:ascii="Calibri" w:hAnsi="Calibri" w:cs="Calibri"/>
          <w:color w:val="222222"/>
        </w:rPr>
        <w:t xml:space="preserve">The effect of housing investment appears to be greater in low-income neighborhoods, likely </w:t>
      </w:r>
      <w:r w:rsidR="00867E16">
        <w:rPr>
          <w:rFonts w:ascii="Calibri" w:hAnsi="Calibri" w:cs="Calibri"/>
          <w:color w:val="222222"/>
        </w:rPr>
        <w:t>because of</w:t>
      </w:r>
      <w:r w:rsidR="11BC9A1D" w:rsidRPr="7DFA81C2">
        <w:rPr>
          <w:rFonts w:ascii="Calibri" w:hAnsi="Calibri" w:cs="Calibri"/>
          <w:color w:val="222222"/>
        </w:rPr>
        <w:t xml:space="preserve"> the lower quality of low-income neighborhoods on average (Ding et al., 2000).</w:t>
      </w:r>
      <w:r w:rsidR="11BC9A1D" w:rsidRPr="004124A9">
        <w:rPr>
          <w:rFonts w:ascii="Calibri" w:hAnsi="Calibri" w:cs="Calibri"/>
        </w:rPr>
        <w:t xml:space="preserve"> </w:t>
      </w:r>
      <w:r w:rsidRPr="004124A9">
        <w:rPr>
          <w:rFonts w:ascii="Calibri" w:hAnsi="Calibri" w:cs="Calibri"/>
        </w:rPr>
        <w:t xml:space="preserve">However, the effect is not extensive </w:t>
      </w:r>
      <w:r w:rsidR="00182112">
        <w:rPr>
          <w:rFonts w:ascii="Calibri" w:hAnsi="Calibri" w:cs="Calibri"/>
        </w:rPr>
        <w:t xml:space="preserve">and </w:t>
      </w:r>
      <w:r w:rsidRPr="004124A9">
        <w:rPr>
          <w:rFonts w:ascii="Calibri" w:hAnsi="Calibri" w:cs="Calibri"/>
        </w:rPr>
        <w:t xml:space="preserve">is </w:t>
      </w:r>
      <w:r w:rsidR="00182112">
        <w:rPr>
          <w:rFonts w:ascii="Calibri" w:hAnsi="Calibri" w:cs="Calibri"/>
        </w:rPr>
        <w:t xml:space="preserve">only effective </w:t>
      </w:r>
      <w:r w:rsidRPr="004124A9">
        <w:rPr>
          <w:rFonts w:ascii="Calibri" w:hAnsi="Calibri" w:cs="Calibri"/>
        </w:rPr>
        <w:t>within 0.25 miles.</w:t>
      </w:r>
      <w:r w:rsidRPr="7DFA81C2">
        <w:rPr>
          <w:rFonts w:ascii="Calibri" w:hAnsi="Calibri" w:cs="Calibri"/>
        </w:rPr>
        <w:t xml:space="preserve"> </w:t>
      </w:r>
      <w:r w:rsidR="1A5C645A" w:rsidRPr="7DFA81C2">
        <w:rPr>
          <w:rFonts w:ascii="Calibri" w:hAnsi="Calibri" w:cs="Calibri"/>
        </w:rPr>
        <w:t>Given the small scale of spillover effects,</w:t>
      </w:r>
      <w:r w:rsidR="00F5414A">
        <w:rPr>
          <w:lang w:eastAsia="en-US"/>
        </w:rPr>
        <w:t xml:space="preserve"> cities, towns</w:t>
      </w:r>
      <w:r w:rsidR="00182112">
        <w:rPr>
          <w:lang w:eastAsia="en-US"/>
        </w:rPr>
        <w:t>,</w:t>
      </w:r>
      <w:r w:rsidR="00F5414A">
        <w:rPr>
          <w:lang w:eastAsia="en-US"/>
        </w:rPr>
        <w:t xml:space="preserve"> and neighborhoods</w:t>
      </w:r>
      <w:r w:rsidR="3FFF7C28">
        <w:rPr>
          <w:lang w:eastAsia="en-US"/>
        </w:rPr>
        <w:t xml:space="preserve"> </w:t>
      </w:r>
      <w:r w:rsidR="00182112">
        <w:rPr>
          <w:lang w:eastAsia="en-US"/>
        </w:rPr>
        <w:t xml:space="preserve">as well as </w:t>
      </w:r>
      <w:r w:rsidR="00F5414A">
        <w:rPr>
          <w:lang w:eastAsia="en-US"/>
        </w:rPr>
        <w:t>l</w:t>
      </w:r>
      <w:r w:rsidR="00175124">
        <w:rPr>
          <w:lang w:eastAsia="en-US"/>
        </w:rPr>
        <w:t xml:space="preserve">ocal programs should </w:t>
      </w:r>
      <w:r w:rsidR="0001177D">
        <w:rPr>
          <w:lang w:eastAsia="en-US"/>
        </w:rPr>
        <w:t>coordinate</w:t>
      </w:r>
      <w:r w:rsidR="00175124">
        <w:rPr>
          <w:lang w:eastAsia="en-US"/>
        </w:rPr>
        <w:t xml:space="preserve"> </w:t>
      </w:r>
      <w:r w:rsidR="65ED05BF">
        <w:rPr>
          <w:lang w:eastAsia="en-US"/>
        </w:rPr>
        <w:t>their investment</w:t>
      </w:r>
      <w:r w:rsidR="000C4E54">
        <w:rPr>
          <w:lang w:eastAsia="en-US"/>
        </w:rPr>
        <w:t>.</w:t>
      </w:r>
      <w:r w:rsidR="0001177D">
        <w:rPr>
          <w:lang w:eastAsia="en-US"/>
        </w:rPr>
        <w:t xml:space="preserve"> </w:t>
      </w:r>
      <w:r w:rsidR="28D7627B">
        <w:rPr>
          <w:lang w:eastAsia="en-US"/>
        </w:rPr>
        <w:t>T</w:t>
      </w:r>
      <w:r w:rsidR="58071E61">
        <w:rPr>
          <w:lang w:eastAsia="en-US"/>
        </w:rPr>
        <w:t>argeting and directing investment to specific neighborhoods like the City of Elkins</w:t>
      </w:r>
      <w:r w:rsidR="5901498B">
        <w:rPr>
          <w:lang w:eastAsia="en-US"/>
        </w:rPr>
        <w:t>’</w:t>
      </w:r>
      <w:r w:rsidR="58071E61">
        <w:rPr>
          <w:lang w:eastAsia="en-US"/>
        </w:rPr>
        <w:t xml:space="preserve"> 5</w:t>
      </w:r>
      <w:r w:rsidR="58071E61" w:rsidRPr="7DFA81C2">
        <w:rPr>
          <w:vertAlign w:val="superscript"/>
          <w:lang w:eastAsia="en-US"/>
        </w:rPr>
        <w:t>th</w:t>
      </w:r>
      <w:r w:rsidR="58071E61">
        <w:rPr>
          <w:lang w:eastAsia="en-US"/>
        </w:rPr>
        <w:t xml:space="preserve"> Ward may </w:t>
      </w:r>
      <w:r w:rsidR="04F36C72">
        <w:rPr>
          <w:lang w:eastAsia="en-US"/>
        </w:rPr>
        <w:t xml:space="preserve">help the community capture </w:t>
      </w:r>
      <w:r w:rsidR="00182112">
        <w:rPr>
          <w:lang w:eastAsia="en-US"/>
        </w:rPr>
        <w:t xml:space="preserve">the </w:t>
      </w:r>
      <w:r w:rsidR="04F36C72">
        <w:rPr>
          <w:lang w:eastAsia="en-US"/>
        </w:rPr>
        <w:t>maximum benefit</w:t>
      </w:r>
      <w:r w:rsidR="58071E61">
        <w:rPr>
          <w:lang w:eastAsia="en-US"/>
        </w:rPr>
        <w:t>.</w:t>
      </w:r>
    </w:p>
    <w:p w14:paraId="5A820E57" w14:textId="464388D6" w:rsidR="003E7473" w:rsidRDefault="003E7473" w:rsidP="003E7473">
      <w:pPr>
        <w:pStyle w:val="Heading1"/>
      </w:pPr>
      <w:bookmarkStart w:id="49" w:name="_Toc120703917"/>
      <w:r>
        <w:t>References</w:t>
      </w:r>
      <w:bookmarkEnd w:id="49"/>
    </w:p>
    <w:p w14:paraId="0586A78E" w14:textId="58592AAE" w:rsidR="00BE7801" w:rsidRDefault="00BE7801" w:rsidP="00FB41D2">
      <w:pPr>
        <w:rPr>
          <w:lang w:eastAsia="en-US"/>
        </w:rPr>
      </w:pPr>
      <w:r w:rsidRPr="00BE7801">
        <w:rPr>
          <w:lang w:eastAsia="en-US"/>
        </w:rPr>
        <w:t xml:space="preserve">Boesel, M., Chen, S., &amp; Nothaft, F. E. (2021). Housing preferences during the pandemic: </w:t>
      </w:r>
      <w:r w:rsidR="0087555D">
        <w:rPr>
          <w:lang w:eastAsia="en-US"/>
        </w:rPr>
        <w:t>E</w:t>
      </w:r>
      <w:r w:rsidR="0087555D">
        <w:rPr>
          <w:lang w:eastAsia="en-US"/>
        </w:rPr>
        <w:tab/>
      </w:r>
      <w:proofErr w:type="spellStart"/>
      <w:r w:rsidR="0087555D" w:rsidRPr="00BE7801">
        <w:rPr>
          <w:lang w:eastAsia="en-US"/>
        </w:rPr>
        <w:t>ffect</w:t>
      </w:r>
      <w:proofErr w:type="spellEnd"/>
      <w:r w:rsidR="0087555D" w:rsidRPr="00BE7801">
        <w:rPr>
          <w:lang w:eastAsia="en-US"/>
        </w:rPr>
        <w:t xml:space="preserve"> </w:t>
      </w:r>
      <w:r w:rsidRPr="00BE7801">
        <w:rPr>
          <w:lang w:eastAsia="en-US"/>
        </w:rPr>
        <w:t xml:space="preserve">on home price, rent, and inflation measurement. </w:t>
      </w:r>
      <w:r w:rsidRPr="00BE7801">
        <w:rPr>
          <w:i/>
          <w:iCs/>
          <w:lang w:eastAsia="en-US"/>
        </w:rPr>
        <w:t>Business Economics</w:t>
      </w:r>
      <w:r w:rsidRPr="00BE7801">
        <w:rPr>
          <w:lang w:eastAsia="en-US"/>
        </w:rPr>
        <w:t xml:space="preserve">, </w:t>
      </w:r>
      <w:r w:rsidRPr="00BE7801">
        <w:rPr>
          <w:i/>
          <w:iCs/>
          <w:lang w:eastAsia="en-US"/>
        </w:rPr>
        <w:t>56</w:t>
      </w:r>
      <w:r w:rsidRPr="00BE7801">
        <w:rPr>
          <w:lang w:eastAsia="en-US"/>
        </w:rPr>
        <w:t>(4), 200</w:t>
      </w:r>
      <w:r w:rsidR="00182112">
        <w:rPr>
          <w:lang w:eastAsia="en-US"/>
        </w:rPr>
        <w:t>–</w:t>
      </w:r>
      <w:r w:rsidRPr="00BE7801">
        <w:rPr>
          <w:lang w:eastAsia="en-US"/>
        </w:rPr>
        <w:t xml:space="preserve">211. </w:t>
      </w:r>
    </w:p>
    <w:p w14:paraId="7C09CB77" w14:textId="6D6A7B3D" w:rsidR="00BE7801" w:rsidRDefault="00BE7801" w:rsidP="7DFA81C2">
      <w:pPr>
        <w:rPr>
          <w:lang w:eastAsia="en-US"/>
        </w:rPr>
      </w:pPr>
      <w:r>
        <w:rPr>
          <w:lang w:eastAsia="en-US"/>
        </w:rPr>
        <w:t xml:space="preserve">Broberg, B. (2020). The 2020 NAR Community Preference Survey. </w:t>
      </w:r>
      <w:r w:rsidRPr="00BE7801">
        <w:rPr>
          <w:i/>
          <w:iCs/>
          <w:lang w:eastAsia="en-US"/>
        </w:rPr>
        <w:t>On Common Ground</w:t>
      </w:r>
      <w:r>
        <w:rPr>
          <w:lang w:eastAsia="en-US"/>
        </w:rPr>
        <w:t>. National Association of Realtors</w:t>
      </w:r>
      <w:r w:rsidR="002C003D">
        <w:rPr>
          <w:lang w:eastAsia="en-US"/>
        </w:rPr>
        <w:t>.</w:t>
      </w:r>
      <w:r>
        <w:rPr>
          <w:lang w:eastAsia="en-US"/>
        </w:rPr>
        <w:t xml:space="preserve"> Chicago, IL. Retrieved October 11, 2022</w:t>
      </w:r>
      <w:r w:rsidR="00FB41D2">
        <w:rPr>
          <w:lang w:eastAsia="en-US"/>
        </w:rPr>
        <w:t>,</w:t>
      </w:r>
      <w:r>
        <w:rPr>
          <w:lang w:eastAsia="en-US"/>
        </w:rPr>
        <w:t xml:space="preserve"> from </w:t>
      </w:r>
      <w:r w:rsidRPr="00BE7801">
        <w:rPr>
          <w:lang w:eastAsia="en-US"/>
        </w:rPr>
        <w:t>https://www.nar.realtor/on-common-ground/the-2020-nar-community-preference-survey</w:t>
      </w:r>
    </w:p>
    <w:p w14:paraId="5697262D" w14:textId="48BDC7E0" w:rsidR="00BE7801" w:rsidRDefault="00E212B5" w:rsidP="00BE7801">
      <w:pPr>
        <w:rPr>
          <w:rFonts w:ascii="Times New Roman" w:eastAsia="Times New Roman" w:hAnsi="Times New Roman" w:cs="Times New Roman"/>
          <w:sz w:val="24"/>
          <w:szCs w:val="24"/>
        </w:rPr>
      </w:pPr>
      <w:r>
        <w:rPr>
          <w:lang w:eastAsia="en-US"/>
        </w:rPr>
        <w:t xml:space="preserve">Coomer, B. (2019). </w:t>
      </w:r>
      <w:r w:rsidRPr="00AA4B46">
        <w:rPr>
          <w:i/>
          <w:iCs/>
          <w:lang w:eastAsia="en-US"/>
        </w:rPr>
        <w:t>Millennial Home Buying Preferences</w:t>
      </w:r>
      <w:r>
        <w:rPr>
          <w:lang w:eastAsia="en-US"/>
        </w:rPr>
        <w:t xml:space="preserve">. National Association of Home Builders. </w:t>
      </w:r>
      <w:r w:rsidR="00BE7801">
        <w:rPr>
          <w:lang w:eastAsia="en-US"/>
        </w:rPr>
        <w:t>Washington, D.C. Retrieved October 23, 2022</w:t>
      </w:r>
      <w:r w:rsidR="00FB41D2">
        <w:rPr>
          <w:lang w:eastAsia="en-US"/>
        </w:rPr>
        <w:t>,</w:t>
      </w:r>
      <w:r w:rsidR="00BE7801">
        <w:rPr>
          <w:lang w:eastAsia="en-US"/>
        </w:rPr>
        <w:t xml:space="preserve"> from </w:t>
      </w:r>
      <w:hyperlink r:id="rId43" w:history="1">
        <w:r w:rsidR="00BE7801" w:rsidRPr="00EF5718">
          <w:rPr>
            <w:rStyle w:val="Hyperlink"/>
            <w:lang w:eastAsia="en-US"/>
          </w:rPr>
          <w:t>https://www.nahb.org//media/B40AF16ACD1F43D09074A423C4EC21C8.ashx</w:t>
        </w:r>
      </w:hyperlink>
      <w:r w:rsidR="00BE7801" w:rsidRPr="00BE7801">
        <w:rPr>
          <w:rFonts w:ascii="Times New Roman" w:eastAsia="Times New Roman" w:hAnsi="Times New Roman" w:cs="Times New Roman"/>
          <w:sz w:val="24"/>
          <w:szCs w:val="24"/>
        </w:rPr>
        <w:t xml:space="preserve"> </w:t>
      </w:r>
    </w:p>
    <w:p w14:paraId="77BAE4B4" w14:textId="1155A6EE" w:rsidR="002C003D" w:rsidRDefault="002C003D" w:rsidP="00BE7801">
      <w:pPr>
        <w:rPr>
          <w:lang w:eastAsia="en-US"/>
        </w:rPr>
      </w:pPr>
      <w:r>
        <w:t xml:space="preserve">Ding, C., &amp; Bingham, R. D. (2000). Beyond edge cities: Job decentralization and urban sprawl. </w:t>
      </w:r>
      <w:r>
        <w:rPr>
          <w:i/>
          <w:iCs/>
        </w:rPr>
        <w:t>Urban Affairs Review</w:t>
      </w:r>
      <w:r>
        <w:t xml:space="preserve">, </w:t>
      </w:r>
      <w:r>
        <w:rPr>
          <w:i/>
          <w:iCs/>
        </w:rPr>
        <w:t>35</w:t>
      </w:r>
      <w:r>
        <w:t>(6), 837</w:t>
      </w:r>
      <w:r w:rsidR="00182112">
        <w:t>–</w:t>
      </w:r>
      <w:r>
        <w:t>855.</w:t>
      </w:r>
    </w:p>
    <w:p w14:paraId="3495CBD6" w14:textId="1DF1BB60" w:rsidR="002C003D" w:rsidRDefault="002C003D" w:rsidP="00BE7801">
      <w:pPr>
        <w:rPr>
          <w:lang w:eastAsia="en-US"/>
        </w:rPr>
      </w:pPr>
      <w:r w:rsidRPr="002C003D">
        <w:rPr>
          <w:lang w:eastAsia="en-US"/>
        </w:rPr>
        <w:t xml:space="preserve">Ding, C., &amp; Knaap, G. J. (2002). Property values in inner‐city neighborhoods: The effects of homeownership, housing investment, and economic development. </w:t>
      </w:r>
      <w:r w:rsidRPr="002C003D">
        <w:rPr>
          <w:i/>
          <w:iCs/>
          <w:lang w:eastAsia="en-US"/>
        </w:rPr>
        <w:t>Housing Policy Debate</w:t>
      </w:r>
      <w:r w:rsidRPr="002C003D">
        <w:rPr>
          <w:lang w:eastAsia="en-US"/>
        </w:rPr>
        <w:t xml:space="preserve">, </w:t>
      </w:r>
      <w:r w:rsidRPr="002C003D">
        <w:rPr>
          <w:i/>
          <w:iCs/>
          <w:lang w:eastAsia="en-US"/>
        </w:rPr>
        <w:t>13</w:t>
      </w:r>
      <w:r w:rsidRPr="002C003D">
        <w:rPr>
          <w:lang w:eastAsia="en-US"/>
        </w:rPr>
        <w:t>(4), 701</w:t>
      </w:r>
      <w:r w:rsidR="00182112">
        <w:rPr>
          <w:lang w:eastAsia="en-US"/>
        </w:rPr>
        <w:t>–</w:t>
      </w:r>
      <w:r w:rsidRPr="002C003D">
        <w:rPr>
          <w:lang w:eastAsia="en-US"/>
        </w:rPr>
        <w:t>727.</w:t>
      </w:r>
    </w:p>
    <w:p w14:paraId="7460E766" w14:textId="77777777" w:rsidR="002C003D" w:rsidRDefault="002C003D" w:rsidP="00BE7801">
      <w:pPr>
        <w:rPr>
          <w:lang w:eastAsia="en-US"/>
        </w:rPr>
      </w:pPr>
      <w:r w:rsidRPr="002C003D">
        <w:rPr>
          <w:lang w:eastAsia="en-US"/>
        </w:rPr>
        <w:t xml:space="preserve">Edmiston, K. D. (2012). Nonprofit housing investment and local area home values. </w:t>
      </w:r>
      <w:r w:rsidRPr="002C003D">
        <w:rPr>
          <w:i/>
          <w:iCs/>
          <w:lang w:eastAsia="en-US"/>
        </w:rPr>
        <w:t>Economic Review-Federal Reserve Bank of Kansas City</w:t>
      </w:r>
      <w:r w:rsidRPr="002C003D">
        <w:rPr>
          <w:lang w:eastAsia="en-US"/>
        </w:rPr>
        <w:t>, 67.</w:t>
      </w:r>
    </w:p>
    <w:p w14:paraId="7F4D2DD9" w14:textId="2F7889DD" w:rsidR="00824CA7" w:rsidRPr="00824CA7" w:rsidRDefault="00824CA7" w:rsidP="00824CA7">
      <w:pPr>
        <w:rPr>
          <w:lang w:eastAsia="en-US"/>
        </w:rPr>
      </w:pPr>
      <w:r w:rsidRPr="00824CA7">
        <w:rPr>
          <w:lang w:eastAsia="en-US"/>
        </w:rPr>
        <w:t xml:space="preserve">Frey, W. H. (2022). </w:t>
      </w:r>
      <w:r w:rsidRPr="00D35752">
        <w:rPr>
          <w:i/>
          <w:iCs/>
          <w:lang w:eastAsia="en-US"/>
        </w:rPr>
        <w:t>Big cities saw historic population losses while suburban growth declined during the pandemic</w:t>
      </w:r>
      <w:r w:rsidRPr="00FC2DBA">
        <w:rPr>
          <w:lang w:eastAsia="en-US"/>
        </w:rPr>
        <w:t>.</w:t>
      </w:r>
      <w:r w:rsidRPr="00824CA7">
        <w:rPr>
          <w:lang w:eastAsia="en-US"/>
        </w:rPr>
        <w:t xml:space="preserve"> Brookings. Retrieved </w:t>
      </w:r>
      <w:r>
        <w:rPr>
          <w:lang w:eastAsia="en-US"/>
        </w:rPr>
        <w:t>September 12</w:t>
      </w:r>
      <w:r w:rsidRPr="00824CA7">
        <w:rPr>
          <w:lang w:eastAsia="en-US"/>
        </w:rPr>
        <w:t xml:space="preserve">, 2022, from https://www.brookings.edu/research/big-cities-saw-historic-population-losses-while-suburban-growth-declined-during-the-pandemic/ </w:t>
      </w:r>
    </w:p>
    <w:p w14:paraId="00BCDD29" w14:textId="17381A6B" w:rsidR="009E6F85" w:rsidRDefault="009E6F85" w:rsidP="009E6F85">
      <w:proofErr w:type="spellStart"/>
      <w:r w:rsidRPr="00335ACB">
        <w:t>Glasmeier</w:t>
      </w:r>
      <w:proofErr w:type="spellEnd"/>
      <w:r w:rsidRPr="00335ACB">
        <w:t>, A</w:t>
      </w:r>
      <w:r w:rsidR="00D35752">
        <w:t>.</w:t>
      </w:r>
      <w:r w:rsidRPr="00335ACB">
        <w:t xml:space="preserve"> K. </w:t>
      </w:r>
      <w:r w:rsidR="00D35752">
        <w:t xml:space="preserve">(2020). </w:t>
      </w:r>
      <w:r w:rsidRPr="00335ACB">
        <w:t xml:space="preserve">Living </w:t>
      </w:r>
      <w:r w:rsidR="00D35752">
        <w:t>w</w:t>
      </w:r>
      <w:r w:rsidRPr="00335ACB">
        <w:t xml:space="preserve">age </w:t>
      </w:r>
      <w:r w:rsidR="00D35752">
        <w:t>c</w:t>
      </w:r>
      <w:r w:rsidRPr="00335ACB">
        <w:t xml:space="preserve">alculator. Massachusetts Institute of Technology. </w:t>
      </w:r>
      <w:r w:rsidR="002012C3" w:rsidRPr="002012C3">
        <w:t>Retrieved September 1</w:t>
      </w:r>
      <w:r w:rsidR="002012C3">
        <w:t>9</w:t>
      </w:r>
      <w:r w:rsidR="002012C3" w:rsidRPr="002012C3">
        <w:t xml:space="preserve">, 2022, from </w:t>
      </w:r>
      <w:r w:rsidRPr="00335ACB">
        <w:t>livingwage.mit.edu</w:t>
      </w:r>
    </w:p>
    <w:p w14:paraId="171AE830" w14:textId="07160F98" w:rsidR="00BE7801" w:rsidRDefault="00BE7801" w:rsidP="00BE7801">
      <w:pPr>
        <w:rPr>
          <w:lang w:eastAsia="en-US"/>
        </w:rPr>
      </w:pPr>
      <w:r w:rsidRPr="00BE7801">
        <w:rPr>
          <w:lang w:eastAsia="en-US"/>
        </w:rPr>
        <w:t xml:space="preserve">Gómez, V. (2021). </w:t>
      </w:r>
      <w:r w:rsidRPr="00BE7801">
        <w:rPr>
          <w:i/>
          <w:iCs/>
          <w:lang w:eastAsia="en-US"/>
        </w:rPr>
        <w:t>More Americans now say they prefer a community with big houses, even if local amenities are farther away</w:t>
      </w:r>
      <w:r w:rsidRPr="00BE7801">
        <w:rPr>
          <w:lang w:eastAsia="en-US"/>
        </w:rPr>
        <w:t xml:space="preserve">. Pew Research Center. Retrieved </w:t>
      </w:r>
      <w:r w:rsidR="002C003D">
        <w:rPr>
          <w:lang w:eastAsia="en-US"/>
        </w:rPr>
        <w:t>September</w:t>
      </w:r>
      <w:r w:rsidRPr="00BE7801">
        <w:rPr>
          <w:lang w:eastAsia="en-US"/>
        </w:rPr>
        <w:t xml:space="preserve"> 30, 2022, from </w:t>
      </w:r>
      <w:r w:rsidRPr="00BE7801">
        <w:rPr>
          <w:lang w:eastAsia="en-US"/>
        </w:rPr>
        <w:lastRenderedPageBreak/>
        <w:t xml:space="preserve">https://www.pewresearch.org/fact-tank/2021/08/26/more-americans-now-say-they-prefer-a-community-with-big-houses-even-if-local-amenities-are-farther-away/ </w:t>
      </w:r>
    </w:p>
    <w:p w14:paraId="53E0A392" w14:textId="282E3F64" w:rsidR="00824CA7" w:rsidRDefault="00824CA7" w:rsidP="002C003D">
      <w:pPr>
        <w:rPr>
          <w:lang w:val="en" w:eastAsia="en-US"/>
        </w:rPr>
      </w:pPr>
      <w:r w:rsidRPr="00824CA7">
        <w:rPr>
          <w:lang w:val="en" w:eastAsia="en-US"/>
        </w:rPr>
        <w:t>Hepburn, P., Louis, R., &amp; Desmond, M. (2020). Eviction Tracking System: Version 1.0. Princeton: Princeton University.</w:t>
      </w:r>
    </w:p>
    <w:p w14:paraId="19D51F65" w14:textId="5DAE0D37" w:rsidR="00824CA7" w:rsidRDefault="00824CA7" w:rsidP="002C003D">
      <w:pPr>
        <w:rPr>
          <w:lang w:eastAsia="en-US"/>
        </w:rPr>
      </w:pPr>
      <w:proofErr w:type="spellStart"/>
      <w:r w:rsidRPr="002012C3">
        <w:rPr>
          <w:lang w:val="es-MX" w:eastAsia="en-US"/>
        </w:rPr>
        <w:t>Kurvinen</w:t>
      </w:r>
      <w:proofErr w:type="spellEnd"/>
      <w:r w:rsidRPr="002012C3">
        <w:rPr>
          <w:lang w:val="es-MX" w:eastAsia="en-US"/>
        </w:rPr>
        <w:t xml:space="preserve">, A. T., &amp; </w:t>
      </w:r>
      <w:proofErr w:type="spellStart"/>
      <w:r w:rsidRPr="002012C3">
        <w:rPr>
          <w:lang w:val="es-MX" w:eastAsia="en-US"/>
        </w:rPr>
        <w:t>Vihola</w:t>
      </w:r>
      <w:proofErr w:type="spellEnd"/>
      <w:r w:rsidRPr="002012C3">
        <w:rPr>
          <w:lang w:val="es-MX" w:eastAsia="en-US"/>
        </w:rPr>
        <w:t xml:space="preserve">, J. (2016). </w:t>
      </w:r>
      <w:r w:rsidRPr="00824CA7">
        <w:rPr>
          <w:lang w:eastAsia="en-US"/>
        </w:rPr>
        <w:t xml:space="preserve">The impact of residential development on nearby housing prices. </w:t>
      </w:r>
      <w:r w:rsidRPr="00824CA7">
        <w:rPr>
          <w:i/>
          <w:iCs/>
          <w:lang w:eastAsia="en-US"/>
        </w:rPr>
        <w:t>International Journal of Housing Markets and Analysis</w:t>
      </w:r>
      <w:r w:rsidRPr="00824CA7">
        <w:rPr>
          <w:lang w:eastAsia="en-US"/>
        </w:rPr>
        <w:t xml:space="preserve">, </w:t>
      </w:r>
      <w:r w:rsidRPr="00824CA7">
        <w:rPr>
          <w:i/>
          <w:iCs/>
          <w:lang w:eastAsia="en-US"/>
        </w:rPr>
        <w:t>9</w:t>
      </w:r>
      <w:r w:rsidRPr="00824CA7">
        <w:rPr>
          <w:lang w:eastAsia="en-US"/>
        </w:rPr>
        <w:t>(4), 671</w:t>
      </w:r>
      <w:r w:rsidR="00FB41D2">
        <w:rPr>
          <w:lang w:eastAsia="en-US"/>
        </w:rPr>
        <w:t>–</w:t>
      </w:r>
      <w:r w:rsidRPr="00824CA7">
        <w:rPr>
          <w:lang w:eastAsia="en-US"/>
        </w:rPr>
        <w:t>690.</w:t>
      </w:r>
    </w:p>
    <w:p w14:paraId="7BFCF990" w14:textId="1725A26E" w:rsidR="002C003D" w:rsidRDefault="002C003D" w:rsidP="002C003D">
      <w:r w:rsidRPr="002C003D">
        <w:rPr>
          <w:lang w:eastAsia="en-US"/>
        </w:rPr>
        <w:t>National Association of REALTORS® Research Group. (</w:t>
      </w:r>
      <w:r>
        <w:rPr>
          <w:lang w:eastAsia="en-US"/>
        </w:rPr>
        <w:t>2021</w:t>
      </w:r>
      <w:r w:rsidRPr="002C003D">
        <w:rPr>
          <w:lang w:eastAsia="en-US"/>
        </w:rPr>
        <w:t xml:space="preserve">). </w:t>
      </w:r>
      <w:r w:rsidRPr="002C003D">
        <w:rPr>
          <w:i/>
          <w:iCs/>
          <w:lang w:eastAsia="en-US"/>
        </w:rPr>
        <w:t>2021 Home Buyers and Sellers Generational Trends Report</w:t>
      </w:r>
      <w:r w:rsidRPr="002C003D">
        <w:rPr>
          <w:lang w:eastAsia="en-US"/>
        </w:rPr>
        <w:t xml:space="preserve">. Retrieved </w:t>
      </w:r>
      <w:r>
        <w:rPr>
          <w:lang w:eastAsia="en-US"/>
        </w:rPr>
        <w:t>October 11</w:t>
      </w:r>
      <w:r w:rsidRPr="002C003D">
        <w:rPr>
          <w:lang w:eastAsia="en-US"/>
        </w:rPr>
        <w:t xml:space="preserve">, 2022, from </w:t>
      </w:r>
      <w:hyperlink r:id="rId44" w:history="1">
        <w:r w:rsidRPr="002C003D">
          <w:rPr>
            <w:rStyle w:val="Hyperlink"/>
            <w:lang w:eastAsia="en-US"/>
          </w:rPr>
          <w:t>https://www.nar.realtor/sites/default/files/documents/2021-home-buyers-and-sellers-generational-trends-03-16-2021.pdf</w:t>
        </w:r>
      </w:hyperlink>
      <w:r w:rsidRPr="002C003D">
        <w:t xml:space="preserve"> </w:t>
      </w:r>
    </w:p>
    <w:p w14:paraId="655C3F94" w14:textId="5871A10E" w:rsidR="00CC798D" w:rsidRDefault="00824CA7" w:rsidP="00096F35">
      <w:pPr>
        <w:rPr>
          <w:lang w:eastAsia="en-US"/>
        </w:rPr>
      </w:pPr>
      <w:r w:rsidRPr="00824CA7">
        <w:rPr>
          <w:lang w:eastAsia="en-US"/>
        </w:rPr>
        <w:t xml:space="preserve">Smith, M. M., &amp; Hevener, C. C. (2011). The impact of housing rehabilitation on local neighborhoods: The case of small community development organizations. </w:t>
      </w:r>
      <w:r w:rsidRPr="00824CA7">
        <w:rPr>
          <w:i/>
          <w:iCs/>
          <w:lang w:eastAsia="en-US"/>
        </w:rPr>
        <w:t>American Journal of Economics and Sociology</w:t>
      </w:r>
      <w:r w:rsidRPr="00824CA7">
        <w:rPr>
          <w:lang w:eastAsia="en-US"/>
        </w:rPr>
        <w:t xml:space="preserve">, </w:t>
      </w:r>
      <w:r w:rsidRPr="00824CA7">
        <w:rPr>
          <w:i/>
          <w:iCs/>
          <w:lang w:eastAsia="en-US"/>
        </w:rPr>
        <w:t>70</w:t>
      </w:r>
      <w:r w:rsidRPr="00824CA7">
        <w:rPr>
          <w:lang w:eastAsia="en-US"/>
        </w:rPr>
        <w:t>(1), 50</w:t>
      </w:r>
      <w:r w:rsidR="00FB41D2">
        <w:rPr>
          <w:lang w:eastAsia="en-US"/>
        </w:rPr>
        <w:t>–</w:t>
      </w:r>
      <w:r w:rsidRPr="00824CA7">
        <w:rPr>
          <w:lang w:eastAsia="en-US"/>
        </w:rPr>
        <w:t>85.</w:t>
      </w:r>
    </w:p>
    <w:p w14:paraId="6AE3E9D3" w14:textId="1A3C8BCD" w:rsidR="002C003D" w:rsidRPr="002C003D" w:rsidRDefault="002C003D" w:rsidP="002C003D">
      <w:pPr>
        <w:rPr>
          <w:lang w:eastAsia="en-US"/>
        </w:rPr>
      </w:pPr>
      <w:proofErr w:type="spellStart"/>
      <w:r w:rsidRPr="002C003D">
        <w:rPr>
          <w:lang w:eastAsia="en-US"/>
        </w:rPr>
        <w:t>Zahirovich</w:t>
      </w:r>
      <w:proofErr w:type="spellEnd"/>
      <w:r w:rsidRPr="002C003D">
        <w:rPr>
          <w:lang w:eastAsia="en-US"/>
        </w:rPr>
        <w:t xml:space="preserve">-Herbert, V., &amp; Gibler, K. M. (2014). The effect of new residential construction on housing prices. </w:t>
      </w:r>
      <w:r w:rsidRPr="002C003D">
        <w:rPr>
          <w:i/>
          <w:iCs/>
          <w:lang w:eastAsia="en-US"/>
        </w:rPr>
        <w:t>Journal of Housing Economics</w:t>
      </w:r>
      <w:r w:rsidRPr="002C003D">
        <w:rPr>
          <w:lang w:eastAsia="en-US"/>
        </w:rPr>
        <w:t xml:space="preserve">, </w:t>
      </w:r>
      <w:r w:rsidRPr="002C003D">
        <w:rPr>
          <w:i/>
          <w:iCs/>
          <w:lang w:eastAsia="en-US"/>
        </w:rPr>
        <w:t>26</w:t>
      </w:r>
      <w:r w:rsidRPr="002C003D">
        <w:rPr>
          <w:lang w:eastAsia="en-US"/>
        </w:rPr>
        <w:t>, 1</w:t>
      </w:r>
      <w:r w:rsidR="00FB41D2">
        <w:rPr>
          <w:lang w:eastAsia="en-US"/>
        </w:rPr>
        <w:t>–</w:t>
      </w:r>
      <w:r w:rsidRPr="002C003D">
        <w:rPr>
          <w:lang w:eastAsia="en-US"/>
        </w:rPr>
        <w:t xml:space="preserve">18. </w:t>
      </w:r>
    </w:p>
    <w:p w14:paraId="27E55562" w14:textId="7E30D89B" w:rsidR="003E7473" w:rsidRDefault="003E7473" w:rsidP="7DFA81C2">
      <w:pPr>
        <w:rPr>
          <w:lang w:eastAsia="en-US"/>
        </w:rPr>
      </w:pPr>
    </w:p>
    <w:p w14:paraId="05EDAEAD" w14:textId="77777777" w:rsidR="00BE7801" w:rsidRDefault="00BE7801" w:rsidP="7DFA81C2">
      <w:pPr>
        <w:rPr>
          <w:lang w:eastAsia="en-US"/>
        </w:rPr>
      </w:pPr>
    </w:p>
    <w:p w14:paraId="65C0A656" w14:textId="62B5B1DB" w:rsidR="003E7473" w:rsidRDefault="58071E61" w:rsidP="00AD2B18">
      <w:pPr>
        <w:rPr>
          <w:lang w:eastAsia="en-US"/>
        </w:rPr>
        <w:sectPr w:rsidR="003E7473">
          <w:pgSz w:w="12240" w:h="15840"/>
          <w:pgMar w:top="1440" w:right="1440" w:bottom="1440" w:left="1440" w:header="720" w:footer="720" w:gutter="0"/>
          <w:cols w:space="720"/>
          <w:docGrid w:linePitch="360"/>
        </w:sectPr>
      </w:pPr>
      <w:r>
        <w:rPr>
          <w:lang w:eastAsia="en-US"/>
        </w:rPr>
        <w:t xml:space="preserve"> </w:t>
      </w:r>
    </w:p>
    <w:p w14:paraId="531DFA2D" w14:textId="30E4313E" w:rsidR="00852D9D" w:rsidRDefault="00852D9D" w:rsidP="00852D9D">
      <w:pPr>
        <w:pStyle w:val="Heading1"/>
      </w:pPr>
      <w:bookmarkStart w:id="50" w:name="_Toc120703918"/>
      <w:r>
        <w:lastRenderedPageBreak/>
        <w:t>Appendix I. Owned/For-Sale and Rented/For-Rent Housing Gap</w:t>
      </w:r>
      <w:bookmarkEnd w:id="50"/>
    </w:p>
    <w:p w14:paraId="5BB38924" w14:textId="121C4CA9" w:rsidR="00EB14F6" w:rsidRDefault="00EB14F6" w:rsidP="00AD2B18"/>
    <w:p w14:paraId="5C3E0B52" w14:textId="641BC150" w:rsidR="002C7A8D" w:rsidRDefault="004F6D53" w:rsidP="00AD2B18">
      <w:r>
        <w:rPr>
          <w:noProof/>
        </w:rPr>
        <w:drawing>
          <wp:inline distT="0" distB="0" distL="0" distR="0" wp14:anchorId="17D3FFE5" wp14:editId="1BE8DF79">
            <wp:extent cx="8229600" cy="4977130"/>
            <wp:effectExtent l="0" t="0" r="0" b="13970"/>
            <wp:docPr id="30" name="Chart 30">
              <a:extLst xmlns:a="http://schemas.openxmlformats.org/drawingml/2006/main">
                <a:ext uri="{FF2B5EF4-FFF2-40B4-BE49-F238E27FC236}">
                  <a16:creationId xmlns:a16="http://schemas.microsoft.com/office/drawing/2014/main" id="{120448B8-3A8C-436C-AB96-B4DBBB6D48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1FB2BC20" w14:textId="77777777" w:rsidR="002C7A8D" w:rsidRDefault="002C7A8D" w:rsidP="00AD2B18"/>
    <w:p w14:paraId="727CC5CA" w14:textId="1C4C579D" w:rsidR="003A6998" w:rsidRDefault="008E4D6C" w:rsidP="00AD2B18">
      <w:r>
        <w:rPr>
          <w:noProof/>
        </w:rPr>
        <w:lastRenderedPageBreak/>
        <w:drawing>
          <wp:inline distT="0" distB="0" distL="0" distR="0" wp14:anchorId="17D9B94B" wp14:editId="37C9F55B">
            <wp:extent cx="8229600" cy="5894705"/>
            <wp:effectExtent l="0" t="0" r="0" b="10795"/>
            <wp:docPr id="31" name="Chart 31">
              <a:extLst xmlns:a="http://schemas.openxmlformats.org/drawingml/2006/main">
                <a:ext uri="{FF2B5EF4-FFF2-40B4-BE49-F238E27FC236}">
                  <a16:creationId xmlns:a16="http://schemas.microsoft.com/office/drawing/2014/main" id="{AC8BBF01-A33D-4942-A8CB-C5C87FDA1A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sectPr w:rsidR="003A6998" w:rsidSect="00852D9D">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4C3F52" w14:textId="77777777" w:rsidR="00565262" w:rsidRDefault="00565262" w:rsidP="00285052">
      <w:pPr>
        <w:spacing w:after="0" w:line="240" w:lineRule="auto"/>
      </w:pPr>
      <w:r>
        <w:separator/>
      </w:r>
    </w:p>
  </w:endnote>
  <w:endnote w:type="continuationSeparator" w:id="0">
    <w:p w14:paraId="07F7E531" w14:textId="77777777" w:rsidR="00565262" w:rsidRDefault="00565262" w:rsidP="00285052">
      <w:pPr>
        <w:spacing w:after="0" w:line="240" w:lineRule="auto"/>
      </w:pPr>
      <w:r>
        <w:continuationSeparator/>
      </w:r>
    </w:p>
  </w:endnote>
  <w:endnote w:type="continuationNotice" w:id="1">
    <w:p w14:paraId="0BBB0136" w14:textId="77777777" w:rsidR="00565262" w:rsidRDefault="005652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A9D92D" w14:textId="104F6959" w:rsidR="00FC2DBA" w:rsidRDefault="00FC2DBA">
    <w:pPr>
      <w:pStyle w:val="Footer"/>
      <w:jc w:val="right"/>
    </w:pPr>
  </w:p>
  <w:p w14:paraId="4F949258" w14:textId="77777777" w:rsidR="00FC2DBA" w:rsidRDefault="00FC2D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8220419"/>
      <w:docPartObj>
        <w:docPartGallery w:val="Page Numbers (Bottom of Page)"/>
        <w:docPartUnique/>
      </w:docPartObj>
    </w:sdtPr>
    <w:sdtEndPr>
      <w:rPr>
        <w:noProof/>
      </w:rPr>
    </w:sdtEndPr>
    <w:sdtContent>
      <w:p w14:paraId="441A6300" w14:textId="77777777" w:rsidR="00C02903" w:rsidRDefault="00C0290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354C7FF" w14:textId="77777777" w:rsidR="00C02903" w:rsidRDefault="00C029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95B33B" w14:textId="77777777" w:rsidR="00565262" w:rsidRDefault="00565262" w:rsidP="00285052">
      <w:pPr>
        <w:spacing w:after="0" w:line="240" w:lineRule="auto"/>
      </w:pPr>
      <w:r>
        <w:separator/>
      </w:r>
    </w:p>
  </w:footnote>
  <w:footnote w:type="continuationSeparator" w:id="0">
    <w:p w14:paraId="00F25DFF" w14:textId="77777777" w:rsidR="00565262" w:rsidRDefault="00565262" w:rsidP="00285052">
      <w:pPr>
        <w:spacing w:after="0" w:line="240" w:lineRule="auto"/>
      </w:pPr>
      <w:r>
        <w:continuationSeparator/>
      </w:r>
    </w:p>
  </w:footnote>
  <w:footnote w:type="continuationNotice" w:id="1">
    <w:p w14:paraId="1B431115" w14:textId="77777777" w:rsidR="00565262" w:rsidRDefault="00565262">
      <w:pPr>
        <w:spacing w:after="0" w:line="240" w:lineRule="auto"/>
      </w:pPr>
    </w:p>
  </w:footnote>
  <w:footnote w:id="2">
    <w:p w14:paraId="3A28D3AA" w14:textId="1B686EFF" w:rsidR="00FC2DBA" w:rsidRDefault="00FC2DBA" w:rsidP="691CFC2A">
      <w:pPr>
        <w:pStyle w:val="FootnoteText"/>
      </w:pPr>
      <w:r w:rsidRPr="691CFC2A">
        <w:rPr>
          <w:rStyle w:val="FootnoteReference"/>
        </w:rPr>
        <w:footnoteRef/>
      </w:r>
      <w:r>
        <w:t xml:space="preserve"> HUD’s Comprehensive Housing Affordability Strategy disability definition includes those with hearing or vision impairment, cognitive limitations, self-care or independent living limitations, and ambulatory limitations.</w:t>
      </w:r>
    </w:p>
  </w:footnote>
</w:footnotes>
</file>

<file path=word/intelligence2.xml><?xml version="1.0" encoding="utf-8"?>
<int2:intelligence xmlns:int2="http://schemas.microsoft.com/office/intelligence/2020/intelligence" xmlns:oel="http://schemas.microsoft.com/office/2019/extlst">
  <int2:observations>
    <int2:textHash int2:hashCode="clNFHB/O/nfV4W" int2:id="mhpz0bGr">
      <int2:state int2:value="Rejected" int2:type="LegacyProofing"/>
    </int2:textHash>
    <int2:textHash int2:hashCode="LnhSaWPf2shk00" int2:id="KY89fXML">
      <int2:state int2:value="Rejected" int2:type="LegacyProofing"/>
    </int2:textHash>
    <int2:textHash int2:hashCode="uKjrwO2weHLDTz" int2:id="sKYucjee">
      <int2:state int2:value="Rejected" int2:type="LegacyProofing"/>
    </int2:textHash>
    <int2:textHash int2:hashCode="atuujIlO7hSTGm" int2:id="7n5DCK5t">
      <int2:state int2:value="Rejected" int2:type="LegacyProofing"/>
    </int2:textHash>
    <int2:textHash int2:hashCode="Z9+pLkMWW+sNA6" int2:id="k5OTDTbG">
      <int2:state int2:value="Rejected" int2:type="LegacyProofing"/>
    </int2:textHash>
    <int2:textHash int2:hashCode="veHvXr01XfEQqH" int2:id="YTFOatoI">
      <int2:state int2:value="Rejected" int2:type="LegacyProofing"/>
    </int2:textHash>
    <int2:textHash int2:hashCode="1rQu1lh6xKZR9n" int2:id="Ivnh2zWG">
      <int2:state int2:value="Rejected" int2:type="LegacyProofing"/>
    </int2:textHash>
    <int2:bookmark int2:bookmarkName="_Int_Wir23gYb" int2:invalidationBookmarkName="" int2:hashCode="zciIO/0ct09XKP" int2:id="4OyHUMoX">
      <int2:state int2:value="Rejected" int2:type="LegacyProofing"/>
    </int2:bookmark>
    <int2:bookmark int2:bookmarkName="_Int_bcdsZxZd" int2:invalidationBookmarkName="" int2:hashCode="NqiD52LUoXSBVc" int2:id="UycaWiNe">
      <int2:state int2:value="Rejected" int2:type="LegacyProofing"/>
    </int2:bookmark>
    <int2:bookmark int2:bookmarkName="_Int_YbUXDi2w" int2:invalidationBookmarkName="" int2:hashCode="Uab4hCn4HLsCqr" int2:id="fN7pTUBy">
      <int2:state int2:value="Rejected" int2:type="LegacyProofing"/>
    </int2:bookmark>
    <int2:bookmark int2:bookmarkName="_Int_sPk9KJeh" int2:invalidationBookmarkName="" int2:hashCode="50KVv8LtC1LUAH" int2:id="Ro2vJGat">
      <int2:state int2:value="Rejected" int2:type="LegacyProofing"/>
    </int2:bookmark>
    <int2:bookmark int2:bookmarkName="_Int_4fHMF1bg" int2:invalidationBookmarkName="" int2:hashCode="3gT6Din5s14kkF" int2:id="g65n21mN">
      <int2:state int2:value="Rejected" int2:type="LegacyProofing"/>
    </int2:bookmark>
    <int2:bookmark int2:bookmarkName="_Int_yZnfs3lo" int2:invalidationBookmarkName="" int2:hashCode="gL8MjTxY5n3kDj" int2:id="RtowpnpK">
      <int2:state int2:value="Rejected" int2:type="LegacyProofing"/>
    </int2:bookmark>
    <int2:bookmark int2:bookmarkName="_Int_hzl4tchE" int2:invalidationBookmarkName="" int2:hashCode="Uab4hCn4HLsCqr" int2:id="WWtmc5nR">
      <int2:state int2:value="Rejected" int2:type="LegacyProofing"/>
    </int2:bookmark>
    <int2:bookmark int2:bookmarkName="_Int_9inci3dS" int2:invalidationBookmarkName="" int2:hashCode="50KVv8LtC1LUAH" int2:id="wxhyi1K4">
      <int2:state int2:value="Rejected" int2:type="LegacyProofing"/>
    </int2:bookmark>
    <int2:bookmark int2:bookmarkName="_Int_OmWMY2EZ" int2:invalidationBookmarkName="" int2:hashCode="NqiD52LUoXSBVc" int2:id="uEFbu33C">
      <int2:state int2:value="Rejected" int2:type="LegacyProofing"/>
    </int2:bookmark>
    <int2:bookmark int2:bookmarkName="_Int_akbLdNrK" int2:invalidationBookmarkName="" int2:hashCode="Uab4hCn4HLsCqr" int2:id="h7X60Tk5">
      <int2:state int2:value="Rejected" int2:type="LegacyProofing"/>
    </int2:bookmark>
    <int2:bookmark int2:bookmarkName="_Int_kGvNdUpq" int2:invalidationBookmarkName="" int2:hashCode="NqiD52LUoXSBVc" int2:id="A7UIrkzc">
      <int2:state int2:value="Rejected" int2:type="LegacyProofing"/>
    </int2:bookmark>
    <int2:bookmark int2:bookmarkName="_Int_DBp0RwKJ" int2:invalidationBookmarkName="" int2:hashCode="50KVv8LtC1LUAH" int2:id="UUeIOxOm">
      <int2:state int2:value="Rejected" int2:type="LegacyProofing"/>
    </int2:bookmark>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A2E47"/>
    <w:multiLevelType w:val="hybridMultilevel"/>
    <w:tmpl w:val="94249C02"/>
    <w:lvl w:ilvl="0" w:tplc="EA52CC7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A463F1"/>
    <w:multiLevelType w:val="hybridMultilevel"/>
    <w:tmpl w:val="CCAA4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7B7AF2"/>
    <w:multiLevelType w:val="hybridMultilevel"/>
    <w:tmpl w:val="C2105EA2"/>
    <w:lvl w:ilvl="0" w:tplc="0B4CA942">
      <w:start w:val="2"/>
      <w:numFmt w:val="bullet"/>
      <w:lvlText w:val="-"/>
      <w:lvlJc w:val="left"/>
      <w:pPr>
        <w:ind w:left="405" w:hanging="360"/>
      </w:pPr>
      <w:rPr>
        <w:rFonts w:ascii="Calibri" w:eastAsiaTheme="minorEastAsia" w:hAnsi="Calibri" w:cs="Calibri"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3" w15:restartNumberingAfterBreak="0">
    <w:nsid w:val="101702EC"/>
    <w:multiLevelType w:val="hybridMultilevel"/>
    <w:tmpl w:val="985C7B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00D4066"/>
    <w:multiLevelType w:val="hybridMultilevel"/>
    <w:tmpl w:val="D5524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DD57C84"/>
    <w:multiLevelType w:val="hybridMultilevel"/>
    <w:tmpl w:val="FFFFFFFF"/>
    <w:lvl w:ilvl="0" w:tplc="2B7C7C58">
      <w:start w:val="1"/>
      <w:numFmt w:val="bullet"/>
      <w:lvlText w:val="-"/>
      <w:lvlJc w:val="left"/>
      <w:pPr>
        <w:ind w:left="720" w:hanging="360"/>
      </w:pPr>
      <w:rPr>
        <w:rFonts w:ascii="Calibri" w:hAnsi="Calibri" w:hint="default"/>
      </w:rPr>
    </w:lvl>
    <w:lvl w:ilvl="1" w:tplc="A62C704A">
      <w:start w:val="1"/>
      <w:numFmt w:val="bullet"/>
      <w:lvlText w:val="o"/>
      <w:lvlJc w:val="left"/>
      <w:pPr>
        <w:ind w:left="1440" w:hanging="360"/>
      </w:pPr>
      <w:rPr>
        <w:rFonts w:ascii="Courier New" w:hAnsi="Courier New" w:hint="default"/>
      </w:rPr>
    </w:lvl>
    <w:lvl w:ilvl="2" w:tplc="57920280">
      <w:start w:val="1"/>
      <w:numFmt w:val="bullet"/>
      <w:lvlText w:val=""/>
      <w:lvlJc w:val="left"/>
      <w:pPr>
        <w:ind w:left="2160" w:hanging="360"/>
      </w:pPr>
      <w:rPr>
        <w:rFonts w:ascii="Wingdings" w:hAnsi="Wingdings" w:hint="default"/>
      </w:rPr>
    </w:lvl>
    <w:lvl w:ilvl="3" w:tplc="593E0BC6">
      <w:start w:val="1"/>
      <w:numFmt w:val="bullet"/>
      <w:lvlText w:val=""/>
      <w:lvlJc w:val="left"/>
      <w:pPr>
        <w:ind w:left="2880" w:hanging="360"/>
      </w:pPr>
      <w:rPr>
        <w:rFonts w:ascii="Symbol" w:hAnsi="Symbol" w:hint="default"/>
      </w:rPr>
    </w:lvl>
    <w:lvl w:ilvl="4" w:tplc="16A62D94">
      <w:start w:val="1"/>
      <w:numFmt w:val="bullet"/>
      <w:lvlText w:val="o"/>
      <w:lvlJc w:val="left"/>
      <w:pPr>
        <w:ind w:left="3600" w:hanging="360"/>
      </w:pPr>
      <w:rPr>
        <w:rFonts w:ascii="Courier New" w:hAnsi="Courier New" w:hint="default"/>
      </w:rPr>
    </w:lvl>
    <w:lvl w:ilvl="5" w:tplc="CE5E9EE2">
      <w:start w:val="1"/>
      <w:numFmt w:val="bullet"/>
      <w:lvlText w:val=""/>
      <w:lvlJc w:val="left"/>
      <w:pPr>
        <w:ind w:left="4320" w:hanging="360"/>
      </w:pPr>
      <w:rPr>
        <w:rFonts w:ascii="Wingdings" w:hAnsi="Wingdings" w:hint="default"/>
      </w:rPr>
    </w:lvl>
    <w:lvl w:ilvl="6" w:tplc="EE96739E">
      <w:start w:val="1"/>
      <w:numFmt w:val="bullet"/>
      <w:lvlText w:val=""/>
      <w:lvlJc w:val="left"/>
      <w:pPr>
        <w:ind w:left="5040" w:hanging="360"/>
      </w:pPr>
      <w:rPr>
        <w:rFonts w:ascii="Symbol" w:hAnsi="Symbol" w:hint="default"/>
      </w:rPr>
    </w:lvl>
    <w:lvl w:ilvl="7" w:tplc="124AF8C6">
      <w:start w:val="1"/>
      <w:numFmt w:val="bullet"/>
      <w:lvlText w:val="o"/>
      <w:lvlJc w:val="left"/>
      <w:pPr>
        <w:ind w:left="5760" w:hanging="360"/>
      </w:pPr>
      <w:rPr>
        <w:rFonts w:ascii="Courier New" w:hAnsi="Courier New" w:hint="default"/>
      </w:rPr>
    </w:lvl>
    <w:lvl w:ilvl="8" w:tplc="5A4EB688">
      <w:start w:val="1"/>
      <w:numFmt w:val="bullet"/>
      <w:lvlText w:val=""/>
      <w:lvlJc w:val="left"/>
      <w:pPr>
        <w:ind w:left="6480" w:hanging="360"/>
      </w:pPr>
      <w:rPr>
        <w:rFonts w:ascii="Wingdings" w:hAnsi="Wingdings" w:hint="default"/>
      </w:rPr>
    </w:lvl>
  </w:abstractNum>
  <w:abstractNum w:abstractNumId="6" w15:restartNumberingAfterBreak="0">
    <w:nsid w:val="45077089"/>
    <w:multiLevelType w:val="hybridMultilevel"/>
    <w:tmpl w:val="1180C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D9C280C"/>
    <w:multiLevelType w:val="hybridMultilevel"/>
    <w:tmpl w:val="A25AD270"/>
    <w:lvl w:ilvl="0" w:tplc="7856E25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6"/>
  </w:num>
  <w:num w:numId="5">
    <w:abstractNumId w:val="3"/>
  </w:num>
  <w:num w:numId="6">
    <w:abstractNumId w:val="4"/>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806"/>
    <w:rsid w:val="000001DF"/>
    <w:rsid w:val="00004A30"/>
    <w:rsid w:val="00004FB2"/>
    <w:rsid w:val="00005AC8"/>
    <w:rsid w:val="00011476"/>
    <w:rsid w:val="0001177D"/>
    <w:rsid w:val="00011E92"/>
    <w:rsid w:val="000122C8"/>
    <w:rsid w:val="000129B7"/>
    <w:rsid w:val="000136F5"/>
    <w:rsid w:val="000145A8"/>
    <w:rsid w:val="000164B7"/>
    <w:rsid w:val="00017CD1"/>
    <w:rsid w:val="000206D1"/>
    <w:rsid w:val="0002237F"/>
    <w:rsid w:val="0002487C"/>
    <w:rsid w:val="00026974"/>
    <w:rsid w:val="00026BBC"/>
    <w:rsid w:val="00027994"/>
    <w:rsid w:val="00027E26"/>
    <w:rsid w:val="0003166D"/>
    <w:rsid w:val="00042D53"/>
    <w:rsid w:val="000441EB"/>
    <w:rsid w:val="00046585"/>
    <w:rsid w:val="000469E5"/>
    <w:rsid w:val="00046B32"/>
    <w:rsid w:val="00046F2C"/>
    <w:rsid w:val="0005372A"/>
    <w:rsid w:val="00053A0E"/>
    <w:rsid w:val="0005413D"/>
    <w:rsid w:val="0005576E"/>
    <w:rsid w:val="00057B00"/>
    <w:rsid w:val="00062958"/>
    <w:rsid w:val="00063B3F"/>
    <w:rsid w:val="00065221"/>
    <w:rsid w:val="00066D40"/>
    <w:rsid w:val="0007006F"/>
    <w:rsid w:val="00071D41"/>
    <w:rsid w:val="00072577"/>
    <w:rsid w:val="00073A6F"/>
    <w:rsid w:val="00074CEF"/>
    <w:rsid w:val="000757E3"/>
    <w:rsid w:val="00081542"/>
    <w:rsid w:val="0008224A"/>
    <w:rsid w:val="00082A2F"/>
    <w:rsid w:val="00085456"/>
    <w:rsid w:val="000863A6"/>
    <w:rsid w:val="00087295"/>
    <w:rsid w:val="00087A89"/>
    <w:rsid w:val="00090518"/>
    <w:rsid w:val="00090A96"/>
    <w:rsid w:val="00091FC3"/>
    <w:rsid w:val="0009406C"/>
    <w:rsid w:val="000941AD"/>
    <w:rsid w:val="000949A7"/>
    <w:rsid w:val="0009587C"/>
    <w:rsid w:val="00096F35"/>
    <w:rsid w:val="000A0ABC"/>
    <w:rsid w:val="000A0CBC"/>
    <w:rsid w:val="000A2193"/>
    <w:rsid w:val="000A399F"/>
    <w:rsid w:val="000A4CC5"/>
    <w:rsid w:val="000A61C6"/>
    <w:rsid w:val="000A6871"/>
    <w:rsid w:val="000B01D5"/>
    <w:rsid w:val="000B206D"/>
    <w:rsid w:val="000B2D4E"/>
    <w:rsid w:val="000B3060"/>
    <w:rsid w:val="000B4239"/>
    <w:rsid w:val="000B5BF1"/>
    <w:rsid w:val="000B663A"/>
    <w:rsid w:val="000B7686"/>
    <w:rsid w:val="000C1C73"/>
    <w:rsid w:val="000C422B"/>
    <w:rsid w:val="000C4A66"/>
    <w:rsid w:val="000C4E54"/>
    <w:rsid w:val="000C76AC"/>
    <w:rsid w:val="000C7BCA"/>
    <w:rsid w:val="000D0D91"/>
    <w:rsid w:val="000D145F"/>
    <w:rsid w:val="000D1810"/>
    <w:rsid w:val="000D426B"/>
    <w:rsid w:val="000D625A"/>
    <w:rsid w:val="000D6DD9"/>
    <w:rsid w:val="000D771F"/>
    <w:rsid w:val="000DA2FD"/>
    <w:rsid w:val="000E0443"/>
    <w:rsid w:val="000E45F4"/>
    <w:rsid w:val="000E52D4"/>
    <w:rsid w:val="000E6A5B"/>
    <w:rsid w:val="000E6E27"/>
    <w:rsid w:val="000F0F37"/>
    <w:rsid w:val="000F1CA9"/>
    <w:rsid w:val="000F24B7"/>
    <w:rsid w:val="000F6D8D"/>
    <w:rsid w:val="000F7883"/>
    <w:rsid w:val="000FCDF6"/>
    <w:rsid w:val="00100112"/>
    <w:rsid w:val="001027C7"/>
    <w:rsid w:val="00102963"/>
    <w:rsid w:val="001039F5"/>
    <w:rsid w:val="001040A2"/>
    <w:rsid w:val="00104912"/>
    <w:rsid w:val="00105F5C"/>
    <w:rsid w:val="00107116"/>
    <w:rsid w:val="00110D77"/>
    <w:rsid w:val="001120BC"/>
    <w:rsid w:val="00116FD2"/>
    <w:rsid w:val="00120A1B"/>
    <w:rsid w:val="00121631"/>
    <w:rsid w:val="00121996"/>
    <w:rsid w:val="00121E0D"/>
    <w:rsid w:val="0012283B"/>
    <w:rsid w:val="001250DA"/>
    <w:rsid w:val="00126C05"/>
    <w:rsid w:val="00127A16"/>
    <w:rsid w:val="00130E7D"/>
    <w:rsid w:val="001326DD"/>
    <w:rsid w:val="00133D7B"/>
    <w:rsid w:val="001357B2"/>
    <w:rsid w:val="00135E13"/>
    <w:rsid w:val="00135E4A"/>
    <w:rsid w:val="00140162"/>
    <w:rsid w:val="00142853"/>
    <w:rsid w:val="00144A19"/>
    <w:rsid w:val="0014535F"/>
    <w:rsid w:val="00150CAF"/>
    <w:rsid w:val="0015104F"/>
    <w:rsid w:val="0015321F"/>
    <w:rsid w:val="001537CE"/>
    <w:rsid w:val="001537DF"/>
    <w:rsid w:val="00153933"/>
    <w:rsid w:val="00155381"/>
    <w:rsid w:val="00156535"/>
    <w:rsid w:val="00160C27"/>
    <w:rsid w:val="00162448"/>
    <w:rsid w:val="001628B3"/>
    <w:rsid w:val="0016450D"/>
    <w:rsid w:val="00164C5E"/>
    <w:rsid w:val="001652A3"/>
    <w:rsid w:val="00165891"/>
    <w:rsid w:val="001701C5"/>
    <w:rsid w:val="00171A5E"/>
    <w:rsid w:val="00175096"/>
    <w:rsid w:val="00175124"/>
    <w:rsid w:val="0018117A"/>
    <w:rsid w:val="00182112"/>
    <w:rsid w:val="00182187"/>
    <w:rsid w:val="0018220F"/>
    <w:rsid w:val="001843B5"/>
    <w:rsid w:val="00185157"/>
    <w:rsid w:val="00185A57"/>
    <w:rsid w:val="00186D46"/>
    <w:rsid w:val="00187067"/>
    <w:rsid w:val="001870CA"/>
    <w:rsid w:val="00192404"/>
    <w:rsid w:val="001927CC"/>
    <w:rsid w:val="00195D8C"/>
    <w:rsid w:val="0019639F"/>
    <w:rsid w:val="00196951"/>
    <w:rsid w:val="00197A3D"/>
    <w:rsid w:val="001A0494"/>
    <w:rsid w:val="001A2177"/>
    <w:rsid w:val="001A2847"/>
    <w:rsid w:val="001A33ED"/>
    <w:rsid w:val="001A477B"/>
    <w:rsid w:val="001A5CFF"/>
    <w:rsid w:val="001B196E"/>
    <w:rsid w:val="001C3228"/>
    <w:rsid w:val="001C5704"/>
    <w:rsid w:val="001C70F9"/>
    <w:rsid w:val="001C7B2A"/>
    <w:rsid w:val="001C7D9B"/>
    <w:rsid w:val="001D20A8"/>
    <w:rsid w:val="001D288D"/>
    <w:rsid w:val="001D4B45"/>
    <w:rsid w:val="001D544C"/>
    <w:rsid w:val="001D5493"/>
    <w:rsid w:val="001D5B05"/>
    <w:rsid w:val="001E1C86"/>
    <w:rsid w:val="001E3A4F"/>
    <w:rsid w:val="001E49FF"/>
    <w:rsid w:val="001E5E10"/>
    <w:rsid w:val="001E7068"/>
    <w:rsid w:val="001F09FC"/>
    <w:rsid w:val="001F2FBD"/>
    <w:rsid w:val="001F3205"/>
    <w:rsid w:val="001F618D"/>
    <w:rsid w:val="001F6F53"/>
    <w:rsid w:val="001F72F1"/>
    <w:rsid w:val="001F7FC9"/>
    <w:rsid w:val="00200C63"/>
    <w:rsid w:val="002012C3"/>
    <w:rsid w:val="002016B0"/>
    <w:rsid w:val="002017B2"/>
    <w:rsid w:val="002022AF"/>
    <w:rsid w:val="002053CB"/>
    <w:rsid w:val="00205E9A"/>
    <w:rsid w:val="00205F1D"/>
    <w:rsid w:val="002063D0"/>
    <w:rsid w:val="00207D14"/>
    <w:rsid w:val="00210660"/>
    <w:rsid w:val="00212149"/>
    <w:rsid w:val="00212BA4"/>
    <w:rsid w:val="00213B86"/>
    <w:rsid w:val="00213C94"/>
    <w:rsid w:val="00215CC6"/>
    <w:rsid w:val="00217368"/>
    <w:rsid w:val="00220FF5"/>
    <w:rsid w:val="00223D00"/>
    <w:rsid w:val="0022606F"/>
    <w:rsid w:val="0022761D"/>
    <w:rsid w:val="00230B87"/>
    <w:rsid w:val="00230E1E"/>
    <w:rsid w:val="002313A3"/>
    <w:rsid w:val="00234DC9"/>
    <w:rsid w:val="00235D2C"/>
    <w:rsid w:val="00236CCF"/>
    <w:rsid w:val="002376D3"/>
    <w:rsid w:val="002409CD"/>
    <w:rsid w:val="00242314"/>
    <w:rsid w:val="002432CD"/>
    <w:rsid w:val="00244507"/>
    <w:rsid w:val="0024472C"/>
    <w:rsid w:val="00244DEC"/>
    <w:rsid w:val="00245081"/>
    <w:rsid w:val="002465EE"/>
    <w:rsid w:val="00247205"/>
    <w:rsid w:val="002476CF"/>
    <w:rsid w:val="002503F7"/>
    <w:rsid w:val="00250438"/>
    <w:rsid w:val="00251CD7"/>
    <w:rsid w:val="00252352"/>
    <w:rsid w:val="00252987"/>
    <w:rsid w:val="002535EE"/>
    <w:rsid w:val="00254046"/>
    <w:rsid w:val="00255ABA"/>
    <w:rsid w:val="00255EEC"/>
    <w:rsid w:val="0025641F"/>
    <w:rsid w:val="00257DCF"/>
    <w:rsid w:val="00260CC4"/>
    <w:rsid w:val="002635A3"/>
    <w:rsid w:val="002636C1"/>
    <w:rsid w:val="00265BEC"/>
    <w:rsid w:val="00265D95"/>
    <w:rsid w:val="002667B9"/>
    <w:rsid w:val="002670E4"/>
    <w:rsid w:val="00267806"/>
    <w:rsid w:val="00267AB0"/>
    <w:rsid w:val="002704E9"/>
    <w:rsid w:val="00270D25"/>
    <w:rsid w:val="00273B6B"/>
    <w:rsid w:val="00274DE0"/>
    <w:rsid w:val="00277644"/>
    <w:rsid w:val="00277BDA"/>
    <w:rsid w:val="00280282"/>
    <w:rsid w:val="002803DA"/>
    <w:rsid w:val="00281BFD"/>
    <w:rsid w:val="00282468"/>
    <w:rsid w:val="00285052"/>
    <w:rsid w:val="00287712"/>
    <w:rsid w:val="00287AC2"/>
    <w:rsid w:val="002938D6"/>
    <w:rsid w:val="00294966"/>
    <w:rsid w:val="0029691A"/>
    <w:rsid w:val="002A27B3"/>
    <w:rsid w:val="002A31F7"/>
    <w:rsid w:val="002A3B8E"/>
    <w:rsid w:val="002A408B"/>
    <w:rsid w:val="002A4568"/>
    <w:rsid w:val="002A580A"/>
    <w:rsid w:val="002A7FD0"/>
    <w:rsid w:val="002B24F7"/>
    <w:rsid w:val="002B4981"/>
    <w:rsid w:val="002B73A6"/>
    <w:rsid w:val="002C003D"/>
    <w:rsid w:val="002C2D04"/>
    <w:rsid w:val="002C442D"/>
    <w:rsid w:val="002C4DC2"/>
    <w:rsid w:val="002C4F6F"/>
    <w:rsid w:val="002C702C"/>
    <w:rsid w:val="002C78CE"/>
    <w:rsid w:val="002C7A8D"/>
    <w:rsid w:val="002D31FF"/>
    <w:rsid w:val="002E088A"/>
    <w:rsid w:val="002E128E"/>
    <w:rsid w:val="002E1FFB"/>
    <w:rsid w:val="002E275E"/>
    <w:rsid w:val="002E3D25"/>
    <w:rsid w:val="002E41F7"/>
    <w:rsid w:val="002E56E0"/>
    <w:rsid w:val="002E5D1B"/>
    <w:rsid w:val="002E7831"/>
    <w:rsid w:val="002F1E88"/>
    <w:rsid w:val="002F3CB1"/>
    <w:rsid w:val="002F52C1"/>
    <w:rsid w:val="002F7C93"/>
    <w:rsid w:val="00300F04"/>
    <w:rsid w:val="00302324"/>
    <w:rsid w:val="00303AD1"/>
    <w:rsid w:val="003049C9"/>
    <w:rsid w:val="003053B2"/>
    <w:rsid w:val="00306A94"/>
    <w:rsid w:val="00310385"/>
    <w:rsid w:val="003128CE"/>
    <w:rsid w:val="003161A7"/>
    <w:rsid w:val="00316FCB"/>
    <w:rsid w:val="003235F3"/>
    <w:rsid w:val="003237BD"/>
    <w:rsid w:val="00323862"/>
    <w:rsid w:val="00323B85"/>
    <w:rsid w:val="0033029F"/>
    <w:rsid w:val="003305EE"/>
    <w:rsid w:val="00330606"/>
    <w:rsid w:val="003312CD"/>
    <w:rsid w:val="0033183E"/>
    <w:rsid w:val="003324E3"/>
    <w:rsid w:val="003335E0"/>
    <w:rsid w:val="003337A0"/>
    <w:rsid w:val="00334049"/>
    <w:rsid w:val="00334D2D"/>
    <w:rsid w:val="00335ACB"/>
    <w:rsid w:val="00335FD5"/>
    <w:rsid w:val="00341361"/>
    <w:rsid w:val="00344A60"/>
    <w:rsid w:val="0034505A"/>
    <w:rsid w:val="00345F0A"/>
    <w:rsid w:val="003529BB"/>
    <w:rsid w:val="003549CB"/>
    <w:rsid w:val="0035552D"/>
    <w:rsid w:val="00355DB9"/>
    <w:rsid w:val="00356342"/>
    <w:rsid w:val="00357BB6"/>
    <w:rsid w:val="003611AB"/>
    <w:rsid w:val="00361FA9"/>
    <w:rsid w:val="003622E5"/>
    <w:rsid w:val="00363B55"/>
    <w:rsid w:val="003646CE"/>
    <w:rsid w:val="00364B85"/>
    <w:rsid w:val="00364CA2"/>
    <w:rsid w:val="0036506A"/>
    <w:rsid w:val="00366EDD"/>
    <w:rsid w:val="00367A80"/>
    <w:rsid w:val="00367C5A"/>
    <w:rsid w:val="003719BD"/>
    <w:rsid w:val="00372ACF"/>
    <w:rsid w:val="00372B52"/>
    <w:rsid w:val="00377370"/>
    <w:rsid w:val="003778B1"/>
    <w:rsid w:val="00377BF4"/>
    <w:rsid w:val="0038124D"/>
    <w:rsid w:val="00381698"/>
    <w:rsid w:val="00381702"/>
    <w:rsid w:val="00382537"/>
    <w:rsid w:val="00383996"/>
    <w:rsid w:val="00383A7D"/>
    <w:rsid w:val="003849EA"/>
    <w:rsid w:val="003911E3"/>
    <w:rsid w:val="00392AD0"/>
    <w:rsid w:val="00392DCA"/>
    <w:rsid w:val="003944DC"/>
    <w:rsid w:val="0039460F"/>
    <w:rsid w:val="0039505F"/>
    <w:rsid w:val="003959BC"/>
    <w:rsid w:val="00396609"/>
    <w:rsid w:val="003970D5"/>
    <w:rsid w:val="003A0B6E"/>
    <w:rsid w:val="003A1777"/>
    <w:rsid w:val="003A4774"/>
    <w:rsid w:val="003A50C0"/>
    <w:rsid w:val="003A67A6"/>
    <w:rsid w:val="003A6998"/>
    <w:rsid w:val="003B09F7"/>
    <w:rsid w:val="003B0C90"/>
    <w:rsid w:val="003B3843"/>
    <w:rsid w:val="003B6031"/>
    <w:rsid w:val="003B787D"/>
    <w:rsid w:val="003B7D5D"/>
    <w:rsid w:val="003C0AE7"/>
    <w:rsid w:val="003C156F"/>
    <w:rsid w:val="003C2342"/>
    <w:rsid w:val="003C3220"/>
    <w:rsid w:val="003C6897"/>
    <w:rsid w:val="003D0235"/>
    <w:rsid w:val="003D093A"/>
    <w:rsid w:val="003D0D4B"/>
    <w:rsid w:val="003D10BF"/>
    <w:rsid w:val="003D11A5"/>
    <w:rsid w:val="003D14F0"/>
    <w:rsid w:val="003D1A75"/>
    <w:rsid w:val="003D4016"/>
    <w:rsid w:val="003D470B"/>
    <w:rsid w:val="003D6AD6"/>
    <w:rsid w:val="003D7E33"/>
    <w:rsid w:val="003E3853"/>
    <w:rsid w:val="003E4294"/>
    <w:rsid w:val="003E54B5"/>
    <w:rsid w:val="003E5CEA"/>
    <w:rsid w:val="003E5ECD"/>
    <w:rsid w:val="003E62E0"/>
    <w:rsid w:val="003E666E"/>
    <w:rsid w:val="003E7473"/>
    <w:rsid w:val="003F117E"/>
    <w:rsid w:val="003F23AE"/>
    <w:rsid w:val="003F2457"/>
    <w:rsid w:val="003F4269"/>
    <w:rsid w:val="003F4994"/>
    <w:rsid w:val="003F4AAC"/>
    <w:rsid w:val="00405207"/>
    <w:rsid w:val="00406530"/>
    <w:rsid w:val="004124A9"/>
    <w:rsid w:val="0041548B"/>
    <w:rsid w:val="00415ECA"/>
    <w:rsid w:val="00417385"/>
    <w:rsid w:val="00417A64"/>
    <w:rsid w:val="00417AD9"/>
    <w:rsid w:val="004202F1"/>
    <w:rsid w:val="004205C2"/>
    <w:rsid w:val="00420F64"/>
    <w:rsid w:val="00421F41"/>
    <w:rsid w:val="00423604"/>
    <w:rsid w:val="00423903"/>
    <w:rsid w:val="00424678"/>
    <w:rsid w:val="00425C53"/>
    <w:rsid w:val="00425FEB"/>
    <w:rsid w:val="00426CAA"/>
    <w:rsid w:val="00430E03"/>
    <w:rsid w:val="004348EB"/>
    <w:rsid w:val="00434956"/>
    <w:rsid w:val="00436B9D"/>
    <w:rsid w:val="00437291"/>
    <w:rsid w:val="00437351"/>
    <w:rsid w:val="004409D3"/>
    <w:rsid w:val="00441DBE"/>
    <w:rsid w:val="00445378"/>
    <w:rsid w:val="004471AA"/>
    <w:rsid w:val="00450B03"/>
    <w:rsid w:val="004525DE"/>
    <w:rsid w:val="00452F41"/>
    <w:rsid w:val="004537CA"/>
    <w:rsid w:val="00453C63"/>
    <w:rsid w:val="00455A25"/>
    <w:rsid w:val="00456460"/>
    <w:rsid w:val="004566D3"/>
    <w:rsid w:val="004652CC"/>
    <w:rsid w:val="00466FA1"/>
    <w:rsid w:val="00470333"/>
    <w:rsid w:val="004715C5"/>
    <w:rsid w:val="00471779"/>
    <w:rsid w:val="00475B12"/>
    <w:rsid w:val="00475C31"/>
    <w:rsid w:val="0047781B"/>
    <w:rsid w:val="00482081"/>
    <w:rsid w:val="00483C8C"/>
    <w:rsid w:val="0048536A"/>
    <w:rsid w:val="00486AF4"/>
    <w:rsid w:val="00486F08"/>
    <w:rsid w:val="00487BD4"/>
    <w:rsid w:val="00490631"/>
    <w:rsid w:val="00491B4A"/>
    <w:rsid w:val="00491E89"/>
    <w:rsid w:val="004921A8"/>
    <w:rsid w:val="00496DF4"/>
    <w:rsid w:val="004A2959"/>
    <w:rsid w:val="004A2A51"/>
    <w:rsid w:val="004A2F70"/>
    <w:rsid w:val="004A3DC8"/>
    <w:rsid w:val="004A3E8C"/>
    <w:rsid w:val="004A488A"/>
    <w:rsid w:val="004A5E80"/>
    <w:rsid w:val="004B01A3"/>
    <w:rsid w:val="004B29FA"/>
    <w:rsid w:val="004B315C"/>
    <w:rsid w:val="004B352A"/>
    <w:rsid w:val="004B3973"/>
    <w:rsid w:val="004B4F8A"/>
    <w:rsid w:val="004C1338"/>
    <w:rsid w:val="004C1A4A"/>
    <w:rsid w:val="004C23BE"/>
    <w:rsid w:val="004C5737"/>
    <w:rsid w:val="004C5965"/>
    <w:rsid w:val="004D0169"/>
    <w:rsid w:val="004D222B"/>
    <w:rsid w:val="004D33DB"/>
    <w:rsid w:val="004D37D6"/>
    <w:rsid w:val="004D396F"/>
    <w:rsid w:val="004D39E2"/>
    <w:rsid w:val="004D6987"/>
    <w:rsid w:val="004E17F6"/>
    <w:rsid w:val="004E205D"/>
    <w:rsid w:val="004E3AAE"/>
    <w:rsid w:val="004E4DF3"/>
    <w:rsid w:val="004E5F17"/>
    <w:rsid w:val="004E60FB"/>
    <w:rsid w:val="004E6C9C"/>
    <w:rsid w:val="004F062B"/>
    <w:rsid w:val="004F14E8"/>
    <w:rsid w:val="004F158A"/>
    <w:rsid w:val="004F232B"/>
    <w:rsid w:val="004F2A6D"/>
    <w:rsid w:val="004F4BC7"/>
    <w:rsid w:val="004F6A55"/>
    <w:rsid w:val="004F6D53"/>
    <w:rsid w:val="00510539"/>
    <w:rsid w:val="00510A07"/>
    <w:rsid w:val="00511926"/>
    <w:rsid w:val="0051198F"/>
    <w:rsid w:val="00512A4C"/>
    <w:rsid w:val="00512BCD"/>
    <w:rsid w:val="00513568"/>
    <w:rsid w:val="005136A3"/>
    <w:rsid w:val="00515F9D"/>
    <w:rsid w:val="00516041"/>
    <w:rsid w:val="005177AC"/>
    <w:rsid w:val="00517DB6"/>
    <w:rsid w:val="00520D5E"/>
    <w:rsid w:val="00524D72"/>
    <w:rsid w:val="00525048"/>
    <w:rsid w:val="00525632"/>
    <w:rsid w:val="0052736F"/>
    <w:rsid w:val="0053081A"/>
    <w:rsid w:val="00531D12"/>
    <w:rsid w:val="0053226A"/>
    <w:rsid w:val="0053353E"/>
    <w:rsid w:val="00533DAC"/>
    <w:rsid w:val="00535089"/>
    <w:rsid w:val="0053603D"/>
    <w:rsid w:val="00540B27"/>
    <w:rsid w:val="005441D9"/>
    <w:rsid w:val="00544B2D"/>
    <w:rsid w:val="00544BC4"/>
    <w:rsid w:val="00545E7A"/>
    <w:rsid w:val="005509E7"/>
    <w:rsid w:val="005529E0"/>
    <w:rsid w:val="005539FC"/>
    <w:rsid w:val="00554089"/>
    <w:rsid w:val="005548B4"/>
    <w:rsid w:val="00557082"/>
    <w:rsid w:val="00562649"/>
    <w:rsid w:val="005632A9"/>
    <w:rsid w:val="005637DF"/>
    <w:rsid w:val="0056443C"/>
    <w:rsid w:val="00565262"/>
    <w:rsid w:val="005678DA"/>
    <w:rsid w:val="005704B9"/>
    <w:rsid w:val="00570C3A"/>
    <w:rsid w:val="005742CA"/>
    <w:rsid w:val="005758D2"/>
    <w:rsid w:val="00575EDC"/>
    <w:rsid w:val="00576466"/>
    <w:rsid w:val="005804EA"/>
    <w:rsid w:val="0058172C"/>
    <w:rsid w:val="00582225"/>
    <w:rsid w:val="005825A2"/>
    <w:rsid w:val="0058285A"/>
    <w:rsid w:val="00584C2D"/>
    <w:rsid w:val="00587C90"/>
    <w:rsid w:val="00590657"/>
    <w:rsid w:val="00593086"/>
    <w:rsid w:val="005956C1"/>
    <w:rsid w:val="00597BD2"/>
    <w:rsid w:val="005A106F"/>
    <w:rsid w:val="005A1E0E"/>
    <w:rsid w:val="005A34C2"/>
    <w:rsid w:val="005A4D90"/>
    <w:rsid w:val="005A5F06"/>
    <w:rsid w:val="005A71BE"/>
    <w:rsid w:val="005A7C3A"/>
    <w:rsid w:val="005B01C9"/>
    <w:rsid w:val="005B1793"/>
    <w:rsid w:val="005B1F21"/>
    <w:rsid w:val="005B278E"/>
    <w:rsid w:val="005B290E"/>
    <w:rsid w:val="005B476A"/>
    <w:rsid w:val="005B4BA7"/>
    <w:rsid w:val="005B757B"/>
    <w:rsid w:val="005B7ED0"/>
    <w:rsid w:val="005C2F28"/>
    <w:rsid w:val="005C39F6"/>
    <w:rsid w:val="005C50A7"/>
    <w:rsid w:val="005C5ADE"/>
    <w:rsid w:val="005C6C7F"/>
    <w:rsid w:val="005C70F8"/>
    <w:rsid w:val="005C7EED"/>
    <w:rsid w:val="005CE441"/>
    <w:rsid w:val="005D2632"/>
    <w:rsid w:val="005D3FE5"/>
    <w:rsid w:val="005D6D71"/>
    <w:rsid w:val="005D7B33"/>
    <w:rsid w:val="005E0370"/>
    <w:rsid w:val="005E48DD"/>
    <w:rsid w:val="005E53E4"/>
    <w:rsid w:val="005E5798"/>
    <w:rsid w:val="005E7C56"/>
    <w:rsid w:val="005F22EB"/>
    <w:rsid w:val="006005DE"/>
    <w:rsid w:val="00601524"/>
    <w:rsid w:val="00603C33"/>
    <w:rsid w:val="00605DEF"/>
    <w:rsid w:val="00611338"/>
    <w:rsid w:val="00613766"/>
    <w:rsid w:val="0061477F"/>
    <w:rsid w:val="00615665"/>
    <w:rsid w:val="006158A3"/>
    <w:rsid w:val="00616585"/>
    <w:rsid w:val="006204B2"/>
    <w:rsid w:val="006214FE"/>
    <w:rsid w:val="00621F9A"/>
    <w:rsid w:val="00622D93"/>
    <w:rsid w:val="006232B0"/>
    <w:rsid w:val="006237CE"/>
    <w:rsid w:val="006239F0"/>
    <w:rsid w:val="006251F8"/>
    <w:rsid w:val="006268CF"/>
    <w:rsid w:val="0062734F"/>
    <w:rsid w:val="00633E3A"/>
    <w:rsid w:val="00634D59"/>
    <w:rsid w:val="006356E7"/>
    <w:rsid w:val="00635AE8"/>
    <w:rsid w:val="00635AFD"/>
    <w:rsid w:val="0063699A"/>
    <w:rsid w:val="00641D65"/>
    <w:rsid w:val="00641FA6"/>
    <w:rsid w:val="006426D8"/>
    <w:rsid w:val="0064319E"/>
    <w:rsid w:val="00643283"/>
    <w:rsid w:val="00644297"/>
    <w:rsid w:val="00646780"/>
    <w:rsid w:val="00647C67"/>
    <w:rsid w:val="0065110A"/>
    <w:rsid w:val="0065282C"/>
    <w:rsid w:val="00652F6E"/>
    <w:rsid w:val="00655BE3"/>
    <w:rsid w:val="00657823"/>
    <w:rsid w:val="006626DC"/>
    <w:rsid w:val="00662884"/>
    <w:rsid w:val="00662A40"/>
    <w:rsid w:val="00663000"/>
    <w:rsid w:val="00665877"/>
    <w:rsid w:val="00665F69"/>
    <w:rsid w:val="0067180D"/>
    <w:rsid w:val="006724E6"/>
    <w:rsid w:val="00674E63"/>
    <w:rsid w:val="00683E64"/>
    <w:rsid w:val="00684E9C"/>
    <w:rsid w:val="006851D9"/>
    <w:rsid w:val="006867FD"/>
    <w:rsid w:val="0069027D"/>
    <w:rsid w:val="00690335"/>
    <w:rsid w:val="0069104F"/>
    <w:rsid w:val="00692589"/>
    <w:rsid w:val="00693C90"/>
    <w:rsid w:val="00693D07"/>
    <w:rsid w:val="0069453D"/>
    <w:rsid w:val="0069540C"/>
    <w:rsid w:val="006956B4"/>
    <w:rsid w:val="006A16C2"/>
    <w:rsid w:val="006A1FA2"/>
    <w:rsid w:val="006A29A9"/>
    <w:rsid w:val="006A30E4"/>
    <w:rsid w:val="006A4E02"/>
    <w:rsid w:val="006A5380"/>
    <w:rsid w:val="006A60F0"/>
    <w:rsid w:val="006A6FAC"/>
    <w:rsid w:val="006A7C4B"/>
    <w:rsid w:val="006B1597"/>
    <w:rsid w:val="006B4D1D"/>
    <w:rsid w:val="006B5417"/>
    <w:rsid w:val="006B7362"/>
    <w:rsid w:val="006C0C50"/>
    <w:rsid w:val="006C1FD7"/>
    <w:rsid w:val="006C2C4B"/>
    <w:rsid w:val="006C4911"/>
    <w:rsid w:val="006C705B"/>
    <w:rsid w:val="006D0625"/>
    <w:rsid w:val="006D1100"/>
    <w:rsid w:val="006D29BB"/>
    <w:rsid w:val="006E2D98"/>
    <w:rsid w:val="006E2EF7"/>
    <w:rsid w:val="006E6EC8"/>
    <w:rsid w:val="006E73DC"/>
    <w:rsid w:val="006E7B1F"/>
    <w:rsid w:val="006F0405"/>
    <w:rsid w:val="006F0C13"/>
    <w:rsid w:val="006F1AC1"/>
    <w:rsid w:val="006F2504"/>
    <w:rsid w:val="006F2B8E"/>
    <w:rsid w:val="006F559C"/>
    <w:rsid w:val="006F5C04"/>
    <w:rsid w:val="007011BD"/>
    <w:rsid w:val="00701CA7"/>
    <w:rsid w:val="00701DD6"/>
    <w:rsid w:val="0070302E"/>
    <w:rsid w:val="00706A9A"/>
    <w:rsid w:val="00707AD2"/>
    <w:rsid w:val="007108D2"/>
    <w:rsid w:val="00713FB5"/>
    <w:rsid w:val="00715FA6"/>
    <w:rsid w:val="007209B0"/>
    <w:rsid w:val="00720CF2"/>
    <w:rsid w:val="00721DD8"/>
    <w:rsid w:val="00722141"/>
    <w:rsid w:val="00726594"/>
    <w:rsid w:val="00730167"/>
    <w:rsid w:val="00730E71"/>
    <w:rsid w:val="0073104C"/>
    <w:rsid w:val="00733982"/>
    <w:rsid w:val="00734712"/>
    <w:rsid w:val="0073494B"/>
    <w:rsid w:val="00736E39"/>
    <w:rsid w:val="00737382"/>
    <w:rsid w:val="00737AE6"/>
    <w:rsid w:val="00743011"/>
    <w:rsid w:val="007434E3"/>
    <w:rsid w:val="00743DAD"/>
    <w:rsid w:val="00745AB0"/>
    <w:rsid w:val="00745FBE"/>
    <w:rsid w:val="0075253E"/>
    <w:rsid w:val="0075327C"/>
    <w:rsid w:val="007555E9"/>
    <w:rsid w:val="007557C6"/>
    <w:rsid w:val="00756BF7"/>
    <w:rsid w:val="00757DDD"/>
    <w:rsid w:val="007603D5"/>
    <w:rsid w:val="00761888"/>
    <w:rsid w:val="00764588"/>
    <w:rsid w:val="00766706"/>
    <w:rsid w:val="007667BD"/>
    <w:rsid w:val="0076763A"/>
    <w:rsid w:val="00771072"/>
    <w:rsid w:val="00771764"/>
    <w:rsid w:val="00775489"/>
    <w:rsid w:val="007765F4"/>
    <w:rsid w:val="00777BAF"/>
    <w:rsid w:val="00784802"/>
    <w:rsid w:val="00786B17"/>
    <w:rsid w:val="007917CA"/>
    <w:rsid w:val="00791967"/>
    <w:rsid w:val="00791BDF"/>
    <w:rsid w:val="0079439E"/>
    <w:rsid w:val="007A001D"/>
    <w:rsid w:val="007A0187"/>
    <w:rsid w:val="007A02E1"/>
    <w:rsid w:val="007A16E8"/>
    <w:rsid w:val="007A1DDD"/>
    <w:rsid w:val="007A2AF7"/>
    <w:rsid w:val="007A56C3"/>
    <w:rsid w:val="007A5D61"/>
    <w:rsid w:val="007A6264"/>
    <w:rsid w:val="007A6C01"/>
    <w:rsid w:val="007A7841"/>
    <w:rsid w:val="007A7D6D"/>
    <w:rsid w:val="007B00B4"/>
    <w:rsid w:val="007B2A87"/>
    <w:rsid w:val="007B3817"/>
    <w:rsid w:val="007B4887"/>
    <w:rsid w:val="007B53FE"/>
    <w:rsid w:val="007B5ED0"/>
    <w:rsid w:val="007B6318"/>
    <w:rsid w:val="007B78F0"/>
    <w:rsid w:val="007C1C6F"/>
    <w:rsid w:val="007C4646"/>
    <w:rsid w:val="007C562E"/>
    <w:rsid w:val="007C7667"/>
    <w:rsid w:val="007C779B"/>
    <w:rsid w:val="007D042C"/>
    <w:rsid w:val="007D190D"/>
    <w:rsid w:val="007D2BC9"/>
    <w:rsid w:val="007D2E55"/>
    <w:rsid w:val="007D3D50"/>
    <w:rsid w:val="007D51FC"/>
    <w:rsid w:val="007D73CC"/>
    <w:rsid w:val="007E05EE"/>
    <w:rsid w:val="007E0A6A"/>
    <w:rsid w:val="007E23F7"/>
    <w:rsid w:val="007E2568"/>
    <w:rsid w:val="007E266A"/>
    <w:rsid w:val="007E3933"/>
    <w:rsid w:val="007E3F75"/>
    <w:rsid w:val="007E5003"/>
    <w:rsid w:val="007E60D8"/>
    <w:rsid w:val="007E6E3F"/>
    <w:rsid w:val="007E7860"/>
    <w:rsid w:val="007E7862"/>
    <w:rsid w:val="007E7DE0"/>
    <w:rsid w:val="007E7E0C"/>
    <w:rsid w:val="007F151E"/>
    <w:rsid w:val="007F181A"/>
    <w:rsid w:val="007F26D0"/>
    <w:rsid w:val="007F4AF0"/>
    <w:rsid w:val="007F570A"/>
    <w:rsid w:val="0080195F"/>
    <w:rsid w:val="00802AF5"/>
    <w:rsid w:val="00804EA2"/>
    <w:rsid w:val="00806D5D"/>
    <w:rsid w:val="00807DDD"/>
    <w:rsid w:val="00815082"/>
    <w:rsid w:val="0081713E"/>
    <w:rsid w:val="008179D2"/>
    <w:rsid w:val="00817DAB"/>
    <w:rsid w:val="00820E61"/>
    <w:rsid w:val="00821E6F"/>
    <w:rsid w:val="00824CA7"/>
    <w:rsid w:val="00825FC2"/>
    <w:rsid w:val="008313B4"/>
    <w:rsid w:val="00831A80"/>
    <w:rsid w:val="00832144"/>
    <w:rsid w:val="00832C1F"/>
    <w:rsid w:val="00833237"/>
    <w:rsid w:val="00833A72"/>
    <w:rsid w:val="00834299"/>
    <w:rsid w:val="00844280"/>
    <w:rsid w:val="008458C0"/>
    <w:rsid w:val="008462BD"/>
    <w:rsid w:val="00846FBC"/>
    <w:rsid w:val="008502BF"/>
    <w:rsid w:val="00851465"/>
    <w:rsid w:val="00851911"/>
    <w:rsid w:val="00851A87"/>
    <w:rsid w:val="00851CBF"/>
    <w:rsid w:val="00852D9D"/>
    <w:rsid w:val="00853702"/>
    <w:rsid w:val="008537E2"/>
    <w:rsid w:val="00853A23"/>
    <w:rsid w:val="00853F6F"/>
    <w:rsid w:val="00857176"/>
    <w:rsid w:val="00857BB4"/>
    <w:rsid w:val="008610B0"/>
    <w:rsid w:val="008622DF"/>
    <w:rsid w:val="00864188"/>
    <w:rsid w:val="008643CF"/>
    <w:rsid w:val="0086483D"/>
    <w:rsid w:val="00864F3F"/>
    <w:rsid w:val="00865D49"/>
    <w:rsid w:val="0086793E"/>
    <w:rsid w:val="00867E16"/>
    <w:rsid w:val="00871964"/>
    <w:rsid w:val="0087555D"/>
    <w:rsid w:val="00877088"/>
    <w:rsid w:val="008778EB"/>
    <w:rsid w:val="00883C94"/>
    <w:rsid w:val="008853AF"/>
    <w:rsid w:val="00885725"/>
    <w:rsid w:val="00886095"/>
    <w:rsid w:val="00887496"/>
    <w:rsid w:val="008908A9"/>
    <w:rsid w:val="008912ED"/>
    <w:rsid w:val="00891936"/>
    <w:rsid w:val="00892D78"/>
    <w:rsid w:val="008936CE"/>
    <w:rsid w:val="00894D0B"/>
    <w:rsid w:val="00896575"/>
    <w:rsid w:val="00896989"/>
    <w:rsid w:val="00896999"/>
    <w:rsid w:val="00897449"/>
    <w:rsid w:val="008A0B1C"/>
    <w:rsid w:val="008A3092"/>
    <w:rsid w:val="008A4388"/>
    <w:rsid w:val="008A4498"/>
    <w:rsid w:val="008A4A5D"/>
    <w:rsid w:val="008A51BF"/>
    <w:rsid w:val="008A5422"/>
    <w:rsid w:val="008B38EE"/>
    <w:rsid w:val="008B6810"/>
    <w:rsid w:val="008C1072"/>
    <w:rsid w:val="008C330C"/>
    <w:rsid w:val="008C37E0"/>
    <w:rsid w:val="008C50EA"/>
    <w:rsid w:val="008C622C"/>
    <w:rsid w:val="008C7707"/>
    <w:rsid w:val="008C7D3E"/>
    <w:rsid w:val="008D11B2"/>
    <w:rsid w:val="008D162F"/>
    <w:rsid w:val="008D477C"/>
    <w:rsid w:val="008D77B1"/>
    <w:rsid w:val="008D7BCF"/>
    <w:rsid w:val="008D7E57"/>
    <w:rsid w:val="008E02DC"/>
    <w:rsid w:val="008E05CC"/>
    <w:rsid w:val="008E0EEC"/>
    <w:rsid w:val="008E4D6C"/>
    <w:rsid w:val="008E5571"/>
    <w:rsid w:val="008F0FCF"/>
    <w:rsid w:val="008F143A"/>
    <w:rsid w:val="008F2A2D"/>
    <w:rsid w:val="008F32E4"/>
    <w:rsid w:val="008F6E77"/>
    <w:rsid w:val="00900CE1"/>
    <w:rsid w:val="00903E19"/>
    <w:rsid w:val="00905C3C"/>
    <w:rsid w:val="00907B02"/>
    <w:rsid w:val="0091291F"/>
    <w:rsid w:val="009173C8"/>
    <w:rsid w:val="00917BF0"/>
    <w:rsid w:val="00918FA2"/>
    <w:rsid w:val="00920315"/>
    <w:rsid w:val="00920A33"/>
    <w:rsid w:val="00920E19"/>
    <w:rsid w:val="00920E6C"/>
    <w:rsid w:val="0092147B"/>
    <w:rsid w:val="009217AC"/>
    <w:rsid w:val="00921D6A"/>
    <w:rsid w:val="0092232C"/>
    <w:rsid w:val="009243D7"/>
    <w:rsid w:val="00924D2E"/>
    <w:rsid w:val="0092545B"/>
    <w:rsid w:val="00926641"/>
    <w:rsid w:val="009272D7"/>
    <w:rsid w:val="00930DEF"/>
    <w:rsid w:val="009313D8"/>
    <w:rsid w:val="009340C2"/>
    <w:rsid w:val="00936886"/>
    <w:rsid w:val="00942C53"/>
    <w:rsid w:val="00943F0B"/>
    <w:rsid w:val="0095171B"/>
    <w:rsid w:val="0095351C"/>
    <w:rsid w:val="00954091"/>
    <w:rsid w:val="00960329"/>
    <w:rsid w:val="009606F0"/>
    <w:rsid w:val="0096534F"/>
    <w:rsid w:val="00966CD9"/>
    <w:rsid w:val="00967077"/>
    <w:rsid w:val="00972204"/>
    <w:rsid w:val="00973DBC"/>
    <w:rsid w:val="00975E32"/>
    <w:rsid w:val="0097701C"/>
    <w:rsid w:val="0097719F"/>
    <w:rsid w:val="00980723"/>
    <w:rsid w:val="00982B5A"/>
    <w:rsid w:val="00983732"/>
    <w:rsid w:val="009859A9"/>
    <w:rsid w:val="00987470"/>
    <w:rsid w:val="00987DAA"/>
    <w:rsid w:val="009914B0"/>
    <w:rsid w:val="00991CFE"/>
    <w:rsid w:val="00992D19"/>
    <w:rsid w:val="00992DE6"/>
    <w:rsid w:val="009932DC"/>
    <w:rsid w:val="00994836"/>
    <w:rsid w:val="00994E44"/>
    <w:rsid w:val="00996333"/>
    <w:rsid w:val="00997844"/>
    <w:rsid w:val="009A326B"/>
    <w:rsid w:val="009A4593"/>
    <w:rsid w:val="009A6020"/>
    <w:rsid w:val="009A689E"/>
    <w:rsid w:val="009A7646"/>
    <w:rsid w:val="009B01BD"/>
    <w:rsid w:val="009B0677"/>
    <w:rsid w:val="009B179C"/>
    <w:rsid w:val="009B1DB2"/>
    <w:rsid w:val="009B3F87"/>
    <w:rsid w:val="009B535D"/>
    <w:rsid w:val="009B60B8"/>
    <w:rsid w:val="009B7365"/>
    <w:rsid w:val="009C035C"/>
    <w:rsid w:val="009C139E"/>
    <w:rsid w:val="009C1C21"/>
    <w:rsid w:val="009C1C84"/>
    <w:rsid w:val="009C1CC1"/>
    <w:rsid w:val="009C24D6"/>
    <w:rsid w:val="009C3523"/>
    <w:rsid w:val="009C3ADA"/>
    <w:rsid w:val="009C49E5"/>
    <w:rsid w:val="009C54DF"/>
    <w:rsid w:val="009D0F61"/>
    <w:rsid w:val="009D1E03"/>
    <w:rsid w:val="009D299A"/>
    <w:rsid w:val="009D5D73"/>
    <w:rsid w:val="009E1115"/>
    <w:rsid w:val="009E1BC4"/>
    <w:rsid w:val="009E2747"/>
    <w:rsid w:val="009E3F6F"/>
    <w:rsid w:val="009E3FC9"/>
    <w:rsid w:val="009E4E52"/>
    <w:rsid w:val="009E6F85"/>
    <w:rsid w:val="009E7467"/>
    <w:rsid w:val="009F14FC"/>
    <w:rsid w:val="009F2B06"/>
    <w:rsid w:val="009F37AD"/>
    <w:rsid w:val="009F4B7E"/>
    <w:rsid w:val="009F70FE"/>
    <w:rsid w:val="00A00EC9"/>
    <w:rsid w:val="00A01351"/>
    <w:rsid w:val="00A01C5E"/>
    <w:rsid w:val="00A025C2"/>
    <w:rsid w:val="00A035BF"/>
    <w:rsid w:val="00A11196"/>
    <w:rsid w:val="00A12757"/>
    <w:rsid w:val="00A12A63"/>
    <w:rsid w:val="00A13126"/>
    <w:rsid w:val="00A13D7A"/>
    <w:rsid w:val="00A152BD"/>
    <w:rsid w:val="00A17477"/>
    <w:rsid w:val="00A20D24"/>
    <w:rsid w:val="00A22405"/>
    <w:rsid w:val="00A25243"/>
    <w:rsid w:val="00A25CA3"/>
    <w:rsid w:val="00A26A62"/>
    <w:rsid w:val="00A273D9"/>
    <w:rsid w:val="00A32C4D"/>
    <w:rsid w:val="00A34360"/>
    <w:rsid w:val="00A36DC8"/>
    <w:rsid w:val="00A37EA5"/>
    <w:rsid w:val="00A41AFF"/>
    <w:rsid w:val="00A42F94"/>
    <w:rsid w:val="00A4430D"/>
    <w:rsid w:val="00A44F63"/>
    <w:rsid w:val="00A47041"/>
    <w:rsid w:val="00A47A1F"/>
    <w:rsid w:val="00A51824"/>
    <w:rsid w:val="00A53C47"/>
    <w:rsid w:val="00A54566"/>
    <w:rsid w:val="00A54B22"/>
    <w:rsid w:val="00A550FD"/>
    <w:rsid w:val="00A55492"/>
    <w:rsid w:val="00A55922"/>
    <w:rsid w:val="00A61307"/>
    <w:rsid w:val="00A615DE"/>
    <w:rsid w:val="00A616FA"/>
    <w:rsid w:val="00A62422"/>
    <w:rsid w:val="00A653FE"/>
    <w:rsid w:val="00A71409"/>
    <w:rsid w:val="00A720D2"/>
    <w:rsid w:val="00A7421D"/>
    <w:rsid w:val="00A7535C"/>
    <w:rsid w:val="00A754DD"/>
    <w:rsid w:val="00A756DF"/>
    <w:rsid w:val="00A76CEF"/>
    <w:rsid w:val="00A80052"/>
    <w:rsid w:val="00A813FF"/>
    <w:rsid w:val="00A81FEE"/>
    <w:rsid w:val="00A845DB"/>
    <w:rsid w:val="00A84B2C"/>
    <w:rsid w:val="00A84DB7"/>
    <w:rsid w:val="00A84EA8"/>
    <w:rsid w:val="00A85EB6"/>
    <w:rsid w:val="00A87421"/>
    <w:rsid w:val="00A877AE"/>
    <w:rsid w:val="00A90877"/>
    <w:rsid w:val="00A91425"/>
    <w:rsid w:val="00A92C09"/>
    <w:rsid w:val="00A9512D"/>
    <w:rsid w:val="00A9617D"/>
    <w:rsid w:val="00A96DEF"/>
    <w:rsid w:val="00A97549"/>
    <w:rsid w:val="00AA0CBF"/>
    <w:rsid w:val="00AA0D2C"/>
    <w:rsid w:val="00AA2BAF"/>
    <w:rsid w:val="00AA3BDE"/>
    <w:rsid w:val="00AA4B46"/>
    <w:rsid w:val="00AA59E9"/>
    <w:rsid w:val="00AA5C68"/>
    <w:rsid w:val="00AB0F07"/>
    <w:rsid w:val="00AB0F7B"/>
    <w:rsid w:val="00AB2A6D"/>
    <w:rsid w:val="00AB730C"/>
    <w:rsid w:val="00AC0757"/>
    <w:rsid w:val="00AC43A6"/>
    <w:rsid w:val="00AC5145"/>
    <w:rsid w:val="00AC5E77"/>
    <w:rsid w:val="00AC63D2"/>
    <w:rsid w:val="00AD0953"/>
    <w:rsid w:val="00AD1FEE"/>
    <w:rsid w:val="00AD2B18"/>
    <w:rsid w:val="00AD49BE"/>
    <w:rsid w:val="00AD5C73"/>
    <w:rsid w:val="00AD68BD"/>
    <w:rsid w:val="00AD6CE6"/>
    <w:rsid w:val="00AD7945"/>
    <w:rsid w:val="00AE1615"/>
    <w:rsid w:val="00AE5107"/>
    <w:rsid w:val="00AE52DC"/>
    <w:rsid w:val="00AF0D88"/>
    <w:rsid w:val="00AF4FCC"/>
    <w:rsid w:val="00AF54C6"/>
    <w:rsid w:val="00AF5524"/>
    <w:rsid w:val="00AF5861"/>
    <w:rsid w:val="00AF6897"/>
    <w:rsid w:val="00AF7CDA"/>
    <w:rsid w:val="00B005B4"/>
    <w:rsid w:val="00B03D70"/>
    <w:rsid w:val="00B048D2"/>
    <w:rsid w:val="00B1043F"/>
    <w:rsid w:val="00B11795"/>
    <w:rsid w:val="00B122E9"/>
    <w:rsid w:val="00B16598"/>
    <w:rsid w:val="00B20EC2"/>
    <w:rsid w:val="00B21A4B"/>
    <w:rsid w:val="00B21BF3"/>
    <w:rsid w:val="00B27DA4"/>
    <w:rsid w:val="00B27DD1"/>
    <w:rsid w:val="00B318AF"/>
    <w:rsid w:val="00B349AC"/>
    <w:rsid w:val="00B355F0"/>
    <w:rsid w:val="00B37328"/>
    <w:rsid w:val="00B428BB"/>
    <w:rsid w:val="00B45A81"/>
    <w:rsid w:val="00B45FA2"/>
    <w:rsid w:val="00B463D5"/>
    <w:rsid w:val="00B468F0"/>
    <w:rsid w:val="00B530E4"/>
    <w:rsid w:val="00B54AE3"/>
    <w:rsid w:val="00B5561A"/>
    <w:rsid w:val="00B5703D"/>
    <w:rsid w:val="00B6084A"/>
    <w:rsid w:val="00B64470"/>
    <w:rsid w:val="00B67E01"/>
    <w:rsid w:val="00B70898"/>
    <w:rsid w:val="00B71E83"/>
    <w:rsid w:val="00B72CD8"/>
    <w:rsid w:val="00B74189"/>
    <w:rsid w:val="00B75601"/>
    <w:rsid w:val="00B75B7D"/>
    <w:rsid w:val="00B75E3C"/>
    <w:rsid w:val="00B76C11"/>
    <w:rsid w:val="00B81A5A"/>
    <w:rsid w:val="00B84279"/>
    <w:rsid w:val="00B855F0"/>
    <w:rsid w:val="00B86122"/>
    <w:rsid w:val="00B90876"/>
    <w:rsid w:val="00B91574"/>
    <w:rsid w:val="00B917C9"/>
    <w:rsid w:val="00B92A98"/>
    <w:rsid w:val="00B92C09"/>
    <w:rsid w:val="00B934B9"/>
    <w:rsid w:val="00B93AE8"/>
    <w:rsid w:val="00B95BB1"/>
    <w:rsid w:val="00B95C4E"/>
    <w:rsid w:val="00B96C00"/>
    <w:rsid w:val="00B96F27"/>
    <w:rsid w:val="00BA03AF"/>
    <w:rsid w:val="00BA0572"/>
    <w:rsid w:val="00BA0F41"/>
    <w:rsid w:val="00BA1397"/>
    <w:rsid w:val="00BA241A"/>
    <w:rsid w:val="00BA2608"/>
    <w:rsid w:val="00BA405C"/>
    <w:rsid w:val="00BA544E"/>
    <w:rsid w:val="00BA5457"/>
    <w:rsid w:val="00BA5E5B"/>
    <w:rsid w:val="00BB09CB"/>
    <w:rsid w:val="00BB2544"/>
    <w:rsid w:val="00BB48CE"/>
    <w:rsid w:val="00BB4C62"/>
    <w:rsid w:val="00BB5B1A"/>
    <w:rsid w:val="00BB6344"/>
    <w:rsid w:val="00BB7377"/>
    <w:rsid w:val="00BC0DBE"/>
    <w:rsid w:val="00BC19BC"/>
    <w:rsid w:val="00BC29D2"/>
    <w:rsid w:val="00BC3A2A"/>
    <w:rsid w:val="00BC78DA"/>
    <w:rsid w:val="00BD272F"/>
    <w:rsid w:val="00BD352D"/>
    <w:rsid w:val="00BD5B14"/>
    <w:rsid w:val="00BD7314"/>
    <w:rsid w:val="00BD7DA7"/>
    <w:rsid w:val="00BE11B4"/>
    <w:rsid w:val="00BE1A43"/>
    <w:rsid w:val="00BE2D26"/>
    <w:rsid w:val="00BE5470"/>
    <w:rsid w:val="00BE7435"/>
    <w:rsid w:val="00BE7801"/>
    <w:rsid w:val="00BF0695"/>
    <w:rsid w:val="00BF172B"/>
    <w:rsid w:val="00BF1B6F"/>
    <w:rsid w:val="00BF2BAF"/>
    <w:rsid w:val="00BF394F"/>
    <w:rsid w:val="00BF4376"/>
    <w:rsid w:val="00BF5D7D"/>
    <w:rsid w:val="00BF64BB"/>
    <w:rsid w:val="00C02903"/>
    <w:rsid w:val="00C02EAA"/>
    <w:rsid w:val="00C06651"/>
    <w:rsid w:val="00C0677E"/>
    <w:rsid w:val="00C11922"/>
    <w:rsid w:val="00C164FF"/>
    <w:rsid w:val="00C20538"/>
    <w:rsid w:val="00C20C7B"/>
    <w:rsid w:val="00C22176"/>
    <w:rsid w:val="00C23293"/>
    <w:rsid w:val="00C23A51"/>
    <w:rsid w:val="00C23E07"/>
    <w:rsid w:val="00C240E8"/>
    <w:rsid w:val="00C24BD0"/>
    <w:rsid w:val="00C27C23"/>
    <w:rsid w:val="00C31ABE"/>
    <w:rsid w:val="00C31FC8"/>
    <w:rsid w:val="00C3217F"/>
    <w:rsid w:val="00C35890"/>
    <w:rsid w:val="00C40051"/>
    <w:rsid w:val="00C43F5E"/>
    <w:rsid w:val="00C44564"/>
    <w:rsid w:val="00C44E33"/>
    <w:rsid w:val="00C47E16"/>
    <w:rsid w:val="00C501BC"/>
    <w:rsid w:val="00C51938"/>
    <w:rsid w:val="00C51D1E"/>
    <w:rsid w:val="00C52147"/>
    <w:rsid w:val="00C522E8"/>
    <w:rsid w:val="00C5313B"/>
    <w:rsid w:val="00C556C4"/>
    <w:rsid w:val="00C5618B"/>
    <w:rsid w:val="00C571B5"/>
    <w:rsid w:val="00C61B2A"/>
    <w:rsid w:val="00C63110"/>
    <w:rsid w:val="00C63B58"/>
    <w:rsid w:val="00C66AF2"/>
    <w:rsid w:val="00C677A3"/>
    <w:rsid w:val="00C70165"/>
    <w:rsid w:val="00C70D1A"/>
    <w:rsid w:val="00C75F38"/>
    <w:rsid w:val="00C761AE"/>
    <w:rsid w:val="00C82944"/>
    <w:rsid w:val="00C84698"/>
    <w:rsid w:val="00C85027"/>
    <w:rsid w:val="00C86147"/>
    <w:rsid w:val="00C90299"/>
    <w:rsid w:val="00C9107F"/>
    <w:rsid w:val="00C93B63"/>
    <w:rsid w:val="00C93F99"/>
    <w:rsid w:val="00C94B00"/>
    <w:rsid w:val="00C9669A"/>
    <w:rsid w:val="00C969C6"/>
    <w:rsid w:val="00C974E1"/>
    <w:rsid w:val="00C9766E"/>
    <w:rsid w:val="00CA1300"/>
    <w:rsid w:val="00CA233D"/>
    <w:rsid w:val="00CA35CE"/>
    <w:rsid w:val="00CA71AC"/>
    <w:rsid w:val="00CB0FEB"/>
    <w:rsid w:val="00CB1DD9"/>
    <w:rsid w:val="00CB2864"/>
    <w:rsid w:val="00CB2B0E"/>
    <w:rsid w:val="00CB54AA"/>
    <w:rsid w:val="00CC0A22"/>
    <w:rsid w:val="00CC1246"/>
    <w:rsid w:val="00CC307E"/>
    <w:rsid w:val="00CC321B"/>
    <w:rsid w:val="00CC5B0F"/>
    <w:rsid w:val="00CC798D"/>
    <w:rsid w:val="00CD13DA"/>
    <w:rsid w:val="00CD3506"/>
    <w:rsid w:val="00CD44C3"/>
    <w:rsid w:val="00CD4F32"/>
    <w:rsid w:val="00CD5D4B"/>
    <w:rsid w:val="00CD6831"/>
    <w:rsid w:val="00CD68DA"/>
    <w:rsid w:val="00CD6BC2"/>
    <w:rsid w:val="00CE08DB"/>
    <w:rsid w:val="00CE267A"/>
    <w:rsid w:val="00CE4AAF"/>
    <w:rsid w:val="00CE4CB0"/>
    <w:rsid w:val="00CE76F7"/>
    <w:rsid w:val="00CF0190"/>
    <w:rsid w:val="00CF12C1"/>
    <w:rsid w:val="00CF1CDC"/>
    <w:rsid w:val="00CF6B8B"/>
    <w:rsid w:val="00CF6DAD"/>
    <w:rsid w:val="00D00A42"/>
    <w:rsid w:val="00D01BA6"/>
    <w:rsid w:val="00D0241F"/>
    <w:rsid w:val="00D0247F"/>
    <w:rsid w:val="00D027A6"/>
    <w:rsid w:val="00D0385A"/>
    <w:rsid w:val="00D05303"/>
    <w:rsid w:val="00D06875"/>
    <w:rsid w:val="00D0700C"/>
    <w:rsid w:val="00D07AC6"/>
    <w:rsid w:val="00D07B8B"/>
    <w:rsid w:val="00D12718"/>
    <w:rsid w:val="00D13671"/>
    <w:rsid w:val="00D13E01"/>
    <w:rsid w:val="00D14B32"/>
    <w:rsid w:val="00D22D6C"/>
    <w:rsid w:val="00D23EE7"/>
    <w:rsid w:val="00D26032"/>
    <w:rsid w:val="00D26923"/>
    <w:rsid w:val="00D2771C"/>
    <w:rsid w:val="00D27B86"/>
    <w:rsid w:val="00D31391"/>
    <w:rsid w:val="00D31CC5"/>
    <w:rsid w:val="00D32195"/>
    <w:rsid w:val="00D34258"/>
    <w:rsid w:val="00D34513"/>
    <w:rsid w:val="00D35752"/>
    <w:rsid w:val="00D357D8"/>
    <w:rsid w:val="00D35EF1"/>
    <w:rsid w:val="00D36C74"/>
    <w:rsid w:val="00D37E6D"/>
    <w:rsid w:val="00D4067C"/>
    <w:rsid w:val="00D40948"/>
    <w:rsid w:val="00D40C78"/>
    <w:rsid w:val="00D41464"/>
    <w:rsid w:val="00D41D2B"/>
    <w:rsid w:val="00D41EDE"/>
    <w:rsid w:val="00D42D4E"/>
    <w:rsid w:val="00D44770"/>
    <w:rsid w:val="00D44C91"/>
    <w:rsid w:val="00D451F7"/>
    <w:rsid w:val="00D46B89"/>
    <w:rsid w:val="00D53189"/>
    <w:rsid w:val="00D53484"/>
    <w:rsid w:val="00D53BFD"/>
    <w:rsid w:val="00D53F58"/>
    <w:rsid w:val="00D556F0"/>
    <w:rsid w:val="00D56226"/>
    <w:rsid w:val="00D709F1"/>
    <w:rsid w:val="00D7480F"/>
    <w:rsid w:val="00D75241"/>
    <w:rsid w:val="00D81997"/>
    <w:rsid w:val="00D83886"/>
    <w:rsid w:val="00D8487A"/>
    <w:rsid w:val="00D865C4"/>
    <w:rsid w:val="00D86928"/>
    <w:rsid w:val="00D87B5B"/>
    <w:rsid w:val="00D92102"/>
    <w:rsid w:val="00D92805"/>
    <w:rsid w:val="00D92F9E"/>
    <w:rsid w:val="00D95057"/>
    <w:rsid w:val="00D9614D"/>
    <w:rsid w:val="00D963E8"/>
    <w:rsid w:val="00D97116"/>
    <w:rsid w:val="00DA0B32"/>
    <w:rsid w:val="00DA38C6"/>
    <w:rsid w:val="00DA39D2"/>
    <w:rsid w:val="00DA6376"/>
    <w:rsid w:val="00DA65DB"/>
    <w:rsid w:val="00DA72EF"/>
    <w:rsid w:val="00DB4368"/>
    <w:rsid w:val="00DB57AD"/>
    <w:rsid w:val="00DB7B9B"/>
    <w:rsid w:val="00DC05AA"/>
    <w:rsid w:val="00DC2FC1"/>
    <w:rsid w:val="00DC3B33"/>
    <w:rsid w:val="00DC3BC0"/>
    <w:rsid w:val="00DC4060"/>
    <w:rsid w:val="00DC487B"/>
    <w:rsid w:val="00DC488E"/>
    <w:rsid w:val="00DC54C5"/>
    <w:rsid w:val="00DC5603"/>
    <w:rsid w:val="00DC5BED"/>
    <w:rsid w:val="00DC65A2"/>
    <w:rsid w:val="00DC6C99"/>
    <w:rsid w:val="00DC76A7"/>
    <w:rsid w:val="00DC7893"/>
    <w:rsid w:val="00DC7925"/>
    <w:rsid w:val="00DD0D0E"/>
    <w:rsid w:val="00DD1390"/>
    <w:rsid w:val="00DD2226"/>
    <w:rsid w:val="00DD3CED"/>
    <w:rsid w:val="00DD4399"/>
    <w:rsid w:val="00DD441E"/>
    <w:rsid w:val="00DD5060"/>
    <w:rsid w:val="00DD5A0A"/>
    <w:rsid w:val="00DD6850"/>
    <w:rsid w:val="00DD75B6"/>
    <w:rsid w:val="00DD7943"/>
    <w:rsid w:val="00DE2398"/>
    <w:rsid w:val="00DE4B84"/>
    <w:rsid w:val="00DE4F9F"/>
    <w:rsid w:val="00DF1306"/>
    <w:rsid w:val="00DF2C17"/>
    <w:rsid w:val="00DF3BD3"/>
    <w:rsid w:val="00DF42FA"/>
    <w:rsid w:val="00DF5265"/>
    <w:rsid w:val="00DF5C4D"/>
    <w:rsid w:val="00DF701C"/>
    <w:rsid w:val="00E00AC9"/>
    <w:rsid w:val="00E02BDE"/>
    <w:rsid w:val="00E034E8"/>
    <w:rsid w:val="00E036F6"/>
    <w:rsid w:val="00E03EAF"/>
    <w:rsid w:val="00E0579F"/>
    <w:rsid w:val="00E07BCA"/>
    <w:rsid w:val="00E07EC0"/>
    <w:rsid w:val="00E10666"/>
    <w:rsid w:val="00E11ECE"/>
    <w:rsid w:val="00E13558"/>
    <w:rsid w:val="00E14A13"/>
    <w:rsid w:val="00E1602B"/>
    <w:rsid w:val="00E1726D"/>
    <w:rsid w:val="00E20208"/>
    <w:rsid w:val="00E2085C"/>
    <w:rsid w:val="00E212B5"/>
    <w:rsid w:val="00E23150"/>
    <w:rsid w:val="00E23A43"/>
    <w:rsid w:val="00E23AB4"/>
    <w:rsid w:val="00E276A0"/>
    <w:rsid w:val="00E301AB"/>
    <w:rsid w:val="00E3219A"/>
    <w:rsid w:val="00E345A6"/>
    <w:rsid w:val="00E35BDD"/>
    <w:rsid w:val="00E36B72"/>
    <w:rsid w:val="00E40999"/>
    <w:rsid w:val="00E41DE3"/>
    <w:rsid w:val="00E42EE8"/>
    <w:rsid w:val="00E4395E"/>
    <w:rsid w:val="00E440C0"/>
    <w:rsid w:val="00E4545C"/>
    <w:rsid w:val="00E459BB"/>
    <w:rsid w:val="00E45B5B"/>
    <w:rsid w:val="00E463CB"/>
    <w:rsid w:val="00E464BF"/>
    <w:rsid w:val="00E47A91"/>
    <w:rsid w:val="00E47B4A"/>
    <w:rsid w:val="00E523B2"/>
    <w:rsid w:val="00E53AB3"/>
    <w:rsid w:val="00E541FE"/>
    <w:rsid w:val="00E55E1E"/>
    <w:rsid w:val="00E5638D"/>
    <w:rsid w:val="00E60A19"/>
    <w:rsid w:val="00E62849"/>
    <w:rsid w:val="00E63A2C"/>
    <w:rsid w:val="00E6420E"/>
    <w:rsid w:val="00E66419"/>
    <w:rsid w:val="00E66ACB"/>
    <w:rsid w:val="00E677A7"/>
    <w:rsid w:val="00E74154"/>
    <w:rsid w:val="00E74354"/>
    <w:rsid w:val="00E760AD"/>
    <w:rsid w:val="00E76A05"/>
    <w:rsid w:val="00E76A27"/>
    <w:rsid w:val="00E8013E"/>
    <w:rsid w:val="00E81573"/>
    <w:rsid w:val="00E82B1F"/>
    <w:rsid w:val="00E8343B"/>
    <w:rsid w:val="00E83917"/>
    <w:rsid w:val="00E85AD6"/>
    <w:rsid w:val="00E86B3D"/>
    <w:rsid w:val="00E9059C"/>
    <w:rsid w:val="00E907CE"/>
    <w:rsid w:val="00E92255"/>
    <w:rsid w:val="00E949A0"/>
    <w:rsid w:val="00E951E5"/>
    <w:rsid w:val="00E967D8"/>
    <w:rsid w:val="00E96CD0"/>
    <w:rsid w:val="00E976FD"/>
    <w:rsid w:val="00EA0D51"/>
    <w:rsid w:val="00EA1EF4"/>
    <w:rsid w:val="00EA2288"/>
    <w:rsid w:val="00EA58D1"/>
    <w:rsid w:val="00EB11F3"/>
    <w:rsid w:val="00EB14F6"/>
    <w:rsid w:val="00EB1706"/>
    <w:rsid w:val="00EB56E3"/>
    <w:rsid w:val="00EB702D"/>
    <w:rsid w:val="00EC2DEC"/>
    <w:rsid w:val="00EC4319"/>
    <w:rsid w:val="00EC45B9"/>
    <w:rsid w:val="00EC653B"/>
    <w:rsid w:val="00ED4B58"/>
    <w:rsid w:val="00ED56CA"/>
    <w:rsid w:val="00ED5991"/>
    <w:rsid w:val="00EE114D"/>
    <w:rsid w:val="00EE125E"/>
    <w:rsid w:val="00EE46F5"/>
    <w:rsid w:val="00EE4E9C"/>
    <w:rsid w:val="00EE53A4"/>
    <w:rsid w:val="00EE6153"/>
    <w:rsid w:val="00EE6641"/>
    <w:rsid w:val="00EE6934"/>
    <w:rsid w:val="00EE6E2B"/>
    <w:rsid w:val="00EF4A68"/>
    <w:rsid w:val="00EF4B19"/>
    <w:rsid w:val="00EF5353"/>
    <w:rsid w:val="00EF58F3"/>
    <w:rsid w:val="00F00FC8"/>
    <w:rsid w:val="00F01AEF"/>
    <w:rsid w:val="00F01EBB"/>
    <w:rsid w:val="00F025D8"/>
    <w:rsid w:val="00F0331A"/>
    <w:rsid w:val="00F03918"/>
    <w:rsid w:val="00F054F0"/>
    <w:rsid w:val="00F05909"/>
    <w:rsid w:val="00F06EFB"/>
    <w:rsid w:val="00F074BD"/>
    <w:rsid w:val="00F07A74"/>
    <w:rsid w:val="00F11237"/>
    <w:rsid w:val="00F11ACD"/>
    <w:rsid w:val="00F12929"/>
    <w:rsid w:val="00F132FF"/>
    <w:rsid w:val="00F15961"/>
    <w:rsid w:val="00F15DD9"/>
    <w:rsid w:val="00F15EC6"/>
    <w:rsid w:val="00F20594"/>
    <w:rsid w:val="00F206D1"/>
    <w:rsid w:val="00F23E95"/>
    <w:rsid w:val="00F252A2"/>
    <w:rsid w:val="00F2547D"/>
    <w:rsid w:val="00F25B21"/>
    <w:rsid w:val="00F26D40"/>
    <w:rsid w:val="00F312E9"/>
    <w:rsid w:val="00F32BE9"/>
    <w:rsid w:val="00F33512"/>
    <w:rsid w:val="00F33646"/>
    <w:rsid w:val="00F34505"/>
    <w:rsid w:val="00F37A95"/>
    <w:rsid w:val="00F50204"/>
    <w:rsid w:val="00F5414A"/>
    <w:rsid w:val="00F562E9"/>
    <w:rsid w:val="00F5782C"/>
    <w:rsid w:val="00F57E30"/>
    <w:rsid w:val="00F602DA"/>
    <w:rsid w:val="00F60BEB"/>
    <w:rsid w:val="00F61208"/>
    <w:rsid w:val="00F63642"/>
    <w:rsid w:val="00F6565B"/>
    <w:rsid w:val="00F66F68"/>
    <w:rsid w:val="00F67807"/>
    <w:rsid w:val="00F723F0"/>
    <w:rsid w:val="00F73A15"/>
    <w:rsid w:val="00F73FFB"/>
    <w:rsid w:val="00F7417E"/>
    <w:rsid w:val="00F74DBF"/>
    <w:rsid w:val="00F758DA"/>
    <w:rsid w:val="00F77826"/>
    <w:rsid w:val="00F779C9"/>
    <w:rsid w:val="00F91A77"/>
    <w:rsid w:val="00F9250A"/>
    <w:rsid w:val="00F93889"/>
    <w:rsid w:val="00F97BD6"/>
    <w:rsid w:val="00FA0F9B"/>
    <w:rsid w:val="00FA242A"/>
    <w:rsid w:val="00FA2E20"/>
    <w:rsid w:val="00FA383F"/>
    <w:rsid w:val="00FA3A36"/>
    <w:rsid w:val="00FA3BE5"/>
    <w:rsid w:val="00FA6E3C"/>
    <w:rsid w:val="00FA7298"/>
    <w:rsid w:val="00FA78A4"/>
    <w:rsid w:val="00FAA264"/>
    <w:rsid w:val="00FB0254"/>
    <w:rsid w:val="00FB3669"/>
    <w:rsid w:val="00FB41D2"/>
    <w:rsid w:val="00FB4A10"/>
    <w:rsid w:val="00FB4F69"/>
    <w:rsid w:val="00FB564A"/>
    <w:rsid w:val="00FB6F33"/>
    <w:rsid w:val="00FB78C9"/>
    <w:rsid w:val="00FB7A85"/>
    <w:rsid w:val="00FC06ED"/>
    <w:rsid w:val="00FC1843"/>
    <w:rsid w:val="00FC2524"/>
    <w:rsid w:val="00FC2DBA"/>
    <w:rsid w:val="00FC4245"/>
    <w:rsid w:val="00FC428F"/>
    <w:rsid w:val="00FC588F"/>
    <w:rsid w:val="00FC62D9"/>
    <w:rsid w:val="00FC6F83"/>
    <w:rsid w:val="00FC74AF"/>
    <w:rsid w:val="00FD0481"/>
    <w:rsid w:val="00FD0DFE"/>
    <w:rsid w:val="00FD34EF"/>
    <w:rsid w:val="00FD446D"/>
    <w:rsid w:val="00FD471A"/>
    <w:rsid w:val="00FD4BB3"/>
    <w:rsid w:val="00FD6859"/>
    <w:rsid w:val="00FE12D4"/>
    <w:rsid w:val="00FE1414"/>
    <w:rsid w:val="00FE1B15"/>
    <w:rsid w:val="00FE1C58"/>
    <w:rsid w:val="00FE1ECF"/>
    <w:rsid w:val="00FE2E73"/>
    <w:rsid w:val="00FE4366"/>
    <w:rsid w:val="00FE631E"/>
    <w:rsid w:val="00FF3357"/>
    <w:rsid w:val="00FF5685"/>
    <w:rsid w:val="00FF602E"/>
    <w:rsid w:val="011BF519"/>
    <w:rsid w:val="01369DD2"/>
    <w:rsid w:val="01723DEC"/>
    <w:rsid w:val="01732790"/>
    <w:rsid w:val="018768BC"/>
    <w:rsid w:val="018C3885"/>
    <w:rsid w:val="01AB9E57"/>
    <w:rsid w:val="01FB4F06"/>
    <w:rsid w:val="020AAAA6"/>
    <w:rsid w:val="02137A49"/>
    <w:rsid w:val="023A296F"/>
    <w:rsid w:val="02547E2F"/>
    <w:rsid w:val="025B7B4A"/>
    <w:rsid w:val="02735685"/>
    <w:rsid w:val="027CB7E6"/>
    <w:rsid w:val="0293FA80"/>
    <w:rsid w:val="02A143E0"/>
    <w:rsid w:val="02DE20F8"/>
    <w:rsid w:val="02E333F7"/>
    <w:rsid w:val="03476EB8"/>
    <w:rsid w:val="03501553"/>
    <w:rsid w:val="0351EF1A"/>
    <w:rsid w:val="0365060E"/>
    <w:rsid w:val="03F04E1D"/>
    <w:rsid w:val="03F11972"/>
    <w:rsid w:val="04176C9E"/>
    <w:rsid w:val="042874D3"/>
    <w:rsid w:val="04DC2B61"/>
    <w:rsid w:val="04E33F19"/>
    <w:rsid w:val="04F36C72"/>
    <w:rsid w:val="04F9520F"/>
    <w:rsid w:val="05E31DFA"/>
    <w:rsid w:val="05F458D1"/>
    <w:rsid w:val="062D39EE"/>
    <w:rsid w:val="0655C66D"/>
    <w:rsid w:val="06E3FD47"/>
    <w:rsid w:val="06F50675"/>
    <w:rsid w:val="0710D43B"/>
    <w:rsid w:val="075FD144"/>
    <w:rsid w:val="0769C491"/>
    <w:rsid w:val="077700D5"/>
    <w:rsid w:val="079A29AB"/>
    <w:rsid w:val="07BF4C28"/>
    <w:rsid w:val="081AF26C"/>
    <w:rsid w:val="082EED6B"/>
    <w:rsid w:val="083836A0"/>
    <w:rsid w:val="083FE5BE"/>
    <w:rsid w:val="086CEEEE"/>
    <w:rsid w:val="08791B55"/>
    <w:rsid w:val="08B6617D"/>
    <w:rsid w:val="08C9A63D"/>
    <w:rsid w:val="08CB4B76"/>
    <w:rsid w:val="0952DC51"/>
    <w:rsid w:val="09A33063"/>
    <w:rsid w:val="09B75262"/>
    <w:rsid w:val="09C6C29C"/>
    <w:rsid w:val="0A105EE2"/>
    <w:rsid w:val="0AA7AAFD"/>
    <w:rsid w:val="0AD0B86A"/>
    <w:rsid w:val="0AEAFA4F"/>
    <w:rsid w:val="0AF998E7"/>
    <w:rsid w:val="0AFC6168"/>
    <w:rsid w:val="0B2ACC8E"/>
    <w:rsid w:val="0B3C21DE"/>
    <w:rsid w:val="0B8B29C7"/>
    <w:rsid w:val="0BE30775"/>
    <w:rsid w:val="0BEF0F76"/>
    <w:rsid w:val="0C05E6A3"/>
    <w:rsid w:val="0C1BB3D9"/>
    <w:rsid w:val="0C5F4C60"/>
    <w:rsid w:val="0C8B3567"/>
    <w:rsid w:val="0CB713BF"/>
    <w:rsid w:val="0CBA9040"/>
    <w:rsid w:val="0CBCD53B"/>
    <w:rsid w:val="0D49A8AB"/>
    <w:rsid w:val="0D56A50D"/>
    <w:rsid w:val="0DCC8929"/>
    <w:rsid w:val="0DD967CB"/>
    <w:rsid w:val="0DFD3F24"/>
    <w:rsid w:val="0E3A4939"/>
    <w:rsid w:val="0E4E6314"/>
    <w:rsid w:val="0EF7F8FE"/>
    <w:rsid w:val="0F0D0929"/>
    <w:rsid w:val="0F2A70D2"/>
    <w:rsid w:val="0F38B130"/>
    <w:rsid w:val="0F47F3C9"/>
    <w:rsid w:val="0F573FC4"/>
    <w:rsid w:val="0F75A4B6"/>
    <w:rsid w:val="0F9F0A20"/>
    <w:rsid w:val="0FA5836B"/>
    <w:rsid w:val="0FFC3895"/>
    <w:rsid w:val="102AB8DD"/>
    <w:rsid w:val="10724603"/>
    <w:rsid w:val="10F1EDAA"/>
    <w:rsid w:val="1101A3C7"/>
    <w:rsid w:val="1132ECFB"/>
    <w:rsid w:val="1195466F"/>
    <w:rsid w:val="11AE6103"/>
    <w:rsid w:val="11BC9A1D"/>
    <w:rsid w:val="12162D4A"/>
    <w:rsid w:val="1222E0E5"/>
    <w:rsid w:val="1226AFEE"/>
    <w:rsid w:val="124E757C"/>
    <w:rsid w:val="12E689F2"/>
    <w:rsid w:val="13C2804F"/>
    <w:rsid w:val="13DF1F4B"/>
    <w:rsid w:val="13EA7F6B"/>
    <w:rsid w:val="1404B23F"/>
    <w:rsid w:val="141BD75C"/>
    <w:rsid w:val="14AC25C7"/>
    <w:rsid w:val="14E3E732"/>
    <w:rsid w:val="14EFF920"/>
    <w:rsid w:val="1522D890"/>
    <w:rsid w:val="154F0947"/>
    <w:rsid w:val="156DC647"/>
    <w:rsid w:val="15CADB40"/>
    <w:rsid w:val="160F0EBA"/>
    <w:rsid w:val="16925CD6"/>
    <w:rsid w:val="169FAFF2"/>
    <w:rsid w:val="16C8E5FA"/>
    <w:rsid w:val="16FA2111"/>
    <w:rsid w:val="170856A5"/>
    <w:rsid w:val="172F0977"/>
    <w:rsid w:val="174EBF04"/>
    <w:rsid w:val="175CF838"/>
    <w:rsid w:val="175D856F"/>
    <w:rsid w:val="176CE018"/>
    <w:rsid w:val="17A64CFC"/>
    <w:rsid w:val="17A8B40C"/>
    <w:rsid w:val="17D313A9"/>
    <w:rsid w:val="1844B985"/>
    <w:rsid w:val="1860CE5C"/>
    <w:rsid w:val="186F16C2"/>
    <w:rsid w:val="18EBD770"/>
    <w:rsid w:val="18FAC821"/>
    <w:rsid w:val="18FEA3DA"/>
    <w:rsid w:val="19314DC1"/>
    <w:rsid w:val="1956958D"/>
    <w:rsid w:val="196CBCFF"/>
    <w:rsid w:val="1974548D"/>
    <w:rsid w:val="19DD2FE7"/>
    <w:rsid w:val="19E9BDB5"/>
    <w:rsid w:val="1A371F4A"/>
    <w:rsid w:val="1A5C645A"/>
    <w:rsid w:val="1AB213AD"/>
    <w:rsid w:val="1AB38A8A"/>
    <w:rsid w:val="1AC63551"/>
    <w:rsid w:val="1B793747"/>
    <w:rsid w:val="1B801AF2"/>
    <w:rsid w:val="1C4A4B34"/>
    <w:rsid w:val="1CA00FCC"/>
    <w:rsid w:val="1CCA3799"/>
    <w:rsid w:val="1CE7F282"/>
    <w:rsid w:val="1D0961FE"/>
    <w:rsid w:val="1D1CFF20"/>
    <w:rsid w:val="1D40D84F"/>
    <w:rsid w:val="1D5228A7"/>
    <w:rsid w:val="1D5A1B2C"/>
    <w:rsid w:val="1D867AF8"/>
    <w:rsid w:val="1D8864F7"/>
    <w:rsid w:val="1DB27841"/>
    <w:rsid w:val="1DBDDF1C"/>
    <w:rsid w:val="1E14E64C"/>
    <w:rsid w:val="1E29110C"/>
    <w:rsid w:val="1E53080D"/>
    <w:rsid w:val="1E611B5F"/>
    <w:rsid w:val="1E66F97D"/>
    <w:rsid w:val="1EAC964A"/>
    <w:rsid w:val="1EF22B7F"/>
    <w:rsid w:val="1EF5EB8D"/>
    <w:rsid w:val="1F948007"/>
    <w:rsid w:val="1FA0240A"/>
    <w:rsid w:val="1FAA2579"/>
    <w:rsid w:val="1FB81BF9"/>
    <w:rsid w:val="1FF82960"/>
    <w:rsid w:val="2002B6B7"/>
    <w:rsid w:val="2004FD52"/>
    <w:rsid w:val="201C2181"/>
    <w:rsid w:val="201D1609"/>
    <w:rsid w:val="204E68B9"/>
    <w:rsid w:val="204FC387"/>
    <w:rsid w:val="2078D86A"/>
    <w:rsid w:val="207E7361"/>
    <w:rsid w:val="20C889B1"/>
    <w:rsid w:val="2116B020"/>
    <w:rsid w:val="21214A85"/>
    <w:rsid w:val="212B4FA4"/>
    <w:rsid w:val="2153EC5A"/>
    <w:rsid w:val="2158E49E"/>
    <w:rsid w:val="2160CD92"/>
    <w:rsid w:val="21757C89"/>
    <w:rsid w:val="2184DA07"/>
    <w:rsid w:val="21E1CFE1"/>
    <w:rsid w:val="221463F2"/>
    <w:rsid w:val="2234F370"/>
    <w:rsid w:val="2252B765"/>
    <w:rsid w:val="2276D7DE"/>
    <w:rsid w:val="22BBD447"/>
    <w:rsid w:val="22BE9C6F"/>
    <w:rsid w:val="22D9C15F"/>
    <w:rsid w:val="22EBDD76"/>
    <w:rsid w:val="234D2EE7"/>
    <w:rsid w:val="23BC8B2D"/>
    <w:rsid w:val="240AC86A"/>
    <w:rsid w:val="2434CE8C"/>
    <w:rsid w:val="24548A91"/>
    <w:rsid w:val="24C8E67F"/>
    <w:rsid w:val="24D97EC3"/>
    <w:rsid w:val="25183769"/>
    <w:rsid w:val="251AF01E"/>
    <w:rsid w:val="25289962"/>
    <w:rsid w:val="25310AEA"/>
    <w:rsid w:val="2568EA39"/>
    <w:rsid w:val="257E634A"/>
    <w:rsid w:val="259E8A30"/>
    <w:rsid w:val="25DE2301"/>
    <w:rsid w:val="261379A9"/>
    <w:rsid w:val="269FE5B8"/>
    <w:rsid w:val="2701EBBC"/>
    <w:rsid w:val="272BAB26"/>
    <w:rsid w:val="27A34869"/>
    <w:rsid w:val="27BB2931"/>
    <w:rsid w:val="27BCBF42"/>
    <w:rsid w:val="27DD7F44"/>
    <w:rsid w:val="27FE0D49"/>
    <w:rsid w:val="285117E1"/>
    <w:rsid w:val="285E24BD"/>
    <w:rsid w:val="28653252"/>
    <w:rsid w:val="286CA828"/>
    <w:rsid w:val="2880E352"/>
    <w:rsid w:val="28846EDD"/>
    <w:rsid w:val="28B71BD4"/>
    <w:rsid w:val="28D7627B"/>
    <w:rsid w:val="293FD0DB"/>
    <w:rsid w:val="2942D6ED"/>
    <w:rsid w:val="29504469"/>
    <w:rsid w:val="29876B51"/>
    <w:rsid w:val="29EC6345"/>
    <w:rsid w:val="2A0250FE"/>
    <w:rsid w:val="2A18967E"/>
    <w:rsid w:val="2A35D6AE"/>
    <w:rsid w:val="2A5850EE"/>
    <w:rsid w:val="2A6B8E9B"/>
    <w:rsid w:val="2A6C2613"/>
    <w:rsid w:val="2AA1A608"/>
    <w:rsid w:val="2AF79DD0"/>
    <w:rsid w:val="2B09896E"/>
    <w:rsid w:val="2B11622F"/>
    <w:rsid w:val="2B317A34"/>
    <w:rsid w:val="2B88D117"/>
    <w:rsid w:val="2B952CBA"/>
    <w:rsid w:val="2BA448EA"/>
    <w:rsid w:val="2BAA933B"/>
    <w:rsid w:val="2BD1A70F"/>
    <w:rsid w:val="2BD63395"/>
    <w:rsid w:val="2BE0178A"/>
    <w:rsid w:val="2C26297A"/>
    <w:rsid w:val="2C5C8AD3"/>
    <w:rsid w:val="2C62DB7D"/>
    <w:rsid w:val="2C657334"/>
    <w:rsid w:val="2C6D02A7"/>
    <w:rsid w:val="2C762ECF"/>
    <w:rsid w:val="2C7C7B80"/>
    <w:rsid w:val="2C9419F9"/>
    <w:rsid w:val="2CB399F6"/>
    <w:rsid w:val="2CC5D240"/>
    <w:rsid w:val="2D12148F"/>
    <w:rsid w:val="2D402B59"/>
    <w:rsid w:val="2D432F21"/>
    <w:rsid w:val="2D93FF3F"/>
    <w:rsid w:val="2E97208F"/>
    <w:rsid w:val="2EDBE9AC"/>
    <w:rsid w:val="2F0A06E6"/>
    <w:rsid w:val="2F5CEECA"/>
    <w:rsid w:val="2FD7CC03"/>
    <w:rsid w:val="2FEFCC96"/>
    <w:rsid w:val="300CE9BE"/>
    <w:rsid w:val="302DD51B"/>
    <w:rsid w:val="30710D85"/>
    <w:rsid w:val="3071E414"/>
    <w:rsid w:val="30914DA5"/>
    <w:rsid w:val="309BBEB2"/>
    <w:rsid w:val="309E66C4"/>
    <w:rsid w:val="30C202B6"/>
    <w:rsid w:val="30D4AA69"/>
    <w:rsid w:val="30DD3FD0"/>
    <w:rsid w:val="3102BA04"/>
    <w:rsid w:val="31618FD0"/>
    <w:rsid w:val="316B7D00"/>
    <w:rsid w:val="3184A3F5"/>
    <w:rsid w:val="31869D9B"/>
    <w:rsid w:val="318D2D67"/>
    <w:rsid w:val="31BD5A44"/>
    <w:rsid w:val="323A1FEB"/>
    <w:rsid w:val="32A48762"/>
    <w:rsid w:val="33074D61"/>
    <w:rsid w:val="331CB636"/>
    <w:rsid w:val="33625692"/>
    <w:rsid w:val="3396D616"/>
    <w:rsid w:val="34397A16"/>
    <w:rsid w:val="3506137E"/>
    <w:rsid w:val="355318B6"/>
    <w:rsid w:val="35828A08"/>
    <w:rsid w:val="35B968DE"/>
    <w:rsid w:val="3642A2E4"/>
    <w:rsid w:val="36A6CAE4"/>
    <w:rsid w:val="36D956BA"/>
    <w:rsid w:val="370BA679"/>
    <w:rsid w:val="370F0078"/>
    <w:rsid w:val="3724FD15"/>
    <w:rsid w:val="372B086F"/>
    <w:rsid w:val="37522D68"/>
    <w:rsid w:val="37658B99"/>
    <w:rsid w:val="37AF0D4B"/>
    <w:rsid w:val="37C22284"/>
    <w:rsid w:val="37D692BE"/>
    <w:rsid w:val="37F96223"/>
    <w:rsid w:val="3802CC01"/>
    <w:rsid w:val="3870D58A"/>
    <w:rsid w:val="38789DA9"/>
    <w:rsid w:val="38BFDC4E"/>
    <w:rsid w:val="38E57EC5"/>
    <w:rsid w:val="394086FB"/>
    <w:rsid w:val="395D247F"/>
    <w:rsid w:val="39FB391C"/>
    <w:rsid w:val="3A3594A2"/>
    <w:rsid w:val="3A5551A4"/>
    <w:rsid w:val="3A6F9068"/>
    <w:rsid w:val="3A85BF9F"/>
    <w:rsid w:val="3A89CE2A"/>
    <w:rsid w:val="3ACFFDC7"/>
    <w:rsid w:val="3AD54C1E"/>
    <w:rsid w:val="3B18DFF0"/>
    <w:rsid w:val="3B194F45"/>
    <w:rsid w:val="3B19F938"/>
    <w:rsid w:val="3B37BB1C"/>
    <w:rsid w:val="3B3CC27A"/>
    <w:rsid w:val="3B685DCE"/>
    <w:rsid w:val="3BB1EEA9"/>
    <w:rsid w:val="3C5A801D"/>
    <w:rsid w:val="3C66A403"/>
    <w:rsid w:val="3C6BD299"/>
    <w:rsid w:val="3C86BB41"/>
    <w:rsid w:val="3CFEDBF2"/>
    <w:rsid w:val="3D0AECC5"/>
    <w:rsid w:val="3D86B147"/>
    <w:rsid w:val="3D8B81A9"/>
    <w:rsid w:val="3DA00B6F"/>
    <w:rsid w:val="3E027464"/>
    <w:rsid w:val="3E395B41"/>
    <w:rsid w:val="3E3B3424"/>
    <w:rsid w:val="3E3DE41A"/>
    <w:rsid w:val="3E4B6AF9"/>
    <w:rsid w:val="3E4EF283"/>
    <w:rsid w:val="3E78A278"/>
    <w:rsid w:val="3E837281"/>
    <w:rsid w:val="3EB4D0CF"/>
    <w:rsid w:val="3F05F7B3"/>
    <w:rsid w:val="3F18C094"/>
    <w:rsid w:val="3F226F22"/>
    <w:rsid w:val="3F61D7BD"/>
    <w:rsid w:val="3F94627A"/>
    <w:rsid w:val="3FA3B45B"/>
    <w:rsid w:val="3FFF7C28"/>
    <w:rsid w:val="40318486"/>
    <w:rsid w:val="404BA902"/>
    <w:rsid w:val="40FDA81E"/>
    <w:rsid w:val="41101B2B"/>
    <w:rsid w:val="412610C7"/>
    <w:rsid w:val="4143E495"/>
    <w:rsid w:val="414DF6C0"/>
    <w:rsid w:val="41D63E8C"/>
    <w:rsid w:val="41FDFB38"/>
    <w:rsid w:val="4231FFF8"/>
    <w:rsid w:val="423858EC"/>
    <w:rsid w:val="4242D695"/>
    <w:rsid w:val="4256D94B"/>
    <w:rsid w:val="42576A30"/>
    <w:rsid w:val="427F5710"/>
    <w:rsid w:val="42AB6E6F"/>
    <w:rsid w:val="42DFB4F6"/>
    <w:rsid w:val="433529F9"/>
    <w:rsid w:val="435F0E1B"/>
    <w:rsid w:val="43720EED"/>
    <w:rsid w:val="43996ADD"/>
    <w:rsid w:val="43A42EE8"/>
    <w:rsid w:val="43A89348"/>
    <w:rsid w:val="43DEF0AB"/>
    <w:rsid w:val="44198C43"/>
    <w:rsid w:val="4468C627"/>
    <w:rsid w:val="44D9FBB5"/>
    <w:rsid w:val="450E76C6"/>
    <w:rsid w:val="453DB910"/>
    <w:rsid w:val="454CD6AA"/>
    <w:rsid w:val="45614EFA"/>
    <w:rsid w:val="45DDCAD2"/>
    <w:rsid w:val="466947B5"/>
    <w:rsid w:val="466A1BCD"/>
    <w:rsid w:val="46A57C9C"/>
    <w:rsid w:val="46C043C4"/>
    <w:rsid w:val="47050CE1"/>
    <w:rsid w:val="47307564"/>
    <w:rsid w:val="474EB915"/>
    <w:rsid w:val="47538A71"/>
    <w:rsid w:val="4790449F"/>
    <w:rsid w:val="47A65B4C"/>
    <w:rsid w:val="47C0E03C"/>
    <w:rsid w:val="47DB137A"/>
    <w:rsid w:val="47F0E24E"/>
    <w:rsid w:val="48078A23"/>
    <w:rsid w:val="484CD523"/>
    <w:rsid w:val="487F5380"/>
    <w:rsid w:val="488AC4B8"/>
    <w:rsid w:val="48988AA8"/>
    <w:rsid w:val="489D199D"/>
    <w:rsid w:val="48E73F22"/>
    <w:rsid w:val="48EEBC6E"/>
    <w:rsid w:val="49365793"/>
    <w:rsid w:val="496EF65E"/>
    <w:rsid w:val="49FC7CF6"/>
    <w:rsid w:val="4A2C5973"/>
    <w:rsid w:val="4A3A72EA"/>
    <w:rsid w:val="4A3FEE94"/>
    <w:rsid w:val="4A547E6A"/>
    <w:rsid w:val="4A694516"/>
    <w:rsid w:val="4AA0F87A"/>
    <w:rsid w:val="4AB25093"/>
    <w:rsid w:val="4AB52C71"/>
    <w:rsid w:val="4AFDE36E"/>
    <w:rsid w:val="4B496A75"/>
    <w:rsid w:val="4B4E74C7"/>
    <w:rsid w:val="4B59A35C"/>
    <w:rsid w:val="4B614202"/>
    <w:rsid w:val="4B85D934"/>
    <w:rsid w:val="4C17A2BB"/>
    <w:rsid w:val="4C1A1AF4"/>
    <w:rsid w:val="4C5DE2F3"/>
    <w:rsid w:val="4C6D3523"/>
    <w:rsid w:val="4C6DF855"/>
    <w:rsid w:val="4C8D323F"/>
    <w:rsid w:val="4CE53505"/>
    <w:rsid w:val="4CEF9C99"/>
    <w:rsid w:val="4D2C3032"/>
    <w:rsid w:val="4DC50346"/>
    <w:rsid w:val="4DEF2B13"/>
    <w:rsid w:val="4DF188DD"/>
    <w:rsid w:val="4E751CCC"/>
    <w:rsid w:val="4E90F208"/>
    <w:rsid w:val="4EA743A1"/>
    <w:rsid w:val="4EF15B1C"/>
    <w:rsid w:val="4F291E7D"/>
    <w:rsid w:val="4F604B68"/>
    <w:rsid w:val="4F90FEB1"/>
    <w:rsid w:val="4FA5B752"/>
    <w:rsid w:val="4FB0E6AD"/>
    <w:rsid w:val="4FB292A9"/>
    <w:rsid w:val="4FB6FCD7"/>
    <w:rsid w:val="4FE47D8A"/>
    <w:rsid w:val="4FEAB95C"/>
    <w:rsid w:val="4FF4A71B"/>
    <w:rsid w:val="4FFD04F3"/>
    <w:rsid w:val="502B9367"/>
    <w:rsid w:val="50C2E776"/>
    <w:rsid w:val="5140B94D"/>
    <w:rsid w:val="515365DC"/>
    <w:rsid w:val="5197C427"/>
    <w:rsid w:val="51FB7BA1"/>
    <w:rsid w:val="523FD202"/>
    <w:rsid w:val="52799485"/>
    <w:rsid w:val="52BCA7D3"/>
    <w:rsid w:val="5327F0F2"/>
    <w:rsid w:val="532A4E62"/>
    <w:rsid w:val="53489ED5"/>
    <w:rsid w:val="53D13735"/>
    <w:rsid w:val="53E38FE9"/>
    <w:rsid w:val="54223333"/>
    <w:rsid w:val="5449AC7D"/>
    <w:rsid w:val="545A9F17"/>
    <w:rsid w:val="5498EDAA"/>
    <w:rsid w:val="54A39DD6"/>
    <w:rsid w:val="54BE2A7F"/>
    <w:rsid w:val="54D527CD"/>
    <w:rsid w:val="55216ED0"/>
    <w:rsid w:val="553F2F9D"/>
    <w:rsid w:val="557772C4"/>
    <w:rsid w:val="559D91E8"/>
    <w:rsid w:val="55A02085"/>
    <w:rsid w:val="55BAA2DE"/>
    <w:rsid w:val="55C30786"/>
    <w:rsid w:val="55CD53A2"/>
    <w:rsid w:val="566B35B7"/>
    <w:rsid w:val="56A1E228"/>
    <w:rsid w:val="56B9DC98"/>
    <w:rsid w:val="56CBCE8E"/>
    <w:rsid w:val="56F4FAEF"/>
    <w:rsid w:val="57460916"/>
    <w:rsid w:val="57912559"/>
    <w:rsid w:val="57AB443F"/>
    <w:rsid w:val="57B744F5"/>
    <w:rsid w:val="58071E61"/>
    <w:rsid w:val="58181944"/>
    <w:rsid w:val="5848351D"/>
    <w:rsid w:val="58512DFE"/>
    <w:rsid w:val="5861C9BF"/>
    <w:rsid w:val="5876D05F"/>
    <w:rsid w:val="58C9D19E"/>
    <w:rsid w:val="58CB10B6"/>
    <w:rsid w:val="58CC0AEC"/>
    <w:rsid w:val="58DB0567"/>
    <w:rsid w:val="5901498B"/>
    <w:rsid w:val="5917C8F4"/>
    <w:rsid w:val="59774293"/>
    <w:rsid w:val="59E47F96"/>
    <w:rsid w:val="5A18B27C"/>
    <w:rsid w:val="5A2D44B8"/>
    <w:rsid w:val="5A41A99A"/>
    <w:rsid w:val="5A5D0EB7"/>
    <w:rsid w:val="5A803329"/>
    <w:rsid w:val="5A8A5DF1"/>
    <w:rsid w:val="5ABDD3F4"/>
    <w:rsid w:val="5AC2B828"/>
    <w:rsid w:val="5AE138AE"/>
    <w:rsid w:val="5B0C5013"/>
    <w:rsid w:val="5B2D6C03"/>
    <w:rsid w:val="5B575958"/>
    <w:rsid w:val="5B89D7C5"/>
    <w:rsid w:val="5C036569"/>
    <w:rsid w:val="5C27D746"/>
    <w:rsid w:val="5C38A1FE"/>
    <w:rsid w:val="5C961757"/>
    <w:rsid w:val="5CC2B032"/>
    <w:rsid w:val="5CDBE22C"/>
    <w:rsid w:val="5D08DC86"/>
    <w:rsid w:val="5D1BE0ED"/>
    <w:rsid w:val="5D9FA7AD"/>
    <w:rsid w:val="5DB55F7F"/>
    <w:rsid w:val="5E1278E2"/>
    <w:rsid w:val="5E28CC3D"/>
    <w:rsid w:val="5E4C75DE"/>
    <w:rsid w:val="5E650CC5"/>
    <w:rsid w:val="5EEF3E87"/>
    <w:rsid w:val="5F1E550A"/>
    <w:rsid w:val="5F2BDC14"/>
    <w:rsid w:val="5F44C644"/>
    <w:rsid w:val="5FD1C709"/>
    <w:rsid w:val="602518B9"/>
    <w:rsid w:val="60690DE8"/>
    <w:rsid w:val="60915CC1"/>
    <w:rsid w:val="60F79C96"/>
    <w:rsid w:val="61198F52"/>
    <w:rsid w:val="6127650F"/>
    <w:rsid w:val="61647A8E"/>
    <w:rsid w:val="6164AD5F"/>
    <w:rsid w:val="619BB2B1"/>
    <w:rsid w:val="61A0BAA9"/>
    <w:rsid w:val="61C4B26E"/>
    <w:rsid w:val="61CD3F70"/>
    <w:rsid w:val="61DAF7EE"/>
    <w:rsid w:val="62233C67"/>
    <w:rsid w:val="626C269E"/>
    <w:rsid w:val="628449D3"/>
    <w:rsid w:val="629E9536"/>
    <w:rsid w:val="62B48A4F"/>
    <w:rsid w:val="62BDE6B5"/>
    <w:rsid w:val="62DFF4D5"/>
    <w:rsid w:val="62F0EB52"/>
    <w:rsid w:val="6314BCD6"/>
    <w:rsid w:val="6331276D"/>
    <w:rsid w:val="637AF772"/>
    <w:rsid w:val="638B2B07"/>
    <w:rsid w:val="63A0F111"/>
    <w:rsid w:val="6403134D"/>
    <w:rsid w:val="6448E8A9"/>
    <w:rsid w:val="644D2285"/>
    <w:rsid w:val="64C2D5A4"/>
    <w:rsid w:val="64CD0A49"/>
    <w:rsid w:val="64D44E49"/>
    <w:rsid w:val="65962A72"/>
    <w:rsid w:val="65A83905"/>
    <w:rsid w:val="65C0C1F3"/>
    <w:rsid w:val="65ED05BF"/>
    <w:rsid w:val="6615FF4A"/>
    <w:rsid w:val="66380507"/>
    <w:rsid w:val="66706308"/>
    <w:rsid w:val="6682B9C4"/>
    <w:rsid w:val="66CAC70C"/>
    <w:rsid w:val="6732C263"/>
    <w:rsid w:val="6734202C"/>
    <w:rsid w:val="676BA24A"/>
    <w:rsid w:val="676E7992"/>
    <w:rsid w:val="6770FDF7"/>
    <w:rsid w:val="67BADC2E"/>
    <w:rsid w:val="68127AE9"/>
    <w:rsid w:val="685CE611"/>
    <w:rsid w:val="686839BC"/>
    <w:rsid w:val="68694AA2"/>
    <w:rsid w:val="687BB952"/>
    <w:rsid w:val="68AE7EE1"/>
    <w:rsid w:val="68DB6993"/>
    <w:rsid w:val="68EAE037"/>
    <w:rsid w:val="68EEECE1"/>
    <w:rsid w:val="68F7C478"/>
    <w:rsid w:val="68FAD0C6"/>
    <w:rsid w:val="691CFC2A"/>
    <w:rsid w:val="69468B39"/>
    <w:rsid w:val="695A40EF"/>
    <w:rsid w:val="6A65845B"/>
    <w:rsid w:val="6ACCC015"/>
    <w:rsid w:val="6AD55C72"/>
    <w:rsid w:val="6ADC70F2"/>
    <w:rsid w:val="6B1594C4"/>
    <w:rsid w:val="6B5132EB"/>
    <w:rsid w:val="6B71C20A"/>
    <w:rsid w:val="6B88C2BD"/>
    <w:rsid w:val="6B9FC7EE"/>
    <w:rsid w:val="6BBE83D2"/>
    <w:rsid w:val="6C241A8C"/>
    <w:rsid w:val="6C385FF2"/>
    <w:rsid w:val="6C3C34E4"/>
    <w:rsid w:val="6C42E7C6"/>
    <w:rsid w:val="6C9E1E30"/>
    <w:rsid w:val="6CAC5529"/>
    <w:rsid w:val="6CE18288"/>
    <w:rsid w:val="6D3998A5"/>
    <w:rsid w:val="6D79ABBF"/>
    <w:rsid w:val="6D9C78A4"/>
    <w:rsid w:val="6DE03F7B"/>
    <w:rsid w:val="6E14A1DF"/>
    <w:rsid w:val="6E286C5A"/>
    <w:rsid w:val="6E34354C"/>
    <w:rsid w:val="6E5A7854"/>
    <w:rsid w:val="6E808817"/>
    <w:rsid w:val="6EBF04AB"/>
    <w:rsid w:val="6EEFE39E"/>
    <w:rsid w:val="6F086D0C"/>
    <w:rsid w:val="6F12CC07"/>
    <w:rsid w:val="6F138240"/>
    <w:rsid w:val="6F21E6BF"/>
    <w:rsid w:val="6F504D8D"/>
    <w:rsid w:val="6FAC6125"/>
    <w:rsid w:val="6FE8E68C"/>
    <w:rsid w:val="6FF9B4D9"/>
    <w:rsid w:val="70374B0C"/>
    <w:rsid w:val="70B754A4"/>
    <w:rsid w:val="70DDB5A5"/>
    <w:rsid w:val="70FB7DA7"/>
    <w:rsid w:val="71080754"/>
    <w:rsid w:val="7153AACB"/>
    <w:rsid w:val="718B620D"/>
    <w:rsid w:val="71F69950"/>
    <w:rsid w:val="72120867"/>
    <w:rsid w:val="723C22B8"/>
    <w:rsid w:val="7248A2CA"/>
    <w:rsid w:val="724E1564"/>
    <w:rsid w:val="72F62C36"/>
    <w:rsid w:val="73B6409D"/>
    <w:rsid w:val="73FA19AF"/>
    <w:rsid w:val="741008D0"/>
    <w:rsid w:val="74372F2E"/>
    <w:rsid w:val="744264A5"/>
    <w:rsid w:val="7448706F"/>
    <w:rsid w:val="7485F966"/>
    <w:rsid w:val="74880B5D"/>
    <w:rsid w:val="748E51F9"/>
    <w:rsid w:val="74EA7213"/>
    <w:rsid w:val="75BE0CA8"/>
    <w:rsid w:val="76014599"/>
    <w:rsid w:val="76064485"/>
    <w:rsid w:val="764C0703"/>
    <w:rsid w:val="7667582E"/>
    <w:rsid w:val="769D3F3F"/>
    <w:rsid w:val="76A852F8"/>
    <w:rsid w:val="76ABEA4C"/>
    <w:rsid w:val="76D716E2"/>
    <w:rsid w:val="77064A92"/>
    <w:rsid w:val="776B1ADF"/>
    <w:rsid w:val="777217E1"/>
    <w:rsid w:val="7788C6D1"/>
    <w:rsid w:val="778A7CB4"/>
    <w:rsid w:val="7791C17D"/>
    <w:rsid w:val="779DCDCD"/>
    <w:rsid w:val="77CC24F3"/>
    <w:rsid w:val="77DB5758"/>
    <w:rsid w:val="780A4AD1"/>
    <w:rsid w:val="78246810"/>
    <w:rsid w:val="783486C7"/>
    <w:rsid w:val="786E0C3E"/>
    <w:rsid w:val="78C669C2"/>
    <w:rsid w:val="78E96B46"/>
    <w:rsid w:val="78FA70C6"/>
    <w:rsid w:val="791CB6A7"/>
    <w:rsid w:val="795C0CBA"/>
    <w:rsid w:val="795C0CE9"/>
    <w:rsid w:val="79953055"/>
    <w:rsid w:val="79A09DD8"/>
    <w:rsid w:val="79A22D4C"/>
    <w:rsid w:val="79D70B93"/>
    <w:rsid w:val="7A28B3FD"/>
    <w:rsid w:val="7A366DBF"/>
    <w:rsid w:val="7A36FE05"/>
    <w:rsid w:val="7A66C518"/>
    <w:rsid w:val="7A951E79"/>
    <w:rsid w:val="7A981F1D"/>
    <w:rsid w:val="7AAFAC83"/>
    <w:rsid w:val="7AF4E85D"/>
    <w:rsid w:val="7B184A56"/>
    <w:rsid w:val="7B29C7B0"/>
    <w:rsid w:val="7B75BA26"/>
    <w:rsid w:val="7BB7D7F1"/>
    <w:rsid w:val="7C67EA1C"/>
    <w:rsid w:val="7C7E96D6"/>
    <w:rsid w:val="7C9EC0B2"/>
    <w:rsid w:val="7CA9815C"/>
    <w:rsid w:val="7CC9C87E"/>
    <w:rsid w:val="7CE14185"/>
    <w:rsid w:val="7CF15495"/>
    <w:rsid w:val="7D26EBD8"/>
    <w:rsid w:val="7D427FC4"/>
    <w:rsid w:val="7D4C25E2"/>
    <w:rsid w:val="7D7E4D11"/>
    <w:rsid w:val="7DFA81C2"/>
    <w:rsid w:val="7E19DAD6"/>
    <w:rsid w:val="7E227896"/>
    <w:rsid w:val="7E440AD0"/>
    <w:rsid w:val="7E6EE8AC"/>
    <w:rsid w:val="7E874DD2"/>
    <w:rsid w:val="7EA542D4"/>
    <w:rsid w:val="7F0AF10B"/>
    <w:rsid w:val="7FB3A364"/>
    <w:rsid w:val="7FCB4B02"/>
    <w:rsid w:val="7FE4B309"/>
    <w:rsid w:val="7FF3E327"/>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FCC85"/>
  <w15:chartTrackingRefBased/>
  <w15:docId w15:val="{968F57D5-C0BD-40ED-AC7A-F8D1AD4C1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2736F"/>
    <w:pPr>
      <w:keepNext/>
      <w:keepLines/>
      <w:spacing w:before="240" w:after="0"/>
      <w:jc w:val="both"/>
      <w:outlineLvl w:val="0"/>
    </w:pPr>
    <w:rPr>
      <w:rFonts w:asciiTheme="majorHAnsi" w:eastAsiaTheme="majorEastAsia" w:hAnsiTheme="majorHAnsi" w:cstheme="majorBidi"/>
      <w:color w:val="2F5496" w:themeColor="accent1" w:themeShade="BF"/>
      <w:sz w:val="28"/>
      <w:szCs w:val="32"/>
      <w:lang w:eastAsia="en-US"/>
    </w:rPr>
  </w:style>
  <w:style w:type="paragraph" w:styleId="Heading2">
    <w:name w:val="heading 2"/>
    <w:basedOn w:val="Normal"/>
    <w:next w:val="Normal"/>
    <w:link w:val="Heading2Char"/>
    <w:uiPriority w:val="9"/>
    <w:unhideWhenUsed/>
    <w:qFormat/>
    <w:rsid w:val="0016450D"/>
    <w:pPr>
      <w:keepNext/>
      <w:keepLines/>
      <w:spacing w:before="40" w:after="0"/>
      <w:jc w:val="both"/>
      <w:outlineLvl w:val="1"/>
    </w:pPr>
    <w:rPr>
      <w:rFonts w:asciiTheme="majorHAnsi" w:eastAsiaTheme="majorEastAsia" w:hAnsiTheme="majorHAnsi" w:cstheme="majorBidi"/>
      <w:color w:val="2F5496" w:themeColor="accent1" w:themeShade="BF"/>
      <w:sz w:val="26"/>
      <w:szCs w:val="26"/>
      <w:lang w:eastAsia="en-US"/>
    </w:rPr>
  </w:style>
  <w:style w:type="paragraph" w:styleId="Heading3">
    <w:name w:val="heading 3"/>
    <w:basedOn w:val="Normal"/>
    <w:next w:val="Normal"/>
    <w:link w:val="Heading3Char"/>
    <w:uiPriority w:val="9"/>
    <w:unhideWhenUsed/>
    <w:qFormat/>
    <w:rsid w:val="003622E5"/>
    <w:pPr>
      <w:keepNext/>
      <w:keepLines/>
      <w:spacing w:before="40" w:after="0"/>
      <w:jc w:val="both"/>
      <w:outlineLvl w:val="2"/>
    </w:pPr>
    <w:rPr>
      <w:rFonts w:asciiTheme="majorHAnsi" w:eastAsiaTheme="majorEastAsia" w:hAnsiTheme="majorHAnsi" w:cstheme="majorBidi"/>
      <w:color w:val="1F3763" w:themeColor="accent1" w:themeShade="7F"/>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C702C"/>
    <w:pPr>
      <w:spacing w:after="0" w:line="240" w:lineRule="auto"/>
      <w:contextualSpacing/>
      <w:jc w:val="both"/>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uiPriority w:val="10"/>
    <w:rsid w:val="002C702C"/>
    <w:rPr>
      <w:rFonts w:asciiTheme="majorHAnsi" w:eastAsiaTheme="majorEastAsia" w:hAnsiTheme="majorHAnsi" w:cstheme="majorBidi"/>
      <w:spacing w:val="-10"/>
      <w:kern w:val="28"/>
      <w:sz w:val="56"/>
      <w:szCs w:val="56"/>
      <w:lang w:eastAsia="en-US"/>
    </w:rPr>
  </w:style>
  <w:style w:type="character" w:customStyle="1" w:styleId="Heading1Char">
    <w:name w:val="Heading 1 Char"/>
    <w:basedOn w:val="DefaultParagraphFont"/>
    <w:link w:val="Heading1"/>
    <w:uiPriority w:val="9"/>
    <w:rsid w:val="0052736F"/>
    <w:rPr>
      <w:rFonts w:asciiTheme="majorHAnsi" w:eastAsiaTheme="majorEastAsia" w:hAnsiTheme="majorHAnsi" w:cstheme="majorBidi"/>
      <w:color w:val="2F5496" w:themeColor="accent1" w:themeShade="BF"/>
      <w:sz w:val="28"/>
      <w:szCs w:val="32"/>
      <w:lang w:eastAsia="en-US"/>
    </w:rPr>
  </w:style>
  <w:style w:type="paragraph" w:styleId="ListParagraph">
    <w:name w:val="List Paragraph"/>
    <w:basedOn w:val="Normal"/>
    <w:uiPriority w:val="34"/>
    <w:qFormat/>
    <w:rsid w:val="00310385"/>
    <w:pPr>
      <w:ind w:left="720"/>
      <w:contextualSpacing/>
      <w:jc w:val="both"/>
    </w:pPr>
    <w:rPr>
      <w:rFonts w:eastAsiaTheme="minorHAnsi"/>
      <w:lang w:eastAsia="en-US"/>
    </w:rPr>
  </w:style>
  <w:style w:type="table" w:styleId="TableGrid">
    <w:name w:val="Table Grid"/>
    <w:basedOn w:val="TableNormal"/>
    <w:uiPriority w:val="39"/>
    <w:rsid w:val="00310385"/>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16450D"/>
    <w:rPr>
      <w:rFonts w:asciiTheme="majorHAnsi" w:eastAsiaTheme="majorEastAsia" w:hAnsiTheme="majorHAnsi" w:cstheme="majorBidi"/>
      <w:color w:val="2F5496" w:themeColor="accent1" w:themeShade="BF"/>
      <w:sz w:val="26"/>
      <w:szCs w:val="26"/>
      <w:lang w:eastAsia="en-US"/>
    </w:rPr>
  </w:style>
  <w:style w:type="character" w:customStyle="1" w:styleId="Heading3Char">
    <w:name w:val="Heading 3 Char"/>
    <w:basedOn w:val="DefaultParagraphFont"/>
    <w:link w:val="Heading3"/>
    <w:uiPriority w:val="9"/>
    <w:rsid w:val="003622E5"/>
    <w:rPr>
      <w:rFonts w:asciiTheme="majorHAnsi" w:eastAsiaTheme="majorEastAsia" w:hAnsiTheme="majorHAnsi" w:cstheme="majorBidi"/>
      <w:color w:val="1F3763" w:themeColor="accent1" w:themeShade="7F"/>
      <w:sz w:val="24"/>
      <w:szCs w:val="24"/>
      <w:lang w:eastAsia="en-US"/>
    </w:rPr>
  </w:style>
  <w:style w:type="character" w:styleId="CommentReference">
    <w:name w:val="annotation reference"/>
    <w:basedOn w:val="DefaultParagraphFont"/>
    <w:uiPriority w:val="99"/>
    <w:semiHidden/>
    <w:unhideWhenUsed/>
    <w:rsid w:val="00EC653B"/>
    <w:rPr>
      <w:sz w:val="16"/>
      <w:szCs w:val="16"/>
    </w:rPr>
  </w:style>
  <w:style w:type="paragraph" w:styleId="CommentText">
    <w:name w:val="annotation text"/>
    <w:basedOn w:val="Normal"/>
    <w:link w:val="CommentTextChar"/>
    <w:uiPriority w:val="99"/>
    <w:unhideWhenUsed/>
    <w:rsid w:val="00EC653B"/>
    <w:pPr>
      <w:spacing w:line="240" w:lineRule="auto"/>
    </w:pPr>
    <w:rPr>
      <w:sz w:val="20"/>
      <w:szCs w:val="20"/>
    </w:rPr>
  </w:style>
  <w:style w:type="character" w:customStyle="1" w:styleId="CommentTextChar">
    <w:name w:val="Comment Text Char"/>
    <w:basedOn w:val="DefaultParagraphFont"/>
    <w:link w:val="CommentText"/>
    <w:uiPriority w:val="99"/>
    <w:rsid w:val="00EC653B"/>
    <w:rPr>
      <w:sz w:val="20"/>
      <w:szCs w:val="20"/>
    </w:rPr>
  </w:style>
  <w:style w:type="paragraph" w:styleId="CommentSubject">
    <w:name w:val="annotation subject"/>
    <w:basedOn w:val="CommentText"/>
    <w:next w:val="CommentText"/>
    <w:link w:val="CommentSubjectChar"/>
    <w:uiPriority w:val="99"/>
    <w:semiHidden/>
    <w:unhideWhenUsed/>
    <w:rsid w:val="00EC653B"/>
    <w:rPr>
      <w:b/>
      <w:bCs/>
    </w:rPr>
  </w:style>
  <w:style w:type="character" w:customStyle="1" w:styleId="CommentSubjectChar">
    <w:name w:val="Comment Subject Char"/>
    <w:basedOn w:val="CommentTextChar"/>
    <w:link w:val="CommentSubject"/>
    <w:uiPriority w:val="99"/>
    <w:semiHidden/>
    <w:rsid w:val="00EC653B"/>
    <w:rPr>
      <w:b/>
      <w:bCs/>
      <w:sz w:val="20"/>
      <w:szCs w:val="20"/>
    </w:rPr>
  </w:style>
  <w:style w:type="paragraph" w:styleId="BalloonText">
    <w:name w:val="Balloon Text"/>
    <w:basedOn w:val="Normal"/>
    <w:link w:val="BalloonTextChar"/>
    <w:uiPriority w:val="99"/>
    <w:semiHidden/>
    <w:unhideWhenUsed/>
    <w:rsid w:val="00EC65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653B"/>
    <w:rPr>
      <w:rFonts w:ascii="Segoe UI" w:hAnsi="Segoe UI" w:cs="Segoe UI"/>
      <w:sz w:val="18"/>
      <w:szCs w:val="18"/>
    </w:rPr>
  </w:style>
  <w:style w:type="paragraph" w:styleId="BodyText">
    <w:name w:val="Body Text"/>
    <w:basedOn w:val="Normal"/>
    <w:link w:val="BodyTextChar"/>
    <w:uiPriority w:val="1"/>
    <w:qFormat/>
    <w:rsid w:val="00AF5524"/>
    <w:pPr>
      <w:widowControl w:val="0"/>
      <w:autoSpaceDE w:val="0"/>
      <w:autoSpaceDN w:val="0"/>
      <w:spacing w:after="0" w:line="240" w:lineRule="auto"/>
    </w:pPr>
    <w:rPr>
      <w:rFonts w:ascii="Calibri" w:eastAsia="Calibri" w:hAnsi="Calibri" w:cs="Calibri"/>
    </w:rPr>
  </w:style>
  <w:style w:type="character" w:customStyle="1" w:styleId="BodyTextChar">
    <w:name w:val="Body Text Char"/>
    <w:basedOn w:val="DefaultParagraphFont"/>
    <w:link w:val="BodyText"/>
    <w:uiPriority w:val="1"/>
    <w:rsid w:val="00AF5524"/>
    <w:rPr>
      <w:rFonts w:ascii="Calibri" w:eastAsia="Calibri" w:hAnsi="Calibri" w:cs="Calibri"/>
    </w:rPr>
  </w:style>
  <w:style w:type="paragraph" w:styleId="Header">
    <w:name w:val="header"/>
    <w:basedOn w:val="Normal"/>
    <w:link w:val="HeaderChar"/>
    <w:uiPriority w:val="99"/>
    <w:unhideWhenUsed/>
    <w:rsid w:val="0028505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5052"/>
  </w:style>
  <w:style w:type="paragraph" w:styleId="Footer">
    <w:name w:val="footer"/>
    <w:basedOn w:val="Normal"/>
    <w:link w:val="FooterChar"/>
    <w:uiPriority w:val="99"/>
    <w:unhideWhenUsed/>
    <w:rsid w:val="002850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5052"/>
  </w:style>
  <w:style w:type="character" w:customStyle="1" w:styleId="il">
    <w:name w:val="il"/>
    <w:basedOn w:val="DefaultParagraphFont"/>
    <w:rsid w:val="00EE6934"/>
  </w:style>
  <w:style w:type="paragraph" w:customStyle="1" w:styleId="Default">
    <w:name w:val="Default"/>
    <w:rsid w:val="009C1C21"/>
    <w:pPr>
      <w:autoSpaceDE w:val="0"/>
      <w:autoSpaceDN w:val="0"/>
      <w:adjustRightInd w:val="0"/>
      <w:spacing w:after="0" w:line="240" w:lineRule="auto"/>
    </w:pPr>
    <w:rPr>
      <w:rFonts w:ascii="Times New Roman" w:hAnsi="Times New Roman" w:cs="Times New Roman"/>
      <w:color w:val="000000"/>
      <w:sz w:val="24"/>
      <w:szCs w:val="24"/>
    </w:rPr>
  </w:style>
  <w:style w:type="character" w:styleId="FootnoteReference">
    <w:name w:val="footnote reference"/>
    <w:basedOn w:val="DefaultParagraphFont"/>
    <w:uiPriority w:val="99"/>
    <w:semiHidden/>
    <w:unhideWhenUsed/>
    <w:rPr>
      <w:vertAlign w:val="superscript"/>
    </w:rPr>
  </w:style>
  <w:style w:type="character" w:customStyle="1" w:styleId="FootnoteTextChar">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pPr>
      <w:spacing w:after="0" w:line="240" w:lineRule="auto"/>
    </w:pPr>
    <w:rPr>
      <w:sz w:val="20"/>
      <w:szCs w:val="20"/>
    </w:rPr>
  </w:style>
  <w:style w:type="paragraph" w:styleId="TOCHeading">
    <w:name w:val="TOC Heading"/>
    <w:basedOn w:val="Heading1"/>
    <w:next w:val="Normal"/>
    <w:uiPriority w:val="39"/>
    <w:unhideWhenUsed/>
    <w:qFormat/>
    <w:rsid w:val="000F0F37"/>
    <w:pPr>
      <w:jc w:val="left"/>
      <w:outlineLvl w:val="9"/>
    </w:pPr>
    <w:rPr>
      <w:sz w:val="32"/>
    </w:rPr>
  </w:style>
  <w:style w:type="paragraph" w:styleId="TOC1">
    <w:name w:val="toc 1"/>
    <w:basedOn w:val="Normal"/>
    <w:next w:val="Normal"/>
    <w:autoRedefine/>
    <w:uiPriority w:val="39"/>
    <w:unhideWhenUsed/>
    <w:rsid w:val="000F0F37"/>
    <w:pPr>
      <w:spacing w:after="100"/>
    </w:pPr>
  </w:style>
  <w:style w:type="paragraph" w:styleId="TOC2">
    <w:name w:val="toc 2"/>
    <w:basedOn w:val="Normal"/>
    <w:next w:val="Normal"/>
    <w:autoRedefine/>
    <w:uiPriority w:val="39"/>
    <w:unhideWhenUsed/>
    <w:rsid w:val="00C23293"/>
    <w:pPr>
      <w:tabs>
        <w:tab w:val="right" w:leader="dot" w:pos="9350"/>
      </w:tabs>
      <w:spacing w:after="100"/>
      <w:ind w:left="220"/>
    </w:pPr>
  </w:style>
  <w:style w:type="paragraph" w:styleId="TOC3">
    <w:name w:val="toc 3"/>
    <w:basedOn w:val="Normal"/>
    <w:next w:val="Normal"/>
    <w:autoRedefine/>
    <w:uiPriority w:val="39"/>
    <w:unhideWhenUsed/>
    <w:rsid w:val="00E07BCA"/>
    <w:pPr>
      <w:tabs>
        <w:tab w:val="right" w:leader="dot" w:pos="9350"/>
      </w:tabs>
      <w:spacing w:after="100"/>
      <w:ind w:left="440"/>
    </w:pPr>
  </w:style>
  <w:style w:type="character" w:styleId="Hyperlink">
    <w:name w:val="Hyperlink"/>
    <w:basedOn w:val="DefaultParagraphFont"/>
    <w:uiPriority w:val="99"/>
    <w:unhideWhenUsed/>
    <w:rsid w:val="000F0F37"/>
    <w:rPr>
      <w:color w:val="0563C1" w:themeColor="hyperlink"/>
      <w:u w:val="single"/>
    </w:rPr>
  </w:style>
  <w:style w:type="paragraph" w:styleId="Caption">
    <w:name w:val="caption"/>
    <w:basedOn w:val="Normal"/>
    <w:next w:val="Normal"/>
    <w:uiPriority w:val="35"/>
    <w:unhideWhenUsed/>
    <w:qFormat/>
    <w:rsid w:val="00BB48CE"/>
    <w:pPr>
      <w:spacing w:after="200" w:line="240" w:lineRule="auto"/>
    </w:pPr>
    <w:rPr>
      <w:i/>
      <w:iCs/>
      <w:color w:val="44546A" w:themeColor="text2"/>
      <w:sz w:val="18"/>
      <w:szCs w:val="18"/>
    </w:rPr>
  </w:style>
  <w:style w:type="character" w:styleId="Strong">
    <w:name w:val="Strong"/>
    <w:basedOn w:val="DefaultParagraphFont"/>
    <w:uiPriority w:val="22"/>
    <w:qFormat/>
    <w:rsid w:val="00DC5BED"/>
    <w:rPr>
      <w:b/>
      <w:bCs/>
    </w:rPr>
  </w:style>
  <w:style w:type="character" w:styleId="UnresolvedMention">
    <w:name w:val="Unresolved Mention"/>
    <w:basedOn w:val="DefaultParagraphFont"/>
    <w:uiPriority w:val="99"/>
    <w:semiHidden/>
    <w:unhideWhenUsed/>
    <w:rsid w:val="00BE7801"/>
    <w:rPr>
      <w:color w:val="605E5C"/>
      <w:shd w:val="clear" w:color="auto" w:fill="E1DFDD"/>
    </w:rPr>
  </w:style>
  <w:style w:type="paragraph" w:styleId="NormalWeb">
    <w:name w:val="Normal (Web)"/>
    <w:basedOn w:val="Normal"/>
    <w:uiPriority w:val="99"/>
    <w:semiHidden/>
    <w:unhideWhenUsed/>
    <w:rsid w:val="00BE7801"/>
    <w:rPr>
      <w:rFonts w:ascii="Times New Roman" w:hAnsi="Times New Roman" w:cs="Times New Roman"/>
      <w:sz w:val="24"/>
      <w:szCs w:val="24"/>
    </w:rPr>
  </w:style>
  <w:style w:type="paragraph" w:styleId="Revision">
    <w:name w:val="Revision"/>
    <w:hidden/>
    <w:uiPriority w:val="99"/>
    <w:semiHidden/>
    <w:rsid w:val="009D1E03"/>
    <w:pPr>
      <w:spacing w:after="0" w:line="240" w:lineRule="auto"/>
    </w:pPr>
  </w:style>
  <w:style w:type="character" w:styleId="FollowedHyperlink">
    <w:name w:val="FollowedHyperlink"/>
    <w:basedOn w:val="DefaultParagraphFont"/>
    <w:uiPriority w:val="99"/>
    <w:semiHidden/>
    <w:unhideWhenUsed/>
    <w:rsid w:val="00FB41D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664799">
      <w:bodyDiv w:val="1"/>
      <w:marLeft w:val="0"/>
      <w:marRight w:val="0"/>
      <w:marTop w:val="0"/>
      <w:marBottom w:val="0"/>
      <w:divBdr>
        <w:top w:val="none" w:sz="0" w:space="0" w:color="auto"/>
        <w:left w:val="none" w:sz="0" w:space="0" w:color="auto"/>
        <w:bottom w:val="none" w:sz="0" w:space="0" w:color="auto"/>
        <w:right w:val="none" w:sz="0" w:space="0" w:color="auto"/>
      </w:divBdr>
      <w:divsChild>
        <w:div w:id="374737827">
          <w:marLeft w:val="0"/>
          <w:marRight w:val="0"/>
          <w:marTop w:val="0"/>
          <w:marBottom w:val="0"/>
          <w:divBdr>
            <w:top w:val="none" w:sz="0" w:space="0" w:color="auto"/>
            <w:left w:val="none" w:sz="0" w:space="0" w:color="auto"/>
            <w:bottom w:val="none" w:sz="0" w:space="0" w:color="auto"/>
            <w:right w:val="none" w:sz="0" w:space="0" w:color="auto"/>
          </w:divBdr>
        </w:div>
      </w:divsChild>
    </w:div>
    <w:div w:id="197550551">
      <w:bodyDiv w:val="1"/>
      <w:marLeft w:val="0"/>
      <w:marRight w:val="0"/>
      <w:marTop w:val="0"/>
      <w:marBottom w:val="0"/>
      <w:divBdr>
        <w:top w:val="none" w:sz="0" w:space="0" w:color="auto"/>
        <w:left w:val="none" w:sz="0" w:space="0" w:color="auto"/>
        <w:bottom w:val="none" w:sz="0" w:space="0" w:color="auto"/>
        <w:right w:val="none" w:sz="0" w:space="0" w:color="auto"/>
      </w:divBdr>
      <w:divsChild>
        <w:div w:id="1532063935">
          <w:marLeft w:val="0"/>
          <w:marRight w:val="0"/>
          <w:marTop w:val="0"/>
          <w:marBottom w:val="0"/>
          <w:divBdr>
            <w:top w:val="none" w:sz="0" w:space="0" w:color="auto"/>
            <w:left w:val="none" w:sz="0" w:space="0" w:color="auto"/>
            <w:bottom w:val="none" w:sz="0" w:space="0" w:color="auto"/>
            <w:right w:val="none" w:sz="0" w:space="0" w:color="auto"/>
          </w:divBdr>
        </w:div>
      </w:divsChild>
    </w:div>
    <w:div w:id="304091353">
      <w:bodyDiv w:val="1"/>
      <w:marLeft w:val="0"/>
      <w:marRight w:val="0"/>
      <w:marTop w:val="0"/>
      <w:marBottom w:val="0"/>
      <w:divBdr>
        <w:top w:val="none" w:sz="0" w:space="0" w:color="auto"/>
        <w:left w:val="none" w:sz="0" w:space="0" w:color="auto"/>
        <w:bottom w:val="none" w:sz="0" w:space="0" w:color="auto"/>
        <w:right w:val="none" w:sz="0" w:space="0" w:color="auto"/>
      </w:divBdr>
    </w:div>
    <w:div w:id="331376618">
      <w:bodyDiv w:val="1"/>
      <w:marLeft w:val="0"/>
      <w:marRight w:val="0"/>
      <w:marTop w:val="0"/>
      <w:marBottom w:val="0"/>
      <w:divBdr>
        <w:top w:val="none" w:sz="0" w:space="0" w:color="auto"/>
        <w:left w:val="none" w:sz="0" w:space="0" w:color="auto"/>
        <w:bottom w:val="none" w:sz="0" w:space="0" w:color="auto"/>
        <w:right w:val="none" w:sz="0" w:space="0" w:color="auto"/>
      </w:divBdr>
      <w:divsChild>
        <w:div w:id="1727145226">
          <w:marLeft w:val="0"/>
          <w:marRight w:val="0"/>
          <w:marTop w:val="0"/>
          <w:marBottom w:val="0"/>
          <w:divBdr>
            <w:top w:val="none" w:sz="0" w:space="0" w:color="auto"/>
            <w:left w:val="none" w:sz="0" w:space="0" w:color="auto"/>
            <w:bottom w:val="none" w:sz="0" w:space="0" w:color="auto"/>
            <w:right w:val="none" w:sz="0" w:space="0" w:color="auto"/>
          </w:divBdr>
        </w:div>
      </w:divsChild>
    </w:div>
    <w:div w:id="573123698">
      <w:bodyDiv w:val="1"/>
      <w:marLeft w:val="0"/>
      <w:marRight w:val="0"/>
      <w:marTop w:val="0"/>
      <w:marBottom w:val="0"/>
      <w:divBdr>
        <w:top w:val="none" w:sz="0" w:space="0" w:color="auto"/>
        <w:left w:val="none" w:sz="0" w:space="0" w:color="auto"/>
        <w:bottom w:val="none" w:sz="0" w:space="0" w:color="auto"/>
        <w:right w:val="none" w:sz="0" w:space="0" w:color="auto"/>
      </w:divBdr>
      <w:divsChild>
        <w:div w:id="1405831170">
          <w:marLeft w:val="0"/>
          <w:marRight w:val="0"/>
          <w:marTop w:val="0"/>
          <w:marBottom w:val="0"/>
          <w:divBdr>
            <w:top w:val="none" w:sz="0" w:space="0" w:color="auto"/>
            <w:left w:val="none" w:sz="0" w:space="0" w:color="auto"/>
            <w:bottom w:val="none" w:sz="0" w:space="0" w:color="auto"/>
            <w:right w:val="none" w:sz="0" w:space="0" w:color="auto"/>
          </w:divBdr>
        </w:div>
      </w:divsChild>
    </w:div>
    <w:div w:id="588660721">
      <w:bodyDiv w:val="1"/>
      <w:marLeft w:val="0"/>
      <w:marRight w:val="0"/>
      <w:marTop w:val="0"/>
      <w:marBottom w:val="0"/>
      <w:divBdr>
        <w:top w:val="none" w:sz="0" w:space="0" w:color="auto"/>
        <w:left w:val="none" w:sz="0" w:space="0" w:color="auto"/>
        <w:bottom w:val="none" w:sz="0" w:space="0" w:color="auto"/>
        <w:right w:val="none" w:sz="0" w:space="0" w:color="auto"/>
      </w:divBdr>
    </w:div>
    <w:div w:id="600529633">
      <w:bodyDiv w:val="1"/>
      <w:marLeft w:val="0"/>
      <w:marRight w:val="0"/>
      <w:marTop w:val="0"/>
      <w:marBottom w:val="0"/>
      <w:divBdr>
        <w:top w:val="none" w:sz="0" w:space="0" w:color="auto"/>
        <w:left w:val="none" w:sz="0" w:space="0" w:color="auto"/>
        <w:bottom w:val="none" w:sz="0" w:space="0" w:color="auto"/>
        <w:right w:val="none" w:sz="0" w:space="0" w:color="auto"/>
      </w:divBdr>
      <w:divsChild>
        <w:div w:id="845708458">
          <w:marLeft w:val="0"/>
          <w:marRight w:val="0"/>
          <w:marTop w:val="0"/>
          <w:marBottom w:val="0"/>
          <w:divBdr>
            <w:top w:val="none" w:sz="0" w:space="0" w:color="auto"/>
            <w:left w:val="none" w:sz="0" w:space="0" w:color="auto"/>
            <w:bottom w:val="none" w:sz="0" w:space="0" w:color="auto"/>
            <w:right w:val="none" w:sz="0" w:space="0" w:color="auto"/>
          </w:divBdr>
        </w:div>
      </w:divsChild>
    </w:div>
    <w:div w:id="623846301">
      <w:bodyDiv w:val="1"/>
      <w:marLeft w:val="0"/>
      <w:marRight w:val="0"/>
      <w:marTop w:val="0"/>
      <w:marBottom w:val="0"/>
      <w:divBdr>
        <w:top w:val="none" w:sz="0" w:space="0" w:color="auto"/>
        <w:left w:val="none" w:sz="0" w:space="0" w:color="auto"/>
        <w:bottom w:val="none" w:sz="0" w:space="0" w:color="auto"/>
        <w:right w:val="none" w:sz="0" w:space="0" w:color="auto"/>
      </w:divBdr>
    </w:div>
    <w:div w:id="671375713">
      <w:bodyDiv w:val="1"/>
      <w:marLeft w:val="0"/>
      <w:marRight w:val="0"/>
      <w:marTop w:val="0"/>
      <w:marBottom w:val="0"/>
      <w:divBdr>
        <w:top w:val="none" w:sz="0" w:space="0" w:color="auto"/>
        <w:left w:val="none" w:sz="0" w:space="0" w:color="auto"/>
        <w:bottom w:val="none" w:sz="0" w:space="0" w:color="auto"/>
        <w:right w:val="none" w:sz="0" w:space="0" w:color="auto"/>
      </w:divBdr>
    </w:div>
    <w:div w:id="750977692">
      <w:bodyDiv w:val="1"/>
      <w:marLeft w:val="0"/>
      <w:marRight w:val="0"/>
      <w:marTop w:val="0"/>
      <w:marBottom w:val="0"/>
      <w:divBdr>
        <w:top w:val="none" w:sz="0" w:space="0" w:color="auto"/>
        <w:left w:val="none" w:sz="0" w:space="0" w:color="auto"/>
        <w:bottom w:val="none" w:sz="0" w:space="0" w:color="auto"/>
        <w:right w:val="none" w:sz="0" w:space="0" w:color="auto"/>
      </w:divBdr>
    </w:div>
    <w:div w:id="760026764">
      <w:bodyDiv w:val="1"/>
      <w:marLeft w:val="0"/>
      <w:marRight w:val="0"/>
      <w:marTop w:val="0"/>
      <w:marBottom w:val="0"/>
      <w:divBdr>
        <w:top w:val="none" w:sz="0" w:space="0" w:color="auto"/>
        <w:left w:val="none" w:sz="0" w:space="0" w:color="auto"/>
        <w:bottom w:val="none" w:sz="0" w:space="0" w:color="auto"/>
        <w:right w:val="none" w:sz="0" w:space="0" w:color="auto"/>
      </w:divBdr>
    </w:div>
    <w:div w:id="808673077">
      <w:bodyDiv w:val="1"/>
      <w:marLeft w:val="0"/>
      <w:marRight w:val="0"/>
      <w:marTop w:val="0"/>
      <w:marBottom w:val="0"/>
      <w:divBdr>
        <w:top w:val="none" w:sz="0" w:space="0" w:color="auto"/>
        <w:left w:val="none" w:sz="0" w:space="0" w:color="auto"/>
        <w:bottom w:val="none" w:sz="0" w:space="0" w:color="auto"/>
        <w:right w:val="none" w:sz="0" w:space="0" w:color="auto"/>
      </w:divBdr>
    </w:div>
    <w:div w:id="919678424">
      <w:bodyDiv w:val="1"/>
      <w:marLeft w:val="0"/>
      <w:marRight w:val="0"/>
      <w:marTop w:val="0"/>
      <w:marBottom w:val="0"/>
      <w:divBdr>
        <w:top w:val="none" w:sz="0" w:space="0" w:color="auto"/>
        <w:left w:val="none" w:sz="0" w:space="0" w:color="auto"/>
        <w:bottom w:val="none" w:sz="0" w:space="0" w:color="auto"/>
        <w:right w:val="none" w:sz="0" w:space="0" w:color="auto"/>
      </w:divBdr>
    </w:div>
    <w:div w:id="921522119">
      <w:bodyDiv w:val="1"/>
      <w:marLeft w:val="0"/>
      <w:marRight w:val="0"/>
      <w:marTop w:val="0"/>
      <w:marBottom w:val="0"/>
      <w:divBdr>
        <w:top w:val="none" w:sz="0" w:space="0" w:color="auto"/>
        <w:left w:val="none" w:sz="0" w:space="0" w:color="auto"/>
        <w:bottom w:val="none" w:sz="0" w:space="0" w:color="auto"/>
        <w:right w:val="none" w:sz="0" w:space="0" w:color="auto"/>
      </w:divBdr>
    </w:div>
    <w:div w:id="936210910">
      <w:bodyDiv w:val="1"/>
      <w:marLeft w:val="0"/>
      <w:marRight w:val="0"/>
      <w:marTop w:val="0"/>
      <w:marBottom w:val="0"/>
      <w:divBdr>
        <w:top w:val="none" w:sz="0" w:space="0" w:color="auto"/>
        <w:left w:val="none" w:sz="0" w:space="0" w:color="auto"/>
        <w:bottom w:val="none" w:sz="0" w:space="0" w:color="auto"/>
        <w:right w:val="none" w:sz="0" w:space="0" w:color="auto"/>
      </w:divBdr>
    </w:div>
    <w:div w:id="1003236904">
      <w:bodyDiv w:val="1"/>
      <w:marLeft w:val="0"/>
      <w:marRight w:val="0"/>
      <w:marTop w:val="0"/>
      <w:marBottom w:val="0"/>
      <w:divBdr>
        <w:top w:val="none" w:sz="0" w:space="0" w:color="auto"/>
        <w:left w:val="none" w:sz="0" w:space="0" w:color="auto"/>
        <w:bottom w:val="none" w:sz="0" w:space="0" w:color="auto"/>
        <w:right w:val="none" w:sz="0" w:space="0" w:color="auto"/>
      </w:divBdr>
    </w:div>
    <w:div w:id="1155798732">
      <w:bodyDiv w:val="1"/>
      <w:marLeft w:val="0"/>
      <w:marRight w:val="0"/>
      <w:marTop w:val="0"/>
      <w:marBottom w:val="0"/>
      <w:divBdr>
        <w:top w:val="none" w:sz="0" w:space="0" w:color="auto"/>
        <w:left w:val="none" w:sz="0" w:space="0" w:color="auto"/>
        <w:bottom w:val="none" w:sz="0" w:space="0" w:color="auto"/>
        <w:right w:val="none" w:sz="0" w:space="0" w:color="auto"/>
      </w:divBdr>
      <w:divsChild>
        <w:div w:id="841119320">
          <w:marLeft w:val="0"/>
          <w:marRight w:val="0"/>
          <w:marTop w:val="0"/>
          <w:marBottom w:val="0"/>
          <w:divBdr>
            <w:top w:val="none" w:sz="0" w:space="0" w:color="auto"/>
            <w:left w:val="none" w:sz="0" w:space="0" w:color="auto"/>
            <w:bottom w:val="none" w:sz="0" w:space="0" w:color="auto"/>
            <w:right w:val="none" w:sz="0" w:space="0" w:color="auto"/>
          </w:divBdr>
        </w:div>
      </w:divsChild>
    </w:div>
    <w:div w:id="1181625316">
      <w:bodyDiv w:val="1"/>
      <w:marLeft w:val="0"/>
      <w:marRight w:val="0"/>
      <w:marTop w:val="0"/>
      <w:marBottom w:val="0"/>
      <w:divBdr>
        <w:top w:val="none" w:sz="0" w:space="0" w:color="auto"/>
        <w:left w:val="none" w:sz="0" w:space="0" w:color="auto"/>
        <w:bottom w:val="none" w:sz="0" w:space="0" w:color="auto"/>
        <w:right w:val="none" w:sz="0" w:space="0" w:color="auto"/>
      </w:divBdr>
    </w:div>
    <w:div w:id="1220556880">
      <w:bodyDiv w:val="1"/>
      <w:marLeft w:val="0"/>
      <w:marRight w:val="0"/>
      <w:marTop w:val="0"/>
      <w:marBottom w:val="0"/>
      <w:divBdr>
        <w:top w:val="none" w:sz="0" w:space="0" w:color="auto"/>
        <w:left w:val="none" w:sz="0" w:space="0" w:color="auto"/>
        <w:bottom w:val="none" w:sz="0" w:space="0" w:color="auto"/>
        <w:right w:val="none" w:sz="0" w:space="0" w:color="auto"/>
      </w:divBdr>
      <w:divsChild>
        <w:div w:id="832376758">
          <w:marLeft w:val="0"/>
          <w:marRight w:val="0"/>
          <w:marTop w:val="0"/>
          <w:marBottom w:val="0"/>
          <w:divBdr>
            <w:top w:val="none" w:sz="0" w:space="0" w:color="auto"/>
            <w:left w:val="none" w:sz="0" w:space="0" w:color="auto"/>
            <w:bottom w:val="none" w:sz="0" w:space="0" w:color="auto"/>
            <w:right w:val="none" w:sz="0" w:space="0" w:color="auto"/>
          </w:divBdr>
        </w:div>
      </w:divsChild>
    </w:div>
    <w:div w:id="1306396844">
      <w:bodyDiv w:val="1"/>
      <w:marLeft w:val="0"/>
      <w:marRight w:val="0"/>
      <w:marTop w:val="0"/>
      <w:marBottom w:val="0"/>
      <w:divBdr>
        <w:top w:val="none" w:sz="0" w:space="0" w:color="auto"/>
        <w:left w:val="none" w:sz="0" w:space="0" w:color="auto"/>
        <w:bottom w:val="none" w:sz="0" w:space="0" w:color="auto"/>
        <w:right w:val="none" w:sz="0" w:space="0" w:color="auto"/>
      </w:divBdr>
      <w:divsChild>
        <w:div w:id="1791969557">
          <w:marLeft w:val="0"/>
          <w:marRight w:val="0"/>
          <w:marTop w:val="0"/>
          <w:marBottom w:val="0"/>
          <w:divBdr>
            <w:top w:val="none" w:sz="0" w:space="0" w:color="auto"/>
            <w:left w:val="none" w:sz="0" w:space="0" w:color="auto"/>
            <w:bottom w:val="none" w:sz="0" w:space="0" w:color="auto"/>
            <w:right w:val="none" w:sz="0" w:space="0" w:color="auto"/>
          </w:divBdr>
        </w:div>
      </w:divsChild>
    </w:div>
    <w:div w:id="1365328826">
      <w:bodyDiv w:val="1"/>
      <w:marLeft w:val="0"/>
      <w:marRight w:val="0"/>
      <w:marTop w:val="0"/>
      <w:marBottom w:val="0"/>
      <w:divBdr>
        <w:top w:val="none" w:sz="0" w:space="0" w:color="auto"/>
        <w:left w:val="none" w:sz="0" w:space="0" w:color="auto"/>
        <w:bottom w:val="none" w:sz="0" w:space="0" w:color="auto"/>
        <w:right w:val="none" w:sz="0" w:space="0" w:color="auto"/>
      </w:divBdr>
    </w:div>
    <w:div w:id="1583179933">
      <w:bodyDiv w:val="1"/>
      <w:marLeft w:val="0"/>
      <w:marRight w:val="0"/>
      <w:marTop w:val="0"/>
      <w:marBottom w:val="0"/>
      <w:divBdr>
        <w:top w:val="none" w:sz="0" w:space="0" w:color="auto"/>
        <w:left w:val="none" w:sz="0" w:space="0" w:color="auto"/>
        <w:bottom w:val="none" w:sz="0" w:space="0" w:color="auto"/>
        <w:right w:val="none" w:sz="0" w:space="0" w:color="auto"/>
      </w:divBdr>
    </w:div>
    <w:div w:id="1610821297">
      <w:bodyDiv w:val="1"/>
      <w:marLeft w:val="0"/>
      <w:marRight w:val="0"/>
      <w:marTop w:val="0"/>
      <w:marBottom w:val="0"/>
      <w:divBdr>
        <w:top w:val="none" w:sz="0" w:space="0" w:color="auto"/>
        <w:left w:val="none" w:sz="0" w:space="0" w:color="auto"/>
        <w:bottom w:val="none" w:sz="0" w:space="0" w:color="auto"/>
        <w:right w:val="none" w:sz="0" w:space="0" w:color="auto"/>
      </w:divBdr>
    </w:div>
    <w:div w:id="1612854877">
      <w:bodyDiv w:val="1"/>
      <w:marLeft w:val="0"/>
      <w:marRight w:val="0"/>
      <w:marTop w:val="0"/>
      <w:marBottom w:val="0"/>
      <w:divBdr>
        <w:top w:val="none" w:sz="0" w:space="0" w:color="auto"/>
        <w:left w:val="none" w:sz="0" w:space="0" w:color="auto"/>
        <w:bottom w:val="none" w:sz="0" w:space="0" w:color="auto"/>
        <w:right w:val="none" w:sz="0" w:space="0" w:color="auto"/>
      </w:divBdr>
    </w:div>
    <w:div w:id="1685208441">
      <w:bodyDiv w:val="1"/>
      <w:marLeft w:val="0"/>
      <w:marRight w:val="0"/>
      <w:marTop w:val="0"/>
      <w:marBottom w:val="0"/>
      <w:divBdr>
        <w:top w:val="none" w:sz="0" w:space="0" w:color="auto"/>
        <w:left w:val="none" w:sz="0" w:space="0" w:color="auto"/>
        <w:bottom w:val="none" w:sz="0" w:space="0" w:color="auto"/>
        <w:right w:val="none" w:sz="0" w:space="0" w:color="auto"/>
      </w:divBdr>
      <w:divsChild>
        <w:div w:id="751508645">
          <w:marLeft w:val="0"/>
          <w:marRight w:val="0"/>
          <w:marTop w:val="0"/>
          <w:marBottom w:val="0"/>
          <w:divBdr>
            <w:top w:val="none" w:sz="0" w:space="0" w:color="auto"/>
            <w:left w:val="none" w:sz="0" w:space="0" w:color="auto"/>
            <w:bottom w:val="none" w:sz="0" w:space="0" w:color="auto"/>
            <w:right w:val="none" w:sz="0" w:space="0" w:color="auto"/>
          </w:divBdr>
        </w:div>
      </w:divsChild>
    </w:div>
    <w:div w:id="1761294525">
      <w:bodyDiv w:val="1"/>
      <w:marLeft w:val="0"/>
      <w:marRight w:val="0"/>
      <w:marTop w:val="0"/>
      <w:marBottom w:val="0"/>
      <w:divBdr>
        <w:top w:val="none" w:sz="0" w:space="0" w:color="auto"/>
        <w:left w:val="none" w:sz="0" w:space="0" w:color="auto"/>
        <w:bottom w:val="none" w:sz="0" w:space="0" w:color="auto"/>
        <w:right w:val="none" w:sz="0" w:space="0" w:color="auto"/>
      </w:divBdr>
    </w:div>
    <w:div w:id="1805611037">
      <w:bodyDiv w:val="1"/>
      <w:marLeft w:val="0"/>
      <w:marRight w:val="0"/>
      <w:marTop w:val="0"/>
      <w:marBottom w:val="0"/>
      <w:divBdr>
        <w:top w:val="none" w:sz="0" w:space="0" w:color="auto"/>
        <w:left w:val="none" w:sz="0" w:space="0" w:color="auto"/>
        <w:bottom w:val="none" w:sz="0" w:space="0" w:color="auto"/>
        <w:right w:val="none" w:sz="0" w:space="0" w:color="auto"/>
      </w:divBdr>
      <w:divsChild>
        <w:div w:id="415328503">
          <w:marLeft w:val="0"/>
          <w:marRight w:val="0"/>
          <w:marTop w:val="0"/>
          <w:marBottom w:val="0"/>
          <w:divBdr>
            <w:top w:val="none" w:sz="0" w:space="0" w:color="auto"/>
            <w:left w:val="none" w:sz="0" w:space="0" w:color="auto"/>
            <w:bottom w:val="none" w:sz="0" w:space="0" w:color="auto"/>
            <w:right w:val="none" w:sz="0" w:space="0" w:color="auto"/>
          </w:divBdr>
        </w:div>
      </w:divsChild>
    </w:div>
    <w:div w:id="1845045412">
      <w:bodyDiv w:val="1"/>
      <w:marLeft w:val="0"/>
      <w:marRight w:val="0"/>
      <w:marTop w:val="0"/>
      <w:marBottom w:val="0"/>
      <w:divBdr>
        <w:top w:val="none" w:sz="0" w:space="0" w:color="auto"/>
        <w:left w:val="none" w:sz="0" w:space="0" w:color="auto"/>
        <w:bottom w:val="none" w:sz="0" w:space="0" w:color="auto"/>
        <w:right w:val="none" w:sz="0" w:space="0" w:color="auto"/>
      </w:divBdr>
      <w:divsChild>
        <w:div w:id="889222989">
          <w:marLeft w:val="0"/>
          <w:marRight w:val="0"/>
          <w:marTop w:val="0"/>
          <w:marBottom w:val="0"/>
          <w:divBdr>
            <w:top w:val="none" w:sz="0" w:space="0" w:color="auto"/>
            <w:left w:val="none" w:sz="0" w:space="0" w:color="auto"/>
            <w:bottom w:val="none" w:sz="0" w:space="0" w:color="auto"/>
            <w:right w:val="none" w:sz="0" w:space="0" w:color="auto"/>
          </w:divBdr>
        </w:div>
      </w:divsChild>
    </w:div>
    <w:div w:id="1870337835">
      <w:bodyDiv w:val="1"/>
      <w:marLeft w:val="0"/>
      <w:marRight w:val="0"/>
      <w:marTop w:val="0"/>
      <w:marBottom w:val="0"/>
      <w:divBdr>
        <w:top w:val="none" w:sz="0" w:space="0" w:color="auto"/>
        <w:left w:val="none" w:sz="0" w:space="0" w:color="auto"/>
        <w:bottom w:val="none" w:sz="0" w:space="0" w:color="auto"/>
        <w:right w:val="none" w:sz="0" w:space="0" w:color="auto"/>
      </w:divBdr>
    </w:div>
    <w:div w:id="1888757836">
      <w:bodyDiv w:val="1"/>
      <w:marLeft w:val="0"/>
      <w:marRight w:val="0"/>
      <w:marTop w:val="0"/>
      <w:marBottom w:val="0"/>
      <w:divBdr>
        <w:top w:val="none" w:sz="0" w:space="0" w:color="auto"/>
        <w:left w:val="none" w:sz="0" w:space="0" w:color="auto"/>
        <w:bottom w:val="none" w:sz="0" w:space="0" w:color="auto"/>
        <w:right w:val="none" w:sz="0" w:space="0" w:color="auto"/>
      </w:divBdr>
    </w:div>
    <w:div w:id="1999530946">
      <w:bodyDiv w:val="1"/>
      <w:marLeft w:val="0"/>
      <w:marRight w:val="0"/>
      <w:marTop w:val="0"/>
      <w:marBottom w:val="0"/>
      <w:divBdr>
        <w:top w:val="none" w:sz="0" w:space="0" w:color="auto"/>
        <w:left w:val="none" w:sz="0" w:space="0" w:color="auto"/>
        <w:bottom w:val="none" w:sz="0" w:space="0" w:color="auto"/>
        <w:right w:val="none" w:sz="0" w:space="0" w:color="auto"/>
      </w:divBdr>
    </w:div>
    <w:div w:id="2058895369">
      <w:bodyDiv w:val="1"/>
      <w:marLeft w:val="0"/>
      <w:marRight w:val="0"/>
      <w:marTop w:val="0"/>
      <w:marBottom w:val="0"/>
      <w:divBdr>
        <w:top w:val="none" w:sz="0" w:space="0" w:color="auto"/>
        <w:left w:val="none" w:sz="0" w:space="0" w:color="auto"/>
        <w:bottom w:val="none" w:sz="0" w:space="0" w:color="auto"/>
        <w:right w:val="none" w:sz="0" w:space="0" w:color="auto"/>
      </w:divBdr>
    </w:div>
    <w:div w:id="2083913925">
      <w:bodyDiv w:val="1"/>
      <w:marLeft w:val="0"/>
      <w:marRight w:val="0"/>
      <w:marTop w:val="0"/>
      <w:marBottom w:val="0"/>
      <w:divBdr>
        <w:top w:val="none" w:sz="0" w:space="0" w:color="auto"/>
        <w:left w:val="none" w:sz="0" w:space="0" w:color="auto"/>
        <w:bottom w:val="none" w:sz="0" w:space="0" w:color="auto"/>
        <w:right w:val="none" w:sz="0" w:space="0" w:color="auto"/>
      </w:divBdr>
    </w:div>
    <w:div w:id="2109692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chart" Target="charts/chart1.xml"/><Relationship Id="rId26" Type="http://schemas.openxmlformats.org/officeDocument/2006/relationships/image" Target="media/image8.png"/><Relationship Id="rId39" Type="http://schemas.openxmlformats.org/officeDocument/2006/relationships/chart" Target="charts/chart8.xml"/><Relationship Id="rId3" Type="http://schemas.openxmlformats.org/officeDocument/2006/relationships/customXml" Target="../customXml/item3.xml"/><Relationship Id="rId21" Type="http://schemas.openxmlformats.org/officeDocument/2006/relationships/chart" Target="charts/chart3.xml"/><Relationship Id="rId34" Type="http://schemas.openxmlformats.org/officeDocument/2006/relationships/image" Target="media/image15.png"/><Relationship Id="rId42" Type="http://schemas.openxmlformats.org/officeDocument/2006/relationships/chart" Target="charts/chart11.xm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chart" Target="charts/chart6.xml"/><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chart" Target="charts/chart13.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chart" Target="charts/chart2.xml"/><Relationship Id="rId29" Type="http://schemas.openxmlformats.org/officeDocument/2006/relationships/chart" Target="charts/chart7.xml"/><Relationship Id="rId41"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chart" Target="charts/chart5.xml"/><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chart" Target="charts/chart9.xml"/><Relationship Id="rId45" Type="http://schemas.openxmlformats.org/officeDocument/2006/relationships/chart" Target="charts/chart12.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10.png"/><Relationship Id="rId36" Type="http://schemas.openxmlformats.org/officeDocument/2006/relationships/image" Target="media/image17.png"/><Relationship Id="rId49"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image" Target="media/image12.png"/><Relationship Id="rId44" Type="http://schemas.openxmlformats.org/officeDocument/2006/relationships/hyperlink" Target="https://www.nar.realtor/sites/default/files/documents/2021-home-buyers-and-sellers-generational-trends-03-16-2021.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chart" Target="charts/chart4.xml"/><Relationship Id="rId27" Type="http://schemas.openxmlformats.org/officeDocument/2006/relationships/image" Target="media/image9.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hyperlink" Target="https://www.nahb.org//media/B40AF16ACD1F43D09074A423C4EC21C8.ashx" TargetMode="External"/><Relationship Id="rId48" Type="http://schemas.openxmlformats.org/officeDocument/2006/relationships/theme" Target="theme/theme1.xml"/><Relationship Id="rId8"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Housing%20Study%20Data%20Sets%20Randolph%20County.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Randolph%20County%20Gap%20Analysis%2014-18(1).xlsx"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Randolph%20County%20Gap%20Analysis%2014-18(1).xlsx" TargetMode="External"/><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Randolph%20County%20Gap%20Analysis%2014-18.xlsx"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Randolph%20County%20Gap%20Analysis%2014-18.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ACS_Randolph.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ACS_Randolph.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1" Type="http://schemas.openxmlformats.org/officeDocument/2006/relationships/oleObject" Target="https://virginiatech.sharepoint.com/sites/VCHRProjectFiles/Shared%20Documents/Randolph%20County%20Housing%20Study/Housing%20Affordability%20Analysis_Randolph.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Housing%20Study%20Data%20Sets%20Randolph%20County.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Housing%20Study%20Data%20Sets%20Randolph%20County.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Housing%20Study%20Data%20Sets%20Randolph%20County.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ACS_Randolph.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https://virginiatech.sharepoint.com/sites/VCHRProjectFiles/Shared%20Documents/Randolph%20County%20Housing%20Study/ACS_Randolph.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0"/>
          <c:order val="0"/>
          <c:tx>
            <c:strRef>
              <c:f>'Report Graphs'!$A$57</c:f>
              <c:strCache>
                <c:ptCount val="1"/>
                <c:pt idx="0">
                  <c:v>25-44</c:v>
                </c:pt>
              </c:strCache>
            </c:strRef>
          </c:tx>
          <c:spPr>
            <a:solidFill>
              <a:srgbClr val="E89F17">
                <a:alpha val="50000"/>
              </a:srgb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'Report Graphs'!$B$56:$C$56</c:f>
              <c:strCache>
                <c:ptCount val="2"/>
                <c:pt idx="0">
                  <c:v>Owner</c:v>
                </c:pt>
                <c:pt idx="1">
                  <c:v>Renter</c:v>
                </c:pt>
              </c:strCache>
            </c:strRef>
          </c:cat>
          <c:val>
            <c:numRef>
              <c:f>'Report Graphs'!$B$57:$C$57</c:f>
              <c:numCache>
                <c:formatCode>_(* #,##0_);_(* \(#,##0\);_(* "-"??_);_(@_)</c:formatCode>
                <c:ptCount val="2"/>
                <c:pt idx="0" formatCode="#,##0">
                  <c:v>1344</c:v>
                </c:pt>
                <c:pt idx="1">
                  <c:v>1378</c:v>
                </c:pt>
              </c:numCache>
            </c:numRef>
          </c:val>
          <c:extLst>
            <c:ext xmlns:c16="http://schemas.microsoft.com/office/drawing/2014/chart" uri="{C3380CC4-5D6E-409C-BE32-E72D297353CC}">
              <c16:uniqueId val="{00000000-B368-4F5A-8A02-1A550F00120C}"/>
            </c:ext>
          </c:extLst>
        </c:ser>
        <c:ser>
          <c:idx val="1"/>
          <c:order val="1"/>
          <c:tx>
            <c:strRef>
              <c:f>'Report Graphs'!$A$58</c:f>
              <c:strCache>
                <c:ptCount val="1"/>
                <c:pt idx="0">
                  <c:v>45-64</c:v>
                </c:pt>
              </c:strCache>
            </c:strRef>
          </c:tx>
          <c:spPr>
            <a:solidFill>
              <a:srgbClr val="E89F17">
                <a:alpha val="75000"/>
              </a:srgb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'Report Graphs'!$B$56:$C$56</c:f>
              <c:strCache>
                <c:ptCount val="2"/>
                <c:pt idx="0">
                  <c:v>Owner</c:v>
                </c:pt>
                <c:pt idx="1">
                  <c:v>Renter</c:v>
                </c:pt>
              </c:strCache>
            </c:strRef>
          </c:cat>
          <c:val>
            <c:numRef>
              <c:f>'Report Graphs'!$B$58:$C$58</c:f>
              <c:numCache>
                <c:formatCode>General</c:formatCode>
                <c:ptCount val="2"/>
                <c:pt idx="0" formatCode="#,##0">
                  <c:v>3407</c:v>
                </c:pt>
                <c:pt idx="1">
                  <c:v>941</c:v>
                </c:pt>
              </c:numCache>
            </c:numRef>
          </c:val>
          <c:extLst>
            <c:ext xmlns:c16="http://schemas.microsoft.com/office/drawing/2014/chart" uri="{C3380CC4-5D6E-409C-BE32-E72D297353CC}">
              <c16:uniqueId val="{00000001-B368-4F5A-8A02-1A550F00120C}"/>
            </c:ext>
          </c:extLst>
        </c:ser>
        <c:ser>
          <c:idx val="2"/>
          <c:order val="2"/>
          <c:tx>
            <c:strRef>
              <c:f>'Report Graphs'!#REF!</c:f>
              <c:strCache>
                <c:ptCount val="1"/>
                <c:pt idx="0">
                  <c:v>#REF!</c:v>
                </c:pt>
              </c:strCache>
            </c:strRef>
          </c:tx>
          <c:spPr>
            <a:solidFill>
              <a:srgbClr val="E89F17">
                <a:alpha val="90000"/>
              </a:srgb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2-B368-4F5A-8A02-1A550F00120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strRef>
              <c:f>'Report Graphs'!$B$56:$C$56</c:f>
              <c:strCache>
                <c:ptCount val="2"/>
                <c:pt idx="0">
                  <c:v>Owner</c:v>
                </c:pt>
                <c:pt idx="1">
                  <c:v>Renter</c:v>
                </c:pt>
              </c:strCache>
            </c:strRef>
          </c:cat>
          <c:val>
            <c:numRef>
              <c:f>'Report Graphs'!#REF!</c:f>
              <c:numCache>
                <c:formatCode>General</c:formatCode>
                <c:ptCount val="1"/>
                <c:pt idx="0">
                  <c:v>1</c:v>
                </c:pt>
              </c:numCache>
            </c:numRef>
          </c:val>
          <c:extLst>
            <c:ext xmlns:c16="http://schemas.microsoft.com/office/drawing/2014/chart" uri="{C3380CC4-5D6E-409C-BE32-E72D297353CC}">
              <c16:uniqueId val="{00000003-B368-4F5A-8A02-1A550F00120C}"/>
            </c:ext>
          </c:extLst>
        </c:ser>
        <c:ser>
          <c:idx val="3"/>
          <c:order val="3"/>
          <c:tx>
            <c:strRef>
              <c:f>'Report Graphs'!$A$59</c:f>
              <c:strCache>
                <c:ptCount val="1"/>
                <c:pt idx="0">
                  <c:v>65 an over</c:v>
                </c:pt>
              </c:strCache>
            </c:strRef>
          </c:tx>
          <c:spPr>
            <a:solidFill>
              <a:srgbClr val="E89F17"/>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'Report Graphs'!$B$56:$C$56</c:f>
              <c:strCache>
                <c:ptCount val="2"/>
                <c:pt idx="0">
                  <c:v>Owner</c:v>
                </c:pt>
                <c:pt idx="1">
                  <c:v>Renter</c:v>
                </c:pt>
              </c:strCache>
            </c:strRef>
          </c:cat>
          <c:val>
            <c:numRef>
              <c:f>'Report Graphs'!$B$59:$C$59</c:f>
              <c:numCache>
                <c:formatCode>General</c:formatCode>
                <c:ptCount val="2"/>
                <c:pt idx="0" formatCode="#,##0">
                  <c:v>3194</c:v>
                </c:pt>
                <c:pt idx="1">
                  <c:v>540</c:v>
                </c:pt>
              </c:numCache>
            </c:numRef>
          </c:val>
          <c:extLst>
            <c:ext xmlns:c16="http://schemas.microsoft.com/office/drawing/2014/chart" uri="{C3380CC4-5D6E-409C-BE32-E72D297353CC}">
              <c16:uniqueId val="{00000004-B368-4F5A-8A02-1A550F00120C}"/>
            </c:ext>
          </c:extLst>
        </c:ser>
        <c:dLbls>
          <c:showLegendKey val="0"/>
          <c:showVal val="0"/>
          <c:showCatName val="0"/>
          <c:showSerName val="0"/>
          <c:showPercent val="0"/>
          <c:showBubbleSize val="0"/>
        </c:dLbls>
        <c:gapWidth val="150"/>
        <c:overlap val="100"/>
        <c:axId val="1114255296"/>
        <c:axId val="1114255624"/>
        <c:extLst>
          <c:ext xmlns:c15="http://schemas.microsoft.com/office/drawing/2012/chart" uri="{02D57815-91ED-43cb-92C2-25804820EDAC}">
            <c15:filteredBarSeries>
              <c15:ser>
                <c:idx val="4"/>
                <c:order val="4"/>
                <c:tx>
                  <c:strRef>
                    <c:extLst>
                      <c:ext uri="{02D57815-91ED-43cb-92C2-25804820EDAC}">
                        <c15:formulaRef>
                          <c15:sqref>'Report Graphs'!$A$60</c15:sqref>
                        </c15:formulaRef>
                      </c:ext>
                    </c:extLst>
                    <c:strCache>
                      <c:ptCount val="1"/>
                      <c:pt idx="0">
                        <c:v>MOE*</c:v>
                      </c:pt>
                    </c:strCache>
                  </c:strRef>
                </c:tx>
                <c:spPr>
                  <a:solidFill>
                    <a:srgbClr val="E89F17">
                      <a:alpha val="90000"/>
                    </a:srgbClr>
                  </a:solidFill>
                  <a:ln w="28575">
                    <a:solidFill>
                      <a:srgbClr val="FF0000">
                        <a:alpha val="93000"/>
                      </a:srgbClr>
                    </a:solidFill>
                  </a:ln>
                  <a:effectLst/>
                </c:spPr>
                <c:invertIfNegative val="0"/>
                <c:dLbls>
                  <c:dLbl>
                    <c:idx val="0"/>
                    <c:delete val="1"/>
                    <c:extLst>
                      <c:ext uri="{CE6537A1-D6FC-4f65-9D91-7224C49458BB}"/>
                      <c:ext xmlns:c16="http://schemas.microsoft.com/office/drawing/2014/chart" uri="{C3380CC4-5D6E-409C-BE32-E72D297353CC}">
                        <c16:uniqueId val="{00000005-B368-4F5A-8A02-1A550F00120C}"/>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1"/>
                  <c:showPercent val="0"/>
                  <c:showBubbleSize val="0"/>
                  <c:showLeaderLines val="0"/>
                  <c:extLst>
                    <c:ext uri="{CE6537A1-D6FC-4f65-9D91-7224C49458BB}">
                      <c15:showLeaderLines val="0"/>
                    </c:ext>
                  </c:extLst>
                </c:dLbls>
                <c:cat>
                  <c:strRef>
                    <c:extLst>
                      <c:ext uri="{02D57815-91ED-43cb-92C2-25804820EDAC}">
                        <c15:formulaRef>
                          <c15:sqref>'Report Graphs'!$B$56:$C$56</c15:sqref>
                        </c15:formulaRef>
                      </c:ext>
                    </c:extLst>
                    <c:strCache>
                      <c:ptCount val="2"/>
                      <c:pt idx="0">
                        <c:v>Owner</c:v>
                      </c:pt>
                      <c:pt idx="1">
                        <c:v>Renter</c:v>
                      </c:pt>
                    </c:strCache>
                  </c:strRef>
                </c:cat>
                <c:val>
                  <c:numRef>
                    <c:extLst>
                      <c:ext uri="{02D57815-91ED-43cb-92C2-25804820EDAC}">
                        <c15:formulaRef>
                          <c15:sqref>'Report Graphs'!$B$60:$C$60</c15:sqref>
                        </c15:formulaRef>
                      </c:ext>
                    </c:extLst>
                    <c:numCache>
                      <c:formatCode>General</c:formatCode>
                      <c:ptCount val="2"/>
                      <c:pt idx="0" formatCode="#,##0">
                        <c:v>0</c:v>
                      </c:pt>
                      <c:pt idx="1">
                        <c:v>194</c:v>
                      </c:pt>
                    </c:numCache>
                  </c:numRef>
                </c:val>
                <c:extLst>
                  <c:ext xmlns:c16="http://schemas.microsoft.com/office/drawing/2014/chart" uri="{C3380CC4-5D6E-409C-BE32-E72D297353CC}">
                    <c16:uniqueId val="{00000006-B368-4F5A-8A02-1A550F00120C}"/>
                  </c:ext>
                </c:extLst>
              </c15:ser>
            </c15:filteredBarSeries>
          </c:ext>
        </c:extLst>
      </c:barChart>
      <c:catAx>
        <c:axId val="11142552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114255624"/>
        <c:crosses val="autoZero"/>
        <c:auto val="1"/>
        <c:lblAlgn val="ctr"/>
        <c:lblOffset val="100"/>
        <c:noMultiLvlLbl val="0"/>
      </c:catAx>
      <c:valAx>
        <c:axId val="111425562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114255296"/>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'Randolph County Gap Analysis'!$O$72:$O$75</c:f>
              <c:strCache>
                <c:ptCount val="4"/>
                <c:pt idx="0">
                  <c:v>Stock affordable to households with income &lt;=30% of AMI</c:v>
                </c:pt>
                <c:pt idx="1">
                  <c:v>Stock affordable to households with income 30%–50% of AMI</c:v>
                </c:pt>
                <c:pt idx="2">
                  <c:v>Stock affordable to households with income 50%–80% of AMI</c:v>
                </c:pt>
                <c:pt idx="3">
                  <c:v>Stock affordable to households with income &gt;=80% of AMI</c:v>
                </c:pt>
              </c:strCache>
            </c:strRef>
          </c:cat>
          <c:val>
            <c:numRef>
              <c:f>'Randolph County Gap Analysis'!$P$72:$P$75</c:f>
              <c:numCache>
                <c:formatCode>#,##0</c:formatCode>
                <c:ptCount val="4"/>
                <c:pt idx="0">
                  <c:v>645</c:v>
                </c:pt>
                <c:pt idx="1">
                  <c:v>1205</c:v>
                </c:pt>
                <c:pt idx="2">
                  <c:v>1440</c:v>
                </c:pt>
                <c:pt idx="3">
                  <c:v>275</c:v>
                </c:pt>
              </c:numCache>
            </c:numRef>
          </c:val>
          <c:extLst>
            <c:ext xmlns:c16="http://schemas.microsoft.com/office/drawing/2014/chart" uri="{C3380CC4-5D6E-409C-BE32-E72D297353CC}">
              <c16:uniqueId val="{00000000-E09B-48E4-B3B6-AD4B28D94039}"/>
            </c:ext>
          </c:extLst>
        </c:ser>
        <c:dLbls>
          <c:showLegendKey val="0"/>
          <c:showVal val="0"/>
          <c:showCatName val="0"/>
          <c:showSerName val="0"/>
          <c:showPercent val="0"/>
          <c:showBubbleSize val="0"/>
        </c:dLbls>
        <c:gapWidth val="219"/>
        <c:overlap val="-27"/>
        <c:axId val="1397392800"/>
        <c:axId val="1397391488"/>
      </c:barChart>
      <c:catAx>
        <c:axId val="1397392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7391488"/>
        <c:crosses val="autoZero"/>
        <c:auto val="1"/>
        <c:lblAlgn val="ctr"/>
        <c:lblOffset val="100"/>
        <c:noMultiLvlLbl val="0"/>
      </c:catAx>
      <c:valAx>
        <c:axId val="13973914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73928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'Randolph County Gap Analysis'!$O$66:$O$69</c:f>
              <c:strCache>
                <c:ptCount val="4"/>
                <c:pt idx="0">
                  <c:v>Stock affordable to households with income &lt;= 50% of AMI</c:v>
                </c:pt>
                <c:pt idx="1">
                  <c:v>Stock affordable to households with income 50%–80% of AMI</c:v>
                </c:pt>
                <c:pt idx="2">
                  <c:v>Stock affordable to households with income 80%–100% of AMI</c:v>
                </c:pt>
                <c:pt idx="3">
                  <c:v>Stock affordable to households with income &gt;=100% of AMI</c:v>
                </c:pt>
              </c:strCache>
            </c:strRef>
          </c:cat>
          <c:val>
            <c:numRef>
              <c:f>'Randolph County Gap Analysis'!$P$66:$P$69</c:f>
              <c:numCache>
                <c:formatCode>#,##0</c:formatCode>
                <c:ptCount val="4"/>
                <c:pt idx="0">
                  <c:v>3775</c:v>
                </c:pt>
                <c:pt idx="1">
                  <c:v>1925</c:v>
                </c:pt>
                <c:pt idx="2">
                  <c:v>990</c:v>
                </c:pt>
                <c:pt idx="3">
                  <c:v>1425</c:v>
                </c:pt>
              </c:numCache>
            </c:numRef>
          </c:val>
          <c:extLst>
            <c:ext xmlns:c16="http://schemas.microsoft.com/office/drawing/2014/chart" uri="{C3380CC4-5D6E-409C-BE32-E72D297353CC}">
              <c16:uniqueId val="{00000000-9446-4680-9A0C-0F11E7042949}"/>
            </c:ext>
          </c:extLst>
        </c:ser>
        <c:dLbls>
          <c:showLegendKey val="0"/>
          <c:showVal val="0"/>
          <c:showCatName val="0"/>
          <c:showSerName val="0"/>
          <c:showPercent val="0"/>
          <c:showBubbleSize val="0"/>
        </c:dLbls>
        <c:gapWidth val="219"/>
        <c:overlap val="-27"/>
        <c:axId val="1397392800"/>
        <c:axId val="1397391488"/>
      </c:barChart>
      <c:catAx>
        <c:axId val="1397392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7391488"/>
        <c:crosses val="autoZero"/>
        <c:auto val="1"/>
        <c:lblAlgn val="ctr"/>
        <c:lblOffset val="100"/>
        <c:noMultiLvlLbl val="0"/>
      </c:catAx>
      <c:valAx>
        <c:axId val="13973914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73928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0" i="0" u="none" strike="noStrike" kern="1200" spc="0" baseline="0">
                <a:solidFill>
                  <a:sysClr val="windowText" lastClr="000000">
                    <a:lumMod val="65000"/>
                    <a:lumOff val="35000"/>
                  </a:sysClr>
                </a:solidFill>
                <a:latin typeface="+mn-lt"/>
                <a:ea typeface="+mn-ea"/>
                <a:cs typeface="+mn-cs"/>
              </a:defRPr>
            </a:pPr>
            <a:r>
              <a:rPr lang="en-US" sz="1100" b="1" i="0" u="none" strike="noStrike" baseline="0">
                <a:effectLst/>
              </a:rPr>
              <a:t>Figure 30: Randolph County, WV</a:t>
            </a:r>
          </a:p>
          <a:p>
            <a:pPr marL="0" marR="0" lvl="0" indent="0" algn="ctr" defTabSz="914400" rtl="0" eaLnBrk="1" fontAlgn="auto" latinLnBrk="0" hangingPunct="1">
              <a:lnSpc>
                <a:spcPct val="100000"/>
              </a:lnSpc>
              <a:spcBef>
                <a:spcPts val="0"/>
              </a:spcBef>
              <a:spcAft>
                <a:spcPts val="0"/>
              </a:spcAft>
              <a:buClrTx/>
              <a:buSzTx/>
              <a:buFontTx/>
              <a:buNone/>
              <a:tabLst/>
              <a:defRPr sz="1600">
                <a:solidFill>
                  <a:sysClr val="windowText" lastClr="000000">
                    <a:lumMod val="65000"/>
                    <a:lumOff val="35000"/>
                  </a:sysClr>
                </a:solidFill>
              </a:defRPr>
            </a:pPr>
            <a:r>
              <a:rPr lang="en-US" sz="1100"/>
              <a:t>Owned/For-Sale</a:t>
            </a:r>
            <a:r>
              <a:rPr lang="en-US" sz="1100" baseline="0"/>
              <a:t> Housing Gap</a:t>
            </a:r>
          </a:p>
          <a:p>
            <a:pPr marL="0" marR="0" lvl="0" indent="0" algn="ctr" defTabSz="914400" rtl="0" eaLnBrk="1" fontAlgn="auto" latinLnBrk="0" hangingPunct="1">
              <a:lnSpc>
                <a:spcPct val="100000"/>
              </a:lnSpc>
              <a:spcBef>
                <a:spcPts val="0"/>
              </a:spcBef>
              <a:spcAft>
                <a:spcPts val="0"/>
              </a:spcAft>
              <a:buClrTx/>
              <a:buSzTx/>
              <a:buFontTx/>
              <a:buNone/>
              <a:tabLst/>
              <a:defRPr sz="1600">
                <a:solidFill>
                  <a:sysClr val="windowText" lastClr="000000">
                    <a:lumMod val="65000"/>
                    <a:lumOff val="35000"/>
                  </a:sysClr>
                </a:solidFill>
              </a:defRPr>
            </a:pPr>
            <a:r>
              <a:rPr lang="en-US" sz="1100" b="0" i="0" baseline="0">
                <a:effectLst/>
              </a:rPr>
              <a:t>Source: VCHR tabulation of 2014</a:t>
            </a:r>
            <a:r>
              <a:rPr lang="en-US" sz="1100" b="0" i="0" baseline="0">
                <a:effectLst/>
                <a:latin typeface="Times New Roman" panose="02020603050405020304" pitchFamily="18" charset="0"/>
                <a:cs typeface="Times New Roman" panose="02020603050405020304" pitchFamily="18" charset="0"/>
              </a:rPr>
              <a:t>–</a:t>
            </a:r>
            <a:r>
              <a:rPr lang="en-US" sz="1100" b="0" i="0" baseline="0">
                <a:effectLst/>
              </a:rPr>
              <a:t>2018 CHAS Data</a:t>
            </a:r>
            <a:endParaRPr lang="en-US" sz="1100">
              <a:effectLst/>
            </a:endParaRPr>
          </a:p>
        </c:rich>
      </c:tx>
      <c:layout>
        <c:manualLayout>
          <c:xMode val="edge"/>
          <c:yMode val="edge"/>
          <c:x val="0.35560776553543766"/>
          <c:y val="6.4641230144665716E-3"/>
        </c:manualLayout>
      </c:layout>
      <c:overlay val="0"/>
      <c:spPr>
        <a:solidFill>
          <a:schemeClr val="bg1"/>
        </a:solid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manualLayout>
          <c:layoutTarget val="inner"/>
          <c:xMode val="edge"/>
          <c:yMode val="edge"/>
          <c:x val="7.8889482359562821E-2"/>
          <c:y val="0.103458856345886"/>
          <c:w val="0.91668131199136227"/>
          <c:h val="0.61678186670180901"/>
        </c:manualLayout>
      </c:layout>
      <c:barChart>
        <c:barDir val="col"/>
        <c:grouping val="stacked"/>
        <c:varyColors val="0"/>
        <c:ser>
          <c:idx val="0"/>
          <c:order val="0"/>
          <c:tx>
            <c:strRef>
              <c:f>'Randolph County Gap Analysis'!$A$3</c:f>
              <c:strCache>
                <c:ptCount val="1"/>
                <c:pt idx="0">
                  <c:v>Vacant</c:v>
                </c:pt>
              </c:strCache>
            </c:strRef>
          </c:tx>
          <c:spPr>
            <a:pattFill prst="ltUpDiag">
              <a:fgClr>
                <a:srgbClr val="00B0F0"/>
              </a:fgClr>
              <a:bgClr>
                <a:schemeClr val="bg1"/>
              </a:bgClr>
            </a:pattFill>
            <a:ln>
              <a:noFill/>
            </a:ln>
            <a:effectLst/>
          </c:spPr>
          <c:invertIfNegative val="0"/>
          <c:cat>
            <c:strRef>
              <c:f>'Randolph County Gap Analysis'!$B$2:$I$2</c:f>
              <c:strCache>
                <c:ptCount val="8"/>
                <c:pt idx="0">
                  <c:v>Households with income &lt;= 50% of AMI</c:v>
                </c:pt>
                <c:pt idx="1">
                  <c:v>Stock affordable to households with income &lt;= 50% of AMI</c:v>
                </c:pt>
                <c:pt idx="3">
                  <c:v>Households with income 50%–80% of AMI</c:v>
                </c:pt>
                <c:pt idx="4">
                  <c:v>Stock affordable to households with income 50%–80% of AMI</c:v>
                </c:pt>
                <c:pt idx="6">
                  <c:v>Households with income 80–100% of AMI</c:v>
                </c:pt>
                <c:pt idx="7">
                  <c:v>Stock affordable to households with income 80%–100% of AMI</c:v>
                </c:pt>
              </c:strCache>
            </c:strRef>
          </c:cat>
          <c:val>
            <c:numRef>
              <c:f>'Randolph County Gap Analysis'!$B$3:$I$3</c:f>
              <c:numCache>
                <c:formatCode>_(* #,##0_);_(* \(#,##0\);_(* "-"??_);_(@_)</c:formatCode>
                <c:ptCount val="8"/>
                <c:pt idx="1">
                  <c:v>115</c:v>
                </c:pt>
                <c:pt idx="4">
                  <c:v>95</c:v>
                </c:pt>
                <c:pt idx="7">
                  <c:v>0</c:v>
                </c:pt>
              </c:numCache>
            </c:numRef>
          </c:val>
          <c:extLst>
            <c:ext xmlns:c16="http://schemas.microsoft.com/office/drawing/2014/chart" uri="{C3380CC4-5D6E-409C-BE32-E72D297353CC}">
              <c16:uniqueId val="{00000000-00C9-4CE5-956B-108461A70FF0}"/>
            </c:ext>
          </c:extLst>
        </c:ser>
        <c:ser>
          <c:idx val="1"/>
          <c:order val="1"/>
          <c:tx>
            <c:strRef>
              <c:f>'Randolph County Gap Analysis'!$A$4</c:f>
              <c:strCache>
                <c:ptCount val="1"/>
                <c:pt idx="0">
                  <c:v>Units Occupied by Owners with Household Income &lt; Affordability Income Range</c:v>
                </c:pt>
              </c:strCache>
            </c:strRef>
          </c:tx>
          <c:spPr>
            <a:pattFill prst="ltUpDiag">
              <a:fgClr>
                <a:schemeClr val="accent2"/>
              </a:fgClr>
              <a:bgClr>
                <a:schemeClr val="bg1"/>
              </a:bgClr>
            </a:pattFill>
            <a:ln>
              <a:noFill/>
            </a:ln>
            <a:effectLst/>
          </c:spPr>
          <c:invertIfNegative val="0"/>
          <c:dPt>
            <c:idx val="5"/>
            <c:invertIfNegative val="0"/>
            <c:bubble3D val="0"/>
            <c:spPr>
              <a:pattFill prst="ltUpDiag">
                <a:fgClr>
                  <a:schemeClr val="accent2"/>
                </a:fgClr>
                <a:bgClr>
                  <a:schemeClr val="bg1"/>
                </a:bgClr>
              </a:pattFill>
              <a:ln>
                <a:noFill/>
              </a:ln>
              <a:effectLst/>
            </c:spPr>
            <c:extLst>
              <c:ext xmlns:c16="http://schemas.microsoft.com/office/drawing/2014/chart" uri="{C3380CC4-5D6E-409C-BE32-E72D297353CC}">
                <c16:uniqueId val="{00000002-00C9-4CE5-956B-108461A70FF0}"/>
              </c:ext>
            </c:extLst>
          </c:dPt>
          <c:cat>
            <c:strRef>
              <c:f>'Randolph County Gap Analysis'!$B$2:$I$2</c:f>
              <c:strCache>
                <c:ptCount val="8"/>
                <c:pt idx="0">
                  <c:v>Households with income &lt;= 50% of AMI</c:v>
                </c:pt>
                <c:pt idx="1">
                  <c:v>Stock affordable to households with income &lt;= 50% of AMI</c:v>
                </c:pt>
                <c:pt idx="3">
                  <c:v>Households with income 50%–80% of AMI</c:v>
                </c:pt>
                <c:pt idx="4">
                  <c:v>Stock affordable to households with income 50%–80% of AMI</c:v>
                </c:pt>
                <c:pt idx="6">
                  <c:v>Households with income 80–100% of AMI</c:v>
                </c:pt>
                <c:pt idx="7">
                  <c:v>Stock affordable to households with income 80%–100% of AMI</c:v>
                </c:pt>
              </c:strCache>
            </c:strRef>
          </c:cat>
          <c:val>
            <c:numRef>
              <c:f>'Randolph County Gap Analysis'!$B$4:$I$4</c:f>
              <c:numCache>
                <c:formatCode>_(* #,##0_);_(* \(#,##0\);_(* "-"??_);_(@_)</c:formatCode>
                <c:ptCount val="8"/>
                <c:pt idx="1">
                  <c:v>0</c:v>
                </c:pt>
                <c:pt idx="4">
                  <c:v>265</c:v>
                </c:pt>
                <c:pt idx="5">
                  <c:v>24.72493841090516</c:v>
                </c:pt>
                <c:pt idx="7">
                  <c:v>225</c:v>
                </c:pt>
              </c:numCache>
            </c:numRef>
          </c:val>
          <c:extLst>
            <c:ext xmlns:c16="http://schemas.microsoft.com/office/drawing/2014/chart" uri="{C3380CC4-5D6E-409C-BE32-E72D297353CC}">
              <c16:uniqueId val="{00000003-00C9-4CE5-956B-108461A70FF0}"/>
            </c:ext>
          </c:extLst>
        </c:ser>
        <c:ser>
          <c:idx val="2"/>
          <c:order val="2"/>
          <c:tx>
            <c:strRef>
              <c:f>'Randolph County Gap Analysis'!$A$5</c:f>
              <c:strCache>
                <c:ptCount val="1"/>
                <c:pt idx="0">
                  <c:v>Units Occupied by Owners within Affordability Income Range</c:v>
                </c:pt>
              </c:strCache>
            </c:strRef>
          </c:tx>
          <c:spPr>
            <a:solidFill>
              <a:schemeClr val="accent3"/>
            </a:solidFill>
            <a:ln>
              <a:noFill/>
            </a:ln>
            <a:effectLst/>
          </c:spPr>
          <c:invertIfNegative val="0"/>
          <c:dPt>
            <c:idx val="4"/>
            <c:invertIfNegative val="0"/>
            <c:bubble3D val="0"/>
            <c:spPr>
              <a:pattFill prst="ltUpDiag">
                <a:fgClr>
                  <a:schemeClr val="bg2">
                    <a:lumMod val="75000"/>
                  </a:schemeClr>
                </a:fgClr>
                <a:bgClr>
                  <a:schemeClr val="bg1"/>
                </a:bgClr>
              </a:pattFill>
              <a:ln>
                <a:noFill/>
              </a:ln>
              <a:effectLst/>
            </c:spPr>
            <c:extLst>
              <c:ext xmlns:c16="http://schemas.microsoft.com/office/drawing/2014/chart" uri="{C3380CC4-5D6E-409C-BE32-E72D297353CC}">
                <c16:uniqueId val="{00000005-00C9-4CE5-956B-108461A70FF0}"/>
              </c:ext>
            </c:extLst>
          </c:dPt>
          <c:dPt>
            <c:idx val="5"/>
            <c:invertIfNegative val="0"/>
            <c:bubble3D val="0"/>
            <c:spPr>
              <a:noFill/>
              <a:ln>
                <a:noFill/>
              </a:ln>
              <a:effectLst/>
            </c:spPr>
            <c:extLst>
              <c:ext xmlns:c16="http://schemas.microsoft.com/office/drawing/2014/chart" uri="{C3380CC4-5D6E-409C-BE32-E72D297353CC}">
                <c16:uniqueId val="{00000007-00C9-4CE5-956B-108461A70FF0}"/>
              </c:ext>
            </c:extLst>
          </c:dPt>
          <c:cat>
            <c:strRef>
              <c:f>'Randolph County Gap Analysis'!$B$2:$I$2</c:f>
              <c:strCache>
                <c:ptCount val="8"/>
                <c:pt idx="0">
                  <c:v>Households with income &lt;= 50% of AMI</c:v>
                </c:pt>
                <c:pt idx="1">
                  <c:v>Stock affordable to households with income &lt;= 50% of AMI</c:v>
                </c:pt>
                <c:pt idx="3">
                  <c:v>Households with income 50%–80% of AMI</c:v>
                </c:pt>
                <c:pt idx="4">
                  <c:v>Stock affordable to households with income 50%–80% of AMI</c:v>
                </c:pt>
                <c:pt idx="6">
                  <c:v>Households with income 80–100% of AMI</c:v>
                </c:pt>
                <c:pt idx="7">
                  <c:v>Stock affordable to households with income 80%–100% of AMI</c:v>
                </c:pt>
              </c:strCache>
            </c:strRef>
          </c:cat>
          <c:val>
            <c:numRef>
              <c:f>'Randolph County Gap Analysis'!$B$5:$I$5</c:f>
              <c:numCache>
                <c:formatCode>_(* #,##0_);_(* \(#,##0\);_(* "-"??_);_(@_)</c:formatCode>
                <c:ptCount val="8"/>
                <c:pt idx="1">
                  <c:v>850</c:v>
                </c:pt>
                <c:pt idx="2">
                  <c:v>11.163677756566628</c:v>
                </c:pt>
                <c:pt idx="4">
                  <c:v>265</c:v>
                </c:pt>
                <c:pt idx="5">
                  <c:v>22.331796624999185</c:v>
                </c:pt>
                <c:pt idx="7">
                  <c:v>10</c:v>
                </c:pt>
              </c:numCache>
            </c:numRef>
          </c:val>
          <c:extLst>
            <c:ext xmlns:c16="http://schemas.microsoft.com/office/drawing/2014/chart" uri="{C3380CC4-5D6E-409C-BE32-E72D297353CC}">
              <c16:uniqueId val="{00000008-00C9-4CE5-956B-108461A70FF0}"/>
            </c:ext>
          </c:extLst>
        </c:ser>
        <c:ser>
          <c:idx val="3"/>
          <c:order val="3"/>
          <c:tx>
            <c:strRef>
              <c:f>'Randolph County Gap Analysis'!$A$6</c:f>
              <c:strCache>
                <c:ptCount val="1"/>
                <c:pt idx="0">
                  <c:v>Units Occupied by Owners with Household Income &gt; Affordability Income Range</c:v>
                </c:pt>
              </c:strCache>
            </c:strRef>
          </c:tx>
          <c:spPr>
            <a:solidFill>
              <a:schemeClr val="accent4"/>
            </a:solidFill>
            <a:ln>
              <a:noFill/>
            </a:ln>
            <a:effectLst/>
          </c:spPr>
          <c:invertIfNegative val="0"/>
          <c:dPt>
            <c:idx val="2"/>
            <c:invertIfNegative val="0"/>
            <c:bubble3D val="0"/>
            <c:spPr>
              <a:noFill/>
              <a:ln>
                <a:noFill/>
              </a:ln>
              <a:effectLst/>
            </c:spPr>
            <c:extLst>
              <c:ext xmlns:c16="http://schemas.microsoft.com/office/drawing/2014/chart" uri="{C3380CC4-5D6E-409C-BE32-E72D297353CC}">
                <c16:uniqueId val="{0000000A-00C9-4CE5-956B-108461A70FF0}"/>
              </c:ext>
            </c:extLst>
          </c:dPt>
          <c:dPt>
            <c:idx val="5"/>
            <c:invertIfNegative val="0"/>
            <c:bubble3D val="0"/>
            <c:spPr>
              <a:noFill/>
              <a:ln>
                <a:noFill/>
              </a:ln>
              <a:effectLst/>
            </c:spPr>
            <c:extLst>
              <c:ext xmlns:c16="http://schemas.microsoft.com/office/drawing/2014/chart" uri="{C3380CC4-5D6E-409C-BE32-E72D297353CC}">
                <c16:uniqueId val="{0000000C-00C9-4CE5-956B-108461A70FF0}"/>
              </c:ext>
            </c:extLst>
          </c:dPt>
          <c:cat>
            <c:strRef>
              <c:f>'Randolph County Gap Analysis'!$B$2:$I$2</c:f>
              <c:strCache>
                <c:ptCount val="8"/>
                <c:pt idx="0">
                  <c:v>Households with income &lt;= 50% of AMI</c:v>
                </c:pt>
                <c:pt idx="1">
                  <c:v>Stock affordable to households with income &lt;= 50% of AMI</c:v>
                </c:pt>
                <c:pt idx="3">
                  <c:v>Households with income 50%–80% of AMI</c:v>
                </c:pt>
                <c:pt idx="4">
                  <c:v>Stock affordable to households with income 50%–80% of AMI</c:v>
                </c:pt>
                <c:pt idx="6">
                  <c:v>Households with income 80–100% of AMI</c:v>
                </c:pt>
                <c:pt idx="7">
                  <c:v>Stock affordable to households with income 80%–100% of AMI</c:v>
                </c:pt>
              </c:strCache>
            </c:strRef>
          </c:cat>
          <c:val>
            <c:numRef>
              <c:f>'Randolph County Gap Analysis'!$B$6:$I$6</c:f>
              <c:numCache>
                <c:formatCode>_(* #,##0_);_(* \(#,##0\);_(* "-"??_);_(@_)</c:formatCode>
                <c:ptCount val="8"/>
                <c:pt idx="1">
                  <c:v>2810</c:v>
                </c:pt>
                <c:pt idx="2">
                  <c:v>6.6399491697374247</c:v>
                </c:pt>
                <c:pt idx="4">
                  <c:v>1295</c:v>
                </c:pt>
                <c:pt idx="5">
                  <c:v>9.2891201506512022</c:v>
                </c:pt>
                <c:pt idx="7">
                  <c:v>755</c:v>
                </c:pt>
              </c:numCache>
            </c:numRef>
          </c:val>
          <c:extLst>
            <c:ext xmlns:c16="http://schemas.microsoft.com/office/drawing/2014/chart" uri="{C3380CC4-5D6E-409C-BE32-E72D297353CC}">
              <c16:uniqueId val="{0000000D-00C9-4CE5-956B-108461A70FF0}"/>
            </c:ext>
          </c:extLst>
        </c:ser>
        <c:ser>
          <c:idx val="4"/>
          <c:order val="4"/>
          <c:tx>
            <c:strRef>
              <c:f>'Randolph County Gap Analysis'!$A$7</c:f>
              <c:strCache>
                <c:ptCount val="1"/>
                <c:pt idx="0">
                  <c:v>Cost-burdened Households</c:v>
                </c:pt>
              </c:strCache>
            </c:strRef>
          </c:tx>
          <c:spPr>
            <a:solidFill>
              <a:schemeClr val="accent5"/>
            </a:solidFill>
            <a:ln>
              <a:noFill/>
            </a:ln>
            <a:effectLst/>
          </c:spPr>
          <c:invertIfNegative val="0"/>
          <c:dPt>
            <c:idx val="1"/>
            <c:invertIfNegative val="0"/>
            <c:bubble3D val="0"/>
            <c:spPr>
              <a:pattFill prst="pct5">
                <a:fgClr>
                  <a:srgbClr val="0070C0"/>
                </a:fgClr>
                <a:bgClr>
                  <a:schemeClr val="bg1"/>
                </a:bgClr>
              </a:pattFill>
              <a:ln>
                <a:noFill/>
              </a:ln>
              <a:effectLst/>
            </c:spPr>
            <c:extLst>
              <c:ext xmlns:c16="http://schemas.microsoft.com/office/drawing/2014/chart" uri="{C3380CC4-5D6E-409C-BE32-E72D297353CC}">
                <c16:uniqueId val="{0000000F-00C9-4CE5-956B-108461A70FF0}"/>
              </c:ext>
            </c:extLst>
          </c:dPt>
          <c:dPt>
            <c:idx val="3"/>
            <c:invertIfNegative val="0"/>
            <c:bubble3D val="0"/>
            <c:spPr>
              <a:pattFill prst="ltUpDiag">
                <a:fgClr>
                  <a:srgbClr val="0070C0"/>
                </a:fgClr>
                <a:bgClr>
                  <a:schemeClr val="bg1"/>
                </a:bgClr>
              </a:pattFill>
              <a:ln>
                <a:noFill/>
              </a:ln>
              <a:effectLst/>
            </c:spPr>
            <c:extLst>
              <c:ext xmlns:c16="http://schemas.microsoft.com/office/drawing/2014/chart" uri="{C3380CC4-5D6E-409C-BE32-E72D297353CC}">
                <c16:uniqueId val="{00000011-00C9-4CE5-956B-108461A70FF0}"/>
              </c:ext>
            </c:extLst>
          </c:dPt>
          <c:dPt>
            <c:idx val="4"/>
            <c:invertIfNegative val="0"/>
            <c:bubble3D val="0"/>
            <c:spPr>
              <a:pattFill prst="pct5">
                <a:fgClr>
                  <a:srgbClr val="0070C0"/>
                </a:fgClr>
                <a:bgClr>
                  <a:schemeClr val="bg1"/>
                </a:bgClr>
              </a:pattFill>
              <a:ln>
                <a:noFill/>
              </a:ln>
              <a:effectLst/>
            </c:spPr>
            <c:extLst>
              <c:ext xmlns:c16="http://schemas.microsoft.com/office/drawing/2014/chart" uri="{C3380CC4-5D6E-409C-BE32-E72D297353CC}">
                <c16:uniqueId val="{00000013-00C9-4CE5-956B-108461A70FF0}"/>
              </c:ext>
            </c:extLst>
          </c:dPt>
          <c:dPt>
            <c:idx val="6"/>
            <c:invertIfNegative val="0"/>
            <c:bubble3D val="0"/>
            <c:spPr>
              <a:pattFill prst="ltUpDiag">
                <a:fgClr>
                  <a:srgbClr val="0070C0"/>
                </a:fgClr>
                <a:bgClr>
                  <a:schemeClr val="bg1"/>
                </a:bgClr>
              </a:pattFill>
              <a:ln>
                <a:noFill/>
              </a:ln>
              <a:effectLst/>
            </c:spPr>
            <c:extLst>
              <c:ext xmlns:c16="http://schemas.microsoft.com/office/drawing/2014/chart" uri="{C3380CC4-5D6E-409C-BE32-E72D297353CC}">
                <c16:uniqueId val="{00000015-00C9-4CE5-956B-108461A70FF0}"/>
              </c:ext>
            </c:extLst>
          </c:dPt>
          <c:dPt>
            <c:idx val="7"/>
            <c:invertIfNegative val="0"/>
            <c:bubble3D val="0"/>
            <c:spPr>
              <a:pattFill prst="pct5">
                <a:fgClr>
                  <a:srgbClr val="0070C0"/>
                </a:fgClr>
                <a:bgClr>
                  <a:schemeClr val="bg1"/>
                </a:bgClr>
              </a:pattFill>
              <a:ln>
                <a:noFill/>
              </a:ln>
              <a:effectLst/>
            </c:spPr>
            <c:extLst>
              <c:ext xmlns:c16="http://schemas.microsoft.com/office/drawing/2014/chart" uri="{C3380CC4-5D6E-409C-BE32-E72D297353CC}">
                <c16:uniqueId val="{00000017-00C9-4CE5-956B-108461A70FF0}"/>
              </c:ext>
            </c:extLst>
          </c:dPt>
          <c:cat>
            <c:strRef>
              <c:f>'Randolph County Gap Analysis'!$B$2:$I$2</c:f>
              <c:strCache>
                <c:ptCount val="8"/>
                <c:pt idx="0">
                  <c:v>Households with income &lt;= 50% of AMI</c:v>
                </c:pt>
                <c:pt idx="1">
                  <c:v>Stock affordable to households with income &lt;= 50% of AMI</c:v>
                </c:pt>
                <c:pt idx="3">
                  <c:v>Households with income 50%–80% of AMI</c:v>
                </c:pt>
                <c:pt idx="4">
                  <c:v>Stock affordable to households with income 50%–80% of AMI</c:v>
                </c:pt>
                <c:pt idx="6">
                  <c:v>Households with income 80–100% of AMI</c:v>
                </c:pt>
                <c:pt idx="7">
                  <c:v>Stock affordable to households with income 80%–100% of AMI</c:v>
                </c:pt>
              </c:strCache>
            </c:strRef>
          </c:cat>
          <c:val>
            <c:numRef>
              <c:f>'Randolph County Gap Analysis'!$B$7:$I$7</c:f>
              <c:numCache>
                <c:formatCode>_(* #,##0_);_(* \(#,##0\);_(* "-"??_);_(@_)</c:formatCode>
                <c:ptCount val="8"/>
                <c:pt idx="0">
                  <c:v>670</c:v>
                </c:pt>
                <c:pt idx="1">
                  <c:v>14.647207469099891</c:v>
                </c:pt>
                <c:pt idx="3">
                  <c:v>270</c:v>
                </c:pt>
                <c:pt idx="4">
                  <c:v>22.171191410043836</c:v>
                </c:pt>
                <c:pt idx="6">
                  <c:v>70</c:v>
                </c:pt>
                <c:pt idx="7">
                  <c:v>44.255987168878534</c:v>
                </c:pt>
              </c:numCache>
            </c:numRef>
          </c:val>
          <c:extLst>
            <c:ext xmlns:c16="http://schemas.microsoft.com/office/drawing/2014/chart" uri="{C3380CC4-5D6E-409C-BE32-E72D297353CC}">
              <c16:uniqueId val="{00000018-00C9-4CE5-956B-108461A70FF0}"/>
            </c:ext>
          </c:extLst>
        </c:ser>
        <c:ser>
          <c:idx val="5"/>
          <c:order val="5"/>
          <c:tx>
            <c:strRef>
              <c:f>'Randolph County Gap Analysis'!$A$8</c:f>
              <c:strCache>
                <c:ptCount val="1"/>
                <c:pt idx="0">
                  <c:v>Households that are Not Cost Burdened</c:v>
                </c:pt>
              </c:strCache>
            </c:strRef>
          </c:tx>
          <c:spPr>
            <a:solidFill>
              <a:schemeClr val="accent6"/>
            </a:solidFill>
            <a:ln>
              <a:noFill/>
            </a:ln>
            <a:effectLst/>
          </c:spPr>
          <c:invertIfNegative val="0"/>
          <c:dPt>
            <c:idx val="6"/>
            <c:invertIfNegative val="0"/>
            <c:bubble3D val="0"/>
            <c:spPr>
              <a:pattFill prst="ltUpDiag">
                <a:fgClr>
                  <a:srgbClr val="00B050"/>
                </a:fgClr>
                <a:bgClr>
                  <a:schemeClr val="bg1"/>
                </a:bgClr>
              </a:pattFill>
              <a:ln>
                <a:noFill/>
              </a:ln>
              <a:effectLst/>
            </c:spPr>
            <c:extLst>
              <c:ext xmlns:c16="http://schemas.microsoft.com/office/drawing/2014/chart" uri="{C3380CC4-5D6E-409C-BE32-E72D297353CC}">
                <c16:uniqueId val="{0000001A-00C9-4CE5-956B-108461A70FF0}"/>
              </c:ext>
            </c:extLst>
          </c:dPt>
          <c:cat>
            <c:strRef>
              <c:f>'Randolph County Gap Analysis'!$B$2:$I$2</c:f>
              <c:strCache>
                <c:ptCount val="8"/>
                <c:pt idx="0">
                  <c:v>Households with income &lt;= 50% of AMI</c:v>
                </c:pt>
                <c:pt idx="1">
                  <c:v>Stock affordable to households with income &lt;= 50% of AMI</c:v>
                </c:pt>
                <c:pt idx="3">
                  <c:v>Households with income 50%–80% of AMI</c:v>
                </c:pt>
                <c:pt idx="4">
                  <c:v>Stock affordable to households with income 50%–80% of AMI</c:v>
                </c:pt>
                <c:pt idx="6">
                  <c:v>Households with income 80–100% of AMI</c:v>
                </c:pt>
                <c:pt idx="7">
                  <c:v>Stock affordable to households with income 80%–100% of AMI</c:v>
                </c:pt>
              </c:strCache>
            </c:strRef>
          </c:cat>
          <c:val>
            <c:numRef>
              <c:f>'Randolph County Gap Analysis'!$B$8:$I$8</c:f>
              <c:numCache>
                <c:formatCode>General</c:formatCode>
                <c:ptCount val="8"/>
                <c:pt idx="0" formatCode="_(* #,##0_);_(* \(#,##0\);_(* &quot;-&quot;??_);_(@_)">
                  <c:v>755</c:v>
                </c:pt>
                <c:pt idx="3" formatCode="_(* #,##0_);_(* \(#,##0\);_(* &quot;-&quot;??_);_(@_)">
                  <c:v>1000</c:v>
                </c:pt>
                <c:pt idx="6" formatCode="_(* #,##0_);_(* \(#,##0\);_(* &quot;-&quot;??_);_(@_)">
                  <c:v>565</c:v>
                </c:pt>
              </c:numCache>
            </c:numRef>
          </c:val>
          <c:extLst>
            <c:ext xmlns:c16="http://schemas.microsoft.com/office/drawing/2014/chart" uri="{C3380CC4-5D6E-409C-BE32-E72D297353CC}">
              <c16:uniqueId val="{0000001B-00C9-4CE5-956B-108461A70FF0}"/>
            </c:ext>
          </c:extLst>
        </c:ser>
        <c:dLbls>
          <c:showLegendKey val="0"/>
          <c:showVal val="0"/>
          <c:showCatName val="0"/>
          <c:showSerName val="0"/>
          <c:showPercent val="0"/>
          <c:showBubbleSize val="0"/>
        </c:dLbls>
        <c:gapWidth val="150"/>
        <c:overlap val="100"/>
        <c:axId val="-2126888000"/>
        <c:axId val="-2129720960"/>
      </c:barChart>
      <c:catAx>
        <c:axId val="-2126888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9720960"/>
        <c:crosses val="autoZero"/>
        <c:auto val="1"/>
        <c:lblAlgn val="ctr"/>
        <c:lblOffset val="100"/>
        <c:noMultiLvlLbl val="0"/>
      </c:catAx>
      <c:valAx>
        <c:axId val="-2129720960"/>
        <c:scaling>
          <c:orientation val="minMax"/>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2126888000"/>
        <c:crosses val="autoZero"/>
        <c:crossBetween val="between"/>
      </c:valAx>
      <c:spPr>
        <a:noFill/>
        <a:ln>
          <a:noFill/>
        </a:ln>
        <a:effectLst/>
      </c:spPr>
    </c:plotArea>
    <c:legend>
      <c:legendPos val="b"/>
      <c:layout>
        <c:manualLayout>
          <c:xMode val="edge"/>
          <c:yMode val="edge"/>
          <c:x val="2.54415164518303E-2"/>
          <c:y val="0.88709606668584695"/>
          <c:w val="0.95922880712500302"/>
          <c:h val="0.10061514881363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0" i="0" u="none" strike="noStrike" kern="1200" spc="0" baseline="0">
                <a:solidFill>
                  <a:sysClr val="windowText" lastClr="000000">
                    <a:lumMod val="65000"/>
                    <a:lumOff val="35000"/>
                  </a:sysClr>
                </a:solidFill>
                <a:latin typeface="+mn-lt"/>
                <a:ea typeface="+mn-ea"/>
                <a:cs typeface="+mn-cs"/>
              </a:defRPr>
            </a:pPr>
            <a:r>
              <a:rPr lang="en-US" sz="1100" b="1" i="0" baseline="0">
                <a:effectLst/>
              </a:rPr>
              <a:t>Figure 31: Randolph County, WV</a:t>
            </a:r>
            <a:endParaRPr lang="en-US" sz="1100">
              <a:effectLst/>
            </a:endParaRPr>
          </a:p>
          <a:p>
            <a:pPr marL="0" marR="0" lvl="0" indent="0" algn="ctr" defTabSz="914400" rtl="0" eaLnBrk="1" fontAlgn="auto" latinLnBrk="0" hangingPunct="1">
              <a:lnSpc>
                <a:spcPct val="100000"/>
              </a:lnSpc>
              <a:spcBef>
                <a:spcPts val="0"/>
              </a:spcBef>
              <a:spcAft>
                <a:spcPts val="0"/>
              </a:spcAft>
              <a:buClrTx/>
              <a:buSzTx/>
              <a:buFontTx/>
              <a:buNone/>
              <a:tabLst/>
              <a:defRPr sz="1600">
                <a:solidFill>
                  <a:sysClr val="windowText" lastClr="000000">
                    <a:lumMod val="65000"/>
                    <a:lumOff val="35000"/>
                  </a:sysClr>
                </a:solidFill>
              </a:defRPr>
            </a:pPr>
            <a:r>
              <a:rPr lang="en-US" sz="1100"/>
              <a:t>Rented/For-Rent</a:t>
            </a:r>
            <a:r>
              <a:rPr lang="en-US" sz="1100" baseline="0"/>
              <a:t> Housing Gap</a:t>
            </a:r>
          </a:p>
          <a:p>
            <a:pPr marL="0" marR="0" lvl="0" indent="0" algn="ctr" defTabSz="914400" rtl="0" eaLnBrk="1" fontAlgn="auto" latinLnBrk="0" hangingPunct="1">
              <a:lnSpc>
                <a:spcPct val="100000"/>
              </a:lnSpc>
              <a:spcBef>
                <a:spcPts val="0"/>
              </a:spcBef>
              <a:spcAft>
                <a:spcPts val="0"/>
              </a:spcAft>
              <a:buClrTx/>
              <a:buSzTx/>
              <a:buFontTx/>
              <a:buNone/>
              <a:tabLst/>
              <a:defRPr sz="1600">
                <a:solidFill>
                  <a:sysClr val="windowText" lastClr="000000">
                    <a:lumMod val="65000"/>
                    <a:lumOff val="35000"/>
                  </a:sysClr>
                </a:solidFill>
              </a:defRPr>
            </a:pPr>
            <a:r>
              <a:rPr lang="en-US" sz="1100" b="0" i="0" baseline="0">
                <a:effectLst/>
              </a:rPr>
              <a:t>Source: VCHR tabulation of 2014</a:t>
            </a:r>
            <a:r>
              <a:rPr lang="en-US" sz="1100" b="0" i="0" baseline="0">
                <a:effectLst/>
                <a:latin typeface="Times New Roman" panose="02020603050405020304" pitchFamily="18" charset="0"/>
                <a:cs typeface="Times New Roman" panose="02020603050405020304" pitchFamily="18" charset="0"/>
              </a:rPr>
              <a:t>–</a:t>
            </a:r>
            <a:r>
              <a:rPr lang="en-US" sz="1100" b="0" i="0" baseline="0">
                <a:effectLst/>
              </a:rPr>
              <a:t>2018 CHAS Data</a:t>
            </a:r>
            <a:endParaRPr lang="en-US" sz="1100">
              <a:effectLst/>
            </a:endParaRPr>
          </a:p>
        </c:rich>
      </c:tx>
      <c:overlay val="0"/>
      <c:spPr>
        <a:solidFill>
          <a:schemeClr val="bg1"/>
        </a:solid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manualLayout>
          <c:layoutTarget val="inner"/>
          <c:xMode val="edge"/>
          <c:yMode val="edge"/>
          <c:x val="7.8889482359562821E-2"/>
          <c:y val="0.103458856345886"/>
          <c:w val="0.91668131199136227"/>
          <c:h val="0.61678186670180901"/>
        </c:manualLayout>
      </c:layout>
      <c:barChart>
        <c:barDir val="col"/>
        <c:grouping val="stacked"/>
        <c:varyColors val="0"/>
        <c:ser>
          <c:idx val="0"/>
          <c:order val="0"/>
          <c:tx>
            <c:strRef>
              <c:f>'Randolph County Gap Analysis'!$A$57</c:f>
              <c:strCache>
                <c:ptCount val="1"/>
                <c:pt idx="0">
                  <c:v>Vacant</c:v>
                </c:pt>
              </c:strCache>
            </c:strRef>
          </c:tx>
          <c:spPr>
            <a:pattFill prst="ltUpDiag">
              <a:fgClr>
                <a:schemeClr val="accent1"/>
              </a:fgClr>
              <a:bgClr>
                <a:schemeClr val="bg1"/>
              </a:bgClr>
            </a:pattFill>
            <a:ln>
              <a:noFill/>
            </a:ln>
            <a:effectLst/>
          </c:spPr>
          <c:invertIfNegative val="0"/>
          <c:cat>
            <c:strRef>
              <c:f>'Randolph County Gap Analysis'!$B$56:$I$56</c:f>
              <c:strCache>
                <c:ptCount val="8"/>
                <c:pt idx="0">
                  <c:v>Households with income &lt;= 30% of AMI</c:v>
                </c:pt>
                <c:pt idx="1">
                  <c:v>Stock affordable to households with income &lt;=30% of AMI</c:v>
                </c:pt>
                <c:pt idx="3">
                  <c:v>Households with income 30%–50% of AMI</c:v>
                </c:pt>
                <c:pt idx="4">
                  <c:v>Stock affordable to households with income 30%–50% of AMI</c:v>
                </c:pt>
                <c:pt idx="6">
                  <c:v>Households with income 50%–80% of AMI</c:v>
                </c:pt>
                <c:pt idx="7">
                  <c:v>Stock affordable to households with income 50%–80% of AMI</c:v>
                </c:pt>
              </c:strCache>
            </c:strRef>
          </c:cat>
          <c:val>
            <c:numRef>
              <c:f>'Randolph County Gap Analysis'!$B$57:$I$57</c:f>
              <c:numCache>
                <c:formatCode>_(* #,##0_);_(* \(#,##0\);_(* "-"??_);_(@_)</c:formatCode>
                <c:ptCount val="8"/>
                <c:pt idx="1">
                  <c:v>0</c:v>
                </c:pt>
                <c:pt idx="4">
                  <c:v>210</c:v>
                </c:pt>
                <c:pt idx="7">
                  <c:v>20</c:v>
                </c:pt>
              </c:numCache>
            </c:numRef>
          </c:val>
          <c:extLst>
            <c:ext xmlns:c16="http://schemas.microsoft.com/office/drawing/2014/chart" uri="{C3380CC4-5D6E-409C-BE32-E72D297353CC}">
              <c16:uniqueId val="{00000000-BB82-4763-A7F4-5A739763A8E9}"/>
            </c:ext>
          </c:extLst>
        </c:ser>
        <c:ser>
          <c:idx val="2"/>
          <c:order val="1"/>
          <c:tx>
            <c:strRef>
              <c:f>'Randolph County Gap Analysis'!$A$59</c:f>
              <c:strCache>
                <c:ptCount val="1"/>
                <c:pt idx="0">
                  <c:v>Units Occupied by Renters within Affordability Income Range</c:v>
                </c:pt>
              </c:strCache>
            </c:strRef>
          </c:tx>
          <c:spPr>
            <a:solidFill>
              <a:schemeClr val="accent3"/>
            </a:solidFill>
            <a:ln>
              <a:noFill/>
            </a:ln>
            <a:effectLst/>
          </c:spPr>
          <c:invertIfNegative val="0"/>
          <c:dPt>
            <c:idx val="1"/>
            <c:invertIfNegative val="0"/>
            <c:bubble3D val="0"/>
            <c:spPr>
              <a:pattFill prst="ltUpDiag">
                <a:fgClr>
                  <a:schemeClr val="accent3"/>
                </a:fgClr>
                <a:bgClr>
                  <a:schemeClr val="bg1"/>
                </a:bgClr>
              </a:pattFill>
              <a:ln>
                <a:noFill/>
              </a:ln>
              <a:effectLst/>
            </c:spPr>
            <c:extLst>
              <c:ext xmlns:c16="http://schemas.microsoft.com/office/drawing/2014/chart" uri="{C3380CC4-5D6E-409C-BE32-E72D297353CC}">
                <c16:uniqueId val="{00000005-BB82-4763-A7F4-5A739763A8E9}"/>
              </c:ext>
            </c:extLst>
          </c:dPt>
          <c:dPt>
            <c:idx val="2"/>
            <c:invertIfNegative val="0"/>
            <c:bubble3D val="0"/>
            <c:spPr>
              <a:noFill/>
              <a:ln>
                <a:noFill/>
              </a:ln>
              <a:effectLst/>
            </c:spPr>
            <c:extLst>
              <c:ext xmlns:c16="http://schemas.microsoft.com/office/drawing/2014/chart" uri="{C3380CC4-5D6E-409C-BE32-E72D297353CC}">
                <c16:uniqueId val="{00000007-BB82-4763-A7F4-5A739763A8E9}"/>
              </c:ext>
            </c:extLst>
          </c:dPt>
          <c:dPt>
            <c:idx val="4"/>
            <c:invertIfNegative val="0"/>
            <c:bubble3D val="0"/>
            <c:spPr>
              <a:pattFill prst="ltUpDiag">
                <a:fgClr>
                  <a:schemeClr val="accent3"/>
                </a:fgClr>
                <a:bgClr>
                  <a:schemeClr val="bg1"/>
                </a:bgClr>
              </a:pattFill>
              <a:ln>
                <a:noFill/>
              </a:ln>
              <a:effectLst/>
            </c:spPr>
            <c:extLst>
              <c:ext xmlns:c16="http://schemas.microsoft.com/office/drawing/2014/chart" uri="{C3380CC4-5D6E-409C-BE32-E72D297353CC}">
                <c16:uniqueId val="{00000009-BB82-4763-A7F4-5A739763A8E9}"/>
              </c:ext>
            </c:extLst>
          </c:dPt>
          <c:dPt>
            <c:idx val="5"/>
            <c:invertIfNegative val="0"/>
            <c:bubble3D val="0"/>
            <c:spPr>
              <a:noFill/>
              <a:ln>
                <a:noFill/>
              </a:ln>
              <a:effectLst/>
            </c:spPr>
            <c:extLst>
              <c:ext xmlns:c16="http://schemas.microsoft.com/office/drawing/2014/chart" uri="{C3380CC4-5D6E-409C-BE32-E72D297353CC}">
                <c16:uniqueId val="{0000000B-BB82-4763-A7F4-5A739763A8E9}"/>
              </c:ext>
            </c:extLst>
          </c:dPt>
          <c:dPt>
            <c:idx val="7"/>
            <c:invertIfNegative val="0"/>
            <c:bubble3D val="0"/>
            <c:spPr>
              <a:pattFill prst="ltUpDiag">
                <a:fgClr>
                  <a:schemeClr val="accent3"/>
                </a:fgClr>
                <a:bgClr>
                  <a:schemeClr val="bg1"/>
                </a:bgClr>
              </a:pattFill>
              <a:ln>
                <a:noFill/>
              </a:ln>
              <a:effectLst/>
            </c:spPr>
            <c:extLst>
              <c:ext xmlns:c16="http://schemas.microsoft.com/office/drawing/2014/chart" uri="{C3380CC4-5D6E-409C-BE32-E72D297353CC}">
                <c16:uniqueId val="{0000000D-BB82-4763-A7F4-5A739763A8E9}"/>
              </c:ext>
            </c:extLst>
          </c:dPt>
          <c:cat>
            <c:strRef>
              <c:f>'Randolph County Gap Analysis'!$B$56:$I$56</c:f>
              <c:strCache>
                <c:ptCount val="8"/>
                <c:pt idx="0">
                  <c:v>Households with income &lt;= 30% of AMI</c:v>
                </c:pt>
                <c:pt idx="1">
                  <c:v>Stock affordable to households with income &lt;=30% of AMI</c:v>
                </c:pt>
                <c:pt idx="3">
                  <c:v>Households with income 30%–50% of AMI</c:v>
                </c:pt>
                <c:pt idx="4">
                  <c:v>Stock affordable to households with income 30%–50% of AMI</c:v>
                </c:pt>
                <c:pt idx="6">
                  <c:v>Households with income 50%–80% of AMI</c:v>
                </c:pt>
                <c:pt idx="7">
                  <c:v>Stock affordable to households with income 50%–80% of AMI</c:v>
                </c:pt>
              </c:strCache>
            </c:strRef>
          </c:cat>
          <c:val>
            <c:numRef>
              <c:f>'Randolph County Gap Analysis'!$B$59:$I$59</c:f>
              <c:numCache>
                <c:formatCode>_(* #,##0_);_(* \(#,##0\);_(* "-"??_);_(@_)</c:formatCode>
                <c:ptCount val="8"/>
                <c:pt idx="1">
                  <c:v>190</c:v>
                </c:pt>
                <c:pt idx="2">
                  <c:v>23.996160614301708</c:v>
                </c:pt>
                <c:pt idx="4">
                  <c:v>225</c:v>
                </c:pt>
                <c:pt idx="5">
                  <c:v>28.368794326241137</c:v>
                </c:pt>
                <c:pt idx="7">
                  <c:v>300</c:v>
                </c:pt>
              </c:numCache>
            </c:numRef>
          </c:val>
          <c:extLst>
            <c:ext xmlns:c16="http://schemas.microsoft.com/office/drawing/2014/chart" uri="{C3380CC4-5D6E-409C-BE32-E72D297353CC}">
              <c16:uniqueId val="{0000000E-BB82-4763-A7F4-5A739763A8E9}"/>
            </c:ext>
          </c:extLst>
        </c:ser>
        <c:ser>
          <c:idx val="3"/>
          <c:order val="2"/>
          <c:tx>
            <c:strRef>
              <c:f>'Randolph County Gap Analysis'!$A$60</c:f>
              <c:strCache>
                <c:ptCount val="1"/>
                <c:pt idx="0">
                  <c:v>Units Occupied by Renters with Household Income &gt; Affordability Income Range</c:v>
                </c:pt>
              </c:strCache>
            </c:strRef>
          </c:tx>
          <c:spPr>
            <a:solidFill>
              <a:schemeClr val="accent4"/>
            </a:solidFill>
            <a:ln>
              <a:noFill/>
            </a:ln>
            <a:effectLst/>
          </c:spPr>
          <c:invertIfNegative val="0"/>
          <c:dPt>
            <c:idx val="1"/>
            <c:invertIfNegative val="0"/>
            <c:bubble3D val="0"/>
            <c:spPr>
              <a:pattFill prst="ltUpDiag">
                <a:fgClr>
                  <a:schemeClr val="accent4"/>
                </a:fgClr>
                <a:bgClr>
                  <a:schemeClr val="bg1"/>
                </a:bgClr>
              </a:pattFill>
              <a:ln>
                <a:noFill/>
              </a:ln>
              <a:effectLst/>
            </c:spPr>
            <c:extLst>
              <c:ext xmlns:c16="http://schemas.microsoft.com/office/drawing/2014/chart" uri="{C3380CC4-5D6E-409C-BE32-E72D297353CC}">
                <c16:uniqueId val="{00000010-BB82-4763-A7F4-5A739763A8E9}"/>
              </c:ext>
            </c:extLst>
          </c:dPt>
          <c:dPt>
            <c:idx val="2"/>
            <c:invertIfNegative val="0"/>
            <c:bubble3D val="0"/>
            <c:spPr>
              <a:noFill/>
              <a:ln>
                <a:noFill/>
              </a:ln>
              <a:effectLst/>
            </c:spPr>
            <c:extLst>
              <c:ext xmlns:c16="http://schemas.microsoft.com/office/drawing/2014/chart" uri="{C3380CC4-5D6E-409C-BE32-E72D297353CC}">
                <c16:uniqueId val="{00000012-BB82-4763-A7F4-5A739763A8E9}"/>
              </c:ext>
            </c:extLst>
          </c:dPt>
          <c:dPt>
            <c:idx val="4"/>
            <c:invertIfNegative val="0"/>
            <c:bubble3D val="0"/>
            <c:spPr>
              <a:pattFill prst="ltUpDiag">
                <a:fgClr>
                  <a:schemeClr val="accent4"/>
                </a:fgClr>
                <a:bgClr>
                  <a:schemeClr val="bg1"/>
                </a:bgClr>
              </a:pattFill>
              <a:ln>
                <a:noFill/>
              </a:ln>
              <a:effectLst/>
            </c:spPr>
            <c:extLst>
              <c:ext xmlns:c16="http://schemas.microsoft.com/office/drawing/2014/chart" uri="{C3380CC4-5D6E-409C-BE32-E72D297353CC}">
                <c16:uniqueId val="{00000014-BB82-4763-A7F4-5A739763A8E9}"/>
              </c:ext>
            </c:extLst>
          </c:dPt>
          <c:dPt>
            <c:idx val="5"/>
            <c:invertIfNegative val="0"/>
            <c:bubble3D val="0"/>
            <c:spPr>
              <a:noFill/>
              <a:ln>
                <a:noFill/>
              </a:ln>
              <a:effectLst/>
            </c:spPr>
            <c:extLst>
              <c:ext xmlns:c16="http://schemas.microsoft.com/office/drawing/2014/chart" uri="{C3380CC4-5D6E-409C-BE32-E72D297353CC}">
                <c16:uniqueId val="{00000016-BB82-4763-A7F4-5A739763A8E9}"/>
              </c:ext>
            </c:extLst>
          </c:dPt>
          <c:cat>
            <c:strRef>
              <c:f>'Randolph County Gap Analysis'!$B$56:$I$56</c:f>
              <c:strCache>
                <c:ptCount val="8"/>
                <c:pt idx="0">
                  <c:v>Households with income &lt;= 30% of AMI</c:v>
                </c:pt>
                <c:pt idx="1">
                  <c:v>Stock affordable to households with income &lt;=30% of AMI</c:v>
                </c:pt>
                <c:pt idx="3">
                  <c:v>Households with income 30%–50% of AMI</c:v>
                </c:pt>
                <c:pt idx="4">
                  <c:v>Stock affordable to households with income 30%–50% of AMI</c:v>
                </c:pt>
                <c:pt idx="6">
                  <c:v>Households with income 50%–80% of AMI</c:v>
                </c:pt>
                <c:pt idx="7">
                  <c:v>Stock affordable to households with income 50%–80% of AMI</c:v>
                </c:pt>
              </c:strCache>
            </c:strRef>
          </c:cat>
          <c:val>
            <c:numRef>
              <c:f>'Randolph County Gap Analysis'!$B$60:$I$60</c:f>
              <c:numCache>
                <c:formatCode>_(* #,##0_);_(* \(#,##0\);_(* "-"??_);_(@_)</c:formatCode>
                <c:ptCount val="8"/>
                <c:pt idx="1">
                  <c:v>455</c:v>
                </c:pt>
                <c:pt idx="2">
                  <c:v>16.110901345684255</c:v>
                </c:pt>
                <c:pt idx="4">
                  <c:v>540</c:v>
                </c:pt>
                <c:pt idx="5">
                  <c:v>17.174173772497291</c:v>
                </c:pt>
                <c:pt idx="7">
                  <c:v>670</c:v>
                </c:pt>
              </c:numCache>
            </c:numRef>
          </c:val>
          <c:extLst>
            <c:ext xmlns:c16="http://schemas.microsoft.com/office/drawing/2014/chart" uri="{C3380CC4-5D6E-409C-BE32-E72D297353CC}">
              <c16:uniqueId val="{00000017-BB82-4763-A7F4-5A739763A8E9}"/>
            </c:ext>
          </c:extLst>
        </c:ser>
        <c:ser>
          <c:idx val="4"/>
          <c:order val="3"/>
          <c:tx>
            <c:strRef>
              <c:f>'Randolph County Gap Analysis'!$A$61</c:f>
              <c:strCache>
                <c:ptCount val="1"/>
                <c:pt idx="0">
                  <c:v>Cost-burdened Households</c:v>
                </c:pt>
              </c:strCache>
            </c:strRef>
          </c:tx>
          <c:spPr>
            <a:solidFill>
              <a:schemeClr val="accent5"/>
            </a:solidFill>
            <a:ln>
              <a:noFill/>
            </a:ln>
            <a:effectLst/>
          </c:spPr>
          <c:invertIfNegative val="0"/>
          <c:dPt>
            <c:idx val="1"/>
            <c:invertIfNegative val="0"/>
            <c:bubble3D val="0"/>
            <c:spPr>
              <a:pattFill prst="pct5">
                <a:fgClr>
                  <a:schemeClr val="accent4"/>
                </a:fgClr>
                <a:bgClr>
                  <a:schemeClr val="bg1"/>
                </a:bgClr>
              </a:pattFill>
              <a:ln>
                <a:noFill/>
              </a:ln>
              <a:effectLst/>
            </c:spPr>
            <c:extLst>
              <c:ext xmlns:c16="http://schemas.microsoft.com/office/drawing/2014/chart" uri="{C3380CC4-5D6E-409C-BE32-E72D297353CC}">
                <c16:uniqueId val="{00000019-BB82-4763-A7F4-5A739763A8E9}"/>
              </c:ext>
            </c:extLst>
          </c:dPt>
          <c:dPt>
            <c:idx val="3"/>
            <c:invertIfNegative val="0"/>
            <c:bubble3D val="0"/>
            <c:spPr>
              <a:pattFill prst="ltUpDiag">
                <a:fgClr>
                  <a:schemeClr val="accent1"/>
                </a:fgClr>
                <a:bgClr>
                  <a:schemeClr val="bg1"/>
                </a:bgClr>
              </a:pattFill>
              <a:ln>
                <a:noFill/>
              </a:ln>
              <a:effectLst/>
            </c:spPr>
            <c:extLst>
              <c:ext xmlns:c16="http://schemas.microsoft.com/office/drawing/2014/chart" uri="{C3380CC4-5D6E-409C-BE32-E72D297353CC}">
                <c16:uniqueId val="{0000001B-BB82-4763-A7F4-5A739763A8E9}"/>
              </c:ext>
            </c:extLst>
          </c:dPt>
          <c:dPt>
            <c:idx val="4"/>
            <c:invertIfNegative val="0"/>
            <c:bubble3D val="0"/>
            <c:spPr>
              <a:pattFill prst="pct5">
                <a:fgClr>
                  <a:schemeClr val="accent4"/>
                </a:fgClr>
                <a:bgClr>
                  <a:schemeClr val="bg1"/>
                </a:bgClr>
              </a:pattFill>
              <a:ln>
                <a:noFill/>
              </a:ln>
              <a:effectLst/>
            </c:spPr>
            <c:extLst>
              <c:ext xmlns:c16="http://schemas.microsoft.com/office/drawing/2014/chart" uri="{C3380CC4-5D6E-409C-BE32-E72D297353CC}">
                <c16:uniqueId val="{0000001D-BB82-4763-A7F4-5A739763A8E9}"/>
              </c:ext>
            </c:extLst>
          </c:dPt>
          <c:dPt>
            <c:idx val="6"/>
            <c:invertIfNegative val="0"/>
            <c:bubble3D val="0"/>
            <c:spPr>
              <a:pattFill prst="ltUpDiag">
                <a:fgClr>
                  <a:schemeClr val="accent1"/>
                </a:fgClr>
                <a:bgClr>
                  <a:schemeClr val="bg1"/>
                </a:bgClr>
              </a:pattFill>
              <a:ln>
                <a:noFill/>
              </a:ln>
              <a:effectLst/>
            </c:spPr>
            <c:extLst>
              <c:ext xmlns:c16="http://schemas.microsoft.com/office/drawing/2014/chart" uri="{C3380CC4-5D6E-409C-BE32-E72D297353CC}">
                <c16:uniqueId val="{0000001F-BB82-4763-A7F4-5A739763A8E9}"/>
              </c:ext>
            </c:extLst>
          </c:dPt>
          <c:dPt>
            <c:idx val="7"/>
            <c:invertIfNegative val="0"/>
            <c:bubble3D val="0"/>
            <c:spPr>
              <a:pattFill prst="pct5">
                <a:fgClr>
                  <a:schemeClr val="accent4"/>
                </a:fgClr>
                <a:bgClr>
                  <a:schemeClr val="bg1"/>
                </a:bgClr>
              </a:pattFill>
              <a:ln>
                <a:noFill/>
              </a:ln>
              <a:effectLst/>
            </c:spPr>
            <c:extLst>
              <c:ext xmlns:c16="http://schemas.microsoft.com/office/drawing/2014/chart" uri="{C3380CC4-5D6E-409C-BE32-E72D297353CC}">
                <c16:uniqueId val="{00000021-BB82-4763-A7F4-5A739763A8E9}"/>
              </c:ext>
            </c:extLst>
          </c:dPt>
          <c:cat>
            <c:strRef>
              <c:f>'Randolph County Gap Analysis'!$B$56:$I$56</c:f>
              <c:strCache>
                <c:ptCount val="8"/>
                <c:pt idx="0">
                  <c:v>Households with income &lt;= 30% of AMI</c:v>
                </c:pt>
                <c:pt idx="1">
                  <c:v>Stock affordable to households with income &lt;=30% of AMI</c:v>
                </c:pt>
                <c:pt idx="3">
                  <c:v>Households with income 30%–50% of AMI</c:v>
                </c:pt>
                <c:pt idx="4">
                  <c:v>Stock affordable to households with income 30%–50% of AMI</c:v>
                </c:pt>
                <c:pt idx="6">
                  <c:v>Households with income 50%–80% of AMI</c:v>
                </c:pt>
                <c:pt idx="7">
                  <c:v>Stock affordable to households with income 50%–80% of AMI</c:v>
                </c:pt>
              </c:strCache>
            </c:strRef>
          </c:cat>
          <c:val>
            <c:numRef>
              <c:f>'Randolph County Gap Analysis'!$B$61:$I$61</c:f>
              <c:numCache>
                <c:formatCode>_(* #,##0_);_(* \(#,##0\);_(* "-"??_);_(@_)</c:formatCode>
                <c:ptCount val="8"/>
                <c:pt idx="0">
                  <c:v>595</c:v>
                </c:pt>
                <c:pt idx="1">
                  <c:v>14.151724067794907</c:v>
                </c:pt>
                <c:pt idx="3">
                  <c:v>290</c:v>
                </c:pt>
                <c:pt idx="4">
                  <c:v>22.809299668773413</c:v>
                </c:pt>
                <c:pt idx="6">
                  <c:v>195</c:v>
                </c:pt>
                <c:pt idx="7">
                  <c:v>30.455427615792534</c:v>
                </c:pt>
              </c:numCache>
            </c:numRef>
          </c:val>
          <c:extLst>
            <c:ext xmlns:c16="http://schemas.microsoft.com/office/drawing/2014/chart" uri="{C3380CC4-5D6E-409C-BE32-E72D297353CC}">
              <c16:uniqueId val="{00000022-BB82-4763-A7F4-5A739763A8E9}"/>
            </c:ext>
          </c:extLst>
        </c:ser>
        <c:ser>
          <c:idx val="5"/>
          <c:order val="4"/>
          <c:tx>
            <c:strRef>
              <c:f>'Randolph County Gap Analysis'!$A$62</c:f>
              <c:strCache>
                <c:ptCount val="1"/>
                <c:pt idx="0">
                  <c:v>Households that are Not Cost Burdened</c:v>
                </c:pt>
              </c:strCache>
            </c:strRef>
          </c:tx>
          <c:spPr>
            <a:solidFill>
              <a:schemeClr val="accent6"/>
            </a:solidFill>
            <a:ln>
              <a:noFill/>
            </a:ln>
            <a:effectLst/>
          </c:spPr>
          <c:invertIfNegative val="0"/>
          <c:dPt>
            <c:idx val="0"/>
            <c:invertIfNegative val="0"/>
            <c:bubble3D val="0"/>
            <c:spPr>
              <a:pattFill prst="ltUpDiag">
                <a:fgClr>
                  <a:srgbClr val="00B050"/>
                </a:fgClr>
                <a:bgClr>
                  <a:schemeClr val="bg1"/>
                </a:bgClr>
              </a:pattFill>
              <a:ln>
                <a:noFill/>
              </a:ln>
              <a:effectLst/>
            </c:spPr>
            <c:extLst>
              <c:ext xmlns:c16="http://schemas.microsoft.com/office/drawing/2014/chart" uri="{C3380CC4-5D6E-409C-BE32-E72D297353CC}">
                <c16:uniqueId val="{00000024-BB82-4763-A7F4-5A739763A8E9}"/>
              </c:ext>
            </c:extLst>
          </c:dPt>
          <c:dPt>
            <c:idx val="3"/>
            <c:invertIfNegative val="0"/>
            <c:bubble3D val="0"/>
            <c:spPr>
              <a:pattFill prst="ltUpDiag">
                <a:fgClr>
                  <a:srgbClr val="00B050"/>
                </a:fgClr>
                <a:bgClr>
                  <a:schemeClr val="bg1"/>
                </a:bgClr>
              </a:pattFill>
              <a:ln>
                <a:noFill/>
              </a:ln>
              <a:effectLst/>
            </c:spPr>
            <c:extLst>
              <c:ext xmlns:c16="http://schemas.microsoft.com/office/drawing/2014/chart" uri="{C3380CC4-5D6E-409C-BE32-E72D297353CC}">
                <c16:uniqueId val="{00000026-BB82-4763-A7F4-5A739763A8E9}"/>
              </c:ext>
            </c:extLst>
          </c:dPt>
          <c:cat>
            <c:strRef>
              <c:f>'Randolph County Gap Analysis'!$B$56:$I$56</c:f>
              <c:strCache>
                <c:ptCount val="8"/>
                <c:pt idx="0">
                  <c:v>Households with income &lt;= 30% of AMI</c:v>
                </c:pt>
                <c:pt idx="1">
                  <c:v>Stock affordable to households with income &lt;=30% of AMI</c:v>
                </c:pt>
                <c:pt idx="3">
                  <c:v>Households with income 30%–50% of AMI</c:v>
                </c:pt>
                <c:pt idx="4">
                  <c:v>Stock affordable to households with income 30%–50% of AMI</c:v>
                </c:pt>
                <c:pt idx="6">
                  <c:v>Households with income 50%–80% of AMI</c:v>
                </c:pt>
                <c:pt idx="7">
                  <c:v>Stock affordable to households with income 50%–80% of AMI</c:v>
                </c:pt>
              </c:strCache>
            </c:strRef>
          </c:cat>
          <c:val>
            <c:numRef>
              <c:f>'Randolph County Gap Analysis'!$B$62:$I$62</c:f>
              <c:numCache>
                <c:formatCode>General</c:formatCode>
                <c:ptCount val="8"/>
                <c:pt idx="0" formatCode="_(* #,##0_);_(* \(#,##0\);_(* &quot;-&quot;??_);_(@_)">
                  <c:v>200</c:v>
                </c:pt>
                <c:pt idx="3" formatCode="_(* #,##0_);_(* \(#,##0\);_(* &quot;-&quot;??_);_(@_)">
                  <c:v>230</c:v>
                </c:pt>
                <c:pt idx="6" formatCode="_(* #,##0_);_(* \(#,##0\);_(* &quot;-&quot;??_);_(@_)">
                  <c:v>595</c:v>
                </c:pt>
              </c:numCache>
            </c:numRef>
          </c:val>
          <c:extLst>
            <c:ext xmlns:c16="http://schemas.microsoft.com/office/drawing/2014/chart" uri="{C3380CC4-5D6E-409C-BE32-E72D297353CC}">
              <c16:uniqueId val="{00000027-BB82-4763-A7F4-5A739763A8E9}"/>
            </c:ext>
          </c:extLst>
        </c:ser>
        <c:dLbls>
          <c:showLegendKey val="0"/>
          <c:showVal val="0"/>
          <c:showCatName val="0"/>
          <c:showSerName val="0"/>
          <c:showPercent val="0"/>
          <c:showBubbleSize val="0"/>
        </c:dLbls>
        <c:gapWidth val="150"/>
        <c:overlap val="100"/>
        <c:axId val="-2126888000"/>
        <c:axId val="-2129720960"/>
      </c:barChart>
      <c:catAx>
        <c:axId val="-2126888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29720960"/>
        <c:crosses val="autoZero"/>
        <c:auto val="1"/>
        <c:lblAlgn val="ctr"/>
        <c:lblOffset val="100"/>
        <c:noMultiLvlLbl val="0"/>
      </c:catAx>
      <c:valAx>
        <c:axId val="-2129720960"/>
        <c:scaling>
          <c:orientation val="minMax"/>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2126888000"/>
        <c:crosses val="autoZero"/>
        <c:crossBetween val="between"/>
      </c:valAx>
      <c:spPr>
        <a:noFill/>
        <a:ln>
          <a:noFill/>
        </a:ln>
        <a:effectLst/>
      </c:spPr>
    </c:plotArea>
    <c:legend>
      <c:legendPos val="b"/>
      <c:layout>
        <c:manualLayout>
          <c:xMode val="edge"/>
          <c:yMode val="edge"/>
          <c:x val="2.54415164518303E-2"/>
          <c:y val="0.88709606668584695"/>
          <c:w val="0.95922880712500302"/>
          <c:h val="0.10061514881363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Graphs!$B$104</c:f>
              <c:strCache>
                <c:ptCount val="1"/>
                <c:pt idx="0">
                  <c:v>Owner-occupied</c:v>
                </c:pt>
              </c:strCache>
            </c:strRef>
          </c:tx>
          <c:spPr>
            <a:solidFill>
              <a:schemeClr val="accent1"/>
            </a:solidFill>
            <a:ln>
              <a:noFill/>
            </a:ln>
            <a:effectLst/>
          </c:spPr>
          <c:invertIfNegative val="0"/>
          <c:cat>
            <c:strRef>
              <c:f>(Graphs!$C$103,Graphs!$E$103,Graphs!$G$103,Graphs!$I$103,Graphs!$K$103,Graphs!$M$103)</c:f>
              <c:strCache>
                <c:ptCount val="5"/>
                <c:pt idx="0">
                  <c:v>Randolph County</c:v>
                </c:pt>
                <c:pt idx="1">
                  <c:v>ZIP Code 26241</c:v>
                </c:pt>
                <c:pt idx="2">
                  <c:v>Barbour County</c:v>
                </c:pt>
                <c:pt idx="3">
                  <c:v>Tucker County</c:v>
                </c:pt>
                <c:pt idx="4">
                  <c:v>Upshur County</c:v>
                </c:pt>
              </c:strCache>
              <c:extLst/>
            </c:strRef>
          </c:cat>
          <c:val>
            <c:numRef>
              <c:f>(Graphs!$C$104,Graphs!$E$104,Graphs!$G$104,Graphs!$I$104,Graphs!$K$104,Graphs!$M$104)</c:f>
              <c:numCache>
                <c:formatCode>"$"#,##0</c:formatCode>
                <c:ptCount val="5"/>
                <c:pt idx="0">
                  <c:v>51815</c:v>
                </c:pt>
                <c:pt idx="1">
                  <c:v>57288</c:v>
                </c:pt>
                <c:pt idx="2">
                  <c:v>44433</c:v>
                </c:pt>
                <c:pt idx="3">
                  <c:v>54514</c:v>
                </c:pt>
                <c:pt idx="4">
                  <c:v>50331</c:v>
                </c:pt>
              </c:numCache>
              <c:extLst/>
            </c:numRef>
          </c:val>
          <c:extLst>
            <c:ext xmlns:c16="http://schemas.microsoft.com/office/drawing/2014/chart" uri="{C3380CC4-5D6E-409C-BE32-E72D297353CC}">
              <c16:uniqueId val="{00000000-4013-44C3-BC27-53C5E65878AF}"/>
            </c:ext>
          </c:extLst>
        </c:ser>
        <c:ser>
          <c:idx val="1"/>
          <c:order val="1"/>
          <c:tx>
            <c:strRef>
              <c:f>Graphs!$B$105</c:f>
              <c:strCache>
                <c:ptCount val="1"/>
                <c:pt idx="0">
                  <c:v>Renter-occupied</c:v>
                </c:pt>
              </c:strCache>
            </c:strRef>
          </c:tx>
          <c:spPr>
            <a:solidFill>
              <a:schemeClr val="accent2"/>
            </a:solidFill>
            <a:ln>
              <a:noFill/>
            </a:ln>
            <a:effectLst/>
          </c:spPr>
          <c:invertIfNegative val="0"/>
          <c:cat>
            <c:strRef>
              <c:f>(Graphs!$C$103,Graphs!$E$103,Graphs!$G$103,Graphs!$I$103,Graphs!$K$103,Graphs!$M$103)</c:f>
              <c:strCache>
                <c:ptCount val="5"/>
                <c:pt idx="0">
                  <c:v>Randolph County</c:v>
                </c:pt>
                <c:pt idx="1">
                  <c:v>ZIP Code 26241</c:v>
                </c:pt>
                <c:pt idx="2">
                  <c:v>Barbour County</c:v>
                </c:pt>
                <c:pt idx="3">
                  <c:v>Tucker County</c:v>
                </c:pt>
                <c:pt idx="4">
                  <c:v>Upshur County</c:v>
                </c:pt>
              </c:strCache>
              <c:extLst/>
            </c:strRef>
          </c:cat>
          <c:val>
            <c:numRef>
              <c:f>(Graphs!$C$105,Graphs!$E$105,Graphs!$G$105,Graphs!$I$105,Graphs!$K$105,Graphs!$M$105)</c:f>
              <c:numCache>
                <c:formatCode>"$"#,##0</c:formatCode>
                <c:ptCount val="5"/>
                <c:pt idx="0">
                  <c:v>25625</c:v>
                </c:pt>
                <c:pt idx="1">
                  <c:v>23904</c:v>
                </c:pt>
                <c:pt idx="2">
                  <c:v>25035</c:v>
                </c:pt>
                <c:pt idx="3">
                  <c:v>21418</c:v>
                </c:pt>
                <c:pt idx="4">
                  <c:v>27818</c:v>
                </c:pt>
              </c:numCache>
              <c:extLst/>
            </c:numRef>
          </c:val>
          <c:extLst>
            <c:ext xmlns:c16="http://schemas.microsoft.com/office/drawing/2014/chart" uri="{C3380CC4-5D6E-409C-BE32-E72D297353CC}">
              <c16:uniqueId val="{00000001-4013-44C3-BC27-53C5E65878AF}"/>
            </c:ext>
          </c:extLst>
        </c:ser>
        <c:dLbls>
          <c:showLegendKey val="0"/>
          <c:showVal val="0"/>
          <c:showCatName val="0"/>
          <c:showSerName val="0"/>
          <c:showPercent val="0"/>
          <c:showBubbleSize val="0"/>
        </c:dLbls>
        <c:gapWidth val="182"/>
        <c:axId val="231975391"/>
        <c:axId val="231990367"/>
      </c:barChart>
      <c:catAx>
        <c:axId val="23197539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31990367"/>
        <c:crosses val="autoZero"/>
        <c:auto val="1"/>
        <c:lblAlgn val="ctr"/>
        <c:lblOffset val="100"/>
        <c:noMultiLvlLbl val="0"/>
      </c:catAx>
      <c:valAx>
        <c:axId val="231990367"/>
        <c:scaling>
          <c:orientation val="minMax"/>
        </c:scaling>
        <c:delete val="0"/>
        <c:axPos val="b"/>
        <c:majorGridlines>
          <c:spPr>
            <a:ln w="9525" cap="flat" cmpd="sng" algn="ctr">
              <a:solidFill>
                <a:schemeClr val="tx1">
                  <a:lumMod val="15000"/>
                  <a:lumOff val="85000"/>
                </a:schemeClr>
              </a:solidFill>
              <a:round/>
            </a:ln>
            <a:effectLst/>
          </c:spPr>
        </c:majorGridlines>
        <c:numFmt formatCode="&quot;$&quot;#,##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319753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0"/>
          <c:order val="0"/>
          <c:tx>
            <c:strRef>
              <c:f>Graphs!$B$3</c:f>
              <c:strCache>
                <c:ptCount val="1"/>
                <c:pt idx="0">
                  <c:v>    No workers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Graphs!$C$3</c:f>
              <c:numCache>
                <c:formatCode>#,##0</c:formatCode>
                <c:ptCount val="1"/>
                <c:pt idx="0">
                  <c:v>4408</c:v>
                </c:pt>
              </c:numCache>
            </c:numRef>
          </c:val>
          <c:extLst>
            <c:ext xmlns:c16="http://schemas.microsoft.com/office/drawing/2014/chart" uri="{C3380CC4-5D6E-409C-BE32-E72D297353CC}">
              <c16:uniqueId val="{00000000-33CA-4958-B06D-EDBC95ED986F}"/>
            </c:ext>
          </c:extLst>
        </c:ser>
        <c:ser>
          <c:idx val="1"/>
          <c:order val="1"/>
          <c:tx>
            <c:strRef>
              <c:f>Graphs!$B$4</c:f>
              <c:strCache>
                <c:ptCount val="1"/>
                <c:pt idx="0">
                  <c:v>    1 worker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Graphs!$C$4</c:f>
              <c:numCache>
                <c:formatCode>#,##0</c:formatCode>
                <c:ptCount val="1"/>
                <c:pt idx="0">
                  <c:v>3860</c:v>
                </c:pt>
              </c:numCache>
            </c:numRef>
          </c:val>
          <c:extLst>
            <c:ext xmlns:c16="http://schemas.microsoft.com/office/drawing/2014/chart" uri="{C3380CC4-5D6E-409C-BE32-E72D297353CC}">
              <c16:uniqueId val="{00000001-33CA-4958-B06D-EDBC95ED986F}"/>
            </c:ext>
          </c:extLst>
        </c:ser>
        <c:ser>
          <c:idx val="2"/>
          <c:order val="2"/>
          <c:tx>
            <c:strRef>
              <c:f>Graphs!$B$5</c:f>
              <c:strCache>
                <c:ptCount val="1"/>
                <c:pt idx="0">
                  <c:v>2 or more workers</c:v>
                </c:pt>
              </c:strCache>
            </c:strRef>
          </c:tx>
          <c:spPr>
            <a:solidFill>
              <a:schemeClr val="accent3"/>
            </a:solidFill>
            <a:ln>
              <a:noFill/>
            </a:ln>
            <a:effectLst/>
          </c:spPr>
          <c:invertIfNegative val="0"/>
          <c:dLbls>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1"/>
              <c:showPercent val="0"/>
              <c:showBubbleSize val="0"/>
              <c:extLst>
                <c:ext xmlns:c16="http://schemas.microsoft.com/office/drawing/2014/chart" uri="{C3380CC4-5D6E-409C-BE32-E72D297353CC}">
                  <c16:uniqueId val="{00000002-33CA-4958-B06D-EDBC95ED986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1"/>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Graphs!$C$5</c:f>
              <c:numCache>
                <c:formatCode>#,##0</c:formatCode>
                <c:ptCount val="1"/>
                <c:pt idx="0">
                  <c:v>2867</c:v>
                </c:pt>
              </c:numCache>
            </c:numRef>
          </c:val>
          <c:extLst>
            <c:ext xmlns:c16="http://schemas.microsoft.com/office/drawing/2014/chart" uri="{C3380CC4-5D6E-409C-BE32-E72D297353CC}">
              <c16:uniqueId val="{00000003-33CA-4958-B06D-EDBC95ED986F}"/>
            </c:ext>
          </c:extLst>
        </c:ser>
        <c:dLbls>
          <c:showLegendKey val="0"/>
          <c:showVal val="0"/>
          <c:showCatName val="0"/>
          <c:showSerName val="0"/>
          <c:showPercent val="0"/>
          <c:showBubbleSize val="0"/>
        </c:dLbls>
        <c:gapWidth val="150"/>
        <c:overlap val="100"/>
        <c:axId val="716528680"/>
        <c:axId val="716528024"/>
      </c:barChart>
      <c:catAx>
        <c:axId val="716528680"/>
        <c:scaling>
          <c:orientation val="minMax"/>
        </c:scaling>
        <c:delete val="1"/>
        <c:axPos val="l"/>
        <c:numFmt formatCode="General" sourceLinked="1"/>
        <c:majorTickMark val="none"/>
        <c:minorTickMark val="none"/>
        <c:tickLblPos val="nextTo"/>
        <c:crossAx val="716528024"/>
        <c:crosses val="autoZero"/>
        <c:auto val="1"/>
        <c:lblAlgn val="ctr"/>
        <c:lblOffset val="100"/>
        <c:noMultiLvlLbl val="0"/>
      </c:catAx>
      <c:valAx>
        <c:axId val="71652802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65286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lvl="0">
              <a:defRPr sz="1400" b="0" i="0">
                <a:solidFill>
                  <a:srgbClr val="000000"/>
                </a:solidFill>
                <a:latin typeface="+mn-lt"/>
              </a:defRPr>
            </a:pPr>
            <a:r>
              <a:rPr lang="en-US" sz="1100" b="1" i="0">
                <a:solidFill>
                  <a:srgbClr val="000000"/>
                </a:solidFill>
                <a:latin typeface="+mn-lt"/>
              </a:rPr>
              <a:t>Figure</a:t>
            </a:r>
            <a:r>
              <a:rPr lang="en-US" sz="1100" b="1" i="0" baseline="0">
                <a:solidFill>
                  <a:srgbClr val="000000"/>
                </a:solidFill>
                <a:latin typeface="+mn-lt"/>
              </a:rPr>
              <a:t> 9. </a:t>
            </a:r>
            <a:r>
              <a:rPr lang="en-US" sz="1100" b="1" i="0">
                <a:solidFill>
                  <a:srgbClr val="000000"/>
                </a:solidFill>
                <a:latin typeface="+mn-lt"/>
              </a:rPr>
              <a:t>Housing Affordability for Top 10 Occupations by Employment in Randolph County</a:t>
            </a:r>
            <a:r>
              <a:rPr lang="en-US" sz="1100" b="0" i="0">
                <a:solidFill>
                  <a:srgbClr val="000000"/>
                </a:solidFill>
                <a:latin typeface="+mn-lt"/>
              </a:rPr>
              <a:t>
Source: VCHR Tabulation of 2022 Lightcast Occupation Wage Data and</a:t>
            </a:r>
            <a:r>
              <a:rPr lang="en-US" sz="1100" b="0" i="0" baseline="0">
                <a:solidFill>
                  <a:srgbClr val="000000"/>
                </a:solidFill>
                <a:latin typeface="+mn-lt"/>
              </a:rPr>
              <a:t> </a:t>
            </a:r>
          </a:p>
          <a:p>
            <a:pPr lvl="0">
              <a:defRPr sz="1400" b="0" i="0">
                <a:solidFill>
                  <a:srgbClr val="000000"/>
                </a:solidFill>
                <a:latin typeface="+mn-lt"/>
              </a:defRPr>
            </a:pPr>
            <a:r>
              <a:rPr lang="en-US" sz="1100" b="0" i="0" baseline="0">
                <a:solidFill>
                  <a:srgbClr val="000000"/>
                </a:solidFill>
                <a:latin typeface="+mn-lt"/>
              </a:rPr>
              <a:t>2019 ACS Housing Costs</a:t>
            </a:r>
            <a:endParaRPr lang="en-US" sz="1100" b="0" i="0">
              <a:solidFill>
                <a:srgbClr val="000000"/>
              </a:solidFill>
              <a:latin typeface="+mn-lt"/>
            </a:endParaRPr>
          </a:p>
        </c:rich>
      </c:tx>
      <c:overlay val="0"/>
    </c:title>
    <c:autoTitleDeleted val="0"/>
    <c:plotArea>
      <c:layout/>
      <c:barChart>
        <c:barDir val="col"/>
        <c:grouping val="clustered"/>
        <c:varyColors val="1"/>
        <c:ser>
          <c:idx val="1"/>
          <c:order val="0"/>
          <c:tx>
            <c:strRef>
              <c:f>'Top Occupation'!$E$1</c:f>
              <c:strCache>
                <c:ptCount val="1"/>
                <c:pt idx="0">
                  <c:v>Single Earner at the Median</c:v>
                </c:pt>
              </c:strCache>
            </c:strRef>
          </c:tx>
          <c:spPr>
            <a:solidFill>
              <a:schemeClr val="accent2"/>
            </a:solidFill>
            <a:ln cmpd="sng">
              <a:solidFill>
                <a:schemeClr val="tx1"/>
              </a:solidFill>
            </a:ln>
          </c:spPr>
          <c:invertIfNegative val="0"/>
          <c:dLbls>
            <c:spPr>
              <a:noFill/>
              <a:ln>
                <a:noFill/>
              </a:ln>
              <a:effectLst/>
            </c:spPr>
            <c:txPr>
              <a:bodyPr/>
              <a:lstStyle/>
              <a:p>
                <a:pPr lvl="0">
                  <a:defRPr sz="900" b="0" i="0">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'Top Occupation'!$C$2:$C$11</c:f>
              <c:strCache>
                <c:ptCount val="10"/>
                <c:pt idx="0">
                  <c:v>Home Health and Personal Care Aides</c:v>
                </c:pt>
                <c:pt idx="1">
                  <c:v>Cashiers</c:v>
                </c:pt>
                <c:pt idx="2">
                  <c:v>Retail Salespersons</c:v>
                </c:pt>
                <c:pt idx="3">
                  <c:v>Heavy and Tractor-Trailer Truck Drivers</c:v>
                </c:pt>
                <c:pt idx="4">
                  <c:v>Office Clerks, General</c:v>
                </c:pt>
                <c:pt idx="5">
                  <c:v>Registered Nurses</c:v>
                </c:pt>
                <c:pt idx="6">
                  <c:v>Postsecondary Teachers</c:v>
                </c:pt>
                <c:pt idx="7">
                  <c:v>General and Operations Managers</c:v>
                </c:pt>
                <c:pt idx="8">
                  <c:v>Nursing Assistants</c:v>
                </c:pt>
                <c:pt idx="9">
                  <c:v>Fast Food and Counter Workers</c:v>
                </c:pt>
              </c:strCache>
            </c:strRef>
          </c:cat>
          <c:val>
            <c:numRef>
              <c:f>'Top Occupation'!$E$2:$E$11</c:f>
              <c:numCache>
                <c:formatCode>"$"#,##0</c:formatCode>
                <c:ptCount val="10"/>
                <c:pt idx="0">
                  <c:v>538.58066004</c:v>
                </c:pt>
                <c:pt idx="1">
                  <c:v>595.92332043750002</c:v>
                </c:pt>
                <c:pt idx="2">
                  <c:v>593.48225512499994</c:v>
                </c:pt>
                <c:pt idx="3">
                  <c:v>1012.590287365</c:v>
                </c:pt>
                <c:pt idx="4">
                  <c:v>701.26533214999995</c:v>
                </c:pt>
                <c:pt idx="5">
                  <c:v>1365.9279863924999</c:v>
                </c:pt>
                <c:pt idx="6">
                  <c:v>1399.9419345800002</c:v>
                </c:pt>
                <c:pt idx="7">
                  <c:v>1744.4581408400002</c:v>
                </c:pt>
                <c:pt idx="8">
                  <c:v>688.90534665999996</c:v>
                </c:pt>
                <c:pt idx="9">
                  <c:v>504.77394587250001</c:v>
                </c:pt>
              </c:numCache>
            </c:numRef>
          </c:val>
          <c:extLst>
            <c:ext xmlns:c16="http://schemas.microsoft.com/office/drawing/2014/chart" uri="{C3380CC4-5D6E-409C-BE32-E72D297353CC}">
              <c16:uniqueId val="{00000000-6263-4EF6-90FB-DFD400E35FF7}"/>
            </c:ext>
          </c:extLst>
        </c:ser>
        <c:ser>
          <c:idx val="0"/>
          <c:order val="1"/>
          <c:tx>
            <c:strRef>
              <c:f>'Top Occupation'!$F$1</c:f>
              <c:strCache>
                <c:ptCount val="1"/>
                <c:pt idx="0">
                  <c:v>Two Earners at the Median</c:v>
                </c:pt>
              </c:strCache>
            </c:strRef>
          </c:tx>
          <c:spPr>
            <a:solidFill>
              <a:schemeClr val="accent3"/>
            </a:solidFill>
            <a:ln w="12700" cmpd="sng">
              <a:solidFill>
                <a:schemeClr val="tx1"/>
              </a:solidFill>
              <a:prstDash val="solid"/>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'Top Occupation'!$C$2:$C$11</c:f>
              <c:strCache>
                <c:ptCount val="10"/>
                <c:pt idx="0">
                  <c:v>Home Health and Personal Care Aides</c:v>
                </c:pt>
                <c:pt idx="1">
                  <c:v>Cashiers</c:v>
                </c:pt>
                <c:pt idx="2">
                  <c:v>Retail Salespersons</c:v>
                </c:pt>
                <c:pt idx="3">
                  <c:v>Heavy and Tractor-Trailer Truck Drivers</c:v>
                </c:pt>
                <c:pt idx="4">
                  <c:v>Office Clerks, General</c:v>
                </c:pt>
                <c:pt idx="5">
                  <c:v>Registered Nurses</c:v>
                </c:pt>
                <c:pt idx="6">
                  <c:v>Postsecondary Teachers</c:v>
                </c:pt>
                <c:pt idx="7">
                  <c:v>General and Operations Managers</c:v>
                </c:pt>
                <c:pt idx="8">
                  <c:v>Nursing Assistants</c:v>
                </c:pt>
                <c:pt idx="9">
                  <c:v>Fast Food and Counter Workers</c:v>
                </c:pt>
              </c:strCache>
            </c:strRef>
          </c:cat>
          <c:val>
            <c:numRef>
              <c:f>'Top Occupation'!$F$2:$F$11</c:f>
              <c:numCache>
                <c:formatCode>"$"#,##0</c:formatCode>
                <c:ptCount val="10"/>
                <c:pt idx="0">
                  <c:v>1077.16132008</c:v>
                </c:pt>
                <c:pt idx="1">
                  <c:v>1191.846640875</c:v>
                </c:pt>
                <c:pt idx="2">
                  <c:v>1186.9645102499999</c:v>
                </c:pt>
                <c:pt idx="3">
                  <c:v>2025.18057473</c:v>
                </c:pt>
                <c:pt idx="4">
                  <c:v>1402.5306642999999</c:v>
                </c:pt>
                <c:pt idx="5">
                  <c:v>2731.8559727849997</c:v>
                </c:pt>
                <c:pt idx="6">
                  <c:v>2799.8838691600004</c:v>
                </c:pt>
                <c:pt idx="7">
                  <c:v>3488.9162816800003</c:v>
                </c:pt>
                <c:pt idx="8">
                  <c:v>1377.8106933199999</c:v>
                </c:pt>
                <c:pt idx="9">
                  <c:v>1009.547891745</c:v>
                </c:pt>
              </c:numCache>
            </c:numRef>
          </c:val>
          <c:extLst>
            <c:ext xmlns:c16="http://schemas.microsoft.com/office/drawing/2014/chart" uri="{C3380CC4-5D6E-409C-BE32-E72D297353CC}">
              <c16:uniqueId val="{00000001-6263-4EF6-90FB-DFD400E35FF7}"/>
            </c:ext>
          </c:extLst>
        </c:ser>
        <c:ser>
          <c:idx val="2"/>
          <c:order val="2"/>
          <c:tx>
            <c:strRef>
              <c:f>'Top Occupation'!$G$1</c:f>
              <c:strCache>
                <c:ptCount val="1"/>
                <c:pt idx="0">
                  <c:v>Single Earner at the 90th Percentile</c:v>
                </c:pt>
              </c:strCache>
            </c:strRef>
          </c:tx>
          <c:spPr>
            <a:solidFill>
              <a:schemeClr val="accent4"/>
            </a:solidFill>
            <a:ln w="12700" cmpd="sng">
              <a:solidFill>
                <a:schemeClr val="tx1"/>
              </a:solidFill>
              <a:prstDash val="solid"/>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'Top Occupation'!$C$2:$C$11</c:f>
              <c:strCache>
                <c:ptCount val="10"/>
                <c:pt idx="0">
                  <c:v>Home Health and Personal Care Aides</c:v>
                </c:pt>
                <c:pt idx="1">
                  <c:v>Cashiers</c:v>
                </c:pt>
                <c:pt idx="2">
                  <c:v>Retail Salespersons</c:v>
                </c:pt>
                <c:pt idx="3">
                  <c:v>Heavy and Tractor-Trailer Truck Drivers</c:v>
                </c:pt>
                <c:pt idx="4">
                  <c:v>Office Clerks, General</c:v>
                </c:pt>
                <c:pt idx="5">
                  <c:v>Registered Nurses</c:v>
                </c:pt>
                <c:pt idx="6">
                  <c:v>Postsecondary Teachers</c:v>
                </c:pt>
                <c:pt idx="7">
                  <c:v>General and Operations Managers</c:v>
                </c:pt>
                <c:pt idx="8">
                  <c:v>Nursing Assistants</c:v>
                </c:pt>
                <c:pt idx="9">
                  <c:v>Fast Food and Counter Workers</c:v>
                </c:pt>
              </c:strCache>
            </c:strRef>
          </c:cat>
          <c:val>
            <c:numRef>
              <c:f>'Top Occupation'!$G$2:$G$11</c:f>
              <c:numCache>
                <c:formatCode>"$"#,##0</c:formatCode>
                <c:ptCount val="10"/>
                <c:pt idx="0">
                  <c:v>584.78674945250009</c:v>
                </c:pt>
                <c:pt idx="1">
                  <c:v>763.5114256475</c:v>
                </c:pt>
                <c:pt idx="2">
                  <c:v>942.83257121250006</c:v>
                </c:pt>
                <c:pt idx="3">
                  <c:v>1442.0456941275002</c:v>
                </c:pt>
                <c:pt idx="4">
                  <c:v>1133.3305481899999</c:v>
                </c:pt>
                <c:pt idx="5">
                  <c:v>1771.3760885700001</c:v>
                </c:pt>
                <c:pt idx="6">
                  <c:v>2967.2447256999999</c:v>
                </c:pt>
                <c:pt idx="7">
                  <c:v>3151.5383032</c:v>
                </c:pt>
                <c:pt idx="8">
                  <c:v>879.33870333999994</c:v>
                </c:pt>
                <c:pt idx="9">
                  <c:v>544.94672366249995</c:v>
                </c:pt>
              </c:numCache>
            </c:numRef>
          </c:val>
          <c:extLst>
            <c:ext xmlns:c16="http://schemas.microsoft.com/office/drawing/2014/chart" uri="{C3380CC4-5D6E-409C-BE32-E72D297353CC}">
              <c16:uniqueId val="{00000002-6263-4EF6-90FB-DFD400E35FF7}"/>
            </c:ext>
          </c:extLst>
        </c:ser>
        <c:dLbls>
          <c:showLegendKey val="0"/>
          <c:showVal val="0"/>
          <c:showCatName val="0"/>
          <c:showSerName val="0"/>
          <c:showPercent val="0"/>
          <c:showBubbleSize val="0"/>
        </c:dLbls>
        <c:gapWidth val="150"/>
        <c:axId val="1899435441"/>
        <c:axId val="1100854336"/>
      </c:barChart>
      <c:lineChart>
        <c:grouping val="standard"/>
        <c:varyColors val="1"/>
        <c:ser>
          <c:idx val="3"/>
          <c:order val="3"/>
          <c:tx>
            <c:strRef>
              <c:f>'Top Occupation'!$H$1</c:f>
              <c:strCache>
                <c:ptCount val="1"/>
                <c:pt idx="0">
                  <c:v>Median Gross Rent: Randolph</c:v>
                </c:pt>
              </c:strCache>
            </c:strRef>
          </c:tx>
          <c:spPr>
            <a:ln w="28575" cmpd="sng">
              <a:solidFill>
                <a:srgbClr val="92D050"/>
              </a:solidFill>
              <a:prstDash val="sysDot"/>
            </a:ln>
          </c:spPr>
          <c:marker>
            <c:symbol val="none"/>
          </c:marker>
          <c:cat>
            <c:strRef>
              <c:f>'Top Occupation'!$C$2:$C$11</c:f>
              <c:strCache>
                <c:ptCount val="10"/>
                <c:pt idx="0">
                  <c:v>Home Health and Personal Care Aides</c:v>
                </c:pt>
                <c:pt idx="1">
                  <c:v>Cashiers</c:v>
                </c:pt>
                <c:pt idx="2">
                  <c:v>Retail Salespersons</c:v>
                </c:pt>
                <c:pt idx="3">
                  <c:v>Heavy and Tractor-Trailer Truck Drivers</c:v>
                </c:pt>
                <c:pt idx="4">
                  <c:v>Office Clerks, General</c:v>
                </c:pt>
                <c:pt idx="5">
                  <c:v>Registered Nurses</c:v>
                </c:pt>
                <c:pt idx="6">
                  <c:v>Postsecondary Teachers</c:v>
                </c:pt>
                <c:pt idx="7">
                  <c:v>General and Operations Managers</c:v>
                </c:pt>
                <c:pt idx="8">
                  <c:v>Nursing Assistants</c:v>
                </c:pt>
                <c:pt idx="9">
                  <c:v>Fast Food and Counter Workers</c:v>
                </c:pt>
              </c:strCache>
            </c:strRef>
          </c:cat>
          <c:val>
            <c:numRef>
              <c:f>'Top Occupation'!$H$2:$H$11</c:f>
              <c:numCache>
                <c:formatCode>"$"#,##0</c:formatCode>
                <c:ptCount val="10"/>
                <c:pt idx="0">
                  <c:v>690.62761782163511</c:v>
                </c:pt>
                <c:pt idx="1">
                  <c:v>690.62761782163511</c:v>
                </c:pt>
                <c:pt idx="2">
                  <c:v>690.62761782163511</c:v>
                </c:pt>
                <c:pt idx="3">
                  <c:v>690.62761782163511</c:v>
                </c:pt>
                <c:pt idx="4">
                  <c:v>690.62761782163511</c:v>
                </c:pt>
                <c:pt idx="5">
                  <c:v>690.62761782163511</c:v>
                </c:pt>
                <c:pt idx="6">
                  <c:v>690.62761782163511</c:v>
                </c:pt>
                <c:pt idx="7">
                  <c:v>690.62761782163511</c:v>
                </c:pt>
                <c:pt idx="8">
                  <c:v>690.62761782163511</c:v>
                </c:pt>
                <c:pt idx="9">
                  <c:v>690.62761782163511</c:v>
                </c:pt>
              </c:numCache>
            </c:numRef>
          </c:val>
          <c:smooth val="0"/>
          <c:extLst>
            <c:ext xmlns:c16="http://schemas.microsoft.com/office/drawing/2014/chart" uri="{C3380CC4-5D6E-409C-BE32-E72D297353CC}">
              <c16:uniqueId val="{00000003-6263-4EF6-90FB-DFD400E35FF7}"/>
            </c:ext>
          </c:extLst>
        </c:ser>
        <c:ser>
          <c:idx val="4"/>
          <c:order val="4"/>
          <c:tx>
            <c:strRef>
              <c:f>'Top Occupation'!$I$1</c:f>
              <c:strCache>
                <c:ptCount val="1"/>
                <c:pt idx="0">
                  <c:v>Median Owner Costs with a Mortgage: Randolph</c:v>
                </c:pt>
              </c:strCache>
            </c:strRef>
          </c:tx>
          <c:spPr>
            <a:ln w="28575">
              <a:solidFill>
                <a:srgbClr val="92D050"/>
              </a:solidFill>
            </a:ln>
          </c:spPr>
          <c:marker>
            <c:symbol val="none"/>
          </c:marker>
          <c:cat>
            <c:strRef>
              <c:f>'Top Occupation'!$C$2:$C$11</c:f>
              <c:strCache>
                <c:ptCount val="10"/>
                <c:pt idx="0">
                  <c:v>Home Health and Personal Care Aides</c:v>
                </c:pt>
                <c:pt idx="1">
                  <c:v>Cashiers</c:v>
                </c:pt>
                <c:pt idx="2">
                  <c:v>Retail Salespersons</c:v>
                </c:pt>
                <c:pt idx="3">
                  <c:v>Heavy and Tractor-Trailer Truck Drivers</c:v>
                </c:pt>
                <c:pt idx="4">
                  <c:v>Office Clerks, General</c:v>
                </c:pt>
                <c:pt idx="5">
                  <c:v>Registered Nurses</c:v>
                </c:pt>
                <c:pt idx="6">
                  <c:v>Postsecondary Teachers</c:v>
                </c:pt>
                <c:pt idx="7">
                  <c:v>General and Operations Managers</c:v>
                </c:pt>
                <c:pt idx="8">
                  <c:v>Nursing Assistants</c:v>
                </c:pt>
                <c:pt idx="9">
                  <c:v>Fast Food and Counter Workers</c:v>
                </c:pt>
              </c:strCache>
            </c:strRef>
          </c:cat>
          <c:val>
            <c:numRef>
              <c:f>'Top Occupation'!$I$2:$I$11</c:f>
              <c:numCache>
                <c:formatCode>"$"#,##0</c:formatCode>
                <c:ptCount val="10"/>
                <c:pt idx="0">
                  <c:v>973.20502480819732</c:v>
                </c:pt>
                <c:pt idx="1">
                  <c:v>973.20502480819732</c:v>
                </c:pt>
                <c:pt idx="2">
                  <c:v>973.20502480819732</c:v>
                </c:pt>
                <c:pt idx="3">
                  <c:v>973.20502480819732</c:v>
                </c:pt>
                <c:pt idx="4">
                  <c:v>973.20502480819732</c:v>
                </c:pt>
                <c:pt idx="5">
                  <c:v>973.20502480819732</c:v>
                </c:pt>
                <c:pt idx="6">
                  <c:v>973.20502480819732</c:v>
                </c:pt>
                <c:pt idx="7">
                  <c:v>973.20502480819732</c:v>
                </c:pt>
                <c:pt idx="8">
                  <c:v>973.20502480819732</c:v>
                </c:pt>
                <c:pt idx="9">
                  <c:v>973.20502480819732</c:v>
                </c:pt>
              </c:numCache>
            </c:numRef>
          </c:val>
          <c:smooth val="0"/>
          <c:extLst>
            <c:ext xmlns:c16="http://schemas.microsoft.com/office/drawing/2014/chart" uri="{C3380CC4-5D6E-409C-BE32-E72D297353CC}">
              <c16:uniqueId val="{00000004-6263-4EF6-90FB-DFD400E35FF7}"/>
            </c:ext>
          </c:extLst>
        </c:ser>
        <c:ser>
          <c:idx val="5"/>
          <c:order val="5"/>
          <c:tx>
            <c:strRef>
              <c:f>'Top Occupation'!$J$1</c:f>
              <c:strCache>
                <c:ptCount val="1"/>
                <c:pt idx="0">
                  <c:v>Median Gross Rent: Barbour</c:v>
                </c:pt>
              </c:strCache>
            </c:strRef>
          </c:tx>
          <c:spPr>
            <a:ln w="28575">
              <a:solidFill>
                <a:srgbClr val="FF0000"/>
              </a:solidFill>
              <a:prstDash val="sysDot"/>
            </a:ln>
          </c:spPr>
          <c:marker>
            <c:symbol val="none"/>
          </c:marker>
          <c:cat>
            <c:strRef>
              <c:f>'Top Occupation'!$C$2:$C$11</c:f>
              <c:strCache>
                <c:ptCount val="10"/>
                <c:pt idx="0">
                  <c:v>Home Health and Personal Care Aides</c:v>
                </c:pt>
                <c:pt idx="1">
                  <c:v>Cashiers</c:v>
                </c:pt>
                <c:pt idx="2">
                  <c:v>Retail Salespersons</c:v>
                </c:pt>
                <c:pt idx="3">
                  <c:v>Heavy and Tractor-Trailer Truck Drivers</c:v>
                </c:pt>
                <c:pt idx="4">
                  <c:v>Office Clerks, General</c:v>
                </c:pt>
                <c:pt idx="5">
                  <c:v>Registered Nurses</c:v>
                </c:pt>
                <c:pt idx="6">
                  <c:v>Postsecondary Teachers</c:v>
                </c:pt>
                <c:pt idx="7">
                  <c:v>General and Operations Managers</c:v>
                </c:pt>
                <c:pt idx="8">
                  <c:v>Nursing Assistants</c:v>
                </c:pt>
                <c:pt idx="9">
                  <c:v>Fast Food and Counter Workers</c:v>
                </c:pt>
              </c:strCache>
            </c:strRef>
          </c:cat>
          <c:val>
            <c:numRef>
              <c:f>'Top Occupation'!$J$2:$J$11</c:f>
              <c:numCache>
                <c:formatCode>"$"#,##0</c:formatCode>
                <c:ptCount val="10"/>
                <c:pt idx="0">
                  <c:v>578.86192699859191</c:v>
                </c:pt>
                <c:pt idx="1">
                  <c:v>578.86192699859191</c:v>
                </c:pt>
                <c:pt idx="2">
                  <c:v>578.86192699859191</c:v>
                </c:pt>
                <c:pt idx="3">
                  <c:v>578.86192699859191</c:v>
                </c:pt>
                <c:pt idx="4">
                  <c:v>578.86192699859191</c:v>
                </c:pt>
                <c:pt idx="5">
                  <c:v>578.86192699859191</c:v>
                </c:pt>
                <c:pt idx="6">
                  <c:v>578.86192699859191</c:v>
                </c:pt>
                <c:pt idx="7">
                  <c:v>578.86192699859191</c:v>
                </c:pt>
                <c:pt idx="8">
                  <c:v>578.86192699859191</c:v>
                </c:pt>
                <c:pt idx="9">
                  <c:v>578.86192699859191</c:v>
                </c:pt>
              </c:numCache>
            </c:numRef>
          </c:val>
          <c:smooth val="0"/>
          <c:extLst>
            <c:ext xmlns:c16="http://schemas.microsoft.com/office/drawing/2014/chart" uri="{C3380CC4-5D6E-409C-BE32-E72D297353CC}">
              <c16:uniqueId val="{00000005-6263-4EF6-90FB-DFD400E35FF7}"/>
            </c:ext>
          </c:extLst>
        </c:ser>
        <c:ser>
          <c:idx val="6"/>
          <c:order val="6"/>
          <c:tx>
            <c:strRef>
              <c:f>'Top Occupation'!$K$1</c:f>
              <c:strCache>
                <c:ptCount val="1"/>
                <c:pt idx="0">
                  <c:v>Median Owner Costs with a Mortgage: Barbour</c:v>
                </c:pt>
              </c:strCache>
            </c:strRef>
          </c:tx>
          <c:spPr>
            <a:ln w="28575" cmpd="sng">
              <a:solidFill>
                <a:srgbClr val="FF0000"/>
              </a:solidFill>
              <a:prstDash val="solid"/>
            </a:ln>
          </c:spPr>
          <c:marker>
            <c:symbol val="none"/>
          </c:marker>
          <c:cat>
            <c:strRef>
              <c:f>'Top Occupation'!$C$2:$C$11</c:f>
              <c:strCache>
                <c:ptCount val="10"/>
                <c:pt idx="0">
                  <c:v>Home Health and Personal Care Aides</c:v>
                </c:pt>
                <c:pt idx="1">
                  <c:v>Cashiers</c:v>
                </c:pt>
                <c:pt idx="2">
                  <c:v>Retail Salespersons</c:v>
                </c:pt>
                <c:pt idx="3">
                  <c:v>Heavy and Tractor-Trailer Truck Drivers</c:v>
                </c:pt>
                <c:pt idx="4">
                  <c:v>Office Clerks, General</c:v>
                </c:pt>
                <c:pt idx="5">
                  <c:v>Registered Nurses</c:v>
                </c:pt>
                <c:pt idx="6">
                  <c:v>Postsecondary Teachers</c:v>
                </c:pt>
                <c:pt idx="7">
                  <c:v>General and Operations Managers</c:v>
                </c:pt>
                <c:pt idx="8">
                  <c:v>Nursing Assistants</c:v>
                </c:pt>
                <c:pt idx="9">
                  <c:v>Fast Food and Counter Workers</c:v>
                </c:pt>
              </c:strCache>
            </c:strRef>
          </c:cat>
          <c:val>
            <c:numRef>
              <c:f>'Top Occupation'!$K$2:$K$11</c:f>
              <c:numCache>
                <c:formatCode>"$"#,##0</c:formatCode>
                <c:ptCount val="10"/>
                <c:pt idx="0">
                  <c:v>1000.6192508591324</c:v>
                </c:pt>
                <c:pt idx="1">
                  <c:v>1000.6192508591324</c:v>
                </c:pt>
                <c:pt idx="2">
                  <c:v>1000.6192508591324</c:v>
                </c:pt>
                <c:pt idx="3">
                  <c:v>1000.6192508591324</c:v>
                </c:pt>
                <c:pt idx="4">
                  <c:v>1000.6192508591324</c:v>
                </c:pt>
                <c:pt idx="5">
                  <c:v>1000.6192508591324</c:v>
                </c:pt>
                <c:pt idx="6">
                  <c:v>1000.6192508591324</c:v>
                </c:pt>
                <c:pt idx="7">
                  <c:v>1000.6192508591324</c:v>
                </c:pt>
                <c:pt idx="8">
                  <c:v>1000.6192508591324</c:v>
                </c:pt>
                <c:pt idx="9">
                  <c:v>1000.6192508591324</c:v>
                </c:pt>
              </c:numCache>
            </c:numRef>
          </c:val>
          <c:smooth val="0"/>
          <c:extLst>
            <c:ext xmlns:c16="http://schemas.microsoft.com/office/drawing/2014/chart" uri="{C3380CC4-5D6E-409C-BE32-E72D297353CC}">
              <c16:uniqueId val="{00000006-6263-4EF6-90FB-DFD400E35FF7}"/>
            </c:ext>
          </c:extLst>
        </c:ser>
        <c:ser>
          <c:idx val="7"/>
          <c:order val="7"/>
          <c:tx>
            <c:strRef>
              <c:f>'Top Occupation'!$L$1</c:f>
              <c:strCache>
                <c:ptCount val="1"/>
                <c:pt idx="0">
                  <c:v>Median Gross Rent: Upshur</c:v>
                </c:pt>
              </c:strCache>
            </c:strRef>
          </c:tx>
          <c:spPr>
            <a:ln w="25400">
              <a:solidFill>
                <a:schemeClr val="accent1"/>
              </a:solidFill>
              <a:prstDash val="sysDot"/>
            </a:ln>
          </c:spPr>
          <c:marker>
            <c:symbol val="none"/>
          </c:marker>
          <c:cat>
            <c:strRef>
              <c:f>'Top Occupation'!$C$2:$C$11</c:f>
              <c:strCache>
                <c:ptCount val="10"/>
                <c:pt idx="0">
                  <c:v>Home Health and Personal Care Aides</c:v>
                </c:pt>
                <c:pt idx="1">
                  <c:v>Cashiers</c:v>
                </c:pt>
                <c:pt idx="2">
                  <c:v>Retail Salespersons</c:v>
                </c:pt>
                <c:pt idx="3">
                  <c:v>Heavy and Tractor-Trailer Truck Drivers</c:v>
                </c:pt>
                <c:pt idx="4">
                  <c:v>Office Clerks, General</c:v>
                </c:pt>
                <c:pt idx="5">
                  <c:v>Registered Nurses</c:v>
                </c:pt>
                <c:pt idx="6">
                  <c:v>Postsecondary Teachers</c:v>
                </c:pt>
                <c:pt idx="7">
                  <c:v>General and Operations Managers</c:v>
                </c:pt>
                <c:pt idx="8">
                  <c:v>Nursing Assistants</c:v>
                </c:pt>
                <c:pt idx="9">
                  <c:v>Fast Food and Counter Workers</c:v>
                </c:pt>
              </c:strCache>
            </c:strRef>
          </c:cat>
          <c:val>
            <c:numRef>
              <c:f>'Top Occupation'!$L$2:$L$11</c:f>
              <c:numCache>
                <c:formatCode>"$"#,##0</c:formatCode>
                <c:ptCount val="10"/>
                <c:pt idx="0">
                  <c:v>737.02092344629455</c:v>
                </c:pt>
                <c:pt idx="1">
                  <c:v>737.02092344629455</c:v>
                </c:pt>
                <c:pt idx="2">
                  <c:v>737.02092344629455</c:v>
                </c:pt>
                <c:pt idx="3">
                  <c:v>737.02092344629455</c:v>
                </c:pt>
                <c:pt idx="4">
                  <c:v>737.02092344629455</c:v>
                </c:pt>
                <c:pt idx="5">
                  <c:v>737.02092344629455</c:v>
                </c:pt>
                <c:pt idx="6">
                  <c:v>737.02092344629455</c:v>
                </c:pt>
                <c:pt idx="7">
                  <c:v>737.02092344629455</c:v>
                </c:pt>
                <c:pt idx="8">
                  <c:v>737.02092344629455</c:v>
                </c:pt>
                <c:pt idx="9">
                  <c:v>737.02092344629455</c:v>
                </c:pt>
              </c:numCache>
            </c:numRef>
          </c:val>
          <c:smooth val="0"/>
          <c:extLst>
            <c:ext xmlns:c16="http://schemas.microsoft.com/office/drawing/2014/chart" uri="{C3380CC4-5D6E-409C-BE32-E72D297353CC}">
              <c16:uniqueId val="{00000007-6263-4EF6-90FB-DFD400E35FF7}"/>
            </c:ext>
          </c:extLst>
        </c:ser>
        <c:ser>
          <c:idx val="8"/>
          <c:order val="8"/>
          <c:tx>
            <c:strRef>
              <c:f>'Top Occupation'!$M$1</c:f>
              <c:strCache>
                <c:ptCount val="1"/>
                <c:pt idx="0">
                  <c:v>Median Owner Costs with a Mortgage: Upshur</c:v>
                </c:pt>
              </c:strCache>
            </c:strRef>
          </c:tx>
          <c:spPr>
            <a:ln>
              <a:solidFill>
                <a:schemeClr val="accent1"/>
              </a:solidFill>
            </a:ln>
          </c:spPr>
          <c:marker>
            <c:symbol val="none"/>
          </c:marker>
          <c:cat>
            <c:strRef>
              <c:f>'Top Occupation'!$C$2:$C$11</c:f>
              <c:strCache>
                <c:ptCount val="10"/>
                <c:pt idx="0">
                  <c:v>Home Health and Personal Care Aides</c:v>
                </c:pt>
                <c:pt idx="1">
                  <c:v>Cashiers</c:v>
                </c:pt>
                <c:pt idx="2">
                  <c:v>Retail Salespersons</c:v>
                </c:pt>
                <c:pt idx="3">
                  <c:v>Heavy and Tractor-Trailer Truck Drivers</c:v>
                </c:pt>
                <c:pt idx="4">
                  <c:v>Office Clerks, General</c:v>
                </c:pt>
                <c:pt idx="5">
                  <c:v>Registered Nurses</c:v>
                </c:pt>
                <c:pt idx="6">
                  <c:v>Postsecondary Teachers</c:v>
                </c:pt>
                <c:pt idx="7">
                  <c:v>General and Operations Managers</c:v>
                </c:pt>
                <c:pt idx="8">
                  <c:v>Nursing Assistants</c:v>
                </c:pt>
                <c:pt idx="9">
                  <c:v>Fast Food and Counter Workers</c:v>
                </c:pt>
              </c:strCache>
            </c:strRef>
          </c:cat>
          <c:val>
            <c:numRef>
              <c:f>'Top Occupation'!$M$2:$M$11</c:f>
              <c:numCache>
                <c:formatCode>"$"#,##0</c:formatCode>
                <c:ptCount val="10"/>
                <c:pt idx="0">
                  <c:v>1045.9581631741405</c:v>
                </c:pt>
                <c:pt idx="1">
                  <c:v>1045.9581631741405</c:v>
                </c:pt>
                <c:pt idx="2">
                  <c:v>1045.9581631741405</c:v>
                </c:pt>
                <c:pt idx="3">
                  <c:v>1045.9581631741405</c:v>
                </c:pt>
                <c:pt idx="4">
                  <c:v>1045.9581631741405</c:v>
                </c:pt>
                <c:pt idx="5">
                  <c:v>1045.9581631741405</c:v>
                </c:pt>
                <c:pt idx="6">
                  <c:v>1045.9581631741405</c:v>
                </c:pt>
                <c:pt idx="7">
                  <c:v>1045.9581631741405</c:v>
                </c:pt>
                <c:pt idx="8">
                  <c:v>1045.9581631741405</c:v>
                </c:pt>
                <c:pt idx="9">
                  <c:v>1045.9581631741405</c:v>
                </c:pt>
              </c:numCache>
            </c:numRef>
          </c:val>
          <c:smooth val="0"/>
          <c:extLst>
            <c:ext xmlns:c16="http://schemas.microsoft.com/office/drawing/2014/chart" uri="{C3380CC4-5D6E-409C-BE32-E72D297353CC}">
              <c16:uniqueId val="{00000008-6263-4EF6-90FB-DFD400E35FF7}"/>
            </c:ext>
          </c:extLst>
        </c:ser>
        <c:dLbls>
          <c:showLegendKey val="0"/>
          <c:showVal val="0"/>
          <c:showCatName val="0"/>
          <c:showSerName val="0"/>
          <c:showPercent val="0"/>
          <c:showBubbleSize val="0"/>
        </c:dLbls>
        <c:marker val="1"/>
        <c:smooth val="0"/>
        <c:axId val="1899435441"/>
        <c:axId val="1100854336"/>
      </c:lineChart>
      <c:catAx>
        <c:axId val="1899435441"/>
        <c:scaling>
          <c:orientation val="minMax"/>
        </c:scaling>
        <c:delete val="0"/>
        <c:axPos val="b"/>
        <c:title>
          <c:tx>
            <c:rich>
              <a:bodyPr/>
              <a:lstStyle/>
              <a:p>
                <a:pPr lvl="0">
                  <a:defRPr b="0">
                    <a:solidFill>
                      <a:srgbClr val="000000"/>
                    </a:solidFill>
                    <a:latin typeface="+mn-lt"/>
                  </a:defRPr>
                </a:pPr>
                <a:endParaRPr lang="en-US"/>
              </a:p>
            </c:rich>
          </c:tx>
          <c:overlay val="0"/>
        </c:title>
        <c:numFmt formatCode="General" sourceLinked="1"/>
        <c:majorTickMark val="none"/>
        <c:minorTickMark val="none"/>
        <c:tickLblPos val="nextTo"/>
        <c:txPr>
          <a:bodyPr/>
          <a:lstStyle/>
          <a:p>
            <a:pPr lvl="0">
              <a:defRPr sz="900" b="0" i="0">
                <a:solidFill>
                  <a:srgbClr val="000000"/>
                </a:solidFill>
                <a:latin typeface="+mn-lt"/>
              </a:defRPr>
            </a:pPr>
            <a:endParaRPr lang="en-US"/>
          </a:p>
        </c:txPr>
        <c:crossAx val="1100854336"/>
        <c:crosses val="autoZero"/>
        <c:auto val="1"/>
        <c:lblAlgn val="ctr"/>
        <c:lblOffset val="100"/>
        <c:noMultiLvlLbl val="1"/>
      </c:catAx>
      <c:valAx>
        <c:axId val="1100854336"/>
        <c:scaling>
          <c:orientation val="minMax"/>
          <c:max val="4200"/>
          <c:min val="0"/>
        </c:scaling>
        <c:delete val="0"/>
        <c:axPos val="l"/>
        <c:majorGridlines>
          <c:spPr>
            <a:ln>
              <a:solidFill>
                <a:srgbClr val="B7B7B7"/>
              </a:solidFill>
            </a:ln>
          </c:spPr>
        </c:majorGridlines>
        <c:title>
          <c:tx>
            <c:rich>
              <a:bodyPr/>
              <a:lstStyle/>
              <a:p>
                <a:pPr lvl="0">
                  <a:defRPr b="0">
                    <a:solidFill>
                      <a:srgbClr val="000000"/>
                    </a:solidFill>
                    <a:latin typeface="+mn-lt"/>
                  </a:defRPr>
                </a:pPr>
                <a:endParaRPr lang="en-US"/>
              </a:p>
            </c:rich>
          </c:tx>
          <c:overlay val="0"/>
        </c:title>
        <c:numFmt formatCode="&quot;$&quot;#,##0" sourceLinked="1"/>
        <c:majorTickMark val="none"/>
        <c:minorTickMark val="none"/>
        <c:tickLblPos val="nextTo"/>
        <c:spPr>
          <a:ln/>
        </c:spPr>
        <c:txPr>
          <a:bodyPr/>
          <a:lstStyle/>
          <a:p>
            <a:pPr lvl="0">
              <a:defRPr sz="900" b="0" i="0">
                <a:solidFill>
                  <a:srgbClr val="000000"/>
                </a:solidFill>
                <a:latin typeface="+mn-lt"/>
              </a:defRPr>
            </a:pPr>
            <a:endParaRPr lang="en-US"/>
          </a:p>
        </c:txPr>
        <c:crossAx val="1899435441"/>
        <c:crosses val="autoZero"/>
        <c:crossBetween val="between"/>
      </c:valAx>
    </c:plotArea>
    <c:legend>
      <c:legendPos val="b"/>
      <c:overlay val="0"/>
      <c:txPr>
        <a:bodyPr/>
        <a:lstStyle/>
        <a:p>
          <a:pPr lvl="0" rtl="0">
            <a:defRPr sz="900" b="0" i="0">
              <a:solidFill>
                <a:srgbClr val="1A1A1A"/>
              </a:solidFill>
              <a:latin typeface="+mn-lt"/>
            </a:defRPr>
          </a:pPr>
          <a:endParaRPr lang="en-US"/>
        </a:p>
      </c:txPr>
    </c:legend>
    <c:plotVisOnly val="1"/>
    <c:dispBlanksAs val="zero"/>
    <c:showDLblsOverMax val="1"/>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1"/>
          <c:order val="1"/>
          <c:tx>
            <c:strRef>
              <c:f>'Report Graphs'!$C$6</c:f>
              <c:strCache>
                <c:ptCount val="1"/>
                <c:pt idx="0">
                  <c:v>1 or 2-person household</c:v>
                </c:pt>
              </c:strCache>
            </c:strRef>
          </c:tx>
          <c:spPr>
            <a:solidFill>
              <a:schemeClr val="accent2"/>
            </a:solidFill>
            <a:ln>
              <a:noFill/>
            </a:ln>
            <a:effectLst/>
          </c:spPr>
          <c:invertIfNegative val="0"/>
          <c:cat>
            <c:strRef>
              <c:f>'Report Graphs'!$C$5</c:f>
              <c:strCache>
                <c:ptCount val="1"/>
                <c:pt idx="0">
                  <c:v>Number of People</c:v>
                </c:pt>
              </c:strCache>
            </c:strRef>
          </c:cat>
          <c:val>
            <c:numRef>
              <c:f>'Report Graphs'!$D$6</c:f>
              <c:numCache>
                <c:formatCode>General</c:formatCode>
                <c:ptCount val="1"/>
                <c:pt idx="0">
                  <c:v>7855</c:v>
                </c:pt>
              </c:numCache>
            </c:numRef>
          </c:val>
          <c:extLst>
            <c:ext xmlns:c16="http://schemas.microsoft.com/office/drawing/2014/chart" uri="{C3380CC4-5D6E-409C-BE32-E72D297353CC}">
              <c16:uniqueId val="{00000000-67FD-4DEE-A4E8-DF2BE8413F40}"/>
            </c:ext>
          </c:extLst>
        </c:ser>
        <c:ser>
          <c:idx val="2"/>
          <c:order val="2"/>
          <c:tx>
            <c:strRef>
              <c:f>'Report Graphs'!$C$7</c:f>
              <c:strCache>
                <c:ptCount val="1"/>
                <c:pt idx="0">
                  <c:v>3-person household</c:v>
                </c:pt>
              </c:strCache>
            </c:strRef>
          </c:tx>
          <c:spPr>
            <a:solidFill>
              <a:schemeClr val="accent3"/>
            </a:solidFill>
            <a:ln>
              <a:noFill/>
            </a:ln>
            <a:effectLst/>
          </c:spPr>
          <c:invertIfNegative val="0"/>
          <c:cat>
            <c:strRef>
              <c:f>'Report Graphs'!$C$5</c:f>
              <c:strCache>
                <c:ptCount val="1"/>
                <c:pt idx="0">
                  <c:v>Number of People</c:v>
                </c:pt>
              </c:strCache>
            </c:strRef>
          </c:cat>
          <c:val>
            <c:numRef>
              <c:f>'Report Graphs'!$D$7</c:f>
              <c:numCache>
                <c:formatCode>General</c:formatCode>
                <c:ptCount val="1"/>
                <c:pt idx="0">
                  <c:v>1533</c:v>
                </c:pt>
              </c:numCache>
            </c:numRef>
          </c:val>
          <c:extLst>
            <c:ext xmlns:c16="http://schemas.microsoft.com/office/drawing/2014/chart" uri="{C3380CC4-5D6E-409C-BE32-E72D297353CC}">
              <c16:uniqueId val="{00000001-67FD-4DEE-A4E8-DF2BE8413F40}"/>
            </c:ext>
          </c:extLst>
        </c:ser>
        <c:ser>
          <c:idx val="3"/>
          <c:order val="3"/>
          <c:tx>
            <c:strRef>
              <c:f>'Report Graphs'!$C$8</c:f>
              <c:strCache>
                <c:ptCount val="1"/>
                <c:pt idx="0">
                  <c:v> 4-or-more-person household</c:v>
                </c:pt>
              </c:strCache>
            </c:strRef>
          </c:tx>
          <c:spPr>
            <a:solidFill>
              <a:schemeClr val="accent4"/>
            </a:solidFill>
            <a:ln>
              <a:noFill/>
            </a:ln>
            <a:effectLst/>
          </c:spPr>
          <c:invertIfNegative val="0"/>
          <c:cat>
            <c:strRef>
              <c:f>'Report Graphs'!$C$5</c:f>
              <c:strCache>
                <c:ptCount val="1"/>
                <c:pt idx="0">
                  <c:v>Number of People</c:v>
                </c:pt>
              </c:strCache>
            </c:strRef>
          </c:cat>
          <c:val>
            <c:numRef>
              <c:f>'Report Graphs'!$D$8</c:f>
              <c:numCache>
                <c:formatCode>General</c:formatCode>
                <c:ptCount val="1"/>
                <c:pt idx="0">
                  <c:v>1747</c:v>
                </c:pt>
              </c:numCache>
            </c:numRef>
          </c:val>
          <c:extLst>
            <c:ext xmlns:c16="http://schemas.microsoft.com/office/drawing/2014/chart" uri="{C3380CC4-5D6E-409C-BE32-E72D297353CC}">
              <c16:uniqueId val="{00000002-67FD-4DEE-A4E8-DF2BE8413F40}"/>
            </c:ext>
          </c:extLst>
        </c:ser>
        <c:dLbls>
          <c:showLegendKey val="0"/>
          <c:showVal val="0"/>
          <c:showCatName val="0"/>
          <c:showSerName val="0"/>
          <c:showPercent val="0"/>
          <c:showBubbleSize val="0"/>
        </c:dLbls>
        <c:gapWidth val="150"/>
        <c:overlap val="100"/>
        <c:axId val="492368184"/>
        <c:axId val="492370480"/>
        <c:extLst>
          <c:ext xmlns:c15="http://schemas.microsoft.com/office/drawing/2012/chart" uri="{02D57815-91ED-43cb-92C2-25804820EDAC}">
            <c15:filteredBarSeries>
              <c15:ser>
                <c:idx val="0"/>
                <c:order val="0"/>
                <c:tx>
                  <c:strRef>
                    <c:extLst>
                      <c:ext uri="{02D57815-91ED-43cb-92C2-25804820EDAC}">
                        <c15:formulaRef>
                          <c15:sqref>'Report Graphs'!$C$5</c15:sqref>
                        </c15:formulaRef>
                      </c:ext>
                    </c:extLst>
                    <c:strCache>
                      <c:ptCount val="1"/>
                      <c:pt idx="0">
                        <c:v>Number of People</c:v>
                      </c:pt>
                    </c:strCache>
                  </c:strRef>
                </c:tx>
                <c:spPr>
                  <a:solidFill>
                    <a:schemeClr val="accent1"/>
                  </a:solidFill>
                  <a:ln>
                    <a:noFill/>
                  </a:ln>
                  <a:effectLst/>
                </c:spPr>
                <c:invertIfNegative val="0"/>
                <c:cat>
                  <c:strRef>
                    <c:extLst>
                      <c:ext uri="{02D57815-91ED-43cb-92C2-25804820EDAC}">
                        <c15:formulaRef>
                          <c15:sqref>'Report Graphs'!$C$5</c15:sqref>
                        </c15:formulaRef>
                      </c:ext>
                    </c:extLst>
                    <c:strCache>
                      <c:ptCount val="1"/>
                      <c:pt idx="0">
                        <c:v>Number of People</c:v>
                      </c:pt>
                    </c:strCache>
                  </c:strRef>
                </c:cat>
                <c:val>
                  <c:numRef>
                    <c:extLst>
                      <c:ext uri="{02D57815-91ED-43cb-92C2-25804820EDAC}">
                        <c15:formulaRef>
                          <c15:sqref>'Report Graphs'!$D$5</c15:sqref>
                        </c15:formulaRef>
                      </c:ext>
                    </c:extLst>
                    <c:numCache>
                      <c:formatCode>General</c:formatCode>
                      <c:ptCount val="1"/>
                    </c:numCache>
                  </c:numRef>
                </c:val>
                <c:extLst>
                  <c:ext xmlns:c16="http://schemas.microsoft.com/office/drawing/2014/chart" uri="{C3380CC4-5D6E-409C-BE32-E72D297353CC}">
                    <c16:uniqueId val="{00000003-67FD-4DEE-A4E8-DF2BE8413F40}"/>
                  </c:ext>
                </c:extLst>
              </c15:ser>
            </c15:filteredBarSeries>
          </c:ext>
        </c:extLst>
      </c:barChart>
      <c:catAx>
        <c:axId val="492368184"/>
        <c:scaling>
          <c:orientation val="minMax"/>
        </c:scaling>
        <c:delete val="1"/>
        <c:axPos val="l"/>
        <c:numFmt formatCode="General" sourceLinked="1"/>
        <c:majorTickMark val="none"/>
        <c:minorTickMark val="none"/>
        <c:tickLblPos val="nextTo"/>
        <c:crossAx val="492370480"/>
        <c:crosses val="autoZero"/>
        <c:auto val="1"/>
        <c:lblAlgn val="ctr"/>
        <c:lblOffset val="100"/>
        <c:noMultiLvlLbl val="0"/>
      </c:catAx>
      <c:valAx>
        <c:axId val="49237048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2368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percentStacked"/>
        <c:varyColors val="0"/>
        <c:ser>
          <c:idx val="0"/>
          <c:order val="0"/>
          <c:tx>
            <c:strRef>
              <c:f>'Report Graphs'!$A$6</c:f>
              <c:strCache>
                <c:ptCount val="1"/>
                <c:pt idx="0">
                  <c:v>1 bedroom/efficiency</c:v>
                </c:pt>
              </c:strCache>
            </c:strRef>
          </c:tx>
          <c:spPr>
            <a:pattFill prst="pct80">
              <a:fgClr>
                <a:schemeClr val="accent2"/>
              </a:fgClr>
              <a:bgClr>
                <a:schemeClr val="bg1"/>
              </a:bgClr>
            </a:pattFill>
            <a:ln w="19050">
              <a:solidFill>
                <a:schemeClr val="lt1"/>
              </a:solidFill>
            </a:ln>
            <a:effectLst/>
          </c:spPr>
          <c:invertIfNegative val="0"/>
          <c:dPt>
            <c:idx val="0"/>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01-C0A8-4A78-8562-6B0C1B0817AA}"/>
              </c:ext>
            </c:extLst>
          </c:dPt>
          <c:dPt>
            <c:idx val="1"/>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03-C0A8-4A78-8562-6B0C1B0817AA}"/>
              </c:ext>
            </c:extLst>
          </c:dPt>
          <c:dPt>
            <c:idx val="2"/>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05-C0A8-4A78-8562-6B0C1B0817AA}"/>
              </c:ext>
            </c:extLst>
          </c:dPt>
          <c:dPt>
            <c:idx val="3"/>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07-C0A8-4A78-8562-6B0C1B0817AA}"/>
              </c:ext>
            </c:extLst>
          </c:dPt>
          <c:dPt>
            <c:idx val="4"/>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09-C0A8-4A78-8562-6B0C1B0817AA}"/>
              </c:ext>
            </c:extLst>
          </c:dPt>
          <c:dPt>
            <c:idx val="5"/>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0B-C0A8-4A78-8562-6B0C1B0817AA}"/>
              </c:ext>
            </c:extLst>
          </c:dPt>
          <c:dPt>
            <c:idx val="6"/>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0D-C0A8-4A78-8562-6B0C1B0817AA}"/>
              </c:ext>
            </c:extLst>
          </c:dPt>
          <c:dPt>
            <c:idx val="7"/>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0F-C0A8-4A78-8562-6B0C1B0817AA}"/>
              </c:ext>
            </c:extLst>
          </c:dPt>
          <c:dPt>
            <c:idx val="8"/>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11-C0A8-4A78-8562-6B0C1B0817AA}"/>
              </c:ext>
            </c:extLst>
          </c:dPt>
          <c:dPt>
            <c:idx val="9"/>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13-C0A8-4A78-8562-6B0C1B0817AA}"/>
              </c:ext>
            </c:extLst>
          </c:dPt>
          <c:dPt>
            <c:idx val="10"/>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15-C0A8-4A78-8562-6B0C1B0817AA}"/>
              </c:ext>
            </c:extLst>
          </c:dPt>
          <c:dPt>
            <c:idx val="11"/>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17-C0A8-4A78-8562-6B0C1B0817AA}"/>
              </c:ext>
            </c:extLst>
          </c:dPt>
          <c:dPt>
            <c:idx val="12"/>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19-C0A8-4A78-8562-6B0C1B0817AA}"/>
              </c:ext>
            </c:extLst>
          </c:dPt>
          <c:dPt>
            <c:idx val="13"/>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1B-C0A8-4A78-8562-6B0C1B0817AA}"/>
              </c:ext>
            </c:extLst>
          </c:dPt>
          <c:dPt>
            <c:idx val="14"/>
            <c:invertIfNegative val="0"/>
            <c:bubble3D val="0"/>
            <c:spPr>
              <a:pattFill prst="pct80">
                <a:fgClr>
                  <a:schemeClr val="accent2"/>
                </a:fgClr>
                <a:bgClr>
                  <a:schemeClr val="bg1"/>
                </a:bgClr>
              </a:pattFill>
              <a:ln w="19050">
                <a:solidFill>
                  <a:schemeClr val="lt1"/>
                </a:solidFill>
              </a:ln>
              <a:effectLst/>
            </c:spPr>
            <c:extLst>
              <c:ext xmlns:c16="http://schemas.microsoft.com/office/drawing/2014/chart" uri="{C3380CC4-5D6E-409C-BE32-E72D297353CC}">
                <c16:uniqueId val="{0000001D-C0A8-4A78-8562-6B0C1B0817AA}"/>
              </c:ext>
            </c:extLst>
          </c:dPt>
          <c:cat>
            <c:strRef>
              <c:f>'Report Graphs'!$A$5</c:f>
              <c:strCache>
                <c:ptCount val="1"/>
                <c:pt idx="0">
                  <c:v>Number of Bedrooms</c:v>
                </c:pt>
              </c:strCache>
            </c:strRef>
          </c:cat>
          <c:val>
            <c:numRef>
              <c:f>'Report Graphs'!$B$6</c:f>
              <c:numCache>
                <c:formatCode>General</c:formatCode>
                <c:ptCount val="1"/>
                <c:pt idx="0">
                  <c:v>1403</c:v>
                </c:pt>
              </c:numCache>
            </c:numRef>
          </c:val>
          <c:extLst>
            <c:ext xmlns:c16="http://schemas.microsoft.com/office/drawing/2014/chart" uri="{C3380CC4-5D6E-409C-BE32-E72D297353CC}">
              <c16:uniqueId val="{0000001E-C0A8-4A78-8562-6B0C1B0817AA}"/>
            </c:ext>
          </c:extLst>
        </c:ser>
        <c:ser>
          <c:idx val="1"/>
          <c:order val="1"/>
          <c:tx>
            <c:strRef>
              <c:f>'Report Graphs'!$A$7</c:f>
              <c:strCache>
                <c:ptCount val="1"/>
                <c:pt idx="0">
                  <c:v>2 bedrooms</c:v>
                </c:pt>
              </c:strCache>
            </c:strRef>
          </c:tx>
          <c:spPr>
            <a:solidFill>
              <a:schemeClr val="accent2"/>
            </a:solidFill>
            <a:ln w="19050">
              <a:solidFill>
                <a:schemeClr val="lt1"/>
              </a:solidFill>
            </a:ln>
            <a:effectLst/>
          </c:spPr>
          <c:invertIfNegative val="0"/>
          <c:cat>
            <c:strRef>
              <c:f>'Report Graphs'!$A$5</c:f>
              <c:strCache>
                <c:ptCount val="1"/>
                <c:pt idx="0">
                  <c:v>Number of Bedrooms</c:v>
                </c:pt>
              </c:strCache>
            </c:strRef>
          </c:cat>
          <c:val>
            <c:numRef>
              <c:f>'Report Graphs'!$B$7</c:f>
              <c:numCache>
                <c:formatCode>General</c:formatCode>
                <c:ptCount val="1"/>
                <c:pt idx="0">
                  <c:v>3565</c:v>
                </c:pt>
              </c:numCache>
            </c:numRef>
          </c:val>
          <c:extLst>
            <c:ext xmlns:c16="http://schemas.microsoft.com/office/drawing/2014/chart" uri="{C3380CC4-5D6E-409C-BE32-E72D297353CC}">
              <c16:uniqueId val="{0000001F-C0A8-4A78-8562-6B0C1B0817AA}"/>
            </c:ext>
          </c:extLst>
        </c:ser>
        <c:ser>
          <c:idx val="2"/>
          <c:order val="2"/>
          <c:tx>
            <c:strRef>
              <c:f>'Report Graphs'!$A$8</c:f>
              <c:strCache>
                <c:ptCount val="1"/>
                <c:pt idx="0">
                  <c:v>3 bedrooms</c:v>
                </c:pt>
              </c:strCache>
            </c:strRef>
          </c:tx>
          <c:spPr>
            <a:solidFill>
              <a:schemeClr val="accent3"/>
            </a:solidFill>
            <a:ln w="19050">
              <a:solidFill>
                <a:schemeClr val="lt1"/>
              </a:solidFill>
            </a:ln>
            <a:effectLst/>
          </c:spPr>
          <c:invertIfNegative val="0"/>
          <c:cat>
            <c:strRef>
              <c:f>'Report Graphs'!$A$5</c:f>
              <c:strCache>
                <c:ptCount val="1"/>
                <c:pt idx="0">
                  <c:v>Number of Bedrooms</c:v>
                </c:pt>
              </c:strCache>
            </c:strRef>
          </c:cat>
          <c:val>
            <c:numRef>
              <c:f>'Report Graphs'!$B$8</c:f>
              <c:numCache>
                <c:formatCode>General</c:formatCode>
                <c:ptCount val="1"/>
                <c:pt idx="0">
                  <c:v>6617</c:v>
                </c:pt>
              </c:numCache>
            </c:numRef>
          </c:val>
          <c:extLst>
            <c:ext xmlns:c16="http://schemas.microsoft.com/office/drawing/2014/chart" uri="{C3380CC4-5D6E-409C-BE32-E72D297353CC}">
              <c16:uniqueId val="{00000020-C0A8-4A78-8562-6B0C1B0817AA}"/>
            </c:ext>
          </c:extLst>
        </c:ser>
        <c:ser>
          <c:idx val="3"/>
          <c:order val="3"/>
          <c:tx>
            <c:strRef>
              <c:f>'Report Graphs'!$A$9</c:f>
              <c:strCache>
                <c:ptCount val="1"/>
                <c:pt idx="0">
                  <c:v>4 or more bedrooms</c:v>
                </c:pt>
              </c:strCache>
            </c:strRef>
          </c:tx>
          <c:spPr>
            <a:solidFill>
              <a:schemeClr val="accent4"/>
            </a:solidFill>
            <a:ln w="19050">
              <a:solidFill>
                <a:schemeClr val="lt1"/>
              </a:solidFill>
            </a:ln>
            <a:effectLst/>
          </c:spPr>
          <c:invertIfNegative val="0"/>
          <c:cat>
            <c:strRef>
              <c:f>'Report Graphs'!$A$5</c:f>
              <c:strCache>
                <c:ptCount val="1"/>
                <c:pt idx="0">
                  <c:v>Number of Bedrooms</c:v>
                </c:pt>
              </c:strCache>
            </c:strRef>
          </c:cat>
          <c:val>
            <c:numRef>
              <c:f>'Report Graphs'!$B$9</c:f>
              <c:numCache>
                <c:formatCode>General</c:formatCode>
                <c:ptCount val="1"/>
                <c:pt idx="0">
                  <c:v>2665</c:v>
                </c:pt>
              </c:numCache>
            </c:numRef>
          </c:val>
          <c:extLst>
            <c:ext xmlns:c16="http://schemas.microsoft.com/office/drawing/2014/chart" uri="{C3380CC4-5D6E-409C-BE32-E72D297353CC}">
              <c16:uniqueId val="{00000021-C0A8-4A78-8562-6B0C1B0817AA}"/>
            </c:ext>
          </c:extLst>
        </c:ser>
        <c:dLbls>
          <c:showLegendKey val="0"/>
          <c:showVal val="0"/>
          <c:showCatName val="0"/>
          <c:showSerName val="0"/>
          <c:showPercent val="0"/>
          <c:showBubbleSize val="0"/>
        </c:dLbls>
        <c:gapWidth val="100"/>
        <c:overlap val="100"/>
        <c:axId val="751505016"/>
        <c:axId val="751504360"/>
      </c:barChart>
      <c:valAx>
        <c:axId val="75150436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1505016"/>
        <c:crosses val="autoZero"/>
        <c:crossBetween val="between"/>
        <c:majorUnit val="0.1"/>
      </c:valAx>
      <c:catAx>
        <c:axId val="751505016"/>
        <c:scaling>
          <c:orientation val="minMax"/>
        </c:scaling>
        <c:delete val="1"/>
        <c:axPos val="l"/>
        <c:numFmt formatCode="General" sourceLinked="1"/>
        <c:majorTickMark val="out"/>
        <c:minorTickMark val="none"/>
        <c:tickLblPos val="nextTo"/>
        <c:crossAx val="7515043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'Report Graphs'!$A$12:$A$20</c:f>
              <c:strCache>
                <c:ptCount val="9"/>
                <c:pt idx="0">
                  <c:v> 2010 or later</c:v>
                </c:pt>
                <c:pt idx="1">
                  <c:v>2000 to 2009</c:v>
                </c:pt>
                <c:pt idx="2">
                  <c:v>1990 to 1999</c:v>
                </c:pt>
                <c:pt idx="3">
                  <c:v>1980 to 1989</c:v>
                </c:pt>
                <c:pt idx="4">
                  <c:v>1970 to 1979</c:v>
                </c:pt>
                <c:pt idx="5">
                  <c:v>1960 to 1969</c:v>
                </c:pt>
                <c:pt idx="6">
                  <c:v>1950 to 1959</c:v>
                </c:pt>
                <c:pt idx="7">
                  <c:v>1940 to 1949</c:v>
                </c:pt>
                <c:pt idx="8">
                  <c:v>1939 or earlier</c:v>
                </c:pt>
              </c:strCache>
            </c:strRef>
          </c:cat>
          <c:val>
            <c:numRef>
              <c:f>'Report Graphs'!$B$12:$B$20</c:f>
              <c:numCache>
                <c:formatCode>_(* #,##0_);_(* \(#,##0\);_(* "-"??_);_(@_)</c:formatCode>
                <c:ptCount val="9"/>
                <c:pt idx="0">
                  <c:v>154</c:v>
                </c:pt>
                <c:pt idx="1">
                  <c:v>1132</c:v>
                </c:pt>
                <c:pt idx="2">
                  <c:v>2158</c:v>
                </c:pt>
                <c:pt idx="3">
                  <c:v>2388</c:v>
                </c:pt>
                <c:pt idx="4">
                  <c:v>2354</c:v>
                </c:pt>
                <c:pt idx="5">
                  <c:v>1389</c:v>
                </c:pt>
                <c:pt idx="6">
                  <c:v>959</c:v>
                </c:pt>
                <c:pt idx="7">
                  <c:v>1134</c:v>
                </c:pt>
                <c:pt idx="8">
                  <c:v>2482</c:v>
                </c:pt>
              </c:numCache>
            </c:numRef>
          </c:val>
          <c:extLst>
            <c:ext xmlns:c16="http://schemas.microsoft.com/office/drawing/2014/chart" uri="{C3380CC4-5D6E-409C-BE32-E72D297353CC}">
              <c16:uniqueId val="{00000000-A2D4-4DEA-88ED-37D139FC203A}"/>
            </c:ext>
          </c:extLst>
        </c:ser>
        <c:ser>
          <c:idx val="1"/>
          <c:order val="1"/>
          <c:spPr>
            <a:pattFill prst="dkUpDiag">
              <a:fgClr>
                <a:schemeClr val="accent5"/>
              </a:fgClr>
              <a:bgClr>
                <a:schemeClr val="bg1"/>
              </a:bgClr>
            </a:pattFill>
            <a:ln>
              <a:noFill/>
            </a:ln>
            <a:effectLst/>
          </c:spPr>
          <c:invertIfNegative val="0"/>
          <c:cat>
            <c:strRef>
              <c:f>'Report Graphs'!$A$12:$A$20</c:f>
              <c:strCache>
                <c:ptCount val="9"/>
                <c:pt idx="0">
                  <c:v> 2010 or later</c:v>
                </c:pt>
                <c:pt idx="1">
                  <c:v>2000 to 2009</c:v>
                </c:pt>
                <c:pt idx="2">
                  <c:v>1990 to 1999</c:v>
                </c:pt>
                <c:pt idx="3">
                  <c:v>1980 to 1989</c:v>
                </c:pt>
                <c:pt idx="4">
                  <c:v>1970 to 1979</c:v>
                </c:pt>
                <c:pt idx="5">
                  <c:v>1960 to 1969</c:v>
                </c:pt>
                <c:pt idx="6">
                  <c:v>1950 to 1959</c:v>
                </c:pt>
                <c:pt idx="7">
                  <c:v>1940 to 1949</c:v>
                </c:pt>
                <c:pt idx="8">
                  <c:v>1939 or earlier</c:v>
                </c:pt>
              </c:strCache>
            </c:strRef>
          </c:cat>
          <c:val>
            <c:numRef>
              <c:f>'Report Graphs'!$C$12:$C$20</c:f>
              <c:numCache>
                <c:formatCode>General</c:formatCode>
                <c:ptCount val="9"/>
                <c:pt idx="0">
                  <c:v>100</c:v>
                </c:pt>
              </c:numCache>
            </c:numRef>
          </c:val>
          <c:extLst>
            <c:ext xmlns:c16="http://schemas.microsoft.com/office/drawing/2014/chart" uri="{C3380CC4-5D6E-409C-BE32-E72D297353CC}">
              <c16:uniqueId val="{00000001-A2D4-4DEA-88ED-37D139FC203A}"/>
            </c:ext>
          </c:extLst>
        </c:ser>
        <c:dLbls>
          <c:showLegendKey val="0"/>
          <c:showVal val="0"/>
          <c:showCatName val="0"/>
          <c:showSerName val="0"/>
          <c:showPercent val="0"/>
          <c:showBubbleSize val="0"/>
        </c:dLbls>
        <c:gapWidth val="150"/>
        <c:overlap val="100"/>
        <c:axId val="743325104"/>
        <c:axId val="743325760"/>
      </c:barChart>
      <c:catAx>
        <c:axId val="743325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3325760"/>
        <c:crosses val="autoZero"/>
        <c:auto val="1"/>
        <c:lblAlgn val="ctr"/>
        <c:lblOffset val="100"/>
        <c:noMultiLvlLbl val="0"/>
      </c:catAx>
      <c:valAx>
        <c:axId val="743325760"/>
        <c:scaling>
          <c:orientation val="minMax"/>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3325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Graphs!$E$274</c:f>
              <c:strCache>
                <c:ptCount val="1"/>
                <c:pt idx="0">
                  <c:v>Barbour County</c:v>
                </c:pt>
              </c:strCache>
            </c:strRef>
          </c:tx>
          <c:spPr>
            <a:ln w="28575" cap="rnd">
              <a:solidFill>
                <a:schemeClr val="accent1"/>
              </a:solidFill>
              <a:round/>
            </a:ln>
            <a:effectLst/>
          </c:spPr>
          <c:marker>
            <c:symbol val="none"/>
          </c:marker>
          <c:cat>
            <c:numRef>
              <c:f>Graphs!$B$287:$B$295</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Graphs!$E$287:$E$295</c:f>
              <c:numCache>
                <c:formatCode>"$"#,##0</c:formatCode>
                <c:ptCount val="9"/>
                <c:pt idx="0">
                  <c:v>500</c:v>
                </c:pt>
                <c:pt idx="1">
                  <c:v>514</c:v>
                </c:pt>
                <c:pt idx="2">
                  <c:v>502</c:v>
                </c:pt>
                <c:pt idx="3">
                  <c:v>533</c:v>
                </c:pt>
                <c:pt idx="4">
                  <c:v>540</c:v>
                </c:pt>
                <c:pt idx="5">
                  <c:v>534</c:v>
                </c:pt>
                <c:pt idx="6">
                  <c:v>553</c:v>
                </c:pt>
                <c:pt idx="7">
                  <c:v>558</c:v>
                </c:pt>
                <c:pt idx="8">
                  <c:v>549</c:v>
                </c:pt>
              </c:numCache>
            </c:numRef>
          </c:val>
          <c:smooth val="0"/>
          <c:extLst>
            <c:ext xmlns:c16="http://schemas.microsoft.com/office/drawing/2014/chart" uri="{C3380CC4-5D6E-409C-BE32-E72D297353CC}">
              <c16:uniqueId val="{00000000-8C21-4E09-B955-9651F3A3BAD2}"/>
            </c:ext>
          </c:extLst>
        </c:ser>
        <c:ser>
          <c:idx val="1"/>
          <c:order val="1"/>
          <c:tx>
            <c:strRef>
              <c:f>Graphs!$F$274</c:f>
              <c:strCache>
                <c:ptCount val="1"/>
                <c:pt idx="0">
                  <c:v>Randolph County</c:v>
                </c:pt>
              </c:strCache>
            </c:strRef>
          </c:tx>
          <c:spPr>
            <a:ln w="28575" cap="rnd">
              <a:solidFill>
                <a:srgbClr val="FF0000"/>
              </a:solidFill>
              <a:round/>
            </a:ln>
            <a:effectLst/>
          </c:spPr>
          <c:marker>
            <c:symbol val="none"/>
          </c:marker>
          <c:cat>
            <c:numRef>
              <c:f>Graphs!$B$287:$B$295</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Graphs!$F$287:$F$295</c:f>
              <c:numCache>
                <c:formatCode>"$"#,##0</c:formatCode>
                <c:ptCount val="9"/>
                <c:pt idx="0">
                  <c:v>540</c:v>
                </c:pt>
                <c:pt idx="1">
                  <c:v>530</c:v>
                </c:pt>
                <c:pt idx="2">
                  <c:v>534</c:v>
                </c:pt>
                <c:pt idx="3">
                  <c:v>546</c:v>
                </c:pt>
                <c:pt idx="4">
                  <c:v>560</c:v>
                </c:pt>
                <c:pt idx="5">
                  <c:v>567</c:v>
                </c:pt>
                <c:pt idx="6">
                  <c:v>585</c:v>
                </c:pt>
                <c:pt idx="7">
                  <c:v>643</c:v>
                </c:pt>
                <c:pt idx="8">
                  <c:v>655</c:v>
                </c:pt>
              </c:numCache>
            </c:numRef>
          </c:val>
          <c:smooth val="0"/>
          <c:extLst>
            <c:ext xmlns:c16="http://schemas.microsoft.com/office/drawing/2014/chart" uri="{C3380CC4-5D6E-409C-BE32-E72D297353CC}">
              <c16:uniqueId val="{00000001-8C21-4E09-B955-9651F3A3BAD2}"/>
            </c:ext>
          </c:extLst>
        </c:ser>
        <c:ser>
          <c:idx val="2"/>
          <c:order val="2"/>
          <c:tx>
            <c:strRef>
              <c:f>Graphs!$G$274</c:f>
              <c:strCache>
                <c:ptCount val="1"/>
                <c:pt idx="0">
                  <c:v>Tucker County</c:v>
                </c:pt>
              </c:strCache>
            </c:strRef>
          </c:tx>
          <c:spPr>
            <a:ln w="28575" cap="rnd">
              <a:solidFill>
                <a:schemeClr val="accent3"/>
              </a:solidFill>
              <a:round/>
            </a:ln>
            <a:effectLst/>
          </c:spPr>
          <c:marker>
            <c:symbol val="none"/>
          </c:marker>
          <c:cat>
            <c:numRef>
              <c:f>Graphs!$B$287:$B$295</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Graphs!$G$287:$G$295</c:f>
              <c:numCache>
                <c:formatCode>"$"#,##0</c:formatCode>
                <c:ptCount val="9"/>
                <c:pt idx="0">
                  <c:v>473</c:v>
                </c:pt>
                <c:pt idx="1">
                  <c:v>526</c:v>
                </c:pt>
                <c:pt idx="2">
                  <c:v>525</c:v>
                </c:pt>
                <c:pt idx="3">
                  <c:v>529</c:v>
                </c:pt>
                <c:pt idx="4">
                  <c:v>525</c:v>
                </c:pt>
                <c:pt idx="5">
                  <c:v>524</c:v>
                </c:pt>
                <c:pt idx="6">
                  <c:v>507</c:v>
                </c:pt>
                <c:pt idx="7">
                  <c:v>508</c:v>
                </c:pt>
                <c:pt idx="8">
                  <c:v>552</c:v>
                </c:pt>
              </c:numCache>
            </c:numRef>
          </c:val>
          <c:smooth val="0"/>
          <c:extLst>
            <c:ext xmlns:c16="http://schemas.microsoft.com/office/drawing/2014/chart" uri="{C3380CC4-5D6E-409C-BE32-E72D297353CC}">
              <c16:uniqueId val="{00000002-8C21-4E09-B955-9651F3A3BAD2}"/>
            </c:ext>
          </c:extLst>
        </c:ser>
        <c:ser>
          <c:idx val="3"/>
          <c:order val="3"/>
          <c:tx>
            <c:strRef>
              <c:f>Graphs!$H$274</c:f>
              <c:strCache>
                <c:ptCount val="1"/>
                <c:pt idx="0">
                  <c:v>Upshur County</c:v>
                </c:pt>
              </c:strCache>
            </c:strRef>
          </c:tx>
          <c:spPr>
            <a:ln w="28575" cap="rnd">
              <a:solidFill>
                <a:schemeClr val="accent4"/>
              </a:solidFill>
              <a:round/>
            </a:ln>
            <a:effectLst/>
          </c:spPr>
          <c:marker>
            <c:symbol val="none"/>
          </c:marker>
          <c:cat>
            <c:numRef>
              <c:f>Graphs!$B$287:$B$295</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Graphs!$H$287:$H$295</c:f>
              <c:numCache>
                <c:formatCode>"$"#,##0</c:formatCode>
                <c:ptCount val="9"/>
                <c:pt idx="0">
                  <c:v>511</c:v>
                </c:pt>
                <c:pt idx="1">
                  <c:v>552</c:v>
                </c:pt>
                <c:pt idx="2">
                  <c:v>566</c:v>
                </c:pt>
                <c:pt idx="3">
                  <c:v>566</c:v>
                </c:pt>
                <c:pt idx="4">
                  <c:v>591</c:v>
                </c:pt>
                <c:pt idx="5">
                  <c:v>644</c:v>
                </c:pt>
                <c:pt idx="6">
                  <c:v>662</c:v>
                </c:pt>
                <c:pt idx="7">
                  <c:v>663</c:v>
                </c:pt>
                <c:pt idx="8">
                  <c:v>699</c:v>
                </c:pt>
              </c:numCache>
            </c:numRef>
          </c:val>
          <c:smooth val="0"/>
          <c:extLst>
            <c:ext xmlns:c16="http://schemas.microsoft.com/office/drawing/2014/chart" uri="{C3380CC4-5D6E-409C-BE32-E72D297353CC}">
              <c16:uniqueId val="{00000003-8C21-4E09-B955-9651F3A3BAD2}"/>
            </c:ext>
          </c:extLst>
        </c:ser>
        <c:ser>
          <c:idx val="5"/>
          <c:order val="5"/>
          <c:tx>
            <c:strRef>
              <c:f>Graphs!$J$274</c:f>
              <c:strCache>
                <c:ptCount val="1"/>
                <c:pt idx="0">
                  <c:v>ZIP Code 26241</c:v>
                </c:pt>
              </c:strCache>
            </c:strRef>
          </c:tx>
          <c:spPr>
            <a:ln w="28575" cap="rnd">
              <a:solidFill>
                <a:schemeClr val="accent6"/>
              </a:solidFill>
              <a:round/>
            </a:ln>
            <a:effectLst/>
          </c:spPr>
          <c:marker>
            <c:symbol val="none"/>
          </c:marker>
          <c:cat>
            <c:numRef>
              <c:f>Graphs!$B$287:$B$295</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Graphs!$J$287:$J$295</c:f>
              <c:numCache>
                <c:formatCode>"$"#,##0</c:formatCode>
                <c:ptCount val="9"/>
                <c:pt idx="0">
                  <c:v>530</c:v>
                </c:pt>
                <c:pt idx="1">
                  <c:v>520</c:v>
                </c:pt>
                <c:pt idx="2">
                  <c:v>530</c:v>
                </c:pt>
                <c:pt idx="3">
                  <c:v>539</c:v>
                </c:pt>
                <c:pt idx="4">
                  <c:v>552</c:v>
                </c:pt>
                <c:pt idx="5">
                  <c:v>560</c:v>
                </c:pt>
                <c:pt idx="6">
                  <c:v>574</c:v>
                </c:pt>
                <c:pt idx="7">
                  <c:v>595</c:v>
                </c:pt>
                <c:pt idx="8">
                  <c:v>617</c:v>
                </c:pt>
              </c:numCache>
            </c:numRef>
          </c:val>
          <c:smooth val="0"/>
          <c:extLst>
            <c:ext xmlns:c16="http://schemas.microsoft.com/office/drawing/2014/chart" uri="{C3380CC4-5D6E-409C-BE32-E72D297353CC}">
              <c16:uniqueId val="{00000004-8C21-4E09-B955-9651F3A3BAD2}"/>
            </c:ext>
          </c:extLst>
        </c:ser>
        <c:dLbls>
          <c:showLegendKey val="0"/>
          <c:showVal val="0"/>
          <c:showCatName val="0"/>
          <c:showSerName val="0"/>
          <c:showPercent val="0"/>
          <c:showBubbleSize val="0"/>
        </c:dLbls>
        <c:smooth val="0"/>
        <c:axId val="948705344"/>
        <c:axId val="948712832"/>
        <c:extLst>
          <c:ext xmlns:c15="http://schemas.microsoft.com/office/drawing/2012/chart" uri="{02D57815-91ED-43cb-92C2-25804820EDAC}">
            <c15:filteredLineSeries>
              <c15:ser>
                <c:idx val="4"/>
                <c:order val="4"/>
                <c:tx>
                  <c:strRef>
                    <c:extLst>
                      <c:ext uri="{02D57815-91ED-43cb-92C2-25804820EDAC}">
                        <c15:formulaRef>
                          <c15:sqref>Graphs!$I$274</c15:sqref>
                        </c15:formulaRef>
                      </c:ext>
                    </c:extLst>
                    <c:strCache>
                      <c:ptCount val="1"/>
                      <c:pt idx="0">
                        <c:v>Webster County</c:v>
                      </c:pt>
                    </c:strCache>
                  </c:strRef>
                </c:tx>
                <c:spPr>
                  <a:ln w="28575" cap="rnd">
                    <a:solidFill>
                      <a:schemeClr val="accent5"/>
                    </a:solidFill>
                    <a:round/>
                  </a:ln>
                  <a:effectLst/>
                </c:spPr>
                <c:marker>
                  <c:symbol val="none"/>
                </c:marker>
                <c:cat>
                  <c:numRef>
                    <c:extLst>
                      <c:ext uri="{02D57815-91ED-43cb-92C2-25804820EDAC}">
                        <c15:formulaRef>
                          <c15:sqref>Graphs!$B$287:$B$295</c15:sqref>
                        </c15:formulaRef>
                      </c:ext>
                    </c:extLst>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extLst>
                      <c:ext uri="{02D57815-91ED-43cb-92C2-25804820EDAC}">
                        <c15:formulaRef>
                          <c15:sqref>Graphs!$I$287:$I$295</c15:sqref>
                        </c15:formulaRef>
                      </c:ext>
                    </c:extLst>
                    <c:numCache>
                      <c:formatCode>"$"#,##0</c:formatCode>
                      <c:ptCount val="9"/>
                      <c:pt idx="0">
                        <c:v>454</c:v>
                      </c:pt>
                      <c:pt idx="1">
                        <c:v>458</c:v>
                      </c:pt>
                      <c:pt idx="2">
                        <c:v>455</c:v>
                      </c:pt>
                      <c:pt idx="3">
                        <c:v>460</c:v>
                      </c:pt>
                      <c:pt idx="4">
                        <c:v>489</c:v>
                      </c:pt>
                      <c:pt idx="5">
                        <c:v>491</c:v>
                      </c:pt>
                      <c:pt idx="6">
                        <c:v>508</c:v>
                      </c:pt>
                      <c:pt idx="7">
                        <c:v>542</c:v>
                      </c:pt>
                      <c:pt idx="8">
                        <c:v>573</c:v>
                      </c:pt>
                    </c:numCache>
                  </c:numRef>
                </c:val>
                <c:smooth val="0"/>
                <c:extLst>
                  <c:ext xmlns:c16="http://schemas.microsoft.com/office/drawing/2014/chart" uri="{C3380CC4-5D6E-409C-BE32-E72D297353CC}">
                    <c16:uniqueId val="{00000005-8C21-4E09-B955-9651F3A3BAD2}"/>
                  </c:ext>
                </c:extLst>
              </c15:ser>
            </c15:filteredLineSeries>
          </c:ext>
        </c:extLst>
      </c:lineChart>
      <c:catAx>
        <c:axId val="948705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948712832"/>
        <c:crosses val="autoZero"/>
        <c:auto val="1"/>
        <c:lblAlgn val="ctr"/>
        <c:lblOffset val="100"/>
        <c:noMultiLvlLbl val="0"/>
      </c:catAx>
      <c:valAx>
        <c:axId val="948712832"/>
        <c:scaling>
          <c:orientation val="minMax"/>
          <c:max val="700"/>
          <c:min val="450"/>
        </c:scaling>
        <c:delete val="0"/>
        <c:axPos val="l"/>
        <c:majorGridlines>
          <c:spPr>
            <a:ln w="9525" cap="flat" cmpd="sng" algn="ctr">
              <a:solidFill>
                <a:schemeClr val="tx1">
                  <a:lumMod val="15000"/>
                  <a:lumOff val="85000"/>
                </a:schemeClr>
              </a:solidFill>
              <a:round/>
            </a:ln>
            <a:effectLst/>
          </c:spPr>
        </c:majorGridlines>
        <c:numFmt formatCode="&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870534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Graphs!$E$274</c:f>
              <c:strCache>
                <c:ptCount val="1"/>
                <c:pt idx="0">
                  <c:v>Barbour County</c:v>
                </c:pt>
              </c:strCache>
            </c:strRef>
          </c:tx>
          <c:spPr>
            <a:ln w="28575" cap="rnd">
              <a:solidFill>
                <a:schemeClr val="accent1"/>
              </a:solidFill>
              <a:round/>
            </a:ln>
            <a:effectLst/>
          </c:spPr>
          <c:marker>
            <c:symbol val="none"/>
          </c:marker>
          <c:cat>
            <c:numRef>
              <c:f>Graphs!$B$275:$B$283</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Graphs!$E$275:$E$283</c:f>
              <c:numCache>
                <c:formatCode>"$"#,##0</c:formatCode>
                <c:ptCount val="9"/>
                <c:pt idx="0">
                  <c:v>839</c:v>
                </c:pt>
                <c:pt idx="1">
                  <c:v>824</c:v>
                </c:pt>
                <c:pt idx="2">
                  <c:v>860</c:v>
                </c:pt>
                <c:pt idx="3">
                  <c:v>846</c:v>
                </c:pt>
                <c:pt idx="4">
                  <c:v>830</c:v>
                </c:pt>
                <c:pt idx="5">
                  <c:v>828</c:v>
                </c:pt>
                <c:pt idx="6">
                  <c:v>891</c:v>
                </c:pt>
                <c:pt idx="7">
                  <c:v>945</c:v>
                </c:pt>
                <c:pt idx="8">
                  <c:v>949</c:v>
                </c:pt>
              </c:numCache>
            </c:numRef>
          </c:val>
          <c:smooth val="0"/>
          <c:extLst>
            <c:ext xmlns:c16="http://schemas.microsoft.com/office/drawing/2014/chart" uri="{C3380CC4-5D6E-409C-BE32-E72D297353CC}">
              <c16:uniqueId val="{00000000-7302-45F5-AFFB-DF2EBC5330ED}"/>
            </c:ext>
          </c:extLst>
        </c:ser>
        <c:ser>
          <c:idx val="1"/>
          <c:order val="1"/>
          <c:tx>
            <c:strRef>
              <c:f>Graphs!$F$274</c:f>
              <c:strCache>
                <c:ptCount val="1"/>
                <c:pt idx="0">
                  <c:v>Randolph County</c:v>
                </c:pt>
              </c:strCache>
            </c:strRef>
          </c:tx>
          <c:spPr>
            <a:ln w="28575" cap="rnd">
              <a:solidFill>
                <a:srgbClr val="FF0000"/>
              </a:solidFill>
              <a:round/>
            </a:ln>
            <a:effectLst/>
          </c:spPr>
          <c:marker>
            <c:symbol val="none"/>
          </c:marker>
          <c:cat>
            <c:numRef>
              <c:f>Graphs!$B$275:$B$283</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Graphs!$F$275:$F$283</c:f>
              <c:numCache>
                <c:formatCode>"$"#,##0</c:formatCode>
                <c:ptCount val="9"/>
                <c:pt idx="0">
                  <c:v>876</c:v>
                </c:pt>
                <c:pt idx="1">
                  <c:v>839</c:v>
                </c:pt>
                <c:pt idx="2">
                  <c:v>842</c:v>
                </c:pt>
                <c:pt idx="3">
                  <c:v>839</c:v>
                </c:pt>
                <c:pt idx="4">
                  <c:v>851</c:v>
                </c:pt>
                <c:pt idx="5">
                  <c:v>837</c:v>
                </c:pt>
                <c:pt idx="6">
                  <c:v>847</c:v>
                </c:pt>
                <c:pt idx="7">
                  <c:v>883</c:v>
                </c:pt>
                <c:pt idx="8">
                  <c:v>923</c:v>
                </c:pt>
              </c:numCache>
            </c:numRef>
          </c:val>
          <c:smooth val="0"/>
          <c:extLst>
            <c:ext xmlns:c16="http://schemas.microsoft.com/office/drawing/2014/chart" uri="{C3380CC4-5D6E-409C-BE32-E72D297353CC}">
              <c16:uniqueId val="{00000001-7302-45F5-AFFB-DF2EBC5330ED}"/>
            </c:ext>
          </c:extLst>
        </c:ser>
        <c:ser>
          <c:idx val="2"/>
          <c:order val="2"/>
          <c:tx>
            <c:strRef>
              <c:f>Graphs!$G$274</c:f>
              <c:strCache>
                <c:ptCount val="1"/>
                <c:pt idx="0">
                  <c:v>Tucker County</c:v>
                </c:pt>
              </c:strCache>
            </c:strRef>
          </c:tx>
          <c:spPr>
            <a:ln w="28575" cap="rnd">
              <a:solidFill>
                <a:schemeClr val="accent3"/>
              </a:solidFill>
              <a:round/>
            </a:ln>
            <a:effectLst/>
          </c:spPr>
          <c:marker>
            <c:symbol val="none"/>
          </c:marker>
          <c:cat>
            <c:numRef>
              <c:f>Graphs!$B$275:$B$283</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Graphs!$G$275:$G$283</c:f>
              <c:numCache>
                <c:formatCode>"$"#,##0</c:formatCode>
                <c:ptCount val="9"/>
                <c:pt idx="0">
                  <c:v>838</c:v>
                </c:pt>
                <c:pt idx="1">
                  <c:v>927</c:v>
                </c:pt>
                <c:pt idx="2">
                  <c:v>895</c:v>
                </c:pt>
                <c:pt idx="3">
                  <c:v>891</c:v>
                </c:pt>
                <c:pt idx="4">
                  <c:v>883</c:v>
                </c:pt>
                <c:pt idx="5">
                  <c:v>917</c:v>
                </c:pt>
                <c:pt idx="6">
                  <c:v>843</c:v>
                </c:pt>
                <c:pt idx="7">
                  <c:v>842</c:v>
                </c:pt>
                <c:pt idx="8">
                  <c:v>853</c:v>
                </c:pt>
              </c:numCache>
            </c:numRef>
          </c:val>
          <c:smooth val="0"/>
          <c:extLst>
            <c:ext xmlns:c16="http://schemas.microsoft.com/office/drawing/2014/chart" uri="{C3380CC4-5D6E-409C-BE32-E72D297353CC}">
              <c16:uniqueId val="{00000002-7302-45F5-AFFB-DF2EBC5330ED}"/>
            </c:ext>
          </c:extLst>
        </c:ser>
        <c:ser>
          <c:idx val="3"/>
          <c:order val="3"/>
          <c:tx>
            <c:strRef>
              <c:f>Graphs!$H$274</c:f>
              <c:strCache>
                <c:ptCount val="1"/>
                <c:pt idx="0">
                  <c:v>Upshur County</c:v>
                </c:pt>
              </c:strCache>
            </c:strRef>
          </c:tx>
          <c:spPr>
            <a:ln w="28575" cap="rnd">
              <a:solidFill>
                <a:schemeClr val="accent4"/>
              </a:solidFill>
              <a:round/>
            </a:ln>
            <a:effectLst/>
          </c:spPr>
          <c:marker>
            <c:symbol val="none"/>
          </c:marker>
          <c:cat>
            <c:numRef>
              <c:f>Graphs!$B$275:$B$283</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Graphs!$H$275:$H$283</c:f>
              <c:numCache>
                <c:formatCode>"$"#,##0</c:formatCode>
                <c:ptCount val="9"/>
                <c:pt idx="0">
                  <c:v>783</c:v>
                </c:pt>
                <c:pt idx="1">
                  <c:v>863</c:v>
                </c:pt>
                <c:pt idx="2">
                  <c:v>892</c:v>
                </c:pt>
                <c:pt idx="3">
                  <c:v>890</c:v>
                </c:pt>
                <c:pt idx="4">
                  <c:v>887</c:v>
                </c:pt>
                <c:pt idx="5">
                  <c:v>920</c:v>
                </c:pt>
                <c:pt idx="6">
                  <c:v>931</c:v>
                </c:pt>
                <c:pt idx="7">
                  <c:v>954</c:v>
                </c:pt>
                <c:pt idx="8">
                  <c:v>992</c:v>
                </c:pt>
              </c:numCache>
            </c:numRef>
          </c:val>
          <c:smooth val="0"/>
          <c:extLst>
            <c:ext xmlns:c16="http://schemas.microsoft.com/office/drawing/2014/chart" uri="{C3380CC4-5D6E-409C-BE32-E72D297353CC}">
              <c16:uniqueId val="{00000003-7302-45F5-AFFB-DF2EBC5330ED}"/>
            </c:ext>
          </c:extLst>
        </c:ser>
        <c:ser>
          <c:idx val="5"/>
          <c:order val="5"/>
          <c:tx>
            <c:strRef>
              <c:f>Graphs!$J$274</c:f>
              <c:strCache>
                <c:ptCount val="1"/>
                <c:pt idx="0">
                  <c:v>ZIP Code 26241</c:v>
                </c:pt>
              </c:strCache>
            </c:strRef>
          </c:tx>
          <c:spPr>
            <a:ln w="28575" cap="rnd">
              <a:solidFill>
                <a:schemeClr val="accent6"/>
              </a:solidFill>
              <a:round/>
            </a:ln>
            <a:effectLst/>
          </c:spPr>
          <c:marker>
            <c:symbol val="none"/>
          </c:marker>
          <c:cat>
            <c:numRef>
              <c:f>Graphs!$B$275:$B$283</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Graphs!$J$275:$J$283</c:f>
              <c:numCache>
                <c:formatCode>"$"#,##0</c:formatCode>
                <c:ptCount val="9"/>
                <c:pt idx="0">
                  <c:v>878</c:v>
                </c:pt>
                <c:pt idx="1">
                  <c:v>833</c:v>
                </c:pt>
                <c:pt idx="2">
                  <c:v>854</c:v>
                </c:pt>
                <c:pt idx="3">
                  <c:v>850</c:v>
                </c:pt>
                <c:pt idx="4">
                  <c:v>883</c:v>
                </c:pt>
                <c:pt idx="5">
                  <c:v>880</c:v>
                </c:pt>
                <c:pt idx="6">
                  <c:v>865</c:v>
                </c:pt>
                <c:pt idx="7">
                  <c:v>881</c:v>
                </c:pt>
                <c:pt idx="8">
                  <c:v>932</c:v>
                </c:pt>
              </c:numCache>
            </c:numRef>
          </c:val>
          <c:smooth val="0"/>
          <c:extLst>
            <c:ext xmlns:c16="http://schemas.microsoft.com/office/drawing/2014/chart" uri="{C3380CC4-5D6E-409C-BE32-E72D297353CC}">
              <c16:uniqueId val="{00000004-7302-45F5-AFFB-DF2EBC5330ED}"/>
            </c:ext>
          </c:extLst>
        </c:ser>
        <c:dLbls>
          <c:showLegendKey val="0"/>
          <c:showVal val="0"/>
          <c:showCatName val="0"/>
          <c:showSerName val="0"/>
          <c:showPercent val="0"/>
          <c:showBubbleSize val="0"/>
        </c:dLbls>
        <c:smooth val="0"/>
        <c:axId val="948705344"/>
        <c:axId val="948712832"/>
        <c:extLst>
          <c:ext xmlns:c15="http://schemas.microsoft.com/office/drawing/2012/chart" uri="{02D57815-91ED-43cb-92C2-25804820EDAC}">
            <c15:filteredLineSeries>
              <c15:ser>
                <c:idx val="4"/>
                <c:order val="4"/>
                <c:tx>
                  <c:strRef>
                    <c:extLst>
                      <c:ext uri="{02D57815-91ED-43cb-92C2-25804820EDAC}">
                        <c15:formulaRef>
                          <c15:sqref>Graphs!$I$274</c15:sqref>
                        </c15:formulaRef>
                      </c:ext>
                    </c:extLst>
                    <c:strCache>
                      <c:ptCount val="1"/>
                      <c:pt idx="0">
                        <c:v>Webster County</c:v>
                      </c:pt>
                    </c:strCache>
                  </c:strRef>
                </c:tx>
                <c:spPr>
                  <a:ln w="28575" cap="rnd">
                    <a:solidFill>
                      <a:schemeClr val="accent5"/>
                    </a:solidFill>
                    <a:round/>
                  </a:ln>
                  <a:effectLst/>
                </c:spPr>
                <c:marker>
                  <c:symbol val="none"/>
                </c:marker>
                <c:cat>
                  <c:numRef>
                    <c:extLst>
                      <c:ext uri="{02D57815-91ED-43cb-92C2-25804820EDAC}">
                        <c15:formulaRef>
                          <c15:sqref>Graphs!$B$275:$B$283</c15:sqref>
                        </c15:formulaRef>
                      </c:ext>
                    </c:extLst>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extLst>
                      <c:ext uri="{02D57815-91ED-43cb-92C2-25804820EDAC}">
                        <c15:formulaRef>
                          <c15:sqref>Graphs!$I$275:$I$283</c15:sqref>
                        </c15:formulaRef>
                      </c:ext>
                    </c:extLst>
                    <c:numCache>
                      <c:formatCode>"$"#,##0</c:formatCode>
                      <c:ptCount val="9"/>
                      <c:pt idx="0">
                        <c:v>684</c:v>
                      </c:pt>
                      <c:pt idx="1">
                        <c:v>685</c:v>
                      </c:pt>
                      <c:pt idx="2">
                        <c:v>671</c:v>
                      </c:pt>
                      <c:pt idx="3">
                        <c:v>674</c:v>
                      </c:pt>
                      <c:pt idx="4">
                        <c:v>697</c:v>
                      </c:pt>
                      <c:pt idx="5">
                        <c:v>726</c:v>
                      </c:pt>
                      <c:pt idx="6">
                        <c:v>769</c:v>
                      </c:pt>
                      <c:pt idx="7">
                        <c:v>818</c:v>
                      </c:pt>
                      <c:pt idx="8">
                        <c:v>817</c:v>
                      </c:pt>
                    </c:numCache>
                  </c:numRef>
                </c:val>
                <c:smooth val="0"/>
                <c:extLst>
                  <c:ext xmlns:c16="http://schemas.microsoft.com/office/drawing/2014/chart" uri="{C3380CC4-5D6E-409C-BE32-E72D297353CC}">
                    <c16:uniqueId val="{00000005-7302-45F5-AFFB-DF2EBC5330ED}"/>
                  </c:ext>
                </c:extLst>
              </c15:ser>
            </c15:filteredLineSeries>
          </c:ext>
        </c:extLst>
      </c:lineChart>
      <c:catAx>
        <c:axId val="948705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948712832"/>
        <c:crosses val="autoZero"/>
        <c:auto val="1"/>
        <c:lblAlgn val="ctr"/>
        <c:lblOffset val="100"/>
        <c:noMultiLvlLbl val="0"/>
      </c:catAx>
      <c:valAx>
        <c:axId val="948712832"/>
        <c:scaling>
          <c:orientation val="minMax"/>
          <c:max val="1000"/>
          <c:min val="750"/>
        </c:scaling>
        <c:delete val="0"/>
        <c:axPos val="l"/>
        <c:majorGridlines>
          <c:spPr>
            <a:ln w="9525" cap="flat" cmpd="sng" algn="ctr">
              <a:solidFill>
                <a:schemeClr val="tx1">
                  <a:lumMod val="15000"/>
                  <a:lumOff val="85000"/>
                </a:schemeClr>
              </a:solidFill>
              <a:round/>
            </a:ln>
            <a:effectLst/>
          </c:spPr>
        </c:majorGridlines>
        <c:numFmt formatCode="&quot;$&quot;#,##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94870534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6DEC13FA6D8E1429A998BCF146A030D" ma:contentTypeVersion="18" ma:contentTypeDescription="Create a new document." ma:contentTypeScope="" ma:versionID="cf5a5f865f1d700af16e3a71723483c7">
  <xsd:schema xmlns:xsd="http://www.w3.org/2001/XMLSchema" xmlns:xs="http://www.w3.org/2001/XMLSchema" xmlns:p="http://schemas.microsoft.com/office/2006/metadata/properties" xmlns:ns2="6f2de180-cc0a-4623-89bd-19276e43dc09" xmlns:ns3="db6b68f5-f386-4215-a914-2c436b7b1cca" targetNamespace="http://schemas.microsoft.com/office/2006/metadata/properties" ma:root="true" ma:fieldsID="7604bc7d344732515ddd660279754799" ns2:_="" ns3:_="">
    <xsd:import namespace="6f2de180-cc0a-4623-89bd-19276e43dc09"/>
    <xsd:import namespace="db6b68f5-f386-4215-a914-2c436b7b1cca"/>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2de180-cc0a-4623-89bd-19276e43dc0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f060510-b1e6-4b38-addb-51a772aa7696}" ma:internalName="TaxCatchAll" ma:showField="CatchAllData" ma:web="6f2de180-cc0a-4623-89bd-19276e43dc0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b6b68f5-f386-4215-a914-2c436b7b1cc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86477d7-ad29-47e7-b319-eaa6f194967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6f2de180-cc0a-4623-89bd-19276e43dc09" xsi:nil="true"/>
    <lcf76f155ced4ddcb4097134ff3c332f xmlns="db6b68f5-f386-4215-a914-2c436b7b1cca">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FDECBD-1793-4B5D-96F2-A548A1702EE6}">
  <ds:schemaRefs>
    <ds:schemaRef ds:uri="http://schemas.microsoft.com/sharepoint/v3/contenttype/forms"/>
  </ds:schemaRefs>
</ds:datastoreItem>
</file>

<file path=customXml/itemProps2.xml><?xml version="1.0" encoding="utf-8"?>
<ds:datastoreItem xmlns:ds="http://schemas.openxmlformats.org/officeDocument/2006/customXml" ds:itemID="{8EB6679F-B52C-4B4D-95B1-CB00061DD5FA}"/>
</file>

<file path=customXml/itemProps3.xml><?xml version="1.0" encoding="utf-8"?>
<ds:datastoreItem xmlns:ds="http://schemas.openxmlformats.org/officeDocument/2006/customXml" ds:itemID="{02CADBE4-5FB5-4829-8A87-D41085A05504}">
  <ds:schemaRefs>
    <ds:schemaRef ds:uri="http://www.w3.org/XML/1998/namespace"/>
    <ds:schemaRef ds:uri="http://schemas.microsoft.com/office/infopath/2007/PartnerControls"/>
    <ds:schemaRef ds:uri="http://purl.org/dc/elements/1.1/"/>
    <ds:schemaRef ds:uri="http://schemas.microsoft.com/office/2006/metadata/properties"/>
    <ds:schemaRef ds:uri="db6b68f5-f386-4215-a914-2c436b7b1cca"/>
    <ds:schemaRef ds:uri="http://purl.org/dc/terms/"/>
    <ds:schemaRef ds:uri="http://schemas.openxmlformats.org/package/2006/metadata/core-properties"/>
    <ds:schemaRef ds:uri="http://schemas.microsoft.com/office/2006/documentManagement/types"/>
    <ds:schemaRef ds:uri="6f2de180-cc0a-4623-89bd-19276e43dc09"/>
    <ds:schemaRef ds:uri="http://purl.org/dc/dcmitype/"/>
  </ds:schemaRefs>
</ds:datastoreItem>
</file>

<file path=customXml/itemProps4.xml><?xml version="1.0" encoding="utf-8"?>
<ds:datastoreItem xmlns:ds="http://schemas.openxmlformats.org/officeDocument/2006/customXml" ds:itemID="{A2423982-F3C9-429E-A90F-AE5D1B030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8841</Words>
  <Characters>50395</Characters>
  <Application>Microsoft Office Word</Application>
  <DocSecurity>4</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Choi, Seungbee</dc:creator>
  <cp:keywords/>
  <dc:description/>
  <cp:lastModifiedBy>Daniel Eades</cp:lastModifiedBy>
  <cp:revision>2</cp:revision>
  <cp:lastPrinted>2023-04-04T15:27:00Z</cp:lastPrinted>
  <dcterms:created xsi:type="dcterms:W3CDTF">2023-10-24T13:16:00Z</dcterms:created>
  <dcterms:modified xsi:type="dcterms:W3CDTF">2023-10-24T13:16:00Z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0x01010086DEC13FA6D8E1429A998BCF146A030D</vt:lpwstr>
  </property>
  <property fmtid="{D5CDD505-2E9C-101B-9397-08002B2CF9AE}" pid="3" name="MediaServiceImageTags">
    <vt:lpwstr/>
  </property>
</Properties>
</file>