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311377" w14:textId="674356F7" w:rsidR="004A76F6" w:rsidRPr="009238E0" w:rsidRDefault="004A76F6" w:rsidP="004A76F6">
      <w:pPr>
        <w:spacing w:line="480" w:lineRule="auto"/>
        <w:jc w:val="center"/>
        <w:rPr>
          <w:b/>
          <w:bCs/>
          <w:sz w:val="28"/>
          <w:szCs w:val="28"/>
        </w:rPr>
      </w:pPr>
      <w:r w:rsidRPr="009238E0">
        <w:rPr>
          <w:b/>
          <w:bCs/>
          <w:sz w:val="28"/>
          <w:szCs w:val="28"/>
        </w:rPr>
        <w:t>Poverty Analysis Using Small Area Estimation: An Application to Conservation Agriculture in Uganda</w:t>
      </w:r>
    </w:p>
    <w:p w14:paraId="14C47FBE" w14:textId="77777777" w:rsidR="004A76F6" w:rsidRDefault="004A76F6" w:rsidP="004A76F6">
      <w:pPr>
        <w:spacing w:line="480" w:lineRule="auto"/>
      </w:pPr>
    </w:p>
    <w:p w14:paraId="04BB16FE" w14:textId="77777777" w:rsidR="004A76F6" w:rsidRDefault="004A76F6" w:rsidP="004A76F6">
      <w:pPr>
        <w:spacing w:line="480" w:lineRule="auto"/>
      </w:pPr>
    </w:p>
    <w:p w14:paraId="186DBCCF" w14:textId="77777777" w:rsidR="004A76F6" w:rsidRDefault="004A76F6" w:rsidP="004A76F6">
      <w:pPr>
        <w:spacing w:line="480" w:lineRule="auto"/>
      </w:pPr>
    </w:p>
    <w:p w14:paraId="516568C0" w14:textId="77777777" w:rsidR="004A76F6" w:rsidRPr="009238E0" w:rsidRDefault="004A76F6" w:rsidP="004A76F6">
      <w:pPr>
        <w:spacing w:line="480" w:lineRule="auto"/>
        <w:rPr>
          <w:vertAlign w:val="superscript"/>
        </w:rPr>
      </w:pPr>
      <w:r w:rsidRPr="009238E0">
        <w:t>Jarrad Farris</w:t>
      </w:r>
      <w:r w:rsidRPr="009238E0">
        <w:rPr>
          <w:vertAlign w:val="superscript"/>
        </w:rPr>
        <w:t>1</w:t>
      </w:r>
      <w:r w:rsidRPr="009238E0">
        <w:t>, Catherine Larochelle</w:t>
      </w:r>
      <w:r w:rsidRPr="009238E0">
        <w:rPr>
          <w:vertAlign w:val="superscript"/>
        </w:rPr>
        <w:t>2</w:t>
      </w:r>
      <w:r w:rsidRPr="009238E0">
        <w:t>, Jeffrey Alwang</w:t>
      </w:r>
      <w:r w:rsidRPr="009238E0">
        <w:rPr>
          <w:vertAlign w:val="superscript"/>
        </w:rPr>
        <w:t>2</w:t>
      </w:r>
      <w:r w:rsidRPr="009238E0">
        <w:t>, George W. Norton</w:t>
      </w:r>
      <w:r w:rsidRPr="009238E0">
        <w:rPr>
          <w:vertAlign w:val="superscript"/>
        </w:rPr>
        <w:t>2</w:t>
      </w:r>
      <w:r w:rsidRPr="009238E0">
        <w:t xml:space="preserve"> and Caleb King</w:t>
      </w:r>
      <w:r w:rsidRPr="009238E0">
        <w:rPr>
          <w:vertAlign w:val="superscript"/>
        </w:rPr>
        <w:t>2</w:t>
      </w:r>
    </w:p>
    <w:p w14:paraId="3A706797" w14:textId="77777777" w:rsidR="004A76F6" w:rsidRPr="009238E0" w:rsidRDefault="004A76F6" w:rsidP="004A76F6">
      <w:pPr>
        <w:spacing w:line="480" w:lineRule="auto"/>
        <w:rPr>
          <w:lang w:val="it-IT"/>
        </w:rPr>
      </w:pPr>
      <w:r w:rsidRPr="009238E0">
        <w:rPr>
          <w:vertAlign w:val="superscript"/>
          <w:lang w:val="it-IT"/>
        </w:rPr>
        <w:t>1</w:t>
      </w:r>
      <w:r w:rsidRPr="009238E0">
        <w:rPr>
          <w:lang w:val="it-IT"/>
        </w:rPr>
        <w:t>Michigan State University, East Lansing, MI, USA</w:t>
      </w:r>
    </w:p>
    <w:p w14:paraId="0542DD88" w14:textId="77777777" w:rsidR="004A76F6" w:rsidRPr="009238E0" w:rsidRDefault="004A76F6" w:rsidP="004A76F6">
      <w:pPr>
        <w:spacing w:line="480" w:lineRule="auto"/>
        <w:rPr>
          <w:lang w:val="it-IT"/>
        </w:rPr>
      </w:pPr>
      <w:r w:rsidRPr="009238E0">
        <w:rPr>
          <w:vertAlign w:val="superscript"/>
          <w:lang w:val="it-IT"/>
        </w:rPr>
        <w:t>2</w:t>
      </w:r>
      <w:r w:rsidRPr="009238E0">
        <w:rPr>
          <w:lang w:val="it-IT"/>
        </w:rPr>
        <w:t>Virginia Tech, Blacksburg, VA, USA</w:t>
      </w:r>
    </w:p>
    <w:p w14:paraId="71395D6E" w14:textId="77777777" w:rsidR="004A76F6" w:rsidRPr="009238E0" w:rsidRDefault="004A76F6" w:rsidP="004A76F6">
      <w:pPr>
        <w:spacing w:line="480" w:lineRule="auto"/>
        <w:rPr>
          <w:lang w:val="it-IT"/>
        </w:rPr>
      </w:pPr>
    </w:p>
    <w:p w14:paraId="40C2398D" w14:textId="77777777" w:rsidR="004A76F6" w:rsidRPr="009238E0" w:rsidRDefault="004A76F6" w:rsidP="004A76F6">
      <w:pPr>
        <w:spacing w:line="480" w:lineRule="auto"/>
        <w:rPr>
          <w:lang w:val="it-IT"/>
        </w:rPr>
      </w:pPr>
    </w:p>
    <w:p w14:paraId="5A6AD624" w14:textId="77777777" w:rsidR="004A76F6" w:rsidRDefault="004A76F6" w:rsidP="004A76F6">
      <w:pPr>
        <w:spacing w:line="480" w:lineRule="auto"/>
        <w:rPr>
          <w:b/>
          <w:bCs/>
        </w:rPr>
      </w:pPr>
      <w:bookmarkStart w:id="0" w:name="_GoBack"/>
      <w:bookmarkEnd w:id="0"/>
    </w:p>
    <w:p w14:paraId="4FA60589" w14:textId="77777777" w:rsidR="004A76F6" w:rsidRDefault="004A76F6" w:rsidP="004A76F6">
      <w:pPr>
        <w:spacing w:line="480" w:lineRule="auto"/>
        <w:rPr>
          <w:b/>
          <w:bCs/>
        </w:rPr>
      </w:pPr>
    </w:p>
    <w:p w14:paraId="2F2F262C" w14:textId="77777777" w:rsidR="004A76F6" w:rsidRDefault="004A76F6" w:rsidP="004A76F6">
      <w:pPr>
        <w:spacing w:line="480" w:lineRule="auto"/>
        <w:rPr>
          <w:b/>
          <w:bCs/>
        </w:rPr>
      </w:pPr>
    </w:p>
    <w:p w14:paraId="3ED831D0" w14:textId="77777777" w:rsidR="004A76F6" w:rsidRDefault="004A76F6" w:rsidP="004A76F6">
      <w:pPr>
        <w:spacing w:line="480" w:lineRule="auto"/>
        <w:rPr>
          <w:b/>
          <w:bCs/>
        </w:rPr>
      </w:pPr>
    </w:p>
    <w:p w14:paraId="06FBCB83" w14:textId="77777777" w:rsidR="004A76F6" w:rsidRDefault="004A76F6" w:rsidP="004A76F6">
      <w:pPr>
        <w:spacing w:line="480" w:lineRule="auto"/>
        <w:rPr>
          <w:b/>
          <w:bCs/>
        </w:rPr>
      </w:pPr>
    </w:p>
    <w:p w14:paraId="7626A1F9" w14:textId="77777777" w:rsidR="004A76F6" w:rsidRPr="009238E0" w:rsidRDefault="004A76F6" w:rsidP="004A76F6">
      <w:pPr>
        <w:spacing w:line="480" w:lineRule="auto"/>
        <w:rPr>
          <w:b/>
          <w:bCs/>
        </w:rPr>
      </w:pPr>
      <w:r w:rsidRPr="009238E0">
        <w:rPr>
          <w:b/>
          <w:bCs/>
        </w:rPr>
        <w:t>Acknowledgments</w:t>
      </w:r>
    </w:p>
    <w:p w14:paraId="4320BFCC" w14:textId="77777777" w:rsidR="004A76F6" w:rsidRPr="000B746E" w:rsidRDefault="004A76F6" w:rsidP="004A76F6">
      <w:pPr>
        <w:autoSpaceDE w:val="0"/>
        <w:autoSpaceDN w:val="0"/>
        <w:adjustRightInd w:val="0"/>
        <w:spacing w:line="480" w:lineRule="auto"/>
      </w:pPr>
      <w:r w:rsidRPr="000B746E">
        <w:t>The authors would like to thank Dr. Bradford Mills and an anonymous referee for helpful comments and the staff at AT Uganda, for assistance with data collection.  The research was funded by the United States Agency for International Development (USAID) and the Sustainable Agriculture and Natural Resource Management Innovation Lab (SANREM IL).</w:t>
      </w:r>
    </w:p>
    <w:p w14:paraId="61412ADE" w14:textId="481365B1" w:rsidR="004A76F6" w:rsidRDefault="004A76F6" w:rsidP="004A76F6">
      <w:pPr>
        <w:tabs>
          <w:tab w:val="left" w:pos="2596"/>
          <w:tab w:val="center" w:pos="4680"/>
        </w:tabs>
        <w:spacing w:line="480" w:lineRule="auto"/>
        <w:rPr>
          <w:rFonts w:eastAsia="Calibri"/>
          <w:b/>
        </w:rPr>
      </w:pPr>
      <w:r>
        <w:rPr>
          <w:rFonts w:eastAsia="Calibri"/>
          <w:b/>
        </w:rPr>
        <w:tab/>
      </w:r>
    </w:p>
    <w:p w14:paraId="2423EEB1" w14:textId="77777777" w:rsidR="004A76F6" w:rsidRPr="004A76F6" w:rsidRDefault="004A76F6" w:rsidP="004A76F6">
      <w:pPr>
        <w:rPr>
          <w:rFonts w:eastAsia="Calibri"/>
        </w:rPr>
        <w:sectPr w:rsidR="004A76F6" w:rsidRPr="004A76F6" w:rsidSect="00261C52">
          <w:footerReference w:type="even" r:id="rId8"/>
          <w:footerReference w:type="default" r:id="rId9"/>
          <w:pgSz w:w="12240" w:h="15840"/>
          <w:pgMar w:top="1440" w:right="1440" w:bottom="1440" w:left="1440" w:header="720" w:footer="720" w:gutter="0"/>
          <w:cols w:space="720"/>
          <w:docGrid w:linePitch="360"/>
        </w:sectPr>
      </w:pPr>
    </w:p>
    <w:p w14:paraId="71FE1C84" w14:textId="168757D4" w:rsidR="00B66CF0" w:rsidRDefault="00B66CF0" w:rsidP="00B66CF0">
      <w:pPr>
        <w:spacing w:line="480" w:lineRule="auto"/>
        <w:jc w:val="center"/>
        <w:rPr>
          <w:rFonts w:eastAsia="Calibri"/>
          <w:b/>
        </w:rPr>
      </w:pPr>
      <w:r>
        <w:rPr>
          <w:rFonts w:eastAsia="Calibri"/>
          <w:b/>
        </w:rPr>
        <w:lastRenderedPageBreak/>
        <w:t>Poverty Analysis Using Small Area Estimation: An Application to Conservation Agriculture in Uganda</w:t>
      </w:r>
    </w:p>
    <w:p w14:paraId="10E47CA4" w14:textId="77777777" w:rsidR="007D213B" w:rsidRDefault="007D213B" w:rsidP="007D213B">
      <w:pPr>
        <w:rPr>
          <w:rFonts w:eastAsia="Calibri"/>
        </w:rPr>
      </w:pPr>
    </w:p>
    <w:p w14:paraId="78D9EB70" w14:textId="31818959" w:rsidR="00967995" w:rsidRPr="004A38EE" w:rsidRDefault="00967995" w:rsidP="0041529C">
      <w:pPr>
        <w:pStyle w:val="ListParagraph"/>
        <w:numPr>
          <w:ilvl w:val="0"/>
          <w:numId w:val="19"/>
        </w:numPr>
        <w:spacing w:line="480" w:lineRule="auto"/>
        <w:ind w:left="270" w:hanging="270"/>
        <w:rPr>
          <w:rFonts w:eastAsia="Calibri"/>
          <w:b/>
          <w:bCs/>
        </w:rPr>
      </w:pPr>
      <w:r w:rsidRPr="004A38EE">
        <w:rPr>
          <w:rFonts w:eastAsia="Calibri"/>
          <w:b/>
          <w:bCs/>
        </w:rPr>
        <w:t xml:space="preserve">Introduction </w:t>
      </w:r>
    </w:p>
    <w:p w14:paraId="7E1C42D7" w14:textId="69C4E2EC" w:rsidR="00091D3B" w:rsidRDefault="00922D17" w:rsidP="0041529C">
      <w:pPr>
        <w:spacing w:line="480" w:lineRule="auto"/>
        <w:ind w:firstLine="360"/>
        <w:rPr>
          <w:rFonts w:eastAsia="Calibri"/>
        </w:rPr>
      </w:pPr>
      <w:r>
        <w:rPr>
          <w:rFonts w:eastAsia="Calibri"/>
        </w:rPr>
        <w:t>Poverty analy</w:t>
      </w:r>
      <w:r w:rsidR="00091D3B">
        <w:rPr>
          <w:rFonts w:eastAsia="Calibri"/>
        </w:rPr>
        <w:t>s</w:t>
      </w:r>
      <w:r>
        <w:rPr>
          <w:rFonts w:eastAsia="Calibri"/>
        </w:rPr>
        <w:t xml:space="preserve">es in developing countries rely primarily on estimates of household consumption. </w:t>
      </w:r>
      <w:r w:rsidR="002B72EC">
        <w:rPr>
          <w:rFonts w:eastAsia="Calibri"/>
        </w:rPr>
        <w:t>C</w:t>
      </w:r>
      <w:r>
        <w:rPr>
          <w:rFonts w:eastAsia="Calibri"/>
        </w:rPr>
        <w:t xml:space="preserve">onsumption </w:t>
      </w:r>
      <w:r w:rsidR="009D6BA5">
        <w:rPr>
          <w:rFonts w:eastAsia="Calibri"/>
        </w:rPr>
        <w:t>is</w:t>
      </w:r>
      <w:r>
        <w:rPr>
          <w:rFonts w:eastAsia="Calibri"/>
        </w:rPr>
        <w:t xml:space="preserve"> more stable</w:t>
      </w:r>
      <w:r w:rsidR="00A91AE3">
        <w:rPr>
          <w:rFonts w:eastAsia="Calibri"/>
        </w:rPr>
        <w:t xml:space="preserve"> </w:t>
      </w:r>
      <w:r w:rsidR="002B72EC">
        <w:rPr>
          <w:rFonts w:eastAsia="Calibri"/>
        </w:rPr>
        <w:t>than income</w:t>
      </w:r>
      <w:r>
        <w:rPr>
          <w:rFonts w:eastAsia="Calibri"/>
        </w:rPr>
        <w:t xml:space="preserve"> </w:t>
      </w:r>
      <w:r w:rsidR="00417B1A">
        <w:rPr>
          <w:rFonts w:eastAsia="Calibri"/>
        </w:rPr>
        <w:t xml:space="preserve">as </w:t>
      </w:r>
      <w:r>
        <w:rPr>
          <w:rFonts w:eastAsia="Calibri"/>
        </w:rPr>
        <w:t xml:space="preserve">households </w:t>
      </w:r>
      <w:r w:rsidR="002B72EC">
        <w:rPr>
          <w:rFonts w:eastAsia="Calibri"/>
        </w:rPr>
        <w:t xml:space="preserve">can more easily </w:t>
      </w:r>
      <w:r>
        <w:rPr>
          <w:rFonts w:eastAsia="Calibri"/>
        </w:rPr>
        <w:t xml:space="preserve">smooth </w:t>
      </w:r>
      <w:r w:rsidR="009D6BA5">
        <w:rPr>
          <w:rFonts w:eastAsia="Calibri"/>
        </w:rPr>
        <w:t>it</w:t>
      </w:r>
      <w:r>
        <w:rPr>
          <w:rFonts w:eastAsia="Calibri"/>
        </w:rPr>
        <w:t xml:space="preserve"> over </w:t>
      </w:r>
      <w:r w:rsidR="00A91AE3">
        <w:rPr>
          <w:rFonts w:eastAsia="Calibri"/>
        </w:rPr>
        <w:t>time</w:t>
      </w:r>
      <w:r w:rsidR="00F70ACA">
        <w:rPr>
          <w:rFonts w:eastAsia="Calibri"/>
        </w:rPr>
        <w:t xml:space="preserve"> </w:t>
      </w:r>
      <w:r w:rsidR="00F70ACA">
        <w:rPr>
          <w:rFonts w:eastAsia="Calibri"/>
        </w:rPr>
        <w:fldChar w:fldCharType="begin"/>
      </w:r>
      <w:r w:rsidR="009441FA">
        <w:rPr>
          <w:rFonts w:eastAsia="Calibri"/>
        </w:rPr>
        <w:instrText xml:space="preserve"> ADDIN EN.CITE &lt;EndNote&gt;&lt;Cite&gt;&lt;Author&gt;Deaton&lt;/Author&gt;&lt;Year&gt;2002&lt;/Year&gt;&lt;RecNum&gt;19&lt;/RecNum&gt;&lt;DisplayText&gt;(Deaton and Zaidi, 2002)&lt;/DisplayText&gt;&lt;record&gt;&lt;rec-number&gt;19&lt;/rec-number&gt;&lt;foreign-keys&gt;&lt;key app="EN" db-id="5fvtavdaavaz95e2zv0vf9wms90fv05av5se" timestamp="1481039523"&gt;19&lt;/key&gt;&lt;/foreign-keys&gt;&lt;ref-type name="Generic"&gt;13&lt;/ref-type&gt;&lt;contributors&gt;&lt;authors&gt;&lt;author&gt;Deaton, Angus&lt;/author&gt;&lt;author&gt;Zaidi, Salman&lt;/author&gt;&lt;/authors&gt;&lt;/contributors&gt;&lt;titles&gt;&lt;title&gt;Guidelines for constructing consumption aggregates for welfare analysis&lt;/title&gt;&lt;secondary-title&gt;Living Standards Measurement Study (LSMS) Working  Paper no. 135&lt;/secondary-title&gt;&lt;/titles&gt;&lt;dates&gt;&lt;year&gt;2002&lt;/year&gt;&lt;/dates&gt;&lt;pub-location&gt;Washington D.C.&lt;/pub-location&gt;&lt;publisher&gt;World Bank&lt;/publisher&gt;&lt;isbn&gt;0821349902&lt;/isbn&gt;&lt;urls&gt;&lt;/urls&gt;&lt;/record&gt;&lt;/Cite&gt;&lt;/EndNote&gt;</w:instrText>
      </w:r>
      <w:r w:rsidR="00F70ACA">
        <w:rPr>
          <w:rFonts w:eastAsia="Calibri"/>
        </w:rPr>
        <w:fldChar w:fldCharType="separate"/>
      </w:r>
      <w:r w:rsidR="00F70ACA">
        <w:rPr>
          <w:rFonts w:eastAsia="Calibri"/>
          <w:noProof/>
        </w:rPr>
        <w:t>(Deaton and Zaidi, 2002)</w:t>
      </w:r>
      <w:r w:rsidR="00F70ACA">
        <w:rPr>
          <w:rFonts w:eastAsia="Calibri"/>
        </w:rPr>
        <w:fldChar w:fldCharType="end"/>
      </w:r>
      <w:r w:rsidRPr="006F07EC">
        <w:rPr>
          <w:rFonts w:eastAsia="Calibri"/>
        </w:rPr>
        <w:t>.</w:t>
      </w:r>
      <w:r>
        <w:rPr>
          <w:rFonts w:eastAsia="Calibri"/>
        </w:rPr>
        <w:t xml:space="preserve"> </w:t>
      </w:r>
      <w:r w:rsidR="00417B1A">
        <w:rPr>
          <w:rFonts w:eastAsia="Calibri"/>
        </w:rPr>
        <w:t xml:space="preserve">Although consumption data </w:t>
      </w:r>
      <w:r w:rsidR="00091D3B">
        <w:rPr>
          <w:rFonts w:eastAsia="Calibri"/>
        </w:rPr>
        <w:t>are</w:t>
      </w:r>
      <w:r w:rsidR="00417B1A">
        <w:rPr>
          <w:rFonts w:eastAsia="Calibri"/>
        </w:rPr>
        <w:t xml:space="preserve"> an important component of poverty analy</w:t>
      </w:r>
      <w:r w:rsidR="00091D3B">
        <w:rPr>
          <w:rFonts w:eastAsia="Calibri"/>
        </w:rPr>
        <w:t>sis</w:t>
      </w:r>
      <w:r w:rsidR="00417B1A">
        <w:rPr>
          <w:rFonts w:eastAsia="Calibri"/>
        </w:rPr>
        <w:t xml:space="preserve">, </w:t>
      </w:r>
      <w:r w:rsidR="005216F7">
        <w:rPr>
          <w:rFonts w:eastAsia="Calibri"/>
        </w:rPr>
        <w:t xml:space="preserve">their </w:t>
      </w:r>
      <w:r>
        <w:rPr>
          <w:rFonts w:eastAsia="Calibri"/>
        </w:rPr>
        <w:t xml:space="preserve">collection </w:t>
      </w:r>
      <w:r w:rsidR="001F1F1D">
        <w:rPr>
          <w:rFonts w:eastAsia="Calibri"/>
        </w:rPr>
        <w:t>is</w:t>
      </w:r>
      <w:r w:rsidR="008741A9">
        <w:rPr>
          <w:rFonts w:eastAsia="Calibri"/>
        </w:rPr>
        <w:t xml:space="preserve"> time-consuming and</w:t>
      </w:r>
      <w:r>
        <w:rPr>
          <w:rFonts w:eastAsia="Calibri"/>
        </w:rPr>
        <w:t xml:space="preserve"> expensive.</w:t>
      </w:r>
      <w:r w:rsidR="001777D2">
        <w:rPr>
          <w:rFonts w:eastAsia="Calibri"/>
        </w:rPr>
        <w:t xml:space="preserve"> C</w:t>
      </w:r>
      <w:r w:rsidR="00364121">
        <w:rPr>
          <w:rFonts w:eastAsia="Calibri"/>
        </w:rPr>
        <w:t xml:space="preserve">omprehensive consumption </w:t>
      </w:r>
      <w:r w:rsidR="00364121" w:rsidRPr="00A0295A">
        <w:rPr>
          <w:rFonts w:eastAsia="Calibri"/>
        </w:rPr>
        <w:t>survey</w:t>
      </w:r>
      <w:r w:rsidR="001777D2" w:rsidRPr="00A0295A">
        <w:rPr>
          <w:rFonts w:eastAsia="Calibri"/>
        </w:rPr>
        <w:t xml:space="preserve">s ask households to </w:t>
      </w:r>
      <w:r w:rsidR="00490F56" w:rsidRPr="00A0295A">
        <w:rPr>
          <w:rFonts w:eastAsia="Calibri"/>
        </w:rPr>
        <w:t>r</w:t>
      </w:r>
      <w:r w:rsidR="00EC65CD" w:rsidRPr="00A0295A">
        <w:rPr>
          <w:rFonts w:eastAsia="Calibri"/>
        </w:rPr>
        <w:t xml:space="preserve">eport </w:t>
      </w:r>
      <w:r w:rsidR="001777D2" w:rsidRPr="00A0295A">
        <w:rPr>
          <w:rFonts w:eastAsia="Calibri"/>
        </w:rPr>
        <w:t>consumption</w:t>
      </w:r>
      <w:r w:rsidR="002B5DFE">
        <w:rPr>
          <w:rFonts w:eastAsia="Calibri"/>
        </w:rPr>
        <w:t xml:space="preserve"> of</w:t>
      </w:r>
      <w:r w:rsidR="001777D2" w:rsidRPr="00A0295A">
        <w:rPr>
          <w:rFonts w:eastAsia="Calibri"/>
        </w:rPr>
        <w:t xml:space="preserve"> </w:t>
      </w:r>
      <w:r w:rsidR="00091D3B">
        <w:rPr>
          <w:rFonts w:eastAsia="Calibri"/>
        </w:rPr>
        <w:t>as many as</w:t>
      </w:r>
      <w:r w:rsidR="00364121" w:rsidRPr="00A0295A">
        <w:rPr>
          <w:rFonts w:eastAsia="Calibri"/>
        </w:rPr>
        <w:t xml:space="preserve"> 300 to 400 items </w:t>
      </w:r>
      <w:r w:rsidR="000C692B">
        <w:rPr>
          <w:rFonts w:eastAsia="Calibri"/>
        </w:rPr>
        <w:fldChar w:fldCharType="begin"/>
      </w:r>
      <w:r w:rsidR="009441FA">
        <w:rPr>
          <w:rFonts w:eastAsia="Calibri"/>
        </w:rPr>
        <w:instrText xml:space="preserve"> ADDIN EN.CITE &lt;EndNote&gt;&lt;Cite&gt;&lt;Author&gt;Pape&lt;/Author&gt;&lt;Year&gt;2015&lt;/Year&gt;&lt;RecNum&gt;33&lt;/RecNum&gt;&lt;DisplayText&gt;(Pape and Mistiaen, 2015)&lt;/DisplayText&gt;&lt;record&gt;&lt;rec-number&gt;33&lt;/rec-number&gt;&lt;foreign-keys&gt;&lt;key app="EN" db-id="5fvtavdaavaz95e2zv0vf9wms90fv05av5se" timestamp="1481058611"&gt;33&lt;/key&gt;&lt;/foreign-keys&gt;&lt;ref-type name="Report"&gt;27&lt;/ref-type&gt;&lt;contributors&gt;&lt;authors&gt;&lt;author&gt;Pape, U. &lt;/author&gt;&lt;author&gt;Mistiaen, J.&lt;/author&gt;&lt;/authors&gt;&lt;/contributors&gt;&lt;titles&gt;&lt;title&gt;Measuring Household Consumption and Poverty in 60 minutes: The Mogadishu High Frequency Survey&lt;/title&gt;&lt;secondary-title&gt;Annual Bank Conference on Africa&lt;/secondary-title&gt;&lt;/titles&gt;&lt;dates&gt;&lt;year&gt;2015&lt;/year&gt;&lt;/dates&gt;&lt;pub-location&gt;Berkeley, CA.&lt;/pub-location&gt;&lt;publisher&gt;World Bank &lt;/publisher&gt;&lt;urls&gt;&lt;related-urls&gt;&lt;url&gt;http://cega.berkeley.edu/assets/miscellaneous_files/82-ABCA_-PapeMistiaen.pdf&lt;/url&gt;&lt;/related-urls&gt;&lt;/urls&gt;&lt;access-date&gt;December 2016&lt;/access-date&gt;&lt;/record&gt;&lt;/Cite&gt;&lt;/EndNote&gt;</w:instrText>
      </w:r>
      <w:r w:rsidR="000C692B">
        <w:rPr>
          <w:rFonts w:eastAsia="Calibri"/>
        </w:rPr>
        <w:fldChar w:fldCharType="separate"/>
      </w:r>
      <w:r w:rsidR="000C692B">
        <w:rPr>
          <w:rFonts w:eastAsia="Calibri"/>
          <w:noProof/>
        </w:rPr>
        <w:t>(Pape and Mistiaen, 2015)</w:t>
      </w:r>
      <w:r w:rsidR="000C692B">
        <w:rPr>
          <w:rFonts w:eastAsia="Calibri"/>
        </w:rPr>
        <w:fldChar w:fldCharType="end"/>
      </w:r>
      <w:r w:rsidR="000C692B">
        <w:rPr>
          <w:rFonts w:eastAsia="Calibri"/>
        </w:rPr>
        <w:t xml:space="preserve">. </w:t>
      </w:r>
    </w:p>
    <w:p w14:paraId="2A9CEF72" w14:textId="7E6BA957" w:rsidR="00E162F6" w:rsidRDefault="00EB3A42" w:rsidP="003A42C9">
      <w:pPr>
        <w:spacing w:line="480" w:lineRule="auto"/>
        <w:ind w:firstLine="720"/>
        <w:rPr>
          <w:rFonts w:eastAsia="Calibri"/>
        </w:rPr>
      </w:pPr>
      <w:r w:rsidRPr="00A0295A">
        <w:rPr>
          <w:rFonts w:eastAsia="Calibri"/>
        </w:rPr>
        <w:t>Due</w:t>
      </w:r>
      <w:r>
        <w:rPr>
          <w:rFonts w:eastAsia="Calibri"/>
        </w:rPr>
        <w:t xml:space="preserve"> to the importance </w:t>
      </w:r>
      <w:r w:rsidR="00062086">
        <w:rPr>
          <w:rFonts w:eastAsia="Calibri"/>
        </w:rPr>
        <w:t>but high</w:t>
      </w:r>
      <w:r>
        <w:rPr>
          <w:rFonts w:eastAsia="Calibri"/>
        </w:rPr>
        <w:t xml:space="preserve"> </w:t>
      </w:r>
      <w:r w:rsidR="00062086">
        <w:rPr>
          <w:rFonts w:eastAsia="Calibri"/>
        </w:rPr>
        <w:t xml:space="preserve">costs </w:t>
      </w:r>
      <w:r>
        <w:rPr>
          <w:rFonts w:eastAsia="Calibri"/>
        </w:rPr>
        <w:t>of these surveys, p</w:t>
      </w:r>
      <w:r w:rsidR="00E162F6">
        <w:rPr>
          <w:rFonts w:eastAsia="Calibri"/>
        </w:rPr>
        <w:t xml:space="preserve">rojects </w:t>
      </w:r>
      <w:r w:rsidR="00B74E7A">
        <w:rPr>
          <w:rFonts w:eastAsia="Calibri"/>
        </w:rPr>
        <w:t xml:space="preserve">such as </w:t>
      </w:r>
      <w:r w:rsidR="00E162F6">
        <w:rPr>
          <w:rFonts w:eastAsia="Calibri"/>
        </w:rPr>
        <w:t>the W</w:t>
      </w:r>
      <w:r w:rsidR="00F034E8">
        <w:rPr>
          <w:rFonts w:eastAsia="Calibri"/>
        </w:rPr>
        <w:t xml:space="preserve">orld Bank’s Living Standards </w:t>
      </w:r>
      <w:r w:rsidR="00E162F6">
        <w:rPr>
          <w:rFonts w:eastAsia="Calibri"/>
        </w:rPr>
        <w:t>Measurement Study</w:t>
      </w:r>
      <w:r w:rsidR="009E5D6A">
        <w:rPr>
          <w:rFonts w:eastAsia="Calibri"/>
        </w:rPr>
        <w:t xml:space="preserve"> (LSMS) </w:t>
      </w:r>
      <w:r w:rsidR="009B617F">
        <w:rPr>
          <w:rFonts w:eastAsia="Calibri"/>
        </w:rPr>
        <w:t>aim</w:t>
      </w:r>
      <w:r w:rsidR="009E5D6A">
        <w:rPr>
          <w:rFonts w:eastAsia="Calibri"/>
        </w:rPr>
        <w:t xml:space="preserve"> to </w:t>
      </w:r>
      <w:r w:rsidR="00E162F6">
        <w:rPr>
          <w:rFonts w:eastAsia="Calibri"/>
        </w:rPr>
        <w:t>increase the availability of high-quality household consumption data</w:t>
      </w:r>
      <w:r w:rsidR="009E5D6A">
        <w:rPr>
          <w:rFonts w:eastAsia="Calibri"/>
        </w:rPr>
        <w:t xml:space="preserve"> for poverty analy</w:t>
      </w:r>
      <w:r w:rsidR="003F04E1">
        <w:rPr>
          <w:rFonts w:eastAsia="Calibri"/>
        </w:rPr>
        <w:t>sis</w:t>
      </w:r>
      <w:r w:rsidR="00E162F6">
        <w:rPr>
          <w:rFonts w:eastAsia="Calibri"/>
        </w:rPr>
        <w:t xml:space="preserve">. </w:t>
      </w:r>
      <w:r w:rsidR="00B74E7A">
        <w:rPr>
          <w:rFonts w:eastAsia="Calibri"/>
        </w:rPr>
        <w:t>T</w:t>
      </w:r>
      <w:r w:rsidR="00635CBD">
        <w:rPr>
          <w:rFonts w:eastAsia="Calibri"/>
        </w:rPr>
        <w:t>he LSMS</w:t>
      </w:r>
      <w:r w:rsidR="009E5D6A">
        <w:rPr>
          <w:rFonts w:eastAsia="Calibri"/>
        </w:rPr>
        <w:t xml:space="preserve"> provides unrestricted public access to 107 household </w:t>
      </w:r>
      <w:r w:rsidR="009E5D6A" w:rsidRPr="00F5552D">
        <w:rPr>
          <w:rFonts w:eastAsia="Calibri"/>
        </w:rPr>
        <w:t xml:space="preserve">surveys from 36 countries </w:t>
      </w:r>
      <w:r w:rsidR="003A42C9">
        <w:rPr>
          <w:rFonts w:eastAsia="Calibri"/>
        </w:rPr>
        <w:fldChar w:fldCharType="begin"/>
      </w:r>
      <w:r w:rsidR="003A42C9">
        <w:rPr>
          <w:rFonts w:eastAsia="Calibri"/>
        </w:rPr>
        <w:instrText xml:space="preserve"> ADDIN EN.CITE &lt;EndNote&gt;&lt;Cite&gt;&lt;Author&gt;World Bank&lt;/Author&gt;&lt;Year&gt;2015&lt;/Year&gt;&lt;RecNum&gt;35&lt;/RecNum&gt;&lt;DisplayText&gt;(World Bank, 2015)&lt;/DisplayText&gt;&lt;record&gt;&lt;rec-number&gt;35&lt;/rec-number&gt;&lt;foreign-keys&gt;&lt;key app="EN" db-id="5fvtavdaavaz95e2zv0vf9wms90fv05av5se" timestamp="1481135093"&gt;35&lt;/key&gt;&lt;/foreign-keys&gt;&lt;ref-type name="Report"&gt;27&lt;/ref-type&gt;&lt;contributors&gt;&lt;authors&gt;&lt;author&gt;World Bank,&lt;/author&gt;&lt;/authors&gt;&lt;/contributors&gt;&lt;titles&gt;&lt;title&gt;Living Standards Measurement Study Dataset Finder&lt;/title&gt;&lt;/titles&gt;&lt;dates&gt;&lt;year&gt;2015&lt;/year&gt;&lt;/dates&gt;&lt;urls&gt;&lt;related-urls&gt;&lt;url&gt;http://iresearch.worldbank.org/lsms/lsmssurveyFinder.htm&lt;/url&gt;&lt;/related-urls&gt;&lt;/urls&gt;&lt;access-date&gt;September 2015&lt;/access-date&gt;&lt;/record&gt;&lt;/Cite&gt;&lt;/EndNote&gt;</w:instrText>
      </w:r>
      <w:r w:rsidR="003A42C9">
        <w:rPr>
          <w:rFonts w:eastAsia="Calibri"/>
        </w:rPr>
        <w:fldChar w:fldCharType="separate"/>
      </w:r>
      <w:r w:rsidR="003A42C9">
        <w:rPr>
          <w:rFonts w:eastAsia="Calibri"/>
          <w:noProof/>
        </w:rPr>
        <w:t>(World Bank, 2015)</w:t>
      </w:r>
      <w:r w:rsidR="003A42C9">
        <w:rPr>
          <w:rFonts w:eastAsia="Calibri"/>
        </w:rPr>
        <w:fldChar w:fldCharType="end"/>
      </w:r>
      <w:r w:rsidR="009E5D6A" w:rsidRPr="00F5552D">
        <w:rPr>
          <w:rFonts w:eastAsia="Calibri"/>
        </w:rPr>
        <w:t xml:space="preserve">. </w:t>
      </w:r>
      <w:r w:rsidR="006F502D" w:rsidRPr="00F5552D">
        <w:rPr>
          <w:rFonts w:eastAsia="Calibri"/>
        </w:rPr>
        <w:t>Unfortunately</w:t>
      </w:r>
      <w:r w:rsidR="006F502D">
        <w:rPr>
          <w:rFonts w:eastAsia="Calibri"/>
        </w:rPr>
        <w:t>, these high</w:t>
      </w:r>
      <w:r w:rsidR="003F04E1">
        <w:rPr>
          <w:rFonts w:eastAsia="Calibri"/>
        </w:rPr>
        <w:t>-</w:t>
      </w:r>
      <w:r w:rsidR="006F502D">
        <w:rPr>
          <w:rFonts w:eastAsia="Calibri"/>
        </w:rPr>
        <w:t>cost</w:t>
      </w:r>
      <w:r w:rsidR="003F04E1">
        <w:rPr>
          <w:rFonts w:eastAsia="Calibri"/>
        </w:rPr>
        <w:t xml:space="preserve"> </w:t>
      </w:r>
      <w:r w:rsidR="006F502D">
        <w:rPr>
          <w:rFonts w:eastAsia="Calibri"/>
        </w:rPr>
        <w:t xml:space="preserve">surveys </w:t>
      </w:r>
      <w:r w:rsidR="009E0CF5">
        <w:rPr>
          <w:rFonts w:eastAsia="Calibri"/>
        </w:rPr>
        <w:t>are</w:t>
      </w:r>
      <w:r w:rsidR="006F502D">
        <w:rPr>
          <w:rFonts w:eastAsia="Calibri"/>
        </w:rPr>
        <w:t xml:space="preserve"> only representative at </w:t>
      </w:r>
      <w:r w:rsidR="00B74E7A">
        <w:rPr>
          <w:rFonts w:eastAsia="Calibri"/>
        </w:rPr>
        <w:t xml:space="preserve">high </w:t>
      </w:r>
      <w:r w:rsidR="006F502D">
        <w:rPr>
          <w:rFonts w:eastAsia="Calibri"/>
        </w:rPr>
        <w:t>levels of aggregation within a country. For researchers seeking to conduct welfare analy</w:t>
      </w:r>
      <w:r w:rsidR="003F04E1">
        <w:rPr>
          <w:rFonts w:eastAsia="Calibri"/>
        </w:rPr>
        <w:t>sis</w:t>
      </w:r>
      <w:r w:rsidR="006F502D">
        <w:rPr>
          <w:rFonts w:eastAsia="Calibri"/>
        </w:rPr>
        <w:t xml:space="preserve"> of small geographic areas, </w:t>
      </w:r>
      <w:r w:rsidR="00E80F39">
        <w:rPr>
          <w:rFonts w:eastAsia="Calibri"/>
        </w:rPr>
        <w:t xml:space="preserve">the </w:t>
      </w:r>
      <w:r w:rsidR="006F502D">
        <w:rPr>
          <w:rFonts w:eastAsia="Calibri"/>
        </w:rPr>
        <w:t xml:space="preserve">detailed consumption </w:t>
      </w:r>
      <w:r w:rsidR="00E80F39">
        <w:rPr>
          <w:rFonts w:eastAsia="Calibri"/>
        </w:rPr>
        <w:t xml:space="preserve">survey </w:t>
      </w:r>
      <w:r w:rsidR="00B12BAF">
        <w:rPr>
          <w:rFonts w:eastAsia="Calibri"/>
        </w:rPr>
        <w:t>is</w:t>
      </w:r>
      <w:r w:rsidR="00E80F39">
        <w:rPr>
          <w:rFonts w:eastAsia="Calibri"/>
        </w:rPr>
        <w:t xml:space="preserve"> unlikely </w:t>
      </w:r>
      <w:r w:rsidR="00B12BAF">
        <w:rPr>
          <w:rFonts w:eastAsia="Calibri"/>
        </w:rPr>
        <w:t xml:space="preserve">to </w:t>
      </w:r>
      <w:r w:rsidR="00E80F39">
        <w:rPr>
          <w:rFonts w:eastAsia="Calibri"/>
        </w:rPr>
        <w:t>be</w:t>
      </w:r>
      <w:r w:rsidR="006F502D">
        <w:rPr>
          <w:rFonts w:eastAsia="Calibri"/>
        </w:rPr>
        <w:t xml:space="preserve"> representative of the area of interest. R</w:t>
      </w:r>
      <w:r w:rsidR="00870C17">
        <w:rPr>
          <w:rFonts w:eastAsia="Calibri"/>
        </w:rPr>
        <w:t xml:space="preserve">ecent </w:t>
      </w:r>
      <w:r w:rsidR="00C010BC">
        <w:rPr>
          <w:rFonts w:eastAsia="Calibri"/>
        </w:rPr>
        <w:t xml:space="preserve">innovations, </w:t>
      </w:r>
      <w:r w:rsidR="00922D17">
        <w:rPr>
          <w:rFonts w:eastAsia="Calibri"/>
        </w:rPr>
        <w:t xml:space="preserve">such as </w:t>
      </w:r>
      <w:r w:rsidR="00870C17">
        <w:rPr>
          <w:rFonts w:eastAsia="Calibri"/>
        </w:rPr>
        <w:t xml:space="preserve">the </w:t>
      </w:r>
      <w:r w:rsidR="00D4647E">
        <w:rPr>
          <w:rFonts w:eastAsia="Calibri"/>
        </w:rPr>
        <w:t>60-minute</w:t>
      </w:r>
      <w:r w:rsidR="00C010BC">
        <w:rPr>
          <w:rFonts w:eastAsia="Calibri"/>
        </w:rPr>
        <w:t xml:space="preserve"> consumption survey method</w:t>
      </w:r>
      <w:r w:rsidR="00CC472F">
        <w:rPr>
          <w:rFonts w:eastAsia="Calibri"/>
        </w:rPr>
        <w:t>,</w:t>
      </w:r>
      <w:r w:rsidR="00C010BC">
        <w:rPr>
          <w:rFonts w:eastAsia="Calibri"/>
        </w:rPr>
        <w:t xml:space="preserve"> </w:t>
      </w:r>
      <w:r w:rsidR="00870C17">
        <w:rPr>
          <w:rFonts w:eastAsia="Calibri"/>
        </w:rPr>
        <w:t xml:space="preserve">which </w:t>
      </w:r>
      <w:r w:rsidR="00F034E8">
        <w:rPr>
          <w:rFonts w:eastAsia="Calibri"/>
        </w:rPr>
        <w:t>relies on</w:t>
      </w:r>
      <w:r w:rsidR="00870C17">
        <w:rPr>
          <w:rFonts w:eastAsia="Calibri"/>
        </w:rPr>
        <w:t xml:space="preserve"> imputation techniques, </w:t>
      </w:r>
      <w:r w:rsidR="00B74E7A">
        <w:rPr>
          <w:rFonts w:eastAsia="Calibri"/>
        </w:rPr>
        <w:t>have been developed to</w:t>
      </w:r>
      <w:r w:rsidR="00922D17">
        <w:rPr>
          <w:rFonts w:eastAsia="Calibri"/>
        </w:rPr>
        <w:t xml:space="preserve"> </w:t>
      </w:r>
      <w:r w:rsidR="009D6BA5">
        <w:rPr>
          <w:rFonts w:eastAsia="Calibri"/>
        </w:rPr>
        <w:t>reduce</w:t>
      </w:r>
      <w:r w:rsidR="00E162F6">
        <w:rPr>
          <w:rFonts w:eastAsia="Calibri"/>
        </w:rPr>
        <w:t xml:space="preserve"> cost</w:t>
      </w:r>
      <w:r w:rsidR="00B12BAF">
        <w:rPr>
          <w:rFonts w:eastAsia="Calibri"/>
        </w:rPr>
        <w:t>s</w:t>
      </w:r>
      <w:r w:rsidR="00E162F6">
        <w:rPr>
          <w:rFonts w:eastAsia="Calibri"/>
        </w:rPr>
        <w:t xml:space="preserve"> of</w:t>
      </w:r>
      <w:r>
        <w:rPr>
          <w:rFonts w:eastAsia="Calibri"/>
        </w:rPr>
        <w:t xml:space="preserve"> comprehensive</w:t>
      </w:r>
      <w:r w:rsidR="00E162F6">
        <w:rPr>
          <w:rFonts w:eastAsia="Calibri"/>
        </w:rPr>
        <w:t xml:space="preserve"> </w:t>
      </w:r>
      <w:r w:rsidR="00922D17">
        <w:rPr>
          <w:rFonts w:eastAsia="Calibri"/>
        </w:rPr>
        <w:t>consumption data</w:t>
      </w:r>
      <w:r w:rsidR="00E162F6">
        <w:rPr>
          <w:rFonts w:eastAsia="Calibri"/>
        </w:rPr>
        <w:t xml:space="preserve"> </w:t>
      </w:r>
      <w:r w:rsidR="00E162F6" w:rsidRPr="006A6840">
        <w:rPr>
          <w:rFonts w:eastAsia="Calibri"/>
        </w:rPr>
        <w:t>collection</w:t>
      </w:r>
      <w:r w:rsidR="000C692B">
        <w:rPr>
          <w:rFonts w:eastAsia="Calibri"/>
        </w:rPr>
        <w:t xml:space="preserve"> </w:t>
      </w:r>
      <w:r w:rsidR="000C692B">
        <w:rPr>
          <w:rFonts w:eastAsia="Calibri"/>
        </w:rPr>
        <w:fldChar w:fldCharType="begin"/>
      </w:r>
      <w:r w:rsidR="009441FA">
        <w:rPr>
          <w:rFonts w:eastAsia="Calibri"/>
        </w:rPr>
        <w:instrText xml:space="preserve"> ADDIN EN.CITE &lt;EndNote&gt;&lt;Cite&gt;&lt;Author&gt;Pape&lt;/Author&gt;&lt;Year&gt;2015&lt;/Year&gt;&lt;RecNum&gt;33&lt;/RecNum&gt;&lt;DisplayText&gt;(Pape and Mistiaen, 2015)&lt;/DisplayText&gt;&lt;record&gt;&lt;rec-number&gt;33&lt;/rec-number&gt;&lt;foreign-keys&gt;&lt;key app="EN" db-id="5fvtavdaavaz95e2zv0vf9wms90fv05av5se" timestamp="1481058611"&gt;33&lt;/key&gt;&lt;/foreign-keys&gt;&lt;ref-type name="Report"&gt;27&lt;/ref-type&gt;&lt;contributors&gt;&lt;authors&gt;&lt;author&gt;Pape, U. &lt;/author&gt;&lt;author&gt;Mistiaen, J.&lt;/author&gt;&lt;/authors&gt;&lt;/contributors&gt;&lt;titles&gt;&lt;title&gt;Measuring Household Consumption and Poverty in 60 minutes: The Mogadishu High Frequency Survey&lt;/title&gt;&lt;secondary-title&gt;Annual Bank Conference on Africa&lt;/secondary-title&gt;&lt;/titles&gt;&lt;dates&gt;&lt;year&gt;2015&lt;/year&gt;&lt;/dates&gt;&lt;pub-location&gt;Berkeley, CA.&lt;/pub-location&gt;&lt;publisher&gt;World Bank &lt;/publisher&gt;&lt;urls&gt;&lt;related-urls&gt;&lt;url&gt;http://cega.berkeley.edu/assets/miscellaneous_files/82-ABCA_-PapeMistiaen.pdf&lt;/url&gt;&lt;/related-urls&gt;&lt;/urls&gt;&lt;access-date&gt;December 2016&lt;/access-date&gt;&lt;/record&gt;&lt;/Cite&gt;&lt;/EndNote&gt;</w:instrText>
      </w:r>
      <w:r w:rsidR="000C692B">
        <w:rPr>
          <w:rFonts w:eastAsia="Calibri"/>
        </w:rPr>
        <w:fldChar w:fldCharType="separate"/>
      </w:r>
      <w:r w:rsidR="000C692B">
        <w:rPr>
          <w:rFonts w:eastAsia="Calibri"/>
          <w:noProof/>
        </w:rPr>
        <w:t>(Pape and Mistiaen, 2015)</w:t>
      </w:r>
      <w:r w:rsidR="000C692B">
        <w:rPr>
          <w:rFonts w:eastAsia="Calibri"/>
        </w:rPr>
        <w:fldChar w:fldCharType="end"/>
      </w:r>
      <w:r w:rsidR="000C692B">
        <w:rPr>
          <w:rFonts w:eastAsia="Calibri"/>
        </w:rPr>
        <w:t xml:space="preserve">. </w:t>
      </w:r>
      <w:r w:rsidR="00224E08" w:rsidRPr="006A6840">
        <w:rPr>
          <w:rFonts w:eastAsia="Calibri"/>
        </w:rPr>
        <w:t>Until</w:t>
      </w:r>
      <w:r w:rsidR="00224E08">
        <w:rPr>
          <w:rFonts w:eastAsia="Calibri"/>
        </w:rPr>
        <w:t xml:space="preserve"> these</w:t>
      </w:r>
      <w:r w:rsidR="002D3A7D">
        <w:rPr>
          <w:rFonts w:eastAsia="Calibri"/>
        </w:rPr>
        <w:t xml:space="preserve"> improvements</w:t>
      </w:r>
      <w:r w:rsidR="00224E08">
        <w:rPr>
          <w:rFonts w:eastAsia="Calibri"/>
        </w:rPr>
        <w:t xml:space="preserve"> are popularized</w:t>
      </w:r>
      <w:r w:rsidR="002D3A7D">
        <w:rPr>
          <w:rFonts w:eastAsia="Calibri"/>
        </w:rPr>
        <w:t xml:space="preserve">, however, consumption data representative of small geographic areas </w:t>
      </w:r>
      <w:r w:rsidR="00224E08">
        <w:rPr>
          <w:rFonts w:eastAsia="Calibri"/>
        </w:rPr>
        <w:t xml:space="preserve">will </w:t>
      </w:r>
      <w:r w:rsidR="002D3A7D">
        <w:rPr>
          <w:rFonts w:eastAsia="Calibri"/>
        </w:rPr>
        <w:t>remain</w:t>
      </w:r>
      <w:r w:rsidR="00224E08">
        <w:rPr>
          <w:rFonts w:eastAsia="Calibri"/>
        </w:rPr>
        <w:t xml:space="preserve"> </w:t>
      </w:r>
      <w:r w:rsidR="002D3A7D">
        <w:rPr>
          <w:rFonts w:eastAsia="Calibri"/>
        </w:rPr>
        <w:t xml:space="preserve">relatively </w:t>
      </w:r>
      <w:r w:rsidR="00B12BAF">
        <w:rPr>
          <w:rFonts w:eastAsia="Calibri"/>
        </w:rPr>
        <w:t>rare</w:t>
      </w:r>
      <w:r w:rsidR="002D3A7D">
        <w:rPr>
          <w:rFonts w:eastAsia="Calibri"/>
        </w:rPr>
        <w:t xml:space="preserve">. </w:t>
      </w:r>
    </w:p>
    <w:p w14:paraId="48860EA6" w14:textId="2AB6553A" w:rsidR="00826576" w:rsidRDefault="000813C2" w:rsidP="009441FA">
      <w:pPr>
        <w:spacing w:line="480" w:lineRule="auto"/>
        <w:rPr>
          <w:rFonts w:eastAsia="Calibri"/>
        </w:rPr>
      </w:pPr>
      <w:r>
        <w:rPr>
          <w:rFonts w:eastAsia="Calibri"/>
        </w:rPr>
        <w:tab/>
      </w:r>
      <w:r w:rsidR="00922D17">
        <w:rPr>
          <w:rFonts w:eastAsia="Calibri"/>
        </w:rPr>
        <w:t>Small area estimation</w:t>
      </w:r>
      <w:r w:rsidR="00CC472F">
        <w:rPr>
          <w:rFonts w:eastAsia="Calibri"/>
        </w:rPr>
        <w:t xml:space="preserve"> of poverty</w:t>
      </w:r>
      <w:r w:rsidR="00922D17">
        <w:rPr>
          <w:rFonts w:eastAsia="Calibri"/>
        </w:rPr>
        <w:t xml:space="preserve"> (SAE</w:t>
      </w:r>
      <w:r w:rsidR="003F04E1">
        <w:rPr>
          <w:rFonts w:eastAsia="Calibri"/>
        </w:rPr>
        <w:t>p</w:t>
      </w:r>
      <w:r w:rsidR="00922D17">
        <w:rPr>
          <w:rFonts w:eastAsia="Calibri"/>
        </w:rPr>
        <w:t xml:space="preserve">) methods </w:t>
      </w:r>
      <w:r w:rsidR="0082694D">
        <w:rPr>
          <w:rFonts w:eastAsia="Calibri"/>
        </w:rPr>
        <w:t xml:space="preserve">extend </w:t>
      </w:r>
      <w:r w:rsidR="00A834F8">
        <w:rPr>
          <w:rFonts w:eastAsia="Calibri"/>
        </w:rPr>
        <w:t xml:space="preserve">the ability to obtain </w:t>
      </w:r>
      <w:r w:rsidR="008B52BA">
        <w:rPr>
          <w:rFonts w:eastAsia="Calibri"/>
        </w:rPr>
        <w:t xml:space="preserve">accurate </w:t>
      </w:r>
      <w:r w:rsidR="00A834F8">
        <w:rPr>
          <w:rFonts w:eastAsia="Calibri"/>
        </w:rPr>
        <w:t xml:space="preserve">welfare measures </w:t>
      </w:r>
      <w:r w:rsidR="008B52BA">
        <w:rPr>
          <w:rFonts w:eastAsia="Calibri"/>
        </w:rPr>
        <w:t>for small geographic areas by</w:t>
      </w:r>
      <w:r w:rsidR="0082694D">
        <w:rPr>
          <w:rFonts w:eastAsia="Calibri"/>
        </w:rPr>
        <w:t xml:space="preserve"> combining the strengths of multiple d</w:t>
      </w:r>
      <w:r w:rsidR="0082694D" w:rsidRPr="00BE6424">
        <w:rPr>
          <w:rFonts w:eastAsia="Calibri"/>
        </w:rPr>
        <w:t xml:space="preserve">atasets. </w:t>
      </w:r>
      <w:r w:rsidR="0082694D">
        <w:rPr>
          <w:rFonts w:eastAsia="Calibri"/>
        </w:rPr>
        <w:t>SAE</w:t>
      </w:r>
      <w:r w:rsidR="003F04E1">
        <w:rPr>
          <w:rFonts w:eastAsia="Calibri"/>
        </w:rPr>
        <w:t>p</w:t>
      </w:r>
      <w:r w:rsidR="00673905" w:rsidRPr="004823F6">
        <w:rPr>
          <w:rFonts w:eastAsia="Calibri"/>
        </w:rPr>
        <w:t xml:space="preserve"> </w:t>
      </w:r>
      <w:r w:rsidR="000914B4" w:rsidRPr="004823F6">
        <w:rPr>
          <w:rFonts w:eastAsia="Calibri"/>
        </w:rPr>
        <w:t>methods</w:t>
      </w:r>
      <w:r w:rsidR="008D4ED5">
        <w:rPr>
          <w:rFonts w:eastAsia="Calibri"/>
        </w:rPr>
        <w:t xml:space="preserve"> normally</w:t>
      </w:r>
      <w:r w:rsidR="000914B4">
        <w:rPr>
          <w:rFonts w:eastAsia="Calibri"/>
        </w:rPr>
        <w:t xml:space="preserve"> </w:t>
      </w:r>
      <w:r w:rsidR="000914B4" w:rsidRPr="004823F6">
        <w:rPr>
          <w:rFonts w:eastAsia="Calibri"/>
        </w:rPr>
        <w:t>combine</w:t>
      </w:r>
      <w:r w:rsidR="00673905" w:rsidRPr="004823F6">
        <w:rPr>
          <w:rFonts w:eastAsia="Calibri"/>
        </w:rPr>
        <w:t xml:space="preserve"> </w:t>
      </w:r>
      <w:r w:rsidR="00B12BAF">
        <w:rPr>
          <w:rFonts w:eastAsia="Calibri"/>
        </w:rPr>
        <w:t>LSMS</w:t>
      </w:r>
      <w:r w:rsidR="00433CF2">
        <w:rPr>
          <w:rFonts w:eastAsia="Calibri"/>
        </w:rPr>
        <w:t>, w</w:t>
      </w:r>
      <w:r w:rsidR="00B12BAF">
        <w:rPr>
          <w:rFonts w:eastAsia="Calibri"/>
        </w:rPr>
        <w:t>ith</w:t>
      </w:r>
      <w:r w:rsidR="00433CF2">
        <w:rPr>
          <w:rFonts w:eastAsia="Calibri"/>
        </w:rPr>
        <w:t xml:space="preserve"> detailed information on consumption but not </w:t>
      </w:r>
      <w:r w:rsidR="00433CF2">
        <w:rPr>
          <w:rFonts w:eastAsia="Calibri"/>
        </w:rPr>
        <w:lastRenderedPageBreak/>
        <w:t xml:space="preserve">representative at </w:t>
      </w:r>
      <w:r w:rsidR="00876D9F">
        <w:rPr>
          <w:rFonts w:eastAsia="Calibri"/>
        </w:rPr>
        <w:t xml:space="preserve">micro-area </w:t>
      </w:r>
      <w:r w:rsidR="00433CF2">
        <w:rPr>
          <w:rFonts w:eastAsia="Calibri"/>
        </w:rPr>
        <w:t>level</w:t>
      </w:r>
      <w:r w:rsidR="00876D9F">
        <w:rPr>
          <w:rFonts w:eastAsia="Calibri"/>
        </w:rPr>
        <w:t>s</w:t>
      </w:r>
      <w:r w:rsidR="00433CF2">
        <w:rPr>
          <w:rFonts w:eastAsia="Calibri"/>
        </w:rPr>
        <w:t>,</w:t>
      </w:r>
      <w:r w:rsidR="00673905" w:rsidRPr="004823F6">
        <w:rPr>
          <w:rFonts w:eastAsia="Calibri"/>
        </w:rPr>
        <w:t xml:space="preserve"> with census data</w:t>
      </w:r>
      <w:r w:rsidR="00B92FA8">
        <w:rPr>
          <w:rFonts w:eastAsia="Calibri"/>
        </w:rPr>
        <w:t>, which are representative at</w:t>
      </w:r>
      <w:r w:rsidR="00EA1B72">
        <w:rPr>
          <w:rFonts w:eastAsia="Calibri"/>
        </w:rPr>
        <w:t xml:space="preserve"> low </w:t>
      </w:r>
      <w:r w:rsidR="00433CF2">
        <w:rPr>
          <w:rFonts w:eastAsia="Calibri"/>
        </w:rPr>
        <w:t xml:space="preserve">disaggregation </w:t>
      </w:r>
      <w:r w:rsidR="00B92FA8">
        <w:rPr>
          <w:rFonts w:eastAsia="Calibri"/>
        </w:rPr>
        <w:t xml:space="preserve">levels </w:t>
      </w:r>
      <w:r w:rsidR="00433CF2">
        <w:rPr>
          <w:rFonts w:eastAsia="Calibri"/>
        </w:rPr>
        <w:t>but do not include information on consumption,</w:t>
      </w:r>
      <w:r w:rsidR="00673905" w:rsidRPr="004823F6">
        <w:rPr>
          <w:rFonts w:eastAsia="Calibri"/>
        </w:rPr>
        <w:t xml:space="preserve"> to estimate poverty for small </w:t>
      </w:r>
      <w:r w:rsidR="00B92FA8">
        <w:rPr>
          <w:rFonts w:eastAsia="Calibri"/>
        </w:rPr>
        <w:t xml:space="preserve">geographic </w:t>
      </w:r>
      <w:r w:rsidR="00673905" w:rsidRPr="004823F6">
        <w:rPr>
          <w:rFonts w:eastAsia="Calibri"/>
        </w:rPr>
        <w:t>areas</w:t>
      </w:r>
      <w:r w:rsidR="000C692B">
        <w:rPr>
          <w:rFonts w:eastAsia="Calibri"/>
        </w:rPr>
        <w:t xml:space="preserve"> </w:t>
      </w:r>
      <w:r w:rsidR="000C692B">
        <w:rPr>
          <w:rFonts w:eastAsia="Calibri"/>
        </w:rPr>
        <w:fldChar w:fldCharType="begin"/>
      </w:r>
      <w:r w:rsidR="00A463AE">
        <w:rPr>
          <w:rFonts w:eastAsia="Calibri"/>
        </w:rPr>
        <w:instrText xml:space="preserve"> ADDIN EN.CITE &lt;EndNote&gt;&lt;Cite&gt;&lt;Author&gt;Elbers&lt;/Author&gt;&lt;Year&gt;2003&lt;/Year&gt;&lt;RecNum&gt;21&lt;/RecNum&gt;&lt;DisplayText&gt;(Elbers,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0C692B">
        <w:rPr>
          <w:rFonts w:eastAsia="Calibri"/>
        </w:rPr>
        <w:fldChar w:fldCharType="separate"/>
      </w:r>
      <w:r w:rsidR="00A463AE">
        <w:rPr>
          <w:rFonts w:eastAsia="Calibri"/>
          <w:noProof/>
        </w:rPr>
        <w:t>(Elbers, et al., 2003)</w:t>
      </w:r>
      <w:r w:rsidR="000C692B">
        <w:rPr>
          <w:rFonts w:eastAsia="Calibri"/>
        </w:rPr>
        <w:fldChar w:fldCharType="end"/>
      </w:r>
      <w:r w:rsidR="000C692B">
        <w:rPr>
          <w:rFonts w:eastAsia="Calibri"/>
        </w:rPr>
        <w:t xml:space="preserve">. </w:t>
      </w:r>
      <w:r w:rsidR="00673905" w:rsidRPr="004823F6">
        <w:rPr>
          <w:rFonts w:eastAsia="Calibri"/>
        </w:rPr>
        <w:t xml:space="preserve">Since </w:t>
      </w:r>
      <w:r w:rsidR="00DC2897" w:rsidRPr="004823F6">
        <w:rPr>
          <w:rFonts w:eastAsia="Calibri"/>
        </w:rPr>
        <w:t>th</w:t>
      </w:r>
      <w:r w:rsidR="00DC2897">
        <w:rPr>
          <w:rFonts w:eastAsia="Calibri"/>
        </w:rPr>
        <w:t>eir</w:t>
      </w:r>
      <w:r w:rsidR="00DC2897" w:rsidRPr="004823F6">
        <w:rPr>
          <w:rFonts w:eastAsia="Calibri"/>
        </w:rPr>
        <w:t xml:space="preserve"> </w:t>
      </w:r>
      <w:r w:rsidR="00673905" w:rsidRPr="004823F6">
        <w:rPr>
          <w:rFonts w:eastAsia="Calibri"/>
        </w:rPr>
        <w:t xml:space="preserve">seminal work, an expanding literature of in-depth poverty </w:t>
      </w:r>
      <w:r w:rsidR="00DC2897" w:rsidRPr="00DC2897">
        <w:rPr>
          <w:rFonts w:eastAsia="Calibri"/>
        </w:rPr>
        <w:t>analyses</w:t>
      </w:r>
      <w:r w:rsidR="00DC2897" w:rsidRPr="004823F6">
        <w:rPr>
          <w:rFonts w:eastAsia="Calibri"/>
        </w:rPr>
        <w:t xml:space="preserve"> </w:t>
      </w:r>
      <w:r w:rsidR="00673905" w:rsidRPr="004823F6">
        <w:rPr>
          <w:rFonts w:eastAsia="Calibri"/>
        </w:rPr>
        <w:t>for small geographi</w:t>
      </w:r>
      <w:r w:rsidR="00597A81">
        <w:rPr>
          <w:rFonts w:eastAsia="Calibri"/>
        </w:rPr>
        <w:t xml:space="preserve">c areas has </w:t>
      </w:r>
      <w:r w:rsidR="00DC2897">
        <w:rPr>
          <w:rFonts w:eastAsia="Calibri"/>
        </w:rPr>
        <w:t>emerged</w:t>
      </w:r>
      <w:r w:rsidR="000C692B">
        <w:rPr>
          <w:rFonts w:eastAsia="Calibri"/>
        </w:rPr>
        <w:t xml:space="preserve"> </w:t>
      </w:r>
      <w:r w:rsidR="000C692B">
        <w:rPr>
          <w:rFonts w:eastAsia="Calibri"/>
        </w:rPr>
        <w:fldChar w:fldCharType="begin">
          <w:fldData xml:space="preserve">PEVuZE5vdGU+PENpdGU+PEF1dGhvcj5DdW9uZzwvQXV0aG9yPjxZZWFyPjIwMTE8L1llYXI+PFJl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</w:fldData>
        </w:fldChar>
      </w:r>
      <w:r w:rsidR="009441FA">
        <w:rPr>
          <w:rFonts w:eastAsia="Calibri"/>
        </w:rPr>
        <w:instrText xml:space="preserve"> ADDIN EN.CITE </w:instrText>
      </w:r>
      <w:r w:rsidR="009441FA">
        <w:rPr>
          <w:rFonts w:eastAsia="Calibri"/>
        </w:rPr>
        <w:fldChar w:fldCharType="begin">
          <w:fldData xml:space="preserve">PEVuZE5vdGU+PENpdGU+PEF1dGhvcj5DdW9uZzwvQXV0aG9yPjxZZWFyPjIwMTE8L1llYXI+PFJl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</w:fldData>
        </w:fldChar>
      </w:r>
      <w:r w:rsidR="009441FA">
        <w:rPr>
          <w:rFonts w:eastAsia="Calibri"/>
        </w:rPr>
        <w:instrText xml:space="preserve"> ADDIN EN.CITE.DATA </w:instrText>
      </w:r>
      <w:r w:rsidR="009441FA">
        <w:rPr>
          <w:rFonts w:eastAsia="Calibri"/>
        </w:rPr>
      </w:r>
      <w:r w:rsidR="009441FA">
        <w:rPr>
          <w:rFonts w:eastAsia="Calibri"/>
        </w:rPr>
        <w:fldChar w:fldCharType="end"/>
      </w:r>
      <w:r w:rsidR="000C692B">
        <w:rPr>
          <w:rFonts w:eastAsia="Calibri"/>
        </w:rPr>
      </w:r>
      <w:r w:rsidR="000C692B">
        <w:rPr>
          <w:rFonts w:eastAsia="Calibri"/>
        </w:rPr>
        <w:fldChar w:fldCharType="separate"/>
      </w:r>
      <w:r w:rsidR="00A463AE">
        <w:rPr>
          <w:rFonts w:eastAsia="Calibri"/>
          <w:noProof/>
        </w:rPr>
        <w:t>(Kijima and Lanjouw, 2003, Okwi, et al., 2003, Tarozzi and Deaton, 2009, Cuong, 2011)</w:t>
      </w:r>
      <w:r w:rsidR="000C692B">
        <w:rPr>
          <w:rFonts w:eastAsia="Calibri"/>
        </w:rPr>
        <w:fldChar w:fldCharType="end"/>
      </w:r>
      <w:r w:rsidR="000C692B">
        <w:rPr>
          <w:rFonts w:eastAsia="Calibri"/>
        </w:rPr>
        <w:t xml:space="preserve">. </w:t>
      </w:r>
      <w:r w:rsidR="00DC2897">
        <w:rPr>
          <w:rFonts w:eastAsia="Calibri"/>
        </w:rPr>
        <w:t xml:space="preserve"> </w:t>
      </w:r>
      <w:r w:rsidR="00673905" w:rsidRPr="004823F6">
        <w:rPr>
          <w:rFonts w:eastAsia="Calibri"/>
        </w:rPr>
        <w:t xml:space="preserve"> </w:t>
      </w:r>
    </w:p>
    <w:p w14:paraId="5C7A5BC5" w14:textId="21877BF9" w:rsidR="00415C2E" w:rsidRDefault="00415C2E" w:rsidP="002F2315">
      <w:pPr>
        <w:spacing w:line="480" w:lineRule="auto"/>
        <w:ind w:firstLine="720"/>
      </w:pPr>
      <w:r w:rsidRPr="00022715">
        <w:rPr>
          <w:rFonts w:eastAsia="Calibri"/>
        </w:rPr>
        <w:t xml:space="preserve">The relevance of the techniques in </w:t>
      </w:r>
      <w:r w:rsidR="000C692B">
        <w:rPr>
          <w:rFonts w:eastAsia="Calibri"/>
        </w:rPr>
        <w:fldChar w:fldCharType="begin"/>
      </w:r>
      <w:r w:rsidR="00A463AE">
        <w:rPr>
          <w:rFonts w:eastAsia="Calibri"/>
        </w:rPr>
        <w:instrText xml:space="preserve"> ADDIN EN.CITE &lt;EndNote&gt;&lt;Cite AuthorYear="1"&gt;&lt;Author&gt;Elbers&lt;/Author&gt;&lt;Year&gt;2003&lt;/Year&gt;&lt;RecNum&gt;21&lt;/RecNum&gt;&lt;DisplayText&gt;Elbers,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0C692B">
        <w:rPr>
          <w:rFonts w:eastAsia="Calibri"/>
        </w:rPr>
        <w:fldChar w:fldCharType="separate"/>
      </w:r>
      <w:r w:rsidR="00A463AE">
        <w:rPr>
          <w:rFonts w:eastAsia="Calibri"/>
          <w:noProof/>
        </w:rPr>
        <w:t>Elbers, et al. (2003)</w:t>
      </w:r>
      <w:r w:rsidR="000C692B">
        <w:rPr>
          <w:rFonts w:eastAsia="Calibri"/>
        </w:rPr>
        <w:fldChar w:fldCharType="end"/>
      </w:r>
      <w:r w:rsidRPr="00022715">
        <w:rPr>
          <w:rFonts w:eastAsia="Calibri"/>
        </w:rPr>
        <w:t xml:space="preserve">, however, has been masked by their focus on census or large sample. </w:t>
      </w:r>
      <w:r w:rsidR="00B12BAF">
        <w:rPr>
          <w:rFonts w:eastAsia="Calibri"/>
        </w:rPr>
        <w:t>Reliance on</w:t>
      </w:r>
      <w:r w:rsidRPr="00022715">
        <w:rPr>
          <w:rFonts w:eastAsia="Calibri"/>
        </w:rPr>
        <w:t xml:space="preserve"> census </w:t>
      </w:r>
      <w:r w:rsidR="00B12BAF">
        <w:rPr>
          <w:rFonts w:eastAsia="Calibri"/>
        </w:rPr>
        <w:t xml:space="preserve">data </w:t>
      </w:r>
      <w:r w:rsidRPr="00022715">
        <w:rPr>
          <w:rFonts w:eastAsia="Calibri"/>
        </w:rPr>
        <w:t xml:space="preserve">is restrictive because the </w:t>
      </w:r>
      <w:r w:rsidR="00876D9F">
        <w:rPr>
          <w:rFonts w:eastAsia="Calibri"/>
        </w:rPr>
        <w:t>micro-</w:t>
      </w:r>
      <w:r w:rsidRPr="00022715">
        <w:rPr>
          <w:rFonts w:eastAsia="Calibri"/>
        </w:rPr>
        <w:t xml:space="preserve">data </w:t>
      </w:r>
      <w:r w:rsidR="00876D9F">
        <w:rPr>
          <w:rFonts w:eastAsia="Calibri"/>
        </w:rPr>
        <w:t xml:space="preserve">(i.e. household-level records) </w:t>
      </w:r>
      <w:r w:rsidRPr="00022715">
        <w:rPr>
          <w:rFonts w:eastAsia="Calibri"/>
        </w:rPr>
        <w:t>are generally privileged and therefore only accessible to researchers in select organizations. In addition, the infrequent administering of censuses, typically once every decade, but often less frequently, limits the timeframe during which a census can be used for up-to-date poverty analysis even if access to the micro-data is granted.</w:t>
      </w:r>
      <w:r w:rsidR="00FB65A9">
        <w:rPr>
          <w:rFonts w:eastAsia="Calibri"/>
        </w:rPr>
        <w:t xml:space="preserve"> </w:t>
      </w:r>
      <w:r w:rsidR="00876D9F">
        <w:rPr>
          <w:rFonts w:eastAsia="Calibri"/>
        </w:rPr>
        <w:t>R</w:t>
      </w:r>
      <w:r w:rsidRPr="00022715">
        <w:rPr>
          <w:rFonts w:eastAsia="Calibri"/>
        </w:rPr>
        <w:t>esearchers who appl</w:t>
      </w:r>
      <w:r w:rsidR="00876D9F">
        <w:rPr>
          <w:rFonts w:eastAsia="Calibri"/>
        </w:rPr>
        <w:t>y</w:t>
      </w:r>
      <w:r w:rsidRPr="00022715">
        <w:rPr>
          <w:rFonts w:eastAsia="Calibri"/>
        </w:rPr>
        <w:t xml:space="preserve"> the ELL methods in the absence of census data typically use surveys that are representative at the same level of aggregation as the original consumption survey</w:t>
      </w:r>
      <w:r w:rsidR="00916EDB">
        <w:rPr>
          <w:rFonts w:eastAsia="Calibri"/>
        </w:rPr>
        <w:t xml:space="preserve"> </w:t>
      </w:r>
      <w:r w:rsidR="007664BC">
        <w:rPr>
          <w:rFonts w:eastAsia="Calibri"/>
        </w:rPr>
        <w:fldChar w:fldCharType="begin">
          <w:fldData xml:space="preserve">PEVuZE5vdGU+PENpdGU+PEF1dGhvcj5DaHJpc3RpYWVuc2VuPC9BdXRob3I+PFllYXI+MjAxMjwv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</w:fldData>
        </w:fldChar>
      </w:r>
      <w:r w:rsidR="002F2315">
        <w:rPr>
          <w:rFonts w:eastAsia="Calibri"/>
        </w:rPr>
        <w:instrText xml:space="preserve"> ADDIN EN.CITE </w:instrText>
      </w:r>
      <w:r w:rsidR="002F2315">
        <w:rPr>
          <w:rFonts w:eastAsia="Calibri"/>
        </w:rPr>
        <w:fldChar w:fldCharType="begin">
          <w:fldData xml:space="preserve">PEVuZE5vdGU+PENpdGU+PEF1dGhvcj5DaHJpc3RpYWVuc2VuPC9BdXRob3I+PFllYXI+MjAxMjwv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</w:fldData>
        </w:fldChar>
      </w:r>
      <w:r w:rsidR="002F2315">
        <w:rPr>
          <w:rFonts w:eastAsia="Calibri"/>
        </w:rPr>
        <w:instrText xml:space="preserve"> ADDIN EN.CITE.DATA </w:instrText>
      </w:r>
      <w:r w:rsidR="002F2315">
        <w:rPr>
          <w:rFonts w:eastAsia="Calibri"/>
        </w:rPr>
      </w:r>
      <w:r w:rsidR="002F2315">
        <w:rPr>
          <w:rFonts w:eastAsia="Calibri"/>
        </w:rPr>
        <w:fldChar w:fldCharType="end"/>
      </w:r>
      <w:r w:rsidR="007664BC">
        <w:rPr>
          <w:rFonts w:eastAsia="Calibri"/>
        </w:rPr>
      </w:r>
      <w:r w:rsidR="007664BC">
        <w:rPr>
          <w:rFonts w:eastAsia="Calibri"/>
        </w:rPr>
        <w:fldChar w:fldCharType="separate"/>
      </w:r>
      <w:r w:rsidR="00A463AE">
        <w:rPr>
          <w:rFonts w:eastAsia="Calibri"/>
          <w:noProof/>
        </w:rPr>
        <w:t>(Stifel and Christiaensen, 2007, Daniels, 2011, Christiaensen, et al., 2012, Dang, et al., 2014)</w:t>
      </w:r>
      <w:r w:rsidR="007664BC">
        <w:rPr>
          <w:rFonts w:eastAsia="Calibri"/>
        </w:rPr>
        <w:fldChar w:fldCharType="end"/>
      </w:r>
      <w:r w:rsidR="007664BC">
        <w:rPr>
          <w:rFonts w:eastAsia="Calibri"/>
        </w:rPr>
        <w:t xml:space="preserve">. </w:t>
      </w:r>
      <w:r w:rsidR="00876D9F">
        <w:rPr>
          <w:rFonts w:eastAsia="Calibri"/>
        </w:rPr>
        <w:t>R</w:t>
      </w:r>
      <w:r w:rsidRPr="00022715">
        <w:rPr>
          <w:rFonts w:eastAsia="Calibri"/>
        </w:rPr>
        <w:t xml:space="preserve">esearchers interested in conducting ex-ante or ex-post welfare evaluation of context-specific intervention or technology could also benefit from </w:t>
      </w:r>
      <w:r w:rsidR="00D95902">
        <w:t>SAEp</w:t>
      </w:r>
      <w:r w:rsidRPr="00022715">
        <w:t xml:space="preserve"> methods. </w:t>
      </w:r>
    </w:p>
    <w:p w14:paraId="7736C09E" w14:textId="3FEA61DA" w:rsidR="001533F6" w:rsidRDefault="00D95902" w:rsidP="00DF7846">
      <w:pPr>
        <w:spacing w:line="480" w:lineRule="auto"/>
        <w:ind w:firstLine="720"/>
        <w:rPr>
          <w:rFonts w:eastAsia="Calibri"/>
        </w:rPr>
      </w:pPr>
      <w:r>
        <w:t>In this study, we apply SAEp</w:t>
      </w:r>
      <w:r w:rsidR="00415C2E" w:rsidRPr="00022715">
        <w:t xml:space="preserve"> methods to obtain welfare estimates for a small geographical area in </w:t>
      </w:r>
      <w:r w:rsidR="00415C2E" w:rsidRPr="00022715">
        <w:rPr>
          <w:rFonts w:eastAsia="Calibri"/>
        </w:rPr>
        <w:t xml:space="preserve">Uganda and simulate </w:t>
      </w:r>
      <w:r w:rsidR="00FB65A9">
        <w:rPr>
          <w:rFonts w:eastAsia="Calibri"/>
        </w:rPr>
        <w:t xml:space="preserve">the </w:t>
      </w:r>
      <w:r w:rsidR="00415C2E" w:rsidRPr="00022715">
        <w:rPr>
          <w:rFonts w:eastAsia="Calibri"/>
        </w:rPr>
        <w:t>welfare impacts of a context-specific agricultural technology, conservation agriculture</w:t>
      </w:r>
      <w:r w:rsidR="002F4170">
        <w:rPr>
          <w:rFonts w:eastAsia="Calibri"/>
        </w:rPr>
        <w:t xml:space="preserve"> (CA)</w:t>
      </w:r>
      <w:r w:rsidR="00415C2E" w:rsidRPr="00022715">
        <w:rPr>
          <w:rFonts w:eastAsia="Calibri"/>
        </w:rPr>
        <w:t xml:space="preserve">.  Our study adds to the literature in three ways. </w:t>
      </w:r>
      <w:r>
        <w:rPr>
          <w:rFonts w:eastAsia="Calibri"/>
        </w:rPr>
        <w:t>First,</w:t>
      </w:r>
      <w:r w:rsidR="00415C2E" w:rsidRPr="00022715">
        <w:rPr>
          <w:rFonts w:eastAsia="Calibri"/>
        </w:rPr>
        <w:t xml:space="preserve"> </w:t>
      </w:r>
      <w:r>
        <w:rPr>
          <w:rFonts w:eastAsia="Calibri"/>
        </w:rPr>
        <w:t xml:space="preserve">it </w:t>
      </w:r>
      <w:r w:rsidR="00205A53">
        <w:rPr>
          <w:rFonts w:eastAsia="Calibri"/>
        </w:rPr>
        <w:t>illustrates a new way of combining</w:t>
      </w:r>
      <w:r w:rsidR="00D45F3B">
        <w:rPr>
          <w:rFonts w:eastAsia="Calibri"/>
        </w:rPr>
        <w:t xml:space="preserve"> dataset</w:t>
      </w:r>
      <w:r w:rsidR="00205A53">
        <w:rPr>
          <w:rFonts w:eastAsia="Calibri"/>
        </w:rPr>
        <w:t>s</w:t>
      </w:r>
      <w:r w:rsidR="00415C2E" w:rsidRPr="00022715">
        <w:rPr>
          <w:rFonts w:eastAsia="Calibri"/>
        </w:rPr>
        <w:t xml:space="preserve"> to obtain reliable poverty estimates for a small area</w:t>
      </w:r>
      <w:r w:rsidR="00791193">
        <w:rPr>
          <w:rFonts w:eastAsia="Calibri"/>
        </w:rPr>
        <w:t xml:space="preserve"> that</w:t>
      </w:r>
      <w:r w:rsidR="00205A53">
        <w:rPr>
          <w:rFonts w:eastAsia="Calibri"/>
        </w:rPr>
        <w:t xml:space="preserve"> does not</w:t>
      </w:r>
      <w:r w:rsidR="00415C2E" w:rsidRPr="00022715">
        <w:rPr>
          <w:rFonts w:eastAsia="Calibri"/>
        </w:rPr>
        <w:t xml:space="preserve"> </w:t>
      </w:r>
      <w:r w:rsidR="00205A53">
        <w:rPr>
          <w:rFonts w:eastAsia="Calibri"/>
        </w:rPr>
        <w:t>require</w:t>
      </w:r>
      <w:r w:rsidR="00415C2E" w:rsidRPr="00022715">
        <w:rPr>
          <w:rFonts w:eastAsia="Calibri"/>
        </w:rPr>
        <w:t xml:space="preserve"> </w:t>
      </w:r>
      <w:r w:rsidR="00415C2E">
        <w:rPr>
          <w:rFonts w:eastAsia="Calibri"/>
        </w:rPr>
        <w:t>collect</w:t>
      </w:r>
      <w:r w:rsidR="00205A53">
        <w:rPr>
          <w:rFonts w:eastAsia="Calibri"/>
        </w:rPr>
        <w:t>ing</w:t>
      </w:r>
      <w:r w:rsidR="00415C2E" w:rsidRPr="00022715">
        <w:rPr>
          <w:rFonts w:eastAsia="Calibri"/>
        </w:rPr>
        <w:t xml:space="preserve"> expensive household consumption data or</w:t>
      </w:r>
      <w:r w:rsidR="00205A53">
        <w:rPr>
          <w:rFonts w:eastAsia="Calibri"/>
        </w:rPr>
        <w:t xml:space="preserve"> having</w:t>
      </w:r>
      <w:r w:rsidR="00415C2E" w:rsidRPr="00022715">
        <w:rPr>
          <w:rFonts w:eastAsia="Calibri"/>
        </w:rPr>
        <w:t xml:space="preserve"> access to census data</w:t>
      </w:r>
      <w:r w:rsidR="00415C2E">
        <w:rPr>
          <w:rFonts w:eastAsia="Calibri"/>
        </w:rPr>
        <w:t>. Our approach consists of</w:t>
      </w:r>
      <w:r w:rsidR="00415C2E" w:rsidRPr="00022715">
        <w:rPr>
          <w:rFonts w:eastAsia="Calibri"/>
        </w:rPr>
        <w:t xml:space="preserve"> conducting a </w:t>
      </w:r>
      <w:r w:rsidR="00C55574" w:rsidRPr="00022715">
        <w:rPr>
          <w:rFonts w:eastAsia="Calibri"/>
        </w:rPr>
        <w:t>low-cost</w:t>
      </w:r>
      <w:r w:rsidR="00415C2E" w:rsidRPr="00022715">
        <w:rPr>
          <w:rFonts w:eastAsia="Calibri"/>
        </w:rPr>
        <w:t xml:space="preserve"> </w:t>
      </w:r>
      <w:r w:rsidR="00415C2E">
        <w:rPr>
          <w:rFonts w:eastAsia="Calibri"/>
        </w:rPr>
        <w:t xml:space="preserve">household </w:t>
      </w:r>
      <w:r w:rsidR="00415C2E" w:rsidRPr="00022715">
        <w:rPr>
          <w:rFonts w:eastAsia="Calibri"/>
        </w:rPr>
        <w:t>survey</w:t>
      </w:r>
      <w:r w:rsidR="00415C2E">
        <w:rPr>
          <w:rFonts w:eastAsia="Calibri"/>
        </w:rPr>
        <w:t>, which is</w:t>
      </w:r>
      <w:r w:rsidR="00415C2E" w:rsidRPr="00022715">
        <w:rPr>
          <w:rFonts w:eastAsia="Calibri"/>
        </w:rPr>
        <w:t xml:space="preserve"> representative </w:t>
      </w:r>
      <w:r w:rsidR="00415C2E">
        <w:rPr>
          <w:rFonts w:eastAsia="Calibri"/>
        </w:rPr>
        <w:t>of</w:t>
      </w:r>
      <w:r w:rsidR="00415C2E" w:rsidRPr="00022715">
        <w:rPr>
          <w:rFonts w:eastAsia="Calibri"/>
        </w:rPr>
        <w:t xml:space="preserve"> the small area of interest</w:t>
      </w:r>
      <w:r w:rsidR="00415C2E">
        <w:rPr>
          <w:rFonts w:eastAsia="Calibri"/>
        </w:rPr>
        <w:t xml:space="preserve"> and combining it with </w:t>
      </w:r>
      <w:r w:rsidR="00876D9F">
        <w:rPr>
          <w:rFonts w:eastAsia="Calibri"/>
        </w:rPr>
        <w:t xml:space="preserve">an </w:t>
      </w:r>
      <w:r w:rsidR="00415C2E">
        <w:rPr>
          <w:rFonts w:eastAsia="Calibri"/>
        </w:rPr>
        <w:t>already</w:t>
      </w:r>
      <w:r w:rsidR="00876D9F">
        <w:rPr>
          <w:rFonts w:eastAsia="Calibri"/>
        </w:rPr>
        <w:t>-</w:t>
      </w:r>
      <w:r w:rsidR="00415C2E">
        <w:rPr>
          <w:rFonts w:eastAsia="Calibri"/>
        </w:rPr>
        <w:t xml:space="preserve">available </w:t>
      </w:r>
      <w:r w:rsidR="00415C2E">
        <w:rPr>
          <w:rFonts w:eastAsia="Calibri"/>
        </w:rPr>
        <w:lastRenderedPageBreak/>
        <w:t xml:space="preserve">consumption survey, which </w:t>
      </w:r>
      <w:r w:rsidR="00876D9F">
        <w:rPr>
          <w:rFonts w:eastAsia="Calibri"/>
        </w:rPr>
        <w:t xml:space="preserve">may </w:t>
      </w:r>
      <w:r w:rsidR="00415C2E">
        <w:rPr>
          <w:rFonts w:eastAsia="Calibri"/>
        </w:rPr>
        <w:t xml:space="preserve">not </w:t>
      </w:r>
      <w:r w:rsidR="00876D9F">
        <w:rPr>
          <w:rFonts w:eastAsia="Calibri"/>
        </w:rPr>
        <w:t xml:space="preserve">be </w:t>
      </w:r>
      <w:r w:rsidR="00415C2E">
        <w:rPr>
          <w:rFonts w:eastAsia="Calibri"/>
        </w:rPr>
        <w:t xml:space="preserve">representative of the small area of interest. </w:t>
      </w:r>
      <w:r w:rsidR="00DF7846">
        <w:rPr>
          <w:rFonts w:eastAsia="Calibri"/>
        </w:rPr>
        <w:t>This approach</w:t>
      </w:r>
      <w:r w:rsidR="00415C2E" w:rsidRPr="00022715">
        <w:rPr>
          <w:rFonts w:eastAsia="Calibri"/>
        </w:rPr>
        <w:t xml:space="preserve"> </w:t>
      </w:r>
      <w:r w:rsidR="00C55574">
        <w:rPr>
          <w:rFonts w:eastAsia="Calibri"/>
        </w:rPr>
        <w:t xml:space="preserve">is </w:t>
      </w:r>
      <w:r w:rsidR="00415C2E">
        <w:rPr>
          <w:rFonts w:eastAsia="Calibri"/>
        </w:rPr>
        <w:t xml:space="preserve">relatively </w:t>
      </w:r>
      <w:r w:rsidR="00415C2E" w:rsidRPr="00022715">
        <w:rPr>
          <w:rFonts w:eastAsia="Calibri"/>
        </w:rPr>
        <w:t>inexpensive because only key variables correlated with co</w:t>
      </w:r>
      <w:r w:rsidR="00DF7846">
        <w:rPr>
          <w:rFonts w:eastAsia="Calibri"/>
        </w:rPr>
        <w:t xml:space="preserve">nsumption need to be collected </w:t>
      </w:r>
      <w:r w:rsidR="00415C2E" w:rsidRPr="00022715">
        <w:rPr>
          <w:rFonts w:eastAsia="Calibri"/>
        </w:rPr>
        <w:t xml:space="preserve">in the household survey.  </w:t>
      </w:r>
      <w:r w:rsidR="00876D9F">
        <w:rPr>
          <w:rFonts w:eastAsia="Calibri"/>
        </w:rPr>
        <w:t>Moreover</w:t>
      </w:r>
      <w:r w:rsidR="00415C2E" w:rsidRPr="00022715">
        <w:rPr>
          <w:rFonts w:eastAsia="Calibri"/>
        </w:rPr>
        <w:t xml:space="preserve">, we rely on the freely available LSMS data </w:t>
      </w:r>
      <w:r w:rsidR="00876D9F">
        <w:rPr>
          <w:rFonts w:eastAsia="Calibri"/>
        </w:rPr>
        <w:t>to measure</w:t>
      </w:r>
      <w:r w:rsidR="00415C2E" w:rsidRPr="00022715">
        <w:rPr>
          <w:rFonts w:eastAsia="Calibri"/>
        </w:rPr>
        <w:t xml:space="preserve"> hous</w:t>
      </w:r>
      <w:r w:rsidR="00DF7846">
        <w:rPr>
          <w:rFonts w:eastAsia="Calibri"/>
        </w:rPr>
        <w:t>ehold consumption. This combination</w:t>
      </w:r>
      <w:r w:rsidR="00415C2E" w:rsidRPr="00022715">
        <w:rPr>
          <w:rFonts w:eastAsia="Calibri"/>
        </w:rPr>
        <w:t xml:space="preserve"> allows researchers to assess poverty impacts while focusing resources on the specifics of the research question of interes</w:t>
      </w:r>
      <w:r w:rsidR="00415C2E">
        <w:rPr>
          <w:rFonts w:eastAsia="Calibri"/>
        </w:rPr>
        <w:t xml:space="preserve">t, which </w:t>
      </w:r>
      <w:r w:rsidR="00DF7846">
        <w:rPr>
          <w:rFonts w:eastAsia="Calibri"/>
        </w:rPr>
        <w:t>relates to</w:t>
      </w:r>
      <w:r w:rsidR="00415C2E">
        <w:rPr>
          <w:rFonts w:eastAsia="Calibri"/>
        </w:rPr>
        <w:t xml:space="preserve"> the second contribution of this study. Previously, </w:t>
      </w:r>
      <w:r w:rsidR="00986399">
        <w:t>SAEp</w:t>
      </w:r>
      <w:r w:rsidR="00415C2E" w:rsidRPr="00022715">
        <w:rPr>
          <w:rFonts w:eastAsia="Calibri"/>
        </w:rPr>
        <w:t xml:space="preserve"> </w:t>
      </w:r>
      <w:r w:rsidR="00415C2E">
        <w:rPr>
          <w:rFonts w:eastAsia="Calibri"/>
        </w:rPr>
        <w:t xml:space="preserve">has mainly been motivated </w:t>
      </w:r>
      <w:r w:rsidR="00415C2E" w:rsidRPr="00022715">
        <w:rPr>
          <w:rFonts w:eastAsia="Calibri"/>
        </w:rPr>
        <w:t xml:space="preserve">as tool to better target welfare </w:t>
      </w:r>
      <w:r w:rsidR="00415C2E">
        <w:rPr>
          <w:rFonts w:eastAsia="Calibri"/>
        </w:rPr>
        <w:t xml:space="preserve">and development assistance </w:t>
      </w:r>
      <w:r w:rsidR="00415C2E" w:rsidRPr="00022715">
        <w:rPr>
          <w:rFonts w:eastAsia="Calibri"/>
        </w:rPr>
        <w:t>programs. Our study informs other researchers</w:t>
      </w:r>
      <w:r w:rsidR="00C55574">
        <w:rPr>
          <w:rFonts w:eastAsia="Calibri"/>
        </w:rPr>
        <w:t xml:space="preserve"> how SAEp can be used as a tool for ex-ante and ex-post welfare assessment</w:t>
      </w:r>
      <w:r w:rsidR="00415C2E" w:rsidRPr="00022715">
        <w:rPr>
          <w:rFonts w:eastAsia="Calibri"/>
        </w:rPr>
        <w:t xml:space="preserve"> of </w:t>
      </w:r>
      <w:r w:rsidR="00876D9F">
        <w:rPr>
          <w:rFonts w:eastAsia="Calibri"/>
        </w:rPr>
        <w:t xml:space="preserve">a </w:t>
      </w:r>
      <w:r w:rsidR="00415C2E" w:rsidRPr="00022715">
        <w:rPr>
          <w:rFonts w:eastAsia="Calibri"/>
        </w:rPr>
        <w:t>c</w:t>
      </w:r>
      <w:r w:rsidR="0072587E">
        <w:rPr>
          <w:rFonts w:eastAsia="Calibri"/>
        </w:rPr>
        <w:t xml:space="preserve">ontext-specific </w:t>
      </w:r>
      <w:r w:rsidR="00415C2E" w:rsidRPr="00022715">
        <w:rPr>
          <w:rFonts w:eastAsia="Calibri"/>
        </w:rPr>
        <w:t>technology</w:t>
      </w:r>
      <w:r w:rsidR="0072587E">
        <w:rPr>
          <w:rFonts w:eastAsia="Calibri"/>
        </w:rPr>
        <w:t xml:space="preserve"> or </w:t>
      </w:r>
      <w:r w:rsidR="00CD6FDA">
        <w:rPr>
          <w:rFonts w:eastAsia="Calibri"/>
        </w:rPr>
        <w:t>program</w:t>
      </w:r>
      <w:r w:rsidR="00415C2E" w:rsidRPr="00022715">
        <w:rPr>
          <w:rFonts w:eastAsia="Calibri"/>
        </w:rPr>
        <w:t xml:space="preserve">. </w:t>
      </w:r>
      <w:r w:rsidR="00415C2E">
        <w:rPr>
          <w:rFonts w:eastAsia="Calibri"/>
        </w:rPr>
        <w:t xml:space="preserve"> </w:t>
      </w:r>
      <w:r w:rsidR="00876D9F" w:rsidRPr="00022715">
        <w:rPr>
          <w:rFonts w:eastAsia="Calibri"/>
        </w:rPr>
        <w:t>Third</w:t>
      </w:r>
      <w:r w:rsidR="00876D9F">
        <w:rPr>
          <w:rFonts w:eastAsia="Calibri"/>
        </w:rPr>
        <w:t xml:space="preserve">, we illustrate a simple means of measuring the distributional impacts of a program to promote CA.  Our methods, when combined with </w:t>
      </w:r>
      <w:r w:rsidR="002F4170">
        <w:rPr>
          <w:rFonts w:eastAsia="Calibri"/>
        </w:rPr>
        <w:t>information on</w:t>
      </w:r>
      <w:r w:rsidR="00876D9F">
        <w:rPr>
          <w:rFonts w:eastAsia="Calibri"/>
        </w:rPr>
        <w:t xml:space="preserve"> the determinants of </w:t>
      </w:r>
      <w:r w:rsidR="002F4170">
        <w:rPr>
          <w:rFonts w:eastAsia="Calibri"/>
        </w:rPr>
        <w:t xml:space="preserve">CA </w:t>
      </w:r>
      <w:r w:rsidR="00876D9F">
        <w:rPr>
          <w:rFonts w:eastAsia="Calibri"/>
        </w:rPr>
        <w:t xml:space="preserve">adoption, will allow program </w:t>
      </w:r>
      <w:r w:rsidR="002F4170">
        <w:rPr>
          <w:rFonts w:eastAsia="Calibri"/>
        </w:rPr>
        <w:t>managers</w:t>
      </w:r>
      <w:r w:rsidR="00876D9F">
        <w:rPr>
          <w:rFonts w:eastAsia="Calibri"/>
        </w:rPr>
        <w:t xml:space="preserve"> to target CA to areas where objectives of environmental and other benefits of CA can be attained</w:t>
      </w:r>
      <w:r w:rsidR="002F4170">
        <w:rPr>
          <w:rFonts w:eastAsia="Calibri"/>
        </w:rPr>
        <w:t xml:space="preserve"> along</w:t>
      </w:r>
      <w:r w:rsidR="00876D9F">
        <w:rPr>
          <w:rFonts w:eastAsia="Calibri"/>
        </w:rPr>
        <w:t xml:space="preserve"> with poverty reduction.</w:t>
      </w:r>
    </w:p>
    <w:p w14:paraId="61FDCC82" w14:textId="4E82387E" w:rsidR="00190A93" w:rsidRDefault="00880862" w:rsidP="00314EBB">
      <w:pPr>
        <w:spacing w:line="480" w:lineRule="auto"/>
        <w:rPr>
          <w:rFonts w:eastAsia="Calibri"/>
        </w:rPr>
      </w:pPr>
      <w:r>
        <w:rPr>
          <w:rFonts w:eastAsia="Calibri"/>
        </w:rPr>
        <w:tab/>
        <w:t xml:space="preserve">The paper is organized as follows: the next section provides background and context about CA in the study area.  </w:t>
      </w:r>
      <w:r w:rsidR="00314EBB">
        <w:rPr>
          <w:rFonts w:eastAsia="Calibri"/>
        </w:rPr>
        <w:t>Following this</w:t>
      </w:r>
      <w:r>
        <w:rPr>
          <w:rFonts w:eastAsia="Calibri"/>
        </w:rPr>
        <w:t xml:space="preserve">, data sources are described.  </w:t>
      </w:r>
      <w:r w:rsidR="002F4170">
        <w:rPr>
          <w:rFonts w:eastAsia="Calibri"/>
        </w:rPr>
        <w:t xml:space="preserve">The </w:t>
      </w:r>
      <w:r>
        <w:t>SAEp</w:t>
      </w:r>
      <w:r w:rsidR="00314EBB">
        <w:t xml:space="preserve"> method and simulations </w:t>
      </w:r>
      <w:r w:rsidR="002F4170">
        <w:t>of</w:t>
      </w:r>
      <w:r w:rsidR="00314EBB">
        <w:t xml:space="preserve"> the impact of CA adoption on poverty indices are discussed in section 4.  Next, results are presented; concluding remarks and implications are discussed in the final section. </w:t>
      </w:r>
    </w:p>
    <w:p w14:paraId="4C0F027B" w14:textId="77777777" w:rsidR="00EA1B72" w:rsidRDefault="00EA1B72" w:rsidP="00EA1B72">
      <w:pPr>
        <w:spacing w:line="480" w:lineRule="auto"/>
        <w:rPr>
          <w:rFonts w:eastAsia="Calibri"/>
        </w:rPr>
      </w:pPr>
    </w:p>
    <w:p w14:paraId="13C1630C" w14:textId="68B6EA27" w:rsidR="00346099" w:rsidRPr="004A38EE" w:rsidRDefault="00FC7B83" w:rsidP="0041529C">
      <w:pPr>
        <w:pStyle w:val="ListParagraph"/>
        <w:numPr>
          <w:ilvl w:val="0"/>
          <w:numId w:val="19"/>
        </w:numPr>
        <w:spacing w:line="480" w:lineRule="auto"/>
        <w:ind w:left="360"/>
        <w:rPr>
          <w:rFonts w:eastAsia="Calibri"/>
          <w:b/>
          <w:bCs/>
        </w:rPr>
      </w:pPr>
      <w:r w:rsidRPr="004A38EE">
        <w:rPr>
          <w:rFonts w:eastAsia="Calibri"/>
          <w:b/>
          <w:bCs/>
        </w:rPr>
        <w:t>B</w:t>
      </w:r>
      <w:r w:rsidR="00507898" w:rsidRPr="004A38EE">
        <w:rPr>
          <w:rFonts w:eastAsia="Calibri"/>
          <w:b/>
          <w:bCs/>
        </w:rPr>
        <w:t>ackground</w:t>
      </w:r>
      <w:r w:rsidR="00B95150" w:rsidRPr="004A38EE">
        <w:rPr>
          <w:rFonts w:eastAsia="Calibri"/>
          <w:b/>
          <w:bCs/>
        </w:rPr>
        <w:t xml:space="preserve"> </w:t>
      </w:r>
    </w:p>
    <w:p w14:paraId="78AE8EB8" w14:textId="70E3A131" w:rsidR="00562A21" w:rsidRDefault="00006D6A" w:rsidP="0041529C">
      <w:pPr>
        <w:spacing w:line="480" w:lineRule="auto"/>
        <w:ind w:firstLine="360"/>
        <w:rPr>
          <w:rFonts w:eastAsia="Calibri"/>
        </w:rPr>
      </w:pPr>
      <w:r>
        <w:rPr>
          <w:rFonts w:eastAsia="Calibri"/>
        </w:rPr>
        <w:t>CA</w:t>
      </w:r>
      <w:r w:rsidR="000B29C2">
        <w:rPr>
          <w:rFonts w:eastAsia="Calibri"/>
        </w:rPr>
        <w:t xml:space="preserve"> is</w:t>
      </w:r>
      <w:r w:rsidR="000B29C2" w:rsidRPr="00D029BE">
        <w:rPr>
          <w:rFonts w:eastAsia="Calibri"/>
        </w:rPr>
        <w:t xml:space="preserve"> a package of techniques </w:t>
      </w:r>
      <w:r w:rsidR="000B29C2">
        <w:rPr>
          <w:rFonts w:eastAsia="Calibri"/>
        </w:rPr>
        <w:t>that</w:t>
      </w:r>
      <w:r w:rsidR="000B29C2" w:rsidRPr="00D029BE">
        <w:rPr>
          <w:rFonts w:eastAsia="Calibri"/>
        </w:rPr>
        <w:t xml:space="preserve"> aim</w:t>
      </w:r>
      <w:r w:rsidR="000B29C2">
        <w:rPr>
          <w:rFonts w:eastAsia="Calibri"/>
        </w:rPr>
        <w:t>s</w:t>
      </w:r>
      <w:r w:rsidR="000B29C2" w:rsidRPr="00D029BE">
        <w:rPr>
          <w:rFonts w:eastAsia="Calibri"/>
        </w:rPr>
        <w:t xml:space="preserve"> to </w:t>
      </w:r>
      <w:r w:rsidR="000B29C2" w:rsidRPr="008F6A70">
        <w:rPr>
          <w:rFonts w:eastAsia="Calibri"/>
        </w:rPr>
        <w:t>generate sustained improvements</w:t>
      </w:r>
      <w:r w:rsidR="000B29C2">
        <w:rPr>
          <w:rFonts w:eastAsia="Calibri"/>
        </w:rPr>
        <w:t xml:space="preserve"> to food security and farm profitability</w:t>
      </w:r>
      <w:r w:rsidR="000B29C2" w:rsidRPr="00D029BE">
        <w:rPr>
          <w:rFonts w:eastAsia="Calibri"/>
        </w:rPr>
        <w:t xml:space="preserve"> by</w:t>
      </w:r>
      <w:r w:rsidR="00562A21">
        <w:rPr>
          <w:rFonts w:eastAsia="Calibri"/>
        </w:rPr>
        <w:t xml:space="preserve"> reversing trends in</w:t>
      </w:r>
      <w:r w:rsidR="000B29C2">
        <w:rPr>
          <w:rFonts w:eastAsia="Calibri"/>
        </w:rPr>
        <w:t xml:space="preserve"> land degradation</w:t>
      </w:r>
      <w:r w:rsidR="000B29C2" w:rsidRPr="00D029BE">
        <w:rPr>
          <w:rFonts w:eastAsia="Calibri"/>
        </w:rPr>
        <w:t xml:space="preserve">. </w:t>
      </w:r>
      <w:r w:rsidR="0072587E">
        <w:rPr>
          <w:rFonts w:eastAsia="Calibri"/>
          <w:iCs/>
        </w:rPr>
        <w:t>It</w:t>
      </w:r>
      <w:r w:rsidR="000B29C2">
        <w:rPr>
          <w:rFonts w:eastAsia="Calibri"/>
          <w:iCs/>
        </w:rPr>
        <w:t xml:space="preserve"> has also been promoted as a risk mitigation and adaptation strategy to climate change. </w:t>
      </w:r>
      <w:r w:rsidR="000B29C2">
        <w:rPr>
          <w:rFonts w:eastAsia="Calibri"/>
        </w:rPr>
        <w:t>CA</w:t>
      </w:r>
      <w:r w:rsidR="000B29C2" w:rsidRPr="00D029BE">
        <w:rPr>
          <w:rFonts w:eastAsia="Calibri"/>
        </w:rPr>
        <w:t xml:space="preserve"> is based on three core principles: min</w:t>
      </w:r>
      <w:r w:rsidR="0072587E">
        <w:rPr>
          <w:rFonts w:eastAsia="Calibri"/>
        </w:rPr>
        <w:t xml:space="preserve">imum </w:t>
      </w:r>
      <w:r w:rsidR="000B29C2">
        <w:rPr>
          <w:rFonts w:eastAsia="Calibri"/>
        </w:rPr>
        <w:t>or zero tillage</w:t>
      </w:r>
      <w:r w:rsidR="000B29C2" w:rsidRPr="00D029BE">
        <w:rPr>
          <w:rFonts w:eastAsia="Calibri"/>
        </w:rPr>
        <w:t>, permanent vegetative cover, and diversified crop</w:t>
      </w:r>
      <w:r w:rsidR="000B29C2">
        <w:rPr>
          <w:rFonts w:eastAsia="Calibri"/>
        </w:rPr>
        <w:t>s grown in rotation</w:t>
      </w:r>
      <w:r w:rsidR="000B29C2" w:rsidRPr="00D029BE">
        <w:rPr>
          <w:rFonts w:eastAsia="Calibri"/>
        </w:rPr>
        <w:t>.</w:t>
      </w:r>
      <w:r w:rsidR="000B29C2">
        <w:rPr>
          <w:rFonts w:eastAsia="Calibri"/>
        </w:rPr>
        <w:t xml:space="preserve"> </w:t>
      </w:r>
      <w:r w:rsidR="000B29C2">
        <w:rPr>
          <w:rFonts w:eastAsia="Calibri"/>
        </w:rPr>
        <w:lastRenderedPageBreak/>
        <w:t>These practices are expected to be adopted together as a “package” but evidence show</w:t>
      </w:r>
      <w:r w:rsidR="00EB7EF6">
        <w:rPr>
          <w:rFonts w:eastAsia="Calibri"/>
        </w:rPr>
        <w:t>s</w:t>
      </w:r>
      <w:r w:rsidR="000B29C2">
        <w:rPr>
          <w:rFonts w:eastAsia="Calibri"/>
        </w:rPr>
        <w:t xml:space="preserve"> adoption of one or two individual components </w:t>
      </w:r>
      <w:r w:rsidR="000B29C2">
        <w:rPr>
          <w:rFonts w:eastAsia="Calibri"/>
        </w:rPr>
        <w:fldChar w:fldCharType="begin"/>
      </w:r>
      <w:r w:rsidR="00A463AE">
        <w:rPr>
          <w:rFonts w:eastAsia="Calibri"/>
        </w:rPr>
        <w:instrText xml:space="preserve"> ADDIN EN.CITE &lt;EndNote&gt;&lt;Cite&gt;&lt;Author&gt;Stevenson&lt;/Author&gt;&lt;Year&gt;2014&lt;/Year&gt;&lt;RecNum&gt;7&lt;/RecNum&gt;&lt;DisplayText&gt;(Stevenson, et al., 2014)&lt;/DisplayText&gt;&lt;record&gt;&lt;rec-number&gt;7&lt;/rec-number&gt;&lt;foreign-keys&gt;&lt;key app="EN" db-id="5fvtavdaavaz95e2zv0vf9wms90fv05av5se" timestamp="1476980912"&gt;7&lt;/key&gt;&lt;/foreign-keys&gt;&lt;ref-type name="Journal Article"&gt;17&lt;/ref-type&gt;&lt;contributors&gt;&lt;authors&gt;&lt;author&gt;Stevenson, James R.&lt;/author&gt;&lt;author&gt;Serraj, Rachid&lt;/author&gt;&lt;author&gt;Cassman, Kenneth G.&lt;/author&gt;&lt;/authors&gt;&lt;/contributors&gt;&lt;titles&gt;&lt;title&gt;Evaluating conservation agriculture for small-scale farmers in Sub-Saharan Africa and South Asia&lt;/title&gt;&lt;secondary-title&gt;Agriculture, Ecosystems &amp;amp; Environment&lt;/secondary-title&gt;&lt;/titles&gt;&lt;periodical&gt;&lt;full-title&gt;Agriculture, Ecosystems &amp;amp; Environment&lt;/full-title&gt;&lt;abbr-1&gt;Agric Ecosyst Environ&lt;/abbr-1&gt;&lt;/periodical&gt;&lt;pages&gt;1-10&lt;/pages&gt;&lt;volume&gt;187&lt;/volume&gt;&lt;dates&gt;&lt;year&gt;2014&lt;/year&gt;&lt;pub-dates&gt;&lt;date&gt;4/1/&lt;/date&gt;&lt;/pub-dates&gt;&lt;/dates&gt;&lt;isbn&gt;0167-8809&lt;/isbn&gt;&lt;urls&gt;&lt;related-urls&gt;&lt;url&gt;http://www.sciencedirect.com/science/article/pii/S0167880914000401&lt;/url&gt;&lt;/related-urls&gt;&lt;/urls&gt;&lt;electronic-resource-num&gt;http://dx.doi.org/10.1016/j.agee.2014.01.018&lt;/electronic-resource-num&gt;&lt;/record&gt;&lt;/Cite&gt;&lt;/EndNote&gt;</w:instrText>
      </w:r>
      <w:r w:rsidR="000B29C2">
        <w:rPr>
          <w:rFonts w:eastAsia="Calibri"/>
        </w:rPr>
        <w:fldChar w:fldCharType="separate"/>
      </w:r>
      <w:r w:rsidR="00A463AE">
        <w:rPr>
          <w:rFonts w:eastAsia="Calibri"/>
          <w:noProof/>
        </w:rPr>
        <w:t>(Stevenson, et al., 2014</w:t>
      </w:r>
      <w:r w:rsidR="00CA609C">
        <w:rPr>
          <w:rFonts w:eastAsia="Calibri"/>
          <w:noProof/>
        </w:rPr>
        <w:t xml:space="preserve">; </w:t>
      </w:r>
      <w:r w:rsidR="00CA609C">
        <w:rPr>
          <w:rFonts w:eastAsia="Calibri"/>
        </w:rPr>
        <w:t>Jalata et al., 2016</w:t>
      </w:r>
      <w:r w:rsidR="00A463AE">
        <w:rPr>
          <w:rFonts w:eastAsia="Calibri"/>
          <w:noProof/>
        </w:rPr>
        <w:t>)</w:t>
      </w:r>
      <w:r w:rsidR="000B29C2">
        <w:rPr>
          <w:rFonts w:eastAsia="Calibri"/>
        </w:rPr>
        <w:fldChar w:fldCharType="end"/>
      </w:r>
      <w:r w:rsidR="000B29C2">
        <w:rPr>
          <w:rFonts w:eastAsia="Calibri"/>
        </w:rPr>
        <w:t>.</w:t>
      </w:r>
      <w:r w:rsidR="000B29C2" w:rsidRPr="00D029BE">
        <w:rPr>
          <w:rFonts w:eastAsia="Calibri"/>
        </w:rPr>
        <w:t xml:space="preserve"> </w:t>
      </w:r>
      <w:r w:rsidR="00EB7EF6">
        <w:rPr>
          <w:rFonts w:eastAsia="Calibri"/>
        </w:rPr>
        <w:t>P</w:t>
      </w:r>
      <w:r w:rsidR="000B29C2">
        <w:rPr>
          <w:rFonts w:eastAsia="Calibri"/>
        </w:rPr>
        <w:t>otential benefits of CA</w:t>
      </w:r>
      <w:r w:rsidR="000B29C2" w:rsidRPr="00D029BE">
        <w:rPr>
          <w:rFonts w:eastAsia="Calibri"/>
        </w:rPr>
        <w:t xml:space="preserve"> </w:t>
      </w:r>
      <w:r w:rsidR="003E02B1">
        <w:rPr>
          <w:rFonts w:eastAsia="Calibri"/>
        </w:rPr>
        <w:t>l</w:t>
      </w:r>
      <w:r w:rsidR="000B29C2">
        <w:rPr>
          <w:rFonts w:eastAsia="Calibri"/>
        </w:rPr>
        <w:t>ed to</w:t>
      </w:r>
      <w:r w:rsidR="000B29C2" w:rsidRPr="00D029BE">
        <w:rPr>
          <w:rFonts w:eastAsia="Calibri"/>
        </w:rPr>
        <w:t xml:space="preserve"> an increas</w:t>
      </w:r>
      <w:r w:rsidR="000B29C2">
        <w:rPr>
          <w:rFonts w:eastAsia="Calibri"/>
        </w:rPr>
        <w:t>ed</w:t>
      </w:r>
      <w:r w:rsidR="000B29C2" w:rsidRPr="00D029BE">
        <w:rPr>
          <w:rFonts w:eastAsia="Calibri"/>
        </w:rPr>
        <w:t xml:space="preserve"> focus</w:t>
      </w:r>
      <w:r w:rsidR="000B29C2">
        <w:rPr>
          <w:rFonts w:eastAsia="Calibri"/>
        </w:rPr>
        <w:t xml:space="preserve"> from</w:t>
      </w:r>
      <w:r w:rsidR="000B29C2" w:rsidRPr="00D029BE">
        <w:rPr>
          <w:rFonts w:eastAsia="Calibri"/>
        </w:rPr>
        <w:t xml:space="preserve"> international agricultural research organizations, </w:t>
      </w:r>
      <w:r w:rsidR="000B29C2">
        <w:rPr>
          <w:rFonts w:eastAsia="Calibri"/>
        </w:rPr>
        <w:t>such as</w:t>
      </w:r>
      <w:r w:rsidR="000B29C2" w:rsidRPr="00D029BE">
        <w:rPr>
          <w:rFonts w:eastAsia="Calibri"/>
        </w:rPr>
        <w:t xml:space="preserve"> the U.S. Agency for International Development</w:t>
      </w:r>
      <w:r w:rsidR="00EB7EF6">
        <w:rPr>
          <w:rFonts w:eastAsia="Calibri"/>
        </w:rPr>
        <w:t xml:space="preserve"> (USAID)</w:t>
      </w:r>
      <w:r w:rsidR="000B29C2" w:rsidRPr="00D029BE">
        <w:rPr>
          <w:rFonts w:eastAsia="Calibri"/>
        </w:rPr>
        <w:t xml:space="preserve">, the Food and </w:t>
      </w:r>
      <w:r w:rsidR="000B29C2" w:rsidRPr="00240E3B">
        <w:rPr>
          <w:rFonts w:eastAsia="Calibri"/>
        </w:rPr>
        <w:t>Agriculture Organiza</w:t>
      </w:r>
      <w:r w:rsidR="00197EB0">
        <w:rPr>
          <w:rFonts w:eastAsia="Calibri"/>
        </w:rPr>
        <w:t>tion of the United Nations</w:t>
      </w:r>
      <w:r w:rsidR="000B29C2" w:rsidRPr="00240E3B">
        <w:rPr>
          <w:rFonts w:eastAsia="Calibri"/>
        </w:rPr>
        <w:t xml:space="preserve">, and the </w:t>
      </w:r>
      <w:r w:rsidR="000B29C2" w:rsidRPr="00D4169C">
        <w:rPr>
          <w:rFonts w:eastAsia="Calibri"/>
        </w:rPr>
        <w:t>International Maize and Wheat Improvement Center</w:t>
      </w:r>
      <w:r w:rsidR="00197EB0">
        <w:rPr>
          <w:rFonts w:eastAsia="Calibri"/>
        </w:rPr>
        <w:t xml:space="preserve">. </w:t>
      </w:r>
    </w:p>
    <w:p w14:paraId="7E00AE67" w14:textId="2F99CE18" w:rsidR="00D16297" w:rsidRDefault="000B29C2" w:rsidP="003A42C9">
      <w:pPr>
        <w:spacing w:line="480" w:lineRule="auto"/>
        <w:ind w:firstLine="720"/>
        <w:rPr>
          <w:rFonts w:eastAsia="Calibri"/>
        </w:rPr>
      </w:pPr>
      <w:r>
        <w:rPr>
          <w:rFonts w:eastAsia="Calibri"/>
        </w:rPr>
        <w:t>W</w:t>
      </w:r>
      <w:r w:rsidRPr="00D029BE">
        <w:rPr>
          <w:rFonts w:eastAsia="Calibri"/>
        </w:rPr>
        <w:t xml:space="preserve">hile the core principles of CA can be shared, the specifics of </w:t>
      </w:r>
      <w:r>
        <w:rPr>
          <w:rFonts w:eastAsia="Calibri"/>
        </w:rPr>
        <w:t>the practices</w:t>
      </w:r>
      <w:r w:rsidRPr="00D029BE">
        <w:rPr>
          <w:rFonts w:eastAsia="Calibri"/>
        </w:rPr>
        <w:t xml:space="preserve"> must be developed locally to fit agro</w:t>
      </w:r>
      <w:r>
        <w:rPr>
          <w:rFonts w:eastAsia="Calibri"/>
        </w:rPr>
        <w:t>-</w:t>
      </w:r>
      <w:r w:rsidRPr="00D029BE">
        <w:rPr>
          <w:rFonts w:eastAsia="Calibri"/>
        </w:rPr>
        <w:t>climatic and cultural conditions of</w:t>
      </w:r>
      <w:r>
        <w:rPr>
          <w:rFonts w:eastAsia="Calibri"/>
        </w:rPr>
        <w:t xml:space="preserve"> potentially</w:t>
      </w:r>
      <w:r w:rsidR="003E02B1">
        <w:rPr>
          <w:rFonts w:eastAsia="Calibri"/>
        </w:rPr>
        <w:t xml:space="preserve"> adopting farmers. Due to the</w:t>
      </w:r>
      <w:r w:rsidRPr="00D029BE">
        <w:rPr>
          <w:rFonts w:eastAsia="Calibri"/>
        </w:rPr>
        <w:t xml:space="preserve"> context-specific n</w:t>
      </w:r>
      <w:r w:rsidR="003E02B1">
        <w:rPr>
          <w:rFonts w:eastAsia="Calibri"/>
        </w:rPr>
        <w:t xml:space="preserve">ature of the technology, </w:t>
      </w:r>
      <w:r w:rsidRPr="00D029BE">
        <w:rPr>
          <w:rFonts w:eastAsia="Calibri"/>
        </w:rPr>
        <w:t>international agricultural rese</w:t>
      </w:r>
      <w:r w:rsidR="003E02B1">
        <w:rPr>
          <w:rFonts w:eastAsia="Calibri"/>
        </w:rPr>
        <w:t xml:space="preserve">arch organizations </w:t>
      </w:r>
      <w:r>
        <w:rPr>
          <w:rFonts w:eastAsia="Calibri"/>
        </w:rPr>
        <w:t xml:space="preserve">collaborate </w:t>
      </w:r>
      <w:r w:rsidRPr="00D029BE">
        <w:rPr>
          <w:rFonts w:eastAsia="Calibri"/>
        </w:rPr>
        <w:t xml:space="preserve">with local partners </w:t>
      </w:r>
      <w:r>
        <w:rPr>
          <w:rFonts w:eastAsia="Calibri"/>
        </w:rPr>
        <w:t>to test a</w:t>
      </w:r>
      <w:r w:rsidR="003E02B1">
        <w:rPr>
          <w:rFonts w:eastAsia="Calibri"/>
        </w:rPr>
        <w:t>n</w:t>
      </w:r>
      <w:r>
        <w:rPr>
          <w:rFonts w:eastAsia="Calibri"/>
        </w:rPr>
        <w:t>d adapt</w:t>
      </w:r>
      <w:r w:rsidRPr="00D029BE">
        <w:rPr>
          <w:rFonts w:eastAsia="Calibri"/>
        </w:rPr>
        <w:t xml:space="preserve"> CA practices</w:t>
      </w:r>
      <w:r>
        <w:rPr>
          <w:rFonts w:eastAsia="Calibri"/>
        </w:rPr>
        <w:t xml:space="preserve"> to local conditions</w:t>
      </w:r>
      <w:r w:rsidRPr="00D029BE">
        <w:rPr>
          <w:rFonts w:eastAsia="Calibri"/>
        </w:rPr>
        <w:t xml:space="preserve">. </w:t>
      </w:r>
      <w:r>
        <w:rPr>
          <w:rFonts w:eastAsia="Calibri"/>
        </w:rPr>
        <w:t xml:space="preserve">In Uganda, USAID-supported researchers </w:t>
      </w:r>
      <w:r w:rsidRPr="00D029BE">
        <w:rPr>
          <w:rFonts w:eastAsia="Calibri"/>
        </w:rPr>
        <w:t>work</w:t>
      </w:r>
      <w:r>
        <w:rPr>
          <w:rFonts w:eastAsia="Calibri"/>
        </w:rPr>
        <w:t xml:space="preserve">ed </w:t>
      </w:r>
      <w:r w:rsidRPr="00D029BE">
        <w:rPr>
          <w:rFonts w:eastAsia="Calibri"/>
        </w:rPr>
        <w:t xml:space="preserve">with </w:t>
      </w:r>
      <w:r>
        <w:rPr>
          <w:rFonts w:eastAsia="Calibri"/>
        </w:rPr>
        <w:t xml:space="preserve">Appropriate Technology </w:t>
      </w:r>
      <w:r w:rsidRPr="00D029BE">
        <w:rPr>
          <w:rFonts w:eastAsia="Calibri"/>
        </w:rPr>
        <w:t>Uganda, a local NGO, to</w:t>
      </w:r>
      <w:r>
        <w:rPr>
          <w:rFonts w:eastAsia="Calibri"/>
        </w:rPr>
        <w:t xml:space="preserve"> develop, test, and extend</w:t>
      </w:r>
      <w:r w:rsidRPr="00D029BE">
        <w:rPr>
          <w:rFonts w:eastAsia="Calibri"/>
        </w:rPr>
        <w:t xml:space="preserve"> </w:t>
      </w:r>
      <w:r>
        <w:rPr>
          <w:rFonts w:eastAsia="Calibri"/>
        </w:rPr>
        <w:t>CA core principles in two districts</w:t>
      </w:r>
      <w:r w:rsidR="00A4413F">
        <w:rPr>
          <w:rFonts w:eastAsia="Calibri"/>
        </w:rPr>
        <w:t xml:space="preserve"> </w:t>
      </w:r>
      <w:r w:rsidR="003A42C9">
        <w:rPr>
          <w:rFonts w:eastAsia="Calibri"/>
        </w:rPr>
        <w:fldChar w:fldCharType="begin"/>
      </w:r>
      <w:r w:rsidR="003A42C9">
        <w:rPr>
          <w:rFonts w:eastAsia="Calibri"/>
        </w:rPr>
        <w:instrText xml:space="preserve"> ADDIN EN.CITE &lt;EndNote&gt;&lt;Cite&gt;&lt;Author&gt;SANREM&lt;/Author&gt;&lt;Year&gt;2013&lt;/Year&gt;&lt;RecNum&gt;36&lt;/RecNum&gt;&lt;DisplayText&gt;(SANREM, 2013)&lt;/DisplayText&gt;&lt;record&gt;&lt;rec-number&gt;36&lt;/rec-number&gt;&lt;foreign-keys&gt;&lt;key app="EN" db-id="5fvtavdaavaz95e2zv0vf9wms90fv05av5se" timestamp="1481135435"&gt;36&lt;/key&gt;&lt;/foreign-keys&gt;&lt;ref-type name="Report"&gt;27&lt;/ref-type&gt;&lt;contributors&gt;&lt;authors&gt;&lt;author&gt;SANREM, &lt;/author&gt;&lt;/authors&gt;&lt;/contributors&gt;&lt;titles&gt;&lt;title&gt;Feed the Future SANREM Innovation Lab Annual Report 2013&lt;/title&gt;&lt;/titles&gt;&lt;dates&gt;&lt;year&gt;2013&lt;/year&gt;&lt;/dates&gt;&lt;urls&gt;&lt;related-urls&gt;&lt;url&gt;http://www.oired.vt.edu/sanremcrsp/wp-content/uploads/2013/03/SANREM-2013AnnualReport.pdf&lt;/url&gt;&lt;/related-urls&gt;&lt;/urls&gt;&lt;access-date&gt;December 2016&lt;/access-date&gt;&lt;/record&gt;&lt;/Cite&gt;&lt;/EndNote&gt;</w:instrText>
      </w:r>
      <w:r w:rsidR="003A42C9">
        <w:rPr>
          <w:rFonts w:eastAsia="Calibri"/>
        </w:rPr>
        <w:fldChar w:fldCharType="separate"/>
      </w:r>
      <w:r w:rsidR="003A42C9">
        <w:rPr>
          <w:rFonts w:eastAsia="Calibri"/>
          <w:noProof/>
        </w:rPr>
        <w:t>(SANREM, 2013)</w:t>
      </w:r>
      <w:r w:rsidR="003A42C9">
        <w:rPr>
          <w:rFonts w:eastAsia="Calibri"/>
        </w:rPr>
        <w:fldChar w:fldCharType="end"/>
      </w:r>
      <w:r w:rsidR="00A4413F">
        <w:rPr>
          <w:rFonts w:eastAsia="Calibri"/>
        </w:rPr>
        <w:t xml:space="preserve">. </w:t>
      </w:r>
      <w:r>
        <w:rPr>
          <w:rFonts w:eastAsia="Calibri"/>
        </w:rPr>
        <w:t xml:space="preserve">This study focuses on Tororo district </w:t>
      </w:r>
      <w:r w:rsidR="00EB7EF6">
        <w:rPr>
          <w:rFonts w:eastAsia="Calibri"/>
        </w:rPr>
        <w:t xml:space="preserve">of Uganda </w:t>
      </w:r>
      <w:r>
        <w:rPr>
          <w:rFonts w:eastAsia="Calibri"/>
        </w:rPr>
        <w:t xml:space="preserve">and efforts to promote CA in the area.  </w:t>
      </w:r>
    </w:p>
    <w:p w14:paraId="1B32D728" w14:textId="19A3D215" w:rsidR="00EC0A9C" w:rsidRDefault="000B29C2" w:rsidP="00914555">
      <w:pPr>
        <w:spacing w:line="480" w:lineRule="auto"/>
        <w:ind w:firstLine="720"/>
        <w:rPr>
          <w:rFonts w:eastAsia="Calibri"/>
        </w:rPr>
      </w:pPr>
      <w:r>
        <w:rPr>
          <w:rFonts w:eastAsia="Calibri"/>
        </w:rPr>
        <w:t xml:space="preserve">Tororo </w:t>
      </w:r>
      <w:proofErr w:type="gramStart"/>
      <w:r>
        <w:rPr>
          <w:rFonts w:eastAsia="Calibri"/>
        </w:rPr>
        <w:t>is lo</w:t>
      </w:r>
      <w:r w:rsidR="00017BFE">
        <w:rPr>
          <w:rFonts w:eastAsia="Calibri"/>
        </w:rPr>
        <w:t>cated in</w:t>
      </w:r>
      <w:proofErr w:type="gramEnd"/>
      <w:r w:rsidR="00017BFE">
        <w:rPr>
          <w:rFonts w:eastAsia="Calibri"/>
        </w:rPr>
        <w:t xml:space="preserve"> the lowland of Uganda</w:t>
      </w:r>
      <w:r w:rsidR="00EB7EF6">
        <w:rPr>
          <w:rFonts w:eastAsia="Calibri"/>
        </w:rPr>
        <w:t>’s</w:t>
      </w:r>
      <w:r>
        <w:rPr>
          <w:rFonts w:eastAsia="Calibri"/>
        </w:rPr>
        <w:t xml:space="preserve"> eastern region. Subsistence farming is the main source of livelihood </w:t>
      </w:r>
      <w:r w:rsidR="006E04C7">
        <w:rPr>
          <w:rFonts w:eastAsia="Calibri"/>
        </w:rPr>
        <w:t>for about 80% of households</w:t>
      </w:r>
      <w:r w:rsidR="00190556">
        <w:rPr>
          <w:rFonts w:eastAsia="Calibri"/>
        </w:rPr>
        <w:t xml:space="preserve"> </w:t>
      </w:r>
      <w:r w:rsidR="00914555">
        <w:rPr>
          <w:rFonts w:eastAsia="Calibri"/>
        </w:rPr>
        <w:fldChar w:fldCharType="begin"/>
      </w:r>
      <w:r w:rsidR="00914555">
        <w:rPr>
          <w:rFonts w:eastAsia="Calibri"/>
        </w:rPr>
        <w:instrText xml:space="preserve"> ADDIN EN.CITE &lt;EndNote&gt;&lt;Cite&gt;&lt;Author&gt;UBOS&lt;/Author&gt;&lt;Year&gt;2014&lt;/Year&gt;&lt;RecNum&gt;37&lt;/RecNum&gt;&lt;DisplayText&gt;(UBOS, 2014)&lt;/DisplayText&gt;&lt;record&gt;&lt;rec-number&gt;37&lt;/rec-number&gt;&lt;foreign-keys&gt;&lt;key app="EN" db-id="5fvtavdaavaz95e2zv0vf9wms90fv05av5se" timestamp="1481135956"&gt;37&lt;/key&gt;&lt;/foreign-keys&gt;&lt;ref-type name="Report"&gt;27&lt;/ref-type&gt;&lt;contributors&gt;&lt;authors&gt;&lt;author&gt;UBOS&lt;/author&gt;&lt;/authors&gt;&lt;/contributors&gt;&lt;titles&gt;&lt;title&gt;Uganda National Population and Housing Census: Provisional Results&lt;/title&gt;&lt;/titles&gt;&lt;dates&gt;&lt;year&gt;2014&lt;/year&gt;&lt;/dates&gt;&lt;urls&gt;&lt;related-urls&gt;&lt;url&gt;http://unstats.un.org/unsd/demographic/sources/census/wphc/Uganda/UGA-2014-11.pdf&lt;/url&gt;&lt;/related-urls&gt;&lt;/urls&gt;&lt;access-date&gt;December 2016&lt;/access-date&gt;&lt;/record&gt;&lt;/Cite&gt;&lt;/EndNote&gt;</w:instrText>
      </w:r>
      <w:r w:rsidR="00914555">
        <w:rPr>
          <w:rFonts w:eastAsia="Calibri"/>
        </w:rPr>
        <w:fldChar w:fldCharType="separate"/>
      </w:r>
      <w:r w:rsidR="00914555">
        <w:rPr>
          <w:rFonts w:eastAsia="Calibri"/>
          <w:noProof/>
        </w:rPr>
        <w:t>(UBOS, 2014)</w:t>
      </w:r>
      <w:r w:rsidR="00914555">
        <w:rPr>
          <w:rFonts w:eastAsia="Calibri"/>
        </w:rPr>
        <w:fldChar w:fldCharType="end"/>
      </w:r>
      <w:r w:rsidR="00190556">
        <w:rPr>
          <w:rFonts w:eastAsia="Calibri"/>
        </w:rPr>
        <w:t xml:space="preserve">. </w:t>
      </w:r>
      <w:r>
        <w:rPr>
          <w:rFonts w:eastAsia="Calibri"/>
        </w:rPr>
        <w:t>The agricultural system is dominated by annual crops, such as maize, cassava, groundnut, millet</w:t>
      </w:r>
      <w:r w:rsidR="00017BFE">
        <w:rPr>
          <w:rFonts w:eastAsia="Calibri"/>
        </w:rPr>
        <w:t>,</w:t>
      </w:r>
      <w:r>
        <w:rPr>
          <w:rFonts w:eastAsia="Calibri"/>
        </w:rPr>
        <w:t xml:space="preserve"> and bean</w:t>
      </w:r>
      <w:r w:rsidR="00EC0A9C">
        <w:rPr>
          <w:rFonts w:eastAsia="Calibri"/>
        </w:rPr>
        <w:t>s</w:t>
      </w:r>
      <w:r>
        <w:rPr>
          <w:rFonts w:eastAsia="Calibri"/>
        </w:rPr>
        <w:t xml:space="preserve">, which are grown twice a year. Poor sandy loam soils and variable rainfall limit the </w:t>
      </w:r>
      <w:r w:rsidR="00EC0A9C">
        <w:rPr>
          <w:rFonts w:eastAsia="Calibri"/>
        </w:rPr>
        <w:t xml:space="preserve">area’s </w:t>
      </w:r>
      <w:r>
        <w:rPr>
          <w:rFonts w:eastAsia="Calibri"/>
        </w:rPr>
        <w:t>agricultural potential. These constraints, combined with the district</w:t>
      </w:r>
      <w:r w:rsidR="005C358B">
        <w:rPr>
          <w:rFonts w:eastAsia="Calibri"/>
        </w:rPr>
        <w:t>’s</w:t>
      </w:r>
      <w:r>
        <w:rPr>
          <w:rFonts w:eastAsia="Calibri"/>
        </w:rPr>
        <w:t xml:space="preserve"> high population density </w:t>
      </w:r>
      <w:r w:rsidR="00914555">
        <w:rPr>
          <w:rFonts w:eastAsia="Calibri"/>
        </w:rPr>
        <w:fldChar w:fldCharType="begin"/>
      </w:r>
      <w:r w:rsidR="00914555">
        <w:rPr>
          <w:rFonts w:eastAsia="Calibri"/>
        </w:rPr>
        <w:instrText xml:space="preserve"> ADDIN EN.CITE &lt;EndNote&gt;&lt;Cite&gt;&lt;Author&gt;UBOS&lt;/Author&gt;&lt;Year&gt;2014&lt;/Year&gt;&lt;RecNum&gt;37&lt;/RecNum&gt;&lt;DisplayText&gt;(UBOS, 2014)&lt;/DisplayText&gt;&lt;record&gt;&lt;rec-number&gt;37&lt;/rec-number&gt;&lt;foreign-keys&gt;&lt;key app="EN" db-id="5fvtavdaavaz95e2zv0vf9wms90fv05av5se" timestamp="1481135956"&gt;37&lt;/key&gt;&lt;/foreign-keys&gt;&lt;ref-type name="Report"&gt;27&lt;/ref-type&gt;&lt;contributors&gt;&lt;authors&gt;&lt;author&gt;UBOS&lt;/author&gt;&lt;/authors&gt;&lt;/contributors&gt;&lt;titles&gt;&lt;title&gt;Uganda National Population and Housing Census: Provisional Results&lt;/title&gt;&lt;/titles&gt;&lt;dates&gt;&lt;year&gt;2014&lt;/year&gt;&lt;/dates&gt;&lt;urls&gt;&lt;related-urls&gt;&lt;url&gt;http://unstats.un.org/unsd/demographic/sources/census/wphc/Uganda/UGA-2014-11.pdf&lt;/url&gt;&lt;/related-urls&gt;&lt;/urls&gt;&lt;access-date&gt;December 2016&lt;/access-date&gt;&lt;/record&gt;&lt;/Cite&gt;&lt;/EndNote&gt;</w:instrText>
      </w:r>
      <w:r w:rsidR="00914555">
        <w:rPr>
          <w:rFonts w:eastAsia="Calibri"/>
        </w:rPr>
        <w:fldChar w:fldCharType="separate"/>
      </w:r>
      <w:r w:rsidR="00914555">
        <w:rPr>
          <w:rFonts w:eastAsia="Calibri"/>
          <w:noProof/>
        </w:rPr>
        <w:t>(UBOS, 2014)</w:t>
      </w:r>
      <w:r w:rsidR="00914555">
        <w:rPr>
          <w:rFonts w:eastAsia="Calibri"/>
        </w:rPr>
        <w:fldChar w:fldCharType="end"/>
      </w:r>
      <w:r w:rsidR="00017BFE">
        <w:rPr>
          <w:rFonts w:eastAsia="Calibri"/>
        </w:rPr>
        <w:t>,</w:t>
      </w:r>
      <w:r>
        <w:rPr>
          <w:rFonts w:eastAsia="Calibri"/>
        </w:rPr>
        <w:t xml:space="preserve"> </w:t>
      </w:r>
      <w:r w:rsidR="003E02B1">
        <w:rPr>
          <w:rFonts w:eastAsia="Calibri"/>
        </w:rPr>
        <w:t>resulted in</w:t>
      </w:r>
      <w:r>
        <w:rPr>
          <w:rFonts w:eastAsia="Calibri"/>
        </w:rPr>
        <w:t xml:space="preserve"> </w:t>
      </w:r>
      <w:r w:rsidR="00BD1DC1">
        <w:rPr>
          <w:rFonts w:eastAsia="Calibri"/>
        </w:rPr>
        <w:t>l</w:t>
      </w:r>
      <w:r>
        <w:rPr>
          <w:rFonts w:eastAsia="Calibri"/>
        </w:rPr>
        <w:t xml:space="preserve">and degradation. </w:t>
      </w:r>
      <w:r w:rsidRPr="009A2328">
        <w:rPr>
          <w:rFonts w:eastAsia="Calibri"/>
        </w:rPr>
        <w:t>By concentrating</w:t>
      </w:r>
      <w:r>
        <w:rPr>
          <w:rFonts w:eastAsia="Calibri"/>
        </w:rPr>
        <w:t xml:space="preserve"> on the linkage</w:t>
      </w:r>
      <w:r w:rsidR="003E02B1">
        <w:rPr>
          <w:rFonts w:eastAsia="Calibri"/>
        </w:rPr>
        <w:t>s</w:t>
      </w:r>
      <w:r>
        <w:rPr>
          <w:rFonts w:eastAsia="Calibri"/>
        </w:rPr>
        <w:t xml:space="preserve"> between soil fertility and farmer livelihoods, </w:t>
      </w:r>
      <w:r w:rsidRPr="00A4413F">
        <w:rPr>
          <w:rFonts w:eastAsia="Calibri"/>
        </w:rPr>
        <w:t>CA practices were marketed as win-win solutions that harmonize environmental and economic concerns</w:t>
      </w:r>
      <w:r w:rsidR="00A4413F" w:rsidRPr="00A4413F">
        <w:rPr>
          <w:rFonts w:eastAsia="Calibri"/>
        </w:rPr>
        <w:t xml:space="preserve"> </w:t>
      </w:r>
      <w:r w:rsidR="003A42C9">
        <w:rPr>
          <w:rFonts w:eastAsia="Calibri"/>
        </w:rPr>
        <w:fldChar w:fldCharType="begin"/>
      </w:r>
      <w:r w:rsidR="003A42C9">
        <w:rPr>
          <w:rFonts w:eastAsia="Calibri"/>
        </w:rPr>
        <w:instrText xml:space="preserve"> ADDIN EN.CITE &lt;EndNote&gt;&lt;Cite&gt;&lt;Author&gt;SANREM&lt;/Author&gt;&lt;Year&gt;2013&lt;/Year&gt;&lt;RecNum&gt;36&lt;/RecNum&gt;&lt;DisplayText&gt;(SANREM, 2013)&lt;/DisplayText&gt;&lt;record&gt;&lt;rec-number&gt;36&lt;/rec-number&gt;&lt;foreign-keys&gt;&lt;key app="EN" db-id="5fvtavdaavaz95e2zv0vf9wms90fv05av5se" timestamp="1481135435"&gt;36&lt;/key&gt;&lt;/foreign-keys&gt;&lt;ref-type name="Report"&gt;27&lt;/ref-type&gt;&lt;contributors&gt;&lt;authors&gt;&lt;author&gt;SANREM, &lt;/author&gt;&lt;/authors&gt;&lt;/contributors&gt;&lt;titles&gt;&lt;title&gt;Feed the Future SANREM Innovation Lab Annual Report 2013&lt;/title&gt;&lt;/titles&gt;&lt;dates&gt;&lt;year&gt;2013&lt;/year&gt;&lt;/dates&gt;&lt;urls&gt;&lt;related-urls&gt;&lt;url&gt;http://www.oired.vt.edu/sanremcrsp/wp-content/uploads/2013/03/SANREM-2013AnnualReport.pdf&lt;/url&gt;&lt;/related-urls&gt;&lt;/urls&gt;&lt;access-date&gt;December 2016&lt;/access-date&gt;&lt;/record&gt;&lt;/Cite&gt;&lt;/EndNote&gt;</w:instrText>
      </w:r>
      <w:r w:rsidR="003A42C9">
        <w:rPr>
          <w:rFonts w:eastAsia="Calibri"/>
        </w:rPr>
        <w:fldChar w:fldCharType="separate"/>
      </w:r>
      <w:r w:rsidR="003A42C9">
        <w:rPr>
          <w:rFonts w:eastAsia="Calibri"/>
          <w:noProof/>
        </w:rPr>
        <w:t>(SANREM, 2013)</w:t>
      </w:r>
      <w:r w:rsidR="003A42C9">
        <w:rPr>
          <w:rFonts w:eastAsia="Calibri"/>
        </w:rPr>
        <w:fldChar w:fldCharType="end"/>
      </w:r>
      <w:r w:rsidRPr="00A4413F">
        <w:rPr>
          <w:rFonts w:eastAsia="Calibri"/>
        </w:rPr>
        <w:t>. T</w:t>
      </w:r>
      <w:r w:rsidR="00D76D62" w:rsidRPr="00A4413F">
        <w:rPr>
          <w:rFonts w:eastAsia="Calibri"/>
        </w:rPr>
        <w:t>he CA package evaluated</w:t>
      </w:r>
      <w:r w:rsidR="00017BFE" w:rsidRPr="00A4413F">
        <w:rPr>
          <w:rFonts w:eastAsia="Calibri"/>
        </w:rPr>
        <w:t xml:space="preserve"> in </w:t>
      </w:r>
      <w:r w:rsidRPr="00A4413F">
        <w:rPr>
          <w:rFonts w:eastAsia="Calibri"/>
        </w:rPr>
        <w:t xml:space="preserve">Tororo </w:t>
      </w:r>
      <w:r w:rsidR="00017BFE" w:rsidRPr="00A4413F">
        <w:rPr>
          <w:rFonts w:eastAsia="Calibri"/>
        </w:rPr>
        <w:t>consist</w:t>
      </w:r>
      <w:r w:rsidRPr="00A4413F">
        <w:rPr>
          <w:rFonts w:eastAsia="Calibri"/>
        </w:rPr>
        <w:t>ed</w:t>
      </w:r>
      <w:r w:rsidR="00BD4CBB" w:rsidRPr="00A4413F">
        <w:rPr>
          <w:rFonts w:eastAsia="Calibri"/>
        </w:rPr>
        <w:t xml:space="preserve"> </w:t>
      </w:r>
      <w:r w:rsidR="00BD1DC1">
        <w:rPr>
          <w:rFonts w:eastAsia="Calibri"/>
        </w:rPr>
        <w:t>a maize-bean intercropped system with</w:t>
      </w:r>
      <w:r w:rsidRPr="00A4413F">
        <w:rPr>
          <w:rFonts w:eastAsia="Calibri"/>
        </w:rPr>
        <w:t xml:space="preserve"> zero or minimum tillage</w:t>
      </w:r>
      <w:r w:rsidR="008B643E" w:rsidRPr="00A4413F">
        <w:rPr>
          <w:rFonts w:eastAsia="Calibri"/>
        </w:rPr>
        <w:t xml:space="preserve"> and</w:t>
      </w:r>
      <w:r w:rsidR="003E0591">
        <w:rPr>
          <w:rFonts w:eastAsia="Calibri"/>
        </w:rPr>
        <w:t>,</w:t>
      </w:r>
      <w:r w:rsidRPr="00A4413F">
        <w:rPr>
          <w:rFonts w:eastAsia="Calibri"/>
        </w:rPr>
        <w:t xml:space="preserve"> </w:t>
      </w:r>
      <w:r w:rsidR="008B643E" w:rsidRPr="00A4413F">
        <w:rPr>
          <w:rFonts w:eastAsia="Calibri"/>
        </w:rPr>
        <w:t>as alternative weed control methods</w:t>
      </w:r>
      <w:r w:rsidR="003E0591">
        <w:rPr>
          <w:rFonts w:eastAsia="Calibri"/>
        </w:rPr>
        <w:t>,</w:t>
      </w:r>
      <w:r w:rsidR="008B643E" w:rsidRPr="00FC7B83">
        <w:rPr>
          <w:rFonts w:eastAsia="Calibri"/>
        </w:rPr>
        <w:t xml:space="preserve"> </w:t>
      </w:r>
      <w:r w:rsidRPr="00FC7B83">
        <w:rPr>
          <w:rFonts w:eastAsia="Calibri"/>
        </w:rPr>
        <w:t xml:space="preserve">herbicide application and strip intercropping with </w:t>
      </w:r>
      <w:r w:rsidR="005770A2">
        <w:rPr>
          <w:rFonts w:eastAsia="Calibri"/>
          <w:i/>
          <w:iCs/>
        </w:rPr>
        <w:t xml:space="preserve">mucuna </w:t>
      </w:r>
      <w:r w:rsidR="005770A2">
        <w:rPr>
          <w:rFonts w:eastAsia="Calibri"/>
        </w:rPr>
        <w:t>(</w:t>
      </w:r>
      <w:r w:rsidRPr="00FC7B83">
        <w:rPr>
          <w:rFonts w:eastAsia="Calibri"/>
        </w:rPr>
        <w:t>a legume use</w:t>
      </w:r>
      <w:r w:rsidR="003E0591">
        <w:rPr>
          <w:rFonts w:eastAsia="Calibri"/>
        </w:rPr>
        <w:t>d</w:t>
      </w:r>
      <w:r w:rsidRPr="00FC7B83">
        <w:rPr>
          <w:rFonts w:eastAsia="Calibri"/>
        </w:rPr>
        <w:t xml:space="preserve"> as </w:t>
      </w:r>
      <w:r w:rsidR="003E0591">
        <w:rPr>
          <w:rFonts w:eastAsia="Calibri"/>
        </w:rPr>
        <w:t xml:space="preserve">a </w:t>
      </w:r>
      <w:r w:rsidRPr="00FC7B83">
        <w:rPr>
          <w:rFonts w:eastAsia="Calibri"/>
        </w:rPr>
        <w:t>crop cover</w:t>
      </w:r>
      <w:r w:rsidR="005770A2">
        <w:rPr>
          <w:rFonts w:eastAsia="Calibri"/>
        </w:rPr>
        <w:t>)</w:t>
      </w:r>
      <w:r w:rsidRPr="007B6667">
        <w:rPr>
          <w:rFonts w:eastAsia="Calibri"/>
        </w:rPr>
        <w:t xml:space="preserve">. </w:t>
      </w:r>
      <w:r w:rsidR="00D16297">
        <w:rPr>
          <w:rFonts w:eastAsia="Calibri"/>
        </w:rPr>
        <w:t>E</w:t>
      </w:r>
      <w:r w:rsidR="00BD1DC1">
        <w:rPr>
          <w:rFonts w:eastAsia="Calibri"/>
        </w:rPr>
        <w:t>valuation of</w:t>
      </w:r>
      <w:r w:rsidR="00D16297">
        <w:rPr>
          <w:rFonts w:eastAsia="Calibri"/>
        </w:rPr>
        <w:t xml:space="preserve"> these</w:t>
      </w:r>
      <w:r w:rsidRPr="007B6667">
        <w:rPr>
          <w:rFonts w:eastAsia="Calibri"/>
        </w:rPr>
        <w:t xml:space="preserve"> practices</w:t>
      </w:r>
      <w:r w:rsidR="00562A21">
        <w:rPr>
          <w:rFonts w:eastAsia="Calibri"/>
        </w:rPr>
        <w:t xml:space="preserve"> w</w:t>
      </w:r>
      <w:r w:rsidR="00BD1DC1">
        <w:rPr>
          <w:rFonts w:eastAsia="Calibri"/>
        </w:rPr>
        <w:t>as</w:t>
      </w:r>
      <w:r w:rsidR="00562A21">
        <w:rPr>
          <w:rFonts w:eastAsia="Calibri"/>
        </w:rPr>
        <w:t xml:space="preserve"> </w:t>
      </w:r>
      <w:r w:rsidR="00D16297">
        <w:rPr>
          <w:rFonts w:eastAsia="Calibri"/>
        </w:rPr>
        <w:t>conducted on-station and on-farm</w:t>
      </w:r>
      <w:r w:rsidRPr="007B6667">
        <w:rPr>
          <w:rFonts w:eastAsia="Calibri"/>
        </w:rPr>
        <w:t xml:space="preserve"> </w:t>
      </w:r>
      <w:r w:rsidR="00BD4CBB">
        <w:rPr>
          <w:rFonts w:eastAsia="Calibri"/>
        </w:rPr>
        <w:t>during four seasons</w:t>
      </w:r>
      <w:r>
        <w:rPr>
          <w:rFonts w:eastAsia="Calibri"/>
        </w:rPr>
        <w:t>.</w:t>
      </w:r>
      <w:r w:rsidR="00C7727B">
        <w:rPr>
          <w:rFonts w:eastAsia="Calibri"/>
        </w:rPr>
        <w:t xml:space="preserve"> </w:t>
      </w:r>
      <w:r w:rsidR="00465462">
        <w:rPr>
          <w:rFonts w:eastAsia="Calibri"/>
        </w:rPr>
        <w:t xml:space="preserve"> </w:t>
      </w:r>
    </w:p>
    <w:p w14:paraId="5727B9DB" w14:textId="72FDADAE" w:rsidR="000B29C2" w:rsidRDefault="00EC0A9C" w:rsidP="00BD4CBB">
      <w:pPr>
        <w:spacing w:line="480" w:lineRule="auto"/>
        <w:ind w:firstLine="720"/>
        <w:rPr>
          <w:rFonts w:eastAsia="Calibri"/>
        </w:rPr>
      </w:pPr>
      <w:r w:rsidRPr="006E04C7">
        <w:rPr>
          <w:rFonts w:eastAsia="Calibri"/>
        </w:rPr>
        <w:lastRenderedPageBreak/>
        <w:t xml:space="preserve">Conservation agriculture is expected to benefit farmers through several pathways. First, the enhanced </w:t>
      </w:r>
      <w:r w:rsidR="00BD1DC1">
        <w:rPr>
          <w:rFonts w:eastAsia="Calibri"/>
        </w:rPr>
        <w:t xml:space="preserve">maize-bean </w:t>
      </w:r>
      <w:r w:rsidRPr="006E04C7">
        <w:rPr>
          <w:rFonts w:eastAsia="Calibri"/>
        </w:rPr>
        <w:t>rotations have been optimized and will increase incomes directly. Second, CA is expected, over time, to increase soil health and raise productivity. Permanent ground cover, such as that provided by m</w:t>
      </w:r>
      <w:r w:rsidR="00465462" w:rsidRPr="006E04C7">
        <w:rPr>
          <w:rFonts w:eastAsia="Calibri"/>
        </w:rPr>
        <w:t>ucuna</w:t>
      </w:r>
      <w:r w:rsidRPr="006E04C7">
        <w:rPr>
          <w:rFonts w:eastAsia="Calibri"/>
        </w:rPr>
        <w:t>,</w:t>
      </w:r>
      <w:r w:rsidR="000822F0" w:rsidRPr="006E04C7">
        <w:rPr>
          <w:rFonts w:eastAsia="Calibri"/>
        </w:rPr>
        <w:t xml:space="preserve"> suppresses weeds and</w:t>
      </w:r>
      <w:r w:rsidR="00465462" w:rsidRPr="006E04C7">
        <w:rPr>
          <w:rFonts w:eastAsia="Calibri"/>
        </w:rPr>
        <w:t xml:space="preserve">, due to its nitrogen fixing </w:t>
      </w:r>
      <w:r w:rsidR="00276957" w:rsidRPr="006E04C7">
        <w:rPr>
          <w:rFonts w:eastAsia="Calibri"/>
        </w:rPr>
        <w:t>property</w:t>
      </w:r>
      <w:r w:rsidR="00465462" w:rsidRPr="006E04C7">
        <w:rPr>
          <w:rFonts w:eastAsia="Calibri"/>
        </w:rPr>
        <w:t xml:space="preserve">, </w:t>
      </w:r>
      <w:r w:rsidR="003803EC" w:rsidRPr="006E04C7">
        <w:rPr>
          <w:rFonts w:eastAsia="Calibri"/>
        </w:rPr>
        <w:t>improve</w:t>
      </w:r>
      <w:r w:rsidR="00276957" w:rsidRPr="006E04C7">
        <w:rPr>
          <w:rFonts w:eastAsia="Calibri"/>
        </w:rPr>
        <w:t>s</w:t>
      </w:r>
      <w:r w:rsidR="003803EC" w:rsidRPr="006E04C7">
        <w:rPr>
          <w:rFonts w:eastAsia="Calibri"/>
        </w:rPr>
        <w:t xml:space="preserve"> soil fertility</w:t>
      </w:r>
      <w:r w:rsidR="000822F0" w:rsidRPr="006E04C7">
        <w:rPr>
          <w:rFonts w:eastAsia="Calibri"/>
        </w:rPr>
        <w:t>.</w:t>
      </w:r>
      <w:r w:rsidR="00BB079A" w:rsidRPr="006E04C7">
        <w:rPr>
          <w:rFonts w:eastAsia="Calibri"/>
        </w:rPr>
        <w:t xml:space="preserve"> The crop cover also improves soil moisture.</w:t>
      </w:r>
      <w:r w:rsidR="000822F0" w:rsidRPr="006E04C7">
        <w:rPr>
          <w:rFonts w:eastAsia="Calibri"/>
        </w:rPr>
        <w:t xml:space="preserve"> </w:t>
      </w:r>
      <w:r w:rsidR="00C7650A" w:rsidRPr="006E04C7">
        <w:rPr>
          <w:rFonts w:eastAsia="Calibri"/>
        </w:rPr>
        <w:t>After</w:t>
      </w:r>
      <w:r w:rsidR="00BB079A" w:rsidRPr="006E04C7">
        <w:rPr>
          <w:rFonts w:eastAsia="Calibri"/>
        </w:rPr>
        <w:t xml:space="preserve"> </w:t>
      </w:r>
      <w:r w:rsidR="003E0591">
        <w:rPr>
          <w:rFonts w:eastAsia="Calibri"/>
        </w:rPr>
        <w:t xml:space="preserve">a </w:t>
      </w:r>
      <w:r w:rsidR="00BB079A" w:rsidRPr="006E04C7">
        <w:rPr>
          <w:rFonts w:eastAsia="Calibri"/>
        </w:rPr>
        <w:t xml:space="preserve">few seasons planting mucuna within </w:t>
      </w:r>
      <w:r w:rsidR="003E0591">
        <w:rPr>
          <w:rFonts w:eastAsia="Calibri"/>
        </w:rPr>
        <w:t xml:space="preserve">a </w:t>
      </w:r>
      <w:r w:rsidR="00BB079A" w:rsidRPr="006E04C7">
        <w:rPr>
          <w:rFonts w:eastAsia="Calibri"/>
        </w:rPr>
        <w:t>maize or</w:t>
      </w:r>
      <w:r w:rsidR="003803EC" w:rsidRPr="006E04C7">
        <w:rPr>
          <w:rFonts w:eastAsia="Calibri"/>
        </w:rPr>
        <w:t xml:space="preserve"> </w:t>
      </w:r>
      <w:r w:rsidR="00C7650A" w:rsidRPr="006E04C7">
        <w:rPr>
          <w:rFonts w:eastAsia="Calibri"/>
        </w:rPr>
        <w:t>m</w:t>
      </w:r>
      <w:r w:rsidR="003803EC" w:rsidRPr="006E04C7">
        <w:rPr>
          <w:rFonts w:eastAsia="Calibri"/>
        </w:rPr>
        <w:t>aize-bean intercrop</w:t>
      </w:r>
      <w:r w:rsidR="00C7650A" w:rsidRPr="006E04C7">
        <w:rPr>
          <w:rFonts w:eastAsia="Calibri"/>
        </w:rPr>
        <w:t>ped</w:t>
      </w:r>
      <w:r w:rsidR="003803EC" w:rsidRPr="006E04C7">
        <w:rPr>
          <w:rFonts w:eastAsia="Calibri"/>
        </w:rPr>
        <w:t xml:space="preserve"> system</w:t>
      </w:r>
      <w:r w:rsidR="00C7650A" w:rsidRPr="006E04C7">
        <w:rPr>
          <w:rFonts w:eastAsia="Calibri"/>
        </w:rPr>
        <w:t xml:space="preserve">, </w:t>
      </w:r>
      <w:r w:rsidR="00BB079A" w:rsidRPr="006E04C7">
        <w:rPr>
          <w:rFonts w:eastAsia="Calibri"/>
        </w:rPr>
        <w:t>c</w:t>
      </w:r>
      <w:r w:rsidR="002C04E8" w:rsidRPr="006E04C7">
        <w:rPr>
          <w:rFonts w:eastAsia="Calibri"/>
        </w:rPr>
        <w:t>rop p</w:t>
      </w:r>
      <w:r w:rsidR="003803EC" w:rsidRPr="006E04C7">
        <w:rPr>
          <w:rFonts w:eastAsia="Calibri"/>
        </w:rPr>
        <w:t xml:space="preserve">roductivity </w:t>
      </w:r>
      <w:r w:rsidR="00BB079A" w:rsidRPr="006E04C7">
        <w:rPr>
          <w:rFonts w:eastAsia="Calibri"/>
        </w:rPr>
        <w:t xml:space="preserve">normally </w:t>
      </w:r>
      <w:r w:rsidR="003803EC" w:rsidRPr="006E04C7">
        <w:rPr>
          <w:rFonts w:eastAsia="Calibri"/>
        </w:rPr>
        <w:t>increases</w:t>
      </w:r>
      <w:r w:rsidR="00BB079A" w:rsidRPr="006E04C7">
        <w:rPr>
          <w:rFonts w:eastAsia="Calibri"/>
        </w:rPr>
        <w:t xml:space="preserve">. </w:t>
      </w:r>
      <w:r w:rsidRPr="006E04C7">
        <w:rPr>
          <w:rFonts w:eastAsia="Calibri"/>
        </w:rPr>
        <w:t>Third, in the shorter run, because CA eliminates tillage, labor costs associated with tillage operations are reduced; even in the absence of yield benefits</w:t>
      </w:r>
      <w:r w:rsidR="00BD1DC1">
        <w:rPr>
          <w:rFonts w:eastAsia="Calibri"/>
        </w:rPr>
        <w:t>,</w:t>
      </w:r>
      <w:r w:rsidRPr="006E04C7">
        <w:rPr>
          <w:rFonts w:eastAsia="Calibri"/>
        </w:rPr>
        <w:t xml:space="preserve"> costs per unit of output will fall. The CA package for Tororo does not involve expensive machinery and the inputs are no costl</w:t>
      </w:r>
      <w:r w:rsidR="0021034E" w:rsidRPr="006E04C7">
        <w:rPr>
          <w:rFonts w:eastAsia="Calibri"/>
        </w:rPr>
        <w:t>ier</w:t>
      </w:r>
      <w:r w:rsidRPr="006E04C7">
        <w:rPr>
          <w:rFonts w:eastAsia="Calibri"/>
        </w:rPr>
        <w:t xml:space="preserve"> than current inputs. As a result, adoption should be independent of household wealth, and poor farmers, as well as those that are better off, should benefit. It is hoped that the combination of these factors will reduce poverty as the technology is widely adopted.</w:t>
      </w:r>
    </w:p>
    <w:p w14:paraId="08FCDA49" w14:textId="5DA40A71" w:rsidR="0091127E" w:rsidRDefault="0091127E" w:rsidP="00BD4CBB">
      <w:pPr>
        <w:spacing w:line="480" w:lineRule="auto"/>
        <w:ind w:firstLine="720"/>
        <w:rPr>
          <w:rFonts w:eastAsia="Calibri"/>
        </w:rPr>
      </w:pPr>
      <w:r>
        <w:rPr>
          <w:rFonts w:eastAsia="Calibri"/>
        </w:rPr>
        <w:t xml:space="preserve">Recent evidence on CA </w:t>
      </w:r>
      <w:r w:rsidR="005514AC">
        <w:rPr>
          <w:rFonts w:eastAsia="Calibri"/>
        </w:rPr>
        <w:t>from</w:t>
      </w:r>
      <w:r>
        <w:rPr>
          <w:rFonts w:eastAsia="Calibri"/>
        </w:rPr>
        <w:t xml:space="preserve"> Africa has been promising.  In Zambia, CA improves maize output and reduce</w:t>
      </w:r>
      <w:r w:rsidR="005514AC">
        <w:rPr>
          <w:rFonts w:eastAsia="Calibri"/>
        </w:rPr>
        <w:t>s</w:t>
      </w:r>
      <w:r>
        <w:rPr>
          <w:rFonts w:eastAsia="Calibri"/>
        </w:rPr>
        <w:t xml:space="preserve"> household poverty (Abdulai, 2016)</w:t>
      </w:r>
      <w:r w:rsidR="005514AC">
        <w:rPr>
          <w:rFonts w:eastAsia="Calibri"/>
        </w:rPr>
        <w:t>, and</w:t>
      </w:r>
      <w:r>
        <w:rPr>
          <w:rFonts w:eastAsia="Calibri"/>
        </w:rPr>
        <w:t xml:space="preserve"> in Ethiopia, minimum tillage, a key part of the CA package, increases maize yield and decreases labor use (Jalata et al.</w:t>
      </w:r>
      <w:r w:rsidR="005514AC">
        <w:rPr>
          <w:rFonts w:eastAsia="Calibri"/>
        </w:rPr>
        <w:t>,</w:t>
      </w:r>
      <w:r>
        <w:rPr>
          <w:rFonts w:eastAsia="Calibri"/>
        </w:rPr>
        <w:t xml:space="preserve"> 2016)</w:t>
      </w:r>
      <w:r w:rsidR="005514AC">
        <w:rPr>
          <w:rFonts w:eastAsia="Calibri"/>
        </w:rPr>
        <w:t>.  Incorporation of improved maize varieties into rotations, another CA component, has shown to improve yields and reduce poverty in numerous African countries (Mason and Smale, 2013; Zeller et al., 1998; Zeng et al., 2015).</w:t>
      </w:r>
    </w:p>
    <w:p w14:paraId="105F05B8" w14:textId="77777777" w:rsidR="00B95150" w:rsidRDefault="00B95150" w:rsidP="0005165B">
      <w:pPr>
        <w:spacing w:line="480" w:lineRule="auto"/>
        <w:rPr>
          <w:rFonts w:eastAsia="Calibri"/>
          <w:b/>
          <w:bCs/>
        </w:rPr>
      </w:pPr>
    </w:p>
    <w:p w14:paraId="6AF7CD5B" w14:textId="215FC33B" w:rsidR="00573909" w:rsidRDefault="000A1ED4" w:rsidP="0041529C">
      <w:pPr>
        <w:pStyle w:val="ListParagraph"/>
        <w:keepNext/>
        <w:numPr>
          <w:ilvl w:val="0"/>
          <w:numId w:val="19"/>
        </w:numPr>
        <w:spacing w:line="480" w:lineRule="auto"/>
        <w:ind w:left="360"/>
        <w:outlineLvl w:val="0"/>
      </w:pPr>
      <w:r w:rsidRPr="004A38EE">
        <w:rPr>
          <w:b/>
        </w:rPr>
        <w:t>Data</w:t>
      </w:r>
      <w:r w:rsidR="00E46BD5" w:rsidRPr="004A38EE">
        <w:rPr>
          <w:b/>
        </w:rPr>
        <w:t xml:space="preserve"> </w:t>
      </w:r>
    </w:p>
    <w:p w14:paraId="3B227EC4" w14:textId="00A5B874" w:rsidR="00EC5826" w:rsidRDefault="008A2250" w:rsidP="0041529C">
      <w:pPr>
        <w:spacing w:line="480" w:lineRule="auto"/>
        <w:ind w:firstLine="360"/>
      </w:pPr>
      <w:r>
        <w:t xml:space="preserve">We use the </w:t>
      </w:r>
      <w:r w:rsidR="00636A5B">
        <w:t xml:space="preserve">2011/2012 </w:t>
      </w:r>
      <w:r w:rsidR="00FC7B83">
        <w:t>LSMS</w:t>
      </w:r>
      <w:r w:rsidR="00636A5B">
        <w:t>-Integrated Surveys on Agriculture (LSMS-ISA)</w:t>
      </w:r>
      <w:r>
        <w:t xml:space="preserve"> </w:t>
      </w:r>
      <w:r w:rsidR="00636A5B">
        <w:t xml:space="preserve">for </w:t>
      </w:r>
      <w:r>
        <w:t xml:space="preserve">Uganda </w:t>
      </w:r>
      <w:r w:rsidR="00725DBF">
        <w:t>to obtain precise information on household consumption expenditures</w:t>
      </w:r>
      <w:r w:rsidR="00636A5B">
        <w:t xml:space="preserve">. The sample is </w:t>
      </w:r>
      <w:r w:rsidR="009A5475">
        <w:t>nationally representative</w:t>
      </w:r>
      <w:r w:rsidR="00BD1DC1">
        <w:t xml:space="preserve">, </w:t>
      </w:r>
      <w:r w:rsidR="00185A47">
        <w:t>represen</w:t>
      </w:r>
      <w:r w:rsidR="00934D97">
        <w:t xml:space="preserve">tative of rural and urban </w:t>
      </w:r>
      <w:r w:rsidR="00364C8C">
        <w:t>areas, and</w:t>
      </w:r>
      <w:r w:rsidR="009A5475">
        <w:t xml:space="preserve"> </w:t>
      </w:r>
      <w:r w:rsidR="00BD1DC1">
        <w:t xml:space="preserve">of </w:t>
      </w:r>
      <w:r w:rsidR="009A5475">
        <w:t>Uganda</w:t>
      </w:r>
      <w:r w:rsidR="00B55AC6">
        <w:t>’s</w:t>
      </w:r>
      <w:r w:rsidR="009A5475">
        <w:t xml:space="preserve"> </w:t>
      </w:r>
      <w:r w:rsidR="00934D97">
        <w:t>main</w:t>
      </w:r>
      <w:r w:rsidR="009A5475">
        <w:t xml:space="preserve"> four regions </w:t>
      </w:r>
      <w:r w:rsidR="009A5475">
        <w:lastRenderedPageBreak/>
        <w:t>(North, East, West, and Central region</w:t>
      </w:r>
      <w:r w:rsidR="00636A5B">
        <w:t>s)</w:t>
      </w:r>
      <w:r w:rsidR="0063023F">
        <w:t xml:space="preserve">. </w:t>
      </w:r>
      <w:r w:rsidR="00DB0231">
        <w:t>D</w:t>
      </w:r>
      <w:r w:rsidR="0063023F" w:rsidRPr="00723FD4">
        <w:t xml:space="preserve">espite the </w:t>
      </w:r>
      <w:r w:rsidR="0063023F">
        <w:t xml:space="preserve">detail of the </w:t>
      </w:r>
      <w:r w:rsidR="00FC6726">
        <w:t>LSMS-ISA</w:t>
      </w:r>
      <w:r w:rsidR="0063023F">
        <w:t xml:space="preserve"> consumption</w:t>
      </w:r>
      <w:r w:rsidR="0063023F" w:rsidRPr="00723FD4">
        <w:t xml:space="preserve"> data, this dataset alone cannot provide a reliable estimate of rural poverty in Tororo </w:t>
      </w:r>
      <w:r w:rsidR="00CD6570">
        <w:t>d</w:t>
      </w:r>
      <w:r w:rsidR="0063023F" w:rsidRPr="00723FD4">
        <w:t>istrict.</w:t>
      </w:r>
      <w:r w:rsidR="0063023F">
        <w:t xml:space="preserve"> </w:t>
      </w:r>
      <w:r w:rsidR="00522FCB">
        <w:t xml:space="preserve">To overcome this limitation, a representative </w:t>
      </w:r>
      <w:r w:rsidR="003D0C49">
        <w:t xml:space="preserve">household </w:t>
      </w:r>
      <w:r w:rsidR="00522FCB">
        <w:t xml:space="preserve">survey in Tororo was conducted. </w:t>
      </w:r>
    </w:p>
    <w:p w14:paraId="4E9EE28D" w14:textId="25DB46A0" w:rsidR="000524CB" w:rsidRDefault="00967995" w:rsidP="005D2779">
      <w:pPr>
        <w:spacing w:line="480" w:lineRule="auto"/>
        <w:outlineLvl w:val="0"/>
        <w:rPr>
          <w:i/>
        </w:rPr>
      </w:pPr>
      <w:r>
        <w:rPr>
          <w:i/>
        </w:rPr>
        <w:t xml:space="preserve">3.1 </w:t>
      </w:r>
      <w:r w:rsidR="0063023F" w:rsidRPr="0063023F">
        <w:rPr>
          <w:i/>
        </w:rPr>
        <w:t>LSMS</w:t>
      </w:r>
      <w:r w:rsidR="00013D14">
        <w:rPr>
          <w:i/>
        </w:rPr>
        <w:t>-ISA</w:t>
      </w:r>
      <w:r w:rsidR="0063023F" w:rsidRPr="0063023F">
        <w:rPr>
          <w:i/>
        </w:rPr>
        <w:t xml:space="preserve"> Household Consumption </w:t>
      </w:r>
    </w:p>
    <w:p w14:paraId="3C8B9586" w14:textId="25DCC410" w:rsidR="008A2250" w:rsidRPr="00891D6F" w:rsidRDefault="008A2250" w:rsidP="0041529C">
      <w:pPr>
        <w:spacing w:line="480" w:lineRule="auto"/>
        <w:ind w:firstLine="720"/>
      </w:pPr>
      <w:r>
        <w:t>The</w:t>
      </w:r>
      <w:r w:rsidR="0063023F">
        <w:t xml:space="preserve"> </w:t>
      </w:r>
      <w:r w:rsidR="00013D14">
        <w:t>LSMS-ISA</w:t>
      </w:r>
      <w:r>
        <w:t>, which i</w:t>
      </w:r>
      <w:r w:rsidR="009555AA">
        <w:t xml:space="preserve">ncludes </w:t>
      </w:r>
      <w:r>
        <w:t>household, agriculture, and community questionnaire</w:t>
      </w:r>
      <w:r w:rsidR="00AA07D8">
        <w:t>s</w:t>
      </w:r>
      <w:r>
        <w:t xml:space="preserve">, collected data from 2,716 Ugandan households on an extensive range of topics including </w:t>
      </w:r>
      <w:r w:rsidRPr="00DF6A28">
        <w:t xml:space="preserve">household demographics, education, health, food and non-food consumption, asset ownership, agricultural landholding, input use, crop production, and livestock ownership. </w:t>
      </w:r>
      <w:r w:rsidR="004B70E3">
        <w:t>This study makes use of the household</w:t>
      </w:r>
      <w:r w:rsidR="009F6E44">
        <w:t xml:space="preserve"> and agriculture</w:t>
      </w:r>
      <w:r w:rsidR="004B70E3">
        <w:t xml:space="preserve"> questionnaire</w:t>
      </w:r>
      <w:r w:rsidR="000853F0">
        <w:t>s. Household</w:t>
      </w:r>
      <w:r w:rsidR="00477CF0">
        <w:t xml:space="preserve"> welfare is estimated using </w:t>
      </w:r>
      <w:r w:rsidR="004E7E9B">
        <w:t xml:space="preserve">data from </w:t>
      </w:r>
      <w:r w:rsidR="00477CF0">
        <w:t>the section on household</w:t>
      </w:r>
      <w:r w:rsidR="006141CD">
        <w:t xml:space="preserve"> consumption expenditures.</w:t>
      </w:r>
      <w:r w:rsidR="004B70E3">
        <w:t xml:space="preserve"> </w:t>
      </w:r>
      <w:r w:rsidRPr="00DF6A28">
        <w:t>Following methods outlined in</w:t>
      </w:r>
      <w:r w:rsidR="00227629">
        <w:t xml:space="preserve"> </w:t>
      </w:r>
      <w:r w:rsidR="00227629">
        <w:fldChar w:fldCharType="begin"/>
      </w:r>
      <w:r w:rsidR="009441FA">
        <w:instrText xml:space="preserve"> ADDIN EN.CITE &lt;EndNote&gt;&lt;Cite AuthorYear="1"&gt;&lt;Author&gt;Deaton&lt;/Author&gt;&lt;Year&gt;2002&lt;/Year&gt;&lt;RecNum&gt;19&lt;/RecNum&gt;&lt;DisplayText&gt;Deaton and Zaidi (2002)&lt;/DisplayText&gt;&lt;record&gt;&lt;rec-number&gt;19&lt;/rec-number&gt;&lt;foreign-keys&gt;&lt;key app="EN" db-id="5fvtavdaavaz95e2zv0vf9wms90fv05av5se" timestamp="1481039523"&gt;19&lt;/key&gt;&lt;/foreign-keys&gt;&lt;ref-type name="Generic"&gt;13&lt;/ref-type&gt;&lt;contributors&gt;&lt;authors&gt;&lt;author&gt;Deaton, Angus&lt;/author&gt;&lt;author&gt;Zaidi, Salman&lt;/author&gt;&lt;/authors&gt;&lt;/contributors&gt;&lt;titles&gt;&lt;title&gt;Guidelines for constructing consumption aggregates for welfare analysis&lt;/title&gt;&lt;secondary-title&gt;Living Standards Measurement Study (LSMS) Working  Paper no. 135&lt;/secondary-title&gt;&lt;/titles&gt;&lt;dates&gt;&lt;year&gt;2002&lt;/year&gt;&lt;/dates&gt;&lt;pub-location&gt;Washington D.C.&lt;/pub-location&gt;&lt;publisher&gt;World Bank&lt;/publisher&gt;&lt;isbn&gt;0821349902&lt;/isbn&gt;&lt;urls&gt;&lt;/urls&gt;&lt;/record&gt;&lt;/Cite&gt;&lt;/EndNote&gt;</w:instrText>
      </w:r>
      <w:r w:rsidR="00227629">
        <w:fldChar w:fldCharType="separate"/>
      </w:r>
      <w:r w:rsidR="00A463AE">
        <w:rPr>
          <w:noProof/>
        </w:rPr>
        <w:t>Deaton and Zaidi (2002)</w:t>
      </w:r>
      <w:r w:rsidR="00227629">
        <w:fldChar w:fldCharType="end"/>
      </w:r>
      <w:r w:rsidRPr="00DF6A28">
        <w:t xml:space="preserve">, annual </w:t>
      </w:r>
      <w:r w:rsidR="003D0C49">
        <w:t xml:space="preserve">household </w:t>
      </w:r>
      <w:r w:rsidRPr="00DF6A28">
        <w:t>consumption is estimated by summing the annual value</w:t>
      </w:r>
      <w:r w:rsidR="007D199B">
        <w:t>s</w:t>
      </w:r>
      <w:r w:rsidRPr="00DF6A28">
        <w:t xml:space="preserve"> of food consumption</w:t>
      </w:r>
      <w:r w:rsidRPr="003747C9">
        <w:t>, non-durable and semi-durable goods, and the user cost of durable goods</w:t>
      </w:r>
      <w:r w:rsidR="00630A55">
        <w:rPr>
          <w:rStyle w:val="FootnoteReference"/>
        </w:rPr>
        <w:footnoteReference w:id="1"/>
      </w:r>
      <w:r w:rsidRPr="003747C9">
        <w:t>.</w:t>
      </w:r>
      <w:r w:rsidRPr="003753FD">
        <w:t xml:space="preserve"> </w:t>
      </w:r>
      <w:r w:rsidR="00AC596D">
        <w:t>H</w:t>
      </w:r>
      <w:r w:rsidRPr="003753FD">
        <w:t>ous</w:t>
      </w:r>
      <w:r w:rsidR="006141CD">
        <w:t>ehold consumption per capita, our welfare measure,</w:t>
      </w:r>
      <w:r>
        <w:t xml:space="preserve"> is</w:t>
      </w:r>
      <w:r w:rsidRPr="003753FD">
        <w:t xml:space="preserve"> </w:t>
      </w:r>
      <w:r w:rsidR="00AC596D">
        <w:t>estimated</w:t>
      </w:r>
      <w:r w:rsidRPr="003753FD">
        <w:t xml:space="preserve"> by dividing the aggregate consumption measure by</w:t>
      </w:r>
      <w:r>
        <w:t xml:space="preserve"> the number of pe</w:t>
      </w:r>
      <w:r w:rsidR="006B7D42">
        <w:t>ople</w:t>
      </w:r>
      <w:r>
        <w:t xml:space="preserve"> </w:t>
      </w:r>
      <w:r w:rsidRPr="003753FD">
        <w:t>present for at least half of th</w:t>
      </w:r>
      <w:r>
        <w:t>e household’s meals during the seven</w:t>
      </w:r>
      <w:r w:rsidR="00013D14">
        <w:t>-</w:t>
      </w:r>
      <w:r w:rsidRPr="003753FD">
        <w:t>day food recall period</w:t>
      </w:r>
      <w:r w:rsidR="00013D14">
        <w:t>.</w:t>
      </w:r>
      <w:r w:rsidR="00891D6F" w:rsidRPr="003753FD">
        <w:t xml:space="preserve"> </w:t>
      </w:r>
      <w:r w:rsidRPr="003753FD">
        <w:t xml:space="preserve">This </w:t>
      </w:r>
      <w:r w:rsidR="007D199B">
        <w:t>approach</w:t>
      </w:r>
      <w:r w:rsidRPr="003753FD">
        <w:t xml:space="preserve"> accounts for the possibility that</w:t>
      </w:r>
      <w:r w:rsidR="007D199B">
        <w:t xml:space="preserve"> not</w:t>
      </w:r>
      <w:r w:rsidRPr="003753FD">
        <w:t xml:space="preserve"> all household members may</w:t>
      </w:r>
      <w:r>
        <w:t xml:space="preserve"> have been present during the seven</w:t>
      </w:r>
      <w:r w:rsidR="00013D14">
        <w:t>-</w:t>
      </w:r>
      <w:r w:rsidRPr="003753FD">
        <w:t xml:space="preserve">day food recall period. </w:t>
      </w:r>
    </w:p>
    <w:p w14:paraId="7D15F360" w14:textId="39CACA38" w:rsidR="003A4C40" w:rsidRDefault="00477CF0" w:rsidP="00190556">
      <w:pPr>
        <w:spacing w:line="480" w:lineRule="auto"/>
        <w:outlineLvl w:val="0"/>
      </w:pPr>
      <w:r>
        <w:tab/>
        <w:t>Other sections of the household questionnaire, such as</w:t>
      </w:r>
      <w:r w:rsidR="00380AFB">
        <w:t xml:space="preserve"> household demographics,</w:t>
      </w:r>
      <w:r>
        <w:t xml:space="preserve"> hous</w:t>
      </w:r>
      <w:r w:rsidR="00380AFB">
        <w:t xml:space="preserve">ing conditions, water and sanitation, </w:t>
      </w:r>
      <w:r w:rsidR="003A4C40">
        <w:t xml:space="preserve">and household assets, are used in </w:t>
      </w:r>
      <w:r w:rsidR="003B0DC3">
        <w:t>the estimation of</w:t>
      </w:r>
      <w:r w:rsidR="003A4C40">
        <w:t xml:space="preserve"> </w:t>
      </w:r>
      <w:r w:rsidR="003B0DC3">
        <w:t xml:space="preserve">per capita </w:t>
      </w:r>
      <w:r w:rsidR="003A4C40">
        <w:t>household consumption (explained below). G</w:t>
      </w:r>
      <w:r w:rsidR="009434B8">
        <w:t>iven that the welfare analysis is conducted for</w:t>
      </w:r>
      <w:r w:rsidR="003A4C40">
        <w:t xml:space="preserve"> the rural </w:t>
      </w:r>
      <w:r w:rsidR="009434B8">
        <w:t>households in Tororo</w:t>
      </w:r>
      <w:r w:rsidR="003A4C40">
        <w:t xml:space="preserve">, </w:t>
      </w:r>
      <w:r w:rsidR="003E0591">
        <w:t xml:space="preserve">the </w:t>
      </w:r>
      <w:r w:rsidR="003A4C40">
        <w:t xml:space="preserve">model </w:t>
      </w:r>
      <w:r w:rsidR="00190556">
        <w:t xml:space="preserve">explaining household consumption </w:t>
      </w:r>
      <w:r w:rsidR="003A4C40">
        <w:t xml:space="preserve">also includes </w:t>
      </w:r>
      <w:r w:rsidR="003E0591">
        <w:t xml:space="preserve">a </w:t>
      </w:r>
      <w:r w:rsidR="003A4C40">
        <w:t xml:space="preserve">few variables related to agricultural assets ownership obtained from the agriculture survey. </w:t>
      </w:r>
    </w:p>
    <w:p w14:paraId="0586E040" w14:textId="6B02B0DD" w:rsidR="00B61427" w:rsidRDefault="008B02D7" w:rsidP="005D2779">
      <w:pPr>
        <w:spacing w:line="480" w:lineRule="auto"/>
        <w:outlineLvl w:val="0"/>
      </w:pPr>
      <w:r>
        <w:rPr>
          <w:i/>
        </w:rPr>
        <w:t>3.2</w:t>
      </w:r>
      <w:r w:rsidR="006A2932">
        <w:rPr>
          <w:i/>
        </w:rPr>
        <w:t xml:space="preserve"> </w:t>
      </w:r>
      <w:r w:rsidR="008A2250">
        <w:rPr>
          <w:i/>
        </w:rPr>
        <w:t xml:space="preserve">Tororo Household Survey </w:t>
      </w:r>
    </w:p>
    <w:p w14:paraId="72A6EFE9" w14:textId="469BE523" w:rsidR="00C36663" w:rsidRDefault="00FC5297" w:rsidP="0041529C">
      <w:pPr>
        <w:spacing w:line="480" w:lineRule="auto"/>
        <w:ind w:firstLine="720"/>
      </w:pPr>
      <w:r>
        <w:lastRenderedPageBreak/>
        <w:t>A</w:t>
      </w:r>
      <w:r w:rsidR="00EC75C0">
        <w:t xml:space="preserve"> representative </w:t>
      </w:r>
      <w:r>
        <w:t xml:space="preserve">household </w:t>
      </w:r>
      <w:r w:rsidR="00EC75C0">
        <w:t xml:space="preserve">survey of the </w:t>
      </w:r>
      <w:r>
        <w:t xml:space="preserve">Tororo </w:t>
      </w:r>
      <w:r w:rsidR="00E26F75">
        <w:t>d</w:t>
      </w:r>
      <w:r w:rsidR="00EC75C0" w:rsidRPr="007F3FF7">
        <w:t>istrict</w:t>
      </w:r>
      <w:r w:rsidR="00EC75C0">
        <w:t xml:space="preserve"> was conducted</w:t>
      </w:r>
      <w:r w:rsidR="004D773B">
        <w:t xml:space="preserve"> in July and August 2014</w:t>
      </w:r>
      <w:r w:rsidR="00175D02" w:rsidRPr="00175D02">
        <w:t xml:space="preserve">. </w:t>
      </w:r>
      <w:r w:rsidR="005B2049" w:rsidRPr="000D17D3">
        <w:t xml:space="preserve">Since this survey was to be linked with the </w:t>
      </w:r>
      <w:r w:rsidR="005B2049">
        <w:t>LSMS-ISA</w:t>
      </w:r>
      <w:r w:rsidR="005B2049" w:rsidRPr="000D17D3">
        <w:t>,</w:t>
      </w:r>
      <w:r w:rsidR="005B2049">
        <w:t xml:space="preserve"> several steps were </w:t>
      </w:r>
      <w:r>
        <w:t xml:space="preserve">taken before and </w:t>
      </w:r>
      <w:r w:rsidR="00FA2A76">
        <w:t>during the design of</w:t>
      </w:r>
      <w:r w:rsidR="005B2049">
        <w:t xml:space="preserve"> the </w:t>
      </w:r>
      <w:r w:rsidR="005B2049" w:rsidRPr="009F6E44">
        <w:t>questionnaire</w:t>
      </w:r>
      <w:r w:rsidR="005D1A3B" w:rsidRPr="009F6E44">
        <w:t xml:space="preserve"> to ensure </w:t>
      </w:r>
      <w:r w:rsidR="004E7E9B">
        <w:t>compatibility</w:t>
      </w:r>
      <w:r w:rsidR="005D1A3B" w:rsidRPr="009F6E44">
        <w:t xml:space="preserve"> between </w:t>
      </w:r>
      <w:r w:rsidR="00C36663" w:rsidRPr="009F6E44">
        <w:t xml:space="preserve">the two </w:t>
      </w:r>
      <w:r w:rsidR="005D1A3B" w:rsidRPr="009F6E44">
        <w:t>surveys</w:t>
      </w:r>
      <w:r w:rsidR="005B2049" w:rsidRPr="009F6E44">
        <w:t xml:space="preserve">. Models of per capita consumption as a function of household characteristics were </w:t>
      </w:r>
      <w:r w:rsidR="00565CD6" w:rsidRPr="009F6E44">
        <w:t xml:space="preserve">first </w:t>
      </w:r>
      <w:r w:rsidR="000914B4" w:rsidRPr="009F6E44">
        <w:t xml:space="preserve">estimated </w:t>
      </w:r>
      <w:r w:rsidR="005B2049" w:rsidRPr="009F6E44">
        <w:t>to identify household variables in the LSMS</w:t>
      </w:r>
      <w:r>
        <w:t>-ISA</w:t>
      </w:r>
      <w:r w:rsidR="005D2779">
        <w:t xml:space="preserve"> data</w:t>
      </w:r>
      <w:r w:rsidR="005B2049" w:rsidRPr="009F6E44">
        <w:t xml:space="preserve"> that best predict per capita consumption</w:t>
      </w:r>
      <w:r w:rsidR="00EE75F0">
        <w:rPr>
          <w:rStyle w:val="FootnoteReference"/>
        </w:rPr>
        <w:footnoteReference w:id="2"/>
      </w:r>
      <w:r w:rsidR="005B2049" w:rsidRPr="009F6E44">
        <w:t xml:space="preserve">. </w:t>
      </w:r>
      <w:r w:rsidR="002365EB">
        <w:t xml:space="preserve">Previous SAEp </w:t>
      </w:r>
      <w:r w:rsidR="002365EB" w:rsidRPr="007172F5">
        <w:t xml:space="preserve">applications </w:t>
      </w:r>
      <w:r w:rsidR="002365EB">
        <w:t>guided the choice of variables</w:t>
      </w:r>
      <w:r w:rsidR="005E6C50">
        <w:t xml:space="preserve"> </w:t>
      </w:r>
      <w:r w:rsidR="005E6C50">
        <w:fldChar w:fldCharType="begin">
          <w:fldData xml:space="preserve">PEVuZE5vdGU+PENpdGU+PEF1dGhvcj5DdW9uZzwvQXV0aG9yPjxZZWFyPjIwMTE8L1llYXI+PFJl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</w:fldData>
        </w:fldChar>
      </w:r>
      <w:r w:rsidR="009441FA">
        <w:instrText xml:space="preserve"> ADDIN EN.CITE </w:instrText>
      </w:r>
      <w:r w:rsidR="009441FA">
        <w:fldChar w:fldCharType="begin">
          <w:fldData xml:space="preserve">PEVuZE5vdGU+PENpdGU+PEF1dGhvcj5DdW9uZzwvQXV0aG9yPjxZZWFyPjIwMTE8L1llYXI+PFJl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</w:fldData>
        </w:fldChar>
      </w:r>
      <w:r w:rsidR="009441FA">
        <w:instrText xml:space="preserve"> ADDIN EN.CITE.DATA </w:instrText>
      </w:r>
      <w:r w:rsidR="009441FA">
        <w:fldChar w:fldCharType="end"/>
      </w:r>
      <w:r w:rsidR="005E6C50">
        <w:fldChar w:fldCharType="separate"/>
      </w:r>
      <w:r w:rsidR="00A463AE">
        <w:rPr>
          <w:noProof/>
        </w:rPr>
        <w:t>(Okwi, et al., 2003, Cuong, 2011, Daniels, 2011)</w:t>
      </w:r>
      <w:r w:rsidR="005E6C50">
        <w:fldChar w:fldCharType="end"/>
      </w:r>
      <w:r w:rsidR="00A463AE">
        <w:t xml:space="preserve">. </w:t>
      </w:r>
      <w:r w:rsidR="000914B4" w:rsidRPr="009F6E44">
        <w:t>T</w:t>
      </w:r>
      <w:r w:rsidR="0075165F" w:rsidRPr="009F6E44">
        <w:t xml:space="preserve">hese findings </w:t>
      </w:r>
      <w:r w:rsidR="00FA2A76">
        <w:t>dictate</w:t>
      </w:r>
      <w:r w:rsidR="002365EB">
        <w:t>d</w:t>
      </w:r>
      <w:r w:rsidR="00565CD6">
        <w:t xml:space="preserve"> which</w:t>
      </w:r>
      <w:r w:rsidR="000914B4">
        <w:t xml:space="preserve"> questions to</w:t>
      </w:r>
      <w:r w:rsidR="00565CD6">
        <w:t xml:space="preserve"> </w:t>
      </w:r>
      <w:r w:rsidR="0075165F">
        <w:t>include in</w:t>
      </w:r>
      <w:r w:rsidR="005B2049" w:rsidRPr="00B61427">
        <w:t xml:space="preserve"> </w:t>
      </w:r>
      <w:r w:rsidR="004E7E9B">
        <w:t xml:space="preserve">the </w:t>
      </w:r>
      <w:r w:rsidR="005B2049" w:rsidRPr="00B61427">
        <w:t>T</w:t>
      </w:r>
      <w:r w:rsidR="00FA2A76">
        <w:t>ororo household survey (THS)</w:t>
      </w:r>
      <w:r w:rsidR="005B2049" w:rsidRPr="00B61427">
        <w:t xml:space="preserve"> questionnaire</w:t>
      </w:r>
      <w:r w:rsidR="0075165F">
        <w:t xml:space="preserve">. </w:t>
      </w:r>
      <w:r w:rsidR="005B2049" w:rsidRPr="00B61427">
        <w:t xml:space="preserve">This approach has </w:t>
      </w:r>
      <w:r w:rsidR="0075165F">
        <w:t xml:space="preserve">the </w:t>
      </w:r>
      <w:r w:rsidR="005B2049" w:rsidRPr="00B61427">
        <w:t>advantage</w:t>
      </w:r>
      <w:r w:rsidR="00820484">
        <w:t xml:space="preserve"> of reducing </w:t>
      </w:r>
      <w:r w:rsidR="005B2049">
        <w:t xml:space="preserve">the amount of </w:t>
      </w:r>
      <w:r w:rsidR="005B2049" w:rsidRPr="00175D02">
        <w:t xml:space="preserve">information </w:t>
      </w:r>
      <w:r w:rsidR="00EC5826">
        <w:t>collected</w:t>
      </w:r>
      <w:r w:rsidR="005B2049" w:rsidRPr="00175D02">
        <w:t xml:space="preserve"> in the</w:t>
      </w:r>
      <w:r w:rsidR="005B2049">
        <w:t xml:space="preserve"> household survey, which in turn reduces the</w:t>
      </w:r>
      <w:r w:rsidR="005B2049" w:rsidRPr="00175D02">
        <w:t xml:space="preserve"> costs of</w:t>
      </w:r>
      <w:r w:rsidR="005B2049">
        <w:t xml:space="preserve"> data collection. </w:t>
      </w:r>
      <w:r w:rsidR="0075165F">
        <w:t xml:space="preserve">The THS </w:t>
      </w:r>
      <w:r w:rsidR="0075165F" w:rsidRPr="000D17D3">
        <w:t xml:space="preserve">questionnaire </w:t>
      </w:r>
      <w:r w:rsidR="0075165F">
        <w:t xml:space="preserve">was also </w:t>
      </w:r>
      <w:r w:rsidR="0075165F" w:rsidRPr="000D17D3">
        <w:t>design</w:t>
      </w:r>
      <w:r w:rsidR="0075165F">
        <w:t>ed to</w:t>
      </w:r>
      <w:r w:rsidR="0075165F" w:rsidRPr="000D17D3">
        <w:t xml:space="preserve"> </w:t>
      </w:r>
      <w:r w:rsidR="004E7E9B" w:rsidRPr="000D17D3">
        <w:t>mimic</w:t>
      </w:r>
      <w:r w:rsidR="0075165F" w:rsidRPr="000D17D3">
        <w:t xml:space="preserve"> as closely as possible the </w:t>
      </w:r>
      <w:r w:rsidR="0075165F">
        <w:t>LSMS</w:t>
      </w:r>
      <w:r w:rsidR="007C638C">
        <w:t>-ISA</w:t>
      </w:r>
      <w:r w:rsidR="0075165F">
        <w:t xml:space="preserve"> questionnaire</w:t>
      </w:r>
      <w:r w:rsidR="0075165F" w:rsidRPr="000D17D3">
        <w:t xml:space="preserve">. For instance, a household and its members were defined using </w:t>
      </w:r>
      <w:r w:rsidR="00FA2A76">
        <w:t xml:space="preserve">the same </w:t>
      </w:r>
      <w:r w:rsidR="0075165F" w:rsidRPr="000D17D3">
        <w:t xml:space="preserve">criteria </w:t>
      </w:r>
      <w:r w:rsidR="0075165F">
        <w:t>as in the LSMS-ISA and q</w:t>
      </w:r>
      <w:r w:rsidR="0075165F" w:rsidRPr="000D17D3">
        <w:t xml:space="preserve">uestions were phrased in the same manner </w:t>
      </w:r>
      <w:r w:rsidR="0075165F" w:rsidRPr="001F0923">
        <w:t>wherever po</w:t>
      </w:r>
      <w:r w:rsidR="0075165F">
        <w:t>ssible.</w:t>
      </w:r>
      <w:r w:rsidR="000914B4">
        <w:t xml:space="preserve"> </w:t>
      </w:r>
    </w:p>
    <w:p w14:paraId="431116A7" w14:textId="21B6807F" w:rsidR="00EC75C0" w:rsidRDefault="007C380F" w:rsidP="00A463AE">
      <w:pPr>
        <w:spacing w:line="480" w:lineRule="auto"/>
        <w:ind w:firstLine="720"/>
      </w:pPr>
      <w:r>
        <w:t>T</w:t>
      </w:r>
      <w:r w:rsidR="00EC75C0" w:rsidRPr="000D17D3">
        <w:t xml:space="preserve">he </w:t>
      </w:r>
      <w:r w:rsidR="000914B4">
        <w:t xml:space="preserve">THS </w:t>
      </w:r>
      <w:r w:rsidR="00EC75C0" w:rsidRPr="000D17D3">
        <w:t xml:space="preserve">survey requested information on </w:t>
      </w:r>
      <w:r w:rsidR="0075165F">
        <w:t xml:space="preserve">household </w:t>
      </w:r>
      <w:r w:rsidR="004E7E9B">
        <w:t xml:space="preserve">and </w:t>
      </w:r>
      <w:r w:rsidR="0075165F">
        <w:t>member chara</w:t>
      </w:r>
      <w:r w:rsidR="00482358">
        <w:t>cteristics, such as age, gender</w:t>
      </w:r>
      <w:r w:rsidR="0075165F">
        <w:t xml:space="preserve"> and </w:t>
      </w:r>
      <w:r w:rsidR="00EC75C0" w:rsidRPr="000D17D3">
        <w:t xml:space="preserve">education levels, housing conditions, </w:t>
      </w:r>
      <w:r w:rsidR="0075165F">
        <w:t xml:space="preserve">ownership of </w:t>
      </w:r>
      <w:r w:rsidR="00EC75C0" w:rsidRPr="000D17D3">
        <w:t>major</w:t>
      </w:r>
      <w:r w:rsidR="0075165F">
        <w:t xml:space="preserve"> durable good</w:t>
      </w:r>
      <w:r w:rsidR="00482358">
        <w:t>s</w:t>
      </w:r>
      <w:r w:rsidR="0075165F">
        <w:t xml:space="preserve"> and farming</w:t>
      </w:r>
      <w:r w:rsidR="00FA2A76">
        <w:t xml:space="preserve"> assets, agricultural practices,</w:t>
      </w:r>
      <w:r w:rsidR="00EC75C0" w:rsidRPr="000D17D3">
        <w:t xml:space="preserve"> input use, </w:t>
      </w:r>
      <w:r w:rsidR="00FA2A76" w:rsidRPr="000D17D3">
        <w:t>use of agricultural loans</w:t>
      </w:r>
      <w:r w:rsidR="00FA2A76">
        <w:t xml:space="preserve">, </w:t>
      </w:r>
      <w:r w:rsidR="00CD7818">
        <w:t>etc. In addition, the THS included</w:t>
      </w:r>
      <w:r w:rsidR="00CA54D6">
        <w:t xml:space="preserve"> q</w:t>
      </w:r>
      <w:r w:rsidR="00EC75C0">
        <w:t>uestions</w:t>
      </w:r>
      <w:r w:rsidR="00CA54D6">
        <w:t xml:space="preserve"> on </w:t>
      </w:r>
      <w:r w:rsidR="00AC596D">
        <w:t>CA</w:t>
      </w:r>
      <w:r w:rsidR="00CA54D6">
        <w:t xml:space="preserve"> adoption</w:t>
      </w:r>
      <w:r w:rsidR="00CD7818">
        <w:t xml:space="preserve">, </w:t>
      </w:r>
      <w:r w:rsidR="00CA54D6">
        <w:t>adapted from previous CA s</w:t>
      </w:r>
      <w:r w:rsidR="00EC75C0">
        <w:t xml:space="preserve">urveys </w:t>
      </w:r>
      <w:r w:rsidR="00675806">
        <w:t xml:space="preserve">conducted </w:t>
      </w:r>
      <w:r w:rsidR="00EC75C0">
        <w:t xml:space="preserve">in the </w:t>
      </w:r>
      <w:r w:rsidR="00CD6570">
        <w:t xml:space="preserve">district </w:t>
      </w:r>
      <w:r w:rsidR="005E6C50">
        <w:fldChar w:fldCharType="begin"/>
      </w:r>
      <w:r w:rsidR="00A463AE">
        <w:instrText xml:space="preserve"> ADDIN EN.CITE &lt;EndNote&gt;&lt;Cite&gt;&lt;Author&gt;Vaiknoras&lt;/Author&gt;&lt;Year&gt;2015&lt;/Year&gt;&lt;RecNum&gt;31&lt;/RecNum&gt;&lt;DisplayText&gt;(Vaiknoras, et al., 2015)&lt;/DisplayText&gt;&lt;record&gt;&lt;rec-number&gt;31&lt;/rec-number&gt;&lt;foreign-keys&gt;&lt;key app="EN" db-id="5fvtavdaavaz95e2zv0vf9wms90fv05av5se" timestamp="1481045127"&gt;31&lt;/key&gt;&lt;/foreign-keys&gt;&lt;ref-type name="Journal Article"&gt;17&lt;/ref-type&gt;&lt;contributors&gt;&lt;authors&gt;&lt;author&gt;Vaiknoras, Kate&lt;/author&gt;&lt;author&gt;Norton, George&lt;/author&gt;&lt;author&gt;Alwang, Jeffrey&lt;/author&gt;&lt;/authors&gt;&lt;/contributors&gt;&lt;titles&gt;&lt;title&gt;Farmer preferences for attributes of conservation agriculture in Uganda&lt;/title&gt;&lt;secondary-title&gt;African Journal of Agricultural and Resource Economics&lt;/secondary-title&gt;&lt;/titles&gt;&lt;periodical&gt;&lt;full-title&gt;African Journal of Agricultural and Resource Economics&lt;/full-title&gt;&lt;abbr-1&gt;AfJARE&lt;/abbr-1&gt;&lt;/periodical&gt;&lt;pages&gt;158-173&lt;/pages&gt;&lt;volume&gt;10&lt;/volume&gt;&lt;number&gt;2&lt;/number&gt;&lt;dates&gt;&lt;year&gt;2015&lt;/year&gt;&lt;/dates&gt;&lt;isbn&gt;1993-3738&lt;/isbn&gt;&lt;urls&gt;&lt;/urls&gt;&lt;/record&gt;&lt;/Cite&gt;&lt;/EndNote&gt;</w:instrText>
      </w:r>
      <w:r w:rsidR="005E6C50">
        <w:fldChar w:fldCharType="separate"/>
      </w:r>
      <w:r w:rsidR="00A463AE">
        <w:rPr>
          <w:noProof/>
        </w:rPr>
        <w:t>(Vaiknoras, et al., 2015)</w:t>
      </w:r>
      <w:r w:rsidR="005E6C50">
        <w:fldChar w:fldCharType="end"/>
      </w:r>
      <w:r w:rsidR="00EC75C0" w:rsidRPr="00331DF6">
        <w:t>.</w:t>
      </w:r>
      <w:r w:rsidR="00EC75C0">
        <w:t xml:space="preserve"> The survey team</w:t>
      </w:r>
      <w:r w:rsidR="00EC75C0" w:rsidRPr="00AF4A2A">
        <w:t xml:space="preserve"> also conducted focus group discussions </w:t>
      </w:r>
      <w:r w:rsidR="00B6485A">
        <w:t>with</w:t>
      </w:r>
      <w:r w:rsidR="00540C40">
        <w:t xml:space="preserve"> </w:t>
      </w:r>
      <w:r w:rsidR="00B6485A">
        <w:t xml:space="preserve">key informants in each village. </w:t>
      </w:r>
      <w:r w:rsidR="00482358">
        <w:t>I</w:t>
      </w:r>
      <w:r w:rsidR="00EC75C0">
        <w:t xml:space="preserve">nformation </w:t>
      </w:r>
      <w:r w:rsidR="00E52EEA">
        <w:t>was gathered on</w:t>
      </w:r>
      <w:r w:rsidR="00356DFD">
        <w:t xml:space="preserve"> village characteristics, </w:t>
      </w:r>
      <w:r w:rsidR="009A5BBD">
        <w:t xml:space="preserve">adoption of </w:t>
      </w:r>
      <w:r w:rsidR="00B6485A">
        <w:t xml:space="preserve">CA, </w:t>
      </w:r>
      <w:r w:rsidR="00675806">
        <w:t xml:space="preserve">and </w:t>
      </w:r>
      <w:r w:rsidR="00B6485A">
        <w:t>yield</w:t>
      </w:r>
      <w:r w:rsidR="00675806">
        <w:t>, production costs</w:t>
      </w:r>
      <w:r w:rsidR="00EF3E2D">
        <w:t>,</w:t>
      </w:r>
      <w:r w:rsidR="00B6485A">
        <w:t xml:space="preserve"> a</w:t>
      </w:r>
      <w:r w:rsidR="00675806">
        <w:t>nd price for the main crops in the village</w:t>
      </w:r>
      <w:r w:rsidR="00B6485A">
        <w:t xml:space="preserve">. </w:t>
      </w:r>
    </w:p>
    <w:p w14:paraId="71E10D97" w14:textId="12F452A9" w:rsidR="00510458" w:rsidRDefault="00EC75C0" w:rsidP="00914555">
      <w:pPr>
        <w:spacing w:line="480" w:lineRule="auto"/>
      </w:pPr>
      <w:r>
        <w:tab/>
      </w:r>
      <w:r w:rsidR="00EA0D04">
        <w:t>A stratified, multi</w:t>
      </w:r>
      <w:r w:rsidR="00B6485A">
        <w:t>stage cluster</w:t>
      </w:r>
      <w:r w:rsidR="00675806">
        <w:t>ed</w:t>
      </w:r>
      <w:r w:rsidR="00B6485A">
        <w:t xml:space="preserve"> sampling design</w:t>
      </w:r>
      <w:r w:rsidR="00EA0D04">
        <w:t xml:space="preserve"> was employed. Sub-counties were the primary </w:t>
      </w:r>
      <w:r w:rsidR="00B6485A">
        <w:t>sampling units (PSUs), villages were</w:t>
      </w:r>
      <w:r w:rsidR="00EA0D04">
        <w:t xml:space="preserve"> the secondary sampling units (SSUs), and households were the ultimate sampling units (USUs). Due to the focus on rural poverty and </w:t>
      </w:r>
      <w:r w:rsidR="00EA0D04">
        <w:lastRenderedPageBreak/>
        <w:t xml:space="preserve">agriculture, the district’s three urban municipalities were excluded from the sample frame. </w:t>
      </w:r>
      <w:r w:rsidR="00E143AB">
        <w:t xml:space="preserve">The sample </w:t>
      </w:r>
      <w:r w:rsidR="00675806">
        <w:t>includes</w:t>
      </w:r>
      <w:r w:rsidR="00E143AB">
        <w:t xml:space="preserve"> 480 households </w:t>
      </w:r>
      <w:r w:rsidR="005D1A3B">
        <w:t xml:space="preserve">located across </w:t>
      </w:r>
      <w:r w:rsidR="00E143AB">
        <w:t xml:space="preserve">24 villages </w:t>
      </w:r>
      <w:r w:rsidR="00BD1DC1">
        <w:t>dnd 6 sub-counties</w:t>
      </w:r>
      <w:r w:rsidR="00E143AB">
        <w:t>.</w:t>
      </w:r>
      <w:r w:rsidR="003C7301">
        <w:t xml:space="preserve"> </w:t>
      </w:r>
      <w:r w:rsidR="00EA0D04">
        <w:t xml:space="preserve">This survey-based population estimate is </w:t>
      </w:r>
      <w:r w:rsidR="00510458">
        <w:t xml:space="preserve">88,993 households, which is </w:t>
      </w:r>
      <w:r w:rsidR="00EA0D04">
        <w:t xml:space="preserve">very close to the preliminary 2014 Population Census estimate of 89,930 </w:t>
      </w:r>
      <w:r w:rsidR="00EA0D04" w:rsidRPr="00613D7D">
        <w:t>households</w:t>
      </w:r>
      <w:r w:rsidR="00AA5882">
        <w:t xml:space="preserve"> released in</w:t>
      </w:r>
      <w:r w:rsidR="00EA0D04">
        <w:t xml:space="preserve"> November 2014</w:t>
      </w:r>
      <w:r w:rsidR="00EA0D04" w:rsidRPr="00613D7D">
        <w:t xml:space="preserve"> </w:t>
      </w:r>
      <w:r w:rsidR="00914555">
        <w:fldChar w:fldCharType="begin"/>
      </w:r>
      <w:r w:rsidR="00914555">
        <w:instrText xml:space="preserve"> ADDIN EN.CITE &lt;EndNote&gt;&lt;Cite&gt;&lt;Author&gt;UBOS&lt;/Author&gt;&lt;Year&gt;2014&lt;/Year&gt;&lt;RecNum&gt;37&lt;/RecNum&gt;&lt;DisplayText&gt;(UBOS, 2014)&lt;/DisplayText&gt;&lt;record&gt;&lt;rec-number&gt;37&lt;/rec-number&gt;&lt;foreign-keys&gt;&lt;key app="EN" db-id="5fvtavdaavaz95e2zv0vf9wms90fv05av5se" timestamp="1481135956"&gt;37&lt;/key&gt;&lt;/foreign-keys&gt;&lt;ref-type name="Report"&gt;27&lt;/ref-type&gt;&lt;contributors&gt;&lt;authors&gt;&lt;author&gt;UBOS&lt;/author&gt;&lt;/authors&gt;&lt;/contributors&gt;&lt;titles&gt;&lt;title&gt;Uganda National Population and Housing Census: Provisional Results&lt;/title&gt;&lt;/titles&gt;&lt;dates&gt;&lt;year&gt;2014&lt;/year&gt;&lt;/dates&gt;&lt;urls&gt;&lt;related-urls&gt;&lt;url&gt;http://unstats.un.org/unsd/demographic/sources/census/wphc/Uganda/UGA-2014-11.pdf&lt;/url&gt;&lt;/related-urls&gt;&lt;/urls&gt;&lt;access-date&gt;December 2016&lt;/access-date&gt;&lt;/record&gt;&lt;/Cite&gt;&lt;/EndNote&gt;</w:instrText>
      </w:r>
      <w:r w:rsidR="00914555">
        <w:fldChar w:fldCharType="separate"/>
      </w:r>
      <w:r w:rsidR="00914555">
        <w:rPr>
          <w:noProof/>
        </w:rPr>
        <w:t>(UBOS, 2014)</w:t>
      </w:r>
      <w:r w:rsidR="00914555">
        <w:fldChar w:fldCharType="end"/>
      </w:r>
      <w:r w:rsidR="00EA0D04" w:rsidRPr="00613D7D">
        <w:t xml:space="preserve">. </w:t>
      </w:r>
    </w:p>
    <w:p w14:paraId="765C12E8" w14:textId="3462C264" w:rsidR="005C32CB" w:rsidRDefault="00EA0D04" w:rsidP="000914B4">
      <w:pPr>
        <w:spacing w:line="480" w:lineRule="auto"/>
        <w:ind w:firstLine="720"/>
      </w:pPr>
      <w:r w:rsidRPr="00613D7D">
        <w:t>To</w:t>
      </w:r>
      <w:r>
        <w:t xml:space="preserve"> improve the representativeness of the THS </w:t>
      </w:r>
      <w:proofErr w:type="gramStart"/>
      <w:r>
        <w:t>in light of</w:t>
      </w:r>
      <w:proofErr w:type="gramEnd"/>
      <w:r>
        <w:t xml:space="preserve"> the updated census strata population estimates, p</w:t>
      </w:r>
      <w:r w:rsidRPr="0081194D">
        <w:t xml:space="preserve">ost-stratification adjustment factors (PSAFs) </w:t>
      </w:r>
      <w:r>
        <w:t>were</w:t>
      </w:r>
      <w:r w:rsidRPr="0081194D">
        <w:t xml:space="preserve"> calculated by dividing the 2014 Census strata population fractions by their THS sampling fractions. The strata sampling fractions </w:t>
      </w:r>
      <w:r>
        <w:t>were</w:t>
      </w:r>
      <w:r w:rsidRPr="0081194D">
        <w:t xml:space="preserve"> adjusted to match their 2014 Census strata population fractions by multiplying each househol</w:t>
      </w:r>
      <w:r>
        <w:t>d weight by its stratum’s PSAF.</w:t>
      </w:r>
    </w:p>
    <w:p w14:paraId="6E82236F" w14:textId="77777777" w:rsidR="001032DD" w:rsidRDefault="001032DD" w:rsidP="004A38EE">
      <w:pPr>
        <w:spacing w:line="480" w:lineRule="auto"/>
      </w:pPr>
    </w:p>
    <w:p w14:paraId="169DF816" w14:textId="2A367333" w:rsidR="004823F6" w:rsidRPr="004A38EE" w:rsidRDefault="00986399" w:rsidP="0041529C">
      <w:pPr>
        <w:pStyle w:val="ListParagraph"/>
        <w:numPr>
          <w:ilvl w:val="0"/>
          <w:numId w:val="19"/>
        </w:numPr>
        <w:spacing w:line="480" w:lineRule="auto"/>
        <w:ind w:left="270" w:hanging="270"/>
        <w:rPr>
          <w:b/>
          <w:bCs/>
        </w:rPr>
      </w:pPr>
      <w:r w:rsidRPr="004A38EE">
        <w:rPr>
          <w:b/>
          <w:bCs/>
        </w:rPr>
        <w:t xml:space="preserve">Methods </w:t>
      </w:r>
    </w:p>
    <w:p w14:paraId="258FA3E3" w14:textId="7CA5D0C7" w:rsidR="00D429C0" w:rsidRDefault="00CD7818" w:rsidP="0041529C">
      <w:pPr>
        <w:spacing w:line="480" w:lineRule="auto"/>
        <w:ind w:firstLine="270"/>
        <w:rPr>
          <w:rFonts w:eastAsia="Calibri"/>
        </w:rPr>
      </w:pPr>
      <w:proofErr w:type="gramStart"/>
      <w:r w:rsidRPr="00CD7818">
        <w:t>In order to</w:t>
      </w:r>
      <w:proofErr w:type="gramEnd"/>
      <w:r w:rsidRPr="00CD7818">
        <w:t xml:space="preserve"> obtain precise measures of poverty and inequality in Tororo district, the THS </w:t>
      </w:r>
      <w:r w:rsidR="006A2932" w:rsidRPr="00CD7818">
        <w:t>is linked to the LSMS-ISA through SAEp methods</w:t>
      </w:r>
      <w:r w:rsidRPr="00CD7818">
        <w:t>.</w:t>
      </w:r>
      <w:r w:rsidR="006A2932" w:rsidRPr="00CD7818">
        <w:t xml:space="preserve"> </w:t>
      </w:r>
      <w:r w:rsidR="00D429C0" w:rsidRPr="00DB5F71">
        <w:rPr>
          <w:rFonts w:eastAsia="Calibri"/>
        </w:rPr>
        <w:t>Then, the effects of CA-induced farm profit increases on welfare</w:t>
      </w:r>
      <w:r w:rsidR="00D429C0">
        <w:rPr>
          <w:rFonts w:eastAsia="Calibri"/>
        </w:rPr>
        <w:t xml:space="preserve"> </w:t>
      </w:r>
      <w:r w:rsidR="00D429C0" w:rsidRPr="00D429C0">
        <w:rPr>
          <w:rFonts w:eastAsia="Calibri"/>
        </w:rPr>
        <w:t>are simulated for d</w:t>
      </w:r>
      <w:r w:rsidR="006A2932" w:rsidRPr="00D429C0">
        <w:rPr>
          <w:rFonts w:eastAsia="Calibri"/>
        </w:rPr>
        <w:t>ifferent scen</w:t>
      </w:r>
      <w:r w:rsidR="00D429C0" w:rsidRPr="00D429C0">
        <w:rPr>
          <w:rFonts w:eastAsia="Calibri"/>
        </w:rPr>
        <w:t xml:space="preserve">arios about the profitability and </w:t>
      </w:r>
      <w:r w:rsidR="00944E57" w:rsidRPr="00D429C0">
        <w:rPr>
          <w:rFonts w:eastAsia="Calibri"/>
        </w:rPr>
        <w:t>adoption</w:t>
      </w:r>
      <w:r w:rsidR="00D429C0" w:rsidRPr="00D429C0">
        <w:rPr>
          <w:rFonts w:eastAsia="Calibri"/>
        </w:rPr>
        <w:t xml:space="preserve"> level</w:t>
      </w:r>
      <w:r w:rsidR="006A2932" w:rsidRPr="00D429C0">
        <w:rPr>
          <w:rFonts w:eastAsia="Calibri"/>
        </w:rPr>
        <w:t xml:space="preserve"> </w:t>
      </w:r>
      <w:r w:rsidR="00D429C0" w:rsidRPr="00D429C0">
        <w:rPr>
          <w:rFonts w:eastAsia="Calibri"/>
        </w:rPr>
        <w:t xml:space="preserve">of CA in Tororo district. These scenarios are developed by </w:t>
      </w:r>
      <w:r w:rsidR="007E5E56" w:rsidRPr="00D429C0">
        <w:rPr>
          <w:rFonts w:eastAsia="Calibri"/>
        </w:rPr>
        <w:t>combining</w:t>
      </w:r>
      <w:r w:rsidR="006A2932" w:rsidRPr="00D429C0">
        <w:rPr>
          <w:rFonts w:eastAsia="Calibri"/>
        </w:rPr>
        <w:t xml:space="preserve"> data from on-station and on-farm trials,</w:t>
      </w:r>
      <w:r w:rsidR="00540C40">
        <w:rPr>
          <w:rFonts w:eastAsia="Calibri"/>
        </w:rPr>
        <w:t xml:space="preserve"> </w:t>
      </w:r>
      <w:r w:rsidR="006A2932" w:rsidRPr="00D429C0">
        <w:rPr>
          <w:rFonts w:eastAsia="Calibri"/>
        </w:rPr>
        <w:t xml:space="preserve">community focus groups and </w:t>
      </w:r>
      <w:r w:rsidR="00540C40">
        <w:rPr>
          <w:rFonts w:eastAsia="Calibri"/>
        </w:rPr>
        <w:t xml:space="preserve">the </w:t>
      </w:r>
      <w:r w:rsidR="00D429C0">
        <w:rPr>
          <w:rFonts w:eastAsia="Calibri"/>
        </w:rPr>
        <w:t xml:space="preserve">THS. </w:t>
      </w:r>
      <w:r w:rsidR="006A2932" w:rsidRPr="00DB5F71">
        <w:rPr>
          <w:rFonts w:eastAsia="Calibri"/>
        </w:rPr>
        <w:t xml:space="preserve"> </w:t>
      </w:r>
    </w:p>
    <w:p w14:paraId="416FF79D" w14:textId="69156D5A" w:rsidR="006A2932" w:rsidRPr="006A2932" w:rsidRDefault="006A2932" w:rsidP="006951BB">
      <w:pPr>
        <w:spacing w:line="480" w:lineRule="auto"/>
        <w:rPr>
          <w:rFonts w:eastAsia="Calibri"/>
          <w:i/>
          <w:iCs/>
        </w:rPr>
      </w:pPr>
      <w:r w:rsidRPr="006A2932">
        <w:rPr>
          <w:rFonts w:eastAsia="Calibri"/>
          <w:i/>
          <w:iCs/>
        </w:rPr>
        <w:t xml:space="preserve">4.1 Small area estimation of poverty </w:t>
      </w:r>
    </w:p>
    <w:p w14:paraId="22966C20" w14:textId="7F7B2430" w:rsidR="00E46BD5" w:rsidRDefault="00156159" w:rsidP="0041529C">
      <w:pPr>
        <w:spacing w:line="480" w:lineRule="auto"/>
        <w:ind w:firstLine="720"/>
      </w:pPr>
      <w:proofErr w:type="gramStart"/>
      <w:r>
        <w:t>In order to</w:t>
      </w:r>
      <w:proofErr w:type="gramEnd"/>
      <w:r>
        <w:t xml:space="preserve"> estimate welfare in Tororo</w:t>
      </w:r>
      <w:r w:rsidR="006951BB">
        <w:t xml:space="preserve"> district, the following</w:t>
      </w:r>
      <w:r>
        <w:t xml:space="preserve"> </w:t>
      </w:r>
      <w:r w:rsidR="00E46BD5" w:rsidRPr="00B74BF1">
        <w:t>linear mixed</w:t>
      </w:r>
      <w:r w:rsidR="00E46BD5">
        <w:t xml:space="preserve"> effects model</w:t>
      </w:r>
      <w:r w:rsidR="006951BB">
        <w:t xml:space="preserve">, adapted </w:t>
      </w:r>
      <w:r w:rsidR="006951BB" w:rsidRPr="00B74BF1">
        <w:t xml:space="preserve">from ELL (2002, 2003), </w:t>
      </w:r>
      <w:r w:rsidR="006951BB">
        <w:t>is specified</w:t>
      </w:r>
      <w:r w:rsidR="00E46BD5">
        <w:t>:</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5"/>
        <w:gridCol w:w="627"/>
      </w:tblGrid>
      <w:tr w:rsidR="00034A81" w:rsidRPr="002C1CBF" w14:paraId="690EE89C" w14:textId="7BCA4CC6" w:rsidTr="00034A81">
        <w:tc>
          <w:tcPr>
            <w:tcW w:w="4665" w:type="pct"/>
            <w:vAlign w:val="center"/>
          </w:tcPr>
          <w:p w14:paraId="7FBED399" w14:textId="43A68090" w:rsidR="00034A81" w:rsidRPr="002C1CBF" w:rsidRDefault="00997C20" w:rsidP="00E46BD5">
            <w:pPr>
              <w:jc w:val="center"/>
            </w:pPr>
            <m:oMathPara>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ch</m:t>
                            </m:r>
                          </m:sub>
                        </m:sSub>
                      </m:e>
                    </m:d>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ch</m:t>
                        </m:r>
                      </m:sub>
                    </m:sSub>
                    <m:r>
                      <w:rPr>
                        <w:rFonts w:ascii="Cambria Math" w:hAnsi="Cambria Math"/>
                      </w:rPr>
                      <m:t>β+</m:t>
                    </m:r>
                    <m:sSub>
                      <m:sSubPr>
                        <m:ctrlPr>
                          <w:rPr>
                            <w:rFonts w:ascii="Cambria Math" w:hAnsi="Cambria Math"/>
                            <w:i/>
                          </w:rPr>
                        </m:ctrlPr>
                      </m:sSubPr>
                      <m:e>
                        <m:r>
                          <w:rPr>
                            <w:rFonts w:ascii="Cambria Math" w:hAnsi="Cambria Math"/>
                          </w:rPr>
                          <m:t>η</m:t>
                        </m:r>
                      </m:e>
                      <m:sub>
                        <m:r>
                          <w:rPr>
                            <w:rFonts w:ascii="Cambria Math" w:hAnsi="Cambria Math"/>
                          </w:rPr>
                          <m:t>c</m:t>
                        </m:r>
                      </m:sub>
                    </m:sSub>
                    <m:r>
                      <w:rPr>
                        <w:rFonts w:ascii="Cambria Math" w:hAnsi="Cambria Math"/>
                      </w:rPr>
                      <m:t xml:space="preserve">+ </m:t>
                    </m:r>
                    <m:sSub>
                      <m:sSubPr>
                        <m:ctrlPr>
                          <w:rPr>
                            <w:rFonts w:ascii="Cambria Math" w:hAnsi="Cambria Math"/>
                            <w:i/>
                          </w:rPr>
                        </m:ctrlPr>
                      </m:sSubPr>
                      <m:e>
                        <m:r>
                          <w:rPr>
                            <w:rFonts w:ascii="Cambria Math" w:hAnsi="Cambria Math"/>
                          </w:rPr>
                          <m:t>ε</m:t>
                        </m:r>
                      </m:e>
                      <m:sub>
                        <m:r>
                          <w:rPr>
                            <w:rFonts w:ascii="Cambria Math" w:hAnsi="Cambria Math"/>
                          </w:rPr>
                          <m:t>ch</m:t>
                        </m:r>
                      </m:sub>
                    </m:sSub>
                  </m:e>
                </m:func>
              </m:oMath>
            </m:oMathPara>
          </w:p>
        </w:tc>
        <w:tc>
          <w:tcPr>
            <w:tcW w:w="335" w:type="pct"/>
            <w:vAlign w:val="center"/>
          </w:tcPr>
          <w:p w14:paraId="2B77FAC7" w14:textId="62FA4CD9" w:rsidR="00034A81" w:rsidRDefault="00034A81" w:rsidP="00E46BD5">
            <w:pPr>
              <w:jc w:val="center"/>
              <w:rPr>
                <w:rFonts w:eastAsia="Calibri"/>
              </w:rPr>
            </w:pPr>
            <w:bookmarkStart w:id="1" w:name="_Ref297467340"/>
            <w:r w:rsidRPr="00A30D83">
              <w:t>(</w:t>
            </w:r>
            <w:fldSimple w:instr=" SEQ Equation \* ARABIC ">
              <w:r w:rsidR="00BB06E6">
                <w:rPr>
                  <w:noProof/>
                </w:rPr>
                <w:t>1</w:t>
              </w:r>
            </w:fldSimple>
            <w:r w:rsidRPr="00A30D83">
              <w:t>)</w:t>
            </w:r>
            <w:bookmarkEnd w:id="1"/>
          </w:p>
        </w:tc>
      </w:tr>
      <w:tr w:rsidR="00034A81" w:rsidRPr="002C1CBF" w14:paraId="75EE0AC1" w14:textId="0F56DA47" w:rsidTr="00034A81">
        <w:trPr>
          <w:trHeight w:val="261"/>
        </w:trPr>
        <w:tc>
          <w:tcPr>
            <w:tcW w:w="4665" w:type="pct"/>
            <w:vAlign w:val="center"/>
          </w:tcPr>
          <w:p w14:paraId="7BFE8548" w14:textId="1B5A1468" w:rsidR="00034A81" w:rsidRDefault="00034A81" w:rsidP="00E46BD5">
            <w:pPr>
              <w:jc w:val="center"/>
              <w:rPr>
                <w:rFonts w:eastAsia="MS Mincho"/>
              </w:rPr>
            </w:pPr>
          </w:p>
        </w:tc>
        <w:tc>
          <w:tcPr>
            <w:tcW w:w="335" w:type="pct"/>
            <w:vAlign w:val="center"/>
          </w:tcPr>
          <w:p w14:paraId="08A93DFF" w14:textId="77777777" w:rsidR="00034A81" w:rsidRDefault="00034A81" w:rsidP="00E46BD5">
            <w:pPr>
              <w:jc w:val="center"/>
              <w:rPr>
                <w:rFonts w:eastAsia="MS Mincho"/>
              </w:rPr>
            </w:pPr>
          </w:p>
        </w:tc>
      </w:tr>
    </w:tbl>
    <w:p w14:paraId="481F979B" w14:textId="2673F79C" w:rsidR="00E46BD5" w:rsidRDefault="00094D2F" w:rsidP="00CA799E">
      <w:pPr>
        <w:spacing w:line="480" w:lineRule="auto"/>
      </w:pPr>
      <w:r>
        <w:t xml:space="preserve">where </w:t>
      </w:r>
      <m:oMath>
        <m:r>
          <m:rPr>
            <m:sty m:val="p"/>
          </m:rP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ch</m:t>
                </m:r>
              </m:sub>
            </m:sSub>
          </m:e>
        </m:d>
      </m:oMath>
      <w:r w:rsidR="006951BB" w:rsidRPr="00D24844">
        <w:t xml:space="preserve"> is the natural log of </w:t>
      </w:r>
      <w:r w:rsidR="006951BB">
        <w:t xml:space="preserve">the </w:t>
      </w:r>
      <w:r w:rsidR="006951BB" w:rsidRPr="00D24844">
        <w:t>per capita cons</w:t>
      </w:r>
      <w:r>
        <w:t>umption</w:t>
      </w:r>
      <w:r w:rsidR="006951BB">
        <w:t xml:space="preserve"> estimated from the LSMS-ISA.  T</w:t>
      </w:r>
      <w:r w:rsidR="00E46BD5">
        <w:t xml:space="preserve">he subscript </w:t>
      </w:r>
      <w:r w:rsidR="00E46BD5">
        <w:rPr>
          <w:i/>
        </w:rPr>
        <w:t xml:space="preserve">ch </w:t>
      </w:r>
      <w:r w:rsidR="00E46BD5">
        <w:t xml:space="preserve">represents a given rural household </w:t>
      </w:r>
      <w:r w:rsidR="00E46BD5">
        <w:rPr>
          <w:i/>
        </w:rPr>
        <w:t>h</w:t>
      </w:r>
      <w:r w:rsidR="00E46BD5">
        <w:t xml:space="preserve"> in a cluster </w:t>
      </w:r>
      <w:r w:rsidR="00E46BD5">
        <w:rPr>
          <w:i/>
        </w:rPr>
        <w:t xml:space="preserve">c </w:t>
      </w:r>
      <w:r w:rsidR="00E46BD5">
        <w:t xml:space="preserve">in </w:t>
      </w:r>
      <w:r w:rsidR="009B0233">
        <w:t>the e</w:t>
      </w:r>
      <w:r w:rsidR="00E46BD5">
        <w:t xml:space="preserve">astern </w:t>
      </w:r>
      <w:r w:rsidR="009B0233">
        <w:t>r</w:t>
      </w:r>
      <w:r w:rsidR="00E46BD5">
        <w:t>egion</w:t>
      </w:r>
      <w:r w:rsidR="009B0233">
        <w:t xml:space="preserve"> of Uganda</w:t>
      </w:r>
      <w:r w:rsidR="00E46BD5">
        <w:t xml:space="preserve">. </w:t>
      </w:r>
      <w:r w:rsidR="006951BB">
        <w:t xml:space="preserve">A </w:t>
      </w:r>
      <w:r w:rsidR="00E46BD5">
        <w:t xml:space="preserve">cluster describes a group of households located in the same enumeration area or </w:t>
      </w:r>
      <w:r w:rsidR="00E46BD5">
        <w:lastRenderedPageBreak/>
        <w:t xml:space="preserve">village. </w:t>
      </w:r>
      <w:r w:rsidR="00E46BD5" w:rsidRPr="007235D1">
        <w:t>The fixed portion of the right-hand side (RHS) of</w:t>
      </w:r>
      <w:r w:rsidR="00A47AA2" w:rsidRPr="007235D1">
        <w:t xml:space="preserve"> </w:t>
      </w:r>
      <w:r w:rsidR="00A47AA2" w:rsidRPr="007235D1">
        <w:fldChar w:fldCharType="begin"/>
      </w:r>
      <w:r w:rsidR="00A47AA2" w:rsidRPr="007235D1">
        <w:instrText xml:space="preserve"> REF _Ref297467340 \h </w:instrText>
      </w:r>
      <w:r w:rsidR="00A47AA2" w:rsidRPr="007235D1">
        <w:fldChar w:fldCharType="separate"/>
      </w:r>
      <w:r w:rsidR="00BB06E6" w:rsidRPr="00A30D83">
        <w:t>(</w:t>
      </w:r>
      <w:r w:rsidR="00BB06E6">
        <w:rPr>
          <w:noProof/>
        </w:rPr>
        <w:t>1</w:t>
      </w:r>
      <w:r w:rsidR="00BB06E6" w:rsidRPr="00A30D83">
        <w:t>)</w:t>
      </w:r>
      <w:r w:rsidR="00A47AA2" w:rsidRPr="007235D1">
        <w:fldChar w:fldCharType="end"/>
      </w:r>
      <w:r w:rsidR="00A47AA2" w:rsidRPr="007235D1">
        <w:t xml:space="preserve"> </w:t>
      </w:r>
      <w:r w:rsidR="00E46BD5" w:rsidRPr="007235D1">
        <w:t xml:space="preserve">consists of </w:t>
      </w:r>
      <w:r w:rsidR="00CA799E">
        <w:t>two vectors</w:t>
      </w:r>
      <w:r w:rsidR="00E46BD5" w:rsidRPr="002365EB">
        <w:t xml:space="preserve">: </w:t>
      </w:r>
      <m:oMath>
        <m:sSub>
          <m:sSubPr>
            <m:ctrlPr>
              <w:rPr>
                <w:rFonts w:ascii="Cambria Math" w:hAnsi="Cambria Math"/>
                <w:i/>
              </w:rPr>
            </m:ctrlPr>
          </m:sSubPr>
          <m:e>
            <m:r>
              <w:rPr>
                <w:rFonts w:ascii="Cambria Math" w:hAnsi="Cambria Math"/>
              </w:rPr>
              <m:t>x</m:t>
            </m:r>
          </m:e>
          <m:sub>
            <m:r>
              <w:rPr>
                <w:rFonts w:ascii="Cambria Math" w:hAnsi="Cambria Math"/>
              </w:rPr>
              <m:t>ch</m:t>
            </m:r>
          </m:sub>
        </m:sSub>
      </m:oMath>
      <w:r w:rsidR="00E46BD5" w:rsidRPr="002365EB">
        <w:t xml:space="preserve"> and </w:t>
      </w:r>
      <m:oMath>
        <m:r>
          <w:rPr>
            <w:rFonts w:ascii="Cambria Math" w:hAnsi="Cambria Math"/>
          </w:rPr>
          <m:t>β</m:t>
        </m:r>
      </m:oMath>
      <w:r w:rsidR="002365EB" w:rsidRPr="002365EB">
        <w:t>.</w:t>
      </w:r>
      <w:r w:rsidR="00E46BD5" w:rsidRPr="002365EB">
        <w:t xml:space="preserve"> </w:t>
      </w:r>
      <m:oMath>
        <m:sSub>
          <m:sSubPr>
            <m:ctrlPr>
              <w:rPr>
                <w:rFonts w:ascii="Cambria Math" w:hAnsi="Cambria Math"/>
                <w:i/>
              </w:rPr>
            </m:ctrlPr>
          </m:sSubPr>
          <m:e>
            <m:r>
              <w:rPr>
                <w:rFonts w:ascii="Cambria Math" w:hAnsi="Cambria Math"/>
              </w:rPr>
              <m:t>x</m:t>
            </m:r>
          </m:e>
          <m:sub>
            <m:r>
              <w:rPr>
                <w:rFonts w:ascii="Cambria Math" w:hAnsi="Cambria Math"/>
              </w:rPr>
              <m:t>ch</m:t>
            </m:r>
          </m:sub>
        </m:sSub>
      </m:oMath>
      <w:r w:rsidR="002365EB" w:rsidRPr="002365EB">
        <w:t>is a vector of household</w:t>
      </w:r>
      <w:r w:rsidR="00E46BD5" w:rsidRPr="002365EB">
        <w:t xml:space="preserve"> characteristics correlated with </w:t>
      </w:r>
      <m:oMath>
        <m:r>
          <m:rPr>
            <m:sty m:val="p"/>
          </m:rP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ch</m:t>
                </m:r>
              </m:sub>
            </m:sSub>
          </m:e>
        </m:d>
      </m:oMath>
      <w:r w:rsidR="00CA799E">
        <w:t xml:space="preserve"> consisting of</w:t>
      </w:r>
      <w:r w:rsidR="002365EB" w:rsidRPr="002365EB">
        <w:t xml:space="preserve"> household demographics, housing characteristics, and ownership of durable goods and farm </w:t>
      </w:r>
      <w:proofErr w:type="gramStart"/>
      <w:r w:rsidR="002365EB" w:rsidRPr="002365EB">
        <w:t>assets.</w:t>
      </w:r>
      <w:proofErr w:type="gramEnd"/>
      <w:r w:rsidR="002365EB" w:rsidRPr="002365EB">
        <w:t xml:space="preserve"> </w:t>
      </w:r>
      <w:r w:rsidR="00E46BD5" w:rsidRPr="007235D1">
        <w:t xml:space="preserve"> </w:t>
      </w:r>
      <m:oMath>
        <m:r>
          <w:rPr>
            <w:rFonts w:ascii="Cambria Math" w:hAnsi="Cambria Math"/>
          </w:rPr>
          <m:t>β</m:t>
        </m:r>
      </m:oMath>
      <w:r w:rsidR="00CA799E">
        <w:t xml:space="preserve"> </w:t>
      </w:r>
      <w:r w:rsidR="00E46BD5" w:rsidRPr="007235D1">
        <w:t>is a vector of parameters</w:t>
      </w:r>
      <w:r w:rsidR="00E145E1">
        <w:t>, including an intercept,</w:t>
      </w:r>
      <w:r w:rsidR="00E46BD5" w:rsidRPr="007235D1">
        <w:t xml:space="preserve"> </w:t>
      </w:r>
      <w:r w:rsidR="00E145E1">
        <w:t xml:space="preserve">to be </w:t>
      </w:r>
      <w:proofErr w:type="gramStart"/>
      <w:r w:rsidR="00E145E1">
        <w:t>estimated</w:t>
      </w:r>
      <w:r w:rsidR="00E46BD5" w:rsidRPr="007235D1">
        <w:t>.</w:t>
      </w:r>
      <w:proofErr w:type="gramEnd"/>
      <w:r w:rsidR="002365EB">
        <w:t xml:space="preserve"> </w:t>
      </w:r>
      <w:r w:rsidR="00E46BD5" w:rsidRPr="007235D1">
        <w:t>The remaining two terms of</w:t>
      </w:r>
      <w:r w:rsidR="00A47AA2" w:rsidRPr="007235D1">
        <w:t xml:space="preserve"> </w:t>
      </w:r>
      <w:r w:rsidR="00A47AA2" w:rsidRPr="007235D1">
        <w:fldChar w:fldCharType="begin"/>
      </w:r>
      <w:r w:rsidR="00A47AA2" w:rsidRPr="007235D1">
        <w:instrText xml:space="preserve"> REF _Ref297467340 \h </w:instrText>
      </w:r>
      <w:r w:rsidR="00A47AA2" w:rsidRPr="007235D1">
        <w:fldChar w:fldCharType="separate"/>
      </w:r>
      <w:r w:rsidR="00BB06E6" w:rsidRPr="00A30D83">
        <w:t>(</w:t>
      </w:r>
      <w:r w:rsidR="00BB06E6">
        <w:rPr>
          <w:noProof/>
        </w:rPr>
        <w:t>1</w:t>
      </w:r>
      <w:r w:rsidR="00BB06E6" w:rsidRPr="00A30D83">
        <w:t>)</w:t>
      </w:r>
      <w:r w:rsidR="00A47AA2" w:rsidRPr="007235D1">
        <w:fldChar w:fldCharType="end"/>
      </w:r>
      <w:r w:rsidR="00E46BD5" w:rsidRPr="007235D1">
        <w:t>,</w:t>
      </w:r>
      <w:r w:rsidR="00E46BD5">
        <w:t xml:space="preserve"> </w:t>
      </w:r>
      <m:oMath>
        <m:sSub>
          <m:sSubPr>
            <m:ctrlPr>
              <w:rPr>
                <w:rFonts w:ascii="Cambria Math" w:hAnsi="Cambria Math"/>
                <w:i/>
              </w:rPr>
            </m:ctrlPr>
          </m:sSubPr>
          <m:e>
            <m:r>
              <w:rPr>
                <w:rFonts w:ascii="Cambria Math" w:hAnsi="Cambria Math"/>
              </w:rPr>
              <m:t>η</m:t>
            </m:r>
          </m:e>
          <m:sub>
            <m:r>
              <w:rPr>
                <w:rFonts w:ascii="Cambria Math" w:hAnsi="Cambria Math"/>
              </w:rPr>
              <m:t>c</m:t>
            </m:r>
          </m:sub>
        </m:sSub>
      </m:oMath>
      <w:r w:rsidR="00E46BD5">
        <w:t xml:space="preserve"> and </w:t>
      </w:r>
      <m:oMath>
        <m:sSub>
          <m:sSubPr>
            <m:ctrlPr>
              <w:rPr>
                <w:rFonts w:ascii="Cambria Math" w:hAnsi="Cambria Math"/>
                <w:i/>
              </w:rPr>
            </m:ctrlPr>
          </m:sSubPr>
          <m:e>
            <m:r>
              <w:rPr>
                <w:rFonts w:ascii="Cambria Math" w:hAnsi="Cambria Math"/>
              </w:rPr>
              <m:t>ε</m:t>
            </m:r>
          </m:e>
          <m:sub>
            <m:r>
              <w:rPr>
                <w:rFonts w:ascii="Cambria Math" w:hAnsi="Cambria Math"/>
              </w:rPr>
              <m:t>ch</m:t>
            </m:r>
          </m:sub>
        </m:sSub>
      </m:oMath>
      <w:r w:rsidR="00E46BD5">
        <w:t>, are the cluster-specific and household-specific random effects respectively. These decomposed error components are assumed to be independent</w:t>
      </w:r>
      <w:r w:rsidR="00E129D4">
        <w:rPr>
          <w:rStyle w:val="FootnoteReference"/>
        </w:rPr>
        <w:footnoteReference w:id="3"/>
      </w:r>
      <w:r w:rsidR="00E46BD5">
        <w:t>.</w:t>
      </w:r>
    </w:p>
    <w:p w14:paraId="703A41C8" w14:textId="00150ECF" w:rsidR="00E46BD5" w:rsidRPr="00CC6D87" w:rsidRDefault="00E46BD5" w:rsidP="009804F9">
      <w:pPr>
        <w:spacing w:line="480" w:lineRule="auto"/>
        <w:ind w:firstLine="720"/>
        <w:rPr>
          <w:strike/>
        </w:rPr>
      </w:pPr>
      <w:r>
        <w:t xml:space="preserve">The consistency of the subsequent analysis rests on several key assumptions. First, it is assumed that the Measurement of Predictors (MP) and the Area Homogeneity (AH) assumptions typical </w:t>
      </w:r>
      <w:r w:rsidRPr="00B74BF1">
        <w:t>of SAE</w:t>
      </w:r>
      <w:r w:rsidR="00D4169C">
        <w:t>p</w:t>
      </w:r>
      <w:r w:rsidRPr="00B74BF1">
        <w:t xml:space="preserve"> hold</w:t>
      </w:r>
      <w:r w:rsidR="005E6C50">
        <w:t xml:space="preserve"> </w:t>
      </w:r>
      <w:r w:rsidR="005E6C50">
        <w:fldChar w:fldCharType="begin"/>
      </w:r>
      <w:r w:rsidR="00A463AE">
        <w:instrText xml:space="preserve"> ADDIN EN.CITE &lt;EndNote&gt;&lt;Cite&gt;&lt;Author&gt;Tarozzi&lt;/Author&gt;&lt;Year&gt;2009&lt;/Year&gt;&lt;RecNum&gt;14&lt;/RecNum&gt;&lt;DisplayText&gt;(Tarozzi and Deaton, 2009)&lt;/DisplayText&gt;&lt;record&gt;&lt;rec-number&gt;14&lt;/rec-number&gt;&lt;foreign-keys&gt;&lt;key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5E6C50">
        <w:fldChar w:fldCharType="separate"/>
      </w:r>
      <w:r w:rsidR="00A463AE">
        <w:rPr>
          <w:noProof/>
        </w:rPr>
        <w:t>(Tarozzi and Deaton, 2009)</w:t>
      </w:r>
      <w:r w:rsidR="005E6C50">
        <w:fldChar w:fldCharType="end"/>
      </w:r>
      <w:r w:rsidR="005E6C50">
        <w:t xml:space="preserve">. </w:t>
      </w:r>
      <w:r w:rsidRPr="00B74BF1">
        <w:t>The MP assumption</w:t>
      </w:r>
      <w:r>
        <w:t xml:space="preserve"> requires that the household characteristics be measured in the same w</w:t>
      </w:r>
      <w:r w:rsidR="008A3A4C">
        <w:t xml:space="preserve">ay </w:t>
      </w:r>
      <w:r w:rsidR="00447565">
        <w:t xml:space="preserve">in both the LSMS-ISA and </w:t>
      </w:r>
      <w:r w:rsidR="008A3A4C">
        <w:t xml:space="preserve">THS. </w:t>
      </w:r>
      <w:r w:rsidR="004E7E9B">
        <w:t>As noted, t</w:t>
      </w:r>
      <w:r>
        <w:t xml:space="preserve">he THS questionnaire and household definition were developed specifically to mimic the </w:t>
      </w:r>
      <w:r w:rsidR="009B0233">
        <w:t>LSMS-ISA</w:t>
      </w:r>
      <w:r w:rsidR="00C66B5B">
        <w:t xml:space="preserve">, </w:t>
      </w:r>
      <w:r w:rsidR="009B0233">
        <w:t>limiting</w:t>
      </w:r>
      <w:r>
        <w:t xml:space="preserve"> measurement differences t</w:t>
      </w:r>
      <w:r w:rsidR="009B0233">
        <w:t xml:space="preserve">hat </w:t>
      </w:r>
      <w:r w:rsidR="006951BB">
        <w:t>can surface</w:t>
      </w:r>
      <w:r w:rsidR="00C66B5B">
        <w:t xml:space="preserve">. </w:t>
      </w:r>
      <w:r w:rsidR="00894A3E">
        <w:t>However, the</w:t>
      </w:r>
      <w:r>
        <w:t xml:space="preserve"> </w:t>
      </w:r>
      <w:r w:rsidR="00894A3E">
        <w:t xml:space="preserve">LSMS-ISA </w:t>
      </w:r>
      <w:r>
        <w:t xml:space="preserve">is significantly </w:t>
      </w:r>
      <w:r w:rsidRPr="00B74BF1">
        <w:t>longer than</w:t>
      </w:r>
      <w:r w:rsidR="00894A3E">
        <w:t xml:space="preserve"> the</w:t>
      </w:r>
      <w:r w:rsidRPr="00B74BF1">
        <w:t xml:space="preserve"> </w:t>
      </w:r>
      <w:r w:rsidRPr="009339F0">
        <w:t>TH</w:t>
      </w:r>
      <w:r w:rsidR="002E14F0">
        <w:t>S</w:t>
      </w:r>
      <w:r w:rsidR="00894A3E">
        <w:t xml:space="preserve">, which could cause </w:t>
      </w:r>
      <w:r w:rsidR="00894A3E" w:rsidRPr="009804F9">
        <w:t>measurement errors</w:t>
      </w:r>
      <w:r w:rsidR="00EB38BE" w:rsidRPr="009804F9">
        <w:t xml:space="preserve"> </w:t>
      </w:r>
      <w:r w:rsidRPr="009804F9">
        <w:t xml:space="preserve"> </w:t>
      </w:r>
      <w:r w:rsidR="009804F9" w:rsidRPr="009804F9">
        <w:fldChar w:fldCharType="begin"/>
      </w:r>
      <w:r w:rsidR="009804F9" w:rsidRPr="009804F9">
        <w:instrText xml:space="preserve"> ADDIN EN.CITE &lt;EndNote&gt;&lt;Cite&gt;&lt;Author&gt;Tarozzi&lt;/Author&gt;&lt;Year&gt;2009&lt;/Year&gt;&lt;RecNum&gt;14&lt;/RecNum&gt;&lt;DisplayText&gt;(Tarozzi and Deaton, 2009)&lt;/DisplayText&gt;&lt;record&gt;&lt;rec-number&gt;14&lt;/rec-number&gt;&lt;foreign-keys&gt;&lt;key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9804F9" w:rsidRPr="009804F9">
        <w:fldChar w:fldCharType="separate"/>
      </w:r>
      <w:r w:rsidR="009804F9" w:rsidRPr="009804F9">
        <w:rPr>
          <w:noProof/>
        </w:rPr>
        <w:t>(Tarozzi and Deaton, 2009)</w:t>
      </w:r>
      <w:r w:rsidR="009804F9" w:rsidRPr="009804F9">
        <w:fldChar w:fldCharType="end"/>
      </w:r>
      <w:r w:rsidR="009804F9" w:rsidRPr="009804F9">
        <w:t xml:space="preserve">. </w:t>
      </w:r>
      <w:r w:rsidRPr="009804F9">
        <w:t xml:space="preserve"> In a typical SAE</w:t>
      </w:r>
      <w:r w:rsidR="009B0233" w:rsidRPr="009804F9">
        <w:t>p</w:t>
      </w:r>
      <w:r w:rsidRPr="009804F9">
        <w:t xml:space="preserve"> analysis, the equivalence of the explanatory variable</w:t>
      </w:r>
      <w:r>
        <w:t xml:space="preserve"> candidates would be assessed by comparing survey and census means at the regional level. Since this study uses a representative survey of </w:t>
      </w:r>
      <w:r w:rsidR="00283D40">
        <w:t xml:space="preserve">Tororo </w:t>
      </w:r>
      <w:r w:rsidR="00CD6570">
        <w:t xml:space="preserve">district </w:t>
      </w:r>
      <w:r w:rsidR="00283D40">
        <w:t>in place of</w:t>
      </w:r>
      <w:r>
        <w:t xml:space="preserve"> census data, it is impossible to make regional mean comparisons and the analysis rests on the assumption that MP holds. </w:t>
      </w:r>
    </w:p>
    <w:p w14:paraId="05FA8E5F" w14:textId="6EE1A5B2" w:rsidR="00E46BD5" w:rsidRPr="00E934F3" w:rsidRDefault="00E46BD5" w:rsidP="009441FA">
      <w:pPr>
        <w:spacing w:line="480" w:lineRule="auto"/>
        <w:ind w:firstLine="720"/>
      </w:pPr>
      <w:r>
        <w:t xml:space="preserve">Along with the MP assumption, the AH assumption requires that the conditional distribution of household consumption per capita </w:t>
      </w:r>
      <w:r w:rsidR="00595D7C">
        <w:t>given household</w:t>
      </w:r>
      <w:r w:rsidR="002B1965">
        <w:t xml:space="preserve"> characteristics</w:t>
      </w:r>
      <w:r>
        <w:t xml:space="preserve"> be the same for rural households in Tororo </w:t>
      </w:r>
      <w:r w:rsidR="00CD6570">
        <w:t xml:space="preserve">district </w:t>
      </w:r>
      <w:r w:rsidR="002E14F0">
        <w:t>and</w:t>
      </w:r>
      <w:r>
        <w:t xml:space="preserve"> rural households in the </w:t>
      </w:r>
      <w:r w:rsidR="004751D2">
        <w:t>e</w:t>
      </w:r>
      <w:r>
        <w:t xml:space="preserve">astern </w:t>
      </w:r>
      <w:r w:rsidR="004751D2">
        <w:t>r</w:t>
      </w:r>
      <w:r>
        <w:t xml:space="preserve">egion. </w:t>
      </w:r>
      <w:r w:rsidR="00701639">
        <w:t>Additionally</w:t>
      </w:r>
      <w:r>
        <w:t xml:space="preserve">, this conditional distribution must be stable over the </w:t>
      </w:r>
      <w:proofErr w:type="gramStart"/>
      <w:r w:rsidR="003701B2">
        <w:t>two</w:t>
      </w:r>
      <w:r w:rsidR="004E7E9B">
        <w:t xml:space="preserve"> </w:t>
      </w:r>
      <w:r w:rsidR="003701B2">
        <w:t>time</w:t>
      </w:r>
      <w:proofErr w:type="gramEnd"/>
      <w:r>
        <w:t xml:space="preserve"> periods. That is, the </w:t>
      </w:r>
      <m:oMath>
        <m:r>
          <w:rPr>
            <w:rFonts w:ascii="Cambria Math" w:hAnsi="Cambria Math"/>
          </w:rPr>
          <m:t>β</m:t>
        </m:r>
      </m:oMath>
      <w:r>
        <w:t xml:space="preserve"> vector of parameters in (</w:t>
      </w:r>
      <w:r w:rsidR="004D7D7F">
        <w:t>1</w:t>
      </w:r>
      <w:r>
        <w:t xml:space="preserve">) must be the same in the rural </w:t>
      </w:r>
      <w:r w:rsidR="00E84A55">
        <w:t>e</w:t>
      </w:r>
      <w:r>
        <w:t xml:space="preserve">astern </w:t>
      </w:r>
      <w:r w:rsidR="00E84A55">
        <w:t>r</w:t>
      </w:r>
      <w:r>
        <w:t xml:space="preserve">egion in 2011/2012 as it is in rural </w:t>
      </w:r>
      <w:r>
        <w:lastRenderedPageBreak/>
        <w:t xml:space="preserve">Tororo </w:t>
      </w:r>
      <w:r w:rsidR="00E84A55">
        <w:t xml:space="preserve">district </w:t>
      </w:r>
      <w:r>
        <w:t xml:space="preserve">in </w:t>
      </w:r>
      <w:r w:rsidRPr="00B74BF1">
        <w:t>2014</w:t>
      </w:r>
      <w:r w:rsidR="00EB38BE">
        <w:t xml:space="preserve"> </w:t>
      </w:r>
      <w:r w:rsidR="00EB38BE">
        <w:fldChar w:fldCharType="begin">
          <w:fldData xml:space="preserve">PEVuZE5vdGU+PENpdGU+PEF1dGhvcj5DdW9uZzwvQXV0aG9yPjxZZWFyPjIwMTE8L1llYXI+PFJl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</w:fldData>
        </w:fldChar>
      </w:r>
      <w:r w:rsidR="002F2315">
        <w:instrText xml:space="preserve"> ADDIN EN.CITE </w:instrText>
      </w:r>
      <w:r w:rsidR="002F2315">
        <w:fldChar w:fldCharType="begin">
          <w:fldData xml:space="preserve">PEVuZE5vdGU+PENpdGU+PEF1dGhvcj5DdW9uZzwvQXV0aG9yPjxZZWFyPjIwMTE8L1llYXI+PFJl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</w:fldData>
        </w:fldChar>
      </w:r>
      <w:r w:rsidR="002F2315">
        <w:instrText xml:space="preserve"> ADDIN EN.CITE.DATA </w:instrText>
      </w:r>
      <w:r w:rsidR="002F2315">
        <w:fldChar w:fldCharType="end"/>
      </w:r>
      <w:r w:rsidR="00EB38BE">
        <w:fldChar w:fldCharType="separate"/>
      </w:r>
      <w:r w:rsidR="00A463AE">
        <w:rPr>
          <w:noProof/>
        </w:rPr>
        <w:t>(Tarozzi and Deaton, 2009, Cuong, 2011, Daniels, 2011)</w:t>
      </w:r>
      <w:r w:rsidR="00EB38BE">
        <w:fldChar w:fldCharType="end"/>
      </w:r>
      <w:r w:rsidRPr="00B74BF1">
        <w:t>.</w:t>
      </w:r>
      <w:r>
        <w:t xml:space="preserve"> While AH is a standard assumption of SAE</w:t>
      </w:r>
      <w:r w:rsidR="00BC369D">
        <w:t>p</w:t>
      </w:r>
      <w:r>
        <w:t xml:space="preserve">, findings </w:t>
      </w:r>
      <w:r w:rsidRPr="00B74BF1">
        <w:t xml:space="preserve">from </w:t>
      </w:r>
      <w:r w:rsidR="00D06C31">
        <w:fldChar w:fldCharType="begin"/>
      </w:r>
      <w:r w:rsidR="00A463AE">
        <w:instrText xml:space="preserve"> ADDIN EN.CITE &lt;EndNote&gt;&lt;Cite AuthorYear="1"&gt;&lt;Author&gt;Tarozzi&lt;/Author&gt;&lt;Year&gt;2009&lt;/Year&gt;&lt;RecNum&gt;14&lt;/RecNum&gt;&lt;DisplayText&gt;Tarozzi and Deaton (2009)&lt;/DisplayText&gt;&lt;record&gt;&lt;rec-number&gt;14&lt;/rec-number&gt;&lt;foreign-keys&gt;&lt;key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D06C31">
        <w:fldChar w:fldCharType="separate"/>
      </w:r>
      <w:r w:rsidR="00A463AE">
        <w:rPr>
          <w:noProof/>
        </w:rPr>
        <w:t>Tarozzi and Deaton (2009)</w:t>
      </w:r>
      <w:r w:rsidR="00D06C31">
        <w:fldChar w:fldCharType="end"/>
      </w:r>
      <w:r w:rsidR="00D06C31">
        <w:t xml:space="preserve"> </w:t>
      </w:r>
      <w:r>
        <w:t xml:space="preserve">suggest that if it </w:t>
      </w:r>
      <w:r w:rsidRPr="00EF6E24">
        <w:t>does not hold</w:t>
      </w:r>
      <w:r>
        <w:t xml:space="preserve"> in practice then the precision of SAE</w:t>
      </w:r>
      <w:r w:rsidR="0002032B">
        <w:t>p</w:t>
      </w:r>
      <w:r>
        <w:t xml:space="preserve"> estimates will be overstated. They conclude that the necessity of both MP and AH should be emphasized</w:t>
      </w:r>
      <w:r w:rsidR="00D209EA">
        <w:t xml:space="preserve"> when conducting SAE</w:t>
      </w:r>
      <w:r w:rsidR="0002032B">
        <w:t>p</w:t>
      </w:r>
      <w:r w:rsidR="00D209EA">
        <w:t xml:space="preserve">. </w:t>
      </w:r>
      <w:r w:rsidR="007C29A4">
        <w:t>In this study,</w:t>
      </w:r>
      <w:r>
        <w:t xml:space="preserve"> </w:t>
      </w:r>
      <w:r w:rsidR="00A30116">
        <w:t>only rural households in the eastern region are included when estimating the</w:t>
      </w:r>
      <w:r>
        <w:t xml:space="preserve"> parameters in </w:t>
      </w:r>
      <w:r w:rsidR="00A47AA2">
        <w:fldChar w:fldCharType="begin"/>
      </w:r>
      <w:r w:rsidR="00A47AA2">
        <w:instrText xml:space="preserve"> REF _Ref297467340 \h </w:instrText>
      </w:r>
      <w:r w:rsidR="00A47AA2">
        <w:fldChar w:fldCharType="separate"/>
      </w:r>
      <w:r w:rsidR="00BB06E6" w:rsidRPr="00A30D83">
        <w:t>(</w:t>
      </w:r>
      <w:r w:rsidR="00BB06E6">
        <w:rPr>
          <w:noProof/>
        </w:rPr>
        <w:t>1</w:t>
      </w:r>
      <w:r w:rsidR="00BB06E6" w:rsidRPr="00A30D83">
        <w:t>)</w:t>
      </w:r>
      <w:r w:rsidR="00A47AA2">
        <w:fldChar w:fldCharType="end"/>
      </w:r>
      <w:r w:rsidR="00A30116">
        <w:t xml:space="preserve">, rather than </w:t>
      </w:r>
      <w:r w:rsidR="00BD1DC1">
        <w:t>a</w:t>
      </w:r>
      <w:r w:rsidR="00A30116">
        <w:t xml:space="preserve"> larger,</w:t>
      </w:r>
      <w:r>
        <w:t xml:space="preserve"> more heterogeneous group</w:t>
      </w:r>
      <w:r w:rsidR="00A30116">
        <w:t>, which</w:t>
      </w:r>
      <w:r w:rsidRPr="003053ED">
        <w:t xml:space="preserve"> </w:t>
      </w:r>
      <w:r>
        <w:t>increases the likelihood that AH holds. Furthermore, the relatively short time gap between the two surveys</w:t>
      </w:r>
      <w:r w:rsidR="0035070F">
        <w:t xml:space="preserve"> (</w:t>
      </w:r>
      <w:r>
        <w:t>approximately two years</w:t>
      </w:r>
      <w:r w:rsidR="0035070F">
        <w:t>)</w:t>
      </w:r>
      <w:r>
        <w:t xml:space="preserve"> </w:t>
      </w:r>
      <w:r w:rsidRPr="005F29F1">
        <w:t>increases the likelihood that the conditional distribution is stable.</w:t>
      </w:r>
      <w:r w:rsidR="0027445C" w:rsidRPr="005F29F1">
        <w:t xml:space="preserve"> </w:t>
      </w:r>
      <w:r w:rsidR="006D2B4A" w:rsidRPr="005F29F1">
        <w:t>A</w:t>
      </w:r>
      <w:r w:rsidR="0027445C" w:rsidRPr="005F29F1">
        <w:t xml:space="preserve"> two-year (or longer) time gap is common</w:t>
      </w:r>
      <w:r w:rsidR="004E540D" w:rsidRPr="005F29F1">
        <w:t xml:space="preserve"> in past studies employing SAEp</w:t>
      </w:r>
      <w:r w:rsidR="006D2B4A" w:rsidRPr="005F29F1">
        <w:t xml:space="preserve"> </w:t>
      </w:r>
      <w:r w:rsidR="004E540D" w:rsidRPr="005F29F1">
        <w:t>methods</w:t>
      </w:r>
      <w:r w:rsidR="00D06C31" w:rsidRPr="005F29F1">
        <w:t xml:space="preserve"> </w:t>
      </w:r>
      <w:r w:rsidR="004E540D" w:rsidRPr="005F29F1">
        <w:t xml:space="preserve"> </w:t>
      </w:r>
      <w:r w:rsidR="00A73E57" w:rsidRPr="005F29F1">
        <w:fldChar w:fldCharType="begin">
          <w:fldData xml:space="preserve">PEVuZE5vdGU+PENpdGU+PEF1dGhvcj5DaHJpc3RpYWVuc2VuPC9BdXRob3I+PFllYXI+MjAxMjwv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</w:fldData>
        </w:fldChar>
      </w:r>
      <w:r w:rsidR="009441FA">
        <w:instrText xml:space="preserve"> ADDIN EN.CITE </w:instrText>
      </w:r>
      <w:r w:rsidR="009441FA">
        <w:fldChar w:fldCharType="begin">
          <w:fldData xml:space="preserve">PEVuZE5vdGU+PENpdGU+PEF1dGhvcj5DaHJpc3RpYWVuc2VuPC9BdXRob3I+PFllYXI+MjAxMjwv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</w:fldData>
        </w:fldChar>
      </w:r>
      <w:r w:rsidR="009441FA">
        <w:instrText xml:space="preserve"> ADDIN EN.CITE.DATA </w:instrText>
      </w:r>
      <w:r w:rsidR="009441FA">
        <w:fldChar w:fldCharType="end"/>
      </w:r>
      <w:r w:rsidR="00A73E57" w:rsidRPr="005F29F1">
        <w:fldChar w:fldCharType="separate"/>
      </w:r>
      <w:r w:rsidR="00ED5138" w:rsidRPr="005F29F1">
        <w:rPr>
          <w:noProof/>
        </w:rPr>
        <w:t>(Kijima and Lanjouw, 2003, Elbers, et al., 2008, Christiaensen, et al., 2012)</w:t>
      </w:r>
      <w:r w:rsidR="00A73E57" w:rsidRPr="005F29F1">
        <w:fldChar w:fldCharType="end"/>
      </w:r>
      <w:r w:rsidR="004E7E9B" w:rsidRPr="005F29F1">
        <w:t xml:space="preserve">; in our shorter period, the likelihood that </w:t>
      </w:r>
      <w:r w:rsidR="000412E0">
        <w:t>the conditional distribution is stable</w:t>
      </w:r>
      <w:r w:rsidR="004E7E9B" w:rsidRPr="005F29F1">
        <w:t xml:space="preserve"> is higher than in these studies</w:t>
      </w:r>
      <w:r w:rsidR="00356E32" w:rsidRPr="005F29F1">
        <w:t>.</w:t>
      </w:r>
    </w:p>
    <w:p w14:paraId="78347799" w14:textId="72AFA8AD" w:rsidR="00E46BD5" w:rsidRDefault="00E46BD5" w:rsidP="00914555">
      <w:pPr>
        <w:spacing w:line="480" w:lineRule="auto"/>
        <w:ind w:firstLine="720"/>
      </w:pPr>
      <w:r>
        <w:t xml:space="preserve">Along with MP and AH, the estimates rely on the assumption that the </w:t>
      </w:r>
      <w:r w:rsidR="00FC6726">
        <w:t xml:space="preserve">LSMS-ISA </w:t>
      </w:r>
      <w:r>
        <w:t xml:space="preserve">and the THS are representative of rural households in the </w:t>
      </w:r>
      <w:r w:rsidR="00D90818">
        <w:t>e</w:t>
      </w:r>
      <w:r>
        <w:t xml:space="preserve">astern </w:t>
      </w:r>
      <w:r w:rsidR="00D90818">
        <w:t>r</w:t>
      </w:r>
      <w:r>
        <w:t xml:space="preserve">egion and rural households in Tororo </w:t>
      </w:r>
      <w:r w:rsidR="00CD6570">
        <w:t xml:space="preserve">district </w:t>
      </w:r>
      <w:r w:rsidRPr="00B74BF1">
        <w:t xml:space="preserve">respectively </w:t>
      </w:r>
      <w:r w:rsidR="00A73E57">
        <w:fldChar w:fldCharType="begin"/>
      </w:r>
      <w:r w:rsidR="002F2315">
        <w:instrText xml:space="preserve"> ADDIN EN.CITE &lt;EndNote&gt;&lt;Cite&gt;&lt;Author&gt;Cuong&lt;/Author&gt;&lt;Year&gt;2011&lt;/Year&gt;&lt;RecNum&gt;16&lt;/RecNum&gt;&lt;DisplayText&gt;(Cuong, 2011, Daniels, 2011)&lt;/DisplayText&gt;&lt;record&gt;&lt;rec-number&gt;16&lt;/rec-number&gt;&lt;foreign-keys&gt;&lt;key app="EN" db-id="5fvtavdaavaz95e2zv0vf9wms90fv05av5se" timestamp="1481038651"&gt;16&lt;/key&gt;&lt;/foreign-keys&gt;&lt;ref-type name="Journal Article"&gt;17&lt;/ref-type&gt;&lt;contributors&gt;&lt;authors&gt;&lt;author&gt;Cuong, Nguyen Viet&lt;/author&gt;&lt;/authors&gt;&lt;/contributors&gt;&lt;titles&gt;&lt;title&gt;Poverty projection using a small area estimation method: Evidence from Vietnam&lt;/title&gt;&lt;secondary-title&gt;Journal of Comparative Economics&lt;/secondary-title&gt;&lt;/titles&gt;&lt;periodical&gt;&lt;full-title&gt;Journal of Comparative Economics&lt;/full-title&gt;&lt;abbr-1&gt;J. Compar. Econ.&lt;/abbr-1&gt;&lt;abbr-2&gt;J Compar Econ&lt;/abbr-2&gt;&lt;/periodical&gt;&lt;pages&gt;368-382&lt;/pages&gt;&lt;volume&gt;39&lt;/volume&gt;&lt;number&gt;3&lt;/number&gt;&lt;dates&gt;&lt;year&gt;2011&lt;/year&gt;&lt;/dates&gt;&lt;isbn&gt;0147-5967&lt;/isbn&gt;&lt;urls&gt;&lt;/urls&gt;&lt;/record&gt;&lt;/Cite&gt;&lt;Cite&gt;&lt;Author&gt;Daniels&lt;/Author&gt;&lt;Year&gt;2011&lt;/Year&gt;&lt;RecNum&gt;17&lt;/RecNum&gt;&lt;record&gt;&lt;rec-number&gt;17&lt;/rec-number&gt;&lt;foreign-keys&gt;&lt;key app="EN" db-id="5fvtavdaavaz95e2zv0vf9wms90fv05av5se" timestamp="1481038700"&gt;17&lt;/key&gt;&lt;/foreign-keys&gt;&lt;ref-type name="Report"&gt;27&lt;/ref-type&gt;&lt;contributors&gt;&lt;authors&gt;&lt;author&gt;Daniels, Lisa&lt;/author&gt;&lt;/authors&gt;&lt;/contributors&gt;&lt;titles&gt;&lt;title&gt;Measuring poverty trends in Uganda with non-monetary indicators&lt;/title&gt;&lt;secondary-title&gt;Fourth Global Conference on Agricultural and Rural Household Statistics&lt;/secondary-title&gt;&lt;/titles&gt;&lt;dates&gt;&lt;year&gt;2011&lt;/year&gt;&lt;pub-dates&gt;&lt;date&gt;9-11 November&lt;/date&gt;&lt;/pub-dates&gt;&lt;/dates&gt;&lt;pub-location&gt;Rio de Janeiro, Brazil&lt;/pub-location&gt;&lt;urls&gt;&lt;related-urls&gt;&lt;url&gt;http://www.fao.org/fileadmin/templates/ess/pages/rural/wye_city_group/2011/documents/session3/Daniels_-_Paper.pdf&lt;/url&gt;&lt;/related-urls&gt;&lt;/urls&gt;&lt;access-date&gt;December 2016&lt;/access-date&gt;&lt;/record&gt;&lt;/Cite&gt;&lt;/EndNote&gt;</w:instrText>
      </w:r>
      <w:r w:rsidR="00A73E57">
        <w:fldChar w:fldCharType="separate"/>
      </w:r>
      <w:r w:rsidR="00A463AE">
        <w:rPr>
          <w:noProof/>
        </w:rPr>
        <w:t>(Cuong, 2011, Daniels, 2011)</w:t>
      </w:r>
      <w:r w:rsidR="00A73E57">
        <w:fldChar w:fldCharType="end"/>
      </w:r>
      <w:r w:rsidRPr="00B74BF1">
        <w:t xml:space="preserve">. The </w:t>
      </w:r>
      <w:r w:rsidR="00FC6726">
        <w:t xml:space="preserve">LSMS-ISA </w:t>
      </w:r>
      <w:r w:rsidRPr="00B74BF1">
        <w:t>was designed specifically to</w:t>
      </w:r>
      <w:r>
        <w:t xml:space="preserve"> </w:t>
      </w:r>
      <w:r w:rsidR="00D90818">
        <w:t>be</w:t>
      </w:r>
      <w:r>
        <w:t xml:space="preserve"> representative of the rural and urban portions of each of Uganda’s four regions </w:t>
      </w:r>
      <w:r w:rsidR="00914555">
        <w:fldChar w:fldCharType="begin"/>
      </w:r>
      <w:r w:rsidR="00914555">
        <w:instrText xml:space="preserve"> ADDIN EN.CITE &lt;EndNote&gt;&lt;Cite&gt;&lt;Author&gt;UBOS&lt;/Author&gt;&lt;Year&gt;2013&lt;/Year&gt;&lt;RecNum&gt;38&lt;/RecNum&gt;&lt;DisplayText&gt;(UBOS, 2013)&lt;/DisplayText&gt;&lt;record&gt;&lt;rec-number&gt;38&lt;/rec-number&gt;&lt;foreign-keys&gt;&lt;key app="EN" db-id="5fvtavdaavaz95e2zv0vf9wms90fv05av5se" timestamp="1481136219"&gt;38&lt;/key&gt;&lt;/foreign-keys&gt;&lt;ref-type name="Report"&gt;27&lt;/ref-type&gt;&lt;contributors&gt;&lt;authors&gt;&lt;author&gt;UBOS&lt;/author&gt;&lt;/authors&gt;&lt;/contributors&gt;&lt;titles&gt;&lt;title&gt;Uganda National Panel Survey 2011/12 &lt;/title&gt;&lt;/titles&gt;&lt;dates&gt;&lt;year&gt;2013&lt;/year&gt;&lt;/dates&gt;&lt;urls&gt;&lt;related-urls&gt;&lt;url&gt;http://siteresources.worldbank.org/INTLSMS/Resources/3358986-1233781970982/5800988-1265043582346/6752587-1388762908476/UNPS_Report_Wave3.pdf&lt;/url&gt;&lt;/related-urls&gt;&lt;/urls&gt;&lt;access-date&gt;December 2016&lt;/access-date&gt;&lt;/record&gt;&lt;/Cite&gt;&lt;/EndNote&gt;</w:instrText>
      </w:r>
      <w:r w:rsidR="00914555">
        <w:fldChar w:fldCharType="separate"/>
      </w:r>
      <w:r w:rsidR="00914555">
        <w:rPr>
          <w:noProof/>
        </w:rPr>
        <w:t>(UBOS, 2013)</w:t>
      </w:r>
      <w:r w:rsidR="00914555">
        <w:fldChar w:fldCharType="end"/>
      </w:r>
      <w:r w:rsidR="00735B65">
        <w:t xml:space="preserve">. </w:t>
      </w:r>
      <w:r w:rsidR="00D209EA">
        <w:t xml:space="preserve">Similarly, </w:t>
      </w:r>
      <w:r>
        <w:t xml:space="preserve">the THS was designed specifically to be representative of rural households in Tororo. Thus, the representativeness assumption </w:t>
      </w:r>
      <w:r w:rsidR="00D90818">
        <w:t xml:space="preserve">is expected to </w:t>
      </w:r>
      <w:r>
        <w:t xml:space="preserve">hold in </w:t>
      </w:r>
      <w:r w:rsidR="00D90818">
        <w:t>this study</w:t>
      </w:r>
      <w:r>
        <w:t>.</w:t>
      </w:r>
    </w:p>
    <w:p w14:paraId="0FDD256A" w14:textId="612AC3FB" w:rsidR="00E46BD5" w:rsidRDefault="00E46BD5" w:rsidP="00914555">
      <w:pPr>
        <w:spacing w:line="480" w:lineRule="auto"/>
        <w:ind w:firstLine="720"/>
      </w:pPr>
      <w:r>
        <w:t>Returning to the linear mixed effect model specification in</w:t>
      </w:r>
      <w:r w:rsidR="00D575E0">
        <w:t xml:space="preserve"> </w:t>
      </w:r>
      <w:r w:rsidR="00D575E0">
        <w:fldChar w:fldCharType="begin"/>
      </w:r>
      <w:r w:rsidR="00D575E0">
        <w:instrText xml:space="preserve"> REF _Ref297467340 \h </w:instrText>
      </w:r>
      <w:r w:rsidR="00D575E0">
        <w:fldChar w:fldCharType="separate"/>
      </w:r>
      <w:r w:rsidR="00BB06E6" w:rsidRPr="00A30D83">
        <w:t>(</w:t>
      </w:r>
      <w:r w:rsidR="00BB06E6">
        <w:rPr>
          <w:noProof/>
        </w:rPr>
        <w:t>1</w:t>
      </w:r>
      <w:r w:rsidR="00BB06E6" w:rsidRPr="00A30D83">
        <w:t>)</w:t>
      </w:r>
      <w:r w:rsidR="00D575E0">
        <w:fldChar w:fldCharType="end"/>
      </w:r>
      <w:r>
        <w:t xml:space="preserve">, </w:t>
      </w:r>
      <m:oMath>
        <m:sSub>
          <m:sSubPr>
            <m:ctrlPr>
              <w:rPr>
                <w:rFonts w:ascii="Cambria Math" w:hAnsi="Cambria Math"/>
                <w:i/>
              </w:rPr>
            </m:ctrlPr>
          </m:sSubPr>
          <m:e>
            <m:r>
              <w:rPr>
                <w:rFonts w:ascii="Cambria Math" w:hAnsi="Cambria Math"/>
              </w:rPr>
              <m:t>η</m:t>
            </m:r>
          </m:e>
          <m:sub>
            <m:r>
              <w:rPr>
                <w:rFonts w:ascii="Cambria Math" w:hAnsi="Cambria Math"/>
              </w:rPr>
              <m:t>c</m:t>
            </m:r>
          </m:sub>
        </m:sSub>
      </m:oMath>
      <w:r>
        <w:t xml:space="preserve"> and </w:t>
      </w:r>
      <m:oMath>
        <m:sSub>
          <m:sSubPr>
            <m:ctrlPr>
              <w:rPr>
                <w:rFonts w:ascii="Cambria Math" w:hAnsi="Cambria Math"/>
                <w:i/>
              </w:rPr>
            </m:ctrlPr>
          </m:sSubPr>
          <m:e>
            <m:r>
              <w:rPr>
                <w:rFonts w:ascii="Cambria Math" w:hAnsi="Cambria Math"/>
              </w:rPr>
              <m:t>ε</m:t>
            </m:r>
          </m:e>
          <m:sub>
            <m:r>
              <w:rPr>
                <w:rFonts w:ascii="Cambria Math" w:hAnsi="Cambria Math"/>
              </w:rPr>
              <m:t>ch</m:t>
            </m:r>
          </m:sub>
        </m:sSub>
      </m:oMath>
      <w:r>
        <w:t xml:space="preserve">, the cluster-specific and household-specific random effects respectively, pose special challenges for predicting household consumption. The </w:t>
      </w:r>
      <w:r w:rsidR="00FC6726">
        <w:t xml:space="preserve">LSMS-ISA </w:t>
      </w:r>
      <w:r>
        <w:t xml:space="preserve">randomly sampled 58 clusters in the rural portion of the </w:t>
      </w:r>
      <w:r w:rsidR="00B54E23">
        <w:t>eastern r</w:t>
      </w:r>
      <w:r w:rsidR="00582A03">
        <w:t xml:space="preserve">egion, which </w:t>
      </w:r>
      <w:r>
        <w:t>represent a random draw from the larger population. Within each cluster, an average of ~</w:t>
      </w:r>
      <w:r w:rsidR="00364C8C">
        <w:t>10 households</w:t>
      </w:r>
      <w:r>
        <w:t xml:space="preserve"> were </w:t>
      </w:r>
      <w:r w:rsidR="00493158">
        <w:t xml:space="preserve">randomly </w:t>
      </w:r>
      <w:r>
        <w:t>select</w:t>
      </w:r>
      <w:r w:rsidR="00582A03">
        <w:t>ed for a total of 565 household</w:t>
      </w:r>
      <w:r w:rsidRPr="00A551FC">
        <w:t xml:space="preserve">s </w:t>
      </w:r>
      <w:r w:rsidR="00914555">
        <w:fldChar w:fldCharType="begin"/>
      </w:r>
      <w:r w:rsidR="00914555">
        <w:instrText xml:space="preserve"> ADDIN EN.CITE &lt;EndNote&gt;&lt;Cite&gt;&lt;Author&gt;UBOS&lt;/Author&gt;&lt;Year&gt;2013&lt;/Year&gt;&lt;RecNum&gt;38&lt;/RecNum&gt;&lt;DisplayText&gt;(UBOS, 2013)&lt;/DisplayText&gt;&lt;record&gt;&lt;rec-number&gt;38&lt;/rec-number&gt;&lt;foreign-keys&gt;&lt;key app="EN" db-id="5fvtavdaavaz95e2zv0vf9wms90fv05av5se" timestamp="1481136219"&gt;38&lt;/key&gt;&lt;/foreign-keys&gt;&lt;ref-type name="Report"&gt;27&lt;/ref-type&gt;&lt;contributors&gt;&lt;authors&gt;&lt;author&gt;UBOS&lt;/author&gt;&lt;/authors&gt;&lt;/contributors&gt;&lt;titles&gt;&lt;title&gt;Uganda National Panel Survey 2011/12 &lt;/title&gt;&lt;/titles&gt;&lt;dates&gt;&lt;year&gt;2013&lt;/year&gt;&lt;/dates&gt;&lt;urls&gt;&lt;related-urls&gt;&lt;url&gt;http://siteresources.worldbank.org/INTLSMS/Resources/3358986-1233781970982/5800988-1265043582346/6752587-1388762908476/UNPS_Report_Wave3.pdf&lt;/url&gt;&lt;/related-urls&gt;&lt;/urls&gt;&lt;access-date&gt;December 2016&lt;/access-date&gt;&lt;/record&gt;&lt;/Cite&gt;&lt;/EndNote&gt;</w:instrText>
      </w:r>
      <w:r w:rsidR="00914555">
        <w:fldChar w:fldCharType="separate"/>
      </w:r>
      <w:r w:rsidR="00914555">
        <w:rPr>
          <w:noProof/>
        </w:rPr>
        <w:t>(UBOS, 2013)</w:t>
      </w:r>
      <w:r w:rsidR="00914555">
        <w:fldChar w:fldCharType="end"/>
      </w:r>
      <w:r w:rsidR="006135C6">
        <w:t xml:space="preserve">. </w:t>
      </w:r>
      <w:r>
        <w:t xml:space="preserve">The challenge is that households within a given cluster </w:t>
      </w:r>
      <w:r w:rsidR="00701639">
        <w:t>may be</w:t>
      </w:r>
      <w:r>
        <w:t xml:space="preserve"> related in </w:t>
      </w:r>
      <w:r>
        <w:lastRenderedPageBreak/>
        <w:t>unmeasured way</w:t>
      </w:r>
      <w:r w:rsidR="00582A03">
        <w:t>s</w:t>
      </w:r>
      <w:r>
        <w:t>. If present, such intra</w:t>
      </w:r>
      <w:r w:rsidR="00C66B5B">
        <w:t>-</w:t>
      </w:r>
      <w:r>
        <w:t>class correlation reduces the amount of unique information present in each household observation and the total error can no long</w:t>
      </w:r>
      <w:r w:rsidR="005F29F1">
        <w:t xml:space="preserve">er be thought of as independent. </w:t>
      </w:r>
      <w:r w:rsidRPr="00C854DE">
        <w:t>Furthermore</w:t>
      </w:r>
      <w:r>
        <w:t>, because SAE</w:t>
      </w:r>
      <w:r w:rsidR="00B54E23">
        <w:t>p</w:t>
      </w:r>
      <w:r>
        <w:t xml:space="preserve"> makes out-of-sample predictions for households in non-sampled clusters, each cluster cannot simply be modeled as a fixed effect.</w:t>
      </w:r>
    </w:p>
    <w:p w14:paraId="31F11EA9" w14:textId="629FD1FD" w:rsidR="00E46BD5" w:rsidRPr="007235D1" w:rsidRDefault="00E46BD5" w:rsidP="00D06B98">
      <w:pPr>
        <w:spacing w:line="480" w:lineRule="auto"/>
        <w:ind w:firstLine="720"/>
        <w:rPr>
          <w:vertAlign w:val="superscript"/>
        </w:rPr>
      </w:pPr>
      <w:r>
        <w:t xml:space="preserve"> The model in</w:t>
      </w:r>
      <w:r w:rsidR="00D575E0">
        <w:t xml:space="preserve"> </w:t>
      </w:r>
      <w:r w:rsidR="00D575E0">
        <w:fldChar w:fldCharType="begin"/>
      </w:r>
      <w:r w:rsidR="00D575E0">
        <w:instrText xml:space="preserve"> REF _Ref297467340 \h </w:instrText>
      </w:r>
      <w:r w:rsidR="00D575E0">
        <w:fldChar w:fldCharType="separate"/>
      </w:r>
      <w:r w:rsidR="00BB06E6" w:rsidRPr="00A30D83">
        <w:t>(</w:t>
      </w:r>
      <w:r w:rsidR="00BB06E6">
        <w:rPr>
          <w:noProof/>
        </w:rPr>
        <w:t>1</w:t>
      </w:r>
      <w:r w:rsidR="00BB06E6" w:rsidRPr="00A30D83">
        <w:t>)</w:t>
      </w:r>
      <w:r w:rsidR="00D575E0">
        <w:fldChar w:fldCharType="end"/>
      </w:r>
      <w:r w:rsidR="00D575E0">
        <w:t xml:space="preserve"> </w:t>
      </w:r>
      <w:r>
        <w:t>accounts for intra</w:t>
      </w:r>
      <w:r w:rsidR="00C66B5B">
        <w:t>-</w:t>
      </w:r>
      <w:r>
        <w:t xml:space="preserve">class correlation by decomposing the total model error into two independent, nested random effects. The cluster-specific random effect, </w:t>
      </w:r>
      <m:oMath>
        <m:sSub>
          <m:sSubPr>
            <m:ctrlPr>
              <w:rPr>
                <w:rFonts w:ascii="Cambria Math" w:hAnsi="Cambria Math"/>
                <w:i/>
              </w:rPr>
            </m:ctrlPr>
          </m:sSubPr>
          <m:e>
            <m:r>
              <w:rPr>
                <w:rFonts w:ascii="Cambria Math" w:hAnsi="Cambria Math"/>
              </w:rPr>
              <m:t>η</m:t>
            </m:r>
          </m:e>
          <m:sub>
            <m:r>
              <w:rPr>
                <w:rFonts w:ascii="Cambria Math" w:hAnsi="Cambria Math"/>
              </w:rPr>
              <m:t>c</m:t>
            </m:r>
          </m:sub>
        </m:sSub>
      </m:oMath>
      <w:r>
        <w:t xml:space="preserve">, allows for a portion of the model error to be correlated for households within the same cluster. By AH, the values of the </w:t>
      </w:r>
      <m:oMath>
        <m:r>
          <w:rPr>
            <w:rFonts w:ascii="Cambria Math" w:hAnsi="Cambria Math"/>
          </w:rPr>
          <m:t>β</m:t>
        </m:r>
      </m:oMath>
      <w:r>
        <w:t xml:space="preserve"> vector are assumed to be homogenous </w:t>
      </w:r>
      <w:r w:rsidR="0090389B">
        <w:t>throughout all clusters in the e</w:t>
      </w:r>
      <w:r>
        <w:t xml:space="preserve">astern </w:t>
      </w:r>
      <w:r w:rsidR="0090389B">
        <w:t>r</w:t>
      </w:r>
      <w:r>
        <w:t xml:space="preserve">egion; </w:t>
      </w:r>
      <w:r w:rsidRPr="00B74BF1">
        <w:t xml:space="preserve">the incorporation of </w:t>
      </w:r>
      <m:oMath>
        <m:sSub>
          <m:sSubPr>
            <m:ctrlPr>
              <w:rPr>
                <w:rFonts w:ascii="Cambria Math" w:hAnsi="Cambria Math"/>
                <w:i/>
              </w:rPr>
            </m:ctrlPr>
          </m:sSubPr>
          <m:e>
            <m:r>
              <w:rPr>
                <w:rFonts w:ascii="Cambria Math" w:hAnsi="Cambria Math"/>
              </w:rPr>
              <m:t>η</m:t>
            </m:r>
          </m:e>
          <m:sub>
            <m:r>
              <w:rPr>
                <w:rFonts w:ascii="Cambria Math" w:hAnsi="Cambria Math"/>
              </w:rPr>
              <m:t>c</m:t>
            </m:r>
          </m:sub>
        </m:sSub>
      </m:oMath>
      <w:r w:rsidRPr="00B74BF1">
        <w:t>, however, allows for cluster-specific heterogeneity in the realized intercept</w:t>
      </w:r>
      <w:r w:rsidR="00D06C31">
        <w:t xml:space="preserve"> </w:t>
      </w:r>
      <w:r w:rsidR="00A73E57">
        <w:fldChar w:fldCharType="begin"/>
      </w:r>
      <w:r w:rsidR="00A463AE">
        <w:instrText xml:space="preserve"> ADDIN EN.CITE &lt;EndNote&gt;&lt;Cite&gt;&lt;Author&gt;Tarozzi&lt;/Author&gt;&lt;Year&gt;2009&lt;/Year&gt;&lt;RecNum&gt;14&lt;/RecNum&gt;&lt;DisplayText&gt;(Tarozzi and Deaton, 2009)&lt;/DisplayText&gt;&lt;record&gt;&lt;rec-number&gt;14&lt;/rec-number&gt;&lt;foreign-keys&gt;&lt;key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A73E57">
        <w:fldChar w:fldCharType="separate"/>
      </w:r>
      <w:r w:rsidR="00A463AE">
        <w:rPr>
          <w:noProof/>
        </w:rPr>
        <w:t>(Tarozzi and Deaton, 2009)</w:t>
      </w:r>
      <w:r w:rsidR="00A73E57">
        <w:fldChar w:fldCharType="end"/>
      </w:r>
      <w:r w:rsidRPr="00B74BF1">
        <w:t>. The</w:t>
      </w:r>
      <w:r>
        <w:t xml:space="preserve"> nested household-</w:t>
      </w:r>
      <w:r w:rsidRPr="00314EBB">
        <w:t xml:space="preserve">specific random effect then allows each household to further deviate from its cluster in a unique way. </w:t>
      </w:r>
      <w:r w:rsidR="00A73E57" w:rsidRPr="00314EBB">
        <w:fldChar w:fldCharType="begin"/>
      </w:r>
      <w:r w:rsidR="00D06B98" w:rsidRPr="00314EBB">
        <w:instrText xml:space="preserve"> ADDIN EN.CITE &lt;EndNote&gt;&lt;Cite AuthorYear="1"&gt;&lt;Author&gt;Greene&lt;/Author&gt;&lt;Year&gt;2012&lt;/Year&gt;&lt;RecNum&gt;24&lt;/RecNum&gt;&lt;Pages&gt;412&lt;/Pages&gt;&lt;DisplayText&gt;Greene (2012)&lt;/DisplayText&gt;&lt;record&gt;&lt;rec-number&gt;24&lt;/rec-number&gt;&lt;foreign-keys&gt;&lt;key app="EN" db-id="5fvtavdaavaz95e2zv0vf9wms90fv05av5se" timestamp="1481044055"&gt;24&lt;/key&gt;&lt;/foreign-keys&gt;&lt;ref-type name="Book"&gt;6&lt;/ref-type&gt;&lt;contributors&gt;&lt;authors&gt;&lt;author&gt;Greene, William H&lt;/author&gt;&lt;/authors&gt;&lt;/contributors&gt;&lt;titles&gt;&lt;title&gt;Econometric Analysis: Seventh Edition&lt;/title&gt;&lt;/titles&gt;&lt;dates&gt;&lt;year&gt;2012&lt;/year&gt;&lt;/dates&gt;&lt;pub-location&gt;Essex, England&lt;/pub-location&gt;&lt;publisher&gt;Pearson Education Limited &lt;/publisher&gt;&lt;urls&gt;&lt;/urls&gt;&lt;/record&gt;&lt;/Cite&gt;&lt;/EndNote&gt;</w:instrText>
      </w:r>
      <w:r w:rsidR="00A73E57" w:rsidRPr="00314EBB">
        <w:fldChar w:fldCharType="separate"/>
      </w:r>
      <w:r w:rsidR="00D06B98" w:rsidRPr="00314EBB">
        <w:rPr>
          <w:noProof/>
        </w:rPr>
        <w:t>Greene (2012</w:t>
      </w:r>
      <w:r w:rsidR="00314EBB" w:rsidRPr="00314EBB">
        <w:rPr>
          <w:noProof/>
        </w:rPr>
        <w:t>, p.412</w:t>
      </w:r>
      <w:r w:rsidR="00D06B98" w:rsidRPr="00314EBB">
        <w:rPr>
          <w:noProof/>
        </w:rPr>
        <w:t>)</w:t>
      </w:r>
      <w:r w:rsidR="00A73E57" w:rsidRPr="00314EBB">
        <w:fldChar w:fldCharType="end"/>
      </w:r>
      <w:r w:rsidRPr="00314EBB">
        <w:t xml:space="preserve"> notes</w:t>
      </w:r>
      <w:r>
        <w:t xml:space="preserve"> that the “parameters of the random effects model can be estimated consistently, though not efficiently by ordinary least squares (OLS).” Therefore, working towards the derivation of the random effects, the following simpler model is estimated using OLS</w:t>
      </w:r>
      <w:r w:rsidR="00B54E23">
        <w:t>, taking into account survey weights</w:t>
      </w:r>
      <w: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5"/>
        <w:gridCol w:w="515"/>
      </w:tblGrid>
      <w:tr w:rsidR="00034A81" w:rsidRPr="002C1CBF" w14:paraId="413E3E99" w14:textId="6E1F271C" w:rsidTr="0066616A">
        <w:tc>
          <w:tcPr>
            <w:tcW w:w="4725" w:type="pct"/>
            <w:vAlign w:val="center"/>
          </w:tcPr>
          <w:p w14:paraId="0A321A5B" w14:textId="00C0CBC0" w:rsidR="00034A81" w:rsidRPr="002C1CBF" w:rsidRDefault="00997C20" w:rsidP="00E46BD5">
            <w:pPr>
              <w:jc w:val="center"/>
            </w:pPr>
            <m:oMathPara>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ch</m:t>
                            </m:r>
                          </m:sub>
                        </m:sSub>
                      </m:e>
                    </m:d>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ch</m:t>
                        </m:r>
                      </m:sub>
                    </m:sSub>
                    <m:r>
                      <w:rPr>
                        <w:rFonts w:ascii="Cambria Math" w:hAnsi="Cambria Math"/>
                      </w:rPr>
                      <m:t>β+</m:t>
                    </m:r>
                    <m:sSub>
                      <m:sSubPr>
                        <m:ctrlPr>
                          <w:rPr>
                            <w:rFonts w:ascii="Cambria Math" w:hAnsi="Cambria Math"/>
                            <w:i/>
                          </w:rPr>
                        </m:ctrlPr>
                      </m:sSubPr>
                      <m:e>
                        <m:r>
                          <w:rPr>
                            <w:rFonts w:ascii="Cambria Math" w:hAnsi="Cambria Math"/>
                          </w:rPr>
                          <m:t>u</m:t>
                        </m:r>
                      </m:e>
                      <m:sub>
                        <m:r>
                          <w:rPr>
                            <w:rFonts w:ascii="Cambria Math" w:hAnsi="Cambria Math"/>
                          </w:rPr>
                          <m:t>ch</m:t>
                        </m:r>
                      </m:sub>
                    </m:sSub>
                  </m:e>
                </m:func>
              </m:oMath>
            </m:oMathPara>
          </w:p>
        </w:tc>
        <w:tc>
          <w:tcPr>
            <w:tcW w:w="275" w:type="pct"/>
            <w:vAlign w:val="center"/>
          </w:tcPr>
          <w:p w14:paraId="448F1DED" w14:textId="25A9D4A0" w:rsidR="00034A81" w:rsidRDefault="00034A81" w:rsidP="00E46BD5">
            <w:pPr>
              <w:jc w:val="center"/>
              <w:rPr>
                <w:rFonts w:eastAsia="Calibri"/>
              </w:rPr>
            </w:pPr>
            <w:bookmarkStart w:id="2" w:name="_Ref297467773"/>
            <w:r w:rsidRPr="00A30D83">
              <w:t>(</w:t>
            </w:r>
            <w:fldSimple w:instr=" SEQ Equation \* ARABIC ">
              <w:r w:rsidR="00BB06E6">
                <w:rPr>
                  <w:noProof/>
                </w:rPr>
                <w:t>2</w:t>
              </w:r>
            </w:fldSimple>
            <w:r w:rsidRPr="00A30D83">
              <w:t>)</w:t>
            </w:r>
            <w:bookmarkEnd w:id="2"/>
          </w:p>
        </w:tc>
      </w:tr>
      <w:tr w:rsidR="00034A81" w:rsidRPr="002C1CBF" w14:paraId="4092A7AA" w14:textId="092A2A1D" w:rsidTr="0066616A">
        <w:tc>
          <w:tcPr>
            <w:tcW w:w="4725" w:type="pct"/>
            <w:vAlign w:val="center"/>
          </w:tcPr>
          <w:p w14:paraId="0BF43F0A" w14:textId="00331F17" w:rsidR="00034A81" w:rsidRDefault="00034A81" w:rsidP="00E46BD5">
            <w:pPr>
              <w:jc w:val="center"/>
              <w:rPr>
                <w:rFonts w:eastAsia="MS Mincho"/>
              </w:rPr>
            </w:pPr>
          </w:p>
        </w:tc>
        <w:tc>
          <w:tcPr>
            <w:tcW w:w="275" w:type="pct"/>
            <w:vAlign w:val="center"/>
          </w:tcPr>
          <w:p w14:paraId="4857825F" w14:textId="77777777" w:rsidR="00034A81" w:rsidRDefault="00034A81" w:rsidP="00E46BD5">
            <w:pPr>
              <w:jc w:val="center"/>
              <w:rPr>
                <w:rFonts w:eastAsia="MS Mincho"/>
              </w:rPr>
            </w:pPr>
          </w:p>
        </w:tc>
      </w:tr>
    </w:tbl>
    <w:p w14:paraId="5536F7C7" w14:textId="78D28E40" w:rsidR="00E46BD5" w:rsidRDefault="00E46BD5" w:rsidP="00BB66F2">
      <w:pPr>
        <w:spacing w:line="480" w:lineRule="auto"/>
      </w:pPr>
      <w:r>
        <w:t xml:space="preserve">where </w:t>
      </w:r>
      <m:oMath>
        <m:sSub>
          <m:sSubPr>
            <m:ctrlPr>
              <w:rPr>
                <w:rFonts w:ascii="Cambria Math" w:hAnsi="Cambria Math"/>
                <w:i/>
              </w:rPr>
            </m:ctrlPr>
          </m:sSubPr>
          <m:e>
            <m:r>
              <w:rPr>
                <w:rFonts w:ascii="Cambria Math" w:hAnsi="Cambria Math"/>
              </w:rPr>
              <m:t>u</m:t>
            </m:r>
          </m:e>
          <m:sub>
            <m:r>
              <w:rPr>
                <w:rFonts w:ascii="Cambria Math" w:hAnsi="Cambria Math"/>
              </w:rPr>
              <m:t>ch</m:t>
            </m:r>
          </m:sub>
        </m:sSub>
      </m:oMath>
      <w:r>
        <w:t xml:space="preserve"> is the combined model error. The estimated residuals from </w:t>
      </w:r>
      <w:r w:rsidR="00165C51">
        <w:fldChar w:fldCharType="begin"/>
      </w:r>
      <w:r w:rsidR="00165C51">
        <w:instrText xml:space="preserve"> REF _Ref297467773 \h </w:instrText>
      </w:r>
      <w:r w:rsidR="00165C51">
        <w:fldChar w:fldCharType="separate"/>
      </w:r>
      <w:r w:rsidR="00BB06E6" w:rsidRPr="00A30D83">
        <w:t>(</w:t>
      </w:r>
      <w:r w:rsidR="00BB06E6">
        <w:rPr>
          <w:noProof/>
        </w:rPr>
        <w:t>2</w:t>
      </w:r>
      <w:r w:rsidR="00BB06E6" w:rsidRPr="00A30D83">
        <w:t>)</w:t>
      </w:r>
      <w:r w:rsidR="00165C51">
        <w:fldChar w:fldCharType="end"/>
      </w:r>
      <w:r>
        <w:t xml:space="preserve"> are then decomposed into the cluster-specific and household specific components: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3"/>
        <w:gridCol w:w="507"/>
      </w:tblGrid>
      <w:tr w:rsidR="00034A81" w:rsidRPr="002C1CBF" w14:paraId="4F223A23" w14:textId="675E7BA9" w:rsidTr="0066616A">
        <w:trPr>
          <w:trHeight w:val="305"/>
        </w:trPr>
        <w:tc>
          <w:tcPr>
            <w:tcW w:w="4729" w:type="pct"/>
            <w:vAlign w:val="center"/>
          </w:tcPr>
          <w:p w14:paraId="38CC7106" w14:textId="1D914F22" w:rsidR="00034A81" w:rsidRPr="002C1CBF" w:rsidRDefault="00997C20" w:rsidP="00E46BD5">
            <w:pPr>
              <w:jc w:val="center"/>
            </w:pPr>
            <m:oMathPara>
              <m:oMath>
                <m:sSub>
                  <m:sSubPr>
                    <m:ctrlPr>
                      <w:rPr>
                        <w:rFonts w:ascii="Cambria Math" w:hAnsi="Cambria Math"/>
                        <w:i/>
                      </w:rPr>
                    </m:ctrlPr>
                  </m:sSubPr>
                  <m:e>
                    <m:acc>
                      <m:accPr>
                        <m:ctrlPr>
                          <w:rPr>
                            <w:rFonts w:ascii="Cambria Math" w:hAnsi="Cambria Math"/>
                            <w:i/>
                          </w:rPr>
                        </m:ctrlPr>
                      </m:accPr>
                      <m:e>
                        <m:r>
                          <w:rPr>
                            <w:rFonts w:ascii="Cambria Math" w:hAnsi="Cambria Math"/>
                          </w:rPr>
                          <m:t>u</m:t>
                        </m:r>
                      </m:e>
                    </m:acc>
                  </m:e>
                  <m:sub>
                    <m:r>
                      <w:rPr>
                        <w:rFonts w:ascii="Cambria Math" w:hAnsi="Cambria Math"/>
                      </w:rPr>
                      <m:t>ch</m:t>
                    </m:r>
                  </m:sub>
                </m:sSub>
                <m:r>
                  <w:rPr>
                    <w:rFonts w:ascii="Cambria Math" w:hAnsi="Cambria Math"/>
                  </w:rPr>
                  <m:t xml:space="preserve">= </m:t>
                </m:r>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r>
                  <w:rPr>
                    <w:rFonts w:ascii="Cambria Math" w:hAnsi="Cambria Math"/>
                  </w:rPr>
                  <m:t xml:space="preserve">+ </m:t>
                </m:r>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m:oMathPara>
          </w:p>
        </w:tc>
        <w:tc>
          <w:tcPr>
            <w:tcW w:w="271" w:type="pct"/>
            <w:vAlign w:val="center"/>
          </w:tcPr>
          <w:p w14:paraId="41EFDD44" w14:textId="3CCC6D01" w:rsidR="00034A81" w:rsidRDefault="00034A81" w:rsidP="00E46BD5">
            <w:pPr>
              <w:jc w:val="center"/>
              <w:rPr>
                <w:rFonts w:eastAsia="Calibri"/>
              </w:rPr>
            </w:pPr>
            <w:bookmarkStart w:id="3" w:name="_Ref297468145"/>
            <w:r w:rsidRPr="00A30D83">
              <w:t>(</w:t>
            </w:r>
            <w:fldSimple w:instr=" SEQ Equation \* ARABIC ">
              <w:r w:rsidR="00BB06E6">
                <w:rPr>
                  <w:noProof/>
                </w:rPr>
                <w:t>3</w:t>
              </w:r>
            </w:fldSimple>
            <w:r w:rsidRPr="00A30D83">
              <w:t>)</w:t>
            </w:r>
            <w:bookmarkEnd w:id="3"/>
          </w:p>
        </w:tc>
      </w:tr>
      <w:tr w:rsidR="00034A81" w:rsidRPr="002C1CBF" w14:paraId="1E2AE735" w14:textId="52AB0F71" w:rsidTr="0066616A">
        <w:trPr>
          <w:trHeight w:val="251"/>
        </w:trPr>
        <w:tc>
          <w:tcPr>
            <w:tcW w:w="4729" w:type="pct"/>
            <w:vAlign w:val="center"/>
          </w:tcPr>
          <w:p w14:paraId="6F1D2A07" w14:textId="068DE167" w:rsidR="00034A81" w:rsidRDefault="00034A81" w:rsidP="00E46BD5">
            <w:pPr>
              <w:jc w:val="center"/>
              <w:rPr>
                <w:rFonts w:eastAsia="MS Mincho"/>
              </w:rPr>
            </w:pPr>
          </w:p>
        </w:tc>
        <w:tc>
          <w:tcPr>
            <w:tcW w:w="271" w:type="pct"/>
            <w:vAlign w:val="center"/>
          </w:tcPr>
          <w:p w14:paraId="1E1D7A4A" w14:textId="77777777" w:rsidR="00034A81" w:rsidRDefault="00034A81" w:rsidP="00E46BD5">
            <w:pPr>
              <w:jc w:val="center"/>
              <w:rPr>
                <w:rFonts w:eastAsia="MS Mincho"/>
              </w:rPr>
            </w:pPr>
          </w:p>
        </w:tc>
      </w:tr>
    </w:tbl>
    <w:p w14:paraId="6EF4AED3" w14:textId="77777777" w:rsidR="00E46BD5" w:rsidRDefault="00E46BD5" w:rsidP="00E46BD5">
      <w:pPr>
        <w:spacing w:line="480" w:lineRule="auto"/>
      </w:pPr>
      <w:r>
        <w:t xml:space="preserve">where the estimate of the cluster-specific random effect, </w:t>
      </w:r>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oMath>
      <w:r>
        <w:t xml:space="preserve">, is the average total residual of the sampled households in a </w:t>
      </w:r>
      <w:proofErr w:type="gramStart"/>
      <w:r>
        <w:t>particular cluster</w:t>
      </w:r>
      <w:proofErr w:type="gramEnd"/>
      <w:r>
        <w:t>. Specifically:</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4"/>
        <w:gridCol w:w="556"/>
      </w:tblGrid>
      <w:tr w:rsidR="0066616A" w:rsidRPr="002C1CBF" w14:paraId="25180646" w14:textId="74FC0C59" w:rsidTr="0066616A">
        <w:trPr>
          <w:trHeight w:val="747"/>
        </w:trPr>
        <w:tc>
          <w:tcPr>
            <w:tcW w:w="4703" w:type="pct"/>
            <w:vAlign w:val="center"/>
          </w:tcPr>
          <w:p w14:paraId="3BE3B4F0" w14:textId="02DD73AB" w:rsidR="0066616A" w:rsidRPr="002C1CBF" w:rsidRDefault="00997C20" w:rsidP="00E46BD5">
            <w:pPr>
              <w:jc w:val="center"/>
            </w:pPr>
            <m:oMathPara>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r>
                  <w:rPr>
                    <w:rFonts w:ascii="Cambria Math" w:hAnsi="Cambria Math"/>
                  </w:rPr>
                  <m:t xml:space="preserve">= </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M</m:t>
                        </m:r>
                      </m:e>
                      <m:sub>
                        <m:r>
                          <w:rPr>
                            <w:rFonts w:ascii="Cambria Math" w:hAnsi="Cambria Math"/>
                          </w:rPr>
                          <m:t>c</m:t>
                        </m:r>
                      </m:sub>
                    </m:sSub>
                  </m:den>
                </m:f>
                <m:r>
                  <w:rPr>
                    <w:rFonts w:ascii="Cambria Math" w:hAnsi="Cambria Math"/>
                  </w:rPr>
                  <m:t xml:space="preserve"> </m:t>
                </m:r>
                <m:nary>
                  <m:naryPr>
                    <m:chr m:val="∑"/>
                    <m:limLoc m:val="undOvr"/>
                    <m:ctrlPr>
                      <w:rPr>
                        <w:rFonts w:ascii="Cambria Math" w:hAnsi="Cambria Math"/>
                        <w:i/>
                      </w:rPr>
                    </m:ctrlPr>
                  </m:naryPr>
                  <m:sub>
                    <m:r>
                      <w:rPr>
                        <w:rFonts w:ascii="Cambria Math" w:hAnsi="Cambria Math"/>
                      </w:rPr>
                      <m:t>h=1</m:t>
                    </m:r>
                  </m:sub>
                  <m:sup>
                    <m:sSub>
                      <m:sSubPr>
                        <m:ctrlPr>
                          <w:rPr>
                            <w:rFonts w:ascii="Cambria Math" w:hAnsi="Cambria Math"/>
                            <w:i/>
                          </w:rPr>
                        </m:ctrlPr>
                      </m:sSubPr>
                      <m:e>
                        <m:r>
                          <w:rPr>
                            <w:rFonts w:ascii="Cambria Math" w:hAnsi="Cambria Math"/>
                          </w:rPr>
                          <m:t>M</m:t>
                        </m:r>
                      </m:e>
                      <m:sub>
                        <m:r>
                          <w:rPr>
                            <w:rFonts w:ascii="Cambria Math" w:hAnsi="Cambria Math"/>
                          </w:rPr>
                          <m:t>c</m:t>
                        </m:r>
                      </m:sub>
                    </m:sSub>
                  </m:sup>
                  <m:e>
                    <m:d>
                      <m:dPr>
                        <m:ctrlPr>
                          <w:rPr>
                            <w:rFonts w:ascii="Cambria Math" w:hAnsi="Cambria Math"/>
                            <w:i/>
                          </w:rPr>
                        </m:ctrlPr>
                      </m:dPr>
                      <m:e>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sSub>
                                  <m:sSubPr>
                                    <m:ctrlPr>
                                      <w:rPr>
                                        <w:rFonts w:ascii="Cambria Math" w:hAnsi="Cambria Math"/>
                                        <w:i/>
                                      </w:rPr>
                                    </m:ctrlPr>
                                  </m:sSubPr>
                                  <m:e>
                                    <m:r>
                                      <w:rPr>
                                        <w:rFonts w:ascii="Cambria Math" w:hAnsi="Cambria Math"/>
                                      </w:rPr>
                                      <m:t>y</m:t>
                                    </m:r>
                                  </m:e>
                                  <m:sub>
                                    <m:r>
                                      <w:rPr>
                                        <w:rFonts w:ascii="Cambria Math" w:hAnsi="Cambria Math"/>
                                      </w:rPr>
                                      <m:t>ch</m:t>
                                    </m:r>
                                  </m:sub>
                                </m:sSub>
                              </m:e>
                            </m:d>
                          </m:e>
                        </m:func>
                        <m:r>
                          <w:rPr>
                            <w:rFonts w:ascii="Cambria Math" w:hAnsi="Cambria Math"/>
                          </w:rPr>
                          <m:t>-</m:t>
                        </m:r>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acc>
                                  <m:accPr>
                                    <m:ctrlPr>
                                      <w:rPr>
                                        <w:rFonts w:ascii="Cambria Math" w:hAnsi="Cambria Math"/>
                                        <w:i/>
                                      </w:rPr>
                                    </m:ctrlPr>
                                  </m:accPr>
                                  <m:e>
                                    <m:sSub>
                                      <m:sSubPr>
                                        <m:ctrlPr>
                                          <w:rPr>
                                            <w:rFonts w:ascii="Cambria Math" w:hAnsi="Cambria Math"/>
                                            <w:i/>
                                          </w:rPr>
                                        </m:ctrlPr>
                                      </m:sSubPr>
                                      <m:e>
                                        <m:r>
                                          <w:rPr>
                                            <w:rFonts w:ascii="Cambria Math" w:hAnsi="Cambria Math"/>
                                          </w:rPr>
                                          <m:t>y</m:t>
                                        </m:r>
                                      </m:e>
                                      <m:sub>
                                        <m:r>
                                          <w:rPr>
                                            <w:rFonts w:ascii="Cambria Math" w:hAnsi="Cambria Math"/>
                                          </w:rPr>
                                          <m:t>ch</m:t>
                                        </m:r>
                                      </m:sub>
                                    </m:sSub>
                                  </m:e>
                                </m:acc>
                              </m:e>
                            </m:d>
                          </m:e>
                        </m:func>
                      </m:e>
                    </m:d>
                  </m:e>
                </m:nary>
              </m:oMath>
            </m:oMathPara>
          </w:p>
        </w:tc>
        <w:tc>
          <w:tcPr>
            <w:tcW w:w="297" w:type="pct"/>
            <w:vAlign w:val="center"/>
          </w:tcPr>
          <w:p w14:paraId="186D87F0" w14:textId="06A3D5BC" w:rsidR="0066616A" w:rsidRDefault="0066616A" w:rsidP="00E46BD5">
            <w:pPr>
              <w:jc w:val="center"/>
              <w:rPr>
                <w:rFonts w:eastAsia="Calibri"/>
              </w:rPr>
            </w:pPr>
            <w:bookmarkStart w:id="4" w:name="_Ref297468764"/>
            <w:r w:rsidRPr="00A30D83">
              <w:t>(</w:t>
            </w:r>
            <w:fldSimple w:instr=" SEQ Equation \* ARABIC ">
              <w:r w:rsidR="00BB06E6">
                <w:rPr>
                  <w:noProof/>
                </w:rPr>
                <w:t>4</w:t>
              </w:r>
            </w:fldSimple>
            <w:r w:rsidRPr="00A30D83">
              <w:t>)</w:t>
            </w:r>
            <w:bookmarkEnd w:id="4"/>
          </w:p>
        </w:tc>
      </w:tr>
      <w:tr w:rsidR="0066616A" w:rsidRPr="002C1CBF" w14:paraId="73E858F9" w14:textId="3C5824A0" w:rsidTr="0066616A">
        <w:tc>
          <w:tcPr>
            <w:tcW w:w="4703" w:type="pct"/>
            <w:vAlign w:val="center"/>
          </w:tcPr>
          <w:p w14:paraId="25B56F64" w14:textId="317EC466" w:rsidR="0066616A" w:rsidRDefault="0066616A" w:rsidP="00E46BD5">
            <w:pPr>
              <w:jc w:val="center"/>
              <w:rPr>
                <w:rFonts w:eastAsia="MS Mincho"/>
              </w:rPr>
            </w:pPr>
          </w:p>
        </w:tc>
        <w:tc>
          <w:tcPr>
            <w:tcW w:w="297" w:type="pct"/>
            <w:vAlign w:val="center"/>
          </w:tcPr>
          <w:p w14:paraId="7791F9BF" w14:textId="77777777" w:rsidR="0066616A" w:rsidRDefault="0066616A" w:rsidP="00E46BD5">
            <w:pPr>
              <w:jc w:val="center"/>
              <w:rPr>
                <w:rFonts w:eastAsia="MS Mincho"/>
              </w:rPr>
            </w:pPr>
          </w:p>
        </w:tc>
      </w:tr>
    </w:tbl>
    <w:p w14:paraId="33AA42BE" w14:textId="2B153446" w:rsidR="00E46BD5" w:rsidRDefault="00E46BD5" w:rsidP="00E46BD5">
      <w:pPr>
        <w:spacing w:line="480" w:lineRule="auto"/>
      </w:pPr>
      <w:r>
        <w:lastRenderedPageBreak/>
        <w:t xml:space="preserve">where </w:t>
      </w:r>
      <m:oMath>
        <m:sSub>
          <m:sSubPr>
            <m:ctrlPr>
              <w:rPr>
                <w:rFonts w:ascii="Cambria Math" w:hAnsi="Cambria Math"/>
                <w:i/>
              </w:rPr>
            </m:ctrlPr>
          </m:sSubPr>
          <m:e>
            <m:r>
              <w:rPr>
                <w:rFonts w:ascii="Cambria Math" w:hAnsi="Cambria Math"/>
              </w:rPr>
              <m:t>M</m:t>
            </m:r>
          </m:e>
          <m:sub>
            <m:r>
              <w:rPr>
                <w:rFonts w:ascii="Cambria Math" w:hAnsi="Cambria Math"/>
              </w:rPr>
              <m:t>c</m:t>
            </m:r>
          </m:sub>
        </m:sSub>
      </m:oMath>
      <w:r>
        <w:t xml:space="preserve"> is the number of sampled households </w:t>
      </w:r>
      <w:proofErr w:type="gramStart"/>
      <w:r>
        <w:t>in a given</w:t>
      </w:r>
      <w:proofErr w:type="gramEnd"/>
      <w:r>
        <w:t xml:space="preserve"> cluster </w:t>
      </w:r>
      <w:r w:rsidRPr="00E24424">
        <w:rPr>
          <w:i/>
        </w:rPr>
        <w:t>c</w:t>
      </w:r>
      <w:r>
        <w:t xml:space="preserve"> and </w:t>
      </w:r>
      <m:oMath>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acc>
                  <m:accPr>
                    <m:ctrlPr>
                      <w:rPr>
                        <w:rFonts w:ascii="Cambria Math" w:hAnsi="Cambria Math"/>
                        <w:i/>
                      </w:rPr>
                    </m:ctrlPr>
                  </m:accPr>
                  <m:e>
                    <m:sSub>
                      <m:sSubPr>
                        <m:ctrlPr>
                          <w:rPr>
                            <w:rFonts w:ascii="Cambria Math" w:hAnsi="Cambria Math"/>
                            <w:i/>
                          </w:rPr>
                        </m:ctrlPr>
                      </m:sSubPr>
                      <m:e>
                        <m:r>
                          <w:rPr>
                            <w:rFonts w:ascii="Cambria Math" w:hAnsi="Cambria Math"/>
                          </w:rPr>
                          <m:t>y</m:t>
                        </m:r>
                      </m:e>
                      <m:sub>
                        <m:r>
                          <w:rPr>
                            <w:rFonts w:ascii="Cambria Math" w:hAnsi="Cambria Math"/>
                          </w:rPr>
                          <m:t>ch</m:t>
                        </m:r>
                      </m:sub>
                    </m:sSub>
                  </m:e>
                </m:acc>
              </m:e>
            </m:d>
          </m:e>
        </m:func>
      </m:oMath>
      <w:r>
        <w:t xml:space="preserve"> is the fitted value from </w:t>
      </w:r>
      <w:r w:rsidR="00D943BD">
        <w:fldChar w:fldCharType="begin"/>
      </w:r>
      <w:r w:rsidR="00D943BD">
        <w:instrText xml:space="preserve"> REF _Ref297467773 \h </w:instrText>
      </w:r>
      <w:r w:rsidR="00D943BD">
        <w:fldChar w:fldCharType="separate"/>
      </w:r>
      <w:r w:rsidR="00BB06E6" w:rsidRPr="00A30D83">
        <w:t>(</w:t>
      </w:r>
      <w:r w:rsidR="00BB06E6">
        <w:rPr>
          <w:noProof/>
        </w:rPr>
        <w:t>2</w:t>
      </w:r>
      <w:r w:rsidR="00BB06E6" w:rsidRPr="00A30D83">
        <w:t>)</w:t>
      </w:r>
      <w:r w:rsidR="00D943BD">
        <w:fldChar w:fldCharType="end"/>
      </w:r>
      <w:r>
        <w:t>. The estimate of the household-specific random effect</w:t>
      </w:r>
      <w:r w:rsidR="00C83D1E">
        <w:t xml:space="preserve"> </w:t>
      </w:r>
      <w:r>
        <w:t>becomes: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5"/>
        <w:gridCol w:w="805"/>
      </w:tblGrid>
      <w:tr w:rsidR="00343B58" w:rsidRPr="002C1CBF" w14:paraId="07932986" w14:textId="44795AE4" w:rsidTr="00343B58">
        <w:tc>
          <w:tcPr>
            <w:tcW w:w="4570" w:type="pct"/>
            <w:vAlign w:val="center"/>
          </w:tcPr>
          <w:p w14:paraId="1988B135" w14:textId="77777777" w:rsidR="00343B58" w:rsidRPr="002C1CBF" w:rsidRDefault="00997C20" w:rsidP="00B24DE1">
            <w:pPr>
              <w:jc w:val="center"/>
            </w:pPr>
            <m:oMathPara>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u</m:t>
                        </m:r>
                      </m:e>
                    </m:acc>
                  </m:e>
                  <m:sub>
                    <m:r>
                      <w:rPr>
                        <w:rFonts w:ascii="Cambria Math" w:hAnsi="Cambria Math"/>
                      </w:rPr>
                      <m:t>ch</m:t>
                    </m:r>
                  </m:sub>
                </m:sSub>
                <m:r>
                  <w:rPr>
                    <w:rFonts w:ascii="Cambria Math" w:hAnsi="Cambria Math"/>
                  </w:rPr>
                  <m:t>-</m:t>
                </m:r>
                <m:sSub>
                  <m:sSubPr>
                    <m:ctrlPr>
                      <w:rPr>
                        <w:rFonts w:ascii="Cambria Math" w:hAnsi="Cambria Math"/>
                        <w:i/>
                      </w:rPr>
                    </m:ctrlPr>
                  </m:sSubPr>
                  <m:e>
                    <m:r>
                      <w:rPr>
                        <w:rFonts w:ascii="Cambria Math" w:hAnsi="Cambria Math"/>
                      </w:rPr>
                      <m:t xml:space="preserve"> </m:t>
                    </m:r>
                    <m:acc>
                      <m:accPr>
                        <m:ctrlPr>
                          <w:rPr>
                            <w:rFonts w:ascii="Cambria Math" w:hAnsi="Cambria Math"/>
                            <w:i/>
                          </w:rPr>
                        </m:ctrlPr>
                      </m:accPr>
                      <m:e>
                        <m:r>
                          <w:rPr>
                            <w:rFonts w:ascii="Cambria Math" w:hAnsi="Cambria Math"/>
                          </w:rPr>
                          <m:t>η</m:t>
                        </m:r>
                      </m:e>
                    </m:acc>
                  </m:e>
                  <m:sub>
                    <m:r>
                      <w:rPr>
                        <w:rFonts w:ascii="Cambria Math" w:hAnsi="Cambria Math"/>
                      </w:rPr>
                      <m:t>c</m:t>
                    </m:r>
                  </m:sub>
                </m:sSub>
                <m:r>
                  <m:rPr>
                    <m:sty m:val="p"/>
                  </m:rPr>
                  <w:rPr>
                    <w:rFonts w:ascii="Cambria Math" w:hAnsi="Cambria Math"/>
                  </w:rPr>
                  <m:t xml:space="preserve"> </m:t>
                </m:r>
                <m:r>
                  <w:rPr>
                    <w:rFonts w:ascii="Cambria Math" w:hAnsi="Cambria Math"/>
                  </w:rPr>
                  <m:t xml:space="preserve"> </m:t>
                </m:r>
              </m:oMath>
            </m:oMathPara>
          </w:p>
        </w:tc>
        <w:tc>
          <w:tcPr>
            <w:tcW w:w="430" w:type="pct"/>
            <w:vAlign w:val="center"/>
          </w:tcPr>
          <w:p w14:paraId="520FB168" w14:textId="469CD192" w:rsidR="00343B58" w:rsidRDefault="00343B58" w:rsidP="00B24DE1">
            <w:pPr>
              <w:jc w:val="center"/>
              <w:rPr>
                <w:rFonts w:eastAsia="Calibri"/>
              </w:rPr>
            </w:pPr>
            <w:bookmarkStart w:id="5" w:name="_Ref297469000"/>
            <w:r w:rsidRPr="00A30D83">
              <w:t>(</w:t>
            </w:r>
            <w:fldSimple w:instr=" SEQ Equation \* ARABIC ">
              <w:r w:rsidR="00BB06E6">
                <w:rPr>
                  <w:noProof/>
                </w:rPr>
                <w:t>5</w:t>
              </w:r>
            </w:fldSimple>
            <w:r w:rsidRPr="00A30D83">
              <w:t>)</w:t>
            </w:r>
            <w:bookmarkEnd w:id="5"/>
          </w:p>
        </w:tc>
      </w:tr>
      <w:tr w:rsidR="00343B58" w:rsidRPr="002C1CBF" w14:paraId="04DDEED8" w14:textId="7786A48A" w:rsidTr="00343B58">
        <w:tc>
          <w:tcPr>
            <w:tcW w:w="4570" w:type="pct"/>
            <w:vAlign w:val="center"/>
          </w:tcPr>
          <w:p w14:paraId="2412EB69" w14:textId="77777777" w:rsidR="00343B58" w:rsidRDefault="00343B58" w:rsidP="00B24DE1">
            <w:pPr>
              <w:jc w:val="center"/>
              <w:rPr>
                <w:rFonts w:eastAsia="MS Mincho"/>
              </w:rPr>
            </w:pPr>
          </w:p>
        </w:tc>
        <w:tc>
          <w:tcPr>
            <w:tcW w:w="430" w:type="pct"/>
            <w:vAlign w:val="center"/>
          </w:tcPr>
          <w:p w14:paraId="3F177B43" w14:textId="77777777" w:rsidR="00343B58" w:rsidRDefault="00343B58" w:rsidP="00B24DE1">
            <w:pPr>
              <w:jc w:val="center"/>
              <w:rPr>
                <w:rFonts w:eastAsia="MS Mincho"/>
              </w:rPr>
            </w:pPr>
          </w:p>
        </w:tc>
      </w:tr>
    </w:tbl>
    <w:p w14:paraId="33ACAFDB" w14:textId="65722A3E" w:rsidR="00E46BD5" w:rsidRDefault="00997C20" w:rsidP="00E46BD5">
      <w:pPr>
        <w:spacing w:line="480" w:lineRule="auto"/>
      </w:pP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00E46BD5">
        <w:t xml:space="preserve"> is therefore a measure of how far away a particular household is from the average residual in its </w:t>
      </w:r>
      <w:proofErr w:type="gramStart"/>
      <w:r w:rsidR="00E46BD5">
        <w:t>cluster.</w:t>
      </w:r>
      <w:proofErr w:type="gramEnd"/>
      <w:r w:rsidR="00E46BD5">
        <w:t xml:space="preserve"> </w:t>
      </w:r>
    </w:p>
    <w:p w14:paraId="02E3248D" w14:textId="17BE9B2C" w:rsidR="00E46BD5" w:rsidRDefault="00E46BD5" w:rsidP="00A000D3">
      <w:pPr>
        <w:spacing w:line="480" w:lineRule="auto"/>
        <w:ind w:firstLine="720"/>
      </w:pPr>
      <w:r>
        <w:t xml:space="preserve">Having decomposed the estimated total residuals into the two component parts, the next challenge is to generate estimates of </w:t>
      </w:r>
      <m:oMath>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oMath>
      <w:r>
        <w:t xml:space="preserve"> and </w:t>
      </w:r>
      <m:oMath>
        <m:sSubSup>
          <m:sSubSupPr>
            <m:ctrlPr>
              <w:rPr>
                <w:rFonts w:ascii="Cambria Math" w:hAnsi="Cambria Math"/>
                <w:i/>
              </w:rPr>
            </m:ctrlPr>
          </m:sSubSupPr>
          <m:e>
            <m:r>
              <w:rPr>
                <w:rFonts w:ascii="Cambria Math" w:hAnsi="Cambria Math"/>
              </w:rPr>
              <m:t>σ</m:t>
            </m:r>
          </m:e>
          <m:sub>
            <m:r>
              <w:rPr>
                <w:rFonts w:ascii="Cambria Math" w:hAnsi="Cambria Math"/>
              </w:rPr>
              <m:t>ε</m:t>
            </m:r>
          </m:sub>
          <m:sup>
            <m:r>
              <w:rPr>
                <w:rFonts w:ascii="Cambria Math" w:hAnsi="Cambria Math"/>
              </w:rPr>
              <m:t>2</m:t>
            </m:r>
          </m:sup>
        </m:sSubSup>
      </m:oMath>
      <w:r>
        <w:t xml:space="preserve">, the variances of </w:t>
      </w:r>
      <m:oMath>
        <m:r>
          <w:rPr>
            <w:rFonts w:ascii="Cambria Math" w:hAnsi="Cambria Math"/>
          </w:rPr>
          <m:t>η</m:t>
        </m:r>
      </m:oMath>
      <w:r>
        <w:t xml:space="preserve"> and </w:t>
      </w:r>
      <m:oMath>
        <m:r>
          <w:rPr>
            <w:rFonts w:ascii="Cambria Math" w:hAnsi="Cambria Math"/>
          </w:rPr>
          <m:t>ε</m:t>
        </m:r>
      </m:oMath>
      <w:r>
        <w:t xml:space="preserve"> respectively. It is plausible that these variances could </w:t>
      </w:r>
      <w:r w:rsidRPr="00A000D3">
        <w:t xml:space="preserve">be heteroskedastic. </w:t>
      </w:r>
      <w:r w:rsidR="00BB66F2" w:rsidRPr="00A000D3">
        <w:fldChar w:fldCharType="begin"/>
      </w:r>
      <w:r w:rsidR="00A000D3" w:rsidRPr="00A000D3">
        <w:instrText xml:space="preserve"> ADDIN EN.CITE &lt;EndNote&gt;&lt;Cite AuthorYear="1"&gt;&lt;Author&gt;Greene&lt;/Author&gt;&lt;Year&gt;2012&lt;/Year&gt;&lt;RecNum&gt;24&lt;/RecNum&gt;&lt;DisplayText&gt;Greene (2012)&lt;/DisplayText&gt;&lt;record&gt;&lt;rec-number&gt;24&lt;/rec-number&gt;&lt;foreign-keys&gt;&lt;key app="EN" db-id="5fvtavdaavaz95e2zv0vf9wms90fv05av5se" timestamp="1481044055"&gt;24&lt;/key&gt;&lt;/foreign-keys&gt;&lt;ref-type name="Book"&gt;6&lt;/ref-type&gt;&lt;contributors&gt;&lt;authors&gt;&lt;author&gt;Greene, William H&lt;/author&gt;&lt;/authors&gt;&lt;/contributors&gt;&lt;titles&gt;&lt;title&gt;Econometric Analysis: Seventh Edition&lt;/title&gt;&lt;/titles&gt;&lt;dates&gt;&lt;year&gt;2012&lt;/year&gt;&lt;/dates&gt;&lt;pub-location&gt;Essex, England&lt;/pub-location&gt;&lt;publisher&gt;Pearson Education Limited &lt;/publisher&gt;&lt;urls&gt;&lt;/urls&gt;&lt;/record&gt;&lt;/Cite&gt;&lt;/EndNote&gt;</w:instrText>
      </w:r>
      <w:r w:rsidR="00BB66F2" w:rsidRPr="00A000D3">
        <w:fldChar w:fldCharType="separate"/>
      </w:r>
      <w:r w:rsidR="00A000D3" w:rsidRPr="00A000D3">
        <w:rPr>
          <w:noProof/>
        </w:rPr>
        <w:t>Greene (2012)</w:t>
      </w:r>
      <w:r w:rsidR="00BB66F2" w:rsidRPr="00A000D3">
        <w:fldChar w:fldCharType="end"/>
      </w:r>
      <w:r w:rsidR="00BB66F2" w:rsidRPr="00A000D3">
        <w:t xml:space="preserve"> </w:t>
      </w:r>
      <w:r w:rsidRPr="00A000D3">
        <w:t>references the possibility</w:t>
      </w:r>
      <w:r w:rsidRPr="003973E8">
        <w:t xml:space="preserve"> of heteroskedasticity in the</w:t>
      </w:r>
      <w:r>
        <w:t xml:space="preserve"> cluster-specific random effect before describing the “insurmountable problem” </w:t>
      </w:r>
      <w:r w:rsidR="00AF2F7C">
        <w:t xml:space="preserve">associated </w:t>
      </w:r>
      <w:r>
        <w:t xml:space="preserve">with empirically estimating it. </w:t>
      </w:r>
      <w:proofErr w:type="gramStart"/>
      <w:r>
        <w:t>In essence, the</w:t>
      </w:r>
      <w:proofErr w:type="gramEnd"/>
      <w:r>
        <w:t xml:space="preserve"> problem is that since every household in a given cluster shares the same cluster-specific effect, there are only 58 unique observations on </w:t>
      </w:r>
      <m:oMath>
        <m:r>
          <w:rPr>
            <w:rFonts w:ascii="Cambria Math" w:hAnsi="Cambria Math"/>
          </w:rPr>
          <m:t>η</m:t>
        </m:r>
      </m:oMath>
      <w:r w:rsidRPr="00600949">
        <w:t>.</w:t>
      </w:r>
      <w:r>
        <w:t xml:space="preserve"> </w:t>
      </w:r>
      <w:r w:rsidRPr="00A000D3">
        <w:t xml:space="preserve">Therefore, just as in </w:t>
      </w:r>
      <w:r w:rsidR="00A73E57" w:rsidRPr="00A000D3">
        <w:fldChar w:fldCharType="begin"/>
      </w:r>
      <w:r w:rsidR="00A000D3" w:rsidRPr="00A000D3">
        <w:instrText xml:space="preserve"> ADDIN EN.CITE &lt;EndNote&gt;&lt;Cite AuthorYear="1"&gt;&lt;Author&gt;Elbers&lt;/Author&gt;&lt;Year&gt;2003&lt;/Year&gt;&lt;RecNum&gt;21&lt;/RecNum&gt;&lt;DisplayText&gt;Elbers,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A73E57" w:rsidRPr="00A000D3">
        <w:fldChar w:fldCharType="separate"/>
      </w:r>
      <w:r w:rsidR="00A000D3" w:rsidRPr="00A000D3">
        <w:rPr>
          <w:noProof/>
        </w:rPr>
        <w:t>Elbers, et al. (2003)</w:t>
      </w:r>
      <w:r w:rsidR="00A73E57" w:rsidRPr="00A000D3">
        <w:fldChar w:fldCharType="end"/>
      </w:r>
      <w:r w:rsidR="00A000D3" w:rsidRPr="00A000D3">
        <w:t>,</w:t>
      </w:r>
      <w:r w:rsidR="008A6D23" w:rsidRPr="00A000D3">
        <w:t xml:space="preserve"> </w:t>
      </w:r>
      <w:r w:rsidRPr="00A000D3">
        <w:t>this study assume</w:t>
      </w:r>
      <w:r w:rsidR="00701639" w:rsidRPr="00A000D3">
        <w:t>s</w:t>
      </w:r>
      <w:r>
        <w:t xml:space="preserve"> that the cluster-specific random effect</w:t>
      </w:r>
      <w:r w:rsidRPr="008F5B91">
        <w:t xml:space="preserve"> is</w:t>
      </w:r>
      <w:r>
        <w:t xml:space="preserve"> </w:t>
      </w:r>
      <w:r w:rsidRPr="008F5B91">
        <w:t>homoskedastic.</w:t>
      </w:r>
      <w:r>
        <w:t xml:space="preserve"> </w:t>
      </w:r>
    </w:p>
    <w:p w14:paraId="5EFDED58" w14:textId="19EB7855" w:rsidR="00E46BD5" w:rsidRDefault="00E46BD5" w:rsidP="00E46BD5">
      <w:pPr>
        <w:spacing w:line="480" w:lineRule="auto"/>
        <w:ind w:firstLine="720"/>
      </w:pPr>
      <w:r>
        <w:t xml:space="preserve">As </w:t>
      </w:r>
      <m:oMath>
        <m:r>
          <w:rPr>
            <w:rFonts w:ascii="Cambria Math" w:hAnsi="Cambria Math"/>
          </w:rPr>
          <m:t>η</m:t>
        </m:r>
      </m:oMath>
      <w:r>
        <w:t xml:space="preserve"> and </w:t>
      </w:r>
      <m:oMath>
        <m:r>
          <w:rPr>
            <w:rFonts w:ascii="Cambria Math" w:hAnsi="Cambria Math"/>
          </w:rPr>
          <m:t>ε</m:t>
        </m:r>
      </m:oMath>
      <w:r>
        <w:t xml:space="preserve"> are independent, the variance of the total estimated residual from </w:t>
      </w:r>
      <w:r w:rsidR="00D943BD">
        <w:fldChar w:fldCharType="begin"/>
      </w:r>
      <w:r w:rsidR="00D943BD">
        <w:instrText xml:space="preserve"> REF _Ref297467773 \h </w:instrText>
      </w:r>
      <w:r w:rsidR="00D943BD">
        <w:fldChar w:fldCharType="separate"/>
      </w:r>
      <w:r w:rsidR="00BB06E6" w:rsidRPr="00A30D83">
        <w:t>(</w:t>
      </w:r>
      <w:r w:rsidR="00BB06E6">
        <w:rPr>
          <w:noProof/>
        </w:rPr>
        <w:t>2</w:t>
      </w:r>
      <w:r w:rsidR="00BB06E6" w:rsidRPr="00A30D83">
        <w:t>)</w:t>
      </w:r>
      <w:r w:rsidR="00D943BD">
        <w:fldChar w:fldCharType="end"/>
      </w:r>
      <w:r w:rsidR="00D943BD">
        <w:t xml:space="preserve"> </w:t>
      </w:r>
      <w:r>
        <w:t>is simply the sum of</w:t>
      </w:r>
      <m:oMath>
        <m:r>
          <w:rPr>
            <w:rFonts w:ascii="Cambria Math" w:hAnsi="Cambria Math"/>
          </w:rPr>
          <m:t xml:space="preserve"> </m:t>
        </m:r>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oMath>
      <w:r>
        <w:t xml:space="preserve"> and </w:t>
      </w:r>
      <m:oMath>
        <m:sSubSup>
          <m:sSubSupPr>
            <m:ctrlPr>
              <w:rPr>
                <w:rFonts w:ascii="Cambria Math" w:hAnsi="Cambria Math"/>
                <w:i/>
              </w:rPr>
            </m:ctrlPr>
          </m:sSubSupPr>
          <m:e>
            <m:r>
              <w:rPr>
                <w:rFonts w:ascii="Cambria Math" w:hAnsi="Cambria Math"/>
              </w:rPr>
              <m:t>σ</m:t>
            </m:r>
          </m:e>
          <m:sub>
            <m:r>
              <w:rPr>
                <w:rFonts w:ascii="Cambria Math" w:hAnsi="Cambria Math"/>
              </w:rPr>
              <m:t>ε</m:t>
            </m:r>
          </m:sub>
          <m:sup>
            <m:r>
              <w:rPr>
                <w:rFonts w:ascii="Cambria Math" w:hAnsi="Cambria Math"/>
              </w:rPr>
              <m:t>2</m:t>
            </m:r>
          </m:sup>
        </m:sSubSup>
      </m:oMath>
      <w:r>
        <w:t xml:space="preserve">. Therefore, the general approach to estimating </w:t>
      </w:r>
      <m:oMath>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oMath>
      <w:r>
        <w:t xml:space="preserve"> is summarized as: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B1463F" w:rsidRPr="002C1CBF" w14:paraId="67847325" w14:textId="28062E0A" w:rsidTr="00BB10ED">
        <w:tc>
          <w:tcPr>
            <w:tcW w:w="2500" w:type="pct"/>
            <w:vAlign w:val="center"/>
          </w:tcPr>
          <w:p w14:paraId="4E8724AF" w14:textId="0681F7A7" w:rsidR="00B1463F" w:rsidRPr="00473DFA" w:rsidRDefault="00997C20" w:rsidP="00495308">
            <w:pPr>
              <w:spacing w:after="80"/>
              <w:jc w:val="center"/>
            </w:pPr>
            <m:oMathPara>
              <m:oMath>
                <m:sSubSup>
                  <m:sSubSupPr>
                    <m:ctrlPr>
                      <w:rPr>
                        <w:rFonts w:ascii="Cambria Math" w:hAnsi="Cambria Math"/>
                        <w:i/>
                      </w:rPr>
                    </m:ctrlPr>
                  </m:sSubSupPr>
                  <m:e>
                    <m:r>
                      <w:rPr>
                        <w:rFonts w:ascii="Cambria Math" w:hAnsi="Cambria Math"/>
                      </w:rPr>
                      <m:t xml:space="preserve">      σ</m:t>
                    </m:r>
                  </m:e>
                  <m:sub>
                    <m:r>
                      <w:rPr>
                        <w:rFonts w:ascii="Cambria Math" w:hAnsi="Cambria Math"/>
                      </w:rPr>
                      <m:t>μ</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ε</m:t>
                    </m:r>
                  </m:sub>
                  <m:sup>
                    <m:r>
                      <w:rPr>
                        <w:rFonts w:ascii="Cambria Math" w:hAnsi="Cambria Math"/>
                      </w:rPr>
                      <m:t>2</m:t>
                    </m:r>
                  </m:sup>
                </m:sSubSup>
              </m:oMath>
            </m:oMathPara>
          </w:p>
          <w:p w14:paraId="319724A4" w14:textId="43067A3D" w:rsidR="00B1463F" w:rsidRPr="002C1CBF" w:rsidRDefault="00997C20" w:rsidP="00495308">
            <w:pPr>
              <w:jc w:val="center"/>
            </w:pPr>
            <m:oMathPara>
              <m:oMath>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μ</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ε</m:t>
                    </m:r>
                  </m:sub>
                  <m:sup>
                    <m:r>
                      <w:rPr>
                        <w:rFonts w:ascii="Cambria Math" w:hAnsi="Cambria Math"/>
                      </w:rPr>
                      <m:t>2</m:t>
                    </m:r>
                  </m:sup>
                </m:sSubSup>
              </m:oMath>
            </m:oMathPara>
          </w:p>
        </w:tc>
        <w:tc>
          <w:tcPr>
            <w:tcW w:w="2500" w:type="pct"/>
            <w:vAlign w:val="center"/>
          </w:tcPr>
          <w:p w14:paraId="039BEB0E" w14:textId="08267562" w:rsidR="00B1463F" w:rsidRDefault="00B1463F" w:rsidP="00BB10ED">
            <w:pPr>
              <w:spacing w:after="80"/>
              <w:jc w:val="right"/>
              <w:rPr>
                <w:rFonts w:eastAsia="Calibri"/>
              </w:rPr>
            </w:pPr>
            <w:bookmarkStart w:id="6" w:name="_Ref297469505"/>
            <w:r w:rsidRPr="00A30D83">
              <w:t>(</w:t>
            </w:r>
            <w:fldSimple w:instr=" SEQ Equation \* ARABIC ">
              <w:r w:rsidR="00BB06E6">
                <w:rPr>
                  <w:noProof/>
                </w:rPr>
                <w:t>6</w:t>
              </w:r>
            </w:fldSimple>
            <w:r w:rsidRPr="00A30D83">
              <w:t>)</w:t>
            </w:r>
            <w:bookmarkEnd w:id="6"/>
          </w:p>
        </w:tc>
      </w:tr>
      <w:tr w:rsidR="00B1463F" w:rsidRPr="002C1CBF" w14:paraId="58E86719" w14:textId="5D9AFACD" w:rsidTr="00BB10ED">
        <w:tc>
          <w:tcPr>
            <w:tcW w:w="2500" w:type="pct"/>
            <w:vAlign w:val="center"/>
          </w:tcPr>
          <w:p w14:paraId="1CE686FC" w14:textId="325EE079" w:rsidR="00B1463F" w:rsidRDefault="00B1463F" w:rsidP="00495308">
            <w:pPr>
              <w:spacing w:after="80"/>
              <w:jc w:val="center"/>
              <w:rPr>
                <w:rFonts w:eastAsia="MS Mincho"/>
              </w:rPr>
            </w:pPr>
          </w:p>
        </w:tc>
        <w:tc>
          <w:tcPr>
            <w:tcW w:w="2500" w:type="pct"/>
            <w:vAlign w:val="center"/>
          </w:tcPr>
          <w:p w14:paraId="6B38E803" w14:textId="77777777" w:rsidR="00B1463F" w:rsidRDefault="00B1463F" w:rsidP="00495308">
            <w:pPr>
              <w:spacing w:after="80"/>
              <w:jc w:val="center"/>
              <w:rPr>
                <w:rFonts w:eastAsia="MS Mincho"/>
              </w:rPr>
            </w:pPr>
          </w:p>
        </w:tc>
      </w:tr>
    </w:tbl>
    <w:p w14:paraId="5F42392B" w14:textId="192D9DEC" w:rsidR="00E46BD5" w:rsidRDefault="00E46BD5" w:rsidP="009441FA">
      <w:pPr>
        <w:spacing w:line="480" w:lineRule="auto"/>
      </w:pPr>
      <w:r>
        <w:t xml:space="preserve">where </w:t>
      </w:r>
      <m:oMath>
        <m:sSubSup>
          <m:sSubSupPr>
            <m:ctrlPr>
              <w:rPr>
                <w:rFonts w:ascii="Cambria Math" w:hAnsi="Cambria Math"/>
                <w:i/>
              </w:rPr>
            </m:ctrlPr>
          </m:sSubSupPr>
          <m:e>
            <m:r>
              <w:rPr>
                <w:rFonts w:ascii="Cambria Math" w:hAnsi="Cambria Math"/>
              </w:rPr>
              <m:t>σ</m:t>
            </m:r>
          </m:e>
          <m:sub>
            <m:r>
              <w:rPr>
                <w:rFonts w:ascii="Cambria Math" w:hAnsi="Cambria Math"/>
              </w:rPr>
              <m:t>μ</m:t>
            </m:r>
          </m:sub>
          <m:sup>
            <m:r>
              <w:rPr>
                <w:rFonts w:ascii="Cambria Math" w:hAnsi="Cambria Math"/>
              </w:rPr>
              <m:t>2</m:t>
            </m:r>
          </m:sup>
        </m:sSubSup>
      </m:oMath>
      <w:r>
        <w:t xml:space="preserve"> is the variance of the total estimated residual from </w:t>
      </w:r>
      <w:r w:rsidR="00D943BD">
        <w:fldChar w:fldCharType="begin"/>
      </w:r>
      <w:r w:rsidR="00D943BD">
        <w:instrText xml:space="preserve"> REF _Ref297467773 \h </w:instrText>
      </w:r>
      <w:r w:rsidR="00D943BD">
        <w:fldChar w:fldCharType="separate"/>
      </w:r>
      <w:r w:rsidR="00BB06E6" w:rsidRPr="00A30D83">
        <w:t>(</w:t>
      </w:r>
      <w:r w:rsidR="00BB06E6">
        <w:rPr>
          <w:noProof/>
        </w:rPr>
        <w:t>2</w:t>
      </w:r>
      <w:r w:rsidR="00BB06E6" w:rsidRPr="00A30D83">
        <w:t>)</w:t>
      </w:r>
      <w:r w:rsidR="00D943BD">
        <w:fldChar w:fldCharType="end"/>
      </w:r>
      <w:r>
        <w:t xml:space="preserve">. A complicating factor in the estimation of </w:t>
      </w:r>
      <w:r w:rsidR="00263771">
        <w:fldChar w:fldCharType="begin"/>
      </w:r>
      <w:r w:rsidR="00263771">
        <w:instrText xml:space="preserve"> REF _Ref297469505 \h </w:instrText>
      </w:r>
      <w:r w:rsidR="00263771">
        <w:fldChar w:fldCharType="separate"/>
      </w:r>
      <w:r w:rsidR="00BB06E6" w:rsidRPr="00A30D83">
        <w:t>(</w:t>
      </w:r>
      <w:r w:rsidR="00BB06E6">
        <w:rPr>
          <w:noProof/>
        </w:rPr>
        <w:t>6</w:t>
      </w:r>
      <w:r w:rsidR="00BB06E6" w:rsidRPr="00A30D83">
        <w:t>)</w:t>
      </w:r>
      <w:r w:rsidR="00263771">
        <w:fldChar w:fldCharType="end"/>
      </w:r>
      <w:r>
        <w:t xml:space="preserve"> is that the sums of the weighted observations in each cluster are not equal. That is, the observations in one cluster may have larger sample weights than the observations in another cluster. This study applies the method derived by </w:t>
      </w:r>
      <w:r w:rsidR="00A73E57">
        <w:fldChar w:fldCharType="begin"/>
      </w:r>
      <w:r w:rsidR="00A000D3">
        <w:instrText xml:space="preserve"> ADDIN EN.CITE &lt;EndNote&gt;&lt;Cite AuthorYear="1"&gt;&lt;Author&gt;Elbers&lt;/Author&gt;&lt;Year&gt;2003&lt;/Year&gt;&lt;RecNum&gt;21&lt;/RecNum&gt;&lt;DisplayText&gt;Elbers,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A73E57">
        <w:fldChar w:fldCharType="separate"/>
      </w:r>
      <w:r w:rsidR="00A000D3">
        <w:rPr>
          <w:noProof/>
        </w:rPr>
        <w:t>Elbers, et al. (2003)</w:t>
      </w:r>
      <w:r w:rsidR="00A73E57">
        <w:fldChar w:fldCharType="end"/>
      </w:r>
      <w:r w:rsidR="00486384">
        <w:t xml:space="preserve"> t</w:t>
      </w:r>
      <w:r>
        <w:t xml:space="preserve">o account for unequal cluster weights in the estimation of </w:t>
      </w:r>
      <m:oMath>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oMath>
      <w:r>
        <w:t xml:space="preserve">. </w:t>
      </w:r>
      <w:r w:rsidRPr="007D1677">
        <w:t xml:space="preserve">Adapted from </w:t>
      </w:r>
      <w:r>
        <w:t xml:space="preserve">Appendix I of </w:t>
      </w:r>
      <w:r w:rsidR="00A73E57" w:rsidRPr="00AB60BE">
        <w:fldChar w:fldCharType="begin"/>
      </w:r>
      <w:r w:rsidR="009441FA">
        <w:instrText xml:space="preserve"> ADDIN EN.CITE &lt;EndNote&gt;&lt;Cite AuthorYear="1"&gt;&lt;Author&gt;Elbers&lt;/Author&gt;&lt;Year&gt;2002&lt;/Year&gt;&lt;RecNum&gt;20&lt;/RecNum&gt;&lt;DisplayText&gt;Elbers, et al. (2002)&lt;/DisplayText&gt;&lt;record&gt;&lt;rec-number&gt;20&lt;/rec-number&gt;&lt;foreign-keys&gt;&lt;key app="EN" db-id="5fvtavdaavaz95e2zv0vf9wms90fv05av5se" timestamp="1481039833"&gt;20&lt;/key&gt;&lt;/foreign-keys&gt;&lt;ref-type name="Generic"&gt;13&lt;/ref-type&gt;&lt;contributors&gt;&lt;authors&gt;&lt;author&gt;Elbers, Chris&lt;/author&gt;&lt;author&gt;Lanjouw, Jean Olson&lt;/author&gt;&lt;author&gt;Lanjouw, Peter&lt;/author&gt;&lt;/authors&gt;&lt;/contributors&gt;&lt;titles&gt;&lt;title&gt;Micro-level estimation of welfare&lt;/title&gt;&lt;secondary-title&gt;Policy Research Working Paper no. 2911&lt;/secondary-title&gt;&lt;/titles&gt;&lt;dates&gt;&lt;year&gt;2002&lt;/year&gt;&lt;/dates&gt;&lt;pub-location&gt;Washington D.C.&lt;/pub-location&gt;&lt;publisher&gt;World Bank&lt;/publisher&gt;&lt;urls&gt;&lt;/urls&gt;&lt;/record&gt;&lt;/Cite&gt;&lt;/EndNote&gt;</w:instrText>
      </w:r>
      <w:r w:rsidR="00A73E57" w:rsidRPr="00AB60BE">
        <w:fldChar w:fldCharType="separate"/>
      </w:r>
      <w:r w:rsidR="00A000D3" w:rsidRPr="00AB60BE">
        <w:rPr>
          <w:noProof/>
        </w:rPr>
        <w:t>Elbers, et al. (2002)</w:t>
      </w:r>
      <w:r w:rsidR="00A73E57" w:rsidRPr="00AB60BE">
        <w:fldChar w:fldCharType="end"/>
      </w:r>
      <w:r w:rsidRPr="007D1677">
        <w:t>,</w:t>
      </w:r>
      <w:r>
        <w:t xml:space="preserve"> </w:t>
      </w:r>
      <m:oMath>
        <m:sSubSup>
          <m:sSubSupPr>
            <m:ctrlPr>
              <w:rPr>
                <w:rFonts w:ascii="Cambria Math" w:hAnsi="Cambria Math"/>
                <w:i/>
              </w:rPr>
            </m:ctrlPr>
          </m:sSubSupPr>
          <m:e>
            <m:r>
              <w:rPr>
                <w:rFonts w:ascii="Cambria Math" w:hAnsi="Cambria Math"/>
              </w:rPr>
              <m:t>σ</m:t>
            </m:r>
          </m:e>
          <m:sub>
            <m:r>
              <w:rPr>
                <w:rFonts w:ascii="Cambria Math" w:hAnsi="Cambria Math"/>
              </w:rPr>
              <m:t>η</m:t>
            </m:r>
          </m:sub>
          <m:sup>
            <m:r>
              <w:rPr>
                <w:rFonts w:ascii="Cambria Math" w:hAnsi="Cambria Math"/>
              </w:rPr>
              <m:t>2</m:t>
            </m:r>
          </m:sup>
        </m:sSubSup>
      </m:oMath>
      <w:r w:rsidRPr="007D1677">
        <w:t xml:space="preserve"> is estimated as follows: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0"/>
        <w:gridCol w:w="1080"/>
      </w:tblGrid>
      <w:tr w:rsidR="00AB0236" w:rsidRPr="002C1CBF" w14:paraId="7BAE3BE1" w14:textId="64D4BAFF" w:rsidTr="00AB0236">
        <w:tc>
          <w:tcPr>
            <w:tcW w:w="4423" w:type="pct"/>
            <w:vAlign w:val="center"/>
          </w:tcPr>
          <w:p w14:paraId="0A980196" w14:textId="29BD67FB" w:rsidR="00BB10ED" w:rsidRPr="002C1CBF" w:rsidRDefault="00997C20" w:rsidP="00E46BD5">
            <w:pPr>
              <w:jc w:val="center"/>
            </w:pPr>
            <m:oMathPara>
              <m:oMath>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r>
                  <w:rPr>
                    <w:rFonts w:ascii="Cambria Math" w:hAnsi="Cambria Math"/>
                  </w:rPr>
                  <m:t>= max</m:t>
                </m:r>
                <m:d>
                  <m:dPr>
                    <m:begChr m:val="{"/>
                    <m:endChr m:val="}"/>
                    <m:ctrlPr>
                      <w:rPr>
                        <w:rFonts w:ascii="Cambria Math" w:hAnsi="Cambria Math"/>
                        <w:i/>
                      </w:rPr>
                    </m:ctrlPr>
                  </m:dPr>
                  <m:e>
                    <m:f>
                      <m:fPr>
                        <m:ctrlPr>
                          <w:rPr>
                            <w:rFonts w:ascii="Cambria Math" w:hAnsi="Cambria Math"/>
                            <w:i/>
                          </w:rPr>
                        </m:ctrlPr>
                      </m:fPr>
                      <m:num>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c=1</m:t>
                                </m:r>
                              </m:sub>
                              <m:sup>
                                <m:r>
                                  <w:rPr>
                                    <w:rFonts w:ascii="Cambria Math" w:hAnsi="Cambria Math"/>
                                  </w:rPr>
                                  <m:t>C</m:t>
                                </m:r>
                              </m:sup>
                              <m:e>
                                <m:sSub>
                                  <m:sSubPr>
                                    <m:ctrlPr>
                                      <w:rPr>
                                        <w:rFonts w:ascii="Cambria Math" w:hAnsi="Cambria Math"/>
                                        <w:i/>
                                      </w:rPr>
                                    </m:ctrlPr>
                                  </m:sSubPr>
                                  <m:e>
                                    <m:r>
                                      <w:rPr>
                                        <w:rFonts w:ascii="Cambria Math" w:hAnsi="Cambria Math"/>
                                      </w:rPr>
                                      <m:t>w</m:t>
                                    </m:r>
                                  </m:e>
                                  <m:sub>
                                    <m:r>
                                      <w:rPr>
                                        <w:rFonts w:ascii="Cambria Math" w:hAnsi="Cambria Math"/>
                                      </w:rPr>
                                      <m:t>c</m:t>
                                    </m:r>
                                  </m:sub>
                                </m:sSub>
                              </m:e>
                            </m:nary>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r>
                                      <w:rPr>
                                        <w:rFonts w:ascii="Cambria Math" w:hAnsi="Cambria Math"/>
                                      </w:rPr>
                                      <m:t>-</m:t>
                                    </m:r>
                                    <m:acc>
                                      <m:accPr>
                                        <m:chr m:val="̅"/>
                                        <m:ctrlPr>
                                          <w:rPr>
                                            <w:rFonts w:ascii="Cambria Math" w:hAnsi="Cambria Math"/>
                                            <w:i/>
                                          </w:rPr>
                                        </m:ctrlPr>
                                      </m:accPr>
                                      <m:e>
                                        <m:acc>
                                          <m:accPr>
                                            <m:ctrlPr>
                                              <w:rPr>
                                                <w:rFonts w:ascii="Cambria Math" w:hAnsi="Cambria Math"/>
                                                <w:i/>
                                              </w:rPr>
                                            </m:ctrlPr>
                                          </m:accPr>
                                          <m:e>
                                            <m:r>
                                              <w:rPr>
                                                <w:rFonts w:ascii="Cambria Math" w:hAnsi="Cambria Math"/>
                                              </w:rPr>
                                              <m:t>μ</m:t>
                                            </m:r>
                                          </m:e>
                                        </m:acc>
                                      </m:e>
                                    </m:acc>
                                    <m:r>
                                      <w:rPr>
                                        <w:rFonts w:ascii="Cambria Math" w:hAnsi="Cambria Math"/>
                                      </w:rPr>
                                      <m:t xml:space="preserve"> </m:t>
                                    </m:r>
                                  </m:e>
                                </m:d>
                              </m:e>
                              <m:sup>
                                <m:r>
                                  <w:rPr>
                                    <w:rFonts w:ascii="Cambria Math" w:hAnsi="Cambria Math"/>
                                  </w:rPr>
                                  <m:t>2</m:t>
                                </m:r>
                              </m:sup>
                            </m:sSup>
                          </m:e>
                        </m:d>
                        <m:r>
                          <w:rPr>
                            <w:rFonts w:ascii="Cambria Math" w:hAnsi="Cambria Math"/>
                          </w:rPr>
                          <m:t>-</m:t>
                        </m:r>
                        <m:d>
                          <m:dPr>
                            <m:ctrlPr>
                              <w:rPr>
                                <w:rFonts w:ascii="Cambria Math" w:hAnsi="Cambria Math"/>
                                <w:i/>
                              </w:rPr>
                            </m:ctrlPr>
                          </m:dPr>
                          <m:e>
                            <m:nary>
                              <m:naryPr>
                                <m:chr m:val="∑"/>
                                <m:limLoc m:val="undOvr"/>
                                <m:ctrlPr>
                                  <w:rPr>
                                    <w:rFonts w:ascii="Cambria Math" w:hAnsi="Cambria Math"/>
                                    <w:i/>
                                  </w:rPr>
                                </m:ctrlPr>
                              </m:naryPr>
                              <m:sub>
                                <m:r>
                                  <w:rPr>
                                    <w:rFonts w:ascii="Cambria Math" w:hAnsi="Cambria Math"/>
                                  </w:rPr>
                                  <m:t>c=1</m:t>
                                </m:r>
                              </m:sub>
                              <m:sup>
                                <m:r>
                                  <w:rPr>
                                    <w:rFonts w:ascii="Cambria Math" w:hAnsi="Cambria Math"/>
                                  </w:rPr>
                                  <m:t>C</m:t>
                                </m:r>
                              </m:sup>
                              <m:e>
                                <m:sSub>
                                  <m:sSubPr>
                                    <m:ctrlPr>
                                      <w:rPr>
                                        <w:rFonts w:ascii="Cambria Math" w:hAnsi="Cambria Math"/>
                                        <w:i/>
                                      </w:rPr>
                                    </m:ctrlPr>
                                  </m:sSubPr>
                                  <m:e>
                                    <m:r>
                                      <w:rPr>
                                        <w:rFonts w:ascii="Cambria Math" w:hAnsi="Cambria Math"/>
                                      </w:rPr>
                                      <m:t>w</m:t>
                                    </m:r>
                                  </m:e>
                                  <m:sub>
                                    <m:r>
                                      <w:rPr>
                                        <w:rFonts w:ascii="Cambria Math" w:hAnsi="Cambria Math"/>
                                      </w:rPr>
                                      <m:t>c</m:t>
                                    </m:r>
                                  </m:sub>
                                </m:sSub>
                                <m:r>
                                  <w:rPr>
                                    <w:rFonts w:ascii="Cambria Math" w:hAnsi="Cambria Math"/>
                                  </w:rPr>
                                  <m:t>(1-</m:t>
                                </m:r>
                                <m:sSub>
                                  <m:sSubPr>
                                    <m:ctrlPr>
                                      <w:rPr>
                                        <w:rFonts w:ascii="Cambria Math" w:hAnsi="Cambria Math"/>
                                        <w:i/>
                                      </w:rPr>
                                    </m:ctrlPr>
                                  </m:sSubPr>
                                  <m:e>
                                    <m:r>
                                      <w:rPr>
                                        <w:rFonts w:ascii="Cambria Math" w:hAnsi="Cambria Math"/>
                                      </w:rPr>
                                      <m:t>w</m:t>
                                    </m:r>
                                  </m:e>
                                  <m:sub>
                                    <m:r>
                                      <w:rPr>
                                        <w:rFonts w:ascii="Cambria Math" w:hAnsi="Cambria Math"/>
                                      </w:rPr>
                                      <m:t>c</m:t>
                                    </m:r>
                                  </m:sub>
                                </m:sSub>
                                <m:r>
                                  <w:rPr>
                                    <w:rFonts w:ascii="Cambria Math" w:hAnsi="Cambria Math"/>
                                  </w:rPr>
                                  <m:t>)</m:t>
                                </m:r>
                              </m:e>
                            </m:nary>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h=1</m:t>
                                    </m:r>
                                  </m:sub>
                                  <m:sup>
                                    <m:sSub>
                                      <m:sSubPr>
                                        <m:ctrlPr>
                                          <w:rPr>
                                            <w:rFonts w:ascii="Cambria Math" w:hAnsi="Cambria Math"/>
                                            <w:i/>
                                          </w:rPr>
                                        </m:ctrlPr>
                                      </m:sSubPr>
                                      <m:e>
                                        <m:r>
                                          <w:rPr>
                                            <w:rFonts w:ascii="Cambria Math" w:hAnsi="Cambria Math"/>
                                          </w:rPr>
                                          <m:t>M</m:t>
                                        </m:r>
                                      </m:e>
                                      <m:sub>
                                        <m:r>
                                          <w:rPr>
                                            <w:rFonts w:ascii="Cambria Math" w:hAnsi="Cambria Math"/>
                                          </w:rPr>
                                          <m:t>c</m:t>
                                        </m:r>
                                      </m:sub>
                                    </m:s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r>
                                              <w:rPr>
                                                <w:rFonts w:ascii="Cambria Math" w:hAnsi="Cambria Math"/>
                                              </w:rPr>
                                              <m:t xml:space="preserve">- </m:t>
                                            </m:r>
                                            <m:acc>
                                              <m:accPr>
                                                <m:chr m:val="̅"/>
                                                <m:ctrlPr>
                                                  <w:rPr>
                                                    <w:rFonts w:ascii="Cambria Math" w:hAnsi="Cambria Math"/>
                                                    <w:i/>
                                                  </w:rPr>
                                                </m:ctrlPr>
                                              </m:acc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m:t>
                                                    </m:r>
                                                  </m:sub>
                                                </m:sSub>
                                              </m:e>
                                            </m:acc>
                                          </m:e>
                                        </m:d>
                                      </m:e>
                                      <m:sup>
                                        <m:r>
                                          <w:rPr>
                                            <w:rFonts w:ascii="Cambria Math" w:hAnsi="Cambria Math"/>
                                          </w:rPr>
                                          <m:t>2</m:t>
                                        </m:r>
                                      </m:sup>
                                    </m:sSup>
                                  </m:e>
                                </m:nary>
                              </m:num>
                              <m:den>
                                <m:sSub>
                                  <m:sSubPr>
                                    <m:ctrlPr>
                                      <w:rPr>
                                        <w:rFonts w:ascii="Cambria Math" w:hAnsi="Cambria Math"/>
                                        <w:i/>
                                      </w:rPr>
                                    </m:ctrlPr>
                                  </m:sSubPr>
                                  <m:e>
                                    <m:r>
                                      <w:rPr>
                                        <w:rFonts w:ascii="Cambria Math" w:hAnsi="Cambria Math"/>
                                      </w:rPr>
                                      <m:t>M</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c</m:t>
                                    </m:r>
                                  </m:sub>
                                </m:sSub>
                                <m:r>
                                  <w:rPr>
                                    <w:rFonts w:ascii="Cambria Math" w:hAnsi="Cambria Math"/>
                                  </w:rPr>
                                  <m:t>-1)</m:t>
                                </m:r>
                              </m:den>
                            </m:f>
                          </m:e>
                        </m:d>
                      </m:num>
                      <m:den>
                        <m:nary>
                          <m:naryPr>
                            <m:chr m:val="∑"/>
                            <m:limLoc m:val="undOvr"/>
                            <m:ctrlPr>
                              <w:rPr>
                                <w:rFonts w:ascii="Cambria Math" w:hAnsi="Cambria Math"/>
                                <w:i/>
                              </w:rPr>
                            </m:ctrlPr>
                          </m:naryPr>
                          <m:sub>
                            <m:r>
                              <w:rPr>
                                <w:rFonts w:ascii="Cambria Math" w:hAnsi="Cambria Math"/>
                              </w:rPr>
                              <m:t>c=1</m:t>
                            </m:r>
                          </m:sub>
                          <m:sup>
                            <m:r>
                              <w:rPr>
                                <w:rFonts w:ascii="Cambria Math" w:hAnsi="Cambria Math"/>
                              </w:rPr>
                              <m:t>C</m:t>
                            </m:r>
                          </m:sup>
                          <m:e>
                            <m:sSub>
                              <m:sSubPr>
                                <m:ctrlPr>
                                  <w:rPr>
                                    <w:rFonts w:ascii="Cambria Math" w:hAnsi="Cambria Math"/>
                                    <w:i/>
                                  </w:rPr>
                                </m:ctrlPr>
                              </m:sSubPr>
                              <m:e>
                                <m:r>
                                  <w:rPr>
                                    <w:rFonts w:ascii="Cambria Math" w:hAnsi="Cambria Math"/>
                                  </w:rPr>
                                  <m:t>w</m:t>
                                </m:r>
                              </m:e>
                              <m:sub>
                                <m:r>
                                  <w:rPr>
                                    <w:rFonts w:ascii="Cambria Math" w:hAnsi="Cambria Math"/>
                                  </w:rPr>
                                  <m:t>c</m:t>
                                </m:r>
                              </m:sub>
                            </m:sSub>
                            <m:r>
                              <w:rPr>
                                <w:rFonts w:ascii="Cambria Math" w:hAnsi="Cambria Math"/>
                              </w:rPr>
                              <m:t>(1-</m:t>
                            </m:r>
                            <m:sSub>
                              <m:sSubPr>
                                <m:ctrlPr>
                                  <w:rPr>
                                    <w:rFonts w:ascii="Cambria Math" w:hAnsi="Cambria Math"/>
                                    <w:i/>
                                  </w:rPr>
                                </m:ctrlPr>
                              </m:sSubPr>
                              <m:e>
                                <m:r>
                                  <w:rPr>
                                    <w:rFonts w:ascii="Cambria Math" w:hAnsi="Cambria Math"/>
                                  </w:rPr>
                                  <m:t>w</m:t>
                                </m:r>
                              </m:e>
                              <m:sub>
                                <m:r>
                                  <w:rPr>
                                    <w:rFonts w:ascii="Cambria Math" w:hAnsi="Cambria Math"/>
                                  </w:rPr>
                                  <m:t>c</m:t>
                                </m:r>
                              </m:sub>
                            </m:sSub>
                            <m:r>
                              <w:rPr>
                                <w:rFonts w:ascii="Cambria Math" w:hAnsi="Cambria Math"/>
                              </w:rPr>
                              <m:t>)</m:t>
                            </m:r>
                          </m:e>
                        </m:nary>
                      </m:den>
                    </m:f>
                    <m:r>
                      <w:rPr>
                        <w:rFonts w:ascii="Cambria Math" w:hAnsi="Cambria Math"/>
                      </w:rPr>
                      <m:t>;0</m:t>
                    </m:r>
                  </m:e>
                </m:d>
              </m:oMath>
            </m:oMathPara>
          </w:p>
        </w:tc>
        <w:tc>
          <w:tcPr>
            <w:tcW w:w="577" w:type="pct"/>
            <w:vAlign w:val="center"/>
          </w:tcPr>
          <w:p w14:paraId="34C5FDAF" w14:textId="6EDBDB30" w:rsidR="00BB10ED" w:rsidRDefault="00BB10ED" w:rsidP="00BB10ED">
            <w:pPr>
              <w:jc w:val="right"/>
              <w:rPr>
                <w:rFonts w:eastAsia="Calibri"/>
              </w:rPr>
            </w:pPr>
            <w:r w:rsidRPr="00A30D83">
              <w:t>(</w:t>
            </w:r>
            <w:fldSimple w:instr=" SEQ Equation \* ARABIC ">
              <w:r w:rsidR="00BB06E6">
                <w:rPr>
                  <w:noProof/>
                </w:rPr>
                <w:t>7</w:t>
              </w:r>
            </w:fldSimple>
            <w:r w:rsidRPr="00A30D83">
              <w:t>)</w:t>
            </w:r>
          </w:p>
        </w:tc>
      </w:tr>
      <w:tr w:rsidR="00AB0236" w:rsidRPr="002C1CBF" w14:paraId="348CC1C7" w14:textId="1118E056" w:rsidTr="00AB0236">
        <w:tc>
          <w:tcPr>
            <w:tcW w:w="4423" w:type="pct"/>
            <w:vAlign w:val="center"/>
          </w:tcPr>
          <w:p w14:paraId="3389479B" w14:textId="77777777" w:rsidR="00BB10ED" w:rsidRDefault="00BB10ED" w:rsidP="00E46BD5">
            <w:pPr>
              <w:jc w:val="center"/>
              <w:rPr>
                <w:rFonts w:eastAsia="Calibri"/>
              </w:rPr>
            </w:pPr>
          </w:p>
        </w:tc>
        <w:tc>
          <w:tcPr>
            <w:tcW w:w="577" w:type="pct"/>
            <w:vAlign w:val="center"/>
          </w:tcPr>
          <w:p w14:paraId="22F2E4F8" w14:textId="77777777" w:rsidR="00BB10ED" w:rsidRDefault="00BB10ED" w:rsidP="00E46BD5">
            <w:pPr>
              <w:jc w:val="center"/>
              <w:rPr>
                <w:rFonts w:eastAsia="Calibri"/>
              </w:rPr>
            </w:pPr>
          </w:p>
        </w:tc>
      </w:tr>
    </w:tbl>
    <w:p w14:paraId="663C20F2" w14:textId="5954E251" w:rsidR="00E46BD5" w:rsidRDefault="00E46BD5" w:rsidP="00E46BD5">
      <w:pPr>
        <w:spacing w:line="480" w:lineRule="auto"/>
      </w:pPr>
      <w:r>
        <w:t xml:space="preserve">where </w:t>
      </w:r>
      <m:oMath>
        <m:r>
          <w:rPr>
            <w:rFonts w:ascii="Cambria Math" w:hAnsi="Cambria Math"/>
          </w:rPr>
          <m:t>C</m:t>
        </m:r>
      </m:oMath>
      <w:r>
        <w:t xml:space="preserve"> is the number of clusters,</w:t>
      </w:r>
      <m:oMath>
        <m:r>
          <w:rPr>
            <w:rFonts w:ascii="Cambria Math" w:hAnsi="Cambria Math"/>
          </w:rPr>
          <m:t xml:space="preserve"> </m:t>
        </m:r>
        <m:sSub>
          <m:sSubPr>
            <m:ctrlPr>
              <w:rPr>
                <w:rFonts w:ascii="Cambria Math" w:hAnsi="Cambria Math"/>
                <w:i/>
              </w:rPr>
            </m:ctrlPr>
          </m:sSubPr>
          <m:e>
            <m:r>
              <w:rPr>
                <w:rFonts w:ascii="Cambria Math" w:hAnsi="Cambria Math"/>
              </w:rPr>
              <m:t>w</m:t>
            </m:r>
          </m:e>
          <m:sub>
            <m:r>
              <w:rPr>
                <w:rFonts w:ascii="Cambria Math" w:hAnsi="Cambria Math"/>
              </w:rPr>
              <m:t>c</m:t>
            </m:r>
          </m:sub>
        </m:sSub>
      </m:oMath>
      <w:r>
        <w:t xml:space="preserve"> is the weight of cluster </w:t>
      </w:r>
      <w:r>
        <w:rPr>
          <w:i/>
        </w:rPr>
        <w:t>c</w:t>
      </w:r>
      <w:r>
        <w:t xml:space="preserve">, </w:t>
      </w:r>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oMath>
      <w:r>
        <w:t xml:space="preserve"> is the cluster-specific random effect for cluster </w:t>
      </w:r>
      <w:r>
        <w:rPr>
          <w:i/>
        </w:rPr>
        <w:t>c</w:t>
      </w:r>
      <w:r>
        <w:t xml:space="preserve"> </w:t>
      </w:r>
      <w:r w:rsidRPr="000B6297">
        <w:t>from</w:t>
      </w:r>
      <w:r w:rsidR="00410B7E">
        <w:t xml:space="preserve"> </w:t>
      </w:r>
      <w:r w:rsidR="00410B7E">
        <w:fldChar w:fldCharType="begin"/>
      </w:r>
      <w:r w:rsidR="00410B7E">
        <w:instrText xml:space="preserve"> REF _Ref297468764 \h </w:instrText>
      </w:r>
      <w:r w:rsidR="00410B7E">
        <w:fldChar w:fldCharType="separate"/>
      </w:r>
      <w:r w:rsidR="00BB06E6" w:rsidRPr="00A30D83">
        <w:t>(</w:t>
      </w:r>
      <w:r w:rsidR="00BB06E6">
        <w:rPr>
          <w:noProof/>
        </w:rPr>
        <w:t>4</w:t>
      </w:r>
      <w:r w:rsidR="00BB06E6" w:rsidRPr="00A30D83">
        <w:t>)</w:t>
      </w:r>
      <w:r w:rsidR="00410B7E">
        <w:fldChar w:fldCharType="end"/>
      </w:r>
      <w:r w:rsidRPr="000B6297">
        <w:t xml:space="preserve">,  </w:t>
      </w:r>
      <m:oMath>
        <m:acc>
          <m:accPr>
            <m:chr m:val="̅"/>
            <m:ctrlPr>
              <w:rPr>
                <w:rFonts w:ascii="Cambria Math" w:hAnsi="Cambria Math"/>
                <w:i/>
              </w:rPr>
            </m:ctrlPr>
          </m:accPr>
          <m:e>
            <m:acc>
              <m:accPr>
                <m:ctrlPr>
                  <w:rPr>
                    <w:rFonts w:ascii="Cambria Math" w:hAnsi="Cambria Math"/>
                    <w:i/>
                  </w:rPr>
                </m:ctrlPr>
              </m:accPr>
              <m:e>
                <m:r>
                  <w:rPr>
                    <w:rFonts w:ascii="Cambria Math" w:hAnsi="Cambria Math"/>
                  </w:rPr>
                  <m:t>μ</m:t>
                </m:r>
              </m:e>
            </m:acc>
          </m:e>
        </m:acc>
      </m:oMath>
      <w:r w:rsidRPr="000B6297">
        <w:t xml:space="preserve"> is the overall average </w:t>
      </w:r>
      <w:r>
        <w:t xml:space="preserve">of the </w:t>
      </w:r>
      <w:r w:rsidRPr="000B6297">
        <w:t>total residual</w:t>
      </w:r>
      <w:r>
        <w:t>s</w:t>
      </w:r>
      <w:r w:rsidRPr="000B6297">
        <w:t xml:space="preserve"> from </w:t>
      </w:r>
      <w:r w:rsidR="00E52D83">
        <w:fldChar w:fldCharType="begin"/>
      </w:r>
      <w:r w:rsidR="00E52D83">
        <w:instrText xml:space="preserve"> REF _Ref297468145 \h </w:instrText>
      </w:r>
      <w:r w:rsidR="00E52D83">
        <w:fldChar w:fldCharType="separate"/>
      </w:r>
      <w:r w:rsidR="00BB06E6" w:rsidRPr="00A30D83">
        <w:t>(</w:t>
      </w:r>
      <w:r w:rsidR="00BB06E6">
        <w:rPr>
          <w:noProof/>
        </w:rPr>
        <w:t>3</w:t>
      </w:r>
      <w:r w:rsidR="00BB06E6" w:rsidRPr="00A30D83">
        <w:t>)</w:t>
      </w:r>
      <w:r w:rsidR="00E52D83">
        <w:fldChar w:fldCharType="end"/>
      </w:r>
      <w:r w:rsidRPr="000B6297">
        <w:t xml:space="preserve">, </w:t>
      </w:r>
      <m:oMath>
        <m:sSub>
          <m:sSubPr>
            <m:ctrlPr>
              <w:rPr>
                <w:rFonts w:ascii="Cambria Math" w:hAnsi="Cambria Math"/>
                <w:i/>
              </w:rPr>
            </m:ctrlPr>
          </m:sSubPr>
          <m:e>
            <m:r>
              <w:rPr>
                <w:rFonts w:ascii="Cambria Math" w:hAnsi="Cambria Math"/>
              </w:rPr>
              <m:t>M</m:t>
            </m:r>
          </m:e>
          <m:sub>
            <m:r>
              <w:rPr>
                <w:rFonts w:ascii="Cambria Math" w:hAnsi="Cambria Math"/>
              </w:rPr>
              <m:t>c</m:t>
            </m:r>
          </m:sub>
        </m:sSub>
      </m:oMath>
      <w:r w:rsidRPr="000B6297">
        <w:t xml:space="preserve"> is the number of </w:t>
      </w:r>
      <w:r>
        <w:t xml:space="preserve">sampled </w:t>
      </w:r>
      <w:r w:rsidRPr="000B6297">
        <w:t xml:space="preserve">households in cluster </w:t>
      </w:r>
      <w:r w:rsidRPr="000B6297">
        <w:rPr>
          <w:i/>
        </w:rPr>
        <w:t>c</w:t>
      </w:r>
      <w:r w:rsidRPr="000B6297">
        <w:t xml:space="preserve">,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Pr="000B6297">
        <w:t xml:space="preserve"> is the household-specific random effect for household </w:t>
      </w:r>
      <w:r w:rsidRPr="000B6297">
        <w:rPr>
          <w:i/>
        </w:rPr>
        <w:t>h</w:t>
      </w:r>
      <w:r w:rsidRPr="000B6297">
        <w:t xml:space="preserve"> from</w:t>
      </w:r>
      <w:r w:rsidR="002A0515">
        <w:t xml:space="preserve"> </w:t>
      </w:r>
      <w:r w:rsidR="002A0515">
        <w:fldChar w:fldCharType="begin"/>
      </w:r>
      <w:r w:rsidR="002A0515">
        <w:instrText xml:space="preserve"> REF _Ref297469000 \h </w:instrText>
      </w:r>
      <w:r w:rsidR="002A0515">
        <w:fldChar w:fldCharType="separate"/>
      </w:r>
      <w:r w:rsidR="00BB06E6" w:rsidRPr="00A30D83">
        <w:t>(</w:t>
      </w:r>
      <w:r w:rsidR="00BB06E6">
        <w:rPr>
          <w:noProof/>
        </w:rPr>
        <w:t>5</w:t>
      </w:r>
      <w:r w:rsidR="00BB06E6" w:rsidRPr="00A30D83">
        <w:t>)</w:t>
      </w:r>
      <w:r w:rsidR="002A0515">
        <w:fldChar w:fldCharType="end"/>
      </w:r>
      <w:r w:rsidRPr="000B6297">
        <w:t xml:space="preserve">, and </w:t>
      </w:r>
      <m:oMath>
        <m:acc>
          <m:accPr>
            <m:chr m:val="̅"/>
            <m:ctrlPr>
              <w:rPr>
                <w:rFonts w:ascii="Cambria Math" w:hAnsi="Cambria Math"/>
                <w:i/>
              </w:rPr>
            </m:ctrlPr>
          </m:acc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m:t>
                </m:r>
              </m:sub>
            </m:sSub>
          </m:e>
        </m:acc>
      </m:oMath>
      <w:r w:rsidRPr="000B6297">
        <w:t xml:space="preserve"> is the average</w:t>
      </w:r>
      <w:r>
        <w:t xml:space="preserve"> of the</w:t>
      </w:r>
      <w:r w:rsidRPr="000B6297">
        <w:t xml:space="preserve"> household-specific random effect</w:t>
      </w:r>
      <w:r>
        <w:t>s</w:t>
      </w:r>
      <w:r w:rsidRPr="000B6297">
        <w:t xml:space="preserve"> for cluster </w:t>
      </w:r>
      <w:r w:rsidRPr="000B6297">
        <w:rPr>
          <w:i/>
        </w:rPr>
        <w:t xml:space="preserve">c </w:t>
      </w:r>
      <w:r w:rsidRPr="000B6297">
        <w:t>from</w:t>
      </w:r>
      <w:r w:rsidR="002A0515">
        <w:t xml:space="preserve"> </w:t>
      </w:r>
      <w:r w:rsidR="002A0515">
        <w:fldChar w:fldCharType="begin"/>
      </w:r>
      <w:r w:rsidR="002A0515">
        <w:instrText xml:space="preserve"> REF _Ref297469000 \h </w:instrText>
      </w:r>
      <w:r w:rsidR="002A0515">
        <w:fldChar w:fldCharType="separate"/>
      </w:r>
      <w:r w:rsidR="00BB06E6" w:rsidRPr="00A30D83">
        <w:t>(</w:t>
      </w:r>
      <w:r w:rsidR="00BB06E6">
        <w:rPr>
          <w:noProof/>
        </w:rPr>
        <w:t>5</w:t>
      </w:r>
      <w:r w:rsidR="00BB06E6" w:rsidRPr="00A30D83">
        <w:t>)</w:t>
      </w:r>
      <w:r w:rsidR="002A0515">
        <w:fldChar w:fldCharType="end"/>
      </w:r>
      <w:r w:rsidRPr="000B6297">
        <w:t>. The weig</w:t>
      </w:r>
      <w:r>
        <w:t xml:space="preserve">ht of cluster </w:t>
      </w:r>
      <w:r>
        <w:rPr>
          <w:i/>
        </w:rPr>
        <w:t>c</w:t>
      </w:r>
      <w:r>
        <w:t xml:space="preserve"> is given by:</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83753F" w:rsidRPr="002C1CBF" w14:paraId="2AC41323" w14:textId="667517CF" w:rsidTr="003A7CBB">
        <w:tc>
          <w:tcPr>
            <w:tcW w:w="2500" w:type="pct"/>
            <w:vAlign w:val="center"/>
          </w:tcPr>
          <w:p w14:paraId="509FD5B7" w14:textId="77777777" w:rsidR="0083753F" w:rsidRPr="002C1CBF" w:rsidRDefault="00997C20" w:rsidP="005D2E54">
            <m:oMathPara>
              <m:oMath>
                <m:sSub>
                  <m:sSubPr>
                    <m:ctrlPr>
                      <w:rPr>
                        <w:rFonts w:ascii="Cambria Math" w:hAnsi="Cambria Math"/>
                        <w:i/>
                      </w:rPr>
                    </m:ctrlPr>
                  </m:sSubPr>
                  <m:e>
                    <m:r>
                      <w:rPr>
                        <w:rFonts w:ascii="Cambria Math" w:hAnsi="Cambria Math"/>
                      </w:rPr>
                      <m:t>w</m:t>
                    </m:r>
                  </m:e>
                  <m:sub>
                    <m:r>
                      <w:rPr>
                        <w:rFonts w:ascii="Cambria Math" w:hAnsi="Cambria Math"/>
                      </w:rPr>
                      <m:t>c</m:t>
                    </m:r>
                  </m:sub>
                </m:sSub>
                <m:r>
                  <w:rPr>
                    <w:rFonts w:ascii="Cambria Math" w:hAnsi="Cambria Math"/>
                  </w:rPr>
                  <m:t xml:space="preserve">= </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h=1</m:t>
                        </m:r>
                      </m:sub>
                      <m:sup>
                        <m:sSub>
                          <m:sSubPr>
                            <m:ctrlPr>
                              <w:rPr>
                                <w:rFonts w:ascii="Cambria Math" w:hAnsi="Cambria Math"/>
                                <w:i/>
                              </w:rPr>
                            </m:ctrlPr>
                          </m:sSubPr>
                          <m:e>
                            <m:r>
                              <w:rPr>
                                <w:rFonts w:ascii="Cambria Math" w:hAnsi="Cambria Math"/>
                              </w:rPr>
                              <m:t>M</m:t>
                            </m:r>
                          </m:e>
                          <m:sub>
                            <m:r>
                              <w:rPr>
                                <w:rFonts w:ascii="Cambria Math" w:hAnsi="Cambria Math"/>
                              </w:rPr>
                              <m:t>c</m:t>
                            </m:r>
                          </m:sub>
                        </m:sSub>
                      </m:sup>
                      <m:e>
                        <m:sSub>
                          <m:sSubPr>
                            <m:ctrlPr>
                              <w:rPr>
                                <w:rFonts w:ascii="Cambria Math" w:hAnsi="Cambria Math"/>
                                <w:i/>
                              </w:rPr>
                            </m:ctrlPr>
                          </m:sSubPr>
                          <m:e>
                            <m:r>
                              <w:rPr>
                                <w:rFonts w:ascii="Cambria Math" w:hAnsi="Cambria Math"/>
                              </w:rPr>
                              <m:t>λ</m:t>
                            </m:r>
                          </m:e>
                          <m:sub>
                            <m:r>
                              <w:rPr>
                                <w:rFonts w:ascii="Cambria Math" w:hAnsi="Cambria Math"/>
                              </w:rPr>
                              <m:t>h</m:t>
                            </m:r>
                          </m:sub>
                        </m:sSub>
                      </m:e>
                    </m:nary>
                  </m:num>
                  <m:den>
                    <m:nary>
                      <m:naryPr>
                        <m:chr m:val="∑"/>
                        <m:limLoc m:val="undOvr"/>
                        <m:ctrlPr>
                          <w:rPr>
                            <w:rFonts w:ascii="Cambria Math" w:hAnsi="Cambria Math"/>
                            <w:i/>
                          </w:rPr>
                        </m:ctrlPr>
                      </m:naryPr>
                      <m:sub>
                        <m:r>
                          <w:rPr>
                            <w:rFonts w:ascii="Cambria Math" w:hAnsi="Cambria Math"/>
                          </w:rPr>
                          <m:t>h=1</m:t>
                        </m:r>
                      </m:sub>
                      <m:sup>
                        <m:r>
                          <w:rPr>
                            <w:rFonts w:ascii="Cambria Math" w:hAnsi="Cambria Math"/>
                          </w:rPr>
                          <m:t>N</m:t>
                        </m:r>
                      </m:sup>
                      <m:e>
                        <m:sSub>
                          <m:sSubPr>
                            <m:ctrlPr>
                              <w:rPr>
                                <w:rFonts w:ascii="Cambria Math" w:hAnsi="Cambria Math"/>
                                <w:i/>
                              </w:rPr>
                            </m:ctrlPr>
                          </m:sSubPr>
                          <m:e>
                            <m:r>
                              <w:rPr>
                                <w:rFonts w:ascii="Cambria Math" w:hAnsi="Cambria Math"/>
                              </w:rPr>
                              <m:t>λ</m:t>
                            </m:r>
                          </m:e>
                          <m:sub>
                            <m:r>
                              <w:rPr>
                                <w:rFonts w:ascii="Cambria Math" w:hAnsi="Cambria Math"/>
                              </w:rPr>
                              <m:t>h</m:t>
                            </m:r>
                          </m:sub>
                        </m:sSub>
                      </m:e>
                    </m:nary>
                  </m:den>
                </m:f>
              </m:oMath>
            </m:oMathPara>
          </w:p>
        </w:tc>
        <w:tc>
          <w:tcPr>
            <w:tcW w:w="2500" w:type="pct"/>
            <w:vAlign w:val="center"/>
          </w:tcPr>
          <w:p w14:paraId="1DFB900E" w14:textId="5FDF2360" w:rsidR="0083753F" w:rsidRDefault="0083753F" w:rsidP="0083753F">
            <w:pPr>
              <w:jc w:val="right"/>
              <w:rPr>
                <w:rFonts w:eastAsia="Calibri"/>
              </w:rPr>
            </w:pPr>
            <w:bookmarkStart w:id="7" w:name="_Ref297469787"/>
            <w:r w:rsidRPr="00A30D83">
              <w:t>(</w:t>
            </w:r>
            <w:fldSimple w:instr=" SEQ Equation \* ARABIC ">
              <w:r w:rsidR="00BB06E6">
                <w:rPr>
                  <w:noProof/>
                </w:rPr>
                <w:t>8</w:t>
              </w:r>
            </w:fldSimple>
            <w:r w:rsidRPr="00A30D83">
              <w:t>)</w:t>
            </w:r>
            <w:bookmarkEnd w:id="7"/>
          </w:p>
        </w:tc>
      </w:tr>
      <w:tr w:rsidR="0083753F" w:rsidRPr="002C1CBF" w14:paraId="0DC346BE" w14:textId="0B78127F" w:rsidTr="003A7CBB">
        <w:tc>
          <w:tcPr>
            <w:tcW w:w="2500" w:type="pct"/>
            <w:vAlign w:val="center"/>
          </w:tcPr>
          <w:p w14:paraId="386820E8" w14:textId="77777777" w:rsidR="0083753F" w:rsidRDefault="0083753F" w:rsidP="005D2E54">
            <w:pPr>
              <w:rPr>
                <w:rFonts w:eastAsia="MS Mincho"/>
              </w:rPr>
            </w:pPr>
          </w:p>
        </w:tc>
        <w:tc>
          <w:tcPr>
            <w:tcW w:w="2500" w:type="pct"/>
            <w:vAlign w:val="center"/>
          </w:tcPr>
          <w:p w14:paraId="593388BA" w14:textId="77777777" w:rsidR="0083753F" w:rsidRDefault="0083753F" w:rsidP="005D2E54">
            <w:pPr>
              <w:rPr>
                <w:rFonts w:eastAsia="MS Mincho"/>
              </w:rPr>
            </w:pPr>
          </w:p>
        </w:tc>
      </w:tr>
    </w:tbl>
    <w:p w14:paraId="3F1EECF9" w14:textId="77777777" w:rsidR="00E46BD5" w:rsidRDefault="00E46BD5" w:rsidP="00E46BD5">
      <w:pPr>
        <w:spacing w:line="480" w:lineRule="auto"/>
      </w:pPr>
      <w:r>
        <w:t xml:space="preserve">where </w:t>
      </w:r>
      <m:oMath>
        <m:sSub>
          <m:sSubPr>
            <m:ctrlPr>
              <w:rPr>
                <w:rFonts w:ascii="Cambria Math" w:hAnsi="Cambria Math"/>
                <w:i/>
              </w:rPr>
            </m:ctrlPr>
          </m:sSubPr>
          <m:e>
            <m:r>
              <w:rPr>
                <w:rFonts w:ascii="Cambria Math" w:hAnsi="Cambria Math"/>
              </w:rPr>
              <m:t>λ</m:t>
            </m:r>
          </m:e>
          <m:sub>
            <m:r>
              <w:rPr>
                <w:rFonts w:ascii="Cambria Math" w:hAnsi="Cambria Math"/>
              </w:rPr>
              <m:t>h</m:t>
            </m:r>
          </m:sub>
        </m:sSub>
      </m:oMath>
      <w:r>
        <w:t xml:space="preserve"> is the sample weight of household </w:t>
      </w:r>
      <w:r>
        <w:rPr>
          <w:i/>
        </w:rPr>
        <w:t>h</w:t>
      </w:r>
      <w:r>
        <w:t xml:space="preserve"> multiplied by its household size and </w:t>
      </w:r>
      <m:oMath>
        <m:r>
          <w:rPr>
            <w:rFonts w:ascii="Cambria Math" w:hAnsi="Cambria Math"/>
          </w:rPr>
          <m:t>N</m:t>
        </m:r>
      </m:oMath>
      <w:r>
        <w:t xml:space="preserve"> is the number of sampled households.</w:t>
      </w:r>
    </w:p>
    <w:p w14:paraId="2075DC55" w14:textId="1FB10F64" w:rsidR="00E46BD5" w:rsidRDefault="00701639" w:rsidP="00C924F5">
      <w:pPr>
        <w:spacing w:line="480" w:lineRule="auto"/>
        <w:ind w:firstLine="720"/>
      </w:pPr>
      <w:r>
        <w:t>T</w:t>
      </w:r>
      <w:r w:rsidR="00E46BD5">
        <w:t>he more than</w:t>
      </w:r>
      <w:r w:rsidR="00E46BD5" w:rsidRPr="006D21D3">
        <w:t xml:space="preserve"> 500 unique observations on </w:t>
      </w:r>
      <m:oMath>
        <m:r>
          <w:rPr>
            <w:rFonts w:ascii="Cambria Math" w:hAnsi="Cambria Math"/>
          </w:rPr>
          <m:t>ε</m:t>
        </m:r>
      </m:oMath>
      <w:r w:rsidR="00E46BD5" w:rsidRPr="006D21D3">
        <w:t xml:space="preserve"> </w:t>
      </w:r>
      <w:r w:rsidR="00E46BD5" w:rsidRPr="003973E8">
        <w:t xml:space="preserve">permit the modeling of heteroskedasticity in this component. </w:t>
      </w:r>
      <w:proofErr w:type="gramStart"/>
      <w:r w:rsidR="00EA21D1">
        <w:t>I</w:t>
      </w:r>
      <w:r w:rsidR="00E46BD5" w:rsidRPr="003973E8">
        <w:t>n order</w:t>
      </w:r>
      <w:r w:rsidR="00E46BD5">
        <w:t xml:space="preserve"> to</w:t>
      </w:r>
      <w:proofErr w:type="gramEnd"/>
      <w:r w:rsidR="00E46BD5">
        <w:t xml:space="preserve"> consistently estimate the heteroskedastic variance of </w:t>
      </w:r>
      <m:oMath>
        <m:sSub>
          <m:sSubPr>
            <m:ctrlPr>
              <w:rPr>
                <w:rFonts w:ascii="Cambria Math" w:hAnsi="Cambria Math"/>
                <w:i/>
              </w:rPr>
            </m:ctrlPr>
          </m:sSubPr>
          <m:e>
            <m:r>
              <w:rPr>
                <w:rFonts w:ascii="Cambria Math" w:hAnsi="Cambria Math"/>
              </w:rPr>
              <m:t>ε</m:t>
            </m:r>
          </m:e>
          <m:sub>
            <m:r>
              <w:rPr>
                <w:rFonts w:ascii="Cambria Math" w:hAnsi="Cambria Math"/>
              </w:rPr>
              <m:t>ch</m:t>
            </m:r>
          </m:sub>
        </m:sSub>
      </m:oMath>
      <w:r w:rsidR="00E46BD5">
        <w:t xml:space="preserve">, any residual cluster effects are first purged from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00E46BD5">
        <w:t xml:space="preserve"> by regressing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00E46BD5">
        <w:t xml:space="preserve"> on a series of dummy variables corresponding to all but one of the 58 clusters. The residuals from this regression become the purged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00E46BD5">
        <w:t xml:space="preserve"> used throughout </w:t>
      </w:r>
      <w:r w:rsidR="00E46BD5" w:rsidRPr="00C924F5">
        <w:t xml:space="preserve">the estimation of </w:t>
      </w:r>
      <m:oMath>
        <m:sSubSup>
          <m:sSubSupPr>
            <m:ctrlPr>
              <w:rPr>
                <w:rFonts w:ascii="Cambria Math" w:hAnsi="Cambria Math"/>
                <w:i/>
              </w:rPr>
            </m:ctrlPr>
          </m:sSubSupPr>
          <m:e>
            <m:r>
              <w:rPr>
                <w:rFonts w:ascii="Cambria Math" w:hAnsi="Cambria Math"/>
              </w:rPr>
              <m:t>σ</m:t>
            </m:r>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oMath>
      <w:r w:rsidR="00E46BD5" w:rsidRPr="00C924F5">
        <w:t xml:space="preserve">. The household-specific variance is then modeled using the modified logistic form proposed by </w:t>
      </w:r>
      <w:r w:rsidR="00A73E57" w:rsidRPr="00C924F5">
        <w:fldChar w:fldCharType="begin"/>
      </w:r>
      <w:r w:rsidR="00C924F5" w:rsidRPr="00C924F5">
        <w:instrText xml:space="preserve"> ADDIN EN.CITE &lt;EndNote&gt;&lt;Cite AuthorYear="1"&gt;&lt;Author&gt;Elbers&lt;/Author&gt;&lt;Year&gt;2003&lt;/Year&gt;&lt;RecNum&gt;21&lt;/RecNum&gt;&lt;DisplayText&gt;Elbers,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A73E57" w:rsidRPr="00C924F5">
        <w:fldChar w:fldCharType="separate"/>
      </w:r>
      <w:r w:rsidR="00C924F5" w:rsidRPr="00C924F5">
        <w:rPr>
          <w:noProof/>
        </w:rPr>
        <w:t>Elbers, et al. (2003)</w:t>
      </w:r>
      <w:r w:rsidR="00A73E57" w:rsidRPr="00C924F5">
        <w:fldChar w:fldCharType="end"/>
      </w:r>
      <w:r w:rsidR="00E46BD5" w:rsidRPr="00C924F5">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3A7CBB" w:rsidRPr="002C1CBF" w14:paraId="2E2E02AB" w14:textId="2EF94D00" w:rsidTr="0022111B">
        <w:tc>
          <w:tcPr>
            <w:tcW w:w="2500" w:type="pct"/>
            <w:vAlign w:val="center"/>
          </w:tcPr>
          <w:p w14:paraId="618B7716" w14:textId="77777777" w:rsidR="003A7CBB" w:rsidRPr="002C1CBF" w:rsidRDefault="00997C20" w:rsidP="005525FC">
            <w:pPr>
              <w:jc w:val="center"/>
            </w:pPr>
            <m:oMathPara>
              <m:oMath>
                <m:sSubSup>
                  <m:sSubSupPr>
                    <m:ctrlPr>
                      <w:rPr>
                        <w:rFonts w:ascii="Cambria Math" w:hAnsi="Cambria Math"/>
                        <w:i/>
                      </w:rPr>
                    </m:ctrlPr>
                  </m:sSubSupPr>
                  <m:e>
                    <m:r>
                      <w:rPr>
                        <w:rFonts w:ascii="Cambria Math" w:hAnsi="Cambria Math"/>
                      </w:rPr>
                      <m:t>σ</m:t>
                    </m:r>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r>
                  <w:rPr>
                    <w:rFonts w:ascii="Cambria Math" w:hAnsi="Cambria Math"/>
                  </w:rPr>
                  <m:t>=A</m:t>
                </m:r>
                <m:sSub>
                  <m:sSubPr>
                    <m:ctrlPr>
                      <w:rPr>
                        <w:rFonts w:ascii="Cambria Math" w:hAnsi="Cambria Math"/>
                        <w:i/>
                      </w:rPr>
                    </m:ctrlPr>
                  </m:sSubPr>
                  <m:e>
                    <m:r>
                      <w:rPr>
                        <w:rFonts w:ascii="Cambria Math" w:hAnsi="Cambria Math"/>
                      </w:rPr>
                      <m:t>p</m:t>
                    </m:r>
                  </m:e>
                  <m:sub>
                    <m:r>
                      <w:rPr>
                        <w:rFonts w:ascii="Cambria Math" w:hAnsi="Cambria Math"/>
                      </w:rPr>
                      <m:t>ch</m:t>
                    </m:r>
                  </m:sub>
                </m:sSub>
                <m:r>
                  <w:rPr>
                    <w:rFonts w:ascii="Cambria Math" w:hAnsi="Cambria Math"/>
                  </w:rPr>
                  <m:t>+B(1-</m:t>
                </m:r>
                <m:sSub>
                  <m:sSubPr>
                    <m:ctrlPr>
                      <w:rPr>
                        <w:rFonts w:ascii="Cambria Math" w:hAnsi="Cambria Math"/>
                        <w:i/>
                      </w:rPr>
                    </m:ctrlPr>
                  </m:sSubPr>
                  <m:e>
                    <m:r>
                      <w:rPr>
                        <w:rFonts w:ascii="Cambria Math" w:hAnsi="Cambria Math"/>
                      </w:rPr>
                      <m:t>p</m:t>
                    </m:r>
                  </m:e>
                  <m:sub>
                    <m:r>
                      <w:rPr>
                        <w:rFonts w:ascii="Cambria Math" w:hAnsi="Cambria Math"/>
                      </w:rPr>
                      <m:t>ch</m:t>
                    </m:r>
                  </m:sub>
                </m:sSub>
                <m:r>
                  <w:rPr>
                    <w:rFonts w:ascii="Cambria Math" w:hAnsi="Cambria Math"/>
                  </w:rPr>
                  <m:t>)</m:t>
                </m:r>
              </m:oMath>
            </m:oMathPara>
          </w:p>
        </w:tc>
        <w:tc>
          <w:tcPr>
            <w:tcW w:w="2500" w:type="pct"/>
            <w:vAlign w:val="center"/>
          </w:tcPr>
          <w:p w14:paraId="745033F9" w14:textId="3E3FDFED" w:rsidR="003A7CBB" w:rsidRDefault="003A7CBB" w:rsidP="003A7CBB">
            <w:pPr>
              <w:jc w:val="right"/>
              <w:rPr>
                <w:rFonts w:eastAsia="Calibri"/>
              </w:rPr>
            </w:pPr>
            <w:bookmarkStart w:id="8" w:name="_Ref297469962"/>
            <w:r w:rsidRPr="00A30D83">
              <w:t>(</w:t>
            </w:r>
            <w:fldSimple w:instr=" SEQ Equation \* ARABIC ">
              <w:r w:rsidR="00BB06E6">
                <w:rPr>
                  <w:noProof/>
                </w:rPr>
                <w:t>9</w:t>
              </w:r>
            </w:fldSimple>
            <w:r w:rsidRPr="00A30D83">
              <w:t>)</w:t>
            </w:r>
            <w:bookmarkEnd w:id="8"/>
          </w:p>
        </w:tc>
      </w:tr>
      <w:tr w:rsidR="003A7CBB" w:rsidRPr="002C1CBF" w14:paraId="26D3326F" w14:textId="38F4FBAB" w:rsidTr="0022111B">
        <w:tc>
          <w:tcPr>
            <w:tcW w:w="2500" w:type="pct"/>
            <w:vAlign w:val="center"/>
          </w:tcPr>
          <w:p w14:paraId="75144CCC" w14:textId="77777777" w:rsidR="003A7CBB" w:rsidRDefault="003A7CBB" w:rsidP="005525FC">
            <w:pPr>
              <w:jc w:val="center"/>
              <w:rPr>
                <w:rFonts w:eastAsia="MS Mincho"/>
              </w:rPr>
            </w:pPr>
          </w:p>
        </w:tc>
        <w:tc>
          <w:tcPr>
            <w:tcW w:w="2500" w:type="pct"/>
            <w:vAlign w:val="center"/>
          </w:tcPr>
          <w:p w14:paraId="0B1172F4" w14:textId="77777777" w:rsidR="003A7CBB" w:rsidRDefault="003A7CBB" w:rsidP="005525FC">
            <w:pPr>
              <w:jc w:val="center"/>
              <w:rPr>
                <w:rFonts w:eastAsia="MS Mincho"/>
              </w:rPr>
            </w:pPr>
          </w:p>
        </w:tc>
      </w:tr>
    </w:tbl>
    <w:p w14:paraId="6628711F" w14:textId="77777777" w:rsidR="00E46BD5" w:rsidRDefault="00E46BD5" w:rsidP="00E46BD5">
      <w:pPr>
        <w:spacing w:line="480" w:lineRule="auto"/>
      </w:pPr>
      <w:r>
        <w:t xml:space="preserve">where </w:t>
      </w:r>
      <w:r w:rsidRPr="00DB55E7">
        <w:rPr>
          <w:i/>
        </w:rPr>
        <w:t>A</w:t>
      </w:r>
      <w:r>
        <w:t xml:space="preserve"> and </w:t>
      </w:r>
      <w:r w:rsidRPr="00DB55E7">
        <w:rPr>
          <w:i/>
        </w:rPr>
        <w:t>B</w:t>
      </w:r>
      <w:r>
        <w:t xml:space="preserve"> are the upper and lower variance bounds respectively and </w:t>
      </w:r>
      <m:oMath>
        <m:sSub>
          <m:sSubPr>
            <m:ctrlPr>
              <w:rPr>
                <w:rFonts w:ascii="Cambria Math" w:hAnsi="Cambria Math"/>
                <w:i/>
              </w:rPr>
            </m:ctrlPr>
          </m:sSubPr>
          <m:e>
            <m:r>
              <w:rPr>
                <w:rFonts w:ascii="Cambria Math" w:hAnsi="Cambria Math"/>
              </w:rPr>
              <m:t>p</m:t>
            </m:r>
          </m:e>
          <m:sub>
            <m:r>
              <w:rPr>
                <w:rFonts w:ascii="Cambria Math" w:hAnsi="Cambria Math"/>
              </w:rPr>
              <m:t>ch</m:t>
            </m:r>
          </m:sub>
        </m:sSub>
      </m:oMath>
      <w:r>
        <w:t xml:space="preserve"> is:</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681"/>
      </w:tblGrid>
      <w:tr w:rsidR="00AC56D4" w:rsidRPr="002C1CBF" w14:paraId="4A0BA644" w14:textId="44AF54B3" w:rsidTr="00AC56D4">
        <w:tc>
          <w:tcPr>
            <w:tcW w:w="2500" w:type="pct"/>
            <w:vAlign w:val="center"/>
          </w:tcPr>
          <w:p w14:paraId="6EA9571C" w14:textId="77777777" w:rsidR="00AC56D4" w:rsidRPr="002C1CBF" w:rsidRDefault="00997C20" w:rsidP="00E46BD5">
            <w:pPr>
              <w:jc w:val="center"/>
            </w:pPr>
            <m:oMathPara>
              <m:oMath>
                <m:sSub>
                  <m:sSubPr>
                    <m:ctrlPr>
                      <w:rPr>
                        <w:rFonts w:ascii="Cambria Math" w:hAnsi="Cambria Math"/>
                        <w:i/>
                      </w:rPr>
                    </m:ctrlPr>
                  </m:sSubPr>
                  <m:e>
                    <m:r>
                      <w:rPr>
                        <w:rFonts w:ascii="Cambria Math" w:hAnsi="Cambria Math"/>
                      </w:rPr>
                      <m:t>p</m:t>
                    </m:r>
                  </m:e>
                  <m:sub>
                    <m:r>
                      <w:rPr>
                        <w:rFonts w:ascii="Cambria Math" w:hAnsi="Cambria Math"/>
                      </w:rPr>
                      <m:t>ch</m:t>
                    </m:r>
                  </m:sub>
                </m:sSub>
                <m:r>
                  <w:rPr>
                    <w:rFonts w:ascii="Cambria Math" w:hAnsi="Cambria Math"/>
                  </w:rPr>
                  <m:t>=</m:t>
                </m:r>
                <m:d>
                  <m:dPr>
                    <m:begChr m:val="["/>
                    <m:endChr m:val="]"/>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z</m:t>
                                </m:r>
                              </m:e>
                              <m:sub>
                                <m:r>
                                  <w:rPr>
                                    <w:rFonts w:ascii="Cambria Math" w:hAnsi="Cambria Math"/>
                                  </w:rPr>
                                  <m:t>ch</m:t>
                                </m:r>
                              </m:sub>
                            </m:sSub>
                            <m:r>
                              <w:rPr>
                                <w:rFonts w:ascii="Cambria Math" w:hAnsi="Cambria Math"/>
                              </w:rPr>
                              <m:t>α</m:t>
                            </m:r>
                          </m:sup>
                        </m:sSup>
                      </m:num>
                      <m:den>
                        <m:r>
                          <w:rPr>
                            <w:rFonts w:ascii="Cambria Math" w:hAnsi="Cambria Math"/>
                          </w:rPr>
                          <m:t xml:space="preserve">1+ </m:t>
                        </m:r>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z</m:t>
                                </m:r>
                              </m:e>
                              <m:sub>
                                <m:r>
                                  <w:rPr>
                                    <w:rFonts w:ascii="Cambria Math" w:hAnsi="Cambria Math"/>
                                  </w:rPr>
                                  <m:t>ch</m:t>
                                </m:r>
                              </m:sub>
                            </m:sSub>
                            <m:r>
                              <w:rPr>
                                <w:rFonts w:ascii="Cambria Math" w:hAnsi="Cambria Math"/>
                              </w:rPr>
                              <m:t>α</m:t>
                            </m:r>
                          </m:sup>
                        </m:sSup>
                      </m:den>
                    </m:f>
                  </m:e>
                </m:d>
              </m:oMath>
            </m:oMathPara>
          </w:p>
        </w:tc>
        <w:tc>
          <w:tcPr>
            <w:tcW w:w="2500" w:type="pct"/>
            <w:vAlign w:val="center"/>
          </w:tcPr>
          <w:p w14:paraId="3E3F13B6" w14:textId="77E9983C" w:rsidR="00AC56D4" w:rsidRDefault="00AC56D4" w:rsidP="00AC56D4">
            <w:pPr>
              <w:jc w:val="right"/>
              <w:rPr>
                <w:rFonts w:eastAsia="Calibri"/>
              </w:rPr>
            </w:pPr>
            <w:r w:rsidRPr="00A30D83">
              <w:t>(</w:t>
            </w:r>
            <w:fldSimple w:instr=" SEQ Equation \* ARABIC ">
              <w:r w:rsidR="00BB06E6">
                <w:rPr>
                  <w:noProof/>
                </w:rPr>
                <w:t>10</w:t>
              </w:r>
            </w:fldSimple>
            <w:r w:rsidRPr="00A30D83">
              <w:t>)</w:t>
            </w:r>
          </w:p>
        </w:tc>
      </w:tr>
      <w:tr w:rsidR="00AC56D4" w:rsidRPr="002C1CBF" w14:paraId="63B54F69" w14:textId="673121CB" w:rsidTr="00AC56D4">
        <w:tc>
          <w:tcPr>
            <w:tcW w:w="2500" w:type="pct"/>
            <w:vAlign w:val="center"/>
          </w:tcPr>
          <w:p w14:paraId="2E829C5C" w14:textId="77777777" w:rsidR="00AC56D4" w:rsidRDefault="00AC56D4" w:rsidP="00E46BD5">
            <w:pPr>
              <w:jc w:val="center"/>
              <w:rPr>
                <w:rFonts w:eastAsia="MS Mincho"/>
              </w:rPr>
            </w:pPr>
          </w:p>
        </w:tc>
        <w:tc>
          <w:tcPr>
            <w:tcW w:w="2500" w:type="pct"/>
            <w:vAlign w:val="center"/>
          </w:tcPr>
          <w:p w14:paraId="0BE5CB6E" w14:textId="77777777" w:rsidR="00AC56D4" w:rsidRDefault="00AC56D4" w:rsidP="00E46BD5">
            <w:pPr>
              <w:jc w:val="center"/>
              <w:rPr>
                <w:rFonts w:eastAsia="MS Mincho"/>
              </w:rPr>
            </w:pPr>
          </w:p>
        </w:tc>
      </w:tr>
    </w:tbl>
    <w:p w14:paraId="75F74F6C" w14:textId="34A02E00" w:rsidR="00E46BD5" w:rsidRDefault="00E46BD5" w:rsidP="00E46BD5">
      <w:pPr>
        <w:spacing w:line="480" w:lineRule="auto"/>
      </w:pPr>
      <w:r>
        <w:t xml:space="preserve">where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t xml:space="preserve"> is a vector of </w:t>
      </w:r>
      <w:r>
        <w:rPr>
          <w:i/>
        </w:rPr>
        <w:t xml:space="preserve">k </w:t>
      </w:r>
      <w:r>
        <w:t xml:space="preserve">observable characteristics for a given household </w:t>
      </w:r>
      <w:r>
        <w:rPr>
          <w:i/>
        </w:rPr>
        <w:t xml:space="preserve">h </w:t>
      </w:r>
      <w:r>
        <w:t xml:space="preserve">and </w:t>
      </w:r>
      <m:oMath>
        <m:r>
          <w:rPr>
            <w:rFonts w:ascii="Cambria Math" w:hAnsi="Cambria Math"/>
          </w:rPr>
          <m:t>α</m:t>
        </m:r>
      </m:oMath>
      <w:r>
        <w:t xml:space="preserve"> is a vector of </w:t>
      </w:r>
      <w:r>
        <w:rPr>
          <w:i/>
        </w:rPr>
        <w:t xml:space="preserve">k </w:t>
      </w:r>
      <w:r>
        <w:t xml:space="preserve">parameters. Where a given </w:t>
      </w:r>
      <w:proofErr w:type="gramStart"/>
      <w:r>
        <w:t>household’s</w:t>
      </w:r>
      <w:proofErr w:type="gramEnd"/>
      <w:r>
        <w:t xml:space="preserve"> predicted variance falls on the interval between </w:t>
      </w:r>
      <w:r w:rsidRPr="009C6CAA">
        <w:rPr>
          <w:i/>
        </w:rPr>
        <w:t>A</w:t>
      </w:r>
      <w:r>
        <w:t xml:space="preserve"> and </w:t>
      </w:r>
      <w:r w:rsidRPr="009C6CAA">
        <w:rPr>
          <w:i/>
        </w:rPr>
        <w:lastRenderedPageBreak/>
        <w:t>B</w:t>
      </w:r>
      <w:r>
        <w:t xml:space="preserve"> depends on the household’s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t xml:space="preserve"> vector of characteristics and the estimate of </w:t>
      </w:r>
      <m:oMath>
        <m:r>
          <w:rPr>
            <w:rFonts w:ascii="Cambria Math" w:hAnsi="Cambria Math"/>
          </w:rPr>
          <m:t>α</m:t>
        </m:r>
      </m:oMath>
      <w:r>
        <w:t xml:space="preserve">. To simplify estimation of </w:t>
      </w:r>
      <w:r w:rsidR="005924CE">
        <w:fldChar w:fldCharType="begin"/>
      </w:r>
      <w:r w:rsidR="005924CE">
        <w:instrText xml:space="preserve"> REF _Ref297469962 \h </w:instrText>
      </w:r>
      <w:r w:rsidR="005924CE">
        <w:fldChar w:fldCharType="separate"/>
      </w:r>
      <w:r w:rsidR="00BB06E6" w:rsidRPr="00A30D83">
        <w:t>(</w:t>
      </w:r>
      <w:r w:rsidR="00BB06E6">
        <w:rPr>
          <w:noProof/>
        </w:rPr>
        <w:t>9</w:t>
      </w:r>
      <w:r w:rsidR="00BB06E6" w:rsidRPr="00A30D83">
        <w:t>)</w:t>
      </w:r>
      <w:r w:rsidR="005924CE">
        <w:fldChar w:fldCharType="end"/>
      </w:r>
      <w:r>
        <w:t xml:space="preserve">, </w:t>
      </w:r>
      <m:oMath>
        <m:sSup>
          <m:sSupPr>
            <m:ctrlPr>
              <w:rPr>
                <w:rFonts w:ascii="Cambria Math" w:hAnsi="Cambria Math"/>
                <w:i/>
              </w:rPr>
            </m:ctrlPr>
          </m:sSup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e>
          <m:sup>
            <m:r>
              <w:rPr>
                <w:rFonts w:ascii="Cambria Math" w:hAnsi="Cambria Math"/>
              </w:rPr>
              <m:t>2</m:t>
            </m:r>
          </m:sup>
        </m:sSup>
      </m:oMath>
      <w:r>
        <w:t xml:space="preserve"> is taken as an unbiased estimate of the household-specific variance and the upper bound, </w:t>
      </w:r>
      <w:r w:rsidRPr="00DF1DEF">
        <w:rPr>
          <w:i/>
        </w:rPr>
        <w:t>A</w:t>
      </w:r>
      <w:r>
        <w:t xml:space="preserve">, is set as 1.05 times the max </w:t>
      </w:r>
      <m:oMath>
        <m:sSup>
          <m:sSupPr>
            <m:ctrlPr>
              <w:rPr>
                <w:rFonts w:ascii="Cambria Math" w:hAnsi="Cambria Math"/>
                <w:i/>
              </w:rPr>
            </m:ctrlPr>
          </m:sSup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e>
          <m:sup>
            <m:r>
              <w:rPr>
                <w:rFonts w:ascii="Cambria Math" w:hAnsi="Cambria Math"/>
              </w:rPr>
              <m:t>2</m:t>
            </m:r>
          </m:sup>
        </m:sSup>
      </m:oMath>
      <w:r>
        <w:t xml:space="preserve">. Similarly, the lower bound, </w:t>
      </w:r>
      <w:r w:rsidRPr="00DF1DEF">
        <w:rPr>
          <w:i/>
        </w:rPr>
        <w:t>B</w:t>
      </w:r>
      <w:r>
        <w:t xml:space="preserve">, is set at 0. This allows, through the rearrangement of terms, an estimation of the </w:t>
      </w:r>
      <m:oMath>
        <m:r>
          <w:rPr>
            <w:rFonts w:ascii="Cambria Math" w:hAnsi="Cambria Math"/>
          </w:rPr>
          <m:t>α</m:t>
        </m:r>
      </m:oMath>
      <w:r>
        <w:t xml:space="preserve"> vector in</w:t>
      </w:r>
      <w:r w:rsidR="005924CE">
        <w:t xml:space="preserve"> </w:t>
      </w:r>
      <w:r w:rsidR="005924CE">
        <w:fldChar w:fldCharType="begin"/>
      </w:r>
      <w:r w:rsidR="005924CE">
        <w:instrText xml:space="preserve"> REF _Ref297469962 \h </w:instrText>
      </w:r>
      <w:r w:rsidR="005924CE">
        <w:fldChar w:fldCharType="separate"/>
      </w:r>
      <w:r w:rsidR="00BB06E6" w:rsidRPr="00A30D83">
        <w:t>(</w:t>
      </w:r>
      <w:r w:rsidR="00BB06E6">
        <w:rPr>
          <w:noProof/>
        </w:rPr>
        <w:t>9</w:t>
      </w:r>
      <w:r w:rsidR="00BB06E6" w:rsidRPr="00A30D83">
        <w:t>)</w:t>
      </w:r>
      <w:r w:rsidR="005924CE">
        <w:fldChar w:fldCharType="end"/>
      </w:r>
      <w:r>
        <w:t xml:space="preserve"> via </w:t>
      </w:r>
      <w:r w:rsidRPr="00093710">
        <w:t>OLS</w:t>
      </w:r>
      <w: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2"/>
        <w:gridCol w:w="4678"/>
      </w:tblGrid>
      <w:tr w:rsidR="007F529E" w:rsidRPr="002C1CBF" w14:paraId="6EBC370F" w14:textId="0BDF061E" w:rsidTr="005650F6">
        <w:tc>
          <w:tcPr>
            <w:tcW w:w="2501" w:type="pct"/>
            <w:vAlign w:val="center"/>
          </w:tcPr>
          <w:p w14:paraId="6DB64581" w14:textId="77777777" w:rsidR="007F529E" w:rsidRPr="002C1CBF" w:rsidRDefault="007F529E" w:rsidP="00E46BD5">
            <w:pPr>
              <w:jc w:val="center"/>
            </w:pPr>
            <m:oMathPara>
              <m:oMath>
                <m:r>
                  <w:rPr>
                    <w:rFonts w:ascii="Cambria Math" w:hAnsi="Cambria Math"/>
                  </w:rPr>
                  <m:t>ln</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e>
                          <m:sup>
                            <m:r>
                              <w:rPr>
                                <w:rFonts w:ascii="Cambria Math" w:hAnsi="Cambria Math"/>
                              </w:rPr>
                              <m:t>2</m:t>
                            </m:r>
                          </m:sup>
                        </m:sSup>
                        <m:r>
                          <m:rPr>
                            <m:sty m:val="p"/>
                          </m:rPr>
                          <w:rPr>
                            <w:rFonts w:ascii="Cambria Math" w:hAnsi="Cambria Math"/>
                          </w:rPr>
                          <m:t xml:space="preserve"> </m:t>
                        </m:r>
                      </m:num>
                      <m:den>
                        <m:r>
                          <w:rPr>
                            <w:rFonts w:ascii="Cambria Math" w:hAnsi="Cambria Math"/>
                          </w:rPr>
                          <m:t>A-</m:t>
                        </m:r>
                        <m:sSup>
                          <m:sSupPr>
                            <m:ctrlPr>
                              <w:rPr>
                                <w:rFonts w:ascii="Cambria Math" w:hAnsi="Cambria Math"/>
                                <w:i/>
                              </w:rPr>
                            </m:ctrlPr>
                          </m:sSupPr>
                          <m:e>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e>
                          <m:sup>
                            <m:r>
                              <w:rPr>
                                <w:rFonts w:ascii="Cambria Math" w:hAnsi="Cambria Math"/>
                              </w:rPr>
                              <m:t>2</m:t>
                            </m:r>
                          </m:sup>
                        </m:sSup>
                        <m:r>
                          <m:rPr>
                            <m:sty m:val="p"/>
                          </m:rPr>
                          <w:rPr>
                            <w:rFonts w:ascii="Cambria Math" w:hAnsi="Cambria Math"/>
                          </w:rPr>
                          <m:t xml:space="preserve"> </m:t>
                        </m:r>
                      </m:den>
                    </m:f>
                  </m:e>
                </m:d>
                <m:r>
                  <w:rPr>
                    <w:rFonts w:ascii="Cambria Math" w:hAnsi="Cambria Math"/>
                  </w:rPr>
                  <m:t xml:space="preserve">= </m:t>
                </m:r>
                <m:sSub>
                  <m:sSubPr>
                    <m:ctrlPr>
                      <w:rPr>
                        <w:rFonts w:ascii="Cambria Math" w:hAnsi="Cambria Math"/>
                        <w:i/>
                      </w:rPr>
                    </m:ctrlPr>
                  </m:sSubPr>
                  <m:e>
                    <m:r>
                      <w:rPr>
                        <w:rFonts w:ascii="Cambria Math" w:hAnsi="Cambria Math"/>
                      </w:rPr>
                      <m:t>z</m:t>
                    </m:r>
                  </m:e>
                  <m:sub>
                    <m:r>
                      <w:rPr>
                        <w:rFonts w:ascii="Cambria Math" w:hAnsi="Cambria Math"/>
                      </w:rPr>
                      <m:t>ch</m:t>
                    </m:r>
                  </m:sub>
                </m:sSub>
                <m:r>
                  <w:rPr>
                    <w:rFonts w:ascii="Cambria Math" w:hAnsi="Cambria Math"/>
                  </w:rPr>
                  <m:t xml:space="preserve">α+ </m:t>
                </m:r>
                <m:sSub>
                  <m:sSubPr>
                    <m:ctrlPr>
                      <w:rPr>
                        <w:rFonts w:ascii="Cambria Math" w:hAnsi="Cambria Math"/>
                        <w:i/>
                      </w:rPr>
                    </m:ctrlPr>
                  </m:sSubPr>
                  <m:e>
                    <m:r>
                      <w:rPr>
                        <w:rFonts w:ascii="Cambria Math" w:hAnsi="Cambria Math"/>
                      </w:rPr>
                      <m:t>υ</m:t>
                    </m:r>
                  </m:e>
                  <m:sub>
                    <m:r>
                      <w:rPr>
                        <w:rFonts w:ascii="Cambria Math" w:hAnsi="Cambria Math"/>
                      </w:rPr>
                      <m:t>ch</m:t>
                    </m:r>
                  </m:sub>
                </m:sSub>
              </m:oMath>
            </m:oMathPara>
          </w:p>
        </w:tc>
        <w:tc>
          <w:tcPr>
            <w:tcW w:w="2499" w:type="pct"/>
            <w:vAlign w:val="center"/>
          </w:tcPr>
          <w:p w14:paraId="3693651C" w14:textId="5B59EB2A" w:rsidR="007F529E" w:rsidRDefault="007F529E" w:rsidP="007F529E">
            <w:pPr>
              <w:jc w:val="right"/>
              <w:rPr>
                <w:rFonts w:eastAsia="Calibri"/>
              </w:rPr>
            </w:pPr>
            <w:bookmarkStart w:id="9" w:name="_Ref297543932"/>
            <w:r w:rsidRPr="00A30D83">
              <w:t>(</w:t>
            </w:r>
            <w:fldSimple w:instr=" SEQ Equation \* ARABIC ">
              <w:r w:rsidR="00BB06E6">
                <w:rPr>
                  <w:noProof/>
                </w:rPr>
                <w:t>11</w:t>
              </w:r>
            </w:fldSimple>
            <w:r w:rsidRPr="00A30D83">
              <w:t>)</w:t>
            </w:r>
            <w:bookmarkEnd w:id="9"/>
          </w:p>
        </w:tc>
      </w:tr>
      <w:tr w:rsidR="007F529E" w:rsidRPr="002C1CBF" w14:paraId="550A13E9" w14:textId="7155D449" w:rsidTr="005650F6">
        <w:tc>
          <w:tcPr>
            <w:tcW w:w="2501" w:type="pct"/>
            <w:vAlign w:val="center"/>
          </w:tcPr>
          <w:p w14:paraId="62118437" w14:textId="77777777" w:rsidR="007F529E" w:rsidRDefault="007F529E" w:rsidP="00E46BD5">
            <w:pPr>
              <w:jc w:val="center"/>
              <w:rPr>
                <w:rFonts w:eastAsia="MS Mincho"/>
              </w:rPr>
            </w:pPr>
          </w:p>
        </w:tc>
        <w:tc>
          <w:tcPr>
            <w:tcW w:w="2499" w:type="pct"/>
            <w:vAlign w:val="center"/>
          </w:tcPr>
          <w:p w14:paraId="7AFF140A" w14:textId="77777777" w:rsidR="007F529E" w:rsidRDefault="007F529E" w:rsidP="00E46BD5">
            <w:pPr>
              <w:jc w:val="center"/>
              <w:rPr>
                <w:rFonts w:eastAsia="MS Mincho"/>
              </w:rPr>
            </w:pPr>
          </w:p>
        </w:tc>
      </w:tr>
    </w:tbl>
    <w:p w14:paraId="23210258" w14:textId="6DB1E118" w:rsidR="00E46BD5" w:rsidRPr="002670E1" w:rsidRDefault="00E46BD5" w:rsidP="00E46BD5">
      <w:pPr>
        <w:spacing w:line="480" w:lineRule="auto"/>
      </w:pPr>
      <w:r>
        <w:t xml:space="preserve">where </w:t>
      </w:r>
      <m:oMath>
        <m:sSub>
          <m:sSubPr>
            <m:ctrlPr>
              <w:rPr>
                <w:rFonts w:ascii="Cambria Math" w:hAnsi="Cambria Math"/>
                <w:i/>
              </w:rPr>
            </m:ctrlPr>
          </m:sSubPr>
          <m:e>
            <m:r>
              <w:rPr>
                <w:rFonts w:ascii="Cambria Math" w:hAnsi="Cambria Math"/>
              </w:rPr>
              <m:t>υ</m:t>
            </m:r>
          </m:e>
          <m:sub>
            <m:r>
              <w:rPr>
                <w:rFonts w:ascii="Cambria Math" w:hAnsi="Cambria Math"/>
              </w:rPr>
              <m:t>ch</m:t>
            </m:r>
          </m:sub>
        </m:sSub>
      </m:oMath>
      <w:r>
        <w:t xml:space="preserve"> is a disturbance term such that </w:t>
      </w:r>
      <m:oMath>
        <m:r>
          <m:rPr>
            <m:sty m:val="p"/>
          </m:rPr>
          <w:rPr>
            <w:rFonts w:ascii="Cambria Math" w:hAnsi="Cambria Math"/>
          </w:rPr>
          <m:t>E</m:t>
        </m:r>
        <m:d>
          <m:dPr>
            <m:ctrlPr>
              <w:rPr>
                <w:rFonts w:ascii="Cambria Math" w:hAnsi="Cambria Math"/>
                <w:i/>
              </w:rPr>
            </m:ctrlPr>
          </m:dPr>
          <m:e>
            <m:sSub>
              <m:sSubPr>
                <m:ctrlPr>
                  <w:rPr>
                    <w:rFonts w:ascii="Cambria Math" w:hAnsi="Cambria Math"/>
                    <w:i/>
                  </w:rPr>
                </m:ctrlPr>
              </m:sSubPr>
              <m:e>
                <m:r>
                  <w:rPr>
                    <w:rFonts w:ascii="Cambria Math" w:hAnsi="Cambria Math"/>
                  </w:rPr>
                  <m:t>υ</m:t>
                </m:r>
              </m:e>
              <m:sub>
                <m:r>
                  <w:rPr>
                    <w:rFonts w:ascii="Cambria Math" w:hAnsi="Cambria Math"/>
                  </w:rPr>
                  <m:t>ch</m:t>
                </m:r>
              </m:sub>
            </m:sSub>
          </m:e>
          <m:e>
            <m:sSub>
              <m:sSubPr>
                <m:ctrlPr>
                  <w:rPr>
                    <w:rFonts w:ascii="Cambria Math" w:hAnsi="Cambria Math"/>
                    <w:i/>
                  </w:rPr>
                </m:ctrlPr>
              </m:sSubPr>
              <m:e>
                <m:r>
                  <w:rPr>
                    <w:rFonts w:ascii="Cambria Math" w:hAnsi="Cambria Math"/>
                  </w:rPr>
                  <m:t>z</m:t>
                </m:r>
              </m:e>
              <m:sub>
                <m:r>
                  <w:rPr>
                    <w:rFonts w:ascii="Cambria Math" w:hAnsi="Cambria Math"/>
                  </w:rPr>
                  <m:t>ch</m:t>
                </m:r>
              </m:sub>
            </m:sSub>
          </m:e>
        </m:d>
        <m:r>
          <w:rPr>
            <w:rFonts w:ascii="Cambria Math" w:hAnsi="Cambria Math"/>
          </w:rPr>
          <m:t>=0</m:t>
        </m:r>
      </m:oMath>
      <w:r>
        <w:t xml:space="preserve">. For initial estimation of </w:t>
      </w:r>
      <w:r w:rsidR="00E95C2A">
        <w:fldChar w:fldCharType="begin"/>
      </w:r>
      <w:r w:rsidR="00E95C2A">
        <w:instrText xml:space="preserve"> REF _Ref297543932 \h </w:instrText>
      </w:r>
      <w:r w:rsidR="00E95C2A">
        <w:fldChar w:fldCharType="separate"/>
      </w:r>
      <w:r w:rsidR="00BB06E6" w:rsidRPr="00A30D83">
        <w:t>(</w:t>
      </w:r>
      <w:r w:rsidR="00BB06E6">
        <w:rPr>
          <w:noProof/>
        </w:rPr>
        <w:t>11</w:t>
      </w:r>
      <w:r w:rsidR="00BB06E6" w:rsidRPr="00A30D83">
        <w:t>)</w:t>
      </w:r>
      <w:r w:rsidR="00E95C2A">
        <w:fldChar w:fldCharType="end"/>
      </w:r>
      <w:r>
        <w:t xml:space="preserve">,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t xml:space="preserve"> is identical </w:t>
      </w:r>
      <w:r w:rsidRPr="007B1C98">
        <w:t xml:space="preserve">to </w:t>
      </w:r>
      <m:oMath>
        <m:sSub>
          <m:sSubPr>
            <m:ctrlPr>
              <w:rPr>
                <w:rFonts w:ascii="Cambria Math" w:hAnsi="Cambria Math"/>
                <w:i/>
              </w:rPr>
            </m:ctrlPr>
          </m:sSubPr>
          <m:e>
            <m:r>
              <w:rPr>
                <w:rFonts w:ascii="Cambria Math" w:hAnsi="Cambria Math"/>
              </w:rPr>
              <m:t>x</m:t>
            </m:r>
          </m:e>
          <m:sub>
            <m:r>
              <w:rPr>
                <w:rFonts w:ascii="Cambria Math" w:hAnsi="Cambria Math"/>
              </w:rPr>
              <m:t>ch</m:t>
            </m:r>
          </m:sub>
        </m:sSub>
      </m:oMath>
      <w:r w:rsidRPr="007B1C98">
        <w:t xml:space="preserve"> from</w:t>
      </w:r>
      <w:r w:rsidR="00E95C2A">
        <w:t xml:space="preserve"> </w:t>
      </w:r>
      <w:r w:rsidR="00E95C2A">
        <w:fldChar w:fldCharType="begin"/>
      </w:r>
      <w:r w:rsidR="00E95C2A">
        <w:instrText xml:space="preserve"> REF _Ref297467340 \h </w:instrText>
      </w:r>
      <w:r w:rsidR="00E95C2A">
        <w:fldChar w:fldCharType="separate"/>
      </w:r>
      <w:r w:rsidR="00BB06E6" w:rsidRPr="00A30D83">
        <w:t>(</w:t>
      </w:r>
      <w:r w:rsidR="00BB06E6">
        <w:rPr>
          <w:noProof/>
        </w:rPr>
        <w:t>1</w:t>
      </w:r>
      <w:r w:rsidR="00BB06E6" w:rsidRPr="00A30D83">
        <w:t>)</w:t>
      </w:r>
      <w:r w:rsidR="00E95C2A">
        <w:fldChar w:fldCharType="end"/>
      </w:r>
      <w:r w:rsidRPr="007B1C98">
        <w:t>.</w:t>
      </w:r>
      <w:r>
        <w:t xml:space="preserve"> Any characteristics with coefficient estimates not significant at the 10% level are then dropped from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rsidR="004712B8">
        <w:t xml:space="preserve"> and</w:t>
      </w:r>
      <w:r>
        <w:t xml:space="preserve"> </w:t>
      </w:r>
      <w:r w:rsidR="00E95C2A">
        <w:fldChar w:fldCharType="begin"/>
      </w:r>
      <w:r w:rsidR="00E95C2A">
        <w:instrText xml:space="preserve"> REF _Ref297543932 \h </w:instrText>
      </w:r>
      <w:r w:rsidR="00E95C2A">
        <w:fldChar w:fldCharType="separate"/>
      </w:r>
      <w:r w:rsidR="00BB06E6" w:rsidRPr="00A30D83">
        <w:t>(</w:t>
      </w:r>
      <w:r w:rsidR="00BB06E6">
        <w:rPr>
          <w:noProof/>
        </w:rPr>
        <w:t>11</w:t>
      </w:r>
      <w:r w:rsidR="00BB06E6" w:rsidRPr="00A30D83">
        <w:t>)</w:t>
      </w:r>
      <w:r w:rsidR="00E95C2A">
        <w:fldChar w:fldCharType="end"/>
      </w:r>
      <w:r>
        <w:t xml:space="preserve"> is re-estimated using the pared-down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t xml:space="preserve">. Using the estimated </w:t>
      </w:r>
      <m:oMath>
        <m:acc>
          <m:accPr>
            <m:ctrlPr>
              <w:rPr>
                <w:rFonts w:ascii="Cambria Math" w:hAnsi="Cambria Math"/>
                <w:i/>
              </w:rPr>
            </m:ctrlPr>
          </m:accPr>
          <m:e>
            <m:r>
              <w:rPr>
                <w:rFonts w:ascii="Cambria Math" w:hAnsi="Cambria Math"/>
              </w:rPr>
              <m:t>α</m:t>
            </m:r>
          </m:e>
        </m:acc>
      </m:oMath>
      <w:r>
        <w:t xml:space="preserve"> vector from </w:t>
      </w:r>
      <w:r w:rsidR="00E95C2A">
        <w:fldChar w:fldCharType="begin"/>
      </w:r>
      <w:r w:rsidR="00E95C2A">
        <w:instrText xml:space="preserve"> REF _Ref297543932 \h </w:instrText>
      </w:r>
      <w:r w:rsidR="00E95C2A">
        <w:fldChar w:fldCharType="separate"/>
      </w:r>
      <w:r w:rsidR="00BB06E6" w:rsidRPr="00A30D83">
        <w:t>(</w:t>
      </w:r>
      <w:r w:rsidR="00BB06E6">
        <w:rPr>
          <w:noProof/>
        </w:rPr>
        <w:t>11</w:t>
      </w:r>
      <w:r w:rsidR="00BB06E6" w:rsidRPr="00A30D83">
        <w:t>)</w:t>
      </w:r>
      <w:r w:rsidR="00E95C2A">
        <w:fldChar w:fldCharType="end"/>
      </w:r>
      <w:r>
        <w:t xml:space="preserve"> and the assumed </w:t>
      </w:r>
      <w:r w:rsidRPr="00FB6E31">
        <w:rPr>
          <w:i/>
        </w:rPr>
        <w:t>A</w:t>
      </w:r>
      <w:r>
        <w:t xml:space="preserve"> and </w:t>
      </w:r>
      <w:r w:rsidRPr="00FB6E31">
        <w:rPr>
          <w:i/>
        </w:rPr>
        <w:t>B</w:t>
      </w:r>
      <w:r>
        <w:t xml:space="preserve">, the variance of each household’s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t xml:space="preserve"> is predicted using </w:t>
      </w:r>
      <w:r w:rsidR="005924CE">
        <w:fldChar w:fldCharType="begin"/>
      </w:r>
      <w:r w:rsidR="005924CE">
        <w:instrText xml:space="preserve"> REF _Ref297469962 \h </w:instrText>
      </w:r>
      <w:r w:rsidR="005924CE">
        <w:fldChar w:fldCharType="separate"/>
      </w:r>
      <w:r w:rsidR="00BB06E6" w:rsidRPr="00A30D83">
        <w:t>(</w:t>
      </w:r>
      <w:r w:rsidR="00BB06E6">
        <w:rPr>
          <w:noProof/>
        </w:rPr>
        <w:t>9</w:t>
      </w:r>
      <w:r w:rsidR="00BB06E6" w:rsidRPr="00A30D83">
        <w:t>)</w:t>
      </w:r>
      <w:r w:rsidR="005924CE">
        <w:fldChar w:fldCharType="end"/>
      </w:r>
      <w:r>
        <w:t>.</w:t>
      </w:r>
    </w:p>
    <w:p w14:paraId="4463B3D9" w14:textId="623D175A" w:rsidR="00E46BD5" w:rsidRDefault="00E46BD5" w:rsidP="00E46BD5">
      <w:pPr>
        <w:spacing w:line="480" w:lineRule="auto"/>
      </w:pPr>
      <w:r>
        <w:tab/>
        <w:t xml:space="preserve">Having estimated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oMath>
      <w:r>
        <w:t xml:space="preserve"> and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oMath>
      <w:r>
        <w:t>, the estimated variance-covariance matrix in</w:t>
      </w:r>
      <w:r w:rsidR="00D943BD">
        <w:t xml:space="preserve"> </w:t>
      </w:r>
      <w:r w:rsidR="00D943BD">
        <w:fldChar w:fldCharType="begin"/>
      </w:r>
      <w:r w:rsidR="00D943BD">
        <w:instrText xml:space="preserve"> REF _Ref297467773 \h </w:instrText>
      </w:r>
      <w:r w:rsidR="00D943BD">
        <w:fldChar w:fldCharType="separate"/>
      </w:r>
      <w:r w:rsidR="00BB06E6" w:rsidRPr="00A30D83">
        <w:t>(</w:t>
      </w:r>
      <w:r w:rsidR="00BB06E6">
        <w:rPr>
          <w:noProof/>
        </w:rPr>
        <w:t>2</w:t>
      </w:r>
      <w:r w:rsidR="00BB06E6" w:rsidRPr="00A30D83">
        <w:t>)</w:t>
      </w:r>
      <w:r w:rsidR="00D943BD">
        <w:fldChar w:fldCharType="end"/>
      </w:r>
      <w:r w:rsidR="00D943BD">
        <w:t xml:space="preserve"> </w:t>
      </w:r>
      <w:r>
        <w:t xml:space="preserve">for the households </w:t>
      </w:r>
      <w:proofErr w:type="gramStart"/>
      <w:r>
        <w:t>in a given</w:t>
      </w:r>
      <w:proofErr w:type="gramEnd"/>
      <w:r>
        <w:t xml:space="preserve"> cluster </w:t>
      </w:r>
      <w:r>
        <w:rPr>
          <w:i/>
        </w:rPr>
        <w:t xml:space="preserve">c </w:t>
      </w:r>
      <w:r>
        <w:t>is given by:</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681"/>
      </w:tblGrid>
      <w:tr w:rsidR="0023336F" w:rsidRPr="002C1CBF" w14:paraId="5F1C4219" w14:textId="2F85630D" w:rsidTr="001916D2">
        <w:tc>
          <w:tcPr>
            <w:tcW w:w="2500" w:type="pct"/>
            <w:vAlign w:val="center"/>
          </w:tcPr>
          <w:p w14:paraId="119402B1" w14:textId="77777777" w:rsidR="0023336F" w:rsidRPr="002C1CBF" w:rsidRDefault="0023336F" w:rsidP="00E46BD5">
            <w:pPr>
              <w:jc w:val="center"/>
            </w:pPr>
            <m:oMathPara>
              <m:oMath>
                <m:r>
                  <w:rPr>
                    <w:rFonts w:ascii="Cambria Math" w:hAnsi="Cambria Math"/>
                  </w:rPr>
                  <m:t xml:space="preserve">∑= </m:t>
                </m:r>
                <m:d>
                  <m:dPr>
                    <m:begChr m:val="["/>
                    <m:endChr m:val="]"/>
                    <m:ctrlPr>
                      <w:rPr>
                        <w:rFonts w:ascii="Cambria Math" w:hAnsi="Cambria Math"/>
                        <w:i/>
                      </w:rPr>
                    </m:ctrlPr>
                  </m:dPr>
                  <m:e>
                    <m:m>
                      <m:mPr>
                        <m:mcs>
                          <m:mc>
                            <m:mcPr>
                              <m:count m:val="4"/>
                              <m:mcJc m:val="center"/>
                            </m:mcPr>
                          </m:mc>
                        </m:mcs>
                        <m:ctrlPr>
                          <w:rPr>
                            <w:rFonts w:ascii="Cambria Math" w:hAnsi="Cambria Math"/>
                            <w:i/>
                          </w:rPr>
                        </m:ctrlPr>
                      </m:mPr>
                      <m:mr>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r>
                            <w:rPr>
                              <w:rFonts w:ascii="Cambria Math" w:hAnsi="Cambria Math"/>
                            </w:rPr>
                            <m:t>+</m:t>
                          </m:r>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e>
                        <m:e>
                          <m:r>
                            <w:rPr>
                              <w:rFonts w:ascii="Cambria Math" w:hAnsi="Cambria Math"/>
                            </w:rPr>
                            <m:t>…</m:t>
                          </m:r>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ctrlPr>
                            <w:rPr>
                              <w:rFonts w:ascii="Cambria Math" w:eastAsia="Cambria Math" w:hAnsi="Cambria Math" w:cs="Cambria Math"/>
                              <w:i/>
                            </w:rPr>
                          </m:ctrlPr>
                        </m:e>
                      </m:mr>
                      <m:mr>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r>
                            <w:rPr>
                              <w:rFonts w:ascii="Cambria Math" w:hAnsi="Cambria Math"/>
                            </w:rPr>
                            <m:t>+</m:t>
                          </m:r>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e>
                        <m:e>
                          <m:r>
                            <w:rPr>
                              <w:rFonts w:ascii="Cambria Math" w:hAnsi="Cambria Math"/>
                            </w:rPr>
                            <m:t>…</m:t>
                          </m:r>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ctrlPr>
                            <w:rPr>
                              <w:rFonts w:ascii="Cambria Math" w:eastAsia="Cambria Math" w:hAnsi="Cambria Math" w:cs="Cambria Math"/>
                              <w:i/>
                            </w:rPr>
                          </m:ctrlPr>
                        </m:e>
                      </m:mr>
                      <m:mr>
                        <m:e>
                          <m:r>
                            <w:rPr>
                              <w:rFonts w:ascii="Cambria Math" w:eastAsia="Cambria Math" w:hAnsi="Cambria Math" w:cs="Cambria Math"/>
                            </w:rPr>
                            <m:t>⋮</m:t>
                          </m:r>
                        </m:e>
                        <m:e>
                          <m:r>
                            <w:rPr>
                              <w:rFonts w:ascii="Cambria Math" w:hAnsi="Cambria Math"/>
                            </w:rPr>
                            <m:t>⋮</m:t>
                          </m:r>
                        </m:e>
                        <m:e>
                          <m:r>
                            <w:rPr>
                              <w:rFonts w:ascii="Cambria Math" w:hAnsi="Cambria Math"/>
                            </w:rPr>
                            <m:t>⋱</m:t>
                          </m:r>
                          <m:ctrlPr>
                            <w:rPr>
                              <w:rFonts w:ascii="Cambria Math" w:eastAsia="Cambria Math" w:hAnsi="Cambria Math" w:cs="Cambria Math"/>
                              <w:i/>
                            </w:rPr>
                          </m:ctrlPr>
                        </m:e>
                        <m:e>
                          <m:r>
                            <w:rPr>
                              <w:rFonts w:ascii="Cambria Math" w:eastAsia="Cambria Math" w:hAnsi="Cambria Math" w:cs="Cambria Math"/>
                            </w:rPr>
                            <m:t>⋮</m:t>
                          </m:r>
                          <m:ctrlPr>
                            <w:rPr>
                              <w:rFonts w:ascii="Cambria Math" w:eastAsia="Cambria Math" w:hAnsi="Cambria Math" w:cs="Cambria Math"/>
                              <w:i/>
                            </w:rPr>
                          </m:ctrlPr>
                        </m:e>
                      </m:mr>
                      <m:mr>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ctrlPr>
                            <w:rPr>
                              <w:rFonts w:ascii="Cambria Math" w:eastAsia="Cambria Math" w:hAnsi="Cambria Math" w:cs="Cambria Math"/>
                              <w:i/>
                            </w:rPr>
                          </m:ctrlPr>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ctrlPr>
                            <w:rPr>
                              <w:rFonts w:ascii="Cambria Math" w:eastAsia="Cambria Math" w:hAnsi="Cambria Math" w:cs="Cambria Math"/>
                              <w:i/>
                            </w:rPr>
                          </m:ctrlPr>
                        </m:e>
                        <m:e>
                          <m:r>
                            <w:rPr>
                              <w:rFonts w:ascii="Cambria Math" w:eastAsia="Cambria Math" w:hAnsi="Cambria Math" w:cs="Cambria Math"/>
                            </w:rPr>
                            <m:t>…</m:t>
                          </m:r>
                          <m:ctrlPr>
                            <w:rPr>
                              <w:rFonts w:ascii="Cambria Math" w:eastAsia="Cambria Math" w:hAnsi="Cambria Math" w:cs="Cambria Math"/>
                              <w:i/>
                            </w:rPr>
                          </m:ctrlPr>
                        </m:e>
                        <m:e>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r>
                            <w:rPr>
                              <w:rFonts w:ascii="Cambria Math" w:hAnsi="Cambria Math"/>
                            </w:rPr>
                            <m:t>+</m:t>
                          </m:r>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r>
                                <w:rPr>
                                  <w:rFonts w:ascii="Cambria Math" w:hAnsi="Cambria Math"/>
                                </w:rPr>
                                <m:t>η</m:t>
                              </m:r>
                            </m:sub>
                            <m:sup>
                              <m:r>
                                <w:rPr>
                                  <w:rFonts w:ascii="Cambria Math" w:hAnsi="Cambria Math"/>
                                </w:rPr>
                                <m:t>2</m:t>
                              </m:r>
                            </m:sup>
                          </m:sSubSup>
                        </m:e>
                      </m:mr>
                    </m:m>
                  </m:e>
                </m:d>
              </m:oMath>
            </m:oMathPara>
          </w:p>
        </w:tc>
        <w:tc>
          <w:tcPr>
            <w:tcW w:w="2500" w:type="pct"/>
            <w:vAlign w:val="center"/>
          </w:tcPr>
          <w:p w14:paraId="047DDE9F" w14:textId="6FE2EBF0" w:rsidR="0023336F" w:rsidRDefault="0023336F" w:rsidP="0023336F">
            <w:pPr>
              <w:jc w:val="right"/>
              <w:rPr>
                <w:rFonts w:eastAsia="Calibri"/>
              </w:rPr>
            </w:pPr>
            <w:bookmarkStart w:id="10" w:name="_Ref297544170"/>
            <w:r w:rsidRPr="00A30D83">
              <w:t>(</w:t>
            </w:r>
            <w:fldSimple w:instr=" SEQ Equation \* ARABIC ">
              <w:r w:rsidR="00BB06E6">
                <w:rPr>
                  <w:noProof/>
                </w:rPr>
                <w:t>12</w:t>
              </w:r>
            </w:fldSimple>
            <w:r w:rsidRPr="00A30D83">
              <w:t>)</w:t>
            </w:r>
            <w:bookmarkEnd w:id="10"/>
          </w:p>
        </w:tc>
      </w:tr>
      <w:tr w:rsidR="0023336F" w:rsidRPr="002C1CBF" w14:paraId="1432FA72" w14:textId="459F9F63" w:rsidTr="001916D2">
        <w:tc>
          <w:tcPr>
            <w:tcW w:w="2500" w:type="pct"/>
            <w:vAlign w:val="center"/>
          </w:tcPr>
          <w:p w14:paraId="2087C8E7" w14:textId="77777777" w:rsidR="0023336F" w:rsidRDefault="0023336F" w:rsidP="00E46BD5">
            <w:pPr>
              <w:jc w:val="center"/>
              <w:rPr>
                <w:rFonts w:eastAsia="MS Mincho"/>
              </w:rPr>
            </w:pPr>
          </w:p>
        </w:tc>
        <w:tc>
          <w:tcPr>
            <w:tcW w:w="2500" w:type="pct"/>
            <w:vAlign w:val="center"/>
          </w:tcPr>
          <w:p w14:paraId="77BF9E9B" w14:textId="77777777" w:rsidR="0023336F" w:rsidRDefault="0023336F" w:rsidP="00E46BD5">
            <w:pPr>
              <w:jc w:val="center"/>
              <w:rPr>
                <w:rFonts w:eastAsia="MS Mincho"/>
              </w:rPr>
            </w:pPr>
          </w:p>
        </w:tc>
      </w:tr>
    </w:tbl>
    <w:p w14:paraId="2EF6364E" w14:textId="77777777" w:rsidR="00E46BD5" w:rsidRDefault="00E46BD5" w:rsidP="00E46BD5">
      <w:pPr>
        <w:spacing w:line="480" w:lineRule="auto"/>
      </w:pPr>
      <w:r>
        <w:t xml:space="preserve">Since all the error components are assumed to be independent, the covariance between households in different clusters is zero. Therefore, the full estimated variance-covariance matrix for all </w:t>
      </w:r>
      <w:r w:rsidRPr="002B0402">
        <w:rPr>
          <w:i/>
        </w:rPr>
        <w:t>N</w:t>
      </w:r>
      <w:r>
        <w:rPr>
          <w:i/>
        </w:rPr>
        <w:t xml:space="preserve"> </w:t>
      </w:r>
      <w:r>
        <w:t>observations is given by</w:t>
      </w:r>
      <w:r w:rsidRPr="002B0402">
        <w:t>:</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681"/>
      </w:tblGrid>
      <w:tr w:rsidR="00F33CC2" w:rsidRPr="002C1CBF" w14:paraId="4B678F3F" w14:textId="1129DCBE" w:rsidTr="00F33CC2">
        <w:tc>
          <w:tcPr>
            <w:tcW w:w="2500" w:type="pct"/>
            <w:vAlign w:val="center"/>
          </w:tcPr>
          <w:p w14:paraId="0343FF14" w14:textId="77777777" w:rsidR="00F33CC2" w:rsidRPr="002C1CBF" w:rsidRDefault="00F33CC2" w:rsidP="00E46BD5">
            <w:pPr>
              <w:jc w:val="center"/>
            </w:pPr>
            <m:oMathPara>
              <m:oMath>
                <m:r>
                  <m:rPr>
                    <m:sty m:val="p"/>
                  </m:rPr>
                  <w:rPr>
                    <w:rFonts w:ascii="Cambria Math" w:hAnsi="Cambria Math"/>
                  </w:rPr>
                  <m:t>Ω</m:t>
                </m:r>
                <m:r>
                  <w:rPr>
                    <w:rFonts w:ascii="Cambria Math" w:hAnsi="Cambria Math"/>
                  </w:rPr>
                  <m:t xml:space="preserve">= </m:t>
                </m:r>
                <m:d>
                  <m:dPr>
                    <m:begChr m:val="["/>
                    <m:endChr m:val="]"/>
                    <m:ctrlPr>
                      <w:rPr>
                        <w:rFonts w:ascii="Cambria Math" w:hAnsi="Cambria Math"/>
                        <w:i/>
                      </w:rPr>
                    </m:ctrlPr>
                  </m:dPr>
                  <m:e>
                    <m:m>
                      <m:mPr>
                        <m:mcs>
                          <m:mc>
                            <m:mcPr>
                              <m:count m:val="4"/>
                              <m:mcJc m:val="center"/>
                            </m:mcPr>
                          </m:mc>
                        </m:mcs>
                        <m:ctrlPr>
                          <w:rPr>
                            <w:rFonts w:ascii="Cambria Math" w:hAnsi="Cambria Math"/>
                            <w:i/>
                          </w:rPr>
                        </m:ctrlPr>
                      </m:mPr>
                      <m:mr>
                        <m:e>
                          <m:r>
                            <w:rPr>
                              <w:rFonts w:ascii="Cambria Math" w:hAnsi="Cambria Math"/>
                            </w:rPr>
                            <m:t>∑</m:t>
                          </m:r>
                        </m:e>
                        <m:e>
                          <m:r>
                            <w:rPr>
                              <w:rFonts w:ascii="Cambria Math" w:hAnsi="Cambria Math"/>
                            </w:rPr>
                            <m:t>0</m:t>
                          </m:r>
                        </m:e>
                        <m:e>
                          <m:r>
                            <w:rPr>
                              <w:rFonts w:ascii="Cambria Math" w:hAnsi="Cambria Math"/>
                            </w:rPr>
                            <m:t>…</m:t>
                          </m:r>
                        </m:e>
                        <m:e>
                          <m:r>
                            <w:rPr>
                              <w:rFonts w:ascii="Cambria Math" w:hAnsi="Cambria Math"/>
                            </w:rPr>
                            <m:t>0</m:t>
                          </m:r>
                          <m:ctrlPr>
                            <w:rPr>
                              <w:rFonts w:ascii="Cambria Math" w:eastAsia="Cambria Math" w:hAnsi="Cambria Math" w:cs="Cambria Math"/>
                              <w:i/>
                            </w:rPr>
                          </m:ctrlPr>
                        </m:e>
                      </m:mr>
                      <m:mr>
                        <m:e>
                          <m:r>
                            <w:rPr>
                              <w:rFonts w:ascii="Cambria Math" w:hAnsi="Cambria Math"/>
                            </w:rPr>
                            <m:t>0</m:t>
                          </m:r>
                        </m:e>
                        <m:e>
                          <m:r>
                            <w:rPr>
                              <w:rFonts w:ascii="Cambria Math" w:hAnsi="Cambria Math"/>
                            </w:rPr>
                            <m:t>∑</m:t>
                          </m:r>
                        </m:e>
                        <m:e>
                          <m:r>
                            <w:rPr>
                              <w:rFonts w:ascii="Cambria Math" w:hAnsi="Cambria Math"/>
                            </w:rPr>
                            <m:t>…</m:t>
                          </m:r>
                        </m:e>
                        <m:e>
                          <m:r>
                            <w:rPr>
                              <w:rFonts w:ascii="Cambria Math" w:hAnsi="Cambria Math"/>
                            </w:rPr>
                            <m:t>0</m:t>
                          </m:r>
                          <m:ctrlPr>
                            <w:rPr>
                              <w:rFonts w:ascii="Cambria Math" w:eastAsia="Cambria Math" w:hAnsi="Cambria Math" w:cs="Cambria Math"/>
                              <w:i/>
                            </w:rPr>
                          </m:ctrlPr>
                        </m:e>
                      </m:mr>
                      <m:mr>
                        <m:e>
                          <m:r>
                            <w:rPr>
                              <w:rFonts w:ascii="Cambria Math" w:eastAsia="Cambria Math" w:hAnsi="Cambria Math" w:cs="Cambria Math"/>
                            </w:rPr>
                            <m:t>⋮</m:t>
                          </m:r>
                        </m:e>
                        <m:e>
                          <m:r>
                            <w:rPr>
                              <w:rFonts w:ascii="Cambria Math" w:hAnsi="Cambria Math"/>
                            </w:rPr>
                            <m:t>⋮</m:t>
                          </m:r>
                        </m:e>
                        <m:e>
                          <m:r>
                            <w:rPr>
                              <w:rFonts w:ascii="Cambria Math" w:hAnsi="Cambria Math"/>
                            </w:rPr>
                            <m:t>⋱</m:t>
                          </m:r>
                          <m:ctrlPr>
                            <w:rPr>
                              <w:rFonts w:ascii="Cambria Math" w:eastAsia="Cambria Math" w:hAnsi="Cambria Math" w:cs="Cambria Math"/>
                              <w:i/>
                            </w:rPr>
                          </m:ctrlPr>
                        </m:e>
                        <m:e>
                          <m:r>
                            <w:rPr>
                              <w:rFonts w:ascii="Cambria Math" w:eastAsia="Cambria Math" w:hAnsi="Cambria Math" w:cs="Cambria Math"/>
                            </w:rPr>
                            <m:t>⋮</m:t>
                          </m:r>
                          <m:ctrlPr>
                            <w:rPr>
                              <w:rFonts w:ascii="Cambria Math" w:eastAsia="Cambria Math" w:hAnsi="Cambria Math" w:cs="Cambria Math"/>
                              <w:i/>
                            </w:rPr>
                          </m:ctrlPr>
                        </m:e>
                      </m:mr>
                      <m:mr>
                        <m:e>
                          <m:r>
                            <w:rPr>
                              <w:rFonts w:ascii="Cambria Math" w:hAnsi="Cambria Math"/>
                            </w:rPr>
                            <m:t>0</m:t>
                          </m:r>
                          <m:ctrlPr>
                            <w:rPr>
                              <w:rFonts w:ascii="Cambria Math" w:eastAsia="Cambria Math" w:hAnsi="Cambria Math" w:cs="Cambria Math"/>
                              <w:i/>
                            </w:rPr>
                          </m:ctrlP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m:t>
                          </m:r>
                          <m:ctrlPr>
                            <w:rPr>
                              <w:rFonts w:ascii="Cambria Math" w:eastAsia="Cambria Math" w:hAnsi="Cambria Math" w:cs="Cambria Math"/>
                              <w:i/>
                            </w:rPr>
                          </m:ctrlPr>
                        </m:e>
                        <m:e>
                          <m:r>
                            <w:rPr>
                              <w:rFonts w:ascii="Cambria Math" w:hAnsi="Cambria Math"/>
                            </w:rPr>
                            <m:t>∑</m:t>
                          </m:r>
                        </m:e>
                      </m:mr>
                    </m:m>
                  </m:e>
                </m:d>
              </m:oMath>
            </m:oMathPara>
          </w:p>
        </w:tc>
        <w:tc>
          <w:tcPr>
            <w:tcW w:w="2500" w:type="pct"/>
            <w:vAlign w:val="center"/>
          </w:tcPr>
          <w:p w14:paraId="68AD026E" w14:textId="44F13240" w:rsidR="00F33CC2" w:rsidRDefault="00F33CC2" w:rsidP="00F33CC2">
            <w:pPr>
              <w:jc w:val="right"/>
              <w:rPr>
                <w:rFonts w:eastAsia="Calibri"/>
              </w:rPr>
            </w:pPr>
            <w:r w:rsidRPr="00A30D83">
              <w:t>(</w:t>
            </w:r>
            <w:fldSimple w:instr=" SEQ Equation \* ARABIC ">
              <w:r w:rsidR="00BB06E6">
                <w:rPr>
                  <w:noProof/>
                </w:rPr>
                <w:t>13</w:t>
              </w:r>
            </w:fldSimple>
            <w:r w:rsidRPr="00A30D83">
              <w:t>)</w:t>
            </w:r>
          </w:p>
        </w:tc>
      </w:tr>
      <w:tr w:rsidR="00F33CC2" w:rsidRPr="002C1CBF" w14:paraId="0C3CCBFB" w14:textId="1B3A146D" w:rsidTr="00F33CC2">
        <w:tc>
          <w:tcPr>
            <w:tcW w:w="2500" w:type="pct"/>
            <w:vAlign w:val="center"/>
          </w:tcPr>
          <w:p w14:paraId="3C2901F4" w14:textId="77777777" w:rsidR="00F33CC2" w:rsidRDefault="00F33CC2" w:rsidP="00E46BD5">
            <w:pPr>
              <w:jc w:val="center"/>
              <w:rPr>
                <w:rFonts w:eastAsia="MS Mincho"/>
              </w:rPr>
            </w:pPr>
          </w:p>
        </w:tc>
        <w:tc>
          <w:tcPr>
            <w:tcW w:w="2500" w:type="pct"/>
            <w:vAlign w:val="center"/>
          </w:tcPr>
          <w:p w14:paraId="39FB238A" w14:textId="77777777" w:rsidR="00F33CC2" w:rsidRDefault="00F33CC2" w:rsidP="00E46BD5">
            <w:pPr>
              <w:jc w:val="center"/>
              <w:rPr>
                <w:rFonts w:eastAsia="MS Mincho"/>
              </w:rPr>
            </w:pPr>
          </w:p>
        </w:tc>
      </w:tr>
    </w:tbl>
    <w:p w14:paraId="1ADDBD38" w14:textId="1DEA98B3" w:rsidR="00E46BD5" w:rsidRDefault="00E46BD5" w:rsidP="0038387E">
      <w:pPr>
        <w:spacing w:line="480" w:lineRule="auto"/>
      </w:pPr>
      <w:r>
        <w:t xml:space="preserve">where the </w:t>
      </w:r>
      <m:oMath>
        <m:r>
          <w:rPr>
            <w:rFonts w:ascii="Cambria Math" w:hAnsi="Cambria Math"/>
          </w:rPr>
          <m:t>∑</m:t>
        </m:r>
      </m:oMath>
      <w:r>
        <w:t xml:space="preserve"> matrices for each cluster are as defined </w:t>
      </w:r>
      <w:r w:rsidRPr="003973E8">
        <w:t xml:space="preserve">in </w:t>
      </w:r>
      <w:r w:rsidR="006676DE" w:rsidRPr="003973E8">
        <w:fldChar w:fldCharType="begin"/>
      </w:r>
      <w:r w:rsidR="006676DE" w:rsidRPr="003973E8">
        <w:instrText xml:space="preserve"> REF _Ref297544170 \h </w:instrText>
      </w:r>
      <w:r w:rsidR="006676DE" w:rsidRPr="003973E8">
        <w:fldChar w:fldCharType="separate"/>
      </w:r>
      <w:r w:rsidR="00BB06E6" w:rsidRPr="00A30D83">
        <w:t>(</w:t>
      </w:r>
      <w:r w:rsidR="00BB06E6">
        <w:rPr>
          <w:noProof/>
        </w:rPr>
        <w:t>12</w:t>
      </w:r>
      <w:r w:rsidR="00BB06E6" w:rsidRPr="00A30D83">
        <w:t>)</w:t>
      </w:r>
      <w:r w:rsidR="006676DE" w:rsidRPr="003973E8">
        <w:fldChar w:fldCharType="end"/>
      </w:r>
      <w:r w:rsidRPr="003973E8">
        <w:t xml:space="preserve"> </w:t>
      </w:r>
      <w:r w:rsidR="0038387E">
        <w:fldChar w:fldCharType="begin"/>
      </w:r>
      <w:r w:rsidR="0038387E">
        <w:instrText xml:space="preserve"> ADDIN EN.CITE &lt;EndNote&gt;&lt;Cite&gt;&lt;Author&gt;Greene&lt;/Author&gt;&lt;Year&gt;2012&lt;/Year&gt;&lt;RecNum&gt;24&lt;/RecNum&gt;&lt;DisplayText&gt;(Greene, 2012)&lt;/DisplayText&gt;&lt;record&gt;&lt;rec-number&gt;24&lt;/rec-number&gt;&lt;foreign-keys&gt;&lt;key app="EN" db-id="5fvtavdaavaz95e2zv0vf9wms90fv05av5se" timestamp="1481044055"&gt;24&lt;/key&gt;&lt;/foreign-keys&gt;&lt;ref-type name="Book"&gt;6&lt;/ref-type&gt;&lt;contributors&gt;&lt;authors&gt;&lt;author&gt;Greene, William H&lt;/author&gt;&lt;/authors&gt;&lt;/contributors&gt;&lt;titles&gt;&lt;title&gt;Econometric Analysis: Seventh Edition&lt;/title&gt;&lt;/titles&gt;&lt;dates&gt;&lt;year&gt;2012&lt;/year&gt;&lt;/dates&gt;&lt;pub-location&gt;Essex, England&lt;/pub-location&gt;&lt;publisher&gt;Pearson Education Limited &lt;/publisher&gt;&lt;urls&gt;&lt;/urls&gt;&lt;/record&gt;&lt;/Cite&gt;&lt;/EndNote&gt;</w:instrText>
      </w:r>
      <w:r w:rsidR="0038387E">
        <w:fldChar w:fldCharType="separate"/>
      </w:r>
      <w:r w:rsidR="0038387E">
        <w:rPr>
          <w:noProof/>
        </w:rPr>
        <w:t>(Greene, 2012)</w:t>
      </w:r>
      <w:r w:rsidR="0038387E">
        <w:fldChar w:fldCharType="end"/>
      </w:r>
      <w:r w:rsidRPr="003973E8">
        <w:t xml:space="preserve">. In the presence of non-spherical errors, Feasible Generalized Least Squares (FGLS) can provide more efficient </w:t>
      </w:r>
      <w:r w:rsidRPr="003973E8">
        <w:lastRenderedPageBreak/>
        <w:t xml:space="preserve">estimates of the </w:t>
      </w:r>
      <m:oMath>
        <m:r>
          <w:rPr>
            <w:rFonts w:ascii="Cambria Math" w:hAnsi="Cambria Math"/>
          </w:rPr>
          <m:t>β</m:t>
        </m:r>
      </m:oMath>
      <w:r w:rsidRPr="003973E8">
        <w:t xml:space="preserve"> vector in</w:t>
      </w:r>
      <w:r w:rsidR="00582FDC" w:rsidRPr="003973E8">
        <w:t xml:space="preserve"> </w:t>
      </w:r>
      <w:r w:rsidR="00582FDC" w:rsidRPr="003973E8">
        <w:fldChar w:fldCharType="begin"/>
      </w:r>
      <w:r w:rsidR="00582FDC" w:rsidRPr="003973E8">
        <w:instrText xml:space="preserve"> REF _Ref297467773 \h </w:instrText>
      </w:r>
      <w:r w:rsidR="00582FDC" w:rsidRPr="003973E8">
        <w:fldChar w:fldCharType="separate"/>
      </w:r>
      <w:r w:rsidR="00BB06E6" w:rsidRPr="00A30D83">
        <w:t>(</w:t>
      </w:r>
      <w:r w:rsidR="00BB06E6">
        <w:rPr>
          <w:noProof/>
        </w:rPr>
        <w:t>2</w:t>
      </w:r>
      <w:r w:rsidR="00BB06E6" w:rsidRPr="00A30D83">
        <w:t>)</w:t>
      </w:r>
      <w:r w:rsidR="00582FDC" w:rsidRPr="003973E8">
        <w:fldChar w:fldCharType="end"/>
      </w:r>
      <w:r w:rsidRPr="003973E8">
        <w:t xml:space="preserve"> than OLS </w:t>
      </w:r>
      <w:r w:rsidR="0038387E">
        <w:fldChar w:fldCharType="begin"/>
      </w:r>
      <w:r w:rsidR="0038387E">
        <w:instrText xml:space="preserve"> ADDIN EN.CITE &lt;EndNote&gt;&lt;Cite&gt;&lt;Author&gt;Greene&lt;/Author&gt;&lt;Year&gt;2012&lt;/Year&gt;&lt;RecNum&gt;24&lt;/RecNum&gt;&lt;DisplayText&gt;(Greene, 2012)&lt;/DisplayText&gt;&lt;record&gt;&lt;rec-number&gt;24&lt;/rec-number&gt;&lt;foreign-keys&gt;&lt;key app="EN" db-id="5fvtavdaavaz95e2zv0vf9wms90fv05av5se" timestamp="1481044055"&gt;24&lt;/key&gt;&lt;/foreign-keys&gt;&lt;ref-type name="Book"&gt;6&lt;/ref-type&gt;&lt;contributors&gt;&lt;authors&gt;&lt;author&gt;Greene, William H&lt;/author&gt;&lt;/authors&gt;&lt;/contributors&gt;&lt;titles&gt;&lt;title&gt;Econometric Analysis: Seventh Edition&lt;/title&gt;&lt;/titles&gt;&lt;dates&gt;&lt;year&gt;2012&lt;/year&gt;&lt;/dates&gt;&lt;pub-location&gt;Essex, England&lt;/pub-location&gt;&lt;publisher&gt;Pearson Education Limited &lt;/publisher&gt;&lt;urls&gt;&lt;/urls&gt;&lt;/record&gt;&lt;/Cite&gt;&lt;/EndNote&gt;</w:instrText>
      </w:r>
      <w:r w:rsidR="0038387E">
        <w:fldChar w:fldCharType="separate"/>
      </w:r>
      <w:r w:rsidR="0038387E">
        <w:rPr>
          <w:noProof/>
        </w:rPr>
        <w:t>(Greene, 2012)</w:t>
      </w:r>
      <w:r w:rsidR="0038387E">
        <w:fldChar w:fldCharType="end"/>
      </w:r>
      <w:r w:rsidR="00027DFF">
        <w:t>.</w:t>
      </w:r>
      <w:r w:rsidRPr="003973E8">
        <w:t xml:space="preserve"> As this would allow for tighter predictions of household</w:t>
      </w:r>
      <w:r>
        <w:t xml:space="preserve"> consumption per capita, the </w:t>
      </w:r>
      <m:oMath>
        <m:r>
          <w:rPr>
            <w:rFonts w:ascii="Cambria Math" w:hAnsi="Cambria Math"/>
          </w:rPr>
          <m:t>β</m:t>
        </m:r>
      </m:oMath>
      <w:r>
        <w:t xml:space="preserve"> vector from</w:t>
      </w:r>
      <w:r w:rsidR="00582FDC">
        <w:t xml:space="preserve"> </w:t>
      </w:r>
      <w:r w:rsidR="00582FDC">
        <w:fldChar w:fldCharType="begin"/>
      </w:r>
      <w:r w:rsidR="00582FDC">
        <w:instrText xml:space="preserve"> REF _Ref297467773 \h </w:instrText>
      </w:r>
      <w:r w:rsidR="00582FDC">
        <w:fldChar w:fldCharType="separate"/>
      </w:r>
      <w:r w:rsidR="00BB06E6" w:rsidRPr="00A30D83">
        <w:t>(</w:t>
      </w:r>
      <w:r w:rsidR="00BB06E6">
        <w:rPr>
          <w:noProof/>
        </w:rPr>
        <w:t>2</w:t>
      </w:r>
      <w:r w:rsidR="00BB06E6" w:rsidRPr="00A30D83">
        <w:t>)</w:t>
      </w:r>
      <w:r w:rsidR="00582FDC">
        <w:fldChar w:fldCharType="end"/>
      </w:r>
      <w:r>
        <w:t xml:space="preserve"> is re-estimated using the estimated variance-covariance matrix and FGLS. </w:t>
      </w:r>
      <w:r w:rsidRPr="003A396B">
        <w:t xml:space="preserve">To guard against potential violations of the error component assumptions used to derive the estimated </w:t>
      </w:r>
      <m:oMath>
        <m:r>
          <m:rPr>
            <m:sty m:val="p"/>
          </m:rPr>
          <w:rPr>
            <w:rFonts w:ascii="Cambria Math" w:hAnsi="Cambria Math"/>
          </w:rPr>
          <m:t>Ω</m:t>
        </m:r>
      </m:oMath>
      <w:r w:rsidRPr="003A396B">
        <w:t>, village-level cluster robust standard errors are reported along with the estimated FGLS coefficients.</w:t>
      </w:r>
    </w:p>
    <w:p w14:paraId="47B0D26D" w14:textId="3321093B" w:rsidR="00E46BD5" w:rsidRDefault="00E46BD5" w:rsidP="0038387E">
      <w:pPr>
        <w:spacing w:line="480" w:lineRule="auto"/>
        <w:ind w:firstLine="720"/>
      </w:pPr>
      <w:r>
        <w:t xml:space="preserve">Consistent and efficient estimation of the </w:t>
      </w:r>
      <m:oMath>
        <m:r>
          <w:rPr>
            <w:rFonts w:ascii="Cambria Math" w:hAnsi="Cambria Math"/>
          </w:rPr>
          <m:t>β</m:t>
        </m:r>
      </m:oMath>
      <w:r>
        <w:t xml:space="preserve"> vector and the associated fitted values, </w:t>
      </w:r>
      <m:oMath>
        <m:sSub>
          <m:sSubPr>
            <m:ctrlPr>
              <w:rPr>
                <w:rFonts w:ascii="Cambria Math" w:hAnsi="Cambria Math"/>
                <w:i/>
              </w:rPr>
            </m:ctrlPr>
          </m:sSubPr>
          <m:e>
            <m:r>
              <w:rPr>
                <w:rFonts w:ascii="Cambria Math" w:hAnsi="Cambria Math"/>
              </w:rPr>
              <m:t>x</m:t>
            </m:r>
          </m:e>
          <m:sub>
            <m:r>
              <w:rPr>
                <w:rFonts w:ascii="Cambria Math" w:hAnsi="Cambria Math"/>
              </w:rPr>
              <m:t>ch</m:t>
            </m:r>
          </m:sub>
        </m:sSub>
        <m:acc>
          <m:accPr>
            <m:ctrlPr>
              <w:rPr>
                <w:rFonts w:ascii="Cambria Math" w:hAnsi="Cambria Math"/>
                <w:i/>
              </w:rPr>
            </m:ctrlPr>
          </m:accPr>
          <m:e>
            <m:r>
              <w:rPr>
                <w:rFonts w:ascii="Cambria Math" w:hAnsi="Cambria Math"/>
              </w:rPr>
              <m:t>β</m:t>
            </m:r>
          </m:e>
        </m:acc>
      </m:oMath>
      <w:r>
        <w:t>, is not suf</w:t>
      </w:r>
      <w:r w:rsidR="0000443B">
        <w:t xml:space="preserve">ficient for estimating poverty </w:t>
      </w:r>
      <w:r>
        <w:t xml:space="preserve">since the </w:t>
      </w:r>
      <w:r w:rsidR="003F7778">
        <w:t>FGT</w:t>
      </w:r>
      <w:r w:rsidR="00EC7039">
        <w:t xml:space="preserve"> </w:t>
      </w:r>
      <w:r>
        <w:t xml:space="preserve">poverty indices are functions of the distribution of </w:t>
      </w:r>
      <m:oMath>
        <m:sSub>
          <m:sSubPr>
            <m:ctrlPr>
              <w:rPr>
                <w:rFonts w:ascii="Cambria Math" w:hAnsi="Cambria Math"/>
                <w:i/>
              </w:rPr>
            </m:ctrlPr>
          </m:sSubPr>
          <m:e>
            <m:r>
              <w:rPr>
                <w:rFonts w:ascii="Cambria Math" w:hAnsi="Cambria Math"/>
              </w:rPr>
              <m:t>y</m:t>
            </m:r>
          </m:e>
          <m:sub>
            <m:r>
              <w:rPr>
                <w:rFonts w:ascii="Cambria Math" w:hAnsi="Cambria Math"/>
              </w:rPr>
              <m:t>ch</m:t>
            </m:r>
          </m:sub>
        </m:sSub>
      </m:oMath>
      <w:r>
        <w:t xml:space="preserve"> and not its conditional </w:t>
      </w:r>
      <w:r w:rsidRPr="00B74BF1">
        <w:t xml:space="preserve">expectation </w:t>
      </w:r>
      <w:r w:rsidR="0038387E">
        <w:fldChar w:fldCharType="begin"/>
      </w:r>
      <w:r w:rsidR="0038387E">
        <w:instrText xml:space="preserve"> ADDIN EN.CITE &lt;EndNote&gt;&lt;Cite&gt;&lt;Author&gt;Tarozzi&lt;/Author&gt;&lt;Year&gt;2009&lt;/Year&gt;&lt;RecNum&gt;14&lt;/RecNum&gt;&lt;DisplayText&gt;(Tarozzi and Deaton, 2009)&lt;/DisplayText&gt;&lt;record&gt;&lt;rec-number&gt;14&lt;/rec-number&gt;&lt;foreign-keys&gt;&lt;key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38387E">
        <w:fldChar w:fldCharType="separate"/>
      </w:r>
      <w:r w:rsidR="0038387E">
        <w:rPr>
          <w:noProof/>
        </w:rPr>
        <w:t>(Tarozzi and Deaton, 2009)</w:t>
      </w:r>
      <w:r w:rsidR="0038387E">
        <w:fldChar w:fldCharType="end"/>
      </w:r>
      <w:r w:rsidRPr="00B74BF1">
        <w:t>. Therefore</w:t>
      </w:r>
      <w:r>
        <w:t xml:space="preserve">, </w:t>
      </w:r>
      <w:proofErr w:type="gramStart"/>
      <w:r>
        <w:t>in order to</w:t>
      </w:r>
      <w:proofErr w:type="gramEnd"/>
      <w:r>
        <w:t xml:space="preserve"> estimate </w:t>
      </w:r>
      <w:r w:rsidR="00522943">
        <w:t>d</w:t>
      </w:r>
      <w:r w:rsidR="00701639">
        <w:t>istrict-level</w:t>
      </w:r>
      <w:r>
        <w:t xml:space="preserve"> rural poverty indices, the distribution of </w:t>
      </w:r>
      <m:oMath>
        <m:sSub>
          <m:sSubPr>
            <m:ctrlPr>
              <w:rPr>
                <w:rFonts w:ascii="Cambria Math" w:hAnsi="Cambria Math"/>
                <w:i/>
              </w:rPr>
            </m:ctrlPr>
          </m:sSubPr>
          <m:e>
            <m:r>
              <w:rPr>
                <w:rFonts w:ascii="Cambria Math" w:hAnsi="Cambria Math"/>
              </w:rPr>
              <m:t>y</m:t>
            </m:r>
          </m:e>
          <m:sub>
            <m:r>
              <w:rPr>
                <w:rFonts w:ascii="Cambria Math" w:hAnsi="Cambria Math"/>
              </w:rPr>
              <m:t>ch</m:t>
            </m:r>
          </m:sub>
        </m:sSub>
      </m:oMath>
      <w:r>
        <w:t xml:space="preserve"> is simulat</w:t>
      </w:r>
      <w:r w:rsidR="00701639">
        <w:t>ed</w:t>
      </w:r>
      <w:r>
        <w:t xml:space="preserve">. These simulations are conducted using a modified version of residual bootstrapping </w:t>
      </w:r>
      <w:r w:rsidRPr="00F44C3A">
        <w:t>which takes into account the uncertainty in estimating the parameters, the within-cluster correlation of the error terms, and the heteroskedasticity in the household-specific error component</w:t>
      </w:r>
      <w:r w:rsidR="00193C3E">
        <w:t xml:space="preserve"> </w:t>
      </w:r>
      <w:r w:rsidR="00A73E57">
        <w:fldChar w:fldCharType="begin"/>
      </w:r>
      <w:r w:rsidR="00A463AE">
        <w:instrText xml:space="preserve"> ADDIN EN.CITE &lt;EndNote&gt;&lt;Cite&gt;&lt;Author&gt;Elbers&lt;/Author&gt;&lt;Year&gt;2003&lt;/Year&gt;&lt;RecNum&gt;21&lt;/RecNum&gt;&lt;DisplayText&gt;(Elbers, et al., 2003, Tarozzi and Deaton, 2009)&lt;/DisplayText&gt;&lt;record&gt;&lt;rec-number&gt;21&lt;/rec-number&gt;&lt;foreign-keys&gt;&lt;key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Cite&gt;&lt;Author&gt;Tarozzi&lt;/Author&gt;&lt;Year&gt;2009&lt;/Year&gt;&lt;RecNum&gt;14&lt;/RecNum&gt;&lt;record&gt;&lt;rec-number&gt;14&lt;/rec-number&gt;&lt;foreign-keys&gt;&lt;key app="EN" db-id="5fvtavdaavaz95e2zv0vf9wms90fv05av5se" timestamp="1477417909"&gt;14&lt;/key&gt;&lt;/foreign-keys&gt;&lt;ref-type name="Journal Article"&gt;17&lt;/ref-type&gt;&lt;contributors&gt;&lt;authors&gt;&lt;author&gt;Tarozzi, Alessandro&lt;/author&gt;&lt;author&gt;Deaton, Angus&lt;/author&gt;&lt;/authors&gt;&lt;/contributors&gt;&lt;titles&gt;&lt;title&gt;Using census and survey data to estimate poverty and inequality for small areas&lt;/title&gt;&lt;secondary-title&gt;The review of economics and statistics&lt;/secondary-title&gt;&lt;/titles&gt;&lt;periodical&gt;&lt;full-title&gt;The review of economics and statistics&lt;/full-title&gt;&lt;abbr-1&gt;Rev Econ Stat&lt;/abbr-1&gt;&lt;/periodical&gt;&lt;pages&gt;773-792&lt;/pages&gt;&lt;volume&gt;91&lt;/volume&gt;&lt;number&gt;4&lt;/number&gt;&lt;dates&gt;&lt;year&gt;2009&lt;/year&gt;&lt;/dates&gt;&lt;isbn&gt;0034-6535&lt;/isbn&gt;&lt;urls&gt;&lt;/urls&gt;&lt;/record&gt;&lt;/Cite&gt;&lt;/EndNote&gt;</w:instrText>
      </w:r>
      <w:r w:rsidR="00A73E57">
        <w:fldChar w:fldCharType="separate"/>
      </w:r>
      <w:r w:rsidR="00A463AE">
        <w:rPr>
          <w:noProof/>
        </w:rPr>
        <w:t>(Elbers, et al., 2003, Tarozzi and Deaton, 2009)</w:t>
      </w:r>
      <w:r w:rsidR="00A73E57">
        <w:fldChar w:fldCharType="end"/>
      </w:r>
      <w:r w:rsidR="008A6D23">
        <w:t xml:space="preserve">. </w:t>
      </w:r>
    </w:p>
    <w:p w14:paraId="65858B91" w14:textId="3E544AA3" w:rsidR="00E46BD5" w:rsidRDefault="00E46BD5" w:rsidP="00E46BD5">
      <w:pPr>
        <w:spacing w:line="480" w:lineRule="auto"/>
      </w:pPr>
      <w:r>
        <w:tab/>
        <w:t xml:space="preserve">Before beginning these simulations, new sets of the cluster-specific and household-specific random effects are prepared by decomposing </w:t>
      </w:r>
      <w:r w:rsidRPr="0060285A">
        <w:t xml:space="preserve">the residuals from the FGLS estimation into </w:t>
      </w:r>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oMath>
      <w:r w:rsidRPr="0060285A">
        <w:t xml:space="preserve"> and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rsidRPr="0060285A">
        <w:t xml:space="preserve"> as in </w:t>
      </w:r>
      <w:r w:rsidR="00836E20">
        <w:fldChar w:fldCharType="begin"/>
      </w:r>
      <w:r w:rsidR="00836E20">
        <w:instrText xml:space="preserve"> REF _Ref297468145 \h </w:instrText>
      </w:r>
      <w:r w:rsidR="00836E20">
        <w:fldChar w:fldCharType="separate"/>
      </w:r>
      <w:r w:rsidR="00BB06E6" w:rsidRPr="00A30D83">
        <w:t>(</w:t>
      </w:r>
      <w:r w:rsidR="00BB06E6">
        <w:rPr>
          <w:noProof/>
        </w:rPr>
        <w:t>3</w:t>
      </w:r>
      <w:r w:rsidR="00BB06E6" w:rsidRPr="00A30D83">
        <w:t>)</w:t>
      </w:r>
      <w:r w:rsidR="00836E20">
        <w:fldChar w:fldCharType="end"/>
      </w:r>
      <w:r>
        <w:t>. T</w:t>
      </w:r>
      <w:r w:rsidRPr="0060285A">
        <w:t>he</w:t>
      </w:r>
      <w:r>
        <w:t xml:space="preserve"> estimated</w:t>
      </w:r>
      <w:r w:rsidRPr="0060285A">
        <w:t xml:space="preserve"> </w:t>
      </w:r>
      <m:oMath>
        <m:acc>
          <m:accPr>
            <m:ctrlPr>
              <w:rPr>
                <w:rFonts w:ascii="Cambria Math" w:hAnsi="Cambria Math"/>
                <w:i/>
              </w:rPr>
            </m:ctrlPr>
          </m:accPr>
          <m:e>
            <m:r>
              <w:rPr>
                <w:rFonts w:ascii="Cambria Math" w:hAnsi="Cambria Math"/>
              </w:rPr>
              <m:t>α</m:t>
            </m:r>
          </m:e>
        </m:acc>
      </m:oMath>
      <w:r w:rsidRPr="0060285A">
        <w:t xml:space="preserve"> vector from </w:t>
      </w:r>
      <w:r w:rsidR="006676DE">
        <w:fldChar w:fldCharType="begin"/>
      </w:r>
      <w:r w:rsidR="006676DE">
        <w:instrText xml:space="preserve"> REF _Ref297543932 \h </w:instrText>
      </w:r>
      <w:r w:rsidR="006676DE">
        <w:fldChar w:fldCharType="separate"/>
      </w:r>
      <w:r w:rsidR="00BB06E6" w:rsidRPr="00A30D83">
        <w:t>(</w:t>
      </w:r>
      <w:r w:rsidR="00BB06E6">
        <w:rPr>
          <w:noProof/>
        </w:rPr>
        <w:t>11</w:t>
      </w:r>
      <w:r w:rsidR="00BB06E6" w:rsidRPr="00A30D83">
        <w:t>)</w:t>
      </w:r>
      <w:r w:rsidR="006676DE">
        <w:fldChar w:fldCharType="end"/>
      </w:r>
      <w:r w:rsidRPr="0060285A">
        <w:t xml:space="preserve"> and the set of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oMath>
      <w:r w:rsidRPr="0060285A">
        <w:t xml:space="preserve"> from </w:t>
      </w:r>
      <w:r w:rsidR="005924CE">
        <w:fldChar w:fldCharType="begin"/>
      </w:r>
      <w:r w:rsidR="005924CE">
        <w:instrText xml:space="preserve"> REF _Ref297469962 \h </w:instrText>
      </w:r>
      <w:r w:rsidR="005924CE">
        <w:fldChar w:fldCharType="separate"/>
      </w:r>
      <w:r w:rsidR="00BB06E6" w:rsidRPr="00A30D83">
        <w:t>(</w:t>
      </w:r>
      <w:r w:rsidR="00BB06E6">
        <w:rPr>
          <w:noProof/>
        </w:rPr>
        <w:t>9</w:t>
      </w:r>
      <w:r w:rsidR="00BB06E6" w:rsidRPr="00A30D83">
        <w:t>)</w:t>
      </w:r>
      <w:r w:rsidR="005924CE">
        <w:fldChar w:fldCharType="end"/>
      </w:r>
      <w:r w:rsidRPr="0060285A">
        <w:t xml:space="preserve"> are </w:t>
      </w:r>
      <w:r>
        <w:t xml:space="preserve">then </w:t>
      </w:r>
      <w:r w:rsidRPr="0060285A">
        <w:t>re-estimated using this new set of decomposed residuals and the p</w:t>
      </w:r>
      <w:r>
        <w:t xml:space="preserve">reviously described methods. The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t xml:space="preserve"> are standardized based on the new predictions of </w:t>
      </w:r>
      <m:oMath>
        <m:sSubSup>
          <m:sSubSupPr>
            <m:ctrlPr>
              <w:rPr>
                <w:rFonts w:ascii="Cambria Math" w:hAnsi="Cambria Math"/>
                <w:i/>
              </w:rPr>
            </m:ctrlPr>
          </m:sSubSupPr>
          <m:e>
            <m:r>
              <w:rPr>
                <w:rFonts w:ascii="Cambria Math" w:hAnsi="Cambria Math"/>
              </w:rPr>
              <m:t>σ</m:t>
            </m:r>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oMath>
      <w:r>
        <w:t xml:space="preserve"> as follows:</w:t>
      </w:r>
    </w:p>
    <w:tbl>
      <w:tblPr>
        <w:tblStyle w:val="TableGrid"/>
        <w:tblW w:w="500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1"/>
        <w:gridCol w:w="4681"/>
      </w:tblGrid>
      <w:tr w:rsidR="00A168E2" w:rsidRPr="002C1CBF" w14:paraId="60341A6E" w14:textId="7444C2B1" w:rsidTr="00A168E2">
        <w:tc>
          <w:tcPr>
            <w:tcW w:w="2500" w:type="pct"/>
            <w:vAlign w:val="center"/>
          </w:tcPr>
          <w:p w14:paraId="1F68AF5B" w14:textId="77777777" w:rsidR="00A168E2" w:rsidRPr="002C1CBF" w:rsidRDefault="00997C20" w:rsidP="00E46BD5">
            <w:pPr>
              <w:jc w:val="center"/>
            </w:pPr>
            <m:oMathPara>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m:t>
                    </m:r>
                  </m:sup>
                </m:sSubSup>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r>
                      <m:rPr>
                        <m:sty m:val="p"/>
                      </m:rPr>
                      <w:rPr>
                        <w:rFonts w:ascii="Cambria Math" w:hAnsi="Cambria Math"/>
                      </w:rPr>
                      <m:t xml:space="preserve"> </m:t>
                    </m:r>
                  </m:num>
                  <m:den>
                    <m:sSub>
                      <m:sSubPr>
                        <m:ctrlPr>
                          <w:rPr>
                            <w:rFonts w:ascii="Cambria Math" w:hAnsi="Cambria Math"/>
                            <w:i/>
                          </w:rPr>
                        </m:ctrlPr>
                      </m:sSubPr>
                      <m:e>
                        <m:r>
                          <w:rPr>
                            <w:rFonts w:ascii="Cambria Math" w:hAnsi="Cambria Math"/>
                          </w:rPr>
                          <m:t>σ</m:t>
                        </m:r>
                      </m:e>
                      <m:sub>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sub>
                    </m:sSub>
                  </m:den>
                </m:f>
              </m:oMath>
            </m:oMathPara>
          </w:p>
        </w:tc>
        <w:tc>
          <w:tcPr>
            <w:tcW w:w="2500" w:type="pct"/>
            <w:vAlign w:val="center"/>
          </w:tcPr>
          <w:p w14:paraId="459CDE60" w14:textId="32AD9FC5" w:rsidR="00A168E2" w:rsidRDefault="00A168E2" w:rsidP="00A168E2">
            <w:pPr>
              <w:jc w:val="right"/>
              <w:rPr>
                <w:rFonts w:eastAsia="Calibri"/>
              </w:rPr>
            </w:pPr>
            <w:r w:rsidRPr="00A30D83">
              <w:t>(</w:t>
            </w:r>
            <w:fldSimple w:instr=" SEQ Equation \* ARABIC ">
              <w:r w:rsidR="00BB06E6">
                <w:rPr>
                  <w:noProof/>
                </w:rPr>
                <w:t>14</w:t>
              </w:r>
            </w:fldSimple>
            <w:r w:rsidRPr="00A30D83">
              <w:t>)</w:t>
            </w:r>
          </w:p>
        </w:tc>
      </w:tr>
      <w:tr w:rsidR="00A168E2" w:rsidRPr="002C1CBF" w14:paraId="1783297F" w14:textId="1E154EF6" w:rsidTr="00A168E2">
        <w:tc>
          <w:tcPr>
            <w:tcW w:w="2500" w:type="pct"/>
            <w:vAlign w:val="center"/>
          </w:tcPr>
          <w:p w14:paraId="39C00B6D" w14:textId="77777777" w:rsidR="00A168E2" w:rsidRDefault="00A168E2" w:rsidP="00E46BD5">
            <w:pPr>
              <w:jc w:val="center"/>
              <w:rPr>
                <w:rFonts w:eastAsia="MS Mincho"/>
              </w:rPr>
            </w:pPr>
          </w:p>
        </w:tc>
        <w:tc>
          <w:tcPr>
            <w:tcW w:w="2500" w:type="pct"/>
            <w:vAlign w:val="center"/>
          </w:tcPr>
          <w:p w14:paraId="1BD9B791" w14:textId="77777777" w:rsidR="00A168E2" w:rsidRDefault="00A168E2" w:rsidP="00E46BD5">
            <w:pPr>
              <w:jc w:val="center"/>
              <w:rPr>
                <w:rFonts w:eastAsia="MS Mincho"/>
              </w:rPr>
            </w:pPr>
          </w:p>
        </w:tc>
      </w:tr>
    </w:tbl>
    <w:p w14:paraId="39548990" w14:textId="6FED4DF5" w:rsidR="00E46BD5" w:rsidRPr="003C1D8D" w:rsidRDefault="00E46BD5" w:rsidP="00A463AE">
      <w:pPr>
        <w:spacing w:line="480" w:lineRule="auto"/>
      </w:pPr>
      <w:r>
        <w:t xml:space="preserve">where </w:t>
      </w:r>
      <m:oMath>
        <m:sSub>
          <m:sSubPr>
            <m:ctrlPr>
              <w:rPr>
                <w:rFonts w:ascii="Cambria Math" w:hAnsi="Cambria Math"/>
                <w:i/>
              </w:rPr>
            </m:ctrlPr>
          </m:sSubPr>
          <m:e>
            <m:r>
              <w:rPr>
                <w:rFonts w:ascii="Cambria Math" w:hAnsi="Cambria Math"/>
              </w:rPr>
              <m:t>σ</m:t>
            </m:r>
          </m:e>
          <m:sub>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sub>
        </m:sSub>
      </m:oMath>
      <w:r>
        <w:t xml:space="preserve"> is the square root of the predicted household-specific variance for a given household </w:t>
      </w:r>
      <w:r>
        <w:rPr>
          <w:i/>
        </w:rPr>
        <w:t>h</w:t>
      </w:r>
      <w:r>
        <w:t xml:space="preserve">. The purpose of this transformation is to make each </w:t>
      </w:r>
      <m:oMath>
        <m:sSub>
          <m:sSubPr>
            <m:ctrlPr>
              <w:rPr>
                <w:rFonts w:ascii="Cambria Math" w:hAnsi="Cambria Math"/>
                <w:i/>
              </w:rPr>
            </m:ctrlPr>
          </m:sSubPr>
          <m:e>
            <m:acc>
              <m:accPr>
                <m:ctrlPr>
                  <w:rPr>
                    <w:rFonts w:ascii="Cambria Math" w:hAnsi="Cambria Math"/>
                    <w:i/>
                  </w:rPr>
                </m:ctrlPr>
              </m:accPr>
              <m:e>
                <m:r>
                  <w:rPr>
                    <w:rFonts w:ascii="Cambria Math" w:hAnsi="Cambria Math"/>
                  </w:rPr>
                  <m:t>ε</m:t>
                </m:r>
              </m:e>
            </m:acc>
          </m:e>
          <m:sub>
            <m:r>
              <w:rPr>
                <w:rFonts w:ascii="Cambria Math" w:hAnsi="Cambria Math"/>
              </w:rPr>
              <m:t>ch</m:t>
            </m:r>
          </m:sub>
        </m:sSub>
      </m:oMath>
      <w:r>
        <w:t xml:space="preserve"> comparable by rescaling </w:t>
      </w:r>
      <w:r w:rsidR="00AF2F7C">
        <w:t>it</w:t>
      </w:r>
      <w:r>
        <w:t xml:space="preserve"> based on </w:t>
      </w:r>
      <w:r w:rsidR="00AF2F7C">
        <w:t>its</w:t>
      </w:r>
      <w:r>
        <w:t xml:space="preserve"> estimated variance. These newly prepared sets of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m:t>
            </m:r>
          </m:sup>
        </m:sSubSup>
      </m:oMath>
      <w:r>
        <w:t xml:space="preserve"> and </w:t>
      </w:r>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oMath>
      <w:r>
        <w:t xml:space="preserve"> are drawn from throughout the </w:t>
      </w:r>
      <w:r>
        <w:lastRenderedPageBreak/>
        <w:t xml:space="preserve">simulation </w:t>
      </w:r>
      <w:r w:rsidRPr="00B74BF1">
        <w:t xml:space="preserve">procedure </w:t>
      </w:r>
      <w:r w:rsidR="00A73E57">
        <w:fldChar w:fldCharType="begin"/>
      </w:r>
      <w:r w:rsidR="00A463AE">
        <w:instrText xml:space="preserve"> ADDIN EN.CITE &lt;EndNote&gt;&lt;Cite&gt;&lt;Author&gt;Elbers&lt;/Author&gt;&lt;Year&gt;2003&lt;/Year&gt;&lt;RecNum&gt;21&lt;/RecNum&gt;&lt;DisplayText&gt;(Elbers,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A73E57">
        <w:fldChar w:fldCharType="separate"/>
      </w:r>
      <w:r w:rsidR="00A463AE">
        <w:rPr>
          <w:noProof/>
        </w:rPr>
        <w:t>(Elbers, et al., 2003)</w:t>
      </w:r>
      <w:r w:rsidR="00A73E57">
        <w:fldChar w:fldCharType="end"/>
      </w:r>
      <w:r w:rsidR="007F5894">
        <w:t xml:space="preserve">. </w:t>
      </w:r>
      <w:r w:rsidRPr="00B74BF1">
        <w:t>After</w:t>
      </w:r>
      <w:r>
        <w:t xml:space="preserve"> these preparations, the steps for each </w:t>
      </w:r>
      <w:r w:rsidRPr="00DC0E33">
        <w:rPr>
          <w:i/>
        </w:rPr>
        <w:t>r</w:t>
      </w:r>
      <w:r w:rsidRPr="00DC0E33">
        <w:rPr>
          <w:i/>
          <w:vertAlign w:val="superscript"/>
        </w:rPr>
        <w:t>th</w:t>
      </w:r>
      <w:r>
        <w:t xml:space="preserve"> simulation are as follows:</w:t>
      </w:r>
    </w:p>
    <w:p w14:paraId="7B2E2AFB" w14:textId="5CEA1B10" w:rsidR="00E46BD5" w:rsidRDefault="00E46BD5" w:rsidP="00C2180D">
      <w:pPr>
        <w:pStyle w:val="ListParagraph"/>
        <w:numPr>
          <w:ilvl w:val="0"/>
          <w:numId w:val="3"/>
        </w:numPr>
        <w:spacing w:after="0" w:line="480" w:lineRule="auto"/>
        <w:ind w:left="720" w:hanging="270"/>
      </w:pPr>
      <w:r w:rsidRPr="009E0049">
        <w:t xml:space="preserve">To account for </w:t>
      </w:r>
      <w:r>
        <w:t xml:space="preserve">the </w:t>
      </w:r>
      <w:r w:rsidRPr="009E0049">
        <w:t xml:space="preserve">uncertainty in estimating </w:t>
      </w:r>
      <m:oMath>
        <m:r>
          <w:rPr>
            <w:rFonts w:ascii="Cambria Math" w:hAnsi="Cambria Math"/>
          </w:rPr>
          <m:t>β</m:t>
        </m:r>
      </m:oMath>
      <w:r>
        <w:t xml:space="preserve"> and </w:t>
      </w:r>
      <m:oMath>
        <m:r>
          <w:rPr>
            <w:rFonts w:ascii="Cambria Math" w:hAnsi="Cambria Math"/>
          </w:rPr>
          <m:t>α</m:t>
        </m:r>
      </m:oMath>
      <w:r w:rsidRPr="009E0049">
        <w:t>,</w:t>
      </w:r>
      <w:r w:rsidRPr="00EA2DB0">
        <w:rPr>
          <w:b/>
        </w:rPr>
        <w:t xml:space="preserve"> </w:t>
      </w:r>
      <w:r>
        <w:t xml:space="preserve">new parameter vectors </w:t>
      </w:r>
      <m:oMath>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r</m:t>
            </m:r>
          </m:sup>
        </m:sSup>
      </m:oMath>
      <w:r>
        <w:t xml:space="preserve"> and </w:t>
      </w:r>
      <m:oMath>
        <m:sSup>
          <m:sSupPr>
            <m:ctrlPr>
              <w:rPr>
                <w:rFonts w:ascii="Cambria Math" w:hAnsi="Cambria Math"/>
                <w:i/>
              </w:rPr>
            </m:ctrlPr>
          </m:sSupPr>
          <m:e>
            <m:acc>
              <m:accPr>
                <m:ctrlPr>
                  <w:rPr>
                    <w:rFonts w:ascii="Cambria Math" w:hAnsi="Cambria Math"/>
                    <w:i/>
                  </w:rPr>
                </m:ctrlPr>
              </m:accPr>
              <m:e>
                <m:r>
                  <w:rPr>
                    <w:rFonts w:ascii="Cambria Math" w:hAnsi="Cambria Math"/>
                  </w:rPr>
                  <m:t>α</m:t>
                </m:r>
              </m:e>
            </m:acc>
          </m:e>
          <m:sup>
            <m:r>
              <w:rPr>
                <w:rFonts w:ascii="Cambria Math" w:hAnsi="Cambria Math"/>
              </w:rPr>
              <m:t>r</m:t>
            </m:r>
          </m:sup>
        </m:sSup>
      </m:oMath>
      <w:r>
        <w:t xml:space="preserve"> are drawn from their asymptotic, normal distributions using the point estimates and variance-covariance matrices from the FGLS estimation of </w:t>
      </w:r>
      <w:r w:rsidR="00582FDC">
        <w:fldChar w:fldCharType="begin"/>
      </w:r>
      <w:r w:rsidR="00582FDC">
        <w:instrText xml:space="preserve"> REF _Ref297467773 \h </w:instrText>
      </w:r>
      <w:r w:rsidR="00582FDC">
        <w:fldChar w:fldCharType="separate"/>
      </w:r>
      <w:r w:rsidR="00BB06E6" w:rsidRPr="00A30D83">
        <w:t>(</w:t>
      </w:r>
      <w:r w:rsidR="00BB06E6">
        <w:rPr>
          <w:noProof/>
        </w:rPr>
        <w:t>2</w:t>
      </w:r>
      <w:r w:rsidR="00BB06E6" w:rsidRPr="00A30D83">
        <w:t>)</w:t>
      </w:r>
      <w:r w:rsidR="00582FDC">
        <w:fldChar w:fldCharType="end"/>
      </w:r>
      <w:r>
        <w:t xml:space="preserve"> and the accompanying estimation of </w:t>
      </w:r>
      <w:r w:rsidR="006676DE">
        <w:fldChar w:fldCharType="begin"/>
      </w:r>
      <w:r w:rsidR="006676DE">
        <w:instrText xml:space="preserve"> REF _Ref297543932 \h </w:instrText>
      </w:r>
      <w:r w:rsidR="006676DE">
        <w:fldChar w:fldCharType="separate"/>
      </w:r>
      <w:r w:rsidR="00BB06E6" w:rsidRPr="00A30D83">
        <w:t>(</w:t>
      </w:r>
      <w:r w:rsidR="00BB06E6">
        <w:rPr>
          <w:noProof/>
        </w:rPr>
        <w:t>11</w:t>
      </w:r>
      <w:r w:rsidR="00BB06E6" w:rsidRPr="00A30D83">
        <w:t>)</w:t>
      </w:r>
      <w:r w:rsidR="006676DE">
        <w:fldChar w:fldCharType="end"/>
      </w:r>
      <w:r>
        <w:t>.</w:t>
      </w:r>
    </w:p>
    <w:p w14:paraId="3533DEF0" w14:textId="21C3230F" w:rsidR="00E46BD5" w:rsidRPr="00E712F9" w:rsidRDefault="00E46BD5" w:rsidP="00C2180D">
      <w:pPr>
        <w:pStyle w:val="ListParagraph"/>
        <w:numPr>
          <w:ilvl w:val="0"/>
          <w:numId w:val="3"/>
        </w:numPr>
        <w:spacing w:after="0" w:line="480" w:lineRule="auto"/>
        <w:ind w:left="720" w:hanging="270"/>
      </w:pPr>
      <w:r w:rsidRPr="00E712F9">
        <w:t xml:space="preserve">For each of the 24 sampled clusters in </w:t>
      </w:r>
      <w:r w:rsidR="00364C8C" w:rsidRPr="00E712F9">
        <w:t>the THS</w:t>
      </w:r>
      <w:r w:rsidRPr="00E712F9">
        <w:t>,</w:t>
      </w:r>
      <w:r w:rsidRPr="00E712F9">
        <w:rPr>
          <w:b/>
        </w:rPr>
        <w:t xml:space="preserve"> </w:t>
      </w:r>
      <w:r>
        <w:t xml:space="preserve">a random cluster-specific effect,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η</m:t>
                </m:r>
              </m:e>
            </m:acc>
          </m:e>
          <m:sub>
            <m:r>
              <w:rPr>
                <w:rFonts w:ascii="Cambria Math" w:hAnsi="Cambria Math"/>
              </w:rPr>
              <m:t>c</m:t>
            </m:r>
          </m:sub>
          <m:sup>
            <m:r>
              <w:rPr>
                <w:rFonts w:ascii="Cambria Math" w:hAnsi="Cambria Math"/>
              </w:rPr>
              <m:t>r</m:t>
            </m:r>
          </m:sup>
        </m:sSubSup>
      </m:oMath>
      <w:r>
        <w:t xml:space="preserve">, is drawn with replacement from the prepared set of all </w:t>
      </w:r>
      <m:oMath>
        <m:sSub>
          <m:sSubPr>
            <m:ctrlPr>
              <w:rPr>
                <w:rFonts w:ascii="Cambria Math" w:hAnsi="Cambria Math"/>
                <w:i/>
              </w:rPr>
            </m:ctrlPr>
          </m:sSubPr>
          <m:e>
            <m:acc>
              <m:accPr>
                <m:ctrlPr>
                  <w:rPr>
                    <w:rFonts w:ascii="Cambria Math" w:hAnsi="Cambria Math"/>
                    <w:i/>
                  </w:rPr>
                </m:ctrlPr>
              </m:accPr>
              <m:e>
                <m:r>
                  <w:rPr>
                    <w:rFonts w:ascii="Cambria Math" w:hAnsi="Cambria Math"/>
                  </w:rPr>
                  <m:t>η</m:t>
                </m:r>
              </m:e>
            </m:acc>
          </m:e>
          <m:sub>
            <m:r>
              <w:rPr>
                <w:rFonts w:ascii="Cambria Math" w:hAnsi="Cambria Math"/>
              </w:rPr>
              <m:t>c</m:t>
            </m:r>
          </m:sub>
        </m:sSub>
      </m:oMath>
      <w:r>
        <w:t xml:space="preserve"> with the probability of selection proportional to its cluster weight from </w:t>
      </w:r>
      <w:r w:rsidR="00F8454C">
        <w:fldChar w:fldCharType="begin"/>
      </w:r>
      <w:r w:rsidR="00F8454C">
        <w:instrText xml:space="preserve"> REF _Ref297469787 \h </w:instrText>
      </w:r>
      <w:r w:rsidR="00F8454C">
        <w:fldChar w:fldCharType="separate"/>
      </w:r>
      <w:r w:rsidR="00BB06E6" w:rsidRPr="00A30D83">
        <w:t>(</w:t>
      </w:r>
      <w:r w:rsidR="00BB06E6">
        <w:rPr>
          <w:noProof/>
        </w:rPr>
        <w:t>8</w:t>
      </w:r>
      <w:r w:rsidR="00BB06E6" w:rsidRPr="00A30D83">
        <w:t>)</w:t>
      </w:r>
      <w:r w:rsidR="00F8454C">
        <w:fldChar w:fldCharType="end"/>
      </w:r>
      <w:r>
        <w:t>.</w:t>
      </w:r>
    </w:p>
    <w:p w14:paraId="21FC6B7D" w14:textId="0772BDC2" w:rsidR="00E46BD5" w:rsidRPr="00C64D8B" w:rsidRDefault="00E46BD5" w:rsidP="00C2180D">
      <w:pPr>
        <w:pStyle w:val="ListParagraph"/>
        <w:numPr>
          <w:ilvl w:val="0"/>
          <w:numId w:val="3"/>
        </w:numPr>
        <w:spacing w:after="0" w:line="480" w:lineRule="auto"/>
        <w:ind w:left="720" w:hanging="270"/>
      </w:pPr>
      <w:r w:rsidRPr="00C64D8B">
        <w:t>For each of the 480 sampled households in the THS, a</w:t>
      </w:r>
      <w:r>
        <w:t xml:space="preserve"> random standardized household-specific effect,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*r</m:t>
            </m:r>
          </m:sup>
        </m:sSubSup>
      </m:oMath>
      <w:r>
        <w:t xml:space="preserve">, is drawn with replacement from the set of all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m:t>
            </m:r>
          </m:sup>
        </m:sSubSup>
      </m:oMath>
      <w:r>
        <w:t>.</w:t>
      </w:r>
    </w:p>
    <w:p w14:paraId="6BB46D21" w14:textId="57FBA4F8" w:rsidR="00E46BD5" w:rsidRDefault="00E46BD5" w:rsidP="00C2180D">
      <w:pPr>
        <w:pStyle w:val="ListParagraph"/>
        <w:numPr>
          <w:ilvl w:val="0"/>
          <w:numId w:val="3"/>
        </w:numPr>
        <w:spacing w:after="0" w:line="480" w:lineRule="auto"/>
        <w:ind w:left="720" w:hanging="270"/>
      </w:pPr>
      <w:bookmarkStart w:id="11" w:name="_Ref285443365"/>
      <w:r>
        <w:t xml:space="preserve">The heteroskedastic variances of the household-specific effects,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σ</m:t>
                </m:r>
              </m:e>
            </m:acc>
          </m:e>
          <m:sub>
            <m:sSub>
              <m:sSubPr>
                <m:ctrlPr>
                  <w:rPr>
                    <w:rFonts w:ascii="Cambria Math" w:hAnsi="Cambria Math"/>
                    <w:i/>
                  </w:rPr>
                </m:ctrlPr>
              </m:sSubPr>
              <m:e>
                <m:r>
                  <w:rPr>
                    <w:rFonts w:ascii="Cambria Math" w:hAnsi="Cambria Math"/>
                  </w:rPr>
                  <m:t>ε</m:t>
                </m:r>
              </m:e>
              <m:sub>
                <m:r>
                  <w:rPr>
                    <w:rFonts w:ascii="Cambria Math" w:hAnsi="Cambria Math"/>
                  </w:rPr>
                  <m:t>ch</m:t>
                </m:r>
              </m:sub>
            </m:sSub>
          </m:sub>
          <m:sup>
            <m:r>
              <w:rPr>
                <w:rFonts w:ascii="Cambria Math" w:hAnsi="Cambria Math"/>
              </w:rPr>
              <m:t>2</m:t>
            </m:r>
          </m:sup>
        </m:sSubSup>
      </m:oMath>
      <w:r>
        <w:t xml:space="preserve">, are predicted based on the model of heteroskedasticity in </w:t>
      </w:r>
      <w:r w:rsidR="005924CE">
        <w:fldChar w:fldCharType="begin"/>
      </w:r>
      <w:r w:rsidR="005924CE">
        <w:instrText xml:space="preserve"> REF _Ref297469962 \h </w:instrText>
      </w:r>
      <w:r w:rsidR="005924CE">
        <w:fldChar w:fldCharType="separate"/>
      </w:r>
      <w:r w:rsidR="00BB06E6" w:rsidRPr="00A30D83">
        <w:t>(</w:t>
      </w:r>
      <w:r w:rsidR="00BB06E6">
        <w:rPr>
          <w:noProof/>
        </w:rPr>
        <w:t>9</w:t>
      </w:r>
      <w:r w:rsidR="00BB06E6" w:rsidRPr="00A30D83">
        <w:t>)</w:t>
      </w:r>
      <w:r w:rsidR="005924CE">
        <w:fldChar w:fldCharType="end"/>
      </w:r>
      <w:r>
        <w:t xml:space="preserve">, each household’s </w:t>
      </w:r>
      <m:oMath>
        <m:sSub>
          <m:sSubPr>
            <m:ctrlPr>
              <w:rPr>
                <w:rFonts w:ascii="Cambria Math" w:hAnsi="Cambria Math"/>
                <w:i/>
              </w:rPr>
            </m:ctrlPr>
          </m:sSubPr>
          <m:e>
            <m:r>
              <w:rPr>
                <w:rFonts w:ascii="Cambria Math" w:hAnsi="Cambria Math"/>
              </w:rPr>
              <m:t>z</m:t>
            </m:r>
          </m:e>
          <m:sub>
            <m:r>
              <w:rPr>
                <w:rFonts w:ascii="Cambria Math" w:hAnsi="Cambria Math"/>
              </w:rPr>
              <m:t>ch</m:t>
            </m:r>
          </m:sub>
        </m:sSub>
      </m:oMath>
      <w:r>
        <w:t xml:space="preserve"> vector of characteristics, the drawn </w:t>
      </w:r>
      <m:oMath>
        <m:sSup>
          <m:sSupPr>
            <m:ctrlPr>
              <w:rPr>
                <w:rFonts w:ascii="Cambria Math" w:hAnsi="Cambria Math"/>
                <w:i/>
              </w:rPr>
            </m:ctrlPr>
          </m:sSupPr>
          <m:e>
            <m:acc>
              <m:accPr>
                <m:ctrlPr>
                  <w:rPr>
                    <w:rFonts w:ascii="Cambria Math" w:hAnsi="Cambria Math"/>
                    <w:i/>
                  </w:rPr>
                </m:ctrlPr>
              </m:accPr>
              <m:e>
                <m:r>
                  <w:rPr>
                    <w:rFonts w:ascii="Cambria Math" w:hAnsi="Cambria Math"/>
                  </w:rPr>
                  <m:t>α</m:t>
                </m:r>
              </m:e>
            </m:acc>
          </m:e>
          <m:sup>
            <m:r>
              <w:rPr>
                <w:rFonts w:ascii="Cambria Math" w:hAnsi="Cambria Math"/>
              </w:rPr>
              <m:t>r</m:t>
            </m:r>
          </m:sup>
        </m:sSup>
      </m:oMath>
      <w:r>
        <w:t xml:space="preserve">, and the assumed </w:t>
      </w:r>
      <w:r w:rsidRPr="00CA7DB8">
        <w:rPr>
          <w:i/>
        </w:rPr>
        <w:t>A</w:t>
      </w:r>
      <w:r>
        <w:t xml:space="preserve"> and </w:t>
      </w:r>
      <w:r w:rsidRPr="00CA7DB8">
        <w:rPr>
          <w:i/>
        </w:rPr>
        <w:t>B</w:t>
      </w:r>
      <w:r>
        <w:t xml:space="preserve"> bounds.</w:t>
      </w:r>
      <w:bookmarkEnd w:id="11"/>
    </w:p>
    <w:p w14:paraId="03CB7936" w14:textId="77777777" w:rsidR="00E46BD5" w:rsidRDefault="00E46BD5" w:rsidP="00C2180D">
      <w:pPr>
        <w:pStyle w:val="ListParagraph"/>
        <w:numPr>
          <w:ilvl w:val="0"/>
          <w:numId w:val="3"/>
        </w:numPr>
        <w:spacing w:after="0" w:line="480" w:lineRule="auto"/>
        <w:ind w:left="720" w:hanging="270"/>
      </w:pPr>
      <w:r>
        <w:t xml:space="preserve">Estimates of the </w:t>
      </w:r>
      <w:r w:rsidRPr="001A254E">
        <w:rPr>
          <w:i/>
        </w:rPr>
        <w:t>non</w:t>
      </w:r>
      <w:r>
        <w:t xml:space="preserve">-standardized household-specific effects,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r</m:t>
            </m:r>
          </m:sup>
        </m:sSubSup>
      </m:oMath>
      <w:r>
        <w:t xml:space="preserve">, are generated by multiplying each </w:t>
      </w:r>
      <w:proofErr w:type="gramStart"/>
      <w:r>
        <w:t>household’s</w:t>
      </w:r>
      <w:proofErr w:type="gramEnd"/>
      <w:r>
        <w:t xml:space="preserve"> drawn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*r</m:t>
            </m:r>
          </m:sup>
        </m:sSubSup>
      </m:oMath>
      <w:r>
        <w:t xml:space="preserve"> by the square root of its associated result from step (d).</w:t>
      </w:r>
    </w:p>
    <w:p w14:paraId="2FF5C796" w14:textId="77777777" w:rsidR="00E46BD5" w:rsidRDefault="00E46BD5" w:rsidP="00C2180D">
      <w:pPr>
        <w:pStyle w:val="ListParagraph"/>
        <w:numPr>
          <w:ilvl w:val="0"/>
          <w:numId w:val="3"/>
        </w:numPr>
        <w:spacing w:after="0" w:line="480" w:lineRule="auto"/>
        <w:ind w:left="720" w:hanging="270"/>
      </w:pPr>
      <w:bookmarkStart w:id="12" w:name="_Ref291852504"/>
      <w:r>
        <w:t xml:space="preserve">Simulated values of household consumption per capita, </w:t>
      </w:r>
      <m:oMath>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oMath>
      <w:r>
        <w:t>, are generated as:</w:t>
      </w:r>
      <w:bookmarkEnd w:id="12"/>
    </w:p>
    <w:tbl>
      <w:tblPr>
        <w:tblStyle w:val="TableGrid"/>
        <w:tblW w:w="48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9"/>
        <w:gridCol w:w="4496"/>
      </w:tblGrid>
      <w:tr w:rsidR="006613AE" w:rsidRPr="002C1CBF" w14:paraId="0E140233" w14:textId="77919F79" w:rsidTr="006613AE">
        <w:trPr>
          <w:trHeight w:val="306"/>
        </w:trPr>
        <w:tc>
          <w:tcPr>
            <w:tcW w:w="2501" w:type="pct"/>
            <w:vAlign w:val="center"/>
          </w:tcPr>
          <w:p w14:paraId="4A0374C9" w14:textId="77777777" w:rsidR="006613AE" w:rsidRPr="002C1CBF" w:rsidRDefault="00997C20" w:rsidP="00C2180D">
            <w:pPr>
              <w:pStyle w:val="ListParagraph"/>
              <w:spacing w:after="0" w:line="240" w:lineRule="auto"/>
              <w:ind w:hanging="270"/>
              <w:jc w:val="center"/>
            </w:pPr>
            <m:oMathPara>
              <m:oMath>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r>
                  <w:rPr>
                    <w:rFonts w:ascii="Cambria Math" w:hAnsi="Cambria Math"/>
                  </w:rPr>
                  <m:t>=exp</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ch</m:t>
                        </m:r>
                      </m:sub>
                    </m:sSub>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r</m:t>
                        </m:r>
                      </m:sup>
                    </m:sSup>
                    <m:r>
                      <w:rPr>
                        <w:rFonts w:ascii="Cambria Math" w:hAnsi="Cambria Math"/>
                      </w:rPr>
                      <m:t>+</m:t>
                    </m:r>
                    <m:sSubSup>
                      <m:sSubSupPr>
                        <m:ctrlPr>
                          <w:rPr>
                            <w:rFonts w:ascii="Cambria Math" w:hAnsi="Cambria Math"/>
                            <w:i/>
                          </w:rPr>
                        </m:ctrlPr>
                      </m:sSubSupPr>
                      <m:e>
                        <m:acc>
                          <m:accPr>
                            <m:ctrlPr>
                              <w:rPr>
                                <w:rFonts w:ascii="Cambria Math" w:hAnsi="Cambria Math"/>
                                <w:i/>
                              </w:rPr>
                            </m:ctrlPr>
                          </m:accPr>
                          <m:e>
                            <m:r>
                              <w:rPr>
                                <w:rFonts w:ascii="Cambria Math" w:hAnsi="Cambria Math"/>
                              </w:rPr>
                              <m:t>η</m:t>
                            </m:r>
                          </m:e>
                        </m:acc>
                      </m:e>
                      <m:sub>
                        <m:r>
                          <w:rPr>
                            <w:rFonts w:ascii="Cambria Math" w:hAnsi="Cambria Math"/>
                          </w:rPr>
                          <m:t>c</m:t>
                        </m:r>
                      </m:sub>
                      <m:sup>
                        <m:r>
                          <w:rPr>
                            <w:rFonts w:ascii="Cambria Math" w:hAnsi="Cambria Math"/>
                          </w:rPr>
                          <m:t>r</m:t>
                        </m:r>
                      </m:sup>
                    </m:sSubSup>
                    <m:r>
                      <w:rPr>
                        <w:rFonts w:ascii="Cambria Math" w:hAnsi="Cambria Math"/>
                      </w:rPr>
                      <m:t>+</m:t>
                    </m:r>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r</m:t>
                        </m:r>
                      </m:sup>
                    </m:sSubSup>
                  </m:e>
                </m:d>
              </m:oMath>
            </m:oMathPara>
          </w:p>
        </w:tc>
        <w:tc>
          <w:tcPr>
            <w:tcW w:w="2499" w:type="pct"/>
            <w:vAlign w:val="center"/>
          </w:tcPr>
          <w:p w14:paraId="289FE29D" w14:textId="4A1F1E73" w:rsidR="006613AE" w:rsidRDefault="006613AE" w:rsidP="006613AE">
            <w:pPr>
              <w:pStyle w:val="ListParagraph"/>
              <w:tabs>
                <w:tab w:val="left" w:pos="904"/>
              </w:tabs>
              <w:spacing w:after="0" w:line="240" w:lineRule="auto"/>
              <w:ind w:hanging="270"/>
              <w:jc w:val="right"/>
              <w:rPr>
                <w:rFonts w:eastAsia="Calibri"/>
              </w:rPr>
            </w:pPr>
            <w:r>
              <w:rPr>
                <w:rFonts w:eastAsia="Calibri"/>
              </w:rPr>
              <w:tab/>
            </w:r>
            <w:bookmarkStart w:id="13" w:name="_Ref297544433"/>
            <w:r w:rsidRPr="00A30D83">
              <w:t>(</w:t>
            </w:r>
            <w:fldSimple w:instr=" SEQ Equation \* ARABIC ">
              <w:r w:rsidR="00BB06E6">
                <w:rPr>
                  <w:noProof/>
                </w:rPr>
                <w:t>15</w:t>
              </w:r>
            </w:fldSimple>
            <w:r w:rsidRPr="00A30D83">
              <w:t>)</w:t>
            </w:r>
            <w:bookmarkEnd w:id="13"/>
          </w:p>
        </w:tc>
      </w:tr>
    </w:tbl>
    <w:p w14:paraId="30A5062B" w14:textId="77777777" w:rsidR="00E46BD5" w:rsidRDefault="00E46BD5" w:rsidP="00C2180D">
      <w:pPr>
        <w:ind w:left="720" w:hanging="270"/>
      </w:pPr>
    </w:p>
    <w:p w14:paraId="45EA61F8" w14:textId="48A68EC0" w:rsidR="00E46BD5" w:rsidRDefault="00D40A54" w:rsidP="00C2180D">
      <w:pPr>
        <w:pStyle w:val="ListParagraph"/>
        <w:numPr>
          <w:ilvl w:val="0"/>
          <w:numId w:val="3"/>
        </w:numPr>
        <w:spacing w:after="0" w:line="480" w:lineRule="auto"/>
        <w:ind w:left="720" w:hanging="270"/>
      </w:pPr>
      <w:bookmarkStart w:id="14" w:name="_Ref291753716"/>
      <w:r>
        <w:t>T</w:t>
      </w:r>
      <w:r w:rsidR="00E46BD5">
        <w:t xml:space="preserve">he headcount poverty </w:t>
      </w:r>
      <w:r>
        <w:t xml:space="preserve">is estimated </w:t>
      </w:r>
      <w:r w:rsidR="00E46BD5">
        <w:t>as:</w:t>
      </w:r>
      <w:bookmarkEnd w:id="14"/>
    </w:p>
    <w:tbl>
      <w:tblPr>
        <w:tblStyle w:val="TableGrid"/>
        <w:tblW w:w="48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9"/>
        <w:gridCol w:w="4496"/>
      </w:tblGrid>
      <w:tr w:rsidR="000D5060" w:rsidRPr="002C1CBF" w14:paraId="1E8B68CD" w14:textId="4C571B78" w:rsidTr="00546901">
        <w:tc>
          <w:tcPr>
            <w:tcW w:w="2501" w:type="pct"/>
            <w:vAlign w:val="center"/>
          </w:tcPr>
          <w:p w14:paraId="38695BD6" w14:textId="3716601A" w:rsidR="000D5060" w:rsidRPr="002C1CBF" w:rsidRDefault="00997C20" w:rsidP="00C2180D">
            <w:pPr>
              <w:ind w:left="720" w:hanging="270"/>
            </w:pPr>
            <m:oMathPara>
              <m:oMath>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0</m:t>
                    </m:r>
                  </m:sub>
                  <m:sup>
                    <m:r>
                      <w:rPr>
                        <w:rFonts w:ascii="Cambria Math" w:hAnsi="Cambria Math"/>
                      </w:rPr>
                      <m:t>r</m:t>
                    </m:r>
                  </m:sup>
                </m:sSub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N</m:t>
                    </m:r>
                  </m:den>
                </m:f>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480</m:t>
                    </m:r>
                  </m:sup>
                  <m:e>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z-</m:t>
                                </m:r>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num>
                              <m:den>
                                <m:r>
                                  <w:rPr>
                                    <w:rFonts w:ascii="Cambria Math" w:hAnsi="Cambria Math"/>
                                  </w:rPr>
                                  <m:t>z</m:t>
                                </m:r>
                              </m:den>
                            </m:f>
                          </m:e>
                        </m:d>
                      </m:e>
                      <m:sup>
                        <m:r>
                          <w:rPr>
                            <w:rFonts w:ascii="Cambria Math" w:hAnsi="Cambria Math"/>
                          </w:rPr>
                          <m:t>δ=0</m:t>
                        </m:r>
                      </m:sup>
                    </m:sSup>
                  </m:e>
                </m:nary>
                <m:r>
                  <w:rPr>
                    <w:rFonts w:ascii="Cambria Math" w:hAnsi="Cambria Math"/>
                  </w:rPr>
                  <m:t>*1</m:t>
                </m:r>
                <m:d>
                  <m:dPr>
                    <m:begChr m:val="["/>
                    <m:endChr m:val="]"/>
                    <m:ctrlPr>
                      <w:rPr>
                        <w:rFonts w:ascii="Cambria Math" w:hAnsi="Cambria Math"/>
                        <w:i/>
                      </w:rPr>
                    </m:ctrlPr>
                  </m:dPr>
                  <m:e>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r>
                      <w:rPr>
                        <w:rFonts w:ascii="Cambria Math" w:hAnsi="Cambria Math"/>
                      </w:rPr>
                      <m:t>&lt;z</m:t>
                    </m:r>
                  </m:e>
                </m:d>
              </m:oMath>
            </m:oMathPara>
          </w:p>
        </w:tc>
        <w:tc>
          <w:tcPr>
            <w:tcW w:w="2499" w:type="pct"/>
            <w:vAlign w:val="center"/>
          </w:tcPr>
          <w:p w14:paraId="44C5A029" w14:textId="654CDF2E" w:rsidR="000D5060" w:rsidRDefault="000D5060" w:rsidP="00C27E1C">
            <w:pPr>
              <w:ind w:left="720" w:hanging="270"/>
              <w:jc w:val="right"/>
              <w:rPr>
                <w:rFonts w:eastAsia="Calibri"/>
              </w:rPr>
            </w:pPr>
            <w:r w:rsidRPr="00DA115E">
              <w:t>(</w:t>
            </w:r>
            <w:fldSimple w:instr=" SEQ Equation \* ARABIC ">
              <w:r w:rsidR="00BB06E6">
                <w:rPr>
                  <w:noProof/>
                </w:rPr>
                <w:t>16</w:t>
              </w:r>
            </w:fldSimple>
            <w:r w:rsidRPr="00DA115E">
              <w:t>)</w:t>
            </w:r>
          </w:p>
        </w:tc>
      </w:tr>
      <w:tr w:rsidR="000D5060" w:rsidRPr="002C1CBF" w14:paraId="63700AFB" w14:textId="6C9E2F5E" w:rsidTr="00546901">
        <w:trPr>
          <w:trHeight w:val="243"/>
        </w:trPr>
        <w:tc>
          <w:tcPr>
            <w:tcW w:w="2501" w:type="pct"/>
            <w:vAlign w:val="center"/>
          </w:tcPr>
          <w:p w14:paraId="6AAF5580" w14:textId="77777777" w:rsidR="000D5060" w:rsidRDefault="000D5060" w:rsidP="00C2180D">
            <w:pPr>
              <w:ind w:left="720" w:hanging="270"/>
              <w:rPr>
                <w:rFonts w:eastAsia="MS Mincho"/>
              </w:rPr>
            </w:pPr>
          </w:p>
        </w:tc>
        <w:tc>
          <w:tcPr>
            <w:tcW w:w="2499" w:type="pct"/>
          </w:tcPr>
          <w:p w14:paraId="0B8C0743" w14:textId="70EA80B2" w:rsidR="000D5060" w:rsidRDefault="000D5060" w:rsidP="000D5060">
            <w:pPr>
              <w:ind w:left="720" w:hanging="270"/>
              <w:rPr>
                <w:rFonts w:eastAsia="MS Mincho"/>
              </w:rPr>
            </w:pPr>
          </w:p>
        </w:tc>
      </w:tr>
    </w:tbl>
    <w:p w14:paraId="6E1DE007" w14:textId="5610E22D" w:rsidR="00E46BD5" w:rsidRDefault="00E46BD5" w:rsidP="00C2180D">
      <w:pPr>
        <w:pStyle w:val="ListParagraph"/>
        <w:spacing w:after="0" w:line="480" w:lineRule="auto"/>
        <w:ind w:hanging="270"/>
      </w:pPr>
      <w:r>
        <w:lastRenderedPageBreak/>
        <w:t>where</w:t>
      </w:r>
      <w:r w:rsidRPr="0021017C">
        <w:t xml:space="preserve">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0</m:t>
            </m:r>
          </m:sub>
          <m:sup>
            <m:r>
              <w:rPr>
                <w:rFonts w:ascii="Cambria Math" w:hAnsi="Cambria Math"/>
              </w:rPr>
              <m:t>r</m:t>
            </m:r>
          </m:sup>
        </m:sSubSup>
      </m:oMath>
      <w:r>
        <w:t xml:space="preserve"> is the </w:t>
      </w:r>
      <w:r w:rsidRPr="00DC0E33">
        <w:rPr>
          <w:i/>
        </w:rPr>
        <w:t>r</w:t>
      </w:r>
      <w:r w:rsidRPr="00DC0E33">
        <w:rPr>
          <w:i/>
          <w:vertAlign w:val="superscript"/>
        </w:rPr>
        <w:t>th</w:t>
      </w:r>
      <w:r w:rsidRPr="00024CC5">
        <w:t xml:space="preserve"> </w:t>
      </w:r>
      <w:r>
        <w:t>simulated headcount poverty conditional on the THS,</w:t>
      </w:r>
      <w:r w:rsidRPr="00F6672D">
        <w:t xml:space="preserve"> </w:t>
      </w:r>
      <w:r w:rsidR="0002032B">
        <w:t>N (=</w:t>
      </w:r>
      <w:r w:rsidRPr="00F6672D">
        <w:t>480</w:t>
      </w:r>
      <w:r w:rsidR="0002032B">
        <w:t>)</w:t>
      </w:r>
      <w:r w:rsidRPr="0021017C">
        <w:rPr>
          <w:i/>
        </w:rPr>
        <w:t xml:space="preserve"> </w:t>
      </w:r>
      <w:r>
        <w:t>is the number of sampled households</w:t>
      </w:r>
      <w:r w:rsidRPr="0021017C">
        <w:t xml:space="preserve">, </w:t>
      </w:r>
      <m:oMath>
        <m:r>
          <w:rPr>
            <w:rFonts w:ascii="Cambria Math" w:hAnsi="Cambria Math"/>
          </w:rPr>
          <m:t>z</m:t>
        </m:r>
      </m:oMath>
      <w:r>
        <w:t xml:space="preserve"> is the </w:t>
      </w:r>
      <w:r w:rsidRPr="0021017C">
        <w:t>poverty line</w:t>
      </w:r>
      <w:r w:rsidR="00F360B3">
        <w:t xml:space="preserve">, </w:t>
      </w:r>
      <w:r>
        <w:t>and</w:t>
      </w:r>
      <w:r w:rsidRPr="0021017C">
        <w:t xml:space="preserve"> </w:t>
      </w:r>
      <m:oMath>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oMath>
      <w:r>
        <w:t xml:space="preserve"> </w:t>
      </w:r>
      <w:r w:rsidRPr="0021017C">
        <w:t xml:space="preserve">is the </w:t>
      </w:r>
      <w:r>
        <w:t xml:space="preserve">simulated result from </w:t>
      </w:r>
      <w:r w:rsidR="005D12C7">
        <w:fldChar w:fldCharType="begin"/>
      </w:r>
      <w:r w:rsidR="005D12C7">
        <w:instrText xml:space="preserve"> REF _Ref297544433 \h </w:instrText>
      </w:r>
      <w:r w:rsidR="005D12C7">
        <w:fldChar w:fldCharType="separate"/>
      </w:r>
      <w:r w:rsidR="00BB06E6" w:rsidRPr="00A30D83">
        <w:t>(</w:t>
      </w:r>
      <w:r w:rsidR="00BB06E6">
        <w:rPr>
          <w:noProof/>
        </w:rPr>
        <w:t>15</w:t>
      </w:r>
      <w:r w:rsidR="00BB06E6" w:rsidRPr="00A30D83">
        <w:t>)</w:t>
      </w:r>
      <w:r w:rsidR="005D12C7">
        <w:fldChar w:fldCharType="end"/>
      </w:r>
      <w:r>
        <w:t xml:space="preserve"> for </w:t>
      </w:r>
      <w:r w:rsidRPr="0021017C">
        <w:t xml:space="preserve">the </w:t>
      </w:r>
      <w:r>
        <w:rPr>
          <w:i/>
        </w:rPr>
        <w:t>i</w:t>
      </w:r>
      <w:r w:rsidRPr="00DE0889">
        <w:rPr>
          <w:i/>
          <w:vertAlign w:val="superscript"/>
        </w:rPr>
        <w:t>th</w:t>
      </w:r>
      <w:r w:rsidRPr="0021017C">
        <w:t xml:space="preserve"> household</w:t>
      </w:r>
      <w:r>
        <w:t xml:space="preserve"> weighted by its sampling weight. </w:t>
      </w:r>
    </w:p>
    <w:p w14:paraId="0B286C26" w14:textId="7ABBFAA6" w:rsidR="00E46BD5" w:rsidRDefault="00E46BD5" w:rsidP="00C2180D">
      <w:pPr>
        <w:pStyle w:val="ListParagraph"/>
        <w:numPr>
          <w:ilvl w:val="0"/>
          <w:numId w:val="3"/>
        </w:numPr>
        <w:spacing w:after="0" w:line="480" w:lineRule="auto"/>
        <w:ind w:left="720" w:hanging="270"/>
      </w:pPr>
      <w:r>
        <w:t xml:space="preserve">Step (g) is </w:t>
      </w:r>
      <w:r w:rsidR="0035070F">
        <w:t>r</w:t>
      </w:r>
      <w:r>
        <w:t xml:space="preserve">epeated with </w:t>
      </w:r>
      <m:oMath>
        <m:r>
          <w:rPr>
            <w:rFonts w:ascii="Cambria Math" w:hAnsi="Cambria Math"/>
          </w:rPr>
          <m:t>δ=1</m:t>
        </m:r>
      </m:oMath>
      <w:r>
        <w:t xml:space="preserve"> to generate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1</m:t>
            </m:r>
          </m:sub>
          <m:sup>
            <m:r>
              <w:rPr>
                <w:rFonts w:ascii="Cambria Math" w:hAnsi="Cambria Math"/>
              </w:rPr>
              <m:t>r</m:t>
            </m:r>
          </m:sup>
        </m:sSubSup>
      </m:oMath>
      <w:r>
        <w:t xml:space="preserve">, the </w:t>
      </w:r>
      <w:r w:rsidRPr="00DC0E33">
        <w:rPr>
          <w:i/>
        </w:rPr>
        <w:t>r</w:t>
      </w:r>
      <w:r w:rsidRPr="00DC0E33">
        <w:rPr>
          <w:i/>
          <w:vertAlign w:val="superscript"/>
        </w:rPr>
        <w:t>th</w:t>
      </w:r>
      <w:r>
        <w:t xml:space="preserve"> simulated poverty depth conditional on </w:t>
      </w:r>
      <w:r w:rsidR="00364C8C">
        <w:t>the THS</w:t>
      </w:r>
      <w:r>
        <w:t>.</w:t>
      </w:r>
    </w:p>
    <w:p w14:paraId="28C9AE2B" w14:textId="354A634C" w:rsidR="00E46BD5" w:rsidRDefault="00E46BD5" w:rsidP="00C2180D">
      <w:pPr>
        <w:pStyle w:val="ListParagraph"/>
        <w:numPr>
          <w:ilvl w:val="0"/>
          <w:numId w:val="3"/>
        </w:numPr>
        <w:spacing w:after="0" w:line="480" w:lineRule="auto"/>
        <w:ind w:left="720" w:hanging="270"/>
      </w:pPr>
      <w:r>
        <w:t xml:space="preserve">Step (g) is repeated with </w:t>
      </w:r>
      <m:oMath>
        <m:r>
          <w:rPr>
            <w:rFonts w:ascii="Cambria Math" w:hAnsi="Cambria Math"/>
          </w:rPr>
          <m:t>δ=2</m:t>
        </m:r>
      </m:oMath>
      <w:r>
        <w:t xml:space="preserve"> to generate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2</m:t>
            </m:r>
          </m:sub>
          <m:sup>
            <m:r>
              <w:rPr>
                <w:rFonts w:ascii="Cambria Math" w:hAnsi="Cambria Math"/>
              </w:rPr>
              <m:t>r</m:t>
            </m:r>
          </m:sup>
        </m:sSubSup>
      </m:oMath>
      <w:r>
        <w:t xml:space="preserve">, the </w:t>
      </w:r>
      <w:r w:rsidRPr="00DC0E33">
        <w:rPr>
          <w:i/>
        </w:rPr>
        <w:t>r</w:t>
      </w:r>
      <w:r w:rsidRPr="00DC0E33">
        <w:rPr>
          <w:i/>
          <w:vertAlign w:val="superscript"/>
        </w:rPr>
        <w:t>th</w:t>
      </w:r>
      <w:r>
        <w:t xml:space="preserve"> simulated poverty severity conditional on </w:t>
      </w:r>
      <w:r w:rsidR="00364C8C">
        <w:t>the THS</w:t>
      </w:r>
      <w:r>
        <w:t>.</w:t>
      </w:r>
    </w:p>
    <w:p w14:paraId="0C3D7B9A" w14:textId="65E7BEFC" w:rsidR="00E46BD5" w:rsidRDefault="00E46BD5" w:rsidP="00B80E1E">
      <w:pPr>
        <w:spacing w:line="480" w:lineRule="auto"/>
        <w:ind w:firstLine="720"/>
      </w:pPr>
      <w:r w:rsidRPr="00FB4679">
        <w:t>These simulation steps</w:t>
      </w:r>
      <w:r>
        <w:t xml:space="preserve"> are</w:t>
      </w:r>
      <w:r w:rsidRPr="00FB4679">
        <w:t xml:space="preserve"> repeated </w:t>
      </w:r>
      <w:r w:rsidRPr="008F6F39">
        <w:t>10,000</w:t>
      </w:r>
      <w:r w:rsidRPr="00FB4679">
        <w:t xml:space="preserve"> times to generate </w:t>
      </w:r>
      <w:r>
        <w:t>10,000</w:t>
      </w:r>
      <w:r w:rsidRPr="00FB4679">
        <w:t xml:space="preserve"> estimates of each poverty ind</w:t>
      </w:r>
      <w:r w:rsidR="00701639">
        <w:t>ex</w:t>
      </w:r>
      <w:r w:rsidRPr="00FB4679">
        <w:t xml:space="preserve"> based on simulated household consumption per capita.</w:t>
      </w:r>
      <w:r>
        <w:t xml:space="preserve"> The expected values of the poverty indices conditional on </w:t>
      </w:r>
      <w:r w:rsidR="00364C8C">
        <w:t>the THS</w:t>
      </w:r>
      <w:r>
        <w:t xml:space="preserve"> are calculated as:</w:t>
      </w:r>
    </w:p>
    <w:tbl>
      <w:tblPr>
        <w:tblStyle w:val="TableGrid"/>
        <w:tblW w:w="480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9"/>
        <w:gridCol w:w="4496"/>
      </w:tblGrid>
      <w:tr w:rsidR="00546901" w:rsidRPr="002C1CBF" w14:paraId="56E762D8" w14:textId="11DC94B2" w:rsidTr="005A639D">
        <w:tc>
          <w:tcPr>
            <w:tcW w:w="2501" w:type="pct"/>
            <w:vAlign w:val="center"/>
          </w:tcPr>
          <w:p w14:paraId="0DE5A5F3" w14:textId="77777777" w:rsidR="00546901" w:rsidRPr="002C1CBF" w:rsidRDefault="00997C20" w:rsidP="00E46BD5">
            <w:pPr>
              <w:ind w:left="720"/>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δ</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R</m:t>
                    </m:r>
                  </m:den>
                </m:f>
                <m:nary>
                  <m:naryPr>
                    <m:chr m:val="∑"/>
                    <m:limLoc m:val="undOvr"/>
                    <m:ctrlPr>
                      <w:rPr>
                        <w:rFonts w:ascii="Cambria Math" w:hAnsi="Cambria Math"/>
                        <w:i/>
                      </w:rPr>
                    </m:ctrlPr>
                  </m:naryPr>
                  <m:sub>
                    <m:r>
                      <w:rPr>
                        <w:rFonts w:ascii="Cambria Math" w:hAnsi="Cambria Math"/>
                      </w:rPr>
                      <m:t>r=1</m:t>
                    </m:r>
                  </m:sub>
                  <m:sup>
                    <m:r>
                      <w:rPr>
                        <w:rFonts w:ascii="Cambria Math" w:hAnsi="Cambria Math"/>
                      </w:rPr>
                      <m:t>R</m:t>
                    </m:r>
                  </m:sup>
                  <m:e>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δ</m:t>
                        </m:r>
                      </m:sub>
                      <m:sup>
                        <m:r>
                          <w:rPr>
                            <w:rFonts w:ascii="Cambria Math" w:hAnsi="Cambria Math"/>
                          </w:rPr>
                          <m:t>r</m:t>
                        </m:r>
                      </m:sup>
                    </m:sSubSup>
                  </m:e>
                </m:nary>
              </m:oMath>
            </m:oMathPara>
          </w:p>
        </w:tc>
        <w:tc>
          <w:tcPr>
            <w:tcW w:w="2499" w:type="pct"/>
            <w:vAlign w:val="center"/>
          </w:tcPr>
          <w:p w14:paraId="56412078" w14:textId="4632EF50" w:rsidR="00546901" w:rsidRDefault="00546901" w:rsidP="00546901">
            <w:pPr>
              <w:ind w:left="720"/>
              <w:jc w:val="right"/>
              <w:rPr>
                <w:rFonts w:eastAsia="Calibri"/>
              </w:rPr>
            </w:pPr>
            <w:r w:rsidRPr="00AC3325">
              <w:t>(</w:t>
            </w:r>
            <w:fldSimple w:instr=" SEQ Equation \* ARABIC ">
              <w:r w:rsidR="00BB06E6">
                <w:rPr>
                  <w:noProof/>
                </w:rPr>
                <w:t>17</w:t>
              </w:r>
            </w:fldSimple>
            <w:r w:rsidRPr="00AC3325">
              <w:t>)</w:t>
            </w:r>
          </w:p>
        </w:tc>
      </w:tr>
      <w:tr w:rsidR="00546901" w:rsidRPr="002C1CBF" w14:paraId="30FCBEBE" w14:textId="1B877117" w:rsidTr="005A639D">
        <w:tc>
          <w:tcPr>
            <w:tcW w:w="2501" w:type="pct"/>
            <w:vAlign w:val="center"/>
          </w:tcPr>
          <w:p w14:paraId="7FBDD762" w14:textId="77777777" w:rsidR="00546901" w:rsidRDefault="00546901" w:rsidP="00E46BD5">
            <w:pPr>
              <w:ind w:left="720"/>
              <w:rPr>
                <w:rFonts w:eastAsia="MS Mincho"/>
              </w:rPr>
            </w:pPr>
          </w:p>
        </w:tc>
        <w:tc>
          <w:tcPr>
            <w:tcW w:w="2499" w:type="pct"/>
          </w:tcPr>
          <w:p w14:paraId="360A3C7F" w14:textId="3FE1BCFF" w:rsidR="00546901" w:rsidRDefault="00546901" w:rsidP="00546901">
            <w:pPr>
              <w:rPr>
                <w:rFonts w:eastAsia="MS Mincho"/>
              </w:rPr>
            </w:pPr>
          </w:p>
        </w:tc>
      </w:tr>
    </w:tbl>
    <w:p w14:paraId="5D6057EE" w14:textId="5AF4B705" w:rsidR="00E46BD5" w:rsidRDefault="00E46BD5" w:rsidP="00B80E1E">
      <w:pPr>
        <w:spacing w:line="480" w:lineRule="auto"/>
      </w:pPr>
      <w:r>
        <w:t xml:space="preserve">where R is the total number of replications,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δ</m:t>
            </m:r>
          </m:sub>
          <m:sup>
            <m:r>
              <w:rPr>
                <w:rFonts w:ascii="Cambria Math" w:hAnsi="Cambria Math"/>
              </w:rPr>
              <m:t>r</m:t>
            </m:r>
          </m:sup>
        </m:sSubSup>
      </m:oMath>
      <w:r>
        <w:t xml:space="preserve"> is the </w:t>
      </w:r>
      <w:r w:rsidRPr="00DC0E33">
        <w:rPr>
          <w:i/>
        </w:rPr>
        <w:t>r</w:t>
      </w:r>
      <w:r w:rsidRPr="00DC0E33">
        <w:rPr>
          <w:i/>
          <w:vertAlign w:val="superscript"/>
        </w:rPr>
        <w:t>th</w:t>
      </w:r>
      <w:r>
        <w:t xml:space="preserve"> simulated poverty estimate conditional on </w:t>
      </w:r>
      <w:r w:rsidR="00364C8C">
        <w:t>the THS</w:t>
      </w:r>
      <w:r>
        <w:t xml:space="preserve">, and </w:t>
      </w:r>
      <m:oMath>
        <m:r>
          <w:rPr>
            <w:rFonts w:ascii="Cambria Math" w:hAnsi="Cambria Math"/>
          </w:rPr>
          <m:t>δ</m:t>
        </m:r>
      </m:oMath>
      <w:r>
        <w:t xml:space="preserve"> is 0, 1, or 2 for poverty headcount, depth, or severity respectively. The estimated variance of each </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δ</m:t>
            </m:r>
          </m:sub>
        </m:sSub>
      </m:oMath>
      <w:r>
        <w:t xml:space="preserve"> is: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
        <w:gridCol w:w="4498"/>
        <w:gridCol w:w="4497"/>
      </w:tblGrid>
      <w:tr w:rsidR="005A639D" w:rsidRPr="002C1CBF" w14:paraId="4D506F2A" w14:textId="744A40CD" w:rsidTr="00FD204C">
        <w:tc>
          <w:tcPr>
            <w:tcW w:w="195" w:type="pct"/>
            <w:vAlign w:val="center"/>
          </w:tcPr>
          <w:p w14:paraId="13DBF3DF" w14:textId="7AEB56D5" w:rsidR="005A639D" w:rsidRPr="002C1CBF" w:rsidRDefault="005A639D" w:rsidP="00E46BD5"/>
        </w:tc>
        <w:tc>
          <w:tcPr>
            <w:tcW w:w="2403" w:type="pct"/>
            <w:vAlign w:val="center"/>
          </w:tcPr>
          <w:p w14:paraId="0CAD966D" w14:textId="77777777" w:rsidR="005A639D" w:rsidRPr="002C1CBF" w:rsidRDefault="005A639D" w:rsidP="00E46BD5">
            <w:pPr>
              <w:ind w:left="720"/>
            </w:pPr>
            <m:oMathPara>
              <m:oMath>
                <m:r>
                  <w:rPr>
                    <w:rFonts w:ascii="Cambria Math" w:hAnsi="Cambria Math"/>
                  </w:rPr>
                  <m:t xml:space="preserve"> Var(</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δ</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R</m:t>
                    </m:r>
                  </m:den>
                </m:f>
                <m:nary>
                  <m:naryPr>
                    <m:chr m:val="∑"/>
                    <m:limLoc m:val="undOvr"/>
                    <m:ctrlPr>
                      <w:rPr>
                        <w:rFonts w:ascii="Cambria Math" w:hAnsi="Cambria Math"/>
                        <w:i/>
                      </w:rPr>
                    </m:ctrlPr>
                  </m:naryPr>
                  <m:sub>
                    <m:r>
                      <w:rPr>
                        <w:rFonts w:ascii="Cambria Math" w:hAnsi="Cambria Math"/>
                      </w:rPr>
                      <m:t>r=1</m:t>
                    </m:r>
                  </m:sub>
                  <m:sup>
                    <m:r>
                      <w:rPr>
                        <w:rFonts w:ascii="Cambria Math" w:hAnsi="Cambria Math"/>
                      </w:rPr>
                      <m:t>R</m:t>
                    </m:r>
                  </m:sup>
                  <m:e>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acc>
                                  <m:accPr>
                                    <m:ctrlPr>
                                      <w:rPr>
                                        <w:rFonts w:ascii="Cambria Math" w:hAnsi="Cambria Math"/>
                                        <w:i/>
                                      </w:rPr>
                                    </m:ctrlPr>
                                  </m:accPr>
                                  <m:e>
                                    <m:r>
                                      <w:rPr>
                                        <w:rFonts w:ascii="Cambria Math" w:hAnsi="Cambria Math"/>
                                      </w:rPr>
                                      <m:t>P</m:t>
                                    </m:r>
                                  </m:e>
                                </m:acc>
                              </m:e>
                              <m:sub>
                                <m:r>
                                  <w:rPr>
                                    <w:rFonts w:ascii="Cambria Math" w:hAnsi="Cambria Math"/>
                                  </w:rPr>
                                  <m:t>δ</m:t>
                                </m:r>
                              </m:sub>
                              <m:sup>
                                <m:r>
                                  <w:rPr>
                                    <w:rFonts w:ascii="Cambria Math" w:hAnsi="Cambria Math"/>
                                  </w:rPr>
                                  <m:t>r</m:t>
                                </m:r>
                              </m:sup>
                            </m:sSubSup>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δ</m:t>
                                </m:r>
                              </m:sub>
                            </m:sSub>
                          </m:e>
                        </m:d>
                      </m:e>
                      <m:sup>
                        <m:r>
                          <w:rPr>
                            <w:rFonts w:ascii="Cambria Math" w:hAnsi="Cambria Math"/>
                          </w:rPr>
                          <m:t>2</m:t>
                        </m:r>
                      </m:sup>
                    </m:sSup>
                  </m:e>
                </m:nary>
              </m:oMath>
            </m:oMathPara>
          </w:p>
        </w:tc>
        <w:tc>
          <w:tcPr>
            <w:tcW w:w="2402" w:type="pct"/>
            <w:vAlign w:val="center"/>
          </w:tcPr>
          <w:p w14:paraId="5FA4E87D" w14:textId="70F5BDCF" w:rsidR="005A639D" w:rsidRDefault="005A639D" w:rsidP="00FD204C">
            <w:pPr>
              <w:ind w:left="720"/>
              <w:jc w:val="right"/>
              <w:rPr>
                <w:rFonts w:eastAsia="Calibri"/>
              </w:rPr>
            </w:pPr>
            <w:r w:rsidRPr="00A30D83">
              <w:t>(</w:t>
            </w:r>
            <w:fldSimple w:instr=" SEQ Equation \* ARABIC ">
              <w:r w:rsidR="00BB06E6">
                <w:rPr>
                  <w:noProof/>
                </w:rPr>
                <w:t>18</w:t>
              </w:r>
            </w:fldSimple>
            <w:r w:rsidRPr="00A30D83">
              <w:t>)</w:t>
            </w:r>
          </w:p>
        </w:tc>
      </w:tr>
      <w:tr w:rsidR="005A639D" w:rsidRPr="002C1CBF" w14:paraId="1CAE1FE9" w14:textId="5477F287" w:rsidTr="00FD204C">
        <w:tc>
          <w:tcPr>
            <w:tcW w:w="195" w:type="pct"/>
            <w:vAlign w:val="center"/>
          </w:tcPr>
          <w:p w14:paraId="15B0B886" w14:textId="77777777" w:rsidR="005A639D" w:rsidRPr="002C1CBF" w:rsidRDefault="005A639D" w:rsidP="00E46BD5"/>
        </w:tc>
        <w:tc>
          <w:tcPr>
            <w:tcW w:w="2403" w:type="pct"/>
            <w:vAlign w:val="center"/>
          </w:tcPr>
          <w:p w14:paraId="37A3A999" w14:textId="77777777" w:rsidR="005A639D" w:rsidRDefault="005A639D" w:rsidP="00E46BD5">
            <w:pPr>
              <w:ind w:left="720"/>
              <w:rPr>
                <w:rFonts w:eastAsia="MS Mincho"/>
              </w:rPr>
            </w:pPr>
          </w:p>
        </w:tc>
        <w:tc>
          <w:tcPr>
            <w:tcW w:w="2402" w:type="pct"/>
          </w:tcPr>
          <w:p w14:paraId="18A00D32" w14:textId="77777777" w:rsidR="005A639D" w:rsidRDefault="005A639D" w:rsidP="00E46BD5">
            <w:pPr>
              <w:ind w:left="720"/>
              <w:rPr>
                <w:rFonts w:eastAsia="MS Mincho"/>
              </w:rPr>
            </w:pPr>
          </w:p>
        </w:tc>
      </w:tr>
    </w:tbl>
    <w:p w14:paraId="15F4A479" w14:textId="6ABECC48" w:rsidR="004F01C9" w:rsidRDefault="00E46BD5" w:rsidP="0038387E">
      <w:pPr>
        <w:spacing w:line="480" w:lineRule="auto"/>
      </w:pPr>
      <w:r>
        <w:t xml:space="preserve">Due to the form of residual bootstrapping described above, this estimated variance takes into account the uncertainty in estimating the parameters along with the realization of the unobserved components of household </w:t>
      </w:r>
      <w:r w:rsidRPr="00B74BF1">
        <w:t xml:space="preserve">consumption </w:t>
      </w:r>
      <w:r w:rsidR="0038387E">
        <w:fldChar w:fldCharType="begin"/>
      </w:r>
      <w:r w:rsidR="0038387E">
        <w:instrText xml:space="preserve"> ADDIN EN.CITE &lt;EndNote&gt;&lt;Cite&gt;&lt;Author&gt;Elbers&lt;/Author&gt;&lt;Year&gt;2003&lt;/Year&gt;&lt;RecNum&gt;21&lt;/RecNum&gt;&lt;DisplayText&gt;(Elbers, et al., 2003)&lt;/DisplayText&gt;&lt;record&gt;&lt;rec-number&gt;21&lt;/rec-number&gt;&lt;foreign-keys&gt;&lt;key app="EN" db-id="5fvtavdaavaz95e2zv0vf9wms90fv05av5se" timestamp="1481039852"&gt;21&lt;/key&gt;&lt;/foreign-keys&gt;&lt;ref-type name="Journal Article"&gt;17&lt;/ref-type&gt;&lt;contributors&gt;&lt;authors&gt;&lt;author&gt;Elbers, Chris&lt;/author&gt;&lt;author&gt;Lanjouw, Jean O&lt;/author&gt;&lt;author&gt;Lanjouw, Peter&lt;/author&gt;&lt;/authors&gt;&lt;/contributors&gt;&lt;titles&gt;&lt;title&gt;Micro–level estimation of poverty and inequality&lt;/title&gt;&lt;secondary-title&gt;Econometrica&lt;/secondary-title&gt;&lt;/titles&gt;&lt;periodical&gt;&lt;full-title&gt;Econometrica&lt;/full-title&gt;&lt;abbr-1&gt;Econometrica&lt;/abbr-1&gt;&lt;abbr-2&gt;Econometrica&lt;/abbr-2&gt;&lt;/periodical&gt;&lt;pages&gt;355-364&lt;/pages&gt;&lt;volume&gt;71&lt;/volume&gt;&lt;number&gt;1&lt;/number&gt;&lt;dates&gt;&lt;year&gt;2003&lt;/year&gt;&lt;/dates&gt;&lt;isbn&gt;1468-0262&lt;/isbn&gt;&lt;urls&gt;&lt;/urls&gt;&lt;/record&gt;&lt;/Cite&gt;&lt;/EndNote&gt;</w:instrText>
      </w:r>
      <w:r w:rsidR="0038387E">
        <w:fldChar w:fldCharType="separate"/>
      </w:r>
      <w:r w:rsidR="0038387E">
        <w:rPr>
          <w:noProof/>
        </w:rPr>
        <w:t>(Elbers, et al., 2003)</w:t>
      </w:r>
      <w:r w:rsidR="0038387E">
        <w:fldChar w:fldCharType="end"/>
      </w:r>
      <w:r w:rsidRPr="00B74BF1">
        <w:t>. The</w:t>
      </w:r>
      <w:r>
        <w:t xml:space="preserve"> 95% confidence intervals for each poverty measure are estimated directly from their empirical distributions by calculating the 2.5</w:t>
      </w:r>
      <w:r w:rsidRPr="00A727F4">
        <w:rPr>
          <w:vertAlign w:val="superscript"/>
        </w:rPr>
        <w:t>th</w:t>
      </w:r>
      <w:r>
        <w:t xml:space="preserve"> and 97.5</w:t>
      </w:r>
      <w:r w:rsidRPr="00A727F4">
        <w:rPr>
          <w:vertAlign w:val="superscript"/>
        </w:rPr>
        <w:t>th</w:t>
      </w:r>
      <w:r>
        <w:t xml:space="preserve"> percentiles of the 10,000 estimates.</w:t>
      </w:r>
    </w:p>
    <w:p w14:paraId="4970F125" w14:textId="1E18FEC1" w:rsidR="00A20D79" w:rsidRPr="00A20D79" w:rsidRDefault="00566074" w:rsidP="00914555">
      <w:pPr>
        <w:spacing w:line="480" w:lineRule="auto"/>
        <w:ind w:firstLine="720"/>
      </w:pPr>
      <w:r>
        <w:lastRenderedPageBreak/>
        <w:t>We use the international poverty line of</w:t>
      </w:r>
      <w:r w:rsidRPr="003753FD">
        <w:t xml:space="preserve"> $1.25 at 2005 </w:t>
      </w:r>
      <w:r>
        <w:t>Purchasing Power Parity (</w:t>
      </w:r>
      <w:r w:rsidRPr="003753FD">
        <w:t>P</w:t>
      </w:r>
      <w:r>
        <w:t>PP), which i</w:t>
      </w:r>
      <w:r w:rsidRPr="003753FD">
        <w:t xml:space="preserve">s </w:t>
      </w:r>
      <w:r>
        <w:t>just $0.02 lower than</w:t>
      </w:r>
      <w:r w:rsidRPr="003753FD">
        <w:t xml:space="preserve"> Uganda’s </w:t>
      </w:r>
      <w:r>
        <w:t xml:space="preserve">official </w:t>
      </w:r>
      <w:r w:rsidRPr="003753FD">
        <w:t>poverty line</w:t>
      </w:r>
      <w:r w:rsidR="00092D8B">
        <w:t xml:space="preserve"> </w:t>
      </w:r>
      <w:r w:rsidR="0038387E">
        <w:fldChar w:fldCharType="begin"/>
      </w:r>
      <w:r w:rsidR="0038387E">
        <w:instrText xml:space="preserve"> ADDIN EN.CITE &lt;EndNote&gt;&lt;Cite&gt;&lt;Author&gt;Ravallion&lt;/Author&gt;&lt;Year&gt;2009&lt;/Year&gt;&lt;RecNum&gt;28&lt;/RecNum&gt;&lt;DisplayText&gt;(Ravallion, et al., 2009)&lt;/DisplayText&gt;&lt;record&gt;&lt;rec-number&gt;28&lt;/rec-number&gt;&lt;foreign-keys&gt;&lt;key app="EN" db-id="5fvtavdaavaz95e2zv0vf9wms90fv05av5se" timestamp="1481044969"&gt;28&lt;/key&gt;&lt;/foreign-keys&gt;&lt;ref-type name="Journal Article"&gt;17&lt;/ref-type&gt;&lt;contributors&gt;&lt;authors&gt;&lt;author&gt;Ravallion, Martin&lt;/author&gt;&lt;author&gt;Chen, Shaohua&lt;/author&gt;&lt;author&gt;Sangraula, Prem&lt;/author&gt;&lt;/authors&gt;&lt;/contributors&gt;&lt;titles&gt;&lt;title&gt;Dollar a day revisited&lt;/title&gt;&lt;secondary-title&gt;The World Bank Economic Review&lt;/secondary-title&gt;&lt;/titles&gt;&lt;periodical&gt;&lt;full-title&gt;The World Bank Economic Review&lt;/full-title&gt;&lt;abbr-1&gt;World Bank Econ Rev&lt;/abbr-1&gt;&lt;/periodical&gt;&lt;pages&gt;163-184&lt;/pages&gt;&lt;volume&gt;23&lt;/volume&gt;&lt;number&gt;2&lt;/number&gt;&lt;dates&gt;&lt;year&gt;2009&lt;/year&gt;&lt;/dates&gt;&lt;isbn&gt;0258-6770&lt;/isbn&gt;&lt;urls&gt;&lt;/urls&gt;&lt;/record&gt;&lt;/Cite&gt;&lt;/EndNote&gt;</w:instrText>
      </w:r>
      <w:r w:rsidR="0038387E">
        <w:fldChar w:fldCharType="separate"/>
      </w:r>
      <w:r w:rsidR="0038387E">
        <w:rPr>
          <w:noProof/>
        </w:rPr>
        <w:t>(Ravallion, et al., 2009)</w:t>
      </w:r>
      <w:r w:rsidR="0038387E">
        <w:fldChar w:fldCharType="end"/>
      </w:r>
      <w:r w:rsidRPr="00344169">
        <w:t>.</w:t>
      </w:r>
      <w:r>
        <w:t xml:space="preserve"> Use of the international line facilitates </w:t>
      </w:r>
      <w:r w:rsidRPr="003753FD">
        <w:t>cross-country comparisons</w:t>
      </w:r>
      <w:r>
        <w:t xml:space="preserve"> without losing applicability for policy makers and researchers in Uganda</w:t>
      </w:r>
      <w:r w:rsidRPr="003753FD">
        <w:t>.</w:t>
      </w:r>
      <w:r>
        <w:t xml:space="preserve"> </w:t>
      </w:r>
      <w:r w:rsidRPr="003753FD">
        <w:t xml:space="preserve">Following standard practice, $1.25 per capita per day at 2005 PPP </w:t>
      </w:r>
      <w:r>
        <w:t>is</w:t>
      </w:r>
      <w:r w:rsidRPr="003753FD">
        <w:t xml:space="preserve"> converted to </w:t>
      </w:r>
      <w:r>
        <w:t>local currency by applying Uganda’s</w:t>
      </w:r>
      <w:r w:rsidRPr="003753FD">
        <w:t xml:space="preserve"> 2005 PPP conversion factor for private consumption</w:t>
      </w:r>
      <w:r>
        <w:rPr>
          <w:rStyle w:val="FootnoteReference"/>
        </w:rPr>
        <w:footnoteReference w:id="4"/>
      </w:r>
      <w:r w:rsidRPr="003753FD">
        <w:t xml:space="preserve">. </w:t>
      </w:r>
      <w:r w:rsidRPr="009F2232">
        <w:t>The converted 2005 poverty line is deflated to 2012 using the International Mo</w:t>
      </w:r>
      <w:r>
        <w:t xml:space="preserve">netary Fund’s </w:t>
      </w:r>
      <w:r w:rsidRPr="009F2232">
        <w:t>official consumer price index for Uganda</w:t>
      </w:r>
      <w:r w:rsidR="0052763E">
        <w:t xml:space="preserve"> </w:t>
      </w:r>
      <w:r w:rsidR="00914555">
        <w:fldChar w:fldCharType="begin"/>
      </w:r>
      <w:r w:rsidR="00914555">
        <w:instrText xml:space="preserve"> ADDIN EN.CITE &lt;EndNote&gt;&lt;Cite&gt;&lt;Author&gt;World Bank&lt;/Author&gt;&lt;Year&gt;2016&lt;/Year&gt;&lt;RecNum&gt;39&lt;/RecNum&gt;&lt;DisplayText&gt;(World Bank, 2016a)&lt;/DisplayText&gt;&lt;record&gt;&lt;rec-number&gt;39&lt;/rec-number&gt;&lt;foreign-keys&gt;&lt;key app="EN" db-id="5fvtavdaavaz95e2zv0vf9wms90fv05av5se" timestamp="1481136538"&gt;39&lt;/key&gt;&lt;/foreign-keys&gt;&lt;ref-type name="Report"&gt;27&lt;/ref-type&gt;&lt;contributors&gt;&lt;authors&gt;&lt;author&gt;World Bank, &lt;/author&gt;&lt;/authors&gt;&lt;/contributors&gt;&lt;titles&gt;&lt;title&gt;Consumer price index&lt;/title&gt;&lt;/titles&gt;&lt;dates&gt;&lt;year&gt;2016&lt;/year&gt;&lt;/dates&gt;&lt;urls&gt;&lt;related-urls&gt;&lt;url&gt;http://data.worldbank.org/indicator/FP.CPI.TOTL&lt;/url&gt;&lt;/related-urls&gt;&lt;/urls&gt;&lt;access-date&gt;December 2016&lt;/access-date&gt;&lt;/record&gt;&lt;/Cite&gt;&lt;/EndNote&gt;</w:instrText>
      </w:r>
      <w:r w:rsidR="00914555">
        <w:fldChar w:fldCharType="separate"/>
      </w:r>
      <w:r w:rsidR="00914555">
        <w:rPr>
          <w:noProof/>
        </w:rPr>
        <w:t>(World Bank, 2016a)</w:t>
      </w:r>
      <w:r w:rsidR="00914555">
        <w:fldChar w:fldCharType="end"/>
      </w:r>
      <w:r w:rsidRPr="009F2232">
        <w:t>.</w:t>
      </w:r>
      <w:r w:rsidRPr="003753FD">
        <w:t xml:space="preserve"> </w:t>
      </w:r>
      <w:r w:rsidR="00F929F6">
        <w:t>Due to its</w:t>
      </w:r>
      <w:r w:rsidR="00E46BD5">
        <w:t xml:space="preserve"> stochastic compone</w:t>
      </w:r>
      <w:r w:rsidR="00F929F6">
        <w:t>nt</w:t>
      </w:r>
      <w:r w:rsidR="00E46BD5">
        <w:t xml:space="preserve">, the </w:t>
      </w:r>
      <w:r w:rsidR="00F929F6">
        <w:t>predicted consumption for</w:t>
      </w:r>
      <w:r w:rsidR="00E46BD5">
        <w:t xml:space="preserve"> a given household in relation to the poverty line </w:t>
      </w:r>
      <w:r w:rsidR="00F929F6">
        <w:t>may not be identical for all simulations. Thus</w:t>
      </w:r>
      <w:r w:rsidR="00E46BD5">
        <w:t>,</w:t>
      </w:r>
      <w:r w:rsidR="0035070F">
        <w:t xml:space="preserve"> we </w:t>
      </w:r>
      <w:r w:rsidR="00202927">
        <w:t>consider</w:t>
      </w:r>
      <w:r w:rsidR="0035070F">
        <w:t xml:space="preserve"> a household to be poor</w:t>
      </w:r>
      <w:r w:rsidR="00202927">
        <w:t xml:space="preserve"> if its</w:t>
      </w:r>
      <w:r w:rsidR="00E46BD5">
        <w:t xml:space="preserve"> predicted consumpti</w:t>
      </w:r>
      <w:r w:rsidR="00202927">
        <w:t>on falls below the poverty line</w:t>
      </w:r>
      <w:r w:rsidR="00F929F6">
        <w:t xml:space="preserve"> </w:t>
      </w:r>
      <w:r w:rsidR="00255112">
        <w:t xml:space="preserve">in </w:t>
      </w:r>
      <w:r w:rsidR="00F929F6">
        <w:t xml:space="preserve">more than 70% of the </w:t>
      </w:r>
      <w:r w:rsidR="00E46BD5">
        <w:t>10,000 simulations</w:t>
      </w:r>
      <w:r w:rsidR="0039738D">
        <w:t>.</w:t>
      </w:r>
    </w:p>
    <w:p w14:paraId="1BC28409" w14:textId="77777777" w:rsidR="00D8787F" w:rsidRDefault="00D8787F" w:rsidP="00D8787F">
      <w:pPr>
        <w:pStyle w:val="ListParagraph"/>
        <w:numPr>
          <w:ilvl w:val="1"/>
          <w:numId w:val="18"/>
        </w:numPr>
        <w:spacing w:line="480" w:lineRule="auto"/>
        <w:ind w:left="0" w:firstLine="0"/>
        <w:outlineLvl w:val="0"/>
        <w:rPr>
          <w:i/>
        </w:rPr>
      </w:pPr>
      <w:r w:rsidRPr="00A20D79">
        <w:rPr>
          <w:i/>
        </w:rPr>
        <w:t xml:space="preserve">Simulations of poverty reductions from CA adoption </w:t>
      </w:r>
    </w:p>
    <w:p w14:paraId="105004A5" w14:textId="74A80451" w:rsidR="00D8787F" w:rsidRPr="00A20D79" w:rsidRDefault="00D8787F" w:rsidP="0041529C">
      <w:pPr>
        <w:pStyle w:val="ListParagraph"/>
        <w:spacing w:line="480" w:lineRule="auto"/>
        <w:ind w:left="0" w:firstLine="720"/>
        <w:outlineLvl w:val="0"/>
        <w:rPr>
          <w:i/>
        </w:rPr>
      </w:pPr>
      <w:r w:rsidRPr="007D160E">
        <w:t xml:space="preserve">The objective is to assess “best case” scenarios for the poverty impacts of </w:t>
      </w:r>
      <w:r>
        <w:t xml:space="preserve">CA </w:t>
      </w:r>
      <w:r w:rsidRPr="007D160E">
        <w:t xml:space="preserve">adoption in Tororo. CA </w:t>
      </w:r>
      <w:r w:rsidR="0035070F">
        <w:t xml:space="preserve">adoption </w:t>
      </w:r>
      <w:r w:rsidRPr="007D160E">
        <w:t>is expected</w:t>
      </w:r>
      <w:r w:rsidRPr="00805638">
        <w:t xml:space="preserve"> to influence yield</w:t>
      </w:r>
      <w:r w:rsidR="00097F85">
        <w:t xml:space="preserve"> </w:t>
      </w:r>
      <w:r w:rsidRPr="00805638">
        <w:t>and production costs</w:t>
      </w:r>
      <w:r>
        <w:t xml:space="preserve"> (explained below)</w:t>
      </w:r>
      <w:r w:rsidRPr="00805638">
        <w:t>, where</w:t>
      </w:r>
      <w:r>
        <w:t xml:space="preserve"> the net effect </w:t>
      </w:r>
      <w:r w:rsidRPr="00805638">
        <w:t xml:space="preserve">of CA </w:t>
      </w:r>
      <w:r>
        <w:t>on farm profits</w:t>
      </w:r>
      <w:r w:rsidR="00097F85">
        <w:rPr>
          <w:rStyle w:val="FootnoteReference"/>
        </w:rPr>
        <w:footnoteReference w:id="5"/>
      </w:r>
      <w:r w:rsidR="00097F85" w:rsidRPr="00805638">
        <w:t xml:space="preserve"> </w:t>
      </w:r>
      <w:r>
        <w:t xml:space="preserve"> is the combination of these two changes</w:t>
      </w:r>
      <w:r w:rsidR="00040ADE">
        <w:t>.</w:t>
      </w:r>
      <w:r>
        <w:t xml:space="preserve"> We measure the annual change in farm profitability, </w:t>
      </w:r>
      <m:oMath>
        <m:r>
          <w:rPr>
            <w:rFonts w:ascii="Cambria Math" w:hAnsi="Cambria Math"/>
          </w:rPr>
          <m:t>∆</m:t>
        </m:r>
        <m:sSub>
          <m:sSubPr>
            <m:ctrlPr>
              <w:rPr>
                <w:rFonts w:ascii="Cambria Math" w:hAnsi="Cambria Math"/>
                <w:i/>
              </w:rPr>
            </m:ctrlPr>
          </m:sSubPr>
          <m:e>
            <m:r>
              <w:rPr>
                <w:rFonts w:ascii="Cambria Math" w:hAnsi="Cambria Math"/>
              </w:rPr>
              <m:t>π</m:t>
            </m:r>
          </m:e>
          <m:sub>
            <m:r>
              <w:rPr>
                <w:rFonts w:ascii="Cambria Math" w:hAnsi="Cambria Math"/>
              </w:rPr>
              <m:t>ch</m:t>
            </m:r>
          </m:sub>
        </m:sSub>
      </m:oMath>
      <w:r>
        <w:t xml:space="preserve">, for household </w:t>
      </w:r>
      <w:r>
        <w:rPr>
          <w:i/>
        </w:rPr>
        <w:t>h</w:t>
      </w:r>
      <w:r>
        <w:rPr>
          <w:iCs/>
        </w:rPr>
        <w:t xml:space="preserve"> in cluster</w:t>
      </w:r>
      <w:r>
        <w:t xml:space="preserve"> </w:t>
      </w:r>
      <w:r w:rsidRPr="002A70E1">
        <w:rPr>
          <w:i/>
        </w:rPr>
        <w:t>c</w:t>
      </w:r>
      <w:r>
        <w:t xml:space="preserve"> as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
        <w:gridCol w:w="4412"/>
        <w:gridCol w:w="4412"/>
      </w:tblGrid>
      <w:tr w:rsidR="00900DB1" w:rsidRPr="002C1CBF" w14:paraId="653FC1DF" w14:textId="5DD9F358" w:rsidTr="0075566C">
        <w:trPr>
          <w:trHeight w:val="306"/>
        </w:trPr>
        <w:tc>
          <w:tcPr>
            <w:tcW w:w="286" w:type="pct"/>
            <w:vAlign w:val="center"/>
          </w:tcPr>
          <w:p w14:paraId="68CEEA55" w14:textId="1EEC1524" w:rsidR="00900DB1" w:rsidRDefault="00900DB1" w:rsidP="00523DA4">
            <w:pPr>
              <w:jc w:val="center"/>
              <w:rPr>
                <w:rFonts w:eastAsia="Calibri"/>
              </w:rPr>
            </w:pPr>
          </w:p>
        </w:tc>
        <w:tc>
          <w:tcPr>
            <w:tcW w:w="2357" w:type="pct"/>
            <w:vAlign w:val="center"/>
          </w:tcPr>
          <w:p w14:paraId="6500A827" w14:textId="77777777" w:rsidR="00900DB1" w:rsidRPr="002C1CBF" w:rsidRDefault="00900DB1" w:rsidP="00523DA4">
            <w:pPr>
              <w:jc w:val="center"/>
            </w:pPr>
            <m:oMathPara>
              <m:oMath>
                <m:r>
                  <w:rPr>
                    <w:rFonts w:ascii="Cambria Math" w:hAnsi="Cambria Math"/>
                  </w:rPr>
                  <m:t>∆</m:t>
                </m:r>
                <m:sSub>
                  <m:sSubPr>
                    <m:ctrlPr>
                      <w:rPr>
                        <w:rFonts w:ascii="Cambria Math" w:hAnsi="Cambria Math"/>
                        <w:i/>
                      </w:rPr>
                    </m:ctrlPr>
                  </m:sSubPr>
                  <m:e>
                    <m:r>
                      <w:rPr>
                        <w:rFonts w:ascii="Cambria Math" w:hAnsi="Cambria Math"/>
                      </w:rPr>
                      <m:t>π</m:t>
                    </m:r>
                  </m:e>
                  <m:sub>
                    <m:r>
                      <w:rPr>
                        <w:rFonts w:ascii="Cambria Math" w:hAnsi="Cambria Math"/>
                      </w:rPr>
                      <m:t>ch</m:t>
                    </m:r>
                  </m:sub>
                </m:sSub>
                <m:r>
                  <w:rPr>
                    <w:rFonts w:ascii="Cambria Math" w:hAnsi="Cambria Math"/>
                  </w:rPr>
                  <m:t>=2(γ</m:t>
                </m:r>
                <m:sSub>
                  <m:sSubPr>
                    <m:ctrlPr>
                      <w:rPr>
                        <w:rFonts w:ascii="Cambria Math" w:hAnsi="Cambria Math"/>
                        <w:i/>
                      </w:rPr>
                    </m:ctrlPr>
                  </m:sSubPr>
                  <m:e>
                    <m:r>
                      <w:rPr>
                        <w:rFonts w:ascii="Cambria Math" w:hAnsi="Cambria Math"/>
                      </w:rPr>
                      <m:t>l</m:t>
                    </m:r>
                  </m:e>
                  <m:sub>
                    <m:r>
                      <w:rPr>
                        <w:rFonts w:ascii="Cambria Math" w:hAnsi="Cambria Math"/>
                      </w:rPr>
                      <m:t>ch</m:t>
                    </m:r>
                  </m:sub>
                </m:sSub>
                <m:r>
                  <w:rPr>
                    <w:rFonts w:ascii="Cambria Math" w:hAnsi="Cambria Math"/>
                  </w:rPr>
                  <m:t>)</m:t>
                </m:r>
              </m:oMath>
            </m:oMathPara>
          </w:p>
        </w:tc>
        <w:tc>
          <w:tcPr>
            <w:tcW w:w="2357" w:type="pct"/>
            <w:vAlign w:val="center"/>
          </w:tcPr>
          <w:p w14:paraId="0D594FFD" w14:textId="468D7F04" w:rsidR="00900DB1" w:rsidRDefault="00900DB1" w:rsidP="00900DB1">
            <w:pPr>
              <w:jc w:val="right"/>
              <w:rPr>
                <w:rFonts w:eastAsia="Calibri"/>
              </w:rPr>
            </w:pPr>
            <w:r w:rsidRPr="00A30D83">
              <w:t>(</w:t>
            </w:r>
            <w:fldSimple w:instr=" SEQ Equation \* ARABIC ">
              <w:r w:rsidR="00BB06E6">
                <w:rPr>
                  <w:noProof/>
                </w:rPr>
                <w:t>19</w:t>
              </w:r>
            </w:fldSimple>
            <w:r w:rsidRPr="00A30D83">
              <w:t>)</w:t>
            </w:r>
          </w:p>
        </w:tc>
      </w:tr>
      <w:tr w:rsidR="00900DB1" w:rsidRPr="002C1CBF" w14:paraId="5BB052EE" w14:textId="365E484B" w:rsidTr="0075566C">
        <w:tc>
          <w:tcPr>
            <w:tcW w:w="286" w:type="pct"/>
            <w:vAlign w:val="center"/>
          </w:tcPr>
          <w:p w14:paraId="59FD82D1" w14:textId="77777777" w:rsidR="00900DB1" w:rsidRPr="002C1CBF" w:rsidRDefault="00900DB1" w:rsidP="00523DA4">
            <w:pPr>
              <w:jc w:val="center"/>
            </w:pPr>
          </w:p>
        </w:tc>
        <w:tc>
          <w:tcPr>
            <w:tcW w:w="2357" w:type="pct"/>
            <w:vAlign w:val="center"/>
          </w:tcPr>
          <w:p w14:paraId="6D9080F6" w14:textId="77777777" w:rsidR="00900DB1" w:rsidRDefault="00900DB1" w:rsidP="00523DA4">
            <w:pPr>
              <w:jc w:val="center"/>
              <w:rPr>
                <w:rFonts w:eastAsia="Calibri"/>
              </w:rPr>
            </w:pPr>
          </w:p>
        </w:tc>
        <w:tc>
          <w:tcPr>
            <w:tcW w:w="2357" w:type="pct"/>
          </w:tcPr>
          <w:p w14:paraId="5A08459A" w14:textId="77777777" w:rsidR="00900DB1" w:rsidRDefault="00900DB1" w:rsidP="00523DA4">
            <w:pPr>
              <w:jc w:val="center"/>
              <w:rPr>
                <w:rFonts w:eastAsia="Calibri"/>
              </w:rPr>
            </w:pPr>
          </w:p>
        </w:tc>
      </w:tr>
    </w:tbl>
    <w:p w14:paraId="166A4E27" w14:textId="77777777" w:rsidR="00D8787F" w:rsidRDefault="00D8787F" w:rsidP="00D8787F"/>
    <w:p w14:paraId="7B010C8C" w14:textId="4F2F1E33" w:rsidR="00D8787F" w:rsidRDefault="00D8787F" w:rsidP="00D8787F">
      <w:pPr>
        <w:spacing w:line="480" w:lineRule="auto"/>
      </w:pPr>
      <w:r>
        <w:t xml:space="preserve">where </w:t>
      </w:r>
      <m:oMath>
        <m:r>
          <w:rPr>
            <w:rFonts w:ascii="Cambria Math" w:hAnsi="Cambria Math"/>
          </w:rPr>
          <m:t>γ</m:t>
        </m:r>
      </m:oMath>
      <w:r>
        <w:t xml:space="preserve"> is the per-</w:t>
      </w:r>
      <w:r w:rsidRPr="00563ADF">
        <w:t xml:space="preserve">acre change in farm profits and </w:t>
      </w:r>
      <m:oMath>
        <m:sSub>
          <m:sSubPr>
            <m:ctrlPr>
              <w:rPr>
                <w:rFonts w:ascii="Cambria Math" w:hAnsi="Cambria Math"/>
                <w:i/>
              </w:rPr>
            </m:ctrlPr>
          </m:sSubPr>
          <m:e>
            <m:r>
              <w:rPr>
                <w:rFonts w:ascii="Cambria Math" w:hAnsi="Cambria Math"/>
              </w:rPr>
              <m:t>l</m:t>
            </m:r>
          </m:e>
          <m:sub>
            <m:r>
              <w:rPr>
                <w:rFonts w:ascii="Cambria Math" w:hAnsi="Cambria Math"/>
              </w:rPr>
              <m:t>ch</m:t>
            </m:r>
          </m:sub>
        </m:sSub>
      </m:oMath>
      <w:r w:rsidR="00255112">
        <w:t xml:space="preserve"> is</w:t>
      </w:r>
      <w:r w:rsidRPr="00563ADF">
        <w:t xml:space="preserve"> acres </w:t>
      </w:r>
      <w:r w:rsidRPr="005574A0">
        <w:t>cultivate</w:t>
      </w:r>
      <w:r w:rsidR="0035070F">
        <w:t>d</w:t>
      </w:r>
      <w:r w:rsidRPr="005574A0">
        <w:t xml:space="preserve"> under CA in a cropping season. Since there are two cropping seasons per year in Uganda, </w:t>
      </w:r>
      <m:oMath>
        <m:r>
          <w:rPr>
            <w:rFonts w:ascii="Cambria Math" w:hAnsi="Cambria Math"/>
          </w:rPr>
          <m:t>γ</m:t>
        </m:r>
        <m:sSub>
          <m:sSubPr>
            <m:ctrlPr>
              <w:rPr>
                <w:rFonts w:ascii="Cambria Math" w:hAnsi="Cambria Math"/>
                <w:i/>
              </w:rPr>
            </m:ctrlPr>
          </m:sSubPr>
          <m:e>
            <m:r>
              <w:rPr>
                <w:rFonts w:ascii="Cambria Math" w:hAnsi="Cambria Math"/>
              </w:rPr>
              <m:t>l</m:t>
            </m:r>
          </m:e>
          <m:sub>
            <m:r>
              <w:rPr>
                <w:rFonts w:ascii="Cambria Math" w:hAnsi="Cambria Math"/>
              </w:rPr>
              <m:t>ch</m:t>
            </m:r>
          </m:sub>
        </m:sSub>
      </m:oMath>
      <w:r w:rsidRPr="005574A0">
        <w:t xml:space="preserve"> is multiplied by two to obtain the annual change in farm profitability</w:t>
      </w:r>
      <w:r w:rsidR="00AF2F7C">
        <w:t xml:space="preserve"> associated with CA</w:t>
      </w:r>
      <w:r w:rsidRPr="005574A0">
        <w:t>. Equation (19) relies on the assumptions that change</w:t>
      </w:r>
      <w:r w:rsidR="00AF2F7C">
        <w:t>s</w:t>
      </w:r>
      <w:r w:rsidRPr="005574A0">
        <w:t xml:space="preserve"> in farm profits from CA adoption and quantity of land under CA are </w:t>
      </w:r>
      <w:r w:rsidRPr="005574A0">
        <w:lastRenderedPageBreak/>
        <w:t xml:space="preserve">identical in both seasons and that per-acre change in farm profits is </w:t>
      </w:r>
      <w:r>
        <w:t>constant across households</w:t>
      </w:r>
      <w:r w:rsidRPr="005574A0">
        <w:t xml:space="preserve">. </w:t>
      </w:r>
      <w:r>
        <w:t xml:space="preserve">Adoption of and </w:t>
      </w:r>
      <w:r w:rsidR="00B2398F">
        <w:t>profits from CA are</w:t>
      </w:r>
      <w:r w:rsidRPr="005574A0">
        <w:t xml:space="preserve"> </w:t>
      </w:r>
      <w:r>
        <w:t xml:space="preserve">assumed to be </w:t>
      </w:r>
      <w:r w:rsidRPr="005574A0">
        <w:t>invariant to land ownership status.</w:t>
      </w:r>
      <w:r>
        <w:t xml:space="preserve"> </w:t>
      </w:r>
    </w:p>
    <w:p w14:paraId="4D7D87F9" w14:textId="70359378" w:rsidR="00D8787F" w:rsidRDefault="00D8787F" w:rsidP="00040ADE">
      <w:pPr>
        <w:spacing w:line="480" w:lineRule="auto"/>
        <w:ind w:firstLine="720"/>
      </w:pPr>
      <w:r>
        <w:t>T</w:t>
      </w:r>
      <w:r w:rsidRPr="002F7BA3">
        <w:t>hrough higher y</w:t>
      </w:r>
      <w:r>
        <w:t>ield and lower production costs, a</w:t>
      </w:r>
      <w:r w:rsidRPr="002F7BA3">
        <w:t xml:space="preserve">doption of CA </w:t>
      </w:r>
      <w:r>
        <w:t xml:space="preserve">is expected to </w:t>
      </w:r>
      <w:proofErr w:type="gramStart"/>
      <w:r w:rsidRPr="002F7BA3">
        <w:t>direct</w:t>
      </w:r>
      <w:r>
        <w:t>ly</w:t>
      </w:r>
      <w:r w:rsidRPr="002F7BA3">
        <w:t xml:space="preserve"> and indirect</w:t>
      </w:r>
      <w:r>
        <w:t>ly</w:t>
      </w:r>
      <w:r w:rsidRPr="002F7BA3">
        <w:t xml:space="preserve"> impact</w:t>
      </w:r>
      <w:r>
        <w:t xml:space="preserve"> household consumption</w:t>
      </w:r>
      <w:proofErr w:type="gramEnd"/>
      <w:r>
        <w:t>. Higher yield</w:t>
      </w:r>
      <w:r w:rsidR="008B1CFF">
        <w:t>s</w:t>
      </w:r>
      <w:r>
        <w:t xml:space="preserve"> can directly boost household consumption. Lower production costs, like market sales, increase cash available to spend on food and non-food items. While adoption of CA can influence consumption through several channels, it is assumed that a change in farm profit</w:t>
      </w:r>
      <w:r w:rsidRPr="002F7BA3">
        <w:t xml:space="preserve"> translates into </w:t>
      </w:r>
      <w:r>
        <w:t>an equal change</w:t>
      </w:r>
      <w:r w:rsidRPr="002F7BA3">
        <w:t xml:space="preserve"> in ho</w:t>
      </w:r>
      <w:r>
        <w:t xml:space="preserve">usehold consumption expenditure. </w:t>
      </w:r>
    </w:p>
    <w:p w14:paraId="2C3A711C" w14:textId="3996DB6D" w:rsidR="00D8787F" w:rsidRPr="002464E8" w:rsidRDefault="00D8787F" w:rsidP="00072883">
      <w:pPr>
        <w:spacing w:line="480" w:lineRule="auto"/>
        <w:ind w:firstLine="720"/>
        <w:rPr>
          <w:highlight w:val="yellow"/>
        </w:rPr>
      </w:pPr>
      <w:r>
        <w:t>To assess the effect of CA adoption on poverty</w:t>
      </w:r>
      <w:r w:rsidR="00040ADE">
        <w:t>, the annual increase</w:t>
      </w:r>
      <w:r w:rsidR="00B2398F">
        <w:t xml:space="preserve"> in farm profit</w:t>
      </w:r>
      <w:r>
        <w:t xml:space="preserve">, </w:t>
      </w:r>
      <m:oMath>
        <m:r>
          <w:rPr>
            <w:rFonts w:ascii="Cambria Math" w:hAnsi="Cambria Math"/>
          </w:rPr>
          <m:t>∆</m:t>
        </m:r>
        <m:sSub>
          <m:sSubPr>
            <m:ctrlPr>
              <w:rPr>
                <w:rFonts w:ascii="Cambria Math" w:hAnsi="Cambria Math"/>
                <w:i/>
              </w:rPr>
            </m:ctrlPr>
          </m:sSubPr>
          <m:e>
            <m:r>
              <w:rPr>
                <w:rFonts w:ascii="Cambria Math" w:hAnsi="Cambria Math"/>
              </w:rPr>
              <m:t>π</m:t>
            </m:r>
          </m:e>
          <m:sub>
            <m:r>
              <w:rPr>
                <w:rFonts w:ascii="Cambria Math" w:hAnsi="Cambria Math"/>
              </w:rPr>
              <m:t>ch</m:t>
            </m:r>
          </m:sub>
        </m:sSub>
      </m:oMath>
      <w:r>
        <w:t xml:space="preserve">, is added to the corresponding predicted household consumption estimate in </w:t>
      </w:r>
      <w:r>
        <w:fldChar w:fldCharType="begin"/>
      </w:r>
      <w:r>
        <w:instrText xml:space="preserve"> REF _Ref297544433 \h </w:instrText>
      </w:r>
      <w:r>
        <w:fldChar w:fldCharType="separate"/>
      </w:r>
      <w:r w:rsidR="00BB06E6" w:rsidRPr="00A30D83">
        <w:t>(</w:t>
      </w:r>
      <w:r w:rsidR="00BB06E6">
        <w:rPr>
          <w:noProof/>
        </w:rPr>
        <w:t>15</w:t>
      </w:r>
      <w:r w:rsidR="00BB06E6" w:rsidRPr="00A30D83">
        <w:t>)</w:t>
      </w:r>
      <w:r>
        <w:fldChar w:fldCharType="end"/>
      </w:r>
      <w:r>
        <w:t xml:space="preserve"> of simulation step (f). For non-poor households, </w:t>
      </w:r>
      <m:oMath>
        <m:sSubSup>
          <m:sSubSupPr>
            <m:ctrlPr>
              <w:rPr>
                <w:rFonts w:ascii="Cambria Math" w:hAnsi="Cambria Math"/>
                <w:i/>
              </w:rPr>
            </m:ctrlPr>
          </m:sSubSupPr>
          <m:e>
            <m:r>
              <w:rPr>
                <w:rFonts w:ascii="Cambria Math" w:hAnsi="Cambria Math"/>
              </w:rPr>
              <m:t>y</m:t>
            </m:r>
          </m:e>
          <m:sub>
            <m:r>
              <w:rPr>
                <w:rFonts w:ascii="Cambria Math" w:hAnsi="Cambria Math"/>
              </w:rPr>
              <m:t>ch</m:t>
            </m:r>
          </m:sub>
          <m:sup>
            <m:r>
              <w:rPr>
                <w:rFonts w:ascii="Cambria Math" w:hAnsi="Cambria Math"/>
              </w:rPr>
              <m:t>r</m:t>
            </m:r>
          </m:sup>
        </m:sSubSup>
      </m:oMath>
      <w:r>
        <w:t xml:space="preserve"> remains unchanged. The rest of the simulation procedure is repeated as before</w:t>
      </w:r>
      <w:r w:rsidRPr="00EC65CD">
        <w:t>.</w:t>
      </w:r>
      <w:r>
        <w:t xml:space="preserve"> Using the same sets of draws of </w:t>
      </w:r>
      <m:oMath>
        <m:sSup>
          <m:sSupPr>
            <m:ctrlPr>
              <w:rPr>
                <w:rFonts w:ascii="Cambria Math" w:hAnsi="Cambria Math"/>
                <w:i/>
              </w:rPr>
            </m:ctrlPr>
          </m:sSupPr>
          <m:e>
            <m:acc>
              <m:accPr>
                <m:ctrlPr>
                  <w:rPr>
                    <w:rFonts w:ascii="Cambria Math" w:hAnsi="Cambria Math"/>
                    <w:i/>
                  </w:rPr>
                </m:ctrlPr>
              </m:accPr>
              <m:e>
                <m:r>
                  <w:rPr>
                    <w:rFonts w:ascii="Cambria Math" w:hAnsi="Cambria Math"/>
                  </w:rPr>
                  <m:t>β</m:t>
                </m:r>
              </m:e>
            </m:acc>
          </m:e>
          <m:sup>
            <m:r>
              <w:rPr>
                <w:rFonts w:ascii="Cambria Math" w:hAnsi="Cambria Math"/>
              </w:rPr>
              <m:t>r</m:t>
            </m:r>
          </m:sup>
        </m:sSup>
      </m:oMath>
      <w:r>
        <w:t xml:space="preserve">, </w:t>
      </w:r>
      <m:oMath>
        <m:sSup>
          <m:sSupPr>
            <m:ctrlPr>
              <w:rPr>
                <w:rFonts w:ascii="Cambria Math" w:hAnsi="Cambria Math"/>
                <w:i/>
              </w:rPr>
            </m:ctrlPr>
          </m:sSupPr>
          <m:e>
            <m:acc>
              <m:accPr>
                <m:ctrlPr>
                  <w:rPr>
                    <w:rFonts w:ascii="Cambria Math" w:hAnsi="Cambria Math"/>
                    <w:i/>
                  </w:rPr>
                </m:ctrlPr>
              </m:accPr>
              <m:e>
                <m:r>
                  <w:rPr>
                    <w:rFonts w:ascii="Cambria Math" w:hAnsi="Cambria Math"/>
                  </w:rPr>
                  <m:t>α</m:t>
                </m:r>
              </m:e>
            </m:acc>
          </m:e>
          <m:sup>
            <m:r>
              <w:rPr>
                <w:rFonts w:ascii="Cambria Math" w:hAnsi="Cambria Math"/>
              </w:rPr>
              <m:t>r</m:t>
            </m:r>
          </m:sup>
        </m:sSup>
      </m:oMath>
      <w:r>
        <w:t xml:space="preserve">,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η</m:t>
                </m:r>
              </m:e>
            </m:acc>
          </m:e>
          <m:sub>
            <m:r>
              <w:rPr>
                <w:rFonts w:ascii="Cambria Math" w:hAnsi="Cambria Math"/>
              </w:rPr>
              <m:t>c</m:t>
            </m:r>
          </m:sub>
          <m:sup>
            <m:r>
              <w:rPr>
                <w:rFonts w:ascii="Cambria Math" w:hAnsi="Cambria Math"/>
              </w:rPr>
              <m:t>r</m:t>
            </m:r>
          </m:sup>
        </m:sSubSup>
      </m:oMath>
      <w:r>
        <w:t xml:space="preserve">, and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ε</m:t>
                </m:r>
              </m:e>
            </m:acc>
          </m:e>
          <m:sub>
            <m:r>
              <w:rPr>
                <w:rFonts w:ascii="Cambria Math" w:hAnsi="Cambria Math"/>
              </w:rPr>
              <m:t>ch</m:t>
            </m:r>
          </m:sub>
          <m:sup>
            <m:r>
              <w:rPr>
                <w:rFonts w:ascii="Cambria Math" w:hAnsi="Cambria Math"/>
              </w:rPr>
              <m:t>*r</m:t>
            </m:r>
          </m:sup>
        </m:sSubSup>
      </m:oMath>
      <w:r>
        <w:t xml:space="preserve"> as the initial 10,000 simulations, the impact of t</w:t>
      </w:r>
      <w:r w:rsidRPr="00D419A8">
        <w:t xml:space="preserve">he consumption </w:t>
      </w:r>
      <w:r w:rsidRPr="0020732D">
        <w:t>changes on the estimated rural poverty indices is assessed. This process is repeated at varying levels of per-acre changes in the farm profits (</w:t>
      </w:r>
      <m:oMath>
        <m:r>
          <w:rPr>
            <w:rFonts w:ascii="Cambria Math" w:hAnsi="Cambria Math"/>
          </w:rPr>
          <m:t>γ)</m:t>
        </m:r>
      </m:oMath>
      <w:r w:rsidRPr="0020732D">
        <w:t xml:space="preserve"> and acres under CA (</w:t>
      </w:r>
      <m:oMath>
        <m:sSub>
          <m:sSubPr>
            <m:ctrlPr>
              <w:rPr>
                <w:rFonts w:ascii="Cambria Math" w:hAnsi="Cambria Math"/>
                <w:i/>
              </w:rPr>
            </m:ctrlPr>
          </m:sSubPr>
          <m:e>
            <m:r>
              <w:rPr>
                <w:rFonts w:ascii="Cambria Math" w:hAnsi="Cambria Math"/>
              </w:rPr>
              <m:t>l</m:t>
            </m:r>
          </m:e>
          <m:sub>
            <m:r>
              <w:rPr>
                <w:rFonts w:ascii="Cambria Math" w:hAnsi="Cambria Math"/>
              </w:rPr>
              <m:t>ch</m:t>
            </m:r>
          </m:sub>
        </m:sSub>
        <m:r>
          <w:rPr>
            <w:rFonts w:ascii="Cambria Math" w:hAnsi="Cambria Math"/>
          </w:rPr>
          <m:t>)</m:t>
        </m:r>
      </m:oMath>
      <w:r>
        <w:t xml:space="preserve">  in order to assess</w:t>
      </w:r>
      <w:r w:rsidRPr="0020732D">
        <w:t xml:space="preserve"> the sensitivity of the poverty impacts to different profitability and adoption </w:t>
      </w:r>
      <w:r>
        <w:t xml:space="preserve">scenarios. </w:t>
      </w:r>
      <w:r w:rsidRPr="0020732D">
        <w:t xml:space="preserve">  </w:t>
      </w:r>
    </w:p>
    <w:p w14:paraId="59120D2C" w14:textId="2B9F573D" w:rsidR="00D8787F" w:rsidRPr="002D5ADA" w:rsidRDefault="002D5ADA" w:rsidP="002D5ADA">
      <w:pPr>
        <w:rPr>
          <w:i/>
          <w:iCs/>
        </w:rPr>
      </w:pPr>
      <w:r w:rsidRPr="002D5ADA">
        <w:rPr>
          <w:i/>
          <w:iCs/>
        </w:rPr>
        <w:t xml:space="preserve">4.3 </w:t>
      </w:r>
      <w:r w:rsidR="002464E8">
        <w:rPr>
          <w:i/>
          <w:iCs/>
        </w:rPr>
        <w:t>Conservation agriculture</w:t>
      </w:r>
      <w:r w:rsidR="00E45150">
        <w:rPr>
          <w:i/>
          <w:iCs/>
        </w:rPr>
        <w:t xml:space="preserve"> p</w:t>
      </w:r>
      <w:r w:rsidRPr="002D5ADA">
        <w:rPr>
          <w:i/>
          <w:iCs/>
        </w:rPr>
        <w:t xml:space="preserve">rofitability and adoption scenarios </w:t>
      </w:r>
      <w:r w:rsidR="00D8787F" w:rsidRPr="002D5ADA">
        <w:rPr>
          <w:i/>
          <w:iCs/>
        </w:rPr>
        <w:t xml:space="preserve"> </w:t>
      </w:r>
    </w:p>
    <w:p w14:paraId="24902E32" w14:textId="77777777" w:rsidR="00D8787F" w:rsidRDefault="00D8787F" w:rsidP="00D8787F"/>
    <w:p w14:paraId="4A490C81" w14:textId="703ACD98" w:rsidR="00D8787F" w:rsidRDefault="00B43974" w:rsidP="003A42C9">
      <w:pPr>
        <w:spacing w:line="480" w:lineRule="auto"/>
        <w:rPr>
          <w:color w:val="000000"/>
        </w:rPr>
      </w:pPr>
      <w:r>
        <w:t>P</w:t>
      </w:r>
      <w:r w:rsidR="00D8787F">
        <w:t>rofitability of</w:t>
      </w:r>
      <w:r w:rsidR="00D8787F" w:rsidRPr="00EB29B8">
        <w:t xml:space="preserve"> </w:t>
      </w:r>
      <w:r>
        <w:t>locally adapted CA is estimated</w:t>
      </w:r>
      <w:r w:rsidR="00A92352">
        <w:t xml:space="preserve"> by combining</w:t>
      </w:r>
      <w:r w:rsidR="00D8787F">
        <w:t xml:space="preserve"> data from on-station and on-farm trial</w:t>
      </w:r>
      <w:r w:rsidR="002464E8">
        <w:t xml:space="preserve">s </w:t>
      </w:r>
      <w:r w:rsidR="00D8787F">
        <w:t>with findings from the village focus group discussions conducted during the THS</w:t>
      </w:r>
      <w:r w:rsidR="0035070F">
        <w:rPr>
          <w:rStyle w:val="FootnoteReference"/>
        </w:rPr>
        <w:footnoteReference w:id="6"/>
      </w:r>
      <w:r w:rsidR="00D8787F">
        <w:t>. The</w:t>
      </w:r>
      <w:r w:rsidR="00D8787F" w:rsidRPr="00A01645">
        <w:t xml:space="preserve"> </w:t>
      </w:r>
      <w:r w:rsidR="00D8787F">
        <w:t xml:space="preserve">yield </w:t>
      </w:r>
      <w:r w:rsidR="00D8787F" w:rsidRPr="00A01645">
        <w:t xml:space="preserve">analysis of the on-station and on-farm </w:t>
      </w:r>
      <w:r w:rsidR="00E45150">
        <w:t xml:space="preserve">trial </w:t>
      </w:r>
      <w:r w:rsidR="00D8787F" w:rsidRPr="00A01645">
        <w:t xml:space="preserve">data for the first two years (four seasons) showed </w:t>
      </w:r>
      <w:r w:rsidR="00D8787F" w:rsidRPr="00FF0740">
        <w:t>no significan</w:t>
      </w:r>
      <w:r w:rsidR="00D8787F">
        <w:t>t difference in yields from CA</w:t>
      </w:r>
      <w:r w:rsidR="00D8787F" w:rsidRPr="00FF0740">
        <w:t xml:space="preserve"> compared to conventional practice</w:t>
      </w:r>
      <w:r w:rsidR="00D8787F">
        <w:t xml:space="preserve">s </w:t>
      </w:r>
      <w:r w:rsidR="003A42C9">
        <w:lastRenderedPageBreak/>
        <w:fldChar w:fldCharType="begin"/>
      </w:r>
      <w:r w:rsidR="003A42C9">
        <w:instrText xml:space="preserve"> ADDIN EN.CITE &lt;EndNote&gt;&lt;Cite&gt;&lt;Author&gt;SANREM&lt;/Author&gt;&lt;Year&gt;2013&lt;/Year&gt;&lt;RecNum&gt;36&lt;/RecNum&gt;&lt;DisplayText&gt;(SANREM, 2013)&lt;/DisplayText&gt;&lt;record&gt;&lt;rec-number&gt;36&lt;/rec-number&gt;&lt;foreign-keys&gt;&lt;key app="EN" db-id="5fvtavdaavaz95e2zv0vf9wms90fv05av5se" timestamp="1481135435"&gt;36&lt;/key&gt;&lt;/foreign-keys&gt;&lt;ref-type name="Report"&gt;27&lt;/ref-type&gt;&lt;contributors&gt;&lt;authors&gt;&lt;author&gt;SANREM, &lt;/author&gt;&lt;/authors&gt;&lt;/contributors&gt;&lt;titles&gt;&lt;title&gt;Feed the Future SANREM Innovation Lab Annual Report 2013&lt;/title&gt;&lt;/titles&gt;&lt;dates&gt;&lt;year&gt;2013&lt;/year&gt;&lt;/dates&gt;&lt;urls&gt;&lt;related-urls&gt;&lt;url&gt;http://www.oired.vt.edu/sanremcrsp/wp-content/uploads/2013/03/SANREM-2013AnnualReport.pdf&lt;/url&gt;&lt;/related-urls&gt;&lt;/urls&gt;&lt;access-date&gt;December 2016&lt;/access-date&gt;&lt;/record&gt;&lt;/Cite&gt;&lt;/EndNote&gt;</w:instrText>
      </w:r>
      <w:r w:rsidR="003A42C9">
        <w:fldChar w:fldCharType="separate"/>
      </w:r>
      <w:r w:rsidR="003A42C9">
        <w:rPr>
          <w:noProof/>
        </w:rPr>
        <w:t>(SANREM, 2013)</w:t>
      </w:r>
      <w:r w:rsidR="003A42C9">
        <w:fldChar w:fldCharType="end"/>
      </w:r>
      <w:r w:rsidR="00D8787F" w:rsidRPr="00FF0740">
        <w:t>. Households</w:t>
      </w:r>
      <w:r w:rsidR="00D8787F">
        <w:t xml:space="preserve"> may still experience positive net returns from CA if the technology lowers costs of production. In fact, o</w:t>
      </w:r>
      <w:r w:rsidR="00D8787F" w:rsidRPr="009A7D47">
        <w:t xml:space="preserve">n-station </w:t>
      </w:r>
      <w:r w:rsidR="00D8787F" w:rsidRPr="00515AE6">
        <w:t>estimates</w:t>
      </w:r>
      <w:r w:rsidR="00D8787F" w:rsidRPr="00515AE6">
        <w:rPr>
          <w:color w:val="000000"/>
        </w:rPr>
        <w:t xml:space="preserve"> show a decre</w:t>
      </w:r>
      <w:r w:rsidR="00D8787F">
        <w:rPr>
          <w:color w:val="000000"/>
        </w:rPr>
        <w:t xml:space="preserve">ase in </w:t>
      </w:r>
      <w:r w:rsidR="002464E8">
        <w:rPr>
          <w:color w:val="000000"/>
        </w:rPr>
        <w:t xml:space="preserve">production </w:t>
      </w:r>
      <w:r w:rsidR="00D8787F">
        <w:rPr>
          <w:color w:val="000000"/>
        </w:rPr>
        <w:t>costs of approximately 85,</w:t>
      </w:r>
      <w:r w:rsidR="00D8787F" w:rsidRPr="00E45150">
        <w:rPr>
          <w:color w:val="000000"/>
        </w:rPr>
        <w:t xml:space="preserve">500 </w:t>
      </w:r>
      <w:r w:rsidR="00B249C0">
        <w:t>Ugandan Shillings (</w:t>
      </w:r>
      <w:r w:rsidR="00B249C0" w:rsidRPr="002B0689">
        <w:t>UGX</w:t>
      </w:r>
      <w:r w:rsidR="00B249C0">
        <w:t>)</w:t>
      </w:r>
      <w:r w:rsidR="00B249C0">
        <w:rPr>
          <w:color w:val="000000"/>
        </w:rPr>
        <w:t xml:space="preserve"> or </w:t>
      </w:r>
      <w:r w:rsidR="00D8787F" w:rsidRPr="00E45150">
        <w:rPr>
          <w:color w:val="000000"/>
        </w:rPr>
        <w:t>3</w:t>
      </w:r>
      <w:r w:rsidR="00E45150" w:rsidRPr="00E45150">
        <w:rPr>
          <w:color w:val="000000"/>
        </w:rPr>
        <w:t>4</w:t>
      </w:r>
      <w:r w:rsidR="00B249C0">
        <w:rPr>
          <w:color w:val="000000"/>
        </w:rPr>
        <w:t>.14 USD</w:t>
      </w:r>
      <w:r w:rsidR="00D8787F" w:rsidRPr="00E45150">
        <w:rPr>
          <w:color w:val="000000"/>
        </w:rPr>
        <w:t xml:space="preserve"> per-</w:t>
      </w:r>
      <w:r w:rsidR="00D8787F" w:rsidRPr="00515AE6">
        <w:rPr>
          <w:color w:val="000000"/>
        </w:rPr>
        <w:t>acre per-season for CA relative to conventional practices (Grace Tino, personal communication, April 2015). This reduction is primarily driven by land preparation cost savings of 240,000 UGX (</w:t>
      </w:r>
      <w:r w:rsidR="002A33BF">
        <w:rPr>
          <w:color w:val="000000"/>
        </w:rPr>
        <w:t xml:space="preserve">95.85 </w:t>
      </w:r>
      <w:r w:rsidR="00D8787F" w:rsidRPr="00E45150">
        <w:rPr>
          <w:color w:val="000000"/>
        </w:rPr>
        <w:t xml:space="preserve">USD) per-acre due to zero tillage. Herbicide application and planting </w:t>
      </w:r>
      <w:r w:rsidR="00D8787F" w:rsidRPr="00A145D0">
        <w:rPr>
          <w:i/>
          <w:iCs/>
          <w:color w:val="000000"/>
        </w:rPr>
        <w:t>mucuna</w:t>
      </w:r>
      <w:r w:rsidR="00D8787F" w:rsidRPr="00E45150">
        <w:rPr>
          <w:color w:val="000000"/>
        </w:rPr>
        <w:t xml:space="preserve"> as cover crop increased on-station production costs by </w:t>
      </w:r>
      <w:r w:rsidR="0015122C">
        <w:rPr>
          <w:color w:val="000000"/>
        </w:rPr>
        <w:t>9</w:t>
      </w:r>
      <w:r w:rsidR="0075566C" w:rsidRPr="00E45150">
        <w:rPr>
          <w:color w:val="000000"/>
        </w:rPr>
        <w:t>7,000 UGX (</w:t>
      </w:r>
      <w:r w:rsidR="00902159">
        <w:rPr>
          <w:color w:val="000000"/>
        </w:rPr>
        <w:t>38.74</w:t>
      </w:r>
      <w:r w:rsidR="0075566C" w:rsidRPr="00E45150">
        <w:rPr>
          <w:color w:val="000000"/>
        </w:rPr>
        <w:t xml:space="preserve"> USD) </w:t>
      </w:r>
      <w:r w:rsidR="0075566C">
        <w:rPr>
          <w:color w:val="000000"/>
        </w:rPr>
        <w:t xml:space="preserve">and </w:t>
      </w:r>
      <w:r w:rsidR="00D8787F" w:rsidRPr="00E45150">
        <w:rPr>
          <w:color w:val="000000"/>
        </w:rPr>
        <w:t>57,500</w:t>
      </w:r>
      <w:r w:rsidR="00E45150" w:rsidRPr="00E45150">
        <w:rPr>
          <w:color w:val="000000"/>
        </w:rPr>
        <w:t xml:space="preserve"> UGX (22.96 USD)</w:t>
      </w:r>
      <w:r w:rsidR="0075566C">
        <w:rPr>
          <w:color w:val="000000"/>
        </w:rPr>
        <w:t xml:space="preserve"> </w:t>
      </w:r>
      <w:r w:rsidR="00D8787F" w:rsidRPr="00E45150">
        <w:rPr>
          <w:color w:val="000000"/>
        </w:rPr>
        <w:t>per-acre per-season, respectively.</w:t>
      </w:r>
      <w:r w:rsidR="00D8787F">
        <w:rPr>
          <w:color w:val="000000"/>
        </w:rPr>
        <w:t xml:space="preserve"> </w:t>
      </w:r>
    </w:p>
    <w:p w14:paraId="6F71909E" w14:textId="396F2B74" w:rsidR="00D8787F" w:rsidRDefault="00D8787F" w:rsidP="00633370">
      <w:pPr>
        <w:spacing w:line="480" w:lineRule="auto"/>
        <w:ind w:firstLine="720"/>
      </w:pPr>
      <w:r w:rsidRPr="00D945CE">
        <w:rPr>
          <w:color w:val="000000"/>
        </w:rPr>
        <w:t xml:space="preserve">Since experimental station conditions are not representative of the reality faced by smallholding farmers, the </w:t>
      </w:r>
      <w:r w:rsidRPr="00D945CE">
        <w:t xml:space="preserve">on-station partial budget framework is adapted </w:t>
      </w:r>
      <w:r>
        <w:t>based on village focus group findings</w:t>
      </w:r>
      <w:r w:rsidRPr="00D945CE">
        <w:t xml:space="preserve"> to reflect </w:t>
      </w:r>
      <w:r>
        <w:t xml:space="preserve">the </w:t>
      </w:r>
      <w:r w:rsidRPr="00D945CE">
        <w:t>production</w:t>
      </w:r>
      <w:r>
        <w:t xml:space="preserve"> costs of an average farmer in Tororo district</w:t>
      </w:r>
      <w:r w:rsidRPr="00D945CE">
        <w:t>.</w:t>
      </w:r>
      <w:r>
        <w:t xml:space="preserve"> We maintain the assumption of no change in yield and discuss two scenarios about change</w:t>
      </w:r>
      <w:r w:rsidR="00934E94">
        <w:t>s</w:t>
      </w:r>
      <w:r>
        <w:t xml:space="preserve"> in production costs</w:t>
      </w:r>
      <w:r w:rsidRPr="00AE2B2D">
        <w:t xml:space="preserve"> </w:t>
      </w:r>
      <w:r>
        <w:t xml:space="preserve">between the two systems. </w:t>
      </w:r>
    </w:p>
    <w:p w14:paraId="72C602D8" w14:textId="268DD566" w:rsidR="00D8787F" w:rsidRDefault="00D8787F" w:rsidP="00A92352">
      <w:pPr>
        <w:spacing w:line="480" w:lineRule="auto"/>
        <w:ind w:firstLine="720"/>
      </w:pPr>
      <w:r>
        <w:t>Focus group discussions reveal that on-station land preparation costs are higher than what they are</w:t>
      </w:r>
      <w:r w:rsidR="00C873F0">
        <w:t xml:space="preserve"> in a non-research setting. In </w:t>
      </w:r>
      <w:r w:rsidR="00913078">
        <w:t>most</w:t>
      </w:r>
      <w:r w:rsidR="00131261">
        <w:t xml:space="preserve"> </w:t>
      </w:r>
      <w:r>
        <w:t xml:space="preserve">villages, the main method of land preparation is oxen. As ownership of oxen and ox ploughs is scarce, land preparation is primarily hired. </w:t>
      </w:r>
      <w:r w:rsidRPr="007C1AFE">
        <w:t>Across the 24 sampled village</w:t>
      </w:r>
      <w:r w:rsidR="004E7380">
        <w:t>s</w:t>
      </w:r>
      <w:r>
        <w:t>,</w:t>
      </w:r>
      <w:r w:rsidRPr="004352A1">
        <w:t xml:space="preserve"> </w:t>
      </w:r>
      <w:r>
        <w:t xml:space="preserve">land preparation cost </w:t>
      </w:r>
      <w:r w:rsidRPr="00342F56">
        <w:t>averaged about 60,000</w:t>
      </w:r>
      <w:r w:rsidR="00F55163">
        <w:t xml:space="preserve"> UGX </w:t>
      </w:r>
      <w:r w:rsidRPr="00342F56">
        <w:t>per</w:t>
      </w:r>
      <w:r w:rsidR="00037E09">
        <w:t>-</w:t>
      </w:r>
      <w:r w:rsidRPr="004352A1">
        <w:t xml:space="preserve">acre </w:t>
      </w:r>
      <w:r>
        <w:t>per</w:t>
      </w:r>
      <w:r w:rsidRPr="004352A1">
        <w:t xml:space="preserve"> ploughing and </w:t>
      </w:r>
      <w:r>
        <w:t>households generally plough twice</w:t>
      </w:r>
      <w:r>
        <w:rPr>
          <w:rStyle w:val="FootnoteReference"/>
        </w:rPr>
        <w:footnoteReference w:id="7"/>
      </w:r>
      <w:r>
        <w:t>. There</w:t>
      </w:r>
      <w:r w:rsidR="00037E09">
        <w:t>fore, adoption of no-till</w:t>
      </w:r>
      <w:r>
        <w:t xml:space="preserve"> would </w:t>
      </w:r>
      <w:r w:rsidR="00037E09">
        <w:t>decrease</w:t>
      </w:r>
      <w:r>
        <w:t xml:space="preserve"> production costs </w:t>
      </w:r>
      <w:r w:rsidRPr="000C7425">
        <w:t xml:space="preserve">by 120,000 UGX </w:t>
      </w:r>
      <w:r w:rsidR="00F55163" w:rsidRPr="000C7425">
        <w:t>(47</w:t>
      </w:r>
      <w:r w:rsidRPr="000C7425">
        <w:t xml:space="preserve">.92 USD) </w:t>
      </w:r>
      <w:r w:rsidR="00037E09">
        <w:t>per-acre per-</w:t>
      </w:r>
      <w:r w:rsidRPr="000C7425">
        <w:t xml:space="preserve">season. Labor used in herbicide application and </w:t>
      </w:r>
      <w:r w:rsidRPr="00131261">
        <w:rPr>
          <w:i/>
          <w:iCs/>
        </w:rPr>
        <w:t>mucu</w:t>
      </w:r>
      <w:r w:rsidR="004E7380">
        <w:rPr>
          <w:i/>
          <w:iCs/>
        </w:rPr>
        <w:t>n</w:t>
      </w:r>
      <w:r w:rsidRPr="00131261">
        <w:rPr>
          <w:i/>
          <w:iCs/>
        </w:rPr>
        <w:t>a</w:t>
      </w:r>
      <w:r>
        <w:t xml:space="preserve"> planting and relaying is also re-evaluated at the average agricultural lab</w:t>
      </w:r>
      <w:r w:rsidR="00037E09">
        <w:t>or daily wage. This results in</w:t>
      </w:r>
      <w:r>
        <w:t xml:space="preserve"> additional </w:t>
      </w:r>
      <w:r w:rsidRPr="00604492">
        <w:t xml:space="preserve">production costs </w:t>
      </w:r>
      <w:r w:rsidR="00037E09">
        <w:t>of</w:t>
      </w:r>
      <w:r w:rsidRPr="00604492">
        <w:t xml:space="preserve"> 118,500 </w:t>
      </w:r>
      <w:r w:rsidR="000C7425" w:rsidRPr="00604492">
        <w:t>UGX (47.32</w:t>
      </w:r>
      <w:r w:rsidRPr="00604492">
        <w:t xml:space="preserve"> USD</w:t>
      </w:r>
      <w:r w:rsidR="002F0240">
        <w:t>)</w:t>
      </w:r>
      <w:r w:rsidR="002F0240" w:rsidRPr="002F0240">
        <w:t xml:space="preserve"> </w:t>
      </w:r>
      <w:r w:rsidR="002F0240">
        <w:t xml:space="preserve">for </w:t>
      </w:r>
      <w:r w:rsidR="002F0240" w:rsidRPr="00604492">
        <w:lastRenderedPageBreak/>
        <w:t xml:space="preserve">herbicide </w:t>
      </w:r>
      <w:r w:rsidR="002F0240">
        <w:t>application</w:t>
      </w:r>
      <w:r w:rsidR="002F0240" w:rsidRPr="00604492">
        <w:t xml:space="preserve"> </w:t>
      </w:r>
      <w:r w:rsidR="002F0240">
        <w:t xml:space="preserve">and </w:t>
      </w:r>
      <w:r w:rsidR="002F0240" w:rsidRPr="00A145D0">
        <w:rPr>
          <w:i/>
          <w:iCs/>
        </w:rPr>
        <w:t>mucuna</w:t>
      </w:r>
      <w:r w:rsidR="00A92352">
        <w:rPr>
          <w:i/>
          <w:iCs/>
        </w:rPr>
        <w:t xml:space="preserve"> </w:t>
      </w:r>
      <w:r w:rsidR="00A92352">
        <w:t>under farmer conditions</w:t>
      </w:r>
      <w:r w:rsidRPr="00604492">
        <w:t xml:space="preserve">. Under these </w:t>
      </w:r>
      <w:r w:rsidR="00604492" w:rsidRPr="00604492">
        <w:t>assumptions</w:t>
      </w:r>
      <w:r w:rsidRPr="00604492">
        <w:t xml:space="preserve">, </w:t>
      </w:r>
      <w:r w:rsidR="004E7F78">
        <w:t>CA-</w:t>
      </w:r>
      <w:r w:rsidR="00A92352">
        <w:t xml:space="preserve">induced </w:t>
      </w:r>
      <w:r w:rsidR="004E7F78">
        <w:t>per-acre farm profit increase</w:t>
      </w:r>
      <w:r w:rsidRPr="00604492">
        <w:t xml:space="preserve"> is a modest 1,500 UGX (</w:t>
      </w:r>
      <w:r w:rsidR="00604492" w:rsidRPr="00604492">
        <w:t xml:space="preserve">0.60 </w:t>
      </w:r>
      <w:r w:rsidRPr="00604492">
        <w:t xml:space="preserve">USD) </w:t>
      </w:r>
      <w:r w:rsidR="002F0240">
        <w:t>per-acre per-</w:t>
      </w:r>
      <w:r w:rsidRPr="00604492">
        <w:t>season</w:t>
      </w:r>
      <w:r w:rsidR="00604492">
        <w:t xml:space="preserve">. </w:t>
      </w:r>
    </w:p>
    <w:p w14:paraId="3972273B" w14:textId="0785E138" w:rsidR="00604492" w:rsidRDefault="00D8787F" w:rsidP="005C07A1">
      <w:pPr>
        <w:spacing w:line="480" w:lineRule="auto"/>
        <w:ind w:firstLine="720"/>
      </w:pPr>
      <w:r>
        <w:t xml:space="preserve">In Uganda, like in many developing countries, the custom is to save harvested seeds to be used as planted material the next season. </w:t>
      </w:r>
      <w:proofErr w:type="gramStart"/>
      <w:r>
        <w:t>Assuming that</w:t>
      </w:r>
      <w:proofErr w:type="gramEnd"/>
      <w:r>
        <w:t xml:space="preserve"> farmers use recycled </w:t>
      </w:r>
      <w:r w:rsidRPr="00A145D0">
        <w:rPr>
          <w:i/>
          <w:iCs/>
        </w:rPr>
        <w:t>mucuna</w:t>
      </w:r>
      <w:r>
        <w:t xml:space="preserve"> seeds could provide significant cost savings. In the second scenario, we estimate the opportunity cost of using recycled </w:t>
      </w:r>
      <w:r w:rsidRPr="005D7DA4">
        <w:rPr>
          <w:i/>
          <w:iCs/>
        </w:rPr>
        <w:t>mucuna</w:t>
      </w:r>
      <w:r>
        <w:t xml:space="preserve"> seeds at 75% of the seed</w:t>
      </w:r>
      <w:r w:rsidR="008B1CFF">
        <w:t>’s</w:t>
      </w:r>
      <w:r>
        <w:t xml:space="preserve"> original costs</w:t>
      </w:r>
      <w:r w:rsidR="00604492">
        <w:rPr>
          <w:rStyle w:val="FootnoteReference"/>
        </w:rPr>
        <w:footnoteReference w:id="8"/>
      </w:r>
      <w:r w:rsidR="002F0240">
        <w:t>. Based on</w:t>
      </w:r>
      <w:r w:rsidR="00604492">
        <w:t xml:space="preserve"> this </w:t>
      </w:r>
      <w:r>
        <w:t xml:space="preserve">assumption, the increase in per-acre </w:t>
      </w:r>
      <w:r w:rsidRPr="00604492">
        <w:t>farm profit due to CA adoption is 9,000 UGX (</w:t>
      </w:r>
      <w:r w:rsidR="00604492" w:rsidRPr="00604492">
        <w:t xml:space="preserve">3.59 </w:t>
      </w:r>
      <w:r w:rsidRPr="00604492">
        <w:t>USD) per</w:t>
      </w:r>
      <w:r w:rsidR="002F0240">
        <w:t>-</w:t>
      </w:r>
      <w:r>
        <w:t xml:space="preserve">season. For both profitability scenarios, we make three assumptions about the level of CA adoption, resulting in a total of six scenarios. </w:t>
      </w:r>
      <w:r w:rsidR="00604492">
        <w:t xml:space="preserve">Using THS data, we </w:t>
      </w:r>
      <w:r w:rsidR="007036E0">
        <w:t xml:space="preserve">first </w:t>
      </w:r>
      <w:r w:rsidR="00604492">
        <w:t xml:space="preserve">assume that households </w:t>
      </w:r>
      <w:r w:rsidR="00BA71AC">
        <w:t xml:space="preserve">will </w:t>
      </w:r>
      <w:r w:rsidR="00604492">
        <w:t xml:space="preserve">allocate </w:t>
      </w:r>
      <w:r w:rsidR="007036E0">
        <w:t>50 and 75 percent of their cultivated land to CA. The</w:t>
      </w:r>
      <w:r w:rsidR="0006550B">
        <w:t xml:space="preserve">n, </w:t>
      </w:r>
      <w:r w:rsidR="004E7F78">
        <w:t xml:space="preserve">all poor </w:t>
      </w:r>
      <w:r w:rsidR="007036E0">
        <w:t>households a</w:t>
      </w:r>
      <w:r w:rsidR="0006550B">
        <w:t>re assumed to a</w:t>
      </w:r>
      <w:r w:rsidR="007036E0">
        <w:t xml:space="preserve">llocate one acre to CA. </w:t>
      </w:r>
    </w:p>
    <w:p w14:paraId="1626A5CB" w14:textId="77777777" w:rsidR="00604492" w:rsidRPr="0039738D" w:rsidRDefault="00604492" w:rsidP="00D8787F">
      <w:pPr>
        <w:spacing w:line="480" w:lineRule="auto"/>
      </w:pPr>
    </w:p>
    <w:p w14:paraId="349A4B3A" w14:textId="77777777" w:rsidR="00CD7F48" w:rsidRPr="004A38EE" w:rsidRDefault="00CD7F48" w:rsidP="0041529C">
      <w:pPr>
        <w:pStyle w:val="ListParagraph"/>
        <w:numPr>
          <w:ilvl w:val="0"/>
          <w:numId w:val="19"/>
        </w:numPr>
        <w:spacing w:line="480" w:lineRule="auto"/>
        <w:ind w:left="360"/>
        <w:outlineLvl w:val="0"/>
        <w:rPr>
          <w:b/>
        </w:rPr>
      </w:pPr>
      <w:r w:rsidRPr="004A38EE">
        <w:rPr>
          <w:b/>
        </w:rPr>
        <w:t>Results and Discussion</w:t>
      </w:r>
    </w:p>
    <w:p w14:paraId="1E44ADBD" w14:textId="77777777" w:rsidR="00CD7F48" w:rsidRDefault="00CD7F48" w:rsidP="00CD7F48">
      <w:pPr>
        <w:spacing w:line="480" w:lineRule="auto"/>
        <w:outlineLvl w:val="0"/>
        <w:rPr>
          <w:rFonts w:eastAsia="Calibri"/>
          <w:bCs/>
          <w:i/>
          <w:iCs/>
        </w:rPr>
      </w:pPr>
      <w:r w:rsidRPr="00C4098F">
        <w:rPr>
          <w:bCs/>
          <w:i/>
          <w:iCs/>
        </w:rPr>
        <w:t xml:space="preserve">5.1 </w:t>
      </w:r>
      <w:r w:rsidRPr="00C4098F">
        <w:rPr>
          <w:rFonts w:eastAsia="Calibri"/>
          <w:bCs/>
          <w:i/>
          <w:iCs/>
        </w:rPr>
        <w:t>Small area estimation of poverty</w:t>
      </w:r>
    </w:p>
    <w:p w14:paraId="63305A1B" w14:textId="5C53400A" w:rsidR="00CD7F48" w:rsidRDefault="00CD7F48" w:rsidP="0041529C">
      <w:pPr>
        <w:spacing w:line="480" w:lineRule="auto"/>
        <w:ind w:firstLine="720"/>
      </w:pPr>
      <w:r w:rsidRPr="003F450D">
        <w:t xml:space="preserve">Household consumption per capita among rural households in eastern Uganda, computed using the LSMS-data, averages </w:t>
      </w:r>
      <w:r w:rsidR="00D15B7D" w:rsidRPr="002B0689">
        <w:t>623,070 UGX</w:t>
      </w:r>
      <w:r w:rsidR="00D15B7D">
        <w:t xml:space="preserve"> </w:t>
      </w:r>
      <w:r w:rsidR="00B249C0">
        <w:t>(</w:t>
      </w:r>
      <w:r w:rsidRPr="003F450D">
        <w:t>248.77 USD</w:t>
      </w:r>
      <w:r w:rsidR="00B249C0">
        <w:t>)</w:t>
      </w:r>
      <w:r w:rsidR="00D15B7D">
        <w:t xml:space="preserve"> annually. This</w:t>
      </w:r>
      <w:r w:rsidR="003F450D" w:rsidRPr="003F450D">
        <w:t xml:space="preserve"> </w:t>
      </w:r>
      <w:r w:rsidRPr="003F450D">
        <w:t>is slightly above the adjuste</w:t>
      </w:r>
      <w:r w:rsidR="00D15B7D">
        <w:t>d international poverty line of</w:t>
      </w:r>
      <w:r w:rsidR="00D15B7D" w:rsidRPr="002B0689">
        <w:t xml:space="preserve"> 567,475 UGX</w:t>
      </w:r>
      <w:r w:rsidR="00D15B7D">
        <w:t xml:space="preserve"> (</w:t>
      </w:r>
      <w:r w:rsidRPr="003F450D">
        <w:t>226.58 USD</w:t>
      </w:r>
      <w:r w:rsidR="00D15B7D">
        <w:t>)</w:t>
      </w:r>
      <w:r w:rsidRPr="003F450D">
        <w:t xml:space="preserve">. The resulting poverty headcount, depth, and severity are 0.5627, 0.1758 </w:t>
      </w:r>
      <w:r w:rsidR="0055426C">
        <w:t>and 0.0751 respectively (table 1</w:t>
      </w:r>
      <w:r w:rsidRPr="003F450D">
        <w:t>). More than half of the for rural population in the eastern region has consumption expenditure below the international poverty line. The estimated rural poverty depth translates to an average poverty gap of approximately $0.22 per day at 2005 PPP.</w:t>
      </w:r>
      <w:r>
        <w:tab/>
      </w:r>
    </w:p>
    <w:p w14:paraId="7035DC4A" w14:textId="02A5FCE3" w:rsidR="00701639" w:rsidRDefault="009018C3" w:rsidP="00B1246E">
      <w:pPr>
        <w:spacing w:line="480" w:lineRule="auto"/>
        <w:ind w:firstLine="720"/>
      </w:pPr>
      <w:r>
        <w:lastRenderedPageBreak/>
        <w:t>Per capita h</w:t>
      </w:r>
      <w:r w:rsidR="003F450D">
        <w:t>ousehold consumption</w:t>
      </w:r>
      <w:r>
        <w:t>, as defined in</w:t>
      </w:r>
      <w:r w:rsidRPr="009018C3">
        <w:t xml:space="preserve"> </w:t>
      </w:r>
      <w:r>
        <w:t>equation (2), is modeled a</w:t>
      </w:r>
      <w:r w:rsidR="00967663">
        <w:t xml:space="preserve">s a function </w:t>
      </w:r>
      <w:r w:rsidR="003F450D">
        <w:t xml:space="preserve">household </w:t>
      </w:r>
      <w:r w:rsidR="009C4F60">
        <w:t xml:space="preserve">composition (household size, </w:t>
      </w:r>
      <w:r w:rsidR="003F450D">
        <w:t xml:space="preserve">adult share), housing characteristics (type of floor, source of drinking water, access to electricity), ownership </w:t>
      </w:r>
      <w:r w:rsidR="009C4F60">
        <w:t>of durable goods (cell phone,</w:t>
      </w:r>
      <w:r w:rsidR="003F450D">
        <w:t xml:space="preserve"> motorcycle)</w:t>
      </w:r>
      <w:r w:rsidR="00B1246E">
        <w:t xml:space="preserve">, </w:t>
      </w:r>
      <w:r w:rsidR="009C4F60">
        <w:t>farm assets (land owned,</w:t>
      </w:r>
      <w:r w:rsidR="003F450D">
        <w:t xml:space="preserve"> pigs), and </w:t>
      </w:r>
      <w:r w:rsidR="009C4F60">
        <w:t>household member education</w:t>
      </w:r>
      <w:r w:rsidR="00B1246E">
        <w:t xml:space="preserve"> levels</w:t>
      </w:r>
      <w:r w:rsidR="004A38EE">
        <w:t xml:space="preserve"> using the THS data</w:t>
      </w:r>
      <w:r w:rsidR="009C4F60">
        <w:t>.</w:t>
      </w:r>
      <w:r w:rsidR="003F450D">
        <w:t xml:space="preserve"> </w:t>
      </w:r>
      <w:r>
        <w:t xml:space="preserve"> The model has an adjusted R</w:t>
      </w:r>
      <w:r w:rsidRPr="00B26747">
        <w:rPr>
          <w:vertAlign w:val="superscript"/>
        </w:rPr>
        <w:t>2</w:t>
      </w:r>
      <w:r>
        <w:t xml:space="preserve"> of 0.455, which is within the range of previous applications of SAEp</w:t>
      </w:r>
      <w:r w:rsidR="00C4098F">
        <w:t xml:space="preserve">. </w:t>
      </w:r>
      <w:r w:rsidR="009539E1">
        <w:t xml:space="preserve">For examples, </w:t>
      </w:r>
      <w:r w:rsidR="00C4098F" w:rsidRPr="007A542C">
        <w:rPr>
          <w:rFonts w:eastAsia="Calibri"/>
        </w:rPr>
        <w:t>Okwi, Emwanu, and Hoogeveen</w:t>
      </w:r>
      <w:r w:rsidR="00C4098F" w:rsidRPr="007A542C">
        <w:t xml:space="preserve"> (2003</w:t>
      </w:r>
      <w:r w:rsidR="00C4098F">
        <w:t xml:space="preserve">), who estimated a consumption model for </w:t>
      </w:r>
      <w:r w:rsidR="00733EE7">
        <w:t xml:space="preserve">eastern </w:t>
      </w:r>
      <w:r w:rsidR="00C4098F">
        <w:t xml:space="preserve">rural </w:t>
      </w:r>
      <w:r w:rsidR="00733EE7">
        <w:t>Uganda</w:t>
      </w:r>
      <w:r w:rsidR="009539E1">
        <w:t>,</w:t>
      </w:r>
      <w:r w:rsidR="00C4098F">
        <w:t xml:space="preserve"> obtained an adjusted R</w:t>
      </w:r>
      <w:r w:rsidR="00C4098F" w:rsidRPr="00B26747">
        <w:rPr>
          <w:vertAlign w:val="superscript"/>
        </w:rPr>
        <w:t>2</w:t>
      </w:r>
      <w:r w:rsidR="00C4098F">
        <w:t xml:space="preserve"> of 0.34; </w:t>
      </w:r>
      <w:r w:rsidR="009539E1">
        <w:t xml:space="preserve">the </w:t>
      </w:r>
      <w:r w:rsidR="00C4098F">
        <w:t>adjusted R</w:t>
      </w:r>
      <w:r w:rsidR="00C4098F" w:rsidRPr="00285571">
        <w:rPr>
          <w:vertAlign w:val="superscript"/>
        </w:rPr>
        <w:t>2</w:t>
      </w:r>
      <w:r w:rsidR="00C4098F">
        <w:t xml:space="preserve"> </w:t>
      </w:r>
      <w:r w:rsidR="009539E1">
        <w:t>of the consumption model for Uganda</w:t>
      </w:r>
      <w:r w:rsidR="00C4098F">
        <w:t xml:space="preserve"> </w:t>
      </w:r>
      <w:r w:rsidR="009539E1">
        <w:t>in Daniels (2011) was</w:t>
      </w:r>
      <w:r w:rsidR="00C4098F">
        <w:t xml:space="preserve"> 0.247. </w:t>
      </w:r>
      <w:r w:rsidR="009539E1">
        <w:t>Coefficients and standard errors of the</w:t>
      </w:r>
      <w:r w:rsidR="00C8076B">
        <w:t xml:space="preserve"> estimated regression</w:t>
      </w:r>
      <w:r w:rsidR="00B1246E">
        <w:rPr>
          <w:rStyle w:val="FootnoteReference"/>
          <w:noProof/>
        </w:rPr>
        <w:footnoteReference w:id="9"/>
      </w:r>
      <w:r w:rsidR="009539E1">
        <w:t xml:space="preserve"> on</w:t>
      </w:r>
      <w:r w:rsidR="00C8076B">
        <w:t xml:space="preserve"> household consumption</w:t>
      </w:r>
      <w:r w:rsidR="009539E1">
        <w:t xml:space="preserve"> are reported</w:t>
      </w:r>
      <w:r w:rsidR="00C8076B">
        <w:t xml:space="preserve"> </w:t>
      </w:r>
      <w:r w:rsidR="00C8076B" w:rsidRPr="00C563D6">
        <w:t xml:space="preserve">in </w:t>
      </w:r>
      <w:r w:rsidR="00C563D6" w:rsidRPr="00C563D6">
        <w:t>t</w:t>
      </w:r>
      <w:r w:rsidR="00C8076B" w:rsidRPr="00C563D6">
        <w:t xml:space="preserve">able </w:t>
      </w:r>
      <w:r w:rsidR="0055426C">
        <w:rPr>
          <w:noProof/>
        </w:rPr>
        <w:t>2</w:t>
      </w:r>
      <w:r w:rsidR="00C8076B" w:rsidRPr="00C563D6">
        <w:t>.</w:t>
      </w:r>
      <w:r w:rsidR="00C8076B">
        <w:t xml:space="preserve"> </w:t>
      </w:r>
    </w:p>
    <w:p w14:paraId="765B62EE" w14:textId="5503CB5A" w:rsidR="00526B54" w:rsidRDefault="00C8076B" w:rsidP="00C975C9">
      <w:pPr>
        <w:spacing w:line="480" w:lineRule="auto"/>
        <w:ind w:firstLine="720"/>
      </w:pPr>
      <w:r>
        <w:t>Although the primary purpo</w:t>
      </w:r>
      <w:r w:rsidR="009539E1">
        <w:t>se of this</w:t>
      </w:r>
      <w:r>
        <w:t xml:space="preserve"> regression is prediction and any interpretation of the parameter estimates should be tentative, the signs</w:t>
      </w:r>
      <w:r w:rsidR="00526B54">
        <w:t xml:space="preserve"> and magnitude</w:t>
      </w:r>
      <w:r>
        <w:t xml:space="preserve"> of estimated coefficients are intuitive. For instance, estimated coefficients of cell phone and moto</w:t>
      </w:r>
      <w:r w:rsidR="00526B54">
        <w:t>rcycle ownership are</w:t>
      </w:r>
      <w:r>
        <w:t xml:space="preserve"> </w:t>
      </w:r>
      <w:r w:rsidR="00526B54">
        <w:t xml:space="preserve">positively </w:t>
      </w:r>
      <w:r>
        <w:t xml:space="preserve">associated with </w:t>
      </w:r>
      <w:r w:rsidR="00526B54">
        <w:t>household consumption, while the magnitude of the coefficient for motorcycle ownership is three times larger than th</w:t>
      </w:r>
      <w:r w:rsidR="00913078">
        <w:t>at</w:t>
      </w:r>
      <w:r w:rsidR="00526B54">
        <w:t xml:space="preserve"> f</w:t>
      </w:r>
      <w:r w:rsidR="0055426C">
        <w:t>or cell phone ownership (table 2</w:t>
      </w:r>
      <w:r w:rsidR="00526B54">
        <w:t xml:space="preserve">). </w:t>
      </w:r>
      <w:r w:rsidR="00913078">
        <w:t>F</w:t>
      </w:r>
      <w:r w:rsidRPr="009B66C4">
        <w:t>ormal education is positively correlated with household consumption</w:t>
      </w:r>
      <w:r w:rsidR="00526B54">
        <w:t xml:space="preserve"> and t</w:t>
      </w:r>
      <w:r>
        <w:t>he correlation increase</w:t>
      </w:r>
      <w:r w:rsidR="00526B54">
        <w:t>s</w:t>
      </w:r>
      <w:r>
        <w:t xml:space="preserve"> at higher education levels.</w:t>
      </w:r>
      <w:r w:rsidR="00526B54">
        <w:t xml:space="preserve"> </w:t>
      </w:r>
      <w:r w:rsidR="00C975C9">
        <w:t>Using this</w:t>
      </w:r>
      <w:r w:rsidR="00A578BD">
        <w:t xml:space="preserve"> model</w:t>
      </w:r>
      <w:r w:rsidR="00C975C9">
        <w:t xml:space="preserve"> and the THS data,</w:t>
      </w:r>
      <w:r w:rsidR="00A578BD">
        <w:t xml:space="preserve"> </w:t>
      </w:r>
      <w:r w:rsidR="00C975C9" w:rsidRPr="005224A5">
        <w:t>household consumption and FGT pove</w:t>
      </w:r>
      <w:r w:rsidR="00C975C9">
        <w:t xml:space="preserve">rty indices in Tororo district are predicted by applying the SAEp method. </w:t>
      </w:r>
    </w:p>
    <w:p w14:paraId="13EE5B9B" w14:textId="0780B1CF" w:rsidR="00C8076B" w:rsidRDefault="00C975C9" w:rsidP="0041529C">
      <w:pPr>
        <w:tabs>
          <w:tab w:val="num" w:pos="720"/>
        </w:tabs>
        <w:spacing w:line="480" w:lineRule="auto"/>
      </w:pPr>
      <w:r>
        <w:tab/>
      </w:r>
      <w:r w:rsidR="006D0DD9">
        <w:rPr>
          <w:noProof/>
        </w:rPr>
        <w:t>The</w:t>
      </w:r>
      <w:r w:rsidR="00C8076B">
        <w:t xml:space="preserve"> cumulative distribution function (CDF) </w:t>
      </w:r>
      <w:r w:rsidR="00B77972">
        <w:t xml:space="preserve">of predicted </w:t>
      </w:r>
      <w:r w:rsidR="006D0DD9">
        <w:t xml:space="preserve">per capita </w:t>
      </w:r>
      <w:r w:rsidR="00C8076B">
        <w:t xml:space="preserve">household consumption </w:t>
      </w:r>
      <w:r w:rsidR="00B77972">
        <w:t>for rural Tororo district</w:t>
      </w:r>
      <w:r w:rsidR="006D0DD9">
        <w:t xml:space="preserve"> is depicted in </w:t>
      </w:r>
      <w:r w:rsidR="006D0DD9" w:rsidRPr="00B12BAF">
        <w:t xml:space="preserve">figure </w:t>
      </w:r>
      <w:r w:rsidR="00EB7C6B" w:rsidRPr="00B12BAF">
        <w:t>1</w:t>
      </w:r>
      <w:r w:rsidR="00C8076B" w:rsidRPr="00B12BAF">
        <w:t>.</w:t>
      </w:r>
      <w:r w:rsidR="00C8076B" w:rsidRPr="00EF524A">
        <w:t xml:space="preserve"> This CDF provides</w:t>
      </w:r>
      <w:r w:rsidR="00C8076B">
        <w:t xml:space="preserve"> a visualization of the 4.8 million simulated consumption values (10,000 predictions for each of the 480 sampled households). </w:t>
      </w:r>
      <w:proofErr w:type="gramStart"/>
      <w:r w:rsidR="00C91B65">
        <w:t>The majority of</w:t>
      </w:r>
      <w:proofErr w:type="gramEnd"/>
      <w:r w:rsidR="00C91B65">
        <w:t xml:space="preserve"> </w:t>
      </w:r>
      <w:r w:rsidR="00C8076B">
        <w:t>household consumption predictions fall</w:t>
      </w:r>
      <w:r w:rsidR="00C91B65">
        <w:t>s</w:t>
      </w:r>
      <w:r w:rsidR="00C8076B">
        <w:t xml:space="preserve"> below the international poverty line, resulting in the estimated poverty incidence of 56.49</w:t>
      </w:r>
      <w:r w:rsidR="00C91B65">
        <w:t>%</w:t>
      </w:r>
      <w:r w:rsidR="0055426C">
        <w:t xml:space="preserve"> (table 1)</w:t>
      </w:r>
      <w:r w:rsidR="00C91B65">
        <w:t xml:space="preserve">. This </w:t>
      </w:r>
      <w:r w:rsidR="00C8076B">
        <w:t>estimate</w:t>
      </w:r>
      <w:r w:rsidR="00C91B65">
        <w:t xml:space="preserve"> is </w:t>
      </w:r>
      <w:r w:rsidR="00C91B65">
        <w:lastRenderedPageBreak/>
        <w:t xml:space="preserve">within half a percent of the poverty estimate for the </w:t>
      </w:r>
      <w:r w:rsidR="00733EE7">
        <w:t xml:space="preserve">rural </w:t>
      </w:r>
      <w:r w:rsidR="00C91B65">
        <w:t xml:space="preserve">eastern </w:t>
      </w:r>
      <w:proofErr w:type="gramStart"/>
      <w:r w:rsidR="00C91B65">
        <w:t>r</w:t>
      </w:r>
      <w:r w:rsidR="00C8076B">
        <w:t>egion as a whole</w:t>
      </w:r>
      <w:proofErr w:type="gramEnd"/>
      <w:r w:rsidR="00C8076B">
        <w:t xml:space="preserve">. </w:t>
      </w:r>
      <w:r w:rsidR="006D0DD9" w:rsidRPr="00C1464C">
        <w:t xml:space="preserve">The </w:t>
      </w:r>
      <w:r w:rsidR="00C91B65">
        <w:t xml:space="preserve">estimated poverty </w:t>
      </w:r>
      <w:r w:rsidR="006D0DD9">
        <w:t>depth and severity indices for rural Tororo are 0.2148 and 0.1116</w:t>
      </w:r>
      <w:r w:rsidR="00C91B65">
        <w:t>,</w:t>
      </w:r>
      <w:r w:rsidR="006D0DD9">
        <w:t xml:space="preserve"> respectively</w:t>
      </w:r>
      <w:r w:rsidR="00C91B65">
        <w:t xml:space="preserve">.  </w:t>
      </w:r>
      <w:r w:rsidR="00C8076B">
        <w:t>Despite similar estimated headcount indices</w:t>
      </w:r>
      <w:r w:rsidR="00C91B65">
        <w:t xml:space="preserve"> in eastern Uganda and Tororo, the poverty depth </w:t>
      </w:r>
      <w:r w:rsidR="00C8076B">
        <w:t xml:space="preserve">estimates suggest that the rural population in Tororo is farther below the poverty line </w:t>
      </w:r>
      <w:r w:rsidR="00701639">
        <w:t xml:space="preserve">than the </w:t>
      </w:r>
      <w:r w:rsidR="00A27820">
        <w:t>rural</w:t>
      </w:r>
      <w:r w:rsidR="00C91B65">
        <w:t xml:space="preserve"> population in the</w:t>
      </w:r>
      <w:r w:rsidR="00A27820">
        <w:t xml:space="preserve"> </w:t>
      </w:r>
      <w:r w:rsidR="003F7778">
        <w:t>e</w:t>
      </w:r>
      <w:r w:rsidR="00701639">
        <w:t xml:space="preserve">astern </w:t>
      </w:r>
      <w:proofErr w:type="gramStart"/>
      <w:r w:rsidR="003F7778">
        <w:t>r</w:t>
      </w:r>
      <w:r w:rsidR="00701639">
        <w:t>egion</w:t>
      </w:r>
      <w:r w:rsidR="00BA71AC">
        <w:t xml:space="preserve"> as a whole</w:t>
      </w:r>
      <w:proofErr w:type="gramEnd"/>
      <w:r w:rsidR="00C8076B">
        <w:t xml:space="preserve">. The estimated poverty depth translates to an average poverty gap of approximately $0.27 per day </w:t>
      </w:r>
      <w:r w:rsidR="00C8076B" w:rsidRPr="00236A4F">
        <w:t>at 2005 PPP</w:t>
      </w:r>
      <w:r w:rsidR="00B1246E">
        <w:t>. Comparing the</w:t>
      </w:r>
      <w:r w:rsidR="00E6224A">
        <w:t xml:space="preserve"> two estimates of poverty severity </w:t>
      </w:r>
      <w:r w:rsidR="00C8076B">
        <w:t xml:space="preserve">further </w:t>
      </w:r>
      <w:r w:rsidR="000C78E8">
        <w:t>reveal</w:t>
      </w:r>
      <w:r w:rsidR="00B1246E">
        <w:t>s</w:t>
      </w:r>
      <w:r w:rsidR="00C8076B">
        <w:t xml:space="preserve"> that the poorest </w:t>
      </w:r>
      <w:r w:rsidR="00B1246E">
        <w:t>in</w:t>
      </w:r>
      <w:r w:rsidR="00C8076B">
        <w:t xml:space="preserve"> Tororo </w:t>
      </w:r>
      <w:r w:rsidR="00522943">
        <w:t>d</w:t>
      </w:r>
      <w:r w:rsidR="00CD6570">
        <w:t xml:space="preserve">istrict </w:t>
      </w:r>
      <w:r w:rsidR="00C8076B">
        <w:t xml:space="preserve">falls farther below the international poverty line on average than the poorest </w:t>
      </w:r>
      <w:r w:rsidR="00B1246E">
        <w:t>in</w:t>
      </w:r>
      <w:r w:rsidR="00E6224A">
        <w:t xml:space="preserve"> the</w:t>
      </w:r>
      <w:r w:rsidR="00C8076B">
        <w:t xml:space="preserve"> </w:t>
      </w:r>
      <w:r w:rsidR="00522943">
        <w:t>e</w:t>
      </w:r>
      <w:r w:rsidR="00C8076B">
        <w:t xml:space="preserve">astern </w:t>
      </w:r>
      <w:r w:rsidR="00522943">
        <w:t>r</w:t>
      </w:r>
      <w:r w:rsidR="00C8076B">
        <w:t>egion</w:t>
      </w:r>
      <w:r w:rsidR="00C8076B" w:rsidRPr="008839B4">
        <w:t>.</w:t>
      </w:r>
    </w:p>
    <w:p w14:paraId="318E6D0F" w14:textId="77777777" w:rsidR="005C07A1" w:rsidRDefault="004A38EE" w:rsidP="005C07A1">
      <w:pPr>
        <w:pStyle w:val="ListParagraph"/>
        <w:spacing w:line="480" w:lineRule="auto"/>
        <w:ind w:left="0"/>
        <w:outlineLvl w:val="0"/>
        <w:rPr>
          <w:i/>
        </w:rPr>
      </w:pPr>
      <w:r>
        <w:rPr>
          <w:i/>
        </w:rPr>
        <w:t xml:space="preserve">5.2 </w:t>
      </w:r>
      <w:r w:rsidR="009E2C90" w:rsidRPr="00702AEB">
        <w:rPr>
          <w:i/>
        </w:rPr>
        <w:t xml:space="preserve">Simulations of poverty reductions from CA adoption </w:t>
      </w:r>
    </w:p>
    <w:p w14:paraId="03F458CD" w14:textId="7653FB42" w:rsidR="00D720D4" w:rsidRPr="005C07A1" w:rsidRDefault="00D720D4" w:rsidP="0041529C">
      <w:pPr>
        <w:pStyle w:val="ListParagraph"/>
        <w:spacing w:line="480" w:lineRule="auto"/>
        <w:ind w:left="0" w:firstLine="720"/>
        <w:outlineLvl w:val="0"/>
        <w:rPr>
          <w:i/>
        </w:rPr>
      </w:pPr>
      <w:r>
        <w:t xml:space="preserve">Change in annual farm profits is added to predicted consumption </w:t>
      </w:r>
      <w:r w:rsidR="00355AB8">
        <w:t xml:space="preserve">values </w:t>
      </w:r>
      <w:r>
        <w:t xml:space="preserve">and </w:t>
      </w:r>
      <w:r w:rsidRPr="0020732D">
        <w:t xml:space="preserve">poverty indices </w:t>
      </w:r>
      <w:r>
        <w:t xml:space="preserve">are re-simulated to assess the </w:t>
      </w:r>
      <w:r w:rsidRPr="009A6638">
        <w:t>potential</w:t>
      </w:r>
      <w:r>
        <w:t xml:space="preserve"> </w:t>
      </w:r>
      <w:r w:rsidRPr="009A6638">
        <w:t xml:space="preserve">of CA adoption to </w:t>
      </w:r>
      <w:r>
        <w:t>reduce r</w:t>
      </w:r>
      <w:r w:rsidR="00355AB8">
        <w:t>ural</w:t>
      </w:r>
      <w:r>
        <w:t xml:space="preserve"> poverty in </w:t>
      </w:r>
      <w:r w:rsidRPr="009A6638">
        <w:t>Tororo d</w:t>
      </w:r>
      <w:r>
        <w:t xml:space="preserve">istrict. Six scenarios are considered by combining two measures of profitability and three levels of CA adoption.  </w:t>
      </w:r>
      <w:r w:rsidRPr="009A6638">
        <w:t xml:space="preserve">An increase in per-acre profit of 1,500 UGX (0.60 USD) per-season could decrease the incidence of rural poverty in Tororo district by one-tenth of a percentage point </w:t>
      </w:r>
      <w:proofErr w:type="gramStart"/>
      <w:r w:rsidRPr="009A6638">
        <w:t xml:space="preserve">assuming </w:t>
      </w:r>
      <w:r>
        <w:t>that</w:t>
      </w:r>
      <w:proofErr w:type="gramEnd"/>
      <w:r>
        <w:t xml:space="preserve"> </w:t>
      </w:r>
      <w:r w:rsidRPr="009A6638">
        <w:t>poor households adopt CA on one acre</w:t>
      </w:r>
      <w:r>
        <w:t xml:space="preserve"> (table 3)</w:t>
      </w:r>
      <w:r w:rsidRPr="009A6638">
        <w:t xml:space="preserve">. </w:t>
      </w:r>
      <w:r>
        <w:t xml:space="preserve">If CA practices were implemented on 50 and 75 percent of cultivated land, which corresponds to 1.43 acre and 2.14 acres on average, the poverty headcount would decrease by 0.17 and 0.26 percentage points. </w:t>
      </w:r>
      <w:bookmarkStart w:id="15" w:name="_Ref291759425"/>
      <w:r>
        <w:t xml:space="preserve">A 1.1 </w:t>
      </w:r>
      <w:r w:rsidRPr="009E1692">
        <w:t xml:space="preserve">percentage point </w:t>
      </w:r>
      <w:r w:rsidR="00355AB8">
        <w:t>reduction</w:t>
      </w:r>
      <w:r w:rsidRPr="009E1692">
        <w:t xml:space="preserve"> in the incidence of rural poverty</w:t>
      </w:r>
      <w:bookmarkEnd w:id="15"/>
      <w:r w:rsidRPr="009E1692">
        <w:t xml:space="preserve"> c</w:t>
      </w:r>
      <w:r>
        <w:t xml:space="preserve">ould be achieved with a </w:t>
      </w:r>
      <w:r w:rsidRPr="004E2E1A">
        <w:t>per-acre</w:t>
      </w:r>
      <w:r w:rsidRPr="009E1692">
        <w:t xml:space="preserve"> profit </w:t>
      </w:r>
      <w:r>
        <w:t>increase of 9</w:t>
      </w:r>
      <w:r w:rsidR="0090522B">
        <w:t>,000 UGX (3</w:t>
      </w:r>
      <w:r w:rsidRPr="009E1692">
        <w:t>.60 USD) per</w:t>
      </w:r>
      <w:r>
        <w:t>-</w:t>
      </w:r>
      <w:r w:rsidRPr="009E1692">
        <w:t>season</w:t>
      </w:r>
      <w:r>
        <w:t xml:space="preserve"> and CA adoption on half of poor </w:t>
      </w:r>
      <w:proofErr w:type="gramStart"/>
      <w:r>
        <w:t>households</w:t>
      </w:r>
      <w:r w:rsidR="00D140E3">
        <w:t>’</w:t>
      </w:r>
      <w:proofErr w:type="gramEnd"/>
      <w:r>
        <w:t xml:space="preserve"> cultivated land. Under this scenario, poverty depth and severity for rural Tororo would decrease by 0.0147 and 0.0112.  While magnitudes of the poverty impacts are relatively modest</w:t>
      </w:r>
      <w:r w:rsidR="00355AB8">
        <w:t>,</w:t>
      </w:r>
      <w:r>
        <w:t xml:space="preserve"> they are based on the assumptions of no yield gain and conservative reduction</w:t>
      </w:r>
      <w:r w:rsidR="00355AB8">
        <w:t>s</w:t>
      </w:r>
      <w:r>
        <w:t xml:space="preserve"> in production costs. Overtime </w:t>
      </w:r>
      <w:r w:rsidR="00355AB8">
        <w:t xml:space="preserve">practicing </w:t>
      </w:r>
      <w:r>
        <w:t xml:space="preserve">CA is expected to increase yields as soil fertility and </w:t>
      </w:r>
      <w:r>
        <w:lastRenderedPageBreak/>
        <w:t>moisture content continue to improve. Therefore, the full economic benefits of CA adoption might not be realized until several years (10 to 20 years) of continued adoption.</w:t>
      </w:r>
    </w:p>
    <w:p w14:paraId="32210BA2" w14:textId="3A7D71BA" w:rsidR="0049255F" w:rsidRDefault="00A95173" w:rsidP="00E3381E">
      <w:pPr>
        <w:spacing w:line="480" w:lineRule="auto"/>
      </w:pPr>
      <w:r>
        <w:tab/>
      </w:r>
      <w:r w:rsidR="00BA71AC">
        <w:t>V</w:t>
      </w:r>
      <w:r w:rsidR="00C460BD">
        <w:t xml:space="preserve">illage focus group discussions revealed substantial heterogeneity in typical land preparation costs. </w:t>
      </w:r>
      <w:proofErr w:type="gramStart"/>
      <w:r w:rsidR="00C460BD">
        <w:t>The majority of</w:t>
      </w:r>
      <w:proofErr w:type="gramEnd"/>
      <w:r w:rsidR="00C460BD">
        <w:t xml:space="preserve"> cost estimates for land preparation by oxen on land typically used for maize cultivation were within a range of 30,000 UGX (11.98 USD) to 100,000 UGX (39.93 USD) per acre per ploughing. </w:t>
      </w:r>
      <w:r w:rsidR="00C460BD" w:rsidRPr="007C1AFE">
        <w:t>Thus, the pote</w:t>
      </w:r>
      <w:r w:rsidR="00C460BD">
        <w:t>ntial for a locally adapted CA</w:t>
      </w:r>
      <w:r w:rsidR="00C460BD" w:rsidRPr="007C1AFE">
        <w:t xml:space="preserve"> to reduce rural po</w:t>
      </w:r>
      <w:r w:rsidR="00C460BD">
        <w:t>verty in the district depends largely</w:t>
      </w:r>
      <w:r w:rsidR="00C460BD" w:rsidRPr="007C1AFE">
        <w:t xml:space="preserve"> on</w:t>
      </w:r>
      <w:r w:rsidR="00BA71AC">
        <w:t xml:space="preserve"> saving</w:t>
      </w:r>
      <w:r w:rsidR="00C460BD" w:rsidRPr="007C1AFE">
        <w:t xml:space="preserve"> costs currently being incurred by poor households under the convention</w:t>
      </w:r>
      <w:r w:rsidR="00C460BD">
        <w:t xml:space="preserve">al practice </w:t>
      </w:r>
      <w:r w:rsidR="00BA71AC">
        <w:t>of</w:t>
      </w:r>
      <w:r w:rsidR="00BA71AC">
        <w:rPr>
          <w:color w:val="000000"/>
        </w:rPr>
        <w:t xml:space="preserve"> </w:t>
      </w:r>
      <w:r w:rsidR="00C460BD">
        <w:rPr>
          <w:color w:val="000000"/>
        </w:rPr>
        <w:t xml:space="preserve">land preparation. If tillage costs </w:t>
      </w:r>
      <w:r w:rsidR="00BA71AC">
        <w:rPr>
          <w:color w:val="000000"/>
        </w:rPr>
        <w:t>being paid</w:t>
      </w:r>
      <w:r w:rsidR="00C460BD">
        <w:rPr>
          <w:color w:val="000000"/>
        </w:rPr>
        <w:t xml:space="preserve"> by poor households are high, adoption of CA can generate a substantial reduction in Tororo’s rural poverty. If poor household tillage costs are below the average focus group estimates, however, CA would not be profitab</w:t>
      </w:r>
      <w:r w:rsidR="00BA71AC">
        <w:rPr>
          <w:color w:val="000000"/>
        </w:rPr>
        <w:t>le</w:t>
      </w:r>
      <w:r w:rsidR="00C460BD">
        <w:rPr>
          <w:color w:val="000000"/>
        </w:rPr>
        <w:t xml:space="preserve"> in the short-run.  </w:t>
      </w:r>
    </w:p>
    <w:p w14:paraId="48E1C251" w14:textId="7E9F8C11" w:rsidR="004A799E" w:rsidRPr="00C460BD" w:rsidRDefault="008275B6" w:rsidP="00C460BD">
      <w:pPr>
        <w:spacing w:line="480" w:lineRule="auto"/>
      </w:pPr>
      <w:r>
        <w:tab/>
      </w:r>
    </w:p>
    <w:p w14:paraId="27FC1296" w14:textId="54282FE6" w:rsidR="00346099" w:rsidRPr="004A38EE" w:rsidRDefault="00346099" w:rsidP="0041529C">
      <w:pPr>
        <w:pStyle w:val="ListParagraph"/>
        <w:numPr>
          <w:ilvl w:val="0"/>
          <w:numId w:val="19"/>
        </w:numPr>
        <w:spacing w:line="480" w:lineRule="auto"/>
        <w:ind w:left="360"/>
        <w:outlineLvl w:val="0"/>
        <w:rPr>
          <w:b/>
        </w:rPr>
      </w:pPr>
      <w:r w:rsidRPr="004A38EE">
        <w:rPr>
          <w:b/>
        </w:rPr>
        <w:t>Conclusion</w:t>
      </w:r>
    </w:p>
    <w:p w14:paraId="59E3E9C6" w14:textId="0C17CBB6" w:rsidR="00A5462B" w:rsidRDefault="0041529C" w:rsidP="002D6DF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color w:val="141414"/>
        </w:rPr>
      </w:pPr>
      <w:r>
        <w:rPr>
          <w:color w:val="141414"/>
        </w:rPr>
        <w:tab/>
        <w:t>R</w:t>
      </w:r>
      <w:r w:rsidR="00A5462B">
        <w:rPr>
          <w:color w:val="141414"/>
        </w:rPr>
        <w:t xml:space="preserve">esults from the SAE analysis can be used as a benchmark to assess development progress. </w:t>
      </w:r>
      <w:r w:rsidR="00A5462B">
        <w:rPr>
          <w:rFonts w:ascii="Times" w:hAnsi="Times" w:cs="Times"/>
          <w:color w:val="141414"/>
        </w:rPr>
        <w:t xml:space="preserve">This study’s assessment of “best case” scenarios suggests that measurable rural poverty reduction could be achieved via relatively modest increases in the profit </w:t>
      </w:r>
      <w:r w:rsidR="00DB4256">
        <w:rPr>
          <w:rFonts w:ascii="Times" w:hAnsi="Times" w:cs="Times"/>
          <w:color w:val="141414"/>
        </w:rPr>
        <w:t>per-acre</w:t>
      </w:r>
      <w:r w:rsidR="00A5462B">
        <w:rPr>
          <w:rFonts w:ascii="Times" w:hAnsi="Times" w:cs="Times"/>
          <w:color w:val="141414"/>
        </w:rPr>
        <w:t xml:space="preserve"> of poor households</w:t>
      </w:r>
      <w:r w:rsidR="00A5462B" w:rsidRPr="00DA4224">
        <w:rPr>
          <w:rFonts w:ascii="Times" w:hAnsi="Times" w:cs="Times"/>
          <w:color w:val="141414"/>
        </w:rPr>
        <w:t xml:space="preserve">. Profit increases of </w:t>
      </w:r>
      <w:r w:rsidR="002D6DFF">
        <w:rPr>
          <w:color w:val="141414"/>
        </w:rPr>
        <w:t>9</w:t>
      </w:r>
      <w:r w:rsidR="00E3381E">
        <w:rPr>
          <w:color w:val="141414"/>
        </w:rPr>
        <w:t>,000 UGX (3</w:t>
      </w:r>
      <w:r w:rsidR="0002477C" w:rsidRPr="00DA4224">
        <w:rPr>
          <w:color w:val="141414"/>
        </w:rPr>
        <w:t>.6</w:t>
      </w:r>
      <w:r w:rsidR="00A5462B" w:rsidRPr="00DA4224">
        <w:rPr>
          <w:color w:val="141414"/>
        </w:rPr>
        <w:t xml:space="preserve">0 </w:t>
      </w:r>
      <w:r w:rsidR="00A5462B" w:rsidRPr="00934F46">
        <w:rPr>
          <w:color w:val="141414"/>
        </w:rPr>
        <w:t xml:space="preserve">USD) </w:t>
      </w:r>
      <w:r w:rsidR="00DB4256" w:rsidRPr="00934F46">
        <w:rPr>
          <w:color w:val="141414"/>
        </w:rPr>
        <w:t>per-acre</w:t>
      </w:r>
      <w:r w:rsidR="00A5462B" w:rsidRPr="00DA4224">
        <w:rPr>
          <w:color w:val="141414"/>
        </w:rPr>
        <w:t xml:space="preserve"> per</w:t>
      </w:r>
      <w:r w:rsidR="00ED3159">
        <w:rPr>
          <w:color w:val="141414"/>
        </w:rPr>
        <w:t>-</w:t>
      </w:r>
      <w:r w:rsidR="002D6DFF">
        <w:rPr>
          <w:color w:val="141414"/>
        </w:rPr>
        <w:t xml:space="preserve">season and </w:t>
      </w:r>
      <w:r w:rsidR="00E3381E">
        <w:rPr>
          <w:color w:val="141414"/>
        </w:rPr>
        <w:t>75</w:t>
      </w:r>
      <w:r w:rsidR="002D6DFF">
        <w:rPr>
          <w:color w:val="141414"/>
        </w:rPr>
        <w:t xml:space="preserve"> percent of the </w:t>
      </w:r>
      <w:r w:rsidR="00E3381E">
        <w:rPr>
          <w:color w:val="141414"/>
        </w:rPr>
        <w:t xml:space="preserve">land area cultivated under </w:t>
      </w:r>
      <w:r w:rsidR="002D6DFF">
        <w:rPr>
          <w:color w:val="141414"/>
        </w:rPr>
        <w:t xml:space="preserve">CA </w:t>
      </w:r>
      <w:r w:rsidR="00D11AFC" w:rsidRPr="00DA4224">
        <w:rPr>
          <w:color w:val="141414"/>
        </w:rPr>
        <w:t>w</w:t>
      </w:r>
      <w:r w:rsidR="00A5462B" w:rsidRPr="00DA4224">
        <w:rPr>
          <w:color w:val="141414"/>
        </w:rPr>
        <w:t xml:space="preserve">ould reduce the incidence of poverty by </w:t>
      </w:r>
      <w:r w:rsidR="002D6DFF">
        <w:rPr>
          <w:color w:val="141414"/>
        </w:rPr>
        <w:t>1.8</w:t>
      </w:r>
      <w:r w:rsidR="00A5462B" w:rsidRPr="00DA4224">
        <w:rPr>
          <w:color w:val="141414"/>
        </w:rPr>
        <w:t xml:space="preserve"> percentage point</w:t>
      </w:r>
      <w:r w:rsidR="00BA71AC">
        <w:rPr>
          <w:color w:val="141414"/>
        </w:rPr>
        <w:t>s</w:t>
      </w:r>
      <w:r w:rsidR="00A5462B" w:rsidRPr="00DA4224">
        <w:rPr>
          <w:color w:val="141414"/>
        </w:rPr>
        <w:t>.</w:t>
      </w:r>
      <w:r w:rsidR="00A5462B">
        <w:rPr>
          <w:color w:val="141414"/>
        </w:rPr>
        <w:t xml:space="preserve"> </w:t>
      </w:r>
      <w:r>
        <w:rPr>
          <w:color w:val="141414"/>
        </w:rPr>
        <w:t xml:space="preserve">These gains are well within estimates of yield gains from maize CA practices in other parts of Africa (e.g. Abdulai, 2016; Jaleta et al., 2016). </w:t>
      </w:r>
      <w:r w:rsidR="00A5462B">
        <w:rPr>
          <w:color w:val="141414"/>
        </w:rPr>
        <w:t xml:space="preserve">The potential for measurable poverty reduction via this relatively small increase in the farm profits of poor households should be encouraging to the </w:t>
      </w:r>
      <w:r w:rsidR="00924AFA">
        <w:rPr>
          <w:color w:val="141414"/>
        </w:rPr>
        <w:t>d</w:t>
      </w:r>
      <w:r w:rsidR="00A5462B">
        <w:rPr>
          <w:color w:val="141414"/>
        </w:rPr>
        <w:t>istrict’s researchers and project implementers whose work aims to reduce poverty.</w:t>
      </w:r>
    </w:p>
    <w:p w14:paraId="79B01DF3" w14:textId="4DE4438A" w:rsidR="00A5462B" w:rsidRPr="006351AB" w:rsidRDefault="00A5462B" w:rsidP="00E3477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color w:val="141414"/>
        </w:rPr>
      </w:pPr>
      <w:r>
        <w:rPr>
          <w:color w:val="141414"/>
        </w:rPr>
        <w:tab/>
      </w:r>
      <w:r w:rsidRPr="006351AB">
        <w:rPr>
          <w:color w:val="141414"/>
        </w:rPr>
        <w:t xml:space="preserve">While these </w:t>
      </w:r>
      <w:r w:rsidR="00CD6570">
        <w:rPr>
          <w:color w:val="141414"/>
        </w:rPr>
        <w:t xml:space="preserve">district </w:t>
      </w:r>
      <w:r w:rsidRPr="006351AB">
        <w:rPr>
          <w:color w:val="141414"/>
        </w:rPr>
        <w:t xml:space="preserve">targets could be achieved </w:t>
      </w:r>
      <w:r w:rsidR="0095520A">
        <w:rPr>
          <w:color w:val="141414"/>
        </w:rPr>
        <w:t>with</w:t>
      </w:r>
      <w:r w:rsidRPr="006351AB">
        <w:rPr>
          <w:color w:val="141414"/>
        </w:rPr>
        <w:t xml:space="preserve"> locally adapted CA, the technology’s </w:t>
      </w:r>
      <w:r w:rsidRPr="006351AB">
        <w:rPr>
          <w:color w:val="141414"/>
        </w:rPr>
        <w:lastRenderedPageBreak/>
        <w:t>ability to reduce poverty is constrained by the lack of significant short-term yield gains from the system and the heterogeneity in land preparation costs faced by households</w:t>
      </w:r>
      <w:r w:rsidR="00701639">
        <w:rPr>
          <w:color w:val="141414"/>
        </w:rPr>
        <w:t>. I</w:t>
      </w:r>
      <w:r w:rsidRPr="006351AB">
        <w:rPr>
          <w:color w:val="141414"/>
        </w:rPr>
        <w:t>n the absence of short-term yield gains, the profit increases f</w:t>
      </w:r>
      <w:r w:rsidR="00E34776">
        <w:rPr>
          <w:color w:val="141414"/>
        </w:rPr>
        <w:t>rom CA</w:t>
      </w:r>
      <w:r w:rsidRPr="006351AB">
        <w:rPr>
          <w:color w:val="141414"/>
        </w:rPr>
        <w:t xml:space="preserve"> adoption </w:t>
      </w:r>
      <w:r w:rsidR="00701639">
        <w:rPr>
          <w:color w:val="141414"/>
        </w:rPr>
        <w:t>will only accrue to those</w:t>
      </w:r>
      <w:r w:rsidRPr="006351AB">
        <w:rPr>
          <w:color w:val="141414"/>
        </w:rPr>
        <w:t xml:space="preserve"> households fac</w:t>
      </w:r>
      <w:r w:rsidR="00701639">
        <w:rPr>
          <w:color w:val="141414"/>
        </w:rPr>
        <w:t>ing</w:t>
      </w:r>
      <w:r w:rsidRPr="006351AB">
        <w:rPr>
          <w:color w:val="141414"/>
        </w:rPr>
        <w:t xml:space="preserve"> high </w:t>
      </w:r>
      <w:r w:rsidR="0095520A">
        <w:rPr>
          <w:color w:val="141414"/>
        </w:rPr>
        <w:t>tillage</w:t>
      </w:r>
      <w:r w:rsidR="0095520A" w:rsidRPr="006351AB">
        <w:rPr>
          <w:color w:val="141414"/>
        </w:rPr>
        <w:t xml:space="preserve"> </w:t>
      </w:r>
      <w:r w:rsidRPr="006351AB">
        <w:rPr>
          <w:color w:val="141414"/>
        </w:rPr>
        <w:t>costs. These results suggest that there is more work to be done if CA development is to achieve its aim of poverty reduction. At the present state of CA</w:t>
      </w:r>
      <w:r w:rsidR="00E34776">
        <w:rPr>
          <w:color w:val="141414"/>
        </w:rPr>
        <w:t xml:space="preserve"> </w:t>
      </w:r>
      <w:r w:rsidRPr="006351AB">
        <w:rPr>
          <w:color w:val="141414"/>
        </w:rPr>
        <w:t>development, achieving rural pover</w:t>
      </w:r>
      <w:r w:rsidR="00E34776">
        <w:rPr>
          <w:color w:val="141414"/>
        </w:rPr>
        <w:t>ty reduction in Tororo from CA</w:t>
      </w:r>
      <w:r w:rsidRPr="006351AB">
        <w:rPr>
          <w:color w:val="141414"/>
        </w:rPr>
        <w:t xml:space="preserve"> </w:t>
      </w:r>
      <w:r w:rsidR="00701639">
        <w:rPr>
          <w:color w:val="141414"/>
        </w:rPr>
        <w:t xml:space="preserve">adoption </w:t>
      </w:r>
      <w:r w:rsidRPr="006351AB">
        <w:rPr>
          <w:color w:val="141414"/>
        </w:rPr>
        <w:t>may require policy incentives that improve the technology’s short-term profitability relat</w:t>
      </w:r>
      <w:r w:rsidR="004573F5">
        <w:rPr>
          <w:color w:val="141414"/>
        </w:rPr>
        <w:t>ive to current farmer practi</w:t>
      </w:r>
      <w:r w:rsidR="00F661B1">
        <w:rPr>
          <w:color w:val="141414"/>
        </w:rPr>
        <w:t>ces, such as subsidizing</w:t>
      </w:r>
      <w:r w:rsidR="004573F5">
        <w:rPr>
          <w:color w:val="141414"/>
        </w:rPr>
        <w:t xml:space="preserve"> </w:t>
      </w:r>
      <w:r w:rsidR="004573F5" w:rsidRPr="004573F5">
        <w:rPr>
          <w:i/>
          <w:iCs/>
          <w:color w:val="141414"/>
        </w:rPr>
        <w:t>mucuna</w:t>
      </w:r>
      <w:r w:rsidR="004573F5">
        <w:rPr>
          <w:color w:val="141414"/>
        </w:rPr>
        <w:t xml:space="preserve"> seeds and herbicide.  </w:t>
      </w:r>
    </w:p>
    <w:p w14:paraId="09A9542D" w14:textId="3866E10D" w:rsidR="00330C2E" w:rsidRDefault="001E234F" w:rsidP="001773BA">
      <w:pPr>
        <w:spacing w:line="480" w:lineRule="auto"/>
        <w:rPr>
          <w:b/>
        </w:rPr>
      </w:pPr>
      <w:r>
        <w:rPr>
          <w:color w:val="141414"/>
        </w:rPr>
        <w:tab/>
      </w:r>
      <w:r w:rsidR="00A5462B">
        <w:rPr>
          <w:color w:val="141414"/>
        </w:rPr>
        <w:t>Along with these context-specific insights, the method applied in this study could easily be adapted to other settings. The collection of detailed consumption data for welfare analy</w:t>
      </w:r>
      <w:r w:rsidR="00701639">
        <w:rPr>
          <w:color w:val="141414"/>
        </w:rPr>
        <w:t>sis</w:t>
      </w:r>
      <w:r w:rsidR="00A5462B">
        <w:rPr>
          <w:color w:val="141414"/>
        </w:rPr>
        <w:t xml:space="preserve"> may be outside the budget and time constraints of many researchers and project implementers. Detailed datasets of household-level consumption data, however, are available from the World Bank’s LSMS. By utilizing these publically available datasets and applying </w:t>
      </w:r>
      <w:r w:rsidR="0075566A">
        <w:rPr>
          <w:color w:val="141414"/>
        </w:rPr>
        <w:t xml:space="preserve">SAEp </w:t>
      </w:r>
      <w:r w:rsidR="00A5462B">
        <w:rPr>
          <w:color w:val="141414"/>
        </w:rPr>
        <w:t>method to survey data</w:t>
      </w:r>
      <w:r w:rsidR="0075566A">
        <w:rPr>
          <w:color w:val="141414"/>
        </w:rPr>
        <w:t xml:space="preserve"> such as those collected in this study</w:t>
      </w:r>
      <w:r w:rsidR="00A5462B">
        <w:rPr>
          <w:color w:val="141414"/>
        </w:rPr>
        <w:t>, researchers can conduct welfare analy</w:t>
      </w:r>
      <w:r w:rsidR="00701639">
        <w:rPr>
          <w:color w:val="141414"/>
        </w:rPr>
        <w:t>sis</w:t>
      </w:r>
      <w:r w:rsidR="00A5462B">
        <w:rPr>
          <w:color w:val="141414"/>
        </w:rPr>
        <w:t xml:space="preserve"> </w:t>
      </w:r>
      <w:r w:rsidR="00701639">
        <w:rPr>
          <w:color w:val="141414"/>
        </w:rPr>
        <w:t>for</w:t>
      </w:r>
      <w:r w:rsidR="00A5462B">
        <w:rPr>
          <w:color w:val="141414"/>
        </w:rPr>
        <w:t xml:space="preserve"> small </w:t>
      </w:r>
      <w:r w:rsidR="00A5462B" w:rsidRPr="001773BA">
        <w:rPr>
          <w:color w:val="141414"/>
        </w:rPr>
        <w:t>geographic area</w:t>
      </w:r>
      <w:r w:rsidR="00701639" w:rsidRPr="001773BA">
        <w:rPr>
          <w:color w:val="141414"/>
        </w:rPr>
        <w:t>s</w:t>
      </w:r>
      <w:r w:rsidR="00A5462B" w:rsidRPr="001773BA">
        <w:rPr>
          <w:color w:val="141414"/>
        </w:rPr>
        <w:t xml:space="preserve"> </w:t>
      </w:r>
      <w:r w:rsidR="0075566A" w:rsidRPr="001773BA">
        <w:rPr>
          <w:color w:val="141414"/>
        </w:rPr>
        <w:t>at low cost</w:t>
      </w:r>
      <w:r w:rsidR="00A5462B" w:rsidRPr="001773BA">
        <w:rPr>
          <w:color w:val="141414"/>
        </w:rPr>
        <w:t xml:space="preserve">. </w:t>
      </w:r>
      <w:r w:rsidR="001773BA" w:rsidRPr="001773BA">
        <w:rPr>
          <w:color w:val="141414"/>
        </w:rPr>
        <w:t xml:space="preserve">Only </w:t>
      </w:r>
      <w:r w:rsidR="00A5462B" w:rsidRPr="001773BA">
        <w:rPr>
          <w:color w:val="141414"/>
        </w:rPr>
        <w:t xml:space="preserve">the covariates used in the welfare analysis </w:t>
      </w:r>
      <w:proofErr w:type="gramStart"/>
      <w:r w:rsidR="001773BA" w:rsidRPr="001773BA">
        <w:rPr>
          <w:color w:val="141414"/>
        </w:rPr>
        <w:t>have to</w:t>
      </w:r>
      <w:proofErr w:type="gramEnd"/>
      <w:r w:rsidR="001773BA" w:rsidRPr="001773BA">
        <w:rPr>
          <w:color w:val="141414"/>
        </w:rPr>
        <w:t xml:space="preserve"> be added to the household survey</w:t>
      </w:r>
      <w:r w:rsidR="00A5462B" w:rsidRPr="001773BA">
        <w:rPr>
          <w:color w:val="141414"/>
        </w:rPr>
        <w:t>. This allows researchers to conduct detailed welfare analy</w:t>
      </w:r>
      <w:r w:rsidR="00701639" w:rsidRPr="001773BA">
        <w:rPr>
          <w:color w:val="141414"/>
        </w:rPr>
        <w:t>sis</w:t>
      </w:r>
      <w:r w:rsidR="00A5462B" w:rsidRPr="001773BA">
        <w:rPr>
          <w:color w:val="141414"/>
        </w:rPr>
        <w:t xml:space="preserve"> while focusing their efforts (and budget) on other research questions of interest.</w:t>
      </w:r>
    </w:p>
    <w:p w14:paraId="187AF704" w14:textId="77777777" w:rsidR="00330C2E" w:rsidRDefault="00330C2E">
      <w:pPr>
        <w:rPr>
          <w:b/>
        </w:rPr>
      </w:pPr>
    </w:p>
    <w:p w14:paraId="5DD47D59" w14:textId="77777777" w:rsidR="001773BA" w:rsidRPr="004A76F6" w:rsidRDefault="001773BA" w:rsidP="00E34776">
      <w:pPr>
        <w:outlineLvl w:val="0"/>
        <w:rPr>
          <w:b/>
        </w:rPr>
      </w:pPr>
    </w:p>
    <w:p w14:paraId="08ED44C7" w14:textId="77777777" w:rsidR="004A38EE" w:rsidRPr="004A76F6" w:rsidRDefault="004A38EE">
      <w:pPr>
        <w:rPr>
          <w:b/>
        </w:rPr>
      </w:pPr>
      <w:r w:rsidRPr="004A76F6">
        <w:rPr>
          <w:b/>
        </w:rPr>
        <w:br w:type="page"/>
      </w:r>
    </w:p>
    <w:p w14:paraId="587417A7" w14:textId="1DB020F6" w:rsidR="00346099" w:rsidRDefault="00346099" w:rsidP="00E34776">
      <w:pPr>
        <w:outlineLvl w:val="0"/>
        <w:rPr>
          <w:b/>
        </w:rPr>
      </w:pPr>
      <w:r w:rsidRPr="00914555">
        <w:rPr>
          <w:b/>
        </w:rPr>
        <w:lastRenderedPageBreak/>
        <w:t>References</w:t>
      </w:r>
    </w:p>
    <w:p w14:paraId="691118EA" w14:textId="77777777" w:rsidR="00314EBB" w:rsidRPr="00914555" w:rsidRDefault="00314EBB" w:rsidP="00E34776">
      <w:pPr>
        <w:outlineLvl w:val="0"/>
      </w:pPr>
    </w:p>
    <w:p w14:paraId="41DEE64D" w14:textId="674709E3" w:rsidR="0091127E" w:rsidRPr="004A76F6" w:rsidRDefault="0091127E" w:rsidP="00D06B98">
      <w:pPr>
        <w:pStyle w:val="EndNoteBibliography"/>
        <w:ind w:left="720" w:hanging="720"/>
        <w:rPr>
          <w:rFonts w:eastAsia="Calibri"/>
          <w:color w:val="000000"/>
          <w:lang w:val="it-IT"/>
        </w:rPr>
      </w:pPr>
      <w:r>
        <w:rPr>
          <w:rFonts w:ascii="Times-Roman" w:hAnsi="Times-Roman" w:cs="Times-Roman"/>
        </w:rPr>
        <w:t xml:space="preserve">Abdulai, A. N. 2016. Impact of conservation agriculture technology on household welfare in Zambia. </w:t>
      </w:r>
      <w:r w:rsidRPr="004A76F6">
        <w:rPr>
          <w:rFonts w:ascii="Times-Roman" w:hAnsi="Times-Roman" w:cs="Times-Roman"/>
          <w:lang w:val="it-IT"/>
        </w:rPr>
        <w:t>Agri</w:t>
      </w:r>
      <w:r w:rsidR="00CA609C" w:rsidRPr="004A76F6">
        <w:rPr>
          <w:rFonts w:ascii="Times-Roman" w:hAnsi="Times-Roman" w:cs="Times-Roman"/>
          <w:lang w:val="it-IT"/>
        </w:rPr>
        <w:t>.</w:t>
      </w:r>
      <w:r w:rsidRPr="004A76F6">
        <w:rPr>
          <w:rFonts w:ascii="Times-Roman" w:hAnsi="Times-Roman" w:cs="Times-Roman"/>
          <w:lang w:val="it-IT"/>
        </w:rPr>
        <w:t xml:space="preserve"> Econ</w:t>
      </w:r>
      <w:r w:rsidR="00CA609C" w:rsidRPr="004A76F6">
        <w:rPr>
          <w:rFonts w:ascii="Times-Roman" w:hAnsi="Times-Roman" w:cs="Times-Roman"/>
          <w:lang w:val="it-IT"/>
        </w:rPr>
        <w:t>.</w:t>
      </w:r>
      <w:r w:rsidRPr="004A76F6">
        <w:rPr>
          <w:rFonts w:ascii="Times-Roman" w:hAnsi="Times-Roman" w:cs="Times-Roman"/>
          <w:lang w:val="it-IT"/>
        </w:rPr>
        <w:t xml:space="preserve"> 47</w:t>
      </w:r>
      <w:r w:rsidR="00CA609C" w:rsidRPr="004A76F6">
        <w:rPr>
          <w:rFonts w:ascii="Times-Roman" w:hAnsi="Times-Roman" w:cs="Times-Roman"/>
          <w:lang w:val="it-IT"/>
        </w:rPr>
        <w:t xml:space="preserve">, </w:t>
      </w:r>
      <w:r w:rsidRPr="004A76F6">
        <w:rPr>
          <w:rFonts w:ascii="Times-Roman" w:hAnsi="Times-Roman" w:cs="Times-Roman"/>
          <w:lang w:val="it-IT"/>
        </w:rPr>
        <w:t>729-741.</w:t>
      </w:r>
    </w:p>
    <w:p w14:paraId="328523B1" w14:textId="6100910D" w:rsidR="00D06B98" w:rsidRPr="00D06B98" w:rsidRDefault="005D7F00" w:rsidP="00D06B98">
      <w:pPr>
        <w:pStyle w:val="EndNoteBibliography"/>
        <w:ind w:left="720" w:hanging="720"/>
        <w:rPr>
          <w:noProof/>
        </w:rPr>
      </w:pPr>
      <w:r>
        <w:rPr>
          <w:rFonts w:eastAsia="Calibri"/>
          <w:color w:val="000000"/>
        </w:rPr>
        <w:fldChar w:fldCharType="begin"/>
      </w:r>
      <w:r w:rsidRPr="004A76F6">
        <w:rPr>
          <w:rFonts w:eastAsia="Calibri"/>
          <w:color w:val="000000"/>
          <w:lang w:val="it-IT"/>
        </w:rPr>
        <w:instrText xml:space="preserve"> ADDIN EN.REFLIST </w:instrText>
      </w:r>
      <w:r>
        <w:rPr>
          <w:rFonts w:eastAsia="Calibri"/>
          <w:color w:val="000000"/>
        </w:rPr>
        <w:fldChar w:fldCharType="separate"/>
      </w:r>
      <w:r w:rsidR="00D06B98" w:rsidRPr="004A76F6">
        <w:rPr>
          <w:noProof/>
          <w:lang w:val="it-IT"/>
        </w:rPr>
        <w:t xml:space="preserve">Christiaensen, L., Lanjouw, P., Luoto, J., Stifel, D., 2012. </w:t>
      </w:r>
      <w:r w:rsidR="00D06B98" w:rsidRPr="00D06B98">
        <w:rPr>
          <w:noProof/>
        </w:rPr>
        <w:t>Small area estimation-based prediction methods to track poverty: Validation and applications.</w:t>
      </w:r>
      <w:r w:rsidR="00D06B98" w:rsidRPr="00D06B98">
        <w:rPr>
          <w:i/>
          <w:noProof/>
        </w:rPr>
        <w:t xml:space="preserve"> </w:t>
      </w:r>
      <w:r w:rsidR="00D06B98" w:rsidRPr="00D06B98">
        <w:rPr>
          <w:noProof/>
        </w:rPr>
        <w:t>J</w:t>
      </w:r>
      <w:r w:rsidR="00CA609C">
        <w:rPr>
          <w:noProof/>
        </w:rPr>
        <w:t>.</w:t>
      </w:r>
      <w:r w:rsidR="00D06B98" w:rsidRPr="00D06B98">
        <w:rPr>
          <w:noProof/>
        </w:rPr>
        <w:t xml:space="preserve"> Econ</w:t>
      </w:r>
      <w:r w:rsidR="00CA609C">
        <w:rPr>
          <w:noProof/>
        </w:rPr>
        <w:t>.</w:t>
      </w:r>
      <w:r w:rsidR="00D06B98" w:rsidRPr="00D06B98">
        <w:rPr>
          <w:noProof/>
        </w:rPr>
        <w:t xml:space="preserve"> Inequal</w:t>
      </w:r>
      <w:r w:rsidR="00D06B98" w:rsidRPr="00D06B98">
        <w:rPr>
          <w:i/>
          <w:noProof/>
        </w:rPr>
        <w:t xml:space="preserve">. </w:t>
      </w:r>
      <w:r w:rsidR="00D06B98" w:rsidRPr="00D06B98">
        <w:rPr>
          <w:noProof/>
        </w:rPr>
        <w:t>10(2), 267-297.</w:t>
      </w:r>
    </w:p>
    <w:p w14:paraId="7DD8A11D" w14:textId="77777777" w:rsidR="00D06B98" w:rsidRPr="00D06B98" w:rsidRDefault="00D06B98" w:rsidP="00D06B98">
      <w:pPr>
        <w:pStyle w:val="EndNoteBibliography"/>
        <w:ind w:left="720" w:hanging="720"/>
        <w:rPr>
          <w:noProof/>
        </w:rPr>
      </w:pPr>
      <w:r w:rsidRPr="00D06B98">
        <w:rPr>
          <w:noProof/>
        </w:rPr>
        <w:t>Cuong, N. V., 2011. Poverty projection using a small area estimation method: Evidence from Vietnam.</w:t>
      </w:r>
      <w:r w:rsidRPr="00D06B98">
        <w:rPr>
          <w:i/>
          <w:noProof/>
        </w:rPr>
        <w:t xml:space="preserve"> </w:t>
      </w:r>
      <w:r w:rsidRPr="00D06B98">
        <w:rPr>
          <w:noProof/>
        </w:rPr>
        <w:t>J. Compar. Econ.</w:t>
      </w:r>
      <w:r w:rsidRPr="00D06B98">
        <w:rPr>
          <w:i/>
          <w:noProof/>
        </w:rPr>
        <w:t xml:space="preserve"> </w:t>
      </w:r>
      <w:r w:rsidRPr="00D06B98">
        <w:rPr>
          <w:noProof/>
        </w:rPr>
        <w:t>39(3), 368-382.</w:t>
      </w:r>
    </w:p>
    <w:p w14:paraId="739BE318" w14:textId="77777777" w:rsidR="00D06B98" w:rsidRPr="00D06B98" w:rsidRDefault="00D06B98" w:rsidP="00D06B98">
      <w:pPr>
        <w:pStyle w:val="EndNoteBibliography"/>
        <w:ind w:left="720" w:hanging="720"/>
        <w:rPr>
          <w:noProof/>
        </w:rPr>
      </w:pPr>
      <w:r w:rsidRPr="00D06B98">
        <w:rPr>
          <w:noProof/>
        </w:rPr>
        <w:t>Dang, H.-A., Lanjouw, P. F., Serajuddin, U., 2014. Updating poverty estimates at frequent intervals in the absence of consumption data: Methods and illustration with reference to a middle-income country. Policy Research Working Paper no.7043. World Bank, Washington D.C.</w:t>
      </w:r>
    </w:p>
    <w:p w14:paraId="7C769F12" w14:textId="6932E06F" w:rsidR="00D06B98" w:rsidRPr="00D06B98" w:rsidRDefault="00D06B98" w:rsidP="00D06B98">
      <w:pPr>
        <w:pStyle w:val="EndNoteBibliography"/>
        <w:ind w:left="720" w:hanging="720"/>
        <w:rPr>
          <w:noProof/>
        </w:rPr>
      </w:pPr>
      <w:r w:rsidRPr="00D06B98">
        <w:rPr>
          <w:noProof/>
        </w:rPr>
        <w:t xml:space="preserve">Daniels, L., 2011. Measuring poverty trends in Uganda with non-monetary indicators. Accessed December 2016, available at </w:t>
      </w:r>
      <w:hyperlink r:id="rId10" w:history="1">
        <w:r w:rsidRPr="00D06B98">
          <w:rPr>
            <w:rStyle w:val="Hyperlink"/>
            <w:noProof/>
          </w:rPr>
          <w:t>http://www.fao.org/fileadmin/templates/ess/pages/rural/wye_city_group/2011/documents/session3/Daniels_-_Paper.pdf</w:t>
        </w:r>
      </w:hyperlink>
      <w:r w:rsidRPr="00D06B98">
        <w:rPr>
          <w:noProof/>
        </w:rPr>
        <w:t>.</w:t>
      </w:r>
    </w:p>
    <w:p w14:paraId="6714CED9" w14:textId="77777777" w:rsidR="00D06B98" w:rsidRPr="00D06B98" w:rsidRDefault="00D06B98" w:rsidP="00D06B98">
      <w:pPr>
        <w:pStyle w:val="EndNoteBibliography"/>
        <w:ind w:left="720" w:hanging="720"/>
        <w:rPr>
          <w:noProof/>
        </w:rPr>
      </w:pPr>
      <w:r w:rsidRPr="00D06B98">
        <w:rPr>
          <w:noProof/>
        </w:rPr>
        <w:t>Deaton, A., Zaidi, S., 2002. Guidelines for constructing consumption aggregates for welfare analysis. Living Standards Measurement Study (LSMS) Working  Paper no. 135. World Bank, Washington D.C.</w:t>
      </w:r>
    </w:p>
    <w:p w14:paraId="3643422A" w14:textId="77777777" w:rsidR="00D06B98" w:rsidRPr="00D06B98" w:rsidRDefault="00D06B98" w:rsidP="00D06B98">
      <w:pPr>
        <w:pStyle w:val="EndNoteBibliography"/>
        <w:ind w:left="720" w:hanging="720"/>
        <w:rPr>
          <w:noProof/>
        </w:rPr>
      </w:pPr>
      <w:r w:rsidRPr="00D06B98">
        <w:rPr>
          <w:noProof/>
        </w:rPr>
        <w:t>Elbers, C., Lanjouw, J. O., Lanjouw, P., 2002. Micro-level estimation of welfare. Policy Research Working Paper no. 2911. World Bank, Washington D.C.</w:t>
      </w:r>
    </w:p>
    <w:p w14:paraId="4AC99C4A" w14:textId="77777777" w:rsidR="00D06B98" w:rsidRPr="00D06B98" w:rsidRDefault="00D06B98" w:rsidP="00D06B98">
      <w:pPr>
        <w:pStyle w:val="EndNoteBibliography"/>
        <w:ind w:left="720" w:hanging="720"/>
        <w:rPr>
          <w:noProof/>
        </w:rPr>
      </w:pPr>
      <w:r w:rsidRPr="00D06B98">
        <w:rPr>
          <w:noProof/>
        </w:rPr>
        <w:t>Elbers, C., Lanjouw, J. O., Lanjouw, P., 2003. Micro–level estimation of poverty and inequality.</w:t>
      </w:r>
      <w:r w:rsidRPr="00D06B98">
        <w:rPr>
          <w:i/>
          <w:noProof/>
        </w:rPr>
        <w:t xml:space="preserve"> </w:t>
      </w:r>
      <w:r w:rsidRPr="00D06B98">
        <w:rPr>
          <w:noProof/>
        </w:rPr>
        <w:t>Econometrica</w:t>
      </w:r>
      <w:r w:rsidRPr="00D06B98">
        <w:rPr>
          <w:i/>
          <w:noProof/>
        </w:rPr>
        <w:t xml:space="preserve">. </w:t>
      </w:r>
      <w:r w:rsidRPr="00D06B98">
        <w:rPr>
          <w:noProof/>
        </w:rPr>
        <w:t>71(1), 355-364.</w:t>
      </w:r>
    </w:p>
    <w:p w14:paraId="731ACC16" w14:textId="77777777" w:rsidR="00D06B98" w:rsidRPr="00D06B98" w:rsidRDefault="00D06B98" w:rsidP="00D06B98">
      <w:pPr>
        <w:pStyle w:val="EndNoteBibliography"/>
        <w:ind w:left="720" w:hanging="720"/>
        <w:rPr>
          <w:noProof/>
        </w:rPr>
      </w:pPr>
      <w:r w:rsidRPr="00D06B98">
        <w:rPr>
          <w:noProof/>
        </w:rPr>
        <w:t>Elbers, C., Lanjouw, P. F., Leite, P. G., 2008. Brazil within Brazil: Testing the Poverty Map Methodology in Minas Gerais. Policy Research Working Paper no 4513. World Bank, Washington D.C.</w:t>
      </w:r>
    </w:p>
    <w:p w14:paraId="40889817" w14:textId="06C60393" w:rsidR="00D06B98" w:rsidRDefault="00D06B98" w:rsidP="00D06B98">
      <w:pPr>
        <w:pStyle w:val="EndNoteBibliography"/>
        <w:ind w:left="720" w:hanging="720"/>
        <w:rPr>
          <w:noProof/>
        </w:rPr>
      </w:pPr>
      <w:r w:rsidRPr="00D06B98">
        <w:rPr>
          <w:noProof/>
        </w:rPr>
        <w:t xml:space="preserve">Greene, W. H., 2012. </w:t>
      </w:r>
      <w:r w:rsidRPr="00D06B98">
        <w:rPr>
          <w:i/>
          <w:noProof/>
        </w:rPr>
        <w:t>Econometric Analysis: Seventh Edition</w:t>
      </w:r>
      <w:r w:rsidRPr="00D06B98">
        <w:rPr>
          <w:noProof/>
        </w:rPr>
        <w:t>. Pearson Education Limited Essex, England.</w:t>
      </w:r>
    </w:p>
    <w:p w14:paraId="7583CA62" w14:textId="2615721C" w:rsidR="00CA609C" w:rsidRPr="00D06B98" w:rsidRDefault="00CA609C" w:rsidP="00CA609C">
      <w:pPr>
        <w:autoSpaceDE w:val="0"/>
        <w:autoSpaceDN w:val="0"/>
        <w:adjustRightInd w:val="0"/>
        <w:ind w:left="810" w:hanging="810"/>
        <w:rPr>
          <w:noProof/>
        </w:rPr>
      </w:pPr>
      <w:r>
        <w:rPr>
          <w:rFonts w:ascii="Times-Roman" w:hAnsi="Times-Roman" w:cs="Times-Roman"/>
        </w:rPr>
        <w:t xml:space="preserve">Jaleta, M., M. Kassie, K. Tesfaye, T. Teklewold, P. Ranjan Jena, P. Marenya, O. Erenstein,  2016. </w:t>
      </w:r>
      <w:r w:rsidRPr="00CA609C">
        <w:rPr>
          <w:rFonts w:ascii="Times-Roman" w:hAnsi="Times-Roman" w:cs="Times-Roman"/>
        </w:rPr>
        <w:t>Resource saving and productivity enhancing impacts of crop management</w:t>
      </w:r>
      <w:r>
        <w:rPr>
          <w:rFonts w:ascii="Times-Roman" w:hAnsi="Times-Roman" w:cs="Times-Roman"/>
        </w:rPr>
        <w:t xml:space="preserve"> </w:t>
      </w:r>
      <w:r w:rsidRPr="00CA609C">
        <w:rPr>
          <w:rFonts w:ascii="Times-Roman" w:hAnsi="Times-Roman" w:cs="Times-Roman"/>
        </w:rPr>
        <w:t>innovation packages in Ethiopia</w:t>
      </w:r>
      <w:r>
        <w:rPr>
          <w:rFonts w:ascii="Times-Roman" w:hAnsi="Times-Roman" w:cs="Times-Roman"/>
        </w:rPr>
        <w:t>. Agri. Econ. 47, 513-522.</w:t>
      </w:r>
    </w:p>
    <w:p w14:paraId="3010BD60" w14:textId="40EFB865" w:rsidR="005514AC" w:rsidRDefault="00D06B98" w:rsidP="00D06B98">
      <w:pPr>
        <w:pStyle w:val="EndNoteBibliography"/>
        <w:ind w:left="720" w:hanging="720"/>
        <w:rPr>
          <w:noProof/>
        </w:rPr>
      </w:pPr>
      <w:r w:rsidRPr="00D06B98">
        <w:rPr>
          <w:noProof/>
        </w:rPr>
        <w:t xml:space="preserve">Kijima, Y., Lanjouw, P. F., 2003. Poverty in India during the 1990s: a regional perspective. Policy Research Working Paper no. 3141. World Bank, Washington D.C. </w:t>
      </w:r>
    </w:p>
    <w:p w14:paraId="448BDD2F" w14:textId="37383DBE" w:rsidR="00D06B98" w:rsidRPr="00D06B98" w:rsidRDefault="005514AC" w:rsidP="00D06B98">
      <w:pPr>
        <w:pStyle w:val="EndNoteBibliography"/>
        <w:ind w:left="720" w:hanging="720"/>
        <w:rPr>
          <w:noProof/>
        </w:rPr>
      </w:pPr>
      <w:r>
        <w:rPr>
          <w:noProof/>
        </w:rPr>
        <w:t>Mason, N., Smale, M. 2013. Impacts of subsidized hybrid seed on indicators of economic well-being among smallholder maize growers in Zambia.  Agri</w:t>
      </w:r>
      <w:r w:rsidR="00CA609C">
        <w:rPr>
          <w:noProof/>
        </w:rPr>
        <w:t>.</w:t>
      </w:r>
      <w:r>
        <w:rPr>
          <w:noProof/>
        </w:rPr>
        <w:t xml:space="preserve"> Econ</w:t>
      </w:r>
      <w:r w:rsidR="00CA609C">
        <w:rPr>
          <w:noProof/>
        </w:rPr>
        <w:t>.</w:t>
      </w:r>
      <w:r>
        <w:rPr>
          <w:noProof/>
        </w:rPr>
        <w:t xml:space="preserve"> 44</w:t>
      </w:r>
      <w:r w:rsidR="00CA609C">
        <w:rPr>
          <w:noProof/>
        </w:rPr>
        <w:t xml:space="preserve">, </w:t>
      </w:r>
      <w:r>
        <w:rPr>
          <w:noProof/>
        </w:rPr>
        <w:t>659-670</w:t>
      </w:r>
      <w:r w:rsidR="00D06B98" w:rsidRPr="00D06B98">
        <w:rPr>
          <w:noProof/>
        </w:rPr>
        <w:t>.</w:t>
      </w:r>
    </w:p>
    <w:p w14:paraId="31EED5A2" w14:textId="128B39D7" w:rsidR="00D06B98" w:rsidRPr="00D06B98" w:rsidRDefault="00D06B98" w:rsidP="00D06B98">
      <w:pPr>
        <w:pStyle w:val="EndNoteBibliography"/>
        <w:ind w:left="720" w:hanging="720"/>
        <w:rPr>
          <w:noProof/>
        </w:rPr>
      </w:pPr>
      <w:r w:rsidRPr="004A76F6">
        <w:rPr>
          <w:noProof/>
        </w:rPr>
        <w:t xml:space="preserve">Okwi, P., Emwanu, T., Hoogeveen, J., 2003. </w:t>
      </w:r>
      <w:r w:rsidRPr="00D06B98">
        <w:rPr>
          <w:noProof/>
        </w:rPr>
        <w:t xml:space="preserve">Poverty and Inequality in Uganda: Evidence from Small Area Estimation Techniques. Accessed December 2016, available at </w:t>
      </w:r>
      <w:hyperlink r:id="rId11" w:history="1">
        <w:r w:rsidRPr="00D06B98">
          <w:rPr>
            <w:rStyle w:val="Hyperlink"/>
            <w:noProof/>
          </w:rPr>
          <w:t>http://africainequalities.org/wp-content/uploads/2016/07/Poverty-and-Inequality-in-Uganda-Evidence-from-Small-Area-Estimation-Techniques.pdf</w:t>
        </w:r>
      </w:hyperlink>
      <w:r w:rsidRPr="00D06B98">
        <w:rPr>
          <w:noProof/>
        </w:rPr>
        <w:t>.</w:t>
      </w:r>
    </w:p>
    <w:p w14:paraId="3CC9277F" w14:textId="0B1C8EBB" w:rsidR="00D06B98" w:rsidRPr="00D06B98" w:rsidRDefault="00D06B98" w:rsidP="00D06B98">
      <w:pPr>
        <w:pStyle w:val="EndNoteBibliography"/>
        <w:ind w:left="720" w:hanging="720"/>
        <w:rPr>
          <w:noProof/>
        </w:rPr>
      </w:pPr>
      <w:r w:rsidRPr="00D06B98">
        <w:rPr>
          <w:noProof/>
        </w:rPr>
        <w:t xml:space="preserve">Pape, U., Mistiaen, J., 2015. Measuring Household Consumption and Poverty in 60 minutes: The Mogadishu High Frequency Survey. Accessed December 2016, available at </w:t>
      </w:r>
      <w:hyperlink r:id="rId12" w:history="1">
        <w:r w:rsidRPr="00D06B98">
          <w:rPr>
            <w:rStyle w:val="Hyperlink"/>
            <w:noProof/>
          </w:rPr>
          <w:t>http://cega.berkeley.edu/assets/miscellaneous_files/82-ABCA_-PapeMistiaen.pdf</w:t>
        </w:r>
      </w:hyperlink>
      <w:r w:rsidRPr="00D06B98">
        <w:rPr>
          <w:noProof/>
        </w:rPr>
        <w:t>.</w:t>
      </w:r>
    </w:p>
    <w:p w14:paraId="048EB404" w14:textId="4D03B7AD" w:rsidR="00D06B98" w:rsidRPr="00D06B98" w:rsidRDefault="00D06B98" w:rsidP="00D06B98">
      <w:pPr>
        <w:pStyle w:val="EndNoteBibliography"/>
        <w:ind w:left="720" w:hanging="720"/>
        <w:rPr>
          <w:noProof/>
        </w:rPr>
      </w:pPr>
      <w:r w:rsidRPr="00D06B98">
        <w:rPr>
          <w:noProof/>
        </w:rPr>
        <w:t>Ravallion, M., Chen, S., Sangraula, P., 2009. Dollar a day revisited.</w:t>
      </w:r>
      <w:r w:rsidRPr="00D06B98">
        <w:rPr>
          <w:i/>
          <w:noProof/>
        </w:rPr>
        <w:t xml:space="preserve"> </w:t>
      </w:r>
      <w:r w:rsidRPr="00D06B98">
        <w:rPr>
          <w:noProof/>
        </w:rPr>
        <w:t>World Bank Econ</w:t>
      </w:r>
      <w:r w:rsidR="00CA609C">
        <w:rPr>
          <w:noProof/>
        </w:rPr>
        <w:t>.</w:t>
      </w:r>
      <w:r w:rsidRPr="00D06B98">
        <w:rPr>
          <w:noProof/>
        </w:rPr>
        <w:t xml:space="preserve"> Rev</w:t>
      </w:r>
      <w:r w:rsidRPr="00D06B98">
        <w:rPr>
          <w:i/>
          <w:noProof/>
        </w:rPr>
        <w:t xml:space="preserve">. </w:t>
      </w:r>
      <w:r w:rsidRPr="00D06B98">
        <w:rPr>
          <w:noProof/>
        </w:rPr>
        <w:t>23(2), 163-184.</w:t>
      </w:r>
    </w:p>
    <w:p w14:paraId="2AFF8886" w14:textId="41E67D04" w:rsidR="00D06B98" w:rsidRPr="00D06B98" w:rsidRDefault="00D06B98" w:rsidP="00D06B98">
      <w:pPr>
        <w:pStyle w:val="EndNoteBibliography"/>
        <w:ind w:left="720" w:hanging="720"/>
        <w:rPr>
          <w:noProof/>
        </w:rPr>
      </w:pPr>
      <w:r w:rsidRPr="00D06B98">
        <w:rPr>
          <w:noProof/>
        </w:rPr>
        <w:lastRenderedPageBreak/>
        <w:t xml:space="preserve">SANREM, 2013. Feed the Future SANREM Innovation Lab Annual Report 2013. Accessed December 2016, available at </w:t>
      </w:r>
      <w:hyperlink r:id="rId13" w:history="1">
        <w:r w:rsidRPr="00D06B98">
          <w:rPr>
            <w:rStyle w:val="Hyperlink"/>
            <w:noProof/>
          </w:rPr>
          <w:t>http://www.oired.vt.edu/sanremcrsp/wp-content/uploads/2013/03/SANREM-2013AnnualReport.pdf</w:t>
        </w:r>
      </w:hyperlink>
      <w:r w:rsidRPr="00D06B98">
        <w:rPr>
          <w:noProof/>
        </w:rPr>
        <w:t>.</w:t>
      </w:r>
    </w:p>
    <w:p w14:paraId="363C5A20" w14:textId="38A3C02C" w:rsidR="00D06B98" w:rsidRPr="00D06B98" w:rsidRDefault="00D06B98" w:rsidP="00D06B98">
      <w:pPr>
        <w:pStyle w:val="EndNoteBibliography"/>
        <w:ind w:left="720" w:hanging="720"/>
        <w:rPr>
          <w:noProof/>
        </w:rPr>
      </w:pPr>
      <w:r w:rsidRPr="00D06B98">
        <w:rPr>
          <w:noProof/>
        </w:rPr>
        <w:t>Stevenson, J. R., Serraj, R., Cassman, K. G., 2014. Evaluating conservation agriculture for small-scale farmers in Sub-Saharan Africa and South Asia.</w:t>
      </w:r>
      <w:r w:rsidRPr="00D06B98">
        <w:rPr>
          <w:i/>
          <w:noProof/>
        </w:rPr>
        <w:t xml:space="preserve"> </w:t>
      </w:r>
      <w:r w:rsidRPr="00D06B98">
        <w:rPr>
          <w:noProof/>
        </w:rPr>
        <w:t>Agri</w:t>
      </w:r>
      <w:r w:rsidR="00CA609C">
        <w:rPr>
          <w:noProof/>
        </w:rPr>
        <w:t>.</w:t>
      </w:r>
      <w:r w:rsidRPr="00D06B98">
        <w:rPr>
          <w:noProof/>
        </w:rPr>
        <w:t xml:space="preserve"> Ecosyst</w:t>
      </w:r>
      <w:r w:rsidR="00CA609C">
        <w:rPr>
          <w:noProof/>
        </w:rPr>
        <w:t>.</w:t>
      </w:r>
      <w:r w:rsidRPr="00D06B98">
        <w:rPr>
          <w:noProof/>
        </w:rPr>
        <w:t xml:space="preserve"> Environ</w:t>
      </w:r>
      <w:r w:rsidRPr="00D06B98">
        <w:rPr>
          <w:i/>
          <w:noProof/>
        </w:rPr>
        <w:t xml:space="preserve">. </w:t>
      </w:r>
      <w:r w:rsidRPr="00D06B98">
        <w:rPr>
          <w:noProof/>
        </w:rPr>
        <w:t>187, 1-10.</w:t>
      </w:r>
    </w:p>
    <w:p w14:paraId="6D9841B2" w14:textId="00A3235A" w:rsidR="00D06B98" w:rsidRPr="00D06B98" w:rsidRDefault="00D06B98" w:rsidP="00D06B98">
      <w:pPr>
        <w:pStyle w:val="EndNoteBibliography"/>
        <w:ind w:left="720" w:hanging="720"/>
        <w:rPr>
          <w:noProof/>
        </w:rPr>
      </w:pPr>
      <w:r w:rsidRPr="00D06B98">
        <w:rPr>
          <w:noProof/>
        </w:rPr>
        <w:t>Stifel, D., Christiaensen, L., 2007. Tracking poverty over time in the absence of comparable consumption data.</w:t>
      </w:r>
      <w:r w:rsidRPr="00D06B98">
        <w:rPr>
          <w:i/>
          <w:noProof/>
        </w:rPr>
        <w:t xml:space="preserve"> </w:t>
      </w:r>
      <w:r w:rsidRPr="00D06B98">
        <w:rPr>
          <w:noProof/>
        </w:rPr>
        <w:t>World Bank Econ</w:t>
      </w:r>
      <w:r w:rsidR="00CA609C">
        <w:rPr>
          <w:noProof/>
        </w:rPr>
        <w:t>.</w:t>
      </w:r>
      <w:r w:rsidRPr="00D06B98">
        <w:rPr>
          <w:noProof/>
        </w:rPr>
        <w:t xml:space="preserve"> Rev</w:t>
      </w:r>
      <w:r w:rsidRPr="00D06B98">
        <w:rPr>
          <w:i/>
          <w:noProof/>
        </w:rPr>
        <w:t xml:space="preserve">. </w:t>
      </w:r>
      <w:r w:rsidRPr="00D06B98">
        <w:rPr>
          <w:noProof/>
        </w:rPr>
        <w:t>21(2), 317-341.</w:t>
      </w:r>
    </w:p>
    <w:p w14:paraId="62BD17F1" w14:textId="4BB36D01" w:rsidR="00D06B98" w:rsidRPr="00D06B98" w:rsidRDefault="00D06B98" w:rsidP="00D06B98">
      <w:pPr>
        <w:pStyle w:val="EndNoteBibliography"/>
        <w:ind w:left="720" w:hanging="720"/>
        <w:rPr>
          <w:noProof/>
        </w:rPr>
      </w:pPr>
      <w:r w:rsidRPr="00D06B98">
        <w:rPr>
          <w:noProof/>
        </w:rPr>
        <w:t>Tarozzi, A., Deaton, A., 2009. Using census and survey data to estimate poverty and inequality for small areas.</w:t>
      </w:r>
      <w:r w:rsidRPr="00D06B98">
        <w:rPr>
          <w:i/>
          <w:noProof/>
        </w:rPr>
        <w:t xml:space="preserve"> </w:t>
      </w:r>
      <w:r w:rsidRPr="00D06B98">
        <w:rPr>
          <w:noProof/>
        </w:rPr>
        <w:t>Rev</w:t>
      </w:r>
      <w:r w:rsidR="00CA609C">
        <w:rPr>
          <w:noProof/>
        </w:rPr>
        <w:t>.</w:t>
      </w:r>
      <w:r w:rsidRPr="00D06B98">
        <w:rPr>
          <w:noProof/>
        </w:rPr>
        <w:t xml:space="preserve"> Econ</w:t>
      </w:r>
      <w:r w:rsidR="00CA609C">
        <w:rPr>
          <w:noProof/>
        </w:rPr>
        <w:t>.</w:t>
      </w:r>
      <w:r w:rsidRPr="00D06B98">
        <w:rPr>
          <w:noProof/>
        </w:rPr>
        <w:t xml:space="preserve"> Stat</w:t>
      </w:r>
      <w:r w:rsidRPr="00D06B98">
        <w:rPr>
          <w:i/>
          <w:noProof/>
        </w:rPr>
        <w:t xml:space="preserve">. </w:t>
      </w:r>
      <w:r w:rsidRPr="00D06B98">
        <w:rPr>
          <w:noProof/>
        </w:rPr>
        <w:t>91(4), 773-792.</w:t>
      </w:r>
    </w:p>
    <w:p w14:paraId="0D3D72C2" w14:textId="6AB2D127" w:rsidR="00D06B98" w:rsidRPr="00D06B98" w:rsidRDefault="00D06B98" w:rsidP="00D06B98">
      <w:pPr>
        <w:pStyle w:val="EndNoteBibliography"/>
        <w:ind w:left="720" w:hanging="720"/>
        <w:rPr>
          <w:noProof/>
        </w:rPr>
      </w:pPr>
      <w:r w:rsidRPr="00D06B98">
        <w:rPr>
          <w:noProof/>
        </w:rPr>
        <w:t xml:space="preserve">UBOS, 2013. Uganda National Panel Survey 2011/12 Accessed December 2016, available at </w:t>
      </w:r>
      <w:hyperlink r:id="rId14" w:history="1">
        <w:r w:rsidRPr="00D06B98">
          <w:rPr>
            <w:rStyle w:val="Hyperlink"/>
            <w:noProof/>
          </w:rPr>
          <w:t>http://siteresources.worldbank.org/INTLSMS/Resources/3358986-1233781970982/5800988-1265043582346/6752587-1388762908476/UNPS_Report_Wave3.pdf</w:t>
        </w:r>
      </w:hyperlink>
      <w:r w:rsidRPr="00D06B98">
        <w:rPr>
          <w:noProof/>
        </w:rPr>
        <w:t>.</w:t>
      </w:r>
    </w:p>
    <w:p w14:paraId="623C189C" w14:textId="5B5D67DA" w:rsidR="00D06B98" w:rsidRPr="00D06B98" w:rsidRDefault="00D06B98" w:rsidP="00D06B98">
      <w:pPr>
        <w:pStyle w:val="EndNoteBibliography"/>
        <w:ind w:left="720" w:hanging="720"/>
        <w:rPr>
          <w:noProof/>
        </w:rPr>
      </w:pPr>
      <w:r w:rsidRPr="00D06B98">
        <w:rPr>
          <w:noProof/>
        </w:rPr>
        <w:t xml:space="preserve">UBOS, 2014. Uganda National Population and Housing Census: Provisional Results. Accessed December 2016, available at </w:t>
      </w:r>
      <w:hyperlink r:id="rId15" w:history="1">
        <w:r w:rsidRPr="00D06B98">
          <w:rPr>
            <w:rStyle w:val="Hyperlink"/>
            <w:noProof/>
          </w:rPr>
          <w:t>http://unstats.un.org/unsd/demographic/sources/census/wphc/Uganda/UGA-2014-11.pdf</w:t>
        </w:r>
      </w:hyperlink>
      <w:r w:rsidRPr="00D06B98">
        <w:rPr>
          <w:noProof/>
        </w:rPr>
        <w:t>.</w:t>
      </w:r>
    </w:p>
    <w:p w14:paraId="6A88BF5A" w14:textId="77777777" w:rsidR="00D06B98" w:rsidRPr="00D06B98" w:rsidRDefault="00D06B98" w:rsidP="00D06B98">
      <w:pPr>
        <w:pStyle w:val="EndNoteBibliography"/>
        <w:ind w:left="720" w:hanging="720"/>
        <w:rPr>
          <w:noProof/>
        </w:rPr>
      </w:pPr>
      <w:r w:rsidRPr="00D06B98">
        <w:rPr>
          <w:noProof/>
        </w:rPr>
        <w:t>Vaiknoras, K., Norton, G., Alwang, J., 2015. Farmer preferences for attributes of conservation agriculture in Uganda.</w:t>
      </w:r>
      <w:r w:rsidRPr="00D06B98">
        <w:rPr>
          <w:i/>
          <w:noProof/>
        </w:rPr>
        <w:t xml:space="preserve"> </w:t>
      </w:r>
      <w:r w:rsidRPr="00D06B98">
        <w:rPr>
          <w:noProof/>
        </w:rPr>
        <w:t>AfJARE</w:t>
      </w:r>
      <w:r w:rsidRPr="00D06B98">
        <w:rPr>
          <w:i/>
          <w:noProof/>
        </w:rPr>
        <w:t xml:space="preserve">. </w:t>
      </w:r>
      <w:r w:rsidRPr="00D06B98">
        <w:rPr>
          <w:noProof/>
        </w:rPr>
        <w:t>10(2), 158-173.</w:t>
      </w:r>
    </w:p>
    <w:p w14:paraId="7A80CFCA" w14:textId="4528BB7F" w:rsidR="00D06B98" w:rsidRPr="00D06B98" w:rsidRDefault="00D06B98" w:rsidP="00D06B98">
      <w:pPr>
        <w:pStyle w:val="EndNoteBibliography"/>
        <w:ind w:left="720" w:hanging="720"/>
        <w:rPr>
          <w:noProof/>
        </w:rPr>
      </w:pPr>
      <w:r w:rsidRPr="00D06B98">
        <w:rPr>
          <w:noProof/>
        </w:rPr>
        <w:t xml:space="preserve">World Bank, 2015. Living Standards Measurement Study Dataset Finder. Accessed September 2015, available at </w:t>
      </w:r>
      <w:hyperlink r:id="rId16" w:history="1">
        <w:r w:rsidRPr="00D06B98">
          <w:rPr>
            <w:rStyle w:val="Hyperlink"/>
            <w:noProof/>
          </w:rPr>
          <w:t>http://iresearch.worldbank.org/lsms/lsmssurveyFinder.htm</w:t>
        </w:r>
      </w:hyperlink>
      <w:r w:rsidRPr="00D06B98">
        <w:rPr>
          <w:noProof/>
        </w:rPr>
        <w:t>.</w:t>
      </w:r>
    </w:p>
    <w:p w14:paraId="491008BD" w14:textId="23139FC5" w:rsidR="00D06B98" w:rsidRPr="00D06B98" w:rsidRDefault="00D06B98" w:rsidP="00D06B98">
      <w:pPr>
        <w:pStyle w:val="EndNoteBibliography"/>
        <w:ind w:left="720" w:hanging="720"/>
        <w:rPr>
          <w:noProof/>
        </w:rPr>
      </w:pPr>
      <w:r w:rsidRPr="00D06B98">
        <w:rPr>
          <w:noProof/>
        </w:rPr>
        <w:t xml:space="preserve">World Bank, 2016a. Consumer price index. Accessed December 2016, available at </w:t>
      </w:r>
      <w:hyperlink r:id="rId17" w:history="1">
        <w:r w:rsidRPr="00D06B98">
          <w:rPr>
            <w:rStyle w:val="Hyperlink"/>
            <w:noProof/>
          </w:rPr>
          <w:t>http://data.worldbank.org/indicator/FP.CPI.TOTL</w:t>
        </w:r>
      </w:hyperlink>
      <w:r w:rsidRPr="00D06B98">
        <w:rPr>
          <w:noProof/>
        </w:rPr>
        <w:t>.</w:t>
      </w:r>
    </w:p>
    <w:p w14:paraId="3C3A7228" w14:textId="0805DB30" w:rsidR="00D06B98" w:rsidRDefault="00D06B98" w:rsidP="00D06B98">
      <w:pPr>
        <w:pStyle w:val="EndNoteBibliography"/>
        <w:ind w:left="720" w:hanging="720"/>
        <w:rPr>
          <w:noProof/>
        </w:rPr>
      </w:pPr>
      <w:r w:rsidRPr="00D06B98">
        <w:rPr>
          <w:noProof/>
        </w:rPr>
        <w:t xml:space="preserve">World Bank, 2016b. PPP conversion factor, private consumption (LCU per international $). Accessed December 2016, available at </w:t>
      </w:r>
      <w:hyperlink r:id="rId18" w:history="1">
        <w:r w:rsidRPr="00D06B98">
          <w:rPr>
            <w:rStyle w:val="Hyperlink"/>
            <w:noProof/>
          </w:rPr>
          <w:t>http://data.worldbank.org/indicator/PA.NUS.PRVT.PP?page=1</w:t>
        </w:r>
      </w:hyperlink>
      <w:r w:rsidRPr="00D06B98">
        <w:rPr>
          <w:noProof/>
        </w:rPr>
        <w:t>.</w:t>
      </w:r>
    </w:p>
    <w:p w14:paraId="27364425" w14:textId="6D26E4A5" w:rsidR="005514AC" w:rsidRPr="00AC25BE" w:rsidRDefault="005514AC" w:rsidP="005514AC">
      <w:pPr>
        <w:shd w:val="clear" w:color="auto" w:fill="FFFFFF"/>
        <w:ind w:left="720" w:hanging="720"/>
        <w:textAlignment w:val="baseline"/>
      </w:pPr>
      <w:r w:rsidRPr="00AC25BE">
        <w:t>Zeller, M</w:t>
      </w:r>
      <w:r>
        <w:t>.</w:t>
      </w:r>
      <w:r w:rsidRPr="00AC25BE">
        <w:t>, A</w:t>
      </w:r>
      <w:r>
        <w:t>.</w:t>
      </w:r>
      <w:r w:rsidRPr="00AC25BE">
        <w:t xml:space="preserve"> Diagne &amp; C</w:t>
      </w:r>
      <w:r>
        <w:t>.</w:t>
      </w:r>
      <w:r w:rsidRPr="00AC25BE">
        <w:t xml:space="preserve"> Mataya (1998)</w:t>
      </w:r>
      <w:r>
        <w:t>.</w:t>
      </w:r>
      <w:r w:rsidRPr="00AC25BE">
        <w:t xml:space="preserve"> </w:t>
      </w:r>
      <w:r>
        <w:t>“</w:t>
      </w:r>
      <w:r w:rsidRPr="00AC25BE">
        <w:t>Market access by smallholder farmers in Malawi: Implications for technology adoption, agricultural productivity and crop income</w:t>
      </w:r>
      <w:r>
        <w:t>”</w:t>
      </w:r>
      <w:r w:rsidRPr="00AC25BE">
        <w:t xml:space="preserve">, </w:t>
      </w:r>
      <w:r w:rsidRPr="00CA609C">
        <w:t>Agri</w:t>
      </w:r>
      <w:r w:rsidR="00CA609C">
        <w:t>.</w:t>
      </w:r>
      <w:r w:rsidRPr="00CA609C">
        <w:t xml:space="preserve"> Econ</w:t>
      </w:r>
      <w:r w:rsidR="00CA609C">
        <w:t>.</w:t>
      </w:r>
      <w:r w:rsidRPr="00AC25BE">
        <w:t xml:space="preserve"> 19 (1–2)</w:t>
      </w:r>
      <w:r w:rsidR="00CA609C">
        <w:t>,</w:t>
      </w:r>
      <w:r w:rsidRPr="00AC25BE">
        <w:t xml:space="preserve"> 219–229</w:t>
      </w:r>
    </w:p>
    <w:p w14:paraId="3FB3A66D" w14:textId="20E7E463" w:rsidR="005514AC" w:rsidRPr="00E223BB" w:rsidRDefault="005514AC" w:rsidP="005514AC">
      <w:pPr>
        <w:shd w:val="clear" w:color="auto" w:fill="FFFFFF"/>
        <w:ind w:left="720" w:hanging="720"/>
        <w:textAlignment w:val="baseline"/>
      </w:pPr>
      <w:r w:rsidRPr="008474A9">
        <w:t>Zeng, D</w:t>
      </w:r>
      <w:r>
        <w:t>.</w:t>
      </w:r>
      <w:r w:rsidRPr="008474A9">
        <w:t xml:space="preserve">, </w:t>
      </w:r>
      <w:r>
        <w:t xml:space="preserve">J. </w:t>
      </w:r>
      <w:r w:rsidRPr="008474A9">
        <w:t xml:space="preserve">Alwang, </w:t>
      </w:r>
      <w:r>
        <w:t>G.W.</w:t>
      </w:r>
      <w:r w:rsidRPr="008474A9">
        <w:t xml:space="preserve"> Norton, </w:t>
      </w:r>
      <w:r>
        <w:t>B.</w:t>
      </w:r>
      <w:r w:rsidRPr="008474A9">
        <w:t xml:space="preserve"> Shiferaw, </w:t>
      </w:r>
      <w:r>
        <w:t xml:space="preserve">M. </w:t>
      </w:r>
      <w:r w:rsidRPr="008474A9">
        <w:t xml:space="preserve">Jaleta &amp; </w:t>
      </w:r>
      <w:r>
        <w:t xml:space="preserve">C. </w:t>
      </w:r>
      <w:r w:rsidRPr="008474A9">
        <w:t>Yirga</w:t>
      </w:r>
      <w:r>
        <w:t xml:space="preserve"> (2015). </w:t>
      </w:r>
      <w:r w:rsidRPr="008474A9">
        <w:t xml:space="preserve"> </w:t>
      </w:r>
      <w:r>
        <w:t>“Ex-p</w:t>
      </w:r>
      <w:r w:rsidRPr="008474A9">
        <w:t xml:space="preserve">ost </w:t>
      </w:r>
      <w:r>
        <w:t>i</w:t>
      </w:r>
      <w:r w:rsidRPr="008474A9">
        <w:t xml:space="preserve">mpacts of </w:t>
      </w:r>
      <w:r>
        <w:t>i</w:t>
      </w:r>
      <w:r w:rsidRPr="008474A9">
        <w:t xml:space="preserve">mproved </w:t>
      </w:r>
      <w:r>
        <w:t>m</w:t>
      </w:r>
      <w:r w:rsidRPr="008474A9">
        <w:t xml:space="preserve">aize </w:t>
      </w:r>
      <w:r>
        <w:t>v</w:t>
      </w:r>
      <w:r w:rsidRPr="008474A9">
        <w:t xml:space="preserve">arieties on </w:t>
      </w:r>
      <w:r>
        <w:t>p</w:t>
      </w:r>
      <w:r w:rsidRPr="008474A9">
        <w:t xml:space="preserve">overty in </w:t>
      </w:r>
      <w:r>
        <w:t>r</w:t>
      </w:r>
      <w:r w:rsidRPr="008474A9">
        <w:t>ural Ethiopia</w:t>
      </w:r>
      <w:r>
        <w:t>”,</w:t>
      </w:r>
      <w:r w:rsidRPr="00E223BB">
        <w:t xml:space="preserve"> </w:t>
      </w:r>
      <w:r w:rsidRPr="00CA609C">
        <w:rPr>
          <w:color w:val="000000"/>
        </w:rPr>
        <w:t>Agri</w:t>
      </w:r>
      <w:r w:rsidR="00CA609C">
        <w:rPr>
          <w:color w:val="000000"/>
        </w:rPr>
        <w:t>.</w:t>
      </w:r>
      <w:r w:rsidRPr="00CA609C">
        <w:rPr>
          <w:color w:val="000000"/>
        </w:rPr>
        <w:t xml:space="preserve"> Econ</w:t>
      </w:r>
      <w:r w:rsidR="00CA609C">
        <w:rPr>
          <w:color w:val="000000"/>
        </w:rPr>
        <w:t>.</w:t>
      </w:r>
      <w:r w:rsidRPr="00E223BB">
        <w:rPr>
          <w:color w:val="000000"/>
        </w:rPr>
        <w:t xml:space="preserve"> </w:t>
      </w:r>
      <w:r w:rsidRPr="00E223BB">
        <w:rPr>
          <w:bCs/>
        </w:rPr>
        <w:t>46(4)</w:t>
      </w:r>
      <w:r w:rsidR="00CA609C">
        <w:rPr>
          <w:bCs/>
        </w:rPr>
        <w:t>,</w:t>
      </w:r>
      <w:r w:rsidRPr="00E223BB">
        <w:rPr>
          <w:bCs/>
        </w:rPr>
        <w:t xml:space="preserve"> 515-526.</w:t>
      </w:r>
    </w:p>
    <w:p w14:paraId="63B67E2D" w14:textId="77777777" w:rsidR="005514AC" w:rsidRPr="00D06B98" w:rsidRDefault="005514AC" w:rsidP="00D06B98">
      <w:pPr>
        <w:pStyle w:val="EndNoteBibliography"/>
        <w:ind w:left="720" w:hanging="720"/>
        <w:rPr>
          <w:noProof/>
        </w:rPr>
      </w:pPr>
    </w:p>
    <w:p w14:paraId="37D1C3A0" w14:textId="41D8FBA3" w:rsidR="009E14A8" w:rsidRDefault="005D7F00" w:rsidP="00D06B98">
      <w:pPr>
        <w:ind w:left="720" w:hanging="720"/>
        <w:rPr>
          <w:rFonts w:eastAsia="Calibri"/>
          <w:color w:val="000000"/>
        </w:rPr>
      </w:pPr>
      <w:r>
        <w:rPr>
          <w:rFonts w:eastAsia="Calibri"/>
          <w:color w:val="000000"/>
        </w:rPr>
        <w:fldChar w:fldCharType="end"/>
      </w:r>
      <w:r w:rsidR="009E14A8">
        <w:rPr>
          <w:rFonts w:eastAsia="Calibri"/>
          <w:color w:val="000000"/>
        </w:rPr>
        <w:br w:type="page"/>
      </w:r>
    </w:p>
    <w:p w14:paraId="270B6E36" w14:textId="47CEACAF" w:rsidR="009E14A8" w:rsidRPr="005D7F00" w:rsidRDefault="005D7F00">
      <w:pPr>
        <w:rPr>
          <w:rFonts w:eastAsia="Calibri"/>
          <w:b/>
          <w:bCs/>
          <w:color w:val="000000"/>
        </w:rPr>
      </w:pPr>
      <w:r w:rsidRPr="005D7F00">
        <w:rPr>
          <w:rFonts w:eastAsia="Calibri"/>
          <w:b/>
          <w:bCs/>
          <w:color w:val="000000"/>
        </w:rPr>
        <w:lastRenderedPageBreak/>
        <w:t xml:space="preserve">Tables </w:t>
      </w:r>
    </w:p>
    <w:tbl>
      <w:tblPr>
        <w:tblpPr w:leftFromText="180" w:rightFromText="180" w:vertAnchor="text" w:horzAnchor="page" w:tblpX="1369" w:tblpY="361"/>
        <w:tblW w:w="10121" w:type="dxa"/>
        <w:tblLayout w:type="fixed"/>
        <w:tblLook w:val="04A0" w:firstRow="1" w:lastRow="0" w:firstColumn="1" w:lastColumn="0" w:noHBand="0" w:noVBand="1"/>
      </w:tblPr>
      <w:tblGrid>
        <w:gridCol w:w="1638"/>
        <w:gridCol w:w="1170"/>
        <w:gridCol w:w="990"/>
        <w:gridCol w:w="1076"/>
        <w:gridCol w:w="1080"/>
        <w:gridCol w:w="1174"/>
        <w:gridCol w:w="900"/>
        <w:gridCol w:w="1046"/>
        <w:gridCol w:w="1047"/>
      </w:tblGrid>
      <w:tr w:rsidR="009E14A8" w:rsidRPr="00C1464C" w14:paraId="1C40B0B4" w14:textId="77777777" w:rsidTr="00D4169C">
        <w:trPr>
          <w:trHeight w:val="264"/>
        </w:trPr>
        <w:tc>
          <w:tcPr>
            <w:tcW w:w="5954" w:type="dxa"/>
            <w:gridSpan w:val="5"/>
            <w:tcBorders>
              <w:top w:val="nil"/>
              <w:left w:val="nil"/>
              <w:bottom w:val="single" w:sz="4" w:space="0" w:color="auto"/>
              <w:right w:val="nil"/>
            </w:tcBorders>
            <w:shd w:val="clear" w:color="auto" w:fill="auto"/>
            <w:noWrap/>
            <w:vAlign w:val="bottom"/>
            <w:hideMark/>
          </w:tcPr>
          <w:p w14:paraId="7B956FB5" w14:textId="2A4C2FB3" w:rsidR="009E14A8" w:rsidRPr="00C1464C" w:rsidRDefault="009E14A8" w:rsidP="00844EF2">
            <w:pPr>
              <w:rPr>
                <w:rFonts w:eastAsia="Times New Roman"/>
                <w:b/>
                <w:bCs/>
                <w:color w:val="000000"/>
              </w:rPr>
            </w:pPr>
            <w:bookmarkStart w:id="16" w:name="_Ref292023685"/>
            <w:bookmarkStart w:id="17" w:name="_Toc295138371"/>
            <w:r w:rsidRPr="00C1464C">
              <w:rPr>
                <w:b/>
              </w:rPr>
              <w:t xml:space="preserve">Table </w:t>
            </w:r>
            <w:bookmarkEnd w:id="16"/>
            <w:r w:rsidR="005D7F00">
              <w:rPr>
                <w:b/>
                <w:noProof/>
              </w:rPr>
              <w:t>1</w:t>
            </w:r>
            <w:r w:rsidRPr="00C1464C">
              <w:rPr>
                <w:b/>
              </w:rPr>
              <w:t>.</w:t>
            </w:r>
            <w:r w:rsidRPr="00C1464C">
              <w:rPr>
                <w:rFonts w:eastAsia="Times New Roman"/>
                <w:b/>
                <w:bCs/>
                <w:color w:val="000000"/>
              </w:rPr>
              <w:t xml:space="preserve"> Rural FGT Poverty Indices</w:t>
            </w:r>
            <w:bookmarkEnd w:id="17"/>
            <w:r w:rsidR="00844EF2">
              <w:rPr>
                <w:rFonts w:eastAsia="Times New Roman"/>
                <w:b/>
                <w:bCs/>
                <w:color w:val="000000"/>
              </w:rPr>
              <w:t xml:space="preserve"> Estimates</w:t>
            </w:r>
          </w:p>
        </w:tc>
        <w:tc>
          <w:tcPr>
            <w:tcW w:w="1174" w:type="dxa"/>
            <w:tcBorders>
              <w:top w:val="nil"/>
              <w:left w:val="nil"/>
              <w:bottom w:val="single" w:sz="4" w:space="0" w:color="auto"/>
              <w:right w:val="nil"/>
            </w:tcBorders>
          </w:tcPr>
          <w:p w14:paraId="2EEB68C4" w14:textId="77777777" w:rsidR="009E14A8" w:rsidRPr="00C1464C" w:rsidRDefault="009E14A8" w:rsidP="009E14A8">
            <w:pPr>
              <w:rPr>
                <w:b/>
              </w:rPr>
            </w:pPr>
          </w:p>
        </w:tc>
        <w:tc>
          <w:tcPr>
            <w:tcW w:w="900" w:type="dxa"/>
            <w:tcBorders>
              <w:top w:val="nil"/>
              <w:left w:val="nil"/>
              <w:bottom w:val="single" w:sz="4" w:space="0" w:color="auto"/>
              <w:right w:val="nil"/>
            </w:tcBorders>
          </w:tcPr>
          <w:p w14:paraId="181F0457" w14:textId="77777777" w:rsidR="009E14A8" w:rsidRPr="00C1464C" w:rsidRDefault="009E14A8" w:rsidP="009E14A8">
            <w:pPr>
              <w:rPr>
                <w:b/>
              </w:rPr>
            </w:pPr>
          </w:p>
        </w:tc>
        <w:tc>
          <w:tcPr>
            <w:tcW w:w="2093" w:type="dxa"/>
            <w:gridSpan w:val="2"/>
            <w:tcBorders>
              <w:top w:val="nil"/>
              <w:left w:val="nil"/>
              <w:bottom w:val="single" w:sz="4" w:space="0" w:color="auto"/>
              <w:right w:val="nil"/>
            </w:tcBorders>
          </w:tcPr>
          <w:p w14:paraId="78F64EF9" w14:textId="77777777" w:rsidR="009E14A8" w:rsidRPr="00C1464C" w:rsidRDefault="009E14A8" w:rsidP="009E14A8">
            <w:pPr>
              <w:rPr>
                <w:b/>
              </w:rPr>
            </w:pPr>
          </w:p>
        </w:tc>
      </w:tr>
      <w:tr w:rsidR="009E14A8" w:rsidRPr="00C1464C" w14:paraId="31476952" w14:textId="77777777" w:rsidTr="00D4169C">
        <w:trPr>
          <w:trHeight w:val="264"/>
        </w:trPr>
        <w:tc>
          <w:tcPr>
            <w:tcW w:w="1638" w:type="dxa"/>
            <w:tcBorders>
              <w:top w:val="single" w:sz="4" w:space="0" w:color="auto"/>
            </w:tcBorders>
            <w:shd w:val="clear" w:color="auto" w:fill="auto"/>
            <w:vAlign w:val="center"/>
          </w:tcPr>
          <w:p w14:paraId="78C7A1CF" w14:textId="77777777" w:rsidR="009E14A8" w:rsidRPr="00C1464C" w:rsidRDefault="009E14A8" w:rsidP="009E14A8">
            <w:pPr>
              <w:jc w:val="center"/>
              <w:rPr>
                <w:rFonts w:eastAsia="Times New Roman"/>
                <w:b/>
                <w:bCs/>
                <w:color w:val="000000"/>
              </w:rPr>
            </w:pPr>
          </w:p>
        </w:tc>
        <w:tc>
          <w:tcPr>
            <w:tcW w:w="4316" w:type="dxa"/>
            <w:gridSpan w:val="4"/>
            <w:tcBorders>
              <w:top w:val="single" w:sz="4" w:space="0" w:color="auto"/>
              <w:bottom w:val="single" w:sz="4" w:space="0" w:color="auto"/>
            </w:tcBorders>
            <w:shd w:val="clear" w:color="auto" w:fill="auto"/>
            <w:vAlign w:val="center"/>
          </w:tcPr>
          <w:p w14:paraId="1D9779CA" w14:textId="77777777" w:rsidR="009E14A8" w:rsidRPr="00C1464C" w:rsidRDefault="009E14A8" w:rsidP="009E14A8">
            <w:pPr>
              <w:jc w:val="center"/>
              <w:rPr>
                <w:rFonts w:eastAsia="Times New Roman"/>
                <w:b/>
                <w:bCs/>
                <w:color w:val="000000"/>
              </w:rPr>
            </w:pPr>
            <w:r w:rsidRPr="00C1464C">
              <w:rPr>
                <w:rFonts w:eastAsia="Times New Roman"/>
                <w:b/>
                <w:bCs/>
                <w:color w:val="000000"/>
              </w:rPr>
              <w:t>Eastern Region</w:t>
            </w:r>
          </w:p>
        </w:tc>
        <w:tc>
          <w:tcPr>
            <w:tcW w:w="4167" w:type="dxa"/>
            <w:gridSpan w:val="4"/>
            <w:tcBorders>
              <w:top w:val="single" w:sz="4" w:space="0" w:color="auto"/>
              <w:bottom w:val="single" w:sz="4" w:space="0" w:color="auto"/>
            </w:tcBorders>
            <w:vAlign w:val="center"/>
          </w:tcPr>
          <w:p w14:paraId="5727E9F6" w14:textId="77777777" w:rsidR="009E14A8" w:rsidRPr="00C1464C" w:rsidRDefault="009E14A8" w:rsidP="009E14A8">
            <w:pPr>
              <w:jc w:val="center"/>
              <w:rPr>
                <w:rFonts w:eastAsia="Times New Roman"/>
                <w:b/>
                <w:bCs/>
                <w:color w:val="000000"/>
              </w:rPr>
            </w:pPr>
            <w:r w:rsidRPr="00C1464C">
              <w:rPr>
                <w:rFonts w:eastAsia="Times New Roman"/>
                <w:b/>
                <w:bCs/>
                <w:color w:val="000000"/>
              </w:rPr>
              <w:t>Tororo District</w:t>
            </w:r>
          </w:p>
        </w:tc>
      </w:tr>
      <w:tr w:rsidR="009E14A8" w:rsidRPr="00C1464C" w14:paraId="56D654F4" w14:textId="77777777" w:rsidTr="00D4169C">
        <w:trPr>
          <w:trHeight w:val="264"/>
        </w:trPr>
        <w:tc>
          <w:tcPr>
            <w:tcW w:w="1638" w:type="dxa"/>
            <w:vMerge w:val="restart"/>
            <w:tcBorders>
              <w:bottom w:val="single" w:sz="4" w:space="0" w:color="auto"/>
            </w:tcBorders>
            <w:shd w:val="clear" w:color="auto" w:fill="auto"/>
            <w:vAlign w:val="center"/>
            <w:hideMark/>
          </w:tcPr>
          <w:p w14:paraId="1BA0384C" w14:textId="77777777" w:rsidR="009E14A8" w:rsidRPr="00C1464C" w:rsidRDefault="009E14A8" w:rsidP="009E14A8">
            <w:pPr>
              <w:jc w:val="center"/>
              <w:rPr>
                <w:rFonts w:eastAsia="Times New Roman"/>
                <w:b/>
                <w:bCs/>
                <w:color w:val="000000"/>
              </w:rPr>
            </w:pPr>
            <w:r w:rsidRPr="00C1464C">
              <w:rPr>
                <w:rFonts w:eastAsia="Times New Roman"/>
                <w:b/>
                <w:bCs/>
                <w:color w:val="000000"/>
              </w:rPr>
              <w:t>FGT Poverty Index</w:t>
            </w:r>
          </w:p>
        </w:tc>
        <w:tc>
          <w:tcPr>
            <w:tcW w:w="1170" w:type="dxa"/>
            <w:vMerge w:val="restart"/>
            <w:tcBorders>
              <w:top w:val="single" w:sz="4" w:space="0" w:color="auto"/>
              <w:bottom w:val="single" w:sz="4" w:space="0" w:color="auto"/>
            </w:tcBorders>
            <w:shd w:val="clear" w:color="auto" w:fill="auto"/>
            <w:vAlign w:val="center"/>
            <w:hideMark/>
          </w:tcPr>
          <w:p w14:paraId="6C9C765A" w14:textId="77777777" w:rsidR="009E14A8" w:rsidRPr="00C1464C" w:rsidRDefault="009E14A8" w:rsidP="009E14A8">
            <w:pPr>
              <w:jc w:val="center"/>
              <w:rPr>
                <w:rFonts w:eastAsia="Times New Roman"/>
                <w:b/>
                <w:bCs/>
                <w:color w:val="000000"/>
              </w:rPr>
            </w:pPr>
            <w:r w:rsidRPr="00C1464C">
              <w:rPr>
                <w:rFonts w:eastAsia="Times New Roman"/>
                <w:b/>
                <w:bCs/>
                <w:color w:val="000000"/>
              </w:rPr>
              <w:t>Estimate</w:t>
            </w:r>
          </w:p>
        </w:tc>
        <w:tc>
          <w:tcPr>
            <w:tcW w:w="990" w:type="dxa"/>
            <w:vMerge w:val="restart"/>
            <w:tcBorders>
              <w:top w:val="single" w:sz="4" w:space="0" w:color="auto"/>
              <w:bottom w:val="single" w:sz="4" w:space="0" w:color="auto"/>
            </w:tcBorders>
            <w:shd w:val="clear" w:color="auto" w:fill="auto"/>
            <w:vAlign w:val="center"/>
            <w:hideMark/>
          </w:tcPr>
          <w:p w14:paraId="4975441F" w14:textId="6F4572C1" w:rsidR="009E14A8" w:rsidRPr="00C1464C" w:rsidRDefault="009E14A8" w:rsidP="009E14A8">
            <w:pPr>
              <w:jc w:val="center"/>
              <w:rPr>
                <w:rFonts w:eastAsia="Times New Roman"/>
                <w:b/>
                <w:bCs/>
                <w:color w:val="000000"/>
              </w:rPr>
            </w:pPr>
            <w:r w:rsidRPr="00C1464C">
              <w:rPr>
                <w:rFonts w:eastAsia="Times New Roman"/>
                <w:b/>
                <w:bCs/>
                <w:color w:val="000000"/>
              </w:rPr>
              <w:t xml:space="preserve">Std. </w:t>
            </w:r>
            <w:r w:rsidR="00A62F2E">
              <w:rPr>
                <w:rFonts w:eastAsia="Times New Roman"/>
                <w:b/>
                <w:bCs/>
                <w:color w:val="000000"/>
              </w:rPr>
              <w:t>Dev</w:t>
            </w:r>
          </w:p>
        </w:tc>
        <w:tc>
          <w:tcPr>
            <w:tcW w:w="2156" w:type="dxa"/>
            <w:gridSpan w:val="2"/>
            <w:tcBorders>
              <w:top w:val="single" w:sz="4" w:space="0" w:color="auto"/>
              <w:bottom w:val="single" w:sz="4" w:space="0" w:color="auto"/>
            </w:tcBorders>
            <w:shd w:val="clear" w:color="auto" w:fill="auto"/>
            <w:noWrap/>
            <w:vAlign w:val="bottom"/>
            <w:hideMark/>
          </w:tcPr>
          <w:p w14:paraId="32C3229E" w14:textId="77777777" w:rsidR="009E14A8" w:rsidRPr="00C1464C" w:rsidRDefault="009E14A8" w:rsidP="009E14A8">
            <w:pPr>
              <w:jc w:val="center"/>
              <w:rPr>
                <w:rFonts w:eastAsia="Times New Roman"/>
                <w:b/>
                <w:bCs/>
                <w:color w:val="000000"/>
              </w:rPr>
            </w:pPr>
            <w:r w:rsidRPr="00C1464C">
              <w:rPr>
                <w:rFonts w:eastAsia="Times New Roman"/>
                <w:b/>
                <w:bCs/>
                <w:color w:val="000000"/>
              </w:rPr>
              <w:t>95% Confidence Interval</w:t>
            </w:r>
          </w:p>
        </w:tc>
        <w:tc>
          <w:tcPr>
            <w:tcW w:w="1174" w:type="dxa"/>
            <w:vMerge w:val="restart"/>
            <w:tcBorders>
              <w:top w:val="single" w:sz="4" w:space="0" w:color="auto"/>
            </w:tcBorders>
            <w:vAlign w:val="center"/>
          </w:tcPr>
          <w:p w14:paraId="0313DA93" w14:textId="77777777" w:rsidR="009E14A8" w:rsidRPr="00C1464C" w:rsidRDefault="009E14A8" w:rsidP="009E14A8">
            <w:pPr>
              <w:jc w:val="center"/>
              <w:rPr>
                <w:rFonts w:eastAsia="Times New Roman"/>
                <w:b/>
                <w:bCs/>
                <w:color w:val="000000"/>
              </w:rPr>
            </w:pPr>
            <w:r w:rsidRPr="00C1464C">
              <w:rPr>
                <w:rFonts w:eastAsia="Times New Roman"/>
                <w:b/>
                <w:bCs/>
                <w:color w:val="000000"/>
              </w:rPr>
              <w:t>Estimate</w:t>
            </w:r>
          </w:p>
        </w:tc>
        <w:tc>
          <w:tcPr>
            <w:tcW w:w="900" w:type="dxa"/>
            <w:vMerge w:val="restart"/>
            <w:tcBorders>
              <w:top w:val="single" w:sz="4" w:space="0" w:color="auto"/>
            </w:tcBorders>
            <w:vAlign w:val="center"/>
          </w:tcPr>
          <w:p w14:paraId="2BB4DE58" w14:textId="77777777" w:rsidR="009E14A8" w:rsidRPr="00C1464C" w:rsidRDefault="009E14A8" w:rsidP="009E14A8">
            <w:pPr>
              <w:jc w:val="center"/>
              <w:rPr>
                <w:rFonts w:eastAsia="Times New Roman"/>
                <w:b/>
                <w:bCs/>
                <w:color w:val="000000"/>
              </w:rPr>
            </w:pPr>
            <w:r w:rsidRPr="00C1464C">
              <w:rPr>
                <w:rFonts w:eastAsia="Times New Roman"/>
                <w:b/>
                <w:bCs/>
                <w:color w:val="000000"/>
              </w:rPr>
              <w:t>Std.</w:t>
            </w:r>
          </w:p>
          <w:p w14:paraId="54C29E80" w14:textId="77777777" w:rsidR="009E14A8" w:rsidRPr="00C1464C" w:rsidRDefault="009E14A8" w:rsidP="009E14A8">
            <w:pPr>
              <w:jc w:val="center"/>
              <w:rPr>
                <w:rFonts w:eastAsia="Times New Roman"/>
                <w:b/>
                <w:bCs/>
                <w:color w:val="000000"/>
              </w:rPr>
            </w:pPr>
            <w:r w:rsidRPr="00C1464C">
              <w:rPr>
                <w:rFonts w:eastAsia="Times New Roman"/>
                <w:b/>
                <w:bCs/>
                <w:color w:val="000000"/>
              </w:rPr>
              <w:t>Error</w:t>
            </w:r>
          </w:p>
        </w:tc>
        <w:tc>
          <w:tcPr>
            <w:tcW w:w="2093" w:type="dxa"/>
            <w:gridSpan w:val="2"/>
            <w:tcBorders>
              <w:top w:val="single" w:sz="4" w:space="0" w:color="auto"/>
              <w:bottom w:val="single" w:sz="4" w:space="0" w:color="auto"/>
            </w:tcBorders>
            <w:vAlign w:val="center"/>
          </w:tcPr>
          <w:p w14:paraId="49477EC0" w14:textId="77777777" w:rsidR="009E14A8" w:rsidRPr="00C1464C" w:rsidRDefault="009E14A8" w:rsidP="009E14A8">
            <w:pPr>
              <w:jc w:val="center"/>
              <w:rPr>
                <w:rFonts w:eastAsia="Times New Roman"/>
                <w:b/>
                <w:bCs/>
                <w:color w:val="000000"/>
              </w:rPr>
            </w:pPr>
            <w:r w:rsidRPr="00C1464C">
              <w:rPr>
                <w:rFonts w:eastAsia="Times New Roman"/>
                <w:b/>
                <w:bCs/>
                <w:color w:val="000000"/>
              </w:rPr>
              <w:t>95% Confidence Interval</w:t>
            </w:r>
          </w:p>
        </w:tc>
      </w:tr>
      <w:tr w:rsidR="009E14A8" w:rsidRPr="00C1464C" w14:paraId="1CFE4E25" w14:textId="77777777" w:rsidTr="00F853C7">
        <w:trPr>
          <w:trHeight w:val="295"/>
        </w:trPr>
        <w:tc>
          <w:tcPr>
            <w:tcW w:w="1638" w:type="dxa"/>
            <w:vMerge/>
            <w:tcBorders>
              <w:bottom w:val="single" w:sz="4" w:space="0" w:color="auto"/>
            </w:tcBorders>
            <w:vAlign w:val="center"/>
            <w:hideMark/>
          </w:tcPr>
          <w:p w14:paraId="7786003C" w14:textId="77777777" w:rsidR="009E14A8" w:rsidRPr="00C1464C" w:rsidRDefault="009E14A8" w:rsidP="009E14A8">
            <w:pPr>
              <w:rPr>
                <w:rFonts w:eastAsia="Times New Roman"/>
                <w:b/>
                <w:bCs/>
                <w:color w:val="000000"/>
              </w:rPr>
            </w:pPr>
          </w:p>
        </w:tc>
        <w:tc>
          <w:tcPr>
            <w:tcW w:w="1170" w:type="dxa"/>
            <w:vMerge/>
            <w:tcBorders>
              <w:bottom w:val="single" w:sz="4" w:space="0" w:color="auto"/>
            </w:tcBorders>
            <w:vAlign w:val="center"/>
            <w:hideMark/>
          </w:tcPr>
          <w:p w14:paraId="6AC3F7B4" w14:textId="77777777" w:rsidR="009E14A8" w:rsidRPr="00C1464C" w:rsidRDefault="009E14A8" w:rsidP="009E14A8">
            <w:pPr>
              <w:rPr>
                <w:rFonts w:eastAsia="Times New Roman"/>
                <w:b/>
                <w:bCs/>
                <w:color w:val="000000"/>
              </w:rPr>
            </w:pPr>
          </w:p>
        </w:tc>
        <w:tc>
          <w:tcPr>
            <w:tcW w:w="990" w:type="dxa"/>
            <w:vMerge/>
            <w:tcBorders>
              <w:bottom w:val="single" w:sz="4" w:space="0" w:color="auto"/>
            </w:tcBorders>
            <w:vAlign w:val="center"/>
            <w:hideMark/>
          </w:tcPr>
          <w:p w14:paraId="7B02A29B" w14:textId="77777777" w:rsidR="009E14A8" w:rsidRPr="00C1464C" w:rsidRDefault="009E14A8" w:rsidP="009E14A8">
            <w:pPr>
              <w:rPr>
                <w:rFonts w:eastAsia="Times New Roman"/>
                <w:b/>
                <w:bCs/>
                <w:color w:val="000000"/>
              </w:rPr>
            </w:pPr>
          </w:p>
        </w:tc>
        <w:tc>
          <w:tcPr>
            <w:tcW w:w="1076" w:type="dxa"/>
            <w:tcBorders>
              <w:top w:val="single" w:sz="4" w:space="0" w:color="auto"/>
              <w:bottom w:val="single" w:sz="4" w:space="0" w:color="auto"/>
            </w:tcBorders>
            <w:shd w:val="clear" w:color="auto" w:fill="auto"/>
            <w:noWrap/>
            <w:vAlign w:val="bottom"/>
            <w:hideMark/>
          </w:tcPr>
          <w:p w14:paraId="2F251BEE" w14:textId="77777777" w:rsidR="009E14A8" w:rsidRPr="00C1464C" w:rsidRDefault="009E14A8" w:rsidP="009E14A8">
            <w:pPr>
              <w:rPr>
                <w:rFonts w:eastAsia="Times New Roman"/>
                <w:b/>
                <w:bCs/>
                <w:color w:val="000000"/>
              </w:rPr>
            </w:pPr>
            <w:r w:rsidRPr="00C1464C">
              <w:rPr>
                <w:rFonts w:eastAsia="Times New Roman"/>
                <w:b/>
                <w:bCs/>
                <w:color w:val="000000"/>
              </w:rPr>
              <w:t>Lower</w:t>
            </w:r>
          </w:p>
        </w:tc>
        <w:tc>
          <w:tcPr>
            <w:tcW w:w="1080" w:type="dxa"/>
            <w:tcBorders>
              <w:top w:val="single" w:sz="4" w:space="0" w:color="auto"/>
              <w:bottom w:val="single" w:sz="4" w:space="0" w:color="auto"/>
            </w:tcBorders>
            <w:shd w:val="clear" w:color="auto" w:fill="auto"/>
            <w:noWrap/>
            <w:vAlign w:val="bottom"/>
            <w:hideMark/>
          </w:tcPr>
          <w:p w14:paraId="3DAD4A9C" w14:textId="77777777" w:rsidR="009E14A8" w:rsidRPr="00C1464C" w:rsidRDefault="009E14A8" w:rsidP="009E14A8">
            <w:pPr>
              <w:rPr>
                <w:rFonts w:eastAsia="Times New Roman"/>
                <w:b/>
                <w:bCs/>
                <w:color w:val="000000"/>
              </w:rPr>
            </w:pPr>
            <w:r w:rsidRPr="00C1464C">
              <w:rPr>
                <w:rFonts w:eastAsia="Times New Roman"/>
                <w:b/>
                <w:bCs/>
                <w:color w:val="000000"/>
              </w:rPr>
              <w:t>Upper</w:t>
            </w:r>
          </w:p>
        </w:tc>
        <w:tc>
          <w:tcPr>
            <w:tcW w:w="1174" w:type="dxa"/>
            <w:vMerge/>
            <w:tcBorders>
              <w:bottom w:val="single" w:sz="4" w:space="0" w:color="auto"/>
            </w:tcBorders>
          </w:tcPr>
          <w:p w14:paraId="3C1411A6" w14:textId="77777777" w:rsidR="009E14A8" w:rsidRPr="00C1464C" w:rsidRDefault="009E14A8" w:rsidP="009E14A8">
            <w:pPr>
              <w:rPr>
                <w:rFonts w:eastAsia="Times New Roman"/>
                <w:b/>
                <w:bCs/>
                <w:color w:val="000000"/>
              </w:rPr>
            </w:pPr>
          </w:p>
        </w:tc>
        <w:tc>
          <w:tcPr>
            <w:tcW w:w="900" w:type="dxa"/>
            <w:vMerge/>
            <w:tcBorders>
              <w:bottom w:val="single" w:sz="4" w:space="0" w:color="auto"/>
            </w:tcBorders>
          </w:tcPr>
          <w:p w14:paraId="68F5D203" w14:textId="77777777" w:rsidR="009E14A8" w:rsidRPr="00C1464C" w:rsidRDefault="009E14A8" w:rsidP="009E14A8">
            <w:pPr>
              <w:rPr>
                <w:rFonts w:eastAsia="Times New Roman"/>
                <w:b/>
                <w:bCs/>
                <w:color w:val="000000"/>
              </w:rPr>
            </w:pPr>
          </w:p>
        </w:tc>
        <w:tc>
          <w:tcPr>
            <w:tcW w:w="1046" w:type="dxa"/>
            <w:tcBorders>
              <w:top w:val="single" w:sz="4" w:space="0" w:color="auto"/>
              <w:bottom w:val="single" w:sz="4" w:space="0" w:color="auto"/>
            </w:tcBorders>
          </w:tcPr>
          <w:p w14:paraId="3986AC95" w14:textId="77777777" w:rsidR="009E14A8" w:rsidRPr="00C1464C" w:rsidRDefault="009E14A8" w:rsidP="009E14A8">
            <w:pPr>
              <w:rPr>
                <w:rFonts w:eastAsia="Times New Roman"/>
                <w:b/>
                <w:bCs/>
                <w:color w:val="000000"/>
              </w:rPr>
            </w:pPr>
            <w:r w:rsidRPr="00C1464C">
              <w:rPr>
                <w:rFonts w:eastAsia="Times New Roman"/>
                <w:b/>
                <w:bCs/>
                <w:color w:val="000000"/>
              </w:rPr>
              <w:t>Lower</w:t>
            </w:r>
          </w:p>
        </w:tc>
        <w:tc>
          <w:tcPr>
            <w:tcW w:w="1047" w:type="dxa"/>
            <w:tcBorders>
              <w:top w:val="single" w:sz="4" w:space="0" w:color="auto"/>
              <w:bottom w:val="single" w:sz="4" w:space="0" w:color="auto"/>
            </w:tcBorders>
          </w:tcPr>
          <w:p w14:paraId="7E97B4C1" w14:textId="77777777" w:rsidR="009E14A8" w:rsidRPr="00C1464C" w:rsidRDefault="009E14A8" w:rsidP="009E14A8">
            <w:pPr>
              <w:rPr>
                <w:rFonts w:eastAsia="Times New Roman"/>
                <w:b/>
                <w:bCs/>
                <w:color w:val="000000"/>
              </w:rPr>
            </w:pPr>
            <w:r w:rsidRPr="00C1464C">
              <w:rPr>
                <w:rFonts w:eastAsia="Times New Roman"/>
                <w:b/>
                <w:bCs/>
                <w:color w:val="000000"/>
              </w:rPr>
              <w:t>Upper</w:t>
            </w:r>
          </w:p>
        </w:tc>
      </w:tr>
      <w:tr w:rsidR="009E14A8" w:rsidRPr="00C1464C" w14:paraId="1BC6433D" w14:textId="77777777" w:rsidTr="00D4169C">
        <w:trPr>
          <w:trHeight w:val="264"/>
        </w:trPr>
        <w:tc>
          <w:tcPr>
            <w:tcW w:w="1638" w:type="dxa"/>
            <w:tcBorders>
              <w:top w:val="single" w:sz="4" w:space="0" w:color="auto"/>
            </w:tcBorders>
            <w:shd w:val="clear" w:color="auto" w:fill="auto"/>
            <w:noWrap/>
            <w:vAlign w:val="bottom"/>
            <w:hideMark/>
          </w:tcPr>
          <w:p w14:paraId="6308A8FF" w14:textId="77777777" w:rsidR="009E14A8" w:rsidRPr="00C1464C" w:rsidRDefault="009E14A8" w:rsidP="009E14A8">
            <w:pPr>
              <w:rPr>
                <w:rFonts w:eastAsia="Times New Roman"/>
                <w:color w:val="000000"/>
              </w:rPr>
            </w:pPr>
            <w:r w:rsidRPr="00C1464C">
              <w:rPr>
                <w:rFonts w:eastAsia="Times New Roman"/>
                <w:color w:val="000000"/>
              </w:rPr>
              <w:t>Headcount</w:t>
            </w:r>
          </w:p>
        </w:tc>
        <w:tc>
          <w:tcPr>
            <w:tcW w:w="1170" w:type="dxa"/>
            <w:tcBorders>
              <w:top w:val="single" w:sz="4" w:space="0" w:color="auto"/>
            </w:tcBorders>
            <w:shd w:val="clear" w:color="auto" w:fill="auto"/>
            <w:noWrap/>
            <w:vAlign w:val="bottom"/>
            <w:hideMark/>
          </w:tcPr>
          <w:p w14:paraId="5E482A62" w14:textId="77777777" w:rsidR="009E14A8" w:rsidRPr="00C1464C" w:rsidRDefault="009E14A8" w:rsidP="009E14A8">
            <w:pPr>
              <w:jc w:val="right"/>
              <w:rPr>
                <w:rFonts w:eastAsia="Times New Roman"/>
                <w:color w:val="000000"/>
              </w:rPr>
            </w:pPr>
            <w:r w:rsidRPr="00C1464C">
              <w:rPr>
                <w:rFonts w:eastAsia="Times New Roman"/>
                <w:color w:val="000000"/>
              </w:rPr>
              <w:t>0.5627</w:t>
            </w:r>
          </w:p>
        </w:tc>
        <w:tc>
          <w:tcPr>
            <w:tcW w:w="990" w:type="dxa"/>
            <w:tcBorders>
              <w:top w:val="single" w:sz="4" w:space="0" w:color="auto"/>
            </w:tcBorders>
            <w:shd w:val="clear" w:color="auto" w:fill="auto"/>
            <w:noWrap/>
            <w:vAlign w:val="bottom"/>
            <w:hideMark/>
          </w:tcPr>
          <w:p w14:paraId="118ED316" w14:textId="77777777" w:rsidR="009E14A8" w:rsidRPr="00C1464C" w:rsidRDefault="009E14A8" w:rsidP="009E14A8">
            <w:pPr>
              <w:jc w:val="right"/>
              <w:rPr>
                <w:rFonts w:eastAsia="Times New Roman"/>
                <w:color w:val="000000"/>
              </w:rPr>
            </w:pPr>
            <w:r w:rsidRPr="00C1464C">
              <w:rPr>
                <w:rFonts w:eastAsia="Times New Roman"/>
                <w:color w:val="000000"/>
              </w:rPr>
              <w:t>0.0340</w:t>
            </w:r>
          </w:p>
        </w:tc>
        <w:tc>
          <w:tcPr>
            <w:tcW w:w="1076" w:type="dxa"/>
            <w:tcBorders>
              <w:top w:val="single" w:sz="4" w:space="0" w:color="auto"/>
            </w:tcBorders>
            <w:shd w:val="clear" w:color="auto" w:fill="auto"/>
            <w:noWrap/>
            <w:vAlign w:val="bottom"/>
            <w:hideMark/>
          </w:tcPr>
          <w:p w14:paraId="2F44B288" w14:textId="77777777" w:rsidR="009E14A8" w:rsidRPr="00C1464C" w:rsidRDefault="009E14A8" w:rsidP="009E14A8">
            <w:pPr>
              <w:jc w:val="right"/>
              <w:rPr>
                <w:rFonts w:eastAsia="Times New Roman"/>
                <w:color w:val="000000"/>
              </w:rPr>
            </w:pPr>
            <w:r w:rsidRPr="00C1464C">
              <w:rPr>
                <w:rFonts w:eastAsia="Times New Roman"/>
                <w:color w:val="000000"/>
              </w:rPr>
              <w:t>0.4946</w:t>
            </w:r>
          </w:p>
        </w:tc>
        <w:tc>
          <w:tcPr>
            <w:tcW w:w="1080" w:type="dxa"/>
            <w:tcBorders>
              <w:top w:val="single" w:sz="4" w:space="0" w:color="auto"/>
            </w:tcBorders>
            <w:shd w:val="clear" w:color="auto" w:fill="auto"/>
            <w:noWrap/>
            <w:vAlign w:val="bottom"/>
            <w:hideMark/>
          </w:tcPr>
          <w:p w14:paraId="7981E671" w14:textId="77777777" w:rsidR="009E14A8" w:rsidRPr="00C1464C" w:rsidRDefault="009E14A8" w:rsidP="009E14A8">
            <w:pPr>
              <w:jc w:val="right"/>
              <w:rPr>
                <w:rFonts w:eastAsia="Times New Roman"/>
                <w:color w:val="000000"/>
              </w:rPr>
            </w:pPr>
            <w:r w:rsidRPr="00C1464C">
              <w:rPr>
                <w:rFonts w:eastAsia="Times New Roman"/>
                <w:color w:val="000000"/>
              </w:rPr>
              <w:t>0.6308</w:t>
            </w:r>
          </w:p>
        </w:tc>
        <w:tc>
          <w:tcPr>
            <w:tcW w:w="1174" w:type="dxa"/>
            <w:tcBorders>
              <w:top w:val="single" w:sz="4" w:space="0" w:color="auto"/>
            </w:tcBorders>
            <w:vAlign w:val="bottom"/>
          </w:tcPr>
          <w:p w14:paraId="0772717E" w14:textId="77777777" w:rsidR="009E14A8" w:rsidRPr="00C1464C" w:rsidRDefault="009E14A8" w:rsidP="009E14A8">
            <w:pPr>
              <w:jc w:val="right"/>
              <w:rPr>
                <w:rFonts w:eastAsia="Times New Roman"/>
                <w:color w:val="000000"/>
              </w:rPr>
            </w:pPr>
            <w:r w:rsidRPr="00C1464C">
              <w:rPr>
                <w:rFonts w:eastAsia="Times New Roman"/>
                <w:color w:val="000000"/>
              </w:rPr>
              <w:t>0.5649</w:t>
            </w:r>
          </w:p>
        </w:tc>
        <w:tc>
          <w:tcPr>
            <w:tcW w:w="900" w:type="dxa"/>
            <w:tcBorders>
              <w:top w:val="single" w:sz="4" w:space="0" w:color="auto"/>
            </w:tcBorders>
            <w:vAlign w:val="bottom"/>
          </w:tcPr>
          <w:p w14:paraId="4C78ACBD" w14:textId="77777777" w:rsidR="009E14A8" w:rsidRPr="00C1464C" w:rsidRDefault="009E14A8" w:rsidP="009E14A8">
            <w:pPr>
              <w:jc w:val="right"/>
              <w:rPr>
                <w:rFonts w:eastAsia="Times New Roman"/>
                <w:color w:val="000000"/>
              </w:rPr>
            </w:pPr>
            <w:r w:rsidRPr="00C1464C">
              <w:rPr>
                <w:rFonts w:eastAsia="Times New Roman"/>
                <w:color w:val="000000"/>
              </w:rPr>
              <w:t>0.0445</w:t>
            </w:r>
          </w:p>
        </w:tc>
        <w:tc>
          <w:tcPr>
            <w:tcW w:w="1046" w:type="dxa"/>
            <w:tcBorders>
              <w:top w:val="single" w:sz="4" w:space="0" w:color="auto"/>
            </w:tcBorders>
            <w:vAlign w:val="bottom"/>
          </w:tcPr>
          <w:p w14:paraId="4C87B0D1" w14:textId="77777777" w:rsidR="009E14A8" w:rsidRPr="00C1464C" w:rsidRDefault="009E14A8" w:rsidP="009E14A8">
            <w:pPr>
              <w:jc w:val="right"/>
              <w:rPr>
                <w:rFonts w:eastAsia="Times New Roman"/>
                <w:color w:val="000000"/>
              </w:rPr>
            </w:pPr>
            <w:r w:rsidRPr="00C1464C">
              <w:rPr>
                <w:rFonts w:eastAsia="Times New Roman"/>
                <w:color w:val="000000"/>
              </w:rPr>
              <w:t>0.4762</w:t>
            </w:r>
          </w:p>
        </w:tc>
        <w:tc>
          <w:tcPr>
            <w:tcW w:w="1047" w:type="dxa"/>
            <w:tcBorders>
              <w:top w:val="single" w:sz="4" w:space="0" w:color="auto"/>
            </w:tcBorders>
            <w:vAlign w:val="bottom"/>
          </w:tcPr>
          <w:p w14:paraId="0C9719D2" w14:textId="77777777" w:rsidR="009E14A8" w:rsidRPr="00C1464C" w:rsidRDefault="009E14A8" w:rsidP="009E14A8">
            <w:pPr>
              <w:jc w:val="right"/>
              <w:rPr>
                <w:rFonts w:eastAsia="Times New Roman"/>
                <w:color w:val="000000"/>
              </w:rPr>
            </w:pPr>
            <w:r w:rsidRPr="00C1464C">
              <w:rPr>
                <w:rFonts w:eastAsia="Times New Roman"/>
                <w:color w:val="000000"/>
              </w:rPr>
              <w:t>0.6508</w:t>
            </w:r>
          </w:p>
        </w:tc>
      </w:tr>
      <w:tr w:rsidR="009E14A8" w:rsidRPr="00C1464C" w14:paraId="0E6C606F" w14:textId="77777777" w:rsidTr="00D4169C">
        <w:trPr>
          <w:trHeight w:val="264"/>
        </w:trPr>
        <w:tc>
          <w:tcPr>
            <w:tcW w:w="1638" w:type="dxa"/>
            <w:shd w:val="clear" w:color="auto" w:fill="auto"/>
            <w:noWrap/>
            <w:vAlign w:val="bottom"/>
            <w:hideMark/>
          </w:tcPr>
          <w:p w14:paraId="200E4C9C" w14:textId="77777777" w:rsidR="009E14A8" w:rsidRPr="00C1464C" w:rsidRDefault="009E14A8" w:rsidP="009E14A8">
            <w:pPr>
              <w:rPr>
                <w:rFonts w:eastAsia="Times New Roman"/>
                <w:color w:val="000000"/>
              </w:rPr>
            </w:pPr>
            <w:r w:rsidRPr="00C1464C">
              <w:rPr>
                <w:rFonts w:eastAsia="Times New Roman"/>
                <w:color w:val="000000"/>
              </w:rPr>
              <w:t>Depth</w:t>
            </w:r>
          </w:p>
        </w:tc>
        <w:tc>
          <w:tcPr>
            <w:tcW w:w="1170" w:type="dxa"/>
            <w:shd w:val="clear" w:color="auto" w:fill="auto"/>
            <w:noWrap/>
            <w:vAlign w:val="bottom"/>
            <w:hideMark/>
          </w:tcPr>
          <w:p w14:paraId="5F9DC128" w14:textId="77777777" w:rsidR="009E14A8" w:rsidRPr="00C1464C" w:rsidRDefault="009E14A8" w:rsidP="009E14A8">
            <w:pPr>
              <w:jc w:val="right"/>
              <w:rPr>
                <w:rFonts w:eastAsia="Times New Roman"/>
                <w:color w:val="000000"/>
              </w:rPr>
            </w:pPr>
            <w:r w:rsidRPr="00C1464C">
              <w:rPr>
                <w:rFonts w:eastAsia="Times New Roman"/>
                <w:color w:val="000000"/>
              </w:rPr>
              <w:t>0.1758</w:t>
            </w:r>
          </w:p>
        </w:tc>
        <w:tc>
          <w:tcPr>
            <w:tcW w:w="990" w:type="dxa"/>
            <w:shd w:val="clear" w:color="auto" w:fill="auto"/>
            <w:noWrap/>
            <w:vAlign w:val="bottom"/>
            <w:hideMark/>
          </w:tcPr>
          <w:p w14:paraId="4207F61F" w14:textId="77777777" w:rsidR="009E14A8" w:rsidRPr="00C1464C" w:rsidRDefault="009E14A8" w:rsidP="009E14A8">
            <w:pPr>
              <w:jc w:val="right"/>
              <w:rPr>
                <w:rFonts w:eastAsia="Times New Roman"/>
                <w:color w:val="000000"/>
              </w:rPr>
            </w:pPr>
            <w:r w:rsidRPr="00C1464C">
              <w:rPr>
                <w:rFonts w:eastAsia="Times New Roman"/>
                <w:color w:val="000000"/>
              </w:rPr>
              <w:t>0.0189</w:t>
            </w:r>
          </w:p>
        </w:tc>
        <w:tc>
          <w:tcPr>
            <w:tcW w:w="1076" w:type="dxa"/>
            <w:shd w:val="clear" w:color="auto" w:fill="auto"/>
            <w:noWrap/>
            <w:vAlign w:val="bottom"/>
            <w:hideMark/>
          </w:tcPr>
          <w:p w14:paraId="4679CDE4" w14:textId="77777777" w:rsidR="009E14A8" w:rsidRPr="00C1464C" w:rsidRDefault="009E14A8" w:rsidP="009E14A8">
            <w:pPr>
              <w:jc w:val="right"/>
              <w:rPr>
                <w:rFonts w:eastAsia="Times New Roman"/>
                <w:color w:val="000000"/>
              </w:rPr>
            </w:pPr>
            <w:r w:rsidRPr="00C1464C">
              <w:rPr>
                <w:rFonts w:eastAsia="Times New Roman"/>
                <w:color w:val="000000"/>
              </w:rPr>
              <w:t>0.1379</w:t>
            </w:r>
          </w:p>
        </w:tc>
        <w:tc>
          <w:tcPr>
            <w:tcW w:w="1080" w:type="dxa"/>
            <w:shd w:val="clear" w:color="auto" w:fill="auto"/>
            <w:noWrap/>
            <w:vAlign w:val="bottom"/>
            <w:hideMark/>
          </w:tcPr>
          <w:p w14:paraId="49DC7A5F" w14:textId="77777777" w:rsidR="009E14A8" w:rsidRPr="00C1464C" w:rsidRDefault="009E14A8" w:rsidP="009E14A8">
            <w:pPr>
              <w:jc w:val="right"/>
              <w:rPr>
                <w:rFonts w:eastAsia="Times New Roman"/>
                <w:color w:val="000000"/>
              </w:rPr>
            </w:pPr>
            <w:r w:rsidRPr="00C1464C">
              <w:rPr>
                <w:rFonts w:eastAsia="Times New Roman"/>
                <w:color w:val="000000"/>
              </w:rPr>
              <w:t>0.2137</w:t>
            </w:r>
          </w:p>
        </w:tc>
        <w:tc>
          <w:tcPr>
            <w:tcW w:w="1174" w:type="dxa"/>
            <w:vAlign w:val="bottom"/>
          </w:tcPr>
          <w:p w14:paraId="2A4F607C" w14:textId="77777777" w:rsidR="009E14A8" w:rsidRPr="00C1464C" w:rsidRDefault="009E14A8" w:rsidP="009E14A8">
            <w:pPr>
              <w:jc w:val="right"/>
              <w:rPr>
                <w:rFonts w:eastAsia="Times New Roman"/>
                <w:color w:val="000000"/>
              </w:rPr>
            </w:pPr>
            <w:r w:rsidRPr="00C1464C">
              <w:rPr>
                <w:rFonts w:eastAsia="Times New Roman"/>
                <w:color w:val="000000"/>
              </w:rPr>
              <w:t>0.2148</w:t>
            </w:r>
          </w:p>
        </w:tc>
        <w:tc>
          <w:tcPr>
            <w:tcW w:w="900" w:type="dxa"/>
            <w:vAlign w:val="bottom"/>
          </w:tcPr>
          <w:p w14:paraId="423543F2" w14:textId="77777777" w:rsidR="009E14A8" w:rsidRPr="00C1464C" w:rsidRDefault="009E14A8" w:rsidP="009E14A8">
            <w:pPr>
              <w:jc w:val="right"/>
              <w:rPr>
                <w:rFonts w:eastAsia="Times New Roman"/>
                <w:color w:val="000000"/>
              </w:rPr>
            </w:pPr>
            <w:r w:rsidRPr="00C1464C">
              <w:rPr>
                <w:rFonts w:eastAsia="Times New Roman"/>
                <w:color w:val="000000"/>
              </w:rPr>
              <w:t>0.0248</w:t>
            </w:r>
          </w:p>
        </w:tc>
        <w:tc>
          <w:tcPr>
            <w:tcW w:w="1046" w:type="dxa"/>
            <w:vAlign w:val="bottom"/>
          </w:tcPr>
          <w:p w14:paraId="107C7F06" w14:textId="77777777" w:rsidR="009E14A8" w:rsidRPr="00C1464C" w:rsidRDefault="009E14A8" w:rsidP="009E14A8">
            <w:pPr>
              <w:jc w:val="right"/>
              <w:rPr>
                <w:rFonts w:eastAsia="Times New Roman"/>
                <w:color w:val="000000"/>
              </w:rPr>
            </w:pPr>
            <w:r w:rsidRPr="00C1464C">
              <w:rPr>
                <w:rFonts w:eastAsia="Times New Roman"/>
                <w:color w:val="000000"/>
              </w:rPr>
              <w:t>0.1684</w:t>
            </w:r>
          </w:p>
        </w:tc>
        <w:tc>
          <w:tcPr>
            <w:tcW w:w="1047" w:type="dxa"/>
            <w:vAlign w:val="bottom"/>
          </w:tcPr>
          <w:p w14:paraId="1321B012" w14:textId="77777777" w:rsidR="009E14A8" w:rsidRPr="00C1464C" w:rsidRDefault="009E14A8" w:rsidP="009E14A8">
            <w:pPr>
              <w:jc w:val="right"/>
              <w:rPr>
                <w:rFonts w:eastAsia="Times New Roman"/>
                <w:color w:val="000000"/>
              </w:rPr>
            </w:pPr>
            <w:r w:rsidRPr="00C1464C">
              <w:rPr>
                <w:rFonts w:eastAsia="Times New Roman"/>
                <w:color w:val="000000"/>
              </w:rPr>
              <w:t>0.2644</w:t>
            </w:r>
          </w:p>
        </w:tc>
      </w:tr>
      <w:tr w:rsidR="009E14A8" w:rsidRPr="00C1464C" w14:paraId="53F9B254" w14:textId="77777777" w:rsidTr="00D4169C">
        <w:trPr>
          <w:trHeight w:val="264"/>
        </w:trPr>
        <w:tc>
          <w:tcPr>
            <w:tcW w:w="1638" w:type="dxa"/>
            <w:tcBorders>
              <w:bottom w:val="single" w:sz="4" w:space="0" w:color="auto"/>
            </w:tcBorders>
            <w:shd w:val="clear" w:color="auto" w:fill="auto"/>
            <w:noWrap/>
            <w:vAlign w:val="bottom"/>
            <w:hideMark/>
          </w:tcPr>
          <w:p w14:paraId="6EBC3725" w14:textId="77777777" w:rsidR="009E14A8" w:rsidRPr="00C1464C" w:rsidRDefault="009E14A8" w:rsidP="009E14A8">
            <w:pPr>
              <w:rPr>
                <w:rFonts w:eastAsia="Times New Roman"/>
                <w:color w:val="000000"/>
              </w:rPr>
            </w:pPr>
            <w:r w:rsidRPr="00C1464C">
              <w:rPr>
                <w:rFonts w:eastAsia="Times New Roman"/>
                <w:color w:val="000000"/>
              </w:rPr>
              <w:t>Severity</w:t>
            </w:r>
          </w:p>
        </w:tc>
        <w:tc>
          <w:tcPr>
            <w:tcW w:w="1170" w:type="dxa"/>
            <w:tcBorders>
              <w:bottom w:val="single" w:sz="4" w:space="0" w:color="auto"/>
            </w:tcBorders>
            <w:shd w:val="clear" w:color="auto" w:fill="auto"/>
            <w:noWrap/>
            <w:vAlign w:val="bottom"/>
            <w:hideMark/>
          </w:tcPr>
          <w:p w14:paraId="459C88D1" w14:textId="77777777" w:rsidR="009E14A8" w:rsidRPr="00C1464C" w:rsidRDefault="009E14A8" w:rsidP="009E14A8">
            <w:pPr>
              <w:jc w:val="right"/>
              <w:rPr>
                <w:rFonts w:eastAsia="Times New Roman"/>
                <w:color w:val="000000"/>
              </w:rPr>
            </w:pPr>
            <w:r w:rsidRPr="00C1464C">
              <w:rPr>
                <w:rFonts w:eastAsia="Times New Roman"/>
                <w:color w:val="000000"/>
              </w:rPr>
              <w:t>0.0751</w:t>
            </w:r>
          </w:p>
        </w:tc>
        <w:tc>
          <w:tcPr>
            <w:tcW w:w="990" w:type="dxa"/>
            <w:tcBorders>
              <w:bottom w:val="single" w:sz="4" w:space="0" w:color="auto"/>
            </w:tcBorders>
            <w:shd w:val="clear" w:color="auto" w:fill="auto"/>
            <w:noWrap/>
            <w:vAlign w:val="bottom"/>
            <w:hideMark/>
          </w:tcPr>
          <w:p w14:paraId="213995DD" w14:textId="77777777" w:rsidR="009E14A8" w:rsidRPr="00C1464C" w:rsidRDefault="009E14A8" w:rsidP="009E14A8">
            <w:pPr>
              <w:jc w:val="right"/>
              <w:rPr>
                <w:rFonts w:eastAsia="Times New Roman"/>
                <w:color w:val="000000"/>
              </w:rPr>
            </w:pPr>
            <w:r w:rsidRPr="00C1464C">
              <w:rPr>
                <w:rFonts w:eastAsia="Times New Roman"/>
                <w:color w:val="000000"/>
              </w:rPr>
              <w:t>0.0123</w:t>
            </w:r>
          </w:p>
        </w:tc>
        <w:tc>
          <w:tcPr>
            <w:tcW w:w="1076" w:type="dxa"/>
            <w:tcBorders>
              <w:bottom w:val="single" w:sz="4" w:space="0" w:color="auto"/>
            </w:tcBorders>
            <w:shd w:val="clear" w:color="auto" w:fill="auto"/>
            <w:noWrap/>
            <w:vAlign w:val="bottom"/>
            <w:hideMark/>
          </w:tcPr>
          <w:p w14:paraId="39371441" w14:textId="77777777" w:rsidR="009E14A8" w:rsidRPr="00C1464C" w:rsidRDefault="009E14A8" w:rsidP="009E14A8">
            <w:pPr>
              <w:jc w:val="right"/>
              <w:rPr>
                <w:rFonts w:eastAsia="Times New Roman"/>
                <w:color w:val="000000"/>
              </w:rPr>
            </w:pPr>
            <w:r w:rsidRPr="00C1464C">
              <w:rPr>
                <w:rFonts w:eastAsia="Times New Roman"/>
                <w:color w:val="000000"/>
              </w:rPr>
              <w:t>0.0505</w:t>
            </w:r>
          </w:p>
        </w:tc>
        <w:tc>
          <w:tcPr>
            <w:tcW w:w="1080" w:type="dxa"/>
            <w:tcBorders>
              <w:bottom w:val="single" w:sz="4" w:space="0" w:color="auto"/>
            </w:tcBorders>
            <w:shd w:val="clear" w:color="auto" w:fill="auto"/>
            <w:noWrap/>
            <w:vAlign w:val="bottom"/>
            <w:hideMark/>
          </w:tcPr>
          <w:p w14:paraId="1110DAB5" w14:textId="77777777" w:rsidR="009E14A8" w:rsidRPr="00C1464C" w:rsidRDefault="009E14A8" w:rsidP="009E14A8">
            <w:pPr>
              <w:jc w:val="right"/>
              <w:rPr>
                <w:rFonts w:eastAsia="Times New Roman"/>
                <w:color w:val="000000"/>
              </w:rPr>
            </w:pPr>
            <w:r w:rsidRPr="00C1464C">
              <w:rPr>
                <w:rFonts w:eastAsia="Times New Roman"/>
                <w:color w:val="000000"/>
              </w:rPr>
              <w:t>0.0997</w:t>
            </w:r>
          </w:p>
        </w:tc>
        <w:tc>
          <w:tcPr>
            <w:tcW w:w="1174" w:type="dxa"/>
            <w:tcBorders>
              <w:bottom w:val="single" w:sz="4" w:space="0" w:color="auto"/>
            </w:tcBorders>
            <w:vAlign w:val="bottom"/>
          </w:tcPr>
          <w:p w14:paraId="4EA3041B" w14:textId="77777777" w:rsidR="009E14A8" w:rsidRPr="00C1464C" w:rsidRDefault="009E14A8" w:rsidP="009E14A8">
            <w:pPr>
              <w:jc w:val="right"/>
              <w:rPr>
                <w:rFonts w:eastAsia="Times New Roman"/>
                <w:color w:val="000000"/>
              </w:rPr>
            </w:pPr>
            <w:r w:rsidRPr="00C1464C">
              <w:rPr>
                <w:rFonts w:eastAsia="Times New Roman"/>
                <w:color w:val="000000"/>
              </w:rPr>
              <w:t>0.1116</w:t>
            </w:r>
          </w:p>
        </w:tc>
        <w:tc>
          <w:tcPr>
            <w:tcW w:w="900" w:type="dxa"/>
            <w:tcBorders>
              <w:bottom w:val="single" w:sz="4" w:space="0" w:color="auto"/>
            </w:tcBorders>
            <w:vAlign w:val="bottom"/>
          </w:tcPr>
          <w:p w14:paraId="5EE15C0B" w14:textId="77777777" w:rsidR="009E14A8" w:rsidRPr="00C1464C" w:rsidRDefault="009E14A8" w:rsidP="009E14A8">
            <w:pPr>
              <w:jc w:val="right"/>
              <w:rPr>
                <w:rFonts w:eastAsia="Times New Roman"/>
                <w:color w:val="000000"/>
              </w:rPr>
            </w:pPr>
            <w:r w:rsidRPr="00C1464C">
              <w:rPr>
                <w:rFonts w:eastAsia="Times New Roman"/>
                <w:color w:val="000000"/>
              </w:rPr>
              <w:t>0.0163</w:t>
            </w:r>
          </w:p>
        </w:tc>
        <w:tc>
          <w:tcPr>
            <w:tcW w:w="1046" w:type="dxa"/>
            <w:tcBorders>
              <w:bottom w:val="single" w:sz="4" w:space="0" w:color="auto"/>
            </w:tcBorders>
            <w:vAlign w:val="bottom"/>
          </w:tcPr>
          <w:p w14:paraId="069502D8" w14:textId="77777777" w:rsidR="009E14A8" w:rsidRPr="00C1464C" w:rsidRDefault="009E14A8" w:rsidP="009E14A8">
            <w:pPr>
              <w:jc w:val="right"/>
              <w:rPr>
                <w:rFonts w:eastAsia="Times New Roman"/>
                <w:color w:val="000000"/>
              </w:rPr>
            </w:pPr>
            <w:r w:rsidRPr="00C1464C">
              <w:rPr>
                <w:rFonts w:eastAsia="Times New Roman"/>
                <w:color w:val="000000"/>
              </w:rPr>
              <w:t>0.0826</w:t>
            </w:r>
          </w:p>
        </w:tc>
        <w:tc>
          <w:tcPr>
            <w:tcW w:w="1047" w:type="dxa"/>
            <w:tcBorders>
              <w:bottom w:val="single" w:sz="4" w:space="0" w:color="auto"/>
            </w:tcBorders>
            <w:vAlign w:val="bottom"/>
          </w:tcPr>
          <w:p w14:paraId="1D9ABAB7" w14:textId="77777777" w:rsidR="009E14A8" w:rsidRPr="00C1464C" w:rsidRDefault="009E14A8" w:rsidP="009E14A8">
            <w:pPr>
              <w:jc w:val="right"/>
              <w:rPr>
                <w:rFonts w:eastAsia="Times New Roman"/>
                <w:color w:val="000000"/>
              </w:rPr>
            </w:pPr>
            <w:r w:rsidRPr="00C1464C">
              <w:rPr>
                <w:rFonts w:eastAsia="Times New Roman"/>
                <w:color w:val="000000"/>
              </w:rPr>
              <w:t>0.1457</w:t>
            </w:r>
          </w:p>
        </w:tc>
      </w:tr>
      <w:tr w:rsidR="009E14A8" w:rsidRPr="00C1464C" w14:paraId="0DBAEF5B" w14:textId="77777777" w:rsidTr="0066340A">
        <w:trPr>
          <w:trHeight w:val="67"/>
        </w:trPr>
        <w:tc>
          <w:tcPr>
            <w:tcW w:w="10121" w:type="dxa"/>
            <w:gridSpan w:val="9"/>
            <w:tcBorders>
              <w:top w:val="single" w:sz="4" w:space="0" w:color="auto"/>
            </w:tcBorders>
            <w:shd w:val="clear" w:color="auto" w:fill="auto"/>
            <w:noWrap/>
          </w:tcPr>
          <w:p w14:paraId="63EB7DB1" w14:textId="77777777" w:rsidR="0066340A" w:rsidRPr="0066340A" w:rsidRDefault="00FB4D43" w:rsidP="0066340A">
            <w:pPr>
              <w:rPr>
                <w:rFonts w:eastAsia="Times New Roman"/>
                <w:color w:val="000000"/>
                <w:sz w:val="20"/>
              </w:rPr>
            </w:pPr>
            <w:r w:rsidRPr="0066340A">
              <w:rPr>
                <w:rFonts w:eastAsia="Times New Roman"/>
                <w:color w:val="000000"/>
                <w:sz w:val="20"/>
              </w:rPr>
              <w:t xml:space="preserve">Note: </w:t>
            </w:r>
            <w:r w:rsidR="009E14A8" w:rsidRPr="0066340A">
              <w:rPr>
                <w:rFonts w:eastAsia="Times New Roman"/>
                <w:color w:val="000000"/>
                <w:sz w:val="20"/>
              </w:rPr>
              <w:t>The Eastern Region’s rural poverty indices are estimated using the household consumption per capita agg</w:t>
            </w:r>
            <w:r w:rsidR="0066340A" w:rsidRPr="0066340A">
              <w:rPr>
                <w:rFonts w:eastAsia="Times New Roman"/>
                <w:color w:val="000000"/>
                <w:sz w:val="20"/>
              </w:rPr>
              <w:t>regates from the LSMS-ISA</w:t>
            </w:r>
            <w:r w:rsidRPr="0066340A">
              <w:rPr>
                <w:rFonts w:eastAsia="Times New Roman"/>
                <w:color w:val="000000"/>
                <w:sz w:val="20"/>
              </w:rPr>
              <w:t xml:space="preserve">, </w:t>
            </w:r>
            <w:r w:rsidR="009E14A8" w:rsidRPr="0066340A">
              <w:rPr>
                <w:rFonts w:eastAsia="Times New Roman"/>
                <w:color w:val="000000"/>
                <w:sz w:val="20"/>
              </w:rPr>
              <w:t>the adj</w:t>
            </w:r>
            <w:r w:rsidRPr="0066340A">
              <w:rPr>
                <w:rFonts w:eastAsia="Times New Roman"/>
                <w:color w:val="000000"/>
                <w:sz w:val="20"/>
              </w:rPr>
              <w:t xml:space="preserve">usted international poverty line, </w:t>
            </w:r>
            <w:r w:rsidR="009E14A8" w:rsidRPr="0066340A">
              <w:rPr>
                <w:rFonts w:eastAsia="Times New Roman"/>
                <w:color w:val="000000"/>
                <w:sz w:val="20"/>
              </w:rPr>
              <w:t>and Stata’s svy estimation commands for survey data.</w:t>
            </w:r>
            <w:r w:rsidRPr="0066340A">
              <w:rPr>
                <w:rFonts w:eastAsia="Times New Roman"/>
                <w:color w:val="000000"/>
                <w:sz w:val="20"/>
              </w:rPr>
              <w:t xml:space="preserve"> </w:t>
            </w:r>
          </w:p>
          <w:p w14:paraId="780C5F8F" w14:textId="6949EC46" w:rsidR="009E14A8" w:rsidRPr="00C1464C" w:rsidRDefault="00701639" w:rsidP="0066340A">
            <w:pPr>
              <w:rPr>
                <w:rFonts w:eastAsia="Times New Roman"/>
                <w:color w:val="000000"/>
                <w:sz w:val="20"/>
              </w:rPr>
            </w:pPr>
            <w:r w:rsidRPr="0066340A">
              <w:rPr>
                <w:rFonts w:eastAsia="Times New Roman"/>
                <w:color w:val="000000"/>
                <w:sz w:val="20"/>
              </w:rPr>
              <w:t>The</w:t>
            </w:r>
            <w:r w:rsidR="0066340A" w:rsidRPr="0066340A">
              <w:rPr>
                <w:rFonts w:eastAsia="Times New Roman"/>
                <w:color w:val="000000"/>
                <w:sz w:val="20"/>
              </w:rPr>
              <w:t xml:space="preserve"> Tororo District’s rural</w:t>
            </w:r>
            <w:r w:rsidR="009E14A8" w:rsidRPr="0066340A">
              <w:rPr>
                <w:rFonts w:eastAsia="Times New Roman"/>
                <w:color w:val="000000"/>
                <w:sz w:val="20"/>
              </w:rPr>
              <w:t xml:space="preserve"> indices are estimated by applying the SAE</w:t>
            </w:r>
            <w:r w:rsidRPr="0066340A">
              <w:rPr>
                <w:rFonts w:eastAsia="Times New Roman"/>
                <w:color w:val="000000"/>
                <w:sz w:val="20"/>
              </w:rPr>
              <w:t>p</w:t>
            </w:r>
            <w:r w:rsidR="0066340A" w:rsidRPr="0066340A">
              <w:rPr>
                <w:rFonts w:eastAsia="Times New Roman"/>
                <w:color w:val="000000"/>
                <w:sz w:val="20"/>
              </w:rPr>
              <w:t xml:space="preserve"> technique to the</w:t>
            </w:r>
            <w:r w:rsidR="009E14A8" w:rsidRPr="0066340A">
              <w:rPr>
                <w:rFonts w:eastAsia="Times New Roman"/>
                <w:color w:val="000000"/>
                <w:sz w:val="20"/>
              </w:rPr>
              <w:t xml:space="preserve"> THS.</w:t>
            </w:r>
            <w:r w:rsidR="00FB4D43" w:rsidRPr="0066340A">
              <w:rPr>
                <w:rFonts w:eastAsia="Times New Roman"/>
                <w:color w:val="000000"/>
                <w:sz w:val="20"/>
              </w:rPr>
              <w:t xml:space="preserve"> </w:t>
            </w:r>
            <w:r w:rsidR="009E14A8" w:rsidRPr="0066340A">
              <w:rPr>
                <w:rFonts w:eastAsia="Times New Roman"/>
                <w:color w:val="000000"/>
                <w:sz w:val="20"/>
              </w:rPr>
              <w:t>The poverty line is $1.25 per capita per day (at 2005 PPP) adjusted to 2012 Ugandan shillings.</w:t>
            </w:r>
          </w:p>
        </w:tc>
      </w:tr>
    </w:tbl>
    <w:p w14:paraId="7BE8C2F9" w14:textId="77777777" w:rsidR="009E14A8" w:rsidRPr="00C1464C" w:rsidRDefault="009E14A8" w:rsidP="00F853C7">
      <w:pPr>
        <w:rPr>
          <w:rFonts w:eastAsia="Calibri"/>
          <w:color w:val="000000"/>
        </w:rPr>
      </w:pPr>
    </w:p>
    <w:p w14:paraId="14575232" w14:textId="77777777" w:rsidR="000F15CD" w:rsidRPr="00C1464C" w:rsidRDefault="000F15CD" w:rsidP="009E14A8">
      <w:pPr>
        <w:rPr>
          <w:rFonts w:eastAsia="Calibri"/>
          <w:color w:val="000000"/>
        </w:rPr>
      </w:pPr>
    </w:p>
    <w:p w14:paraId="6D85782A" w14:textId="77777777" w:rsidR="005D7F00" w:rsidRDefault="009E14A8">
      <w:pPr>
        <w:rPr>
          <w:rFonts w:eastAsia="Calibri"/>
          <w:color w:val="000000"/>
        </w:rPr>
      </w:pPr>
      <w:r w:rsidRPr="00C1464C">
        <w:rPr>
          <w:rFonts w:eastAsia="Calibri"/>
          <w:color w:val="000000"/>
        </w:rPr>
        <w:br w:type="page"/>
      </w:r>
    </w:p>
    <w:tbl>
      <w:tblPr>
        <w:tblW w:w="5000" w:type="pct"/>
        <w:jc w:val="center"/>
        <w:tblLook w:val="04A0" w:firstRow="1" w:lastRow="0" w:firstColumn="1" w:lastColumn="0" w:noHBand="0" w:noVBand="1"/>
      </w:tblPr>
      <w:tblGrid>
        <w:gridCol w:w="7792"/>
        <w:gridCol w:w="1568"/>
      </w:tblGrid>
      <w:tr w:rsidR="005D7F00" w:rsidRPr="0037775C" w14:paraId="5CEDFFE4" w14:textId="77777777" w:rsidTr="005D7F00">
        <w:trPr>
          <w:trHeight w:val="300"/>
          <w:jc w:val="center"/>
        </w:trPr>
        <w:tc>
          <w:tcPr>
            <w:tcW w:w="5000" w:type="pct"/>
            <w:gridSpan w:val="2"/>
            <w:tcBorders>
              <w:bottom w:val="single" w:sz="4" w:space="0" w:color="auto"/>
            </w:tcBorders>
            <w:shd w:val="clear" w:color="auto" w:fill="auto"/>
            <w:noWrap/>
            <w:vAlign w:val="center"/>
          </w:tcPr>
          <w:p w14:paraId="345FDEAA" w14:textId="25CDAA15" w:rsidR="005D7F00" w:rsidRPr="00C563D6" w:rsidRDefault="005D7F00" w:rsidP="000412E0">
            <w:pPr>
              <w:rPr>
                <w:rFonts w:eastAsia="Times New Roman"/>
                <w:b/>
                <w:color w:val="000000"/>
              </w:rPr>
            </w:pPr>
            <w:bookmarkStart w:id="18" w:name="_Ref294265841"/>
            <w:bookmarkStart w:id="19" w:name="_Toc295138370"/>
            <w:r w:rsidRPr="00C563D6">
              <w:rPr>
                <w:b/>
              </w:rPr>
              <w:lastRenderedPageBreak/>
              <w:t xml:space="preserve">Table </w:t>
            </w:r>
            <w:bookmarkEnd w:id="18"/>
            <w:r>
              <w:rPr>
                <w:b/>
                <w:noProof/>
              </w:rPr>
              <w:t>2</w:t>
            </w:r>
            <w:r w:rsidRPr="00C563D6">
              <w:rPr>
                <w:b/>
                <w:noProof/>
              </w:rPr>
              <w:t>.</w:t>
            </w:r>
            <w:r w:rsidRPr="00C563D6">
              <w:rPr>
                <w:rFonts w:eastAsia="Times New Roman"/>
                <w:b/>
                <w:bCs/>
                <w:color w:val="000000"/>
              </w:rPr>
              <w:t xml:space="preserve"> Regression Results for</w:t>
            </w:r>
            <w:r>
              <w:rPr>
                <w:rFonts w:eastAsia="Times New Roman"/>
                <w:b/>
                <w:bCs/>
                <w:color w:val="000000"/>
              </w:rPr>
              <w:t xml:space="preserve"> </w:t>
            </w:r>
            <w:r w:rsidRPr="00C563D6">
              <w:rPr>
                <w:rFonts w:eastAsia="Times New Roman"/>
                <w:b/>
                <w:bCs/>
                <w:color w:val="000000"/>
              </w:rPr>
              <w:t xml:space="preserve">the FGLS Model of Logged Household Consumption Expenditure per Capita </w:t>
            </w:r>
            <w:r>
              <w:rPr>
                <w:rFonts w:eastAsia="Times New Roman"/>
                <w:b/>
                <w:bCs/>
                <w:color w:val="000000"/>
              </w:rPr>
              <w:t>(</w:t>
            </w:r>
            <w:r w:rsidRPr="00C563D6">
              <w:rPr>
                <w:rFonts w:eastAsia="Times New Roman"/>
                <w:b/>
                <w:bCs/>
                <w:color w:val="000000"/>
              </w:rPr>
              <w:t>Equation</w:t>
            </w:r>
            <w:bookmarkEnd w:id="19"/>
            <w:r w:rsidRPr="00C563D6">
              <w:rPr>
                <w:rFonts w:eastAsia="Times New Roman"/>
                <w:b/>
                <w:bCs/>
                <w:color w:val="000000"/>
              </w:rPr>
              <w:t xml:space="preserve"> 3)</w:t>
            </w:r>
          </w:p>
        </w:tc>
      </w:tr>
      <w:tr w:rsidR="005D7F00" w:rsidRPr="0037775C" w14:paraId="0BF7F4A0" w14:textId="77777777" w:rsidTr="005D7F00">
        <w:trPr>
          <w:trHeight w:val="300"/>
          <w:jc w:val="center"/>
        </w:trPr>
        <w:tc>
          <w:tcPr>
            <w:tcW w:w="4206" w:type="pct"/>
            <w:tcBorders>
              <w:top w:val="single" w:sz="4" w:space="0" w:color="auto"/>
              <w:bottom w:val="single" w:sz="4" w:space="0" w:color="auto"/>
            </w:tcBorders>
            <w:shd w:val="clear" w:color="auto" w:fill="auto"/>
            <w:noWrap/>
            <w:vAlign w:val="center"/>
            <w:hideMark/>
          </w:tcPr>
          <w:p w14:paraId="317EA964" w14:textId="77777777" w:rsidR="005D7F00" w:rsidRPr="00C563D6" w:rsidRDefault="005D7F00" w:rsidP="000412E0">
            <w:pPr>
              <w:rPr>
                <w:rFonts w:eastAsia="Times New Roman"/>
                <w:b/>
                <w:color w:val="000000"/>
              </w:rPr>
            </w:pPr>
            <w:r w:rsidRPr="00C563D6">
              <w:rPr>
                <w:rFonts w:eastAsia="Times New Roman"/>
                <w:b/>
                <w:color w:val="000000"/>
              </w:rPr>
              <w:t>Variables</w:t>
            </w:r>
          </w:p>
        </w:tc>
        <w:tc>
          <w:tcPr>
            <w:tcW w:w="794" w:type="pct"/>
            <w:tcBorders>
              <w:top w:val="single" w:sz="4" w:space="0" w:color="auto"/>
              <w:bottom w:val="single" w:sz="4" w:space="0" w:color="auto"/>
            </w:tcBorders>
            <w:shd w:val="clear" w:color="auto" w:fill="auto"/>
            <w:noWrap/>
            <w:vAlign w:val="bottom"/>
            <w:hideMark/>
          </w:tcPr>
          <w:p w14:paraId="633539D1" w14:textId="77777777" w:rsidR="005D7F00" w:rsidRPr="00C563D6" w:rsidRDefault="005D7F00" w:rsidP="000412E0">
            <w:pPr>
              <w:jc w:val="center"/>
              <w:rPr>
                <w:rFonts w:eastAsia="Times New Roman"/>
                <w:b/>
                <w:color w:val="000000"/>
              </w:rPr>
            </w:pPr>
            <w:r w:rsidRPr="00C563D6">
              <w:rPr>
                <w:rFonts w:eastAsia="Times New Roman"/>
                <w:b/>
                <w:color w:val="000000"/>
              </w:rPr>
              <w:t>Coefficient Estimates</w:t>
            </w:r>
          </w:p>
        </w:tc>
      </w:tr>
      <w:tr w:rsidR="005D7F00" w:rsidRPr="0037775C" w14:paraId="1528C52A" w14:textId="77777777" w:rsidTr="005D7F00">
        <w:trPr>
          <w:trHeight w:val="300"/>
          <w:jc w:val="center"/>
        </w:trPr>
        <w:tc>
          <w:tcPr>
            <w:tcW w:w="4206" w:type="pct"/>
            <w:vMerge w:val="restart"/>
            <w:tcBorders>
              <w:top w:val="single" w:sz="4" w:space="0" w:color="auto"/>
            </w:tcBorders>
            <w:shd w:val="clear" w:color="auto" w:fill="auto"/>
            <w:vAlign w:val="center"/>
            <w:hideMark/>
          </w:tcPr>
          <w:p w14:paraId="42704E9B" w14:textId="77777777" w:rsidR="005D7F00" w:rsidRPr="00C563D6" w:rsidRDefault="005D7F00" w:rsidP="000412E0">
            <w:pPr>
              <w:rPr>
                <w:rFonts w:eastAsia="Times New Roman"/>
                <w:color w:val="000000"/>
              </w:rPr>
            </w:pPr>
            <w:r w:rsidRPr="00C563D6">
              <w:rPr>
                <w:rFonts w:eastAsia="Times New Roman"/>
                <w:color w:val="000000"/>
              </w:rPr>
              <w:t>Household size</w:t>
            </w:r>
          </w:p>
        </w:tc>
        <w:tc>
          <w:tcPr>
            <w:tcW w:w="794" w:type="pct"/>
            <w:tcBorders>
              <w:top w:val="single" w:sz="4" w:space="0" w:color="auto"/>
            </w:tcBorders>
            <w:shd w:val="clear" w:color="auto" w:fill="auto"/>
            <w:noWrap/>
            <w:vAlign w:val="bottom"/>
            <w:hideMark/>
          </w:tcPr>
          <w:p w14:paraId="698457CA" w14:textId="77777777" w:rsidR="005D7F00" w:rsidRPr="00C563D6" w:rsidRDefault="005D7F00" w:rsidP="000412E0">
            <w:pPr>
              <w:rPr>
                <w:rFonts w:eastAsia="Times New Roman"/>
                <w:color w:val="000000"/>
              </w:rPr>
            </w:pPr>
            <w:r w:rsidRPr="00C563D6">
              <w:rPr>
                <w:rFonts w:eastAsia="Times New Roman"/>
                <w:color w:val="000000"/>
              </w:rPr>
              <w:t>-0.078***</w:t>
            </w:r>
          </w:p>
        </w:tc>
      </w:tr>
      <w:tr w:rsidR="005D7F00" w:rsidRPr="0037775C" w14:paraId="1BF62452" w14:textId="77777777" w:rsidTr="005D7F00">
        <w:trPr>
          <w:trHeight w:val="300"/>
          <w:jc w:val="center"/>
        </w:trPr>
        <w:tc>
          <w:tcPr>
            <w:tcW w:w="4206" w:type="pct"/>
            <w:vMerge/>
            <w:vAlign w:val="center"/>
            <w:hideMark/>
          </w:tcPr>
          <w:p w14:paraId="58209B7F" w14:textId="77777777" w:rsidR="005D7F00" w:rsidRPr="00C563D6" w:rsidRDefault="005D7F00" w:rsidP="000412E0">
            <w:pPr>
              <w:rPr>
                <w:rFonts w:eastAsia="Times New Roman"/>
                <w:color w:val="000000"/>
              </w:rPr>
            </w:pPr>
          </w:p>
        </w:tc>
        <w:tc>
          <w:tcPr>
            <w:tcW w:w="794" w:type="pct"/>
            <w:shd w:val="clear" w:color="auto" w:fill="auto"/>
            <w:noWrap/>
            <w:vAlign w:val="bottom"/>
            <w:hideMark/>
          </w:tcPr>
          <w:p w14:paraId="75FA3CA9" w14:textId="77777777" w:rsidR="005D7F00" w:rsidRPr="00C563D6" w:rsidRDefault="005D7F00" w:rsidP="000412E0">
            <w:pPr>
              <w:rPr>
                <w:rFonts w:eastAsia="Times New Roman"/>
                <w:color w:val="000000"/>
              </w:rPr>
            </w:pPr>
            <w:r w:rsidRPr="00C563D6">
              <w:rPr>
                <w:rFonts w:eastAsia="Times New Roman"/>
                <w:color w:val="000000"/>
              </w:rPr>
              <w:t>(0.008)</w:t>
            </w:r>
          </w:p>
        </w:tc>
      </w:tr>
      <w:tr w:rsidR="005D7F00" w:rsidRPr="0037775C" w14:paraId="0E1AF226" w14:textId="77777777" w:rsidTr="005D7F00">
        <w:trPr>
          <w:trHeight w:val="300"/>
          <w:jc w:val="center"/>
        </w:trPr>
        <w:tc>
          <w:tcPr>
            <w:tcW w:w="4206" w:type="pct"/>
            <w:vMerge w:val="restart"/>
            <w:tcBorders>
              <w:top w:val="nil"/>
            </w:tcBorders>
            <w:shd w:val="clear" w:color="auto" w:fill="auto"/>
            <w:vAlign w:val="center"/>
            <w:hideMark/>
          </w:tcPr>
          <w:p w14:paraId="4CDC1A41" w14:textId="77777777" w:rsidR="005D7F00" w:rsidRPr="00C563D6" w:rsidRDefault="005D7F00" w:rsidP="000412E0">
            <w:pPr>
              <w:rPr>
                <w:rFonts w:eastAsia="Times New Roman"/>
                <w:color w:val="000000"/>
              </w:rPr>
            </w:pPr>
            <w:r w:rsidRPr="00C563D6">
              <w:rPr>
                <w:rFonts w:eastAsia="Times New Roman"/>
                <w:color w:val="000000"/>
              </w:rPr>
              <w:t>Proportion of household members under 16 years</w:t>
            </w:r>
          </w:p>
        </w:tc>
        <w:tc>
          <w:tcPr>
            <w:tcW w:w="794" w:type="pct"/>
            <w:tcBorders>
              <w:top w:val="nil"/>
            </w:tcBorders>
            <w:shd w:val="clear" w:color="auto" w:fill="auto"/>
            <w:noWrap/>
            <w:vAlign w:val="bottom"/>
            <w:hideMark/>
          </w:tcPr>
          <w:p w14:paraId="32E81FDB" w14:textId="77777777" w:rsidR="005D7F00" w:rsidRPr="00C563D6" w:rsidRDefault="005D7F00" w:rsidP="000412E0">
            <w:pPr>
              <w:rPr>
                <w:rFonts w:eastAsia="Times New Roman"/>
                <w:color w:val="000000"/>
              </w:rPr>
            </w:pPr>
            <w:r w:rsidRPr="00C563D6">
              <w:rPr>
                <w:rFonts w:eastAsia="Times New Roman"/>
                <w:color w:val="000000"/>
              </w:rPr>
              <w:t>-0.195</w:t>
            </w:r>
          </w:p>
        </w:tc>
      </w:tr>
      <w:tr w:rsidR="005D7F00" w:rsidRPr="0037775C" w14:paraId="11ED3DBC" w14:textId="77777777" w:rsidTr="005D7F00">
        <w:trPr>
          <w:trHeight w:val="300"/>
          <w:jc w:val="center"/>
        </w:trPr>
        <w:tc>
          <w:tcPr>
            <w:tcW w:w="4206" w:type="pct"/>
            <w:vMerge/>
            <w:tcBorders>
              <w:top w:val="nil"/>
            </w:tcBorders>
            <w:vAlign w:val="center"/>
            <w:hideMark/>
          </w:tcPr>
          <w:p w14:paraId="3AC84A43"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30D5B77F" w14:textId="77777777" w:rsidR="005D7F00" w:rsidRPr="00C563D6" w:rsidRDefault="005D7F00" w:rsidP="000412E0">
            <w:pPr>
              <w:rPr>
                <w:rFonts w:eastAsia="Times New Roman"/>
                <w:color w:val="000000"/>
              </w:rPr>
            </w:pPr>
            <w:r w:rsidRPr="00C563D6">
              <w:rPr>
                <w:rFonts w:eastAsia="Times New Roman"/>
                <w:color w:val="000000"/>
              </w:rPr>
              <w:t>(0.177)</w:t>
            </w:r>
          </w:p>
        </w:tc>
      </w:tr>
      <w:tr w:rsidR="005D7F00" w:rsidRPr="0037775C" w14:paraId="1B32B7EF" w14:textId="77777777" w:rsidTr="005D7F00">
        <w:trPr>
          <w:trHeight w:val="300"/>
          <w:jc w:val="center"/>
        </w:trPr>
        <w:tc>
          <w:tcPr>
            <w:tcW w:w="4206" w:type="pct"/>
            <w:vMerge w:val="restart"/>
            <w:tcBorders>
              <w:top w:val="nil"/>
            </w:tcBorders>
            <w:shd w:val="clear" w:color="auto" w:fill="auto"/>
            <w:vAlign w:val="center"/>
            <w:hideMark/>
          </w:tcPr>
          <w:p w14:paraId="55660A6C" w14:textId="77777777" w:rsidR="005D7F00" w:rsidRPr="00C563D6" w:rsidRDefault="005D7F00" w:rsidP="000412E0">
            <w:pPr>
              <w:rPr>
                <w:rFonts w:eastAsia="Times New Roman"/>
                <w:color w:val="000000"/>
              </w:rPr>
            </w:pPr>
            <w:r w:rsidRPr="00C563D6">
              <w:rPr>
                <w:rFonts w:eastAsia="Times New Roman"/>
                <w:color w:val="000000"/>
              </w:rPr>
              <w:t>Household has an improved (non-mud) floor (yes=1; no=0)</w:t>
            </w:r>
          </w:p>
        </w:tc>
        <w:tc>
          <w:tcPr>
            <w:tcW w:w="794" w:type="pct"/>
            <w:tcBorders>
              <w:top w:val="nil"/>
            </w:tcBorders>
            <w:shd w:val="clear" w:color="auto" w:fill="auto"/>
            <w:noWrap/>
            <w:vAlign w:val="bottom"/>
            <w:hideMark/>
          </w:tcPr>
          <w:p w14:paraId="46AAA2C2" w14:textId="77777777" w:rsidR="005D7F00" w:rsidRPr="00C563D6" w:rsidRDefault="005D7F00" w:rsidP="000412E0">
            <w:pPr>
              <w:rPr>
                <w:rFonts w:eastAsia="Times New Roman"/>
                <w:color w:val="000000"/>
              </w:rPr>
            </w:pPr>
            <w:r w:rsidRPr="00C563D6">
              <w:rPr>
                <w:rFonts w:eastAsia="Times New Roman"/>
                <w:color w:val="000000"/>
              </w:rPr>
              <w:t>0.166**</w:t>
            </w:r>
          </w:p>
        </w:tc>
      </w:tr>
      <w:tr w:rsidR="005D7F00" w:rsidRPr="0037775C" w14:paraId="50A13C40" w14:textId="77777777" w:rsidTr="005D7F00">
        <w:trPr>
          <w:trHeight w:val="300"/>
          <w:jc w:val="center"/>
        </w:trPr>
        <w:tc>
          <w:tcPr>
            <w:tcW w:w="4206" w:type="pct"/>
            <w:vMerge/>
            <w:tcBorders>
              <w:top w:val="nil"/>
            </w:tcBorders>
            <w:vAlign w:val="center"/>
            <w:hideMark/>
          </w:tcPr>
          <w:p w14:paraId="03C6FBEF"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03BBA478" w14:textId="77777777" w:rsidR="005D7F00" w:rsidRPr="00C563D6" w:rsidRDefault="005D7F00" w:rsidP="000412E0">
            <w:pPr>
              <w:rPr>
                <w:rFonts w:eastAsia="Times New Roman"/>
                <w:color w:val="000000"/>
              </w:rPr>
            </w:pPr>
            <w:r w:rsidRPr="00C563D6">
              <w:rPr>
                <w:rFonts w:eastAsia="Times New Roman"/>
                <w:color w:val="000000"/>
              </w:rPr>
              <w:t>(0.066)</w:t>
            </w:r>
          </w:p>
        </w:tc>
      </w:tr>
      <w:tr w:rsidR="005D7F00" w:rsidRPr="0037775C" w14:paraId="596F1880" w14:textId="77777777" w:rsidTr="005D7F00">
        <w:trPr>
          <w:trHeight w:val="300"/>
          <w:jc w:val="center"/>
        </w:trPr>
        <w:tc>
          <w:tcPr>
            <w:tcW w:w="4206" w:type="pct"/>
            <w:vMerge w:val="restart"/>
            <w:tcBorders>
              <w:top w:val="nil"/>
            </w:tcBorders>
            <w:shd w:val="clear" w:color="auto" w:fill="auto"/>
            <w:vAlign w:val="center"/>
            <w:hideMark/>
          </w:tcPr>
          <w:p w14:paraId="549146FB" w14:textId="77777777" w:rsidR="005D7F00" w:rsidRPr="00C563D6" w:rsidRDefault="005D7F00" w:rsidP="000412E0">
            <w:pPr>
              <w:rPr>
                <w:rFonts w:eastAsia="Times New Roman"/>
                <w:color w:val="000000"/>
              </w:rPr>
            </w:pPr>
            <w:r w:rsidRPr="00C563D6">
              <w:rPr>
                <w:rFonts w:eastAsia="Times New Roman"/>
                <w:color w:val="000000"/>
              </w:rPr>
              <w:t>Household’s main source of drinking water is an unprotected well, spring, river, or lake (yes=1; no=0)</w:t>
            </w:r>
          </w:p>
        </w:tc>
        <w:tc>
          <w:tcPr>
            <w:tcW w:w="794" w:type="pct"/>
            <w:tcBorders>
              <w:top w:val="nil"/>
            </w:tcBorders>
            <w:shd w:val="clear" w:color="auto" w:fill="auto"/>
            <w:noWrap/>
            <w:vAlign w:val="bottom"/>
            <w:hideMark/>
          </w:tcPr>
          <w:p w14:paraId="645CDBF4" w14:textId="77777777" w:rsidR="005D7F00" w:rsidRPr="00C563D6" w:rsidRDefault="005D7F00" w:rsidP="000412E0">
            <w:pPr>
              <w:rPr>
                <w:rFonts w:eastAsia="Times New Roman"/>
                <w:color w:val="000000"/>
              </w:rPr>
            </w:pPr>
            <w:r w:rsidRPr="00C563D6">
              <w:rPr>
                <w:rFonts w:eastAsia="Times New Roman"/>
                <w:color w:val="000000"/>
              </w:rPr>
              <w:t>-0.385***</w:t>
            </w:r>
          </w:p>
        </w:tc>
      </w:tr>
      <w:tr w:rsidR="005D7F00" w:rsidRPr="0037775C" w14:paraId="020AE6F4" w14:textId="77777777" w:rsidTr="005D7F00">
        <w:trPr>
          <w:trHeight w:val="300"/>
          <w:jc w:val="center"/>
        </w:trPr>
        <w:tc>
          <w:tcPr>
            <w:tcW w:w="4206" w:type="pct"/>
            <w:vMerge/>
            <w:tcBorders>
              <w:top w:val="nil"/>
            </w:tcBorders>
            <w:vAlign w:val="center"/>
            <w:hideMark/>
          </w:tcPr>
          <w:p w14:paraId="160BBFD1"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5BCA7C2E" w14:textId="77777777" w:rsidR="005D7F00" w:rsidRPr="00C563D6" w:rsidRDefault="005D7F00" w:rsidP="000412E0">
            <w:pPr>
              <w:rPr>
                <w:rFonts w:eastAsia="Times New Roman"/>
                <w:color w:val="000000"/>
              </w:rPr>
            </w:pPr>
            <w:r w:rsidRPr="00C563D6">
              <w:rPr>
                <w:rFonts w:eastAsia="Times New Roman"/>
                <w:color w:val="000000"/>
              </w:rPr>
              <w:t>(0.141)</w:t>
            </w:r>
          </w:p>
        </w:tc>
      </w:tr>
      <w:tr w:rsidR="005D7F00" w:rsidRPr="0037775C" w14:paraId="3ED32C48" w14:textId="77777777" w:rsidTr="005D7F00">
        <w:trPr>
          <w:trHeight w:val="300"/>
          <w:jc w:val="center"/>
        </w:trPr>
        <w:tc>
          <w:tcPr>
            <w:tcW w:w="4206" w:type="pct"/>
            <w:vMerge w:val="restart"/>
            <w:tcBorders>
              <w:top w:val="nil"/>
            </w:tcBorders>
            <w:shd w:val="clear" w:color="auto" w:fill="auto"/>
            <w:vAlign w:val="center"/>
            <w:hideMark/>
          </w:tcPr>
          <w:p w14:paraId="774AC3E0" w14:textId="77777777" w:rsidR="005D7F00" w:rsidRPr="00C563D6" w:rsidRDefault="005D7F00" w:rsidP="000412E0">
            <w:pPr>
              <w:rPr>
                <w:rFonts w:eastAsia="Times New Roman"/>
                <w:color w:val="000000"/>
              </w:rPr>
            </w:pPr>
            <w:r w:rsidRPr="00C563D6">
              <w:rPr>
                <w:rFonts w:eastAsia="Times New Roman"/>
                <w:color w:val="000000"/>
              </w:rPr>
              <w:t>Number of cell phones owned</w:t>
            </w:r>
          </w:p>
        </w:tc>
        <w:tc>
          <w:tcPr>
            <w:tcW w:w="794" w:type="pct"/>
            <w:tcBorders>
              <w:top w:val="nil"/>
            </w:tcBorders>
            <w:shd w:val="clear" w:color="auto" w:fill="auto"/>
            <w:noWrap/>
            <w:vAlign w:val="bottom"/>
            <w:hideMark/>
          </w:tcPr>
          <w:p w14:paraId="0A497326" w14:textId="77777777" w:rsidR="005D7F00" w:rsidRPr="00C563D6" w:rsidRDefault="005D7F00" w:rsidP="000412E0">
            <w:pPr>
              <w:rPr>
                <w:rFonts w:eastAsia="Times New Roman"/>
                <w:color w:val="000000"/>
              </w:rPr>
            </w:pPr>
            <w:r w:rsidRPr="00C563D6">
              <w:rPr>
                <w:rFonts w:eastAsia="Times New Roman"/>
                <w:color w:val="000000"/>
              </w:rPr>
              <w:t>0.094***</w:t>
            </w:r>
          </w:p>
        </w:tc>
      </w:tr>
      <w:tr w:rsidR="005D7F00" w:rsidRPr="0037775C" w14:paraId="6A3D5901" w14:textId="77777777" w:rsidTr="005D7F00">
        <w:trPr>
          <w:trHeight w:val="300"/>
          <w:jc w:val="center"/>
        </w:trPr>
        <w:tc>
          <w:tcPr>
            <w:tcW w:w="4206" w:type="pct"/>
            <w:vMerge/>
            <w:tcBorders>
              <w:top w:val="nil"/>
            </w:tcBorders>
            <w:vAlign w:val="center"/>
            <w:hideMark/>
          </w:tcPr>
          <w:p w14:paraId="465697D4"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030B7969" w14:textId="77777777" w:rsidR="005D7F00" w:rsidRPr="00C563D6" w:rsidRDefault="005D7F00" w:rsidP="000412E0">
            <w:pPr>
              <w:rPr>
                <w:rFonts w:eastAsia="Times New Roman"/>
                <w:color w:val="000000"/>
              </w:rPr>
            </w:pPr>
            <w:r w:rsidRPr="00C563D6">
              <w:rPr>
                <w:rFonts w:eastAsia="Times New Roman"/>
                <w:color w:val="000000"/>
              </w:rPr>
              <w:t>(0.022)</w:t>
            </w:r>
          </w:p>
        </w:tc>
      </w:tr>
      <w:tr w:rsidR="005D7F00" w:rsidRPr="0037775C" w14:paraId="47475393" w14:textId="77777777" w:rsidTr="005D7F00">
        <w:trPr>
          <w:trHeight w:val="300"/>
          <w:jc w:val="center"/>
        </w:trPr>
        <w:tc>
          <w:tcPr>
            <w:tcW w:w="4206" w:type="pct"/>
            <w:vMerge w:val="restart"/>
            <w:tcBorders>
              <w:top w:val="nil"/>
            </w:tcBorders>
            <w:shd w:val="clear" w:color="auto" w:fill="auto"/>
            <w:vAlign w:val="center"/>
            <w:hideMark/>
          </w:tcPr>
          <w:p w14:paraId="4E8C6D7B" w14:textId="77777777" w:rsidR="005D7F00" w:rsidRPr="00C563D6" w:rsidRDefault="005D7F00" w:rsidP="000412E0">
            <w:pPr>
              <w:rPr>
                <w:rFonts w:eastAsia="Times New Roman"/>
                <w:color w:val="000000"/>
              </w:rPr>
            </w:pPr>
            <w:r w:rsidRPr="00C563D6">
              <w:rPr>
                <w:rFonts w:eastAsia="Times New Roman"/>
                <w:color w:val="000000"/>
              </w:rPr>
              <w:t>Number of motorcycles owned</w:t>
            </w:r>
          </w:p>
        </w:tc>
        <w:tc>
          <w:tcPr>
            <w:tcW w:w="794" w:type="pct"/>
            <w:tcBorders>
              <w:top w:val="nil"/>
            </w:tcBorders>
            <w:shd w:val="clear" w:color="auto" w:fill="auto"/>
            <w:noWrap/>
            <w:vAlign w:val="bottom"/>
            <w:hideMark/>
          </w:tcPr>
          <w:p w14:paraId="7C50EAA9" w14:textId="77777777" w:rsidR="005D7F00" w:rsidRPr="00C563D6" w:rsidRDefault="005D7F00" w:rsidP="000412E0">
            <w:pPr>
              <w:rPr>
                <w:rFonts w:eastAsia="Times New Roman"/>
                <w:color w:val="000000"/>
              </w:rPr>
            </w:pPr>
            <w:r w:rsidRPr="00C563D6">
              <w:rPr>
                <w:rFonts w:eastAsia="Times New Roman"/>
                <w:color w:val="000000"/>
              </w:rPr>
              <w:t>0.312***</w:t>
            </w:r>
          </w:p>
        </w:tc>
      </w:tr>
      <w:tr w:rsidR="005D7F00" w:rsidRPr="0037775C" w14:paraId="557FFA1D" w14:textId="77777777" w:rsidTr="005D7F00">
        <w:trPr>
          <w:trHeight w:val="300"/>
          <w:jc w:val="center"/>
        </w:trPr>
        <w:tc>
          <w:tcPr>
            <w:tcW w:w="4206" w:type="pct"/>
            <w:vMerge/>
            <w:tcBorders>
              <w:top w:val="nil"/>
            </w:tcBorders>
            <w:vAlign w:val="center"/>
            <w:hideMark/>
          </w:tcPr>
          <w:p w14:paraId="165E03C0"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2FC28BF5" w14:textId="77777777" w:rsidR="005D7F00" w:rsidRPr="00C563D6" w:rsidRDefault="005D7F00" w:rsidP="000412E0">
            <w:pPr>
              <w:rPr>
                <w:rFonts w:eastAsia="Times New Roman"/>
                <w:color w:val="000000"/>
              </w:rPr>
            </w:pPr>
            <w:r w:rsidRPr="00C563D6">
              <w:rPr>
                <w:rFonts w:eastAsia="Times New Roman"/>
                <w:color w:val="000000"/>
              </w:rPr>
              <w:t>(0.081)</w:t>
            </w:r>
          </w:p>
        </w:tc>
      </w:tr>
      <w:tr w:rsidR="005D7F00" w:rsidRPr="0037775C" w14:paraId="00A37005" w14:textId="77777777" w:rsidTr="005D7F00">
        <w:trPr>
          <w:trHeight w:val="300"/>
          <w:jc w:val="center"/>
        </w:trPr>
        <w:tc>
          <w:tcPr>
            <w:tcW w:w="4206" w:type="pct"/>
            <w:vMerge w:val="restart"/>
            <w:tcBorders>
              <w:top w:val="nil"/>
            </w:tcBorders>
            <w:shd w:val="clear" w:color="auto" w:fill="auto"/>
            <w:vAlign w:val="center"/>
            <w:hideMark/>
          </w:tcPr>
          <w:p w14:paraId="29AB08A6" w14:textId="77777777" w:rsidR="005D7F00" w:rsidRPr="00C563D6" w:rsidRDefault="005D7F00" w:rsidP="000412E0">
            <w:pPr>
              <w:rPr>
                <w:rFonts w:eastAsia="Times New Roman"/>
                <w:color w:val="000000"/>
              </w:rPr>
            </w:pPr>
            <w:r w:rsidRPr="00C563D6">
              <w:rPr>
                <w:rFonts w:eastAsia="Times New Roman"/>
                <w:color w:val="000000"/>
              </w:rPr>
              <w:t>Household has electricity (yes=1; no=0)</w:t>
            </w:r>
          </w:p>
        </w:tc>
        <w:tc>
          <w:tcPr>
            <w:tcW w:w="794" w:type="pct"/>
            <w:tcBorders>
              <w:top w:val="nil"/>
            </w:tcBorders>
            <w:shd w:val="clear" w:color="auto" w:fill="auto"/>
            <w:noWrap/>
            <w:vAlign w:val="bottom"/>
            <w:hideMark/>
          </w:tcPr>
          <w:p w14:paraId="2177812D" w14:textId="77777777" w:rsidR="005D7F00" w:rsidRPr="00C563D6" w:rsidRDefault="005D7F00" w:rsidP="000412E0">
            <w:pPr>
              <w:rPr>
                <w:rFonts w:eastAsia="Times New Roman"/>
                <w:color w:val="000000"/>
              </w:rPr>
            </w:pPr>
            <w:r w:rsidRPr="00C563D6">
              <w:rPr>
                <w:rFonts w:eastAsia="Times New Roman"/>
                <w:color w:val="000000"/>
              </w:rPr>
              <w:t>0.542***</w:t>
            </w:r>
          </w:p>
        </w:tc>
      </w:tr>
      <w:tr w:rsidR="005D7F00" w:rsidRPr="0037775C" w14:paraId="7FEA730B" w14:textId="77777777" w:rsidTr="005D7F00">
        <w:trPr>
          <w:trHeight w:val="300"/>
          <w:jc w:val="center"/>
        </w:trPr>
        <w:tc>
          <w:tcPr>
            <w:tcW w:w="4206" w:type="pct"/>
            <w:vMerge/>
            <w:tcBorders>
              <w:top w:val="nil"/>
            </w:tcBorders>
            <w:vAlign w:val="center"/>
            <w:hideMark/>
          </w:tcPr>
          <w:p w14:paraId="190D2D09"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2985751C" w14:textId="77777777" w:rsidR="005D7F00" w:rsidRPr="00C563D6" w:rsidRDefault="005D7F00" w:rsidP="000412E0">
            <w:pPr>
              <w:rPr>
                <w:rFonts w:eastAsia="Times New Roman"/>
                <w:color w:val="000000"/>
              </w:rPr>
            </w:pPr>
            <w:r w:rsidRPr="00C563D6">
              <w:rPr>
                <w:rFonts w:eastAsia="Times New Roman"/>
                <w:color w:val="000000"/>
              </w:rPr>
              <w:t>(0.125)</w:t>
            </w:r>
          </w:p>
        </w:tc>
      </w:tr>
      <w:tr w:rsidR="005D7F00" w:rsidRPr="0037775C" w14:paraId="3A9C3656" w14:textId="77777777" w:rsidTr="005D7F00">
        <w:trPr>
          <w:trHeight w:val="300"/>
          <w:jc w:val="center"/>
        </w:trPr>
        <w:tc>
          <w:tcPr>
            <w:tcW w:w="4206" w:type="pct"/>
            <w:vMerge w:val="restart"/>
            <w:tcBorders>
              <w:top w:val="nil"/>
            </w:tcBorders>
            <w:shd w:val="clear" w:color="auto" w:fill="auto"/>
            <w:vAlign w:val="center"/>
            <w:hideMark/>
          </w:tcPr>
          <w:p w14:paraId="604C7A92" w14:textId="77777777" w:rsidR="005D7F00" w:rsidRPr="00C563D6" w:rsidRDefault="005D7F00" w:rsidP="000412E0">
            <w:pPr>
              <w:rPr>
                <w:rFonts w:eastAsia="Times New Roman"/>
                <w:color w:val="000000"/>
              </w:rPr>
            </w:pPr>
            <w:r w:rsidRPr="00C563D6">
              <w:rPr>
                <w:rFonts w:eastAsia="Times New Roman"/>
                <w:color w:val="000000"/>
              </w:rPr>
              <w:t xml:space="preserve">Number of household members whose highest education level completed is </w:t>
            </w:r>
            <w:r w:rsidRPr="00C563D6">
              <w:rPr>
                <w:rFonts w:eastAsia="Times New Roman"/>
                <w:i/>
                <w:color w:val="000000"/>
              </w:rPr>
              <w:t>primary school</w:t>
            </w:r>
          </w:p>
        </w:tc>
        <w:tc>
          <w:tcPr>
            <w:tcW w:w="794" w:type="pct"/>
            <w:tcBorders>
              <w:top w:val="nil"/>
            </w:tcBorders>
            <w:shd w:val="clear" w:color="auto" w:fill="auto"/>
            <w:noWrap/>
            <w:vAlign w:val="bottom"/>
            <w:hideMark/>
          </w:tcPr>
          <w:p w14:paraId="71072826" w14:textId="77777777" w:rsidR="005D7F00" w:rsidRPr="00C563D6" w:rsidRDefault="005D7F00" w:rsidP="000412E0">
            <w:pPr>
              <w:rPr>
                <w:rFonts w:eastAsia="Times New Roman"/>
                <w:color w:val="000000"/>
              </w:rPr>
            </w:pPr>
            <w:r w:rsidRPr="00C563D6">
              <w:rPr>
                <w:rFonts w:eastAsia="Times New Roman"/>
                <w:color w:val="000000"/>
              </w:rPr>
              <w:t>0.017</w:t>
            </w:r>
          </w:p>
        </w:tc>
      </w:tr>
      <w:tr w:rsidR="005D7F00" w:rsidRPr="0037775C" w14:paraId="2B23677D" w14:textId="77777777" w:rsidTr="005D7F00">
        <w:trPr>
          <w:trHeight w:val="300"/>
          <w:jc w:val="center"/>
        </w:trPr>
        <w:tc>
          <w:tcPr>
            <w:tcW w:w="4206" w:type="pct"/>
            <w:vMerge/>
            <w:tcBorders>
              <w:top w:val="nil"/>
            </w:tcBorders>
            <w:vAlign w:val="center"/>
            <w:hideMark/>
          </w:tcPr>
          <w:p w14:paraId="15DD56E3"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675B0D8A" w14:textId="77777777" w:rsidR="005D7F00" w:rsidRPr="00C563D6" w:rsidRDefault="005D7F00" w:rsidP="000412E0">
            <w:pPr>
              <w:rPr>
                <w:rFonts w:eastAsia="Times New Roman"/>
                <w:color w:val="000000"/>
              </w:rPr>
            </w:pPr>
            <w:r w:rsidRPr="00C563D6">
              <w:rPr>
                <w:rFonts w:eastAsia="Times New Roman"/>
                <w:color w:val="000000"/>
              </w:rPr>
              <w:t>(0.031)</w:t>
            </w:r>
          </w:p>
        </w:tc>
      </w:tr>
      <w:tr w:rsidR="005D7F00" w:rsidRPr="0037775C" w14:paraId="111410B0" w14:textId="77777777" w:rsidTr="005D7F00">
        <w:trPr>
          <w:trHeight w:val="300"/>
          <w:jc w:val="center"/>
        </w:trPr>
        <w:tc>
          <w:tcPr>
            <w:tcW w:w="4206" w:type="pct"/>
            <w:vMerge w:val="restart"/>
            <w:tcBorders>
              <w:top w:val="nil"/>
            </w:tcBorders>
            <w:shd w:val="clear" w:color="auto" w:fill="auto"/>
            <w:vAlign w:val="center"/>
            <w:hideMark/>
          </w:tcPr>
          <w:p w14:paraId="0845DFA9" w14:textId="77777777" w:rsidR="005D7F00" w:rsidRPr="00C563D6" w:rsidRDefault="005D7F00" w:rsidP="000412E0">
            <w:pPr>
              <w:rPr>
                <w:rFonts w:eastAsia="Times New Roman"/>
                <w:color w:val="000000"/>
              </w:rPr>
            </w:pPr>
            <w:r w:rsidRPr="00C563D6">
              <w:rPr>
                <w:rFonts w:eastAsia="Times New Roman"/>
                <w:color w:val="000000"/>
              </w:rPr>
              <w:t xml:space="preserve">Number of </w:t>
            </w:r>
            <w:r w:rsidRPr="00C563D6">
              <w:rPr>
                <w:rFonts w:eastAsia="Times New Roman"/>
                <w:i/>
                <w:color w:val="000000"/>
              </w:rPr>
              <w:t>male</w:t>
            </w:r>
            <w:r w:rsidRPr="00C563D6">
              <w:rPr>
                <w:rFonts w:eastAsia="Times New Roman"/>
                <w:color w:val="000000"/>
              </w:rPr>
              <w:t xml:space="preserve"> household members whose highest education level completed is </w:t>
            </w:r>
            <w:r w:rsidRPr="00C563D6">
              <w:rPr>
                <w:rFonts w:eastAsia="Times New Roman"/>
                <w:i/>
                <w:color w:val="000000"/>
              </w:rPr>
              <w:t>some secondary</w:t>
            </w:r>
            <w:r w:rsidRPr="00C563D6">
              <w:rPr>
                <w:rFonts w:eastAsia="Times New Roman"/>
                <w:color w:val="000000"/>
              </w:rPr>
              <w:t xml:space="preserve"> school</w:t>
            </w:r>
          </w:p>
        </w:tc>
        <w:tc>
          <w:tcPr>
            <w:tcW w:w="794" w:type="pct"/>
            <w:tcBorders>
              <w:top w:val="nil"/>
            </w:tcBorders>
            <w:shd w:val="clear" w:color="auto" w:fill="auto"/>
            <w:noWrap/>
            <w:vAlign w:val="bottom"/>
            <w:hideMark/>
          </w:tcPr>
          <w:p w14:paraId="7BA2012D" w14:textId="77777777" w:rsidR="005D7F00" w:rsidRPr="00C563D6" w:rsidRDefault="005D7F00" w:rsidP="000412E0">
            <w:pPr>
              <w:rPr>
                <w:rFonts w:eastAsia="Times New Roman"/>
                <w:color w:val="000000"/>
              </w:rPr>
            </w:pPr>
            <w:r w:rsidRPr="00C563D6">
              <w:rPr>
                <w:rFonts w:eastAsia="Times New Roman"/>
                <w:color w:val="000000"/>
              </w:rPr>
              <w:t>0.150***</w:t>
            </w:r>
          </w:p>
        </w:tc>
      </w:tr>
      <w:tr w:rsidR="005D7F00" w:rsidRPr="0037775C" w14:paraId="30A253BC" w14:textId="77777777" w:rsidTr="005D7F00">
        <w:trPr>
          <w:trHeight w:val="300"/>
          <w:jc w:val="center"/>
        </w:trPr>
        <w:tc>
          <w:tcPr>
            <w:tcW w:w="4206" w:type="pct"/>
            <w:vMerge/>
            <w:tcBorders>
              <w:top w:val="nil"/>
            </w:tcBorders>
            <w:vAlign w:val="center"/>
            <w:hideMark/>
          </w:tcPr>
          <w:p w14:paraId="49D0F4CC"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704C0D2C" w14:textId="77777777" w:rsidR="005D7F00" w:rsidRPr="00C563D6" w:rsidRDefault="005D7F00" w:rsidP="000412E0">
            <w:pPr>
              <w:rPr>
                <w:rFonts w:eastAsia="Times New Roman"/>
                <w:color w:val="000000"/>
              </w:rPr>
            </w:pPr>
            <w:r w:rsidRPr="00C563D6">
              <w:rPr>
                <w:rFonts w:eastAsia="Times New Roman"/>
                <w:color w:val="000000"/>
              </w:rPr>
              <w:t>(0.049)</w:t>
            </w:r>
          </w:p>
        </w:tc>
      </w:tr>
      <w:tr w:rsidR="005D7F00" w:rsidRPr="0037775C" w14:paraId="21BF6253" w14:textId="77777777" w:rsidTr="005D7F00">
        <w:trPr>
          <w:trHeight w:val="300"/>
          <w:jc w:val="center"/>
        </w:trPr>
        <w:tc>
          <w:tcPr>
            <w:tcW w:w="4206" w:type="pct"/>
            <w:vMerge w:val="restart"/>
            <w:tcBorders>
              <w:top w:val="nil"/>
            </w:tcBorders>
            <w:shd w:val="clear" w:color="auto" w:fill="auto"/>
            <w:vAlign w:val="center"/>
            <w:hideMark/>
          </w:tcPr>
          <w:p w14:paraId="5E732BC9" w14:textId="77777777" w:rsidR="005D7F00" w:rsidRPr="00C563D6" w:rsidRDefault="005D7F00" w:rsidP="000412E0">
            <w:pPr>
              <w:rPr>
                <w:rFonts w:eastAsia="Times New Roman"/>
                <w:color w:val="000000"/>
              </w:rPr>
            </w:pPr>
            <w:r w:rsidRPr="00C563D6">
              <w:rPr>
                <w:rFonts w:eastAsia="Times New Roman"/>
                <w:color w:val="000000"/>
              </w:rPr>
              <w:t xml:space="preserve">Number of </w:t>
            </w:r>
            <w:r w:rsidRPr="00C563D6">
              <w:rPr>
                <w:rFonts w:eastAsia="Times New Roman"/>
                <w:i/>
                <w:color w:val="000000"/>
              </w:rPr>
              <w:t>female</w:t>
            </w:r>
            <w:r w:rsidRPr="00C563D6">
              <w:rPr>
                <w:rFonts w:eastAsia="Times New Roman"/>
                <w:color w:val="000000"/>
              </w:rPr>
              <w:t xml:space="preserve"> household members whose highest education level completed is </w:t>
            </w:r>
            <w:r w:rsidRPr="00C563D6">
              <w:rPr>
                <w:rFonts w:eastAsia="Times New Roman"/>
                <w:i/>
                <w:color w:val="000000"/>
              </w:rPr>
              <w:t>some secondary</w:t>
            </w:r>
            <w:r w:rsidRPr="00C563D6">
              <w:rPr>
                <w:rFonts w:eastAsia="Times New Roman"/>
                <w:color w:val="000000"/>
              </w:rPr>
              <w:t xml:space="preserve"> school</w:t>
            </w:r>
          </w:p>
        </w:tc>
        <w:tc>
          <w:tcPr>
            <w:tcW w:w="794" w:type="pct"/>
            <w:tcBorders>
              <w:top w:val="nil"/>
            </w:tcBorders>
            <w:shd w:val="clear" w:color="auto" w:fill="auto"/>
            <w:noWrap/>
            <w:vAlign w:val="bottom"/>
            <w:hideMark/>
          </w:tcPr>
          <w:p w14:paraId="0363ABB8" w14:textId="77777777" w:rsidR="005D7F00" w:rsidRPr="00C563D6" w:rsidRDefault="005D7F00" w:rsidP="000412E0">
            <w:pPr>
              <w:rPr>
                <w:rFonts w:eastAsia="Times New Roman"/>
                <w:color w:val="000000"/>
              </w:rPr>
            </w:pPr>
            <w:r w:rsidRPr="00C563D6">
              <w:rPr>
                <w:rFonts w:eastAsia="Times New Roman"/>
                <w:color w:val="000000"/>
              </w:rPr>
              <w:t>0.060</w:t>
            </w:r>
          </w:p>
        </w:tc>
      </w:tr>
      <w:tr w:rsidR="005D7F00" w:rsidRPr="0037775C" w14:paraId="5CBBBE17" w14:textId="77777777" w:rsidTr="005D7F00">
        <w:trPr>
          <w:trHeight w:val="300"/>
          <w:jc w:val="center"/>
        </w:trPr>
        <w:tc>
          <w:tcPr>
            <w:tcW w:w="4206" w:type="pct"/>
            <w:vMerge/>
            <w:tcBorders>
              <w:top w:val="nil"/>
            </w:tcBorders>
            <w:vAlign w:val="center"/>
            <w:hideMark/>
          </w:tcPr>
          <w:p w14:paraId="462BD1A2"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1A1618A2" w14:textId="77777777" w:rsidR="005D7F00" w:rsidRPr="00C563D6" w:rsidRDefault="005D7F00" w:rsidP="000412E0">
            <w:pPr>
              <w:rPr>
                <w:rFonts w:eastAsia="Times New Roman"/>
                <w:color w:val="000000"/>
              </w:rPr>
            </w:pPr>
            <w:r w:rsidRPr="00C563D6">
              <w:rPr>
                <w:rFonts w:eastAsia="Times New Roman"/>
                <w:color w:val="000000"/>
              </w:rPr>
              <w:t>(0.047)</w:t>
            </w:r>
          </w:p>
        </w:tc>
      </w:tr>
      <w:tr w:rsidR="005D7F00" w:rsidRPr="0037775C" w14:paraId="3A328713" w14:textId="77777777" w:rsidTr="005D7F00">
        <w:trPr>
          <w:trHeight w:val="300"/>
          <w:jc w:val="center"/>
        </w:trPr>
        <w:tc>
          <w:tcPr>
            <w:tcW w:w="4206" w:type="pct"/>
            <w:vMerge w:val="restart"/>
            <w:tcBorders>
              <w:top w:val="nil"/>
            </w:tcBorders>
            <w:shd w:val="clear" w:color="auto" w:fill="auto"/>
            <w:vAlign w:val="center"/>
            <w:hideMark/>
          </w:tcPr>
          <w:p w14:paraId="29785DE3" w14:textId="77777777" w:rsidR="005D7F00" w:rsidRPr="00C563D6" w:rsidRDefault="005D7F00" w:rsidP="000412E0">
            <w:pPr>
              <w:rPr>
                <w:rFonts w:eastAsia="Times New Roman"/>
                <w:color w:val="000000"/>
              </w:rPr>
            </w:pPr>
            <w:r w:rsidRPr="00C563D6">
              <w:rPr>
                <w:rFonts w:eastAsia="Times New Roman"/>
                <w:color w:val="000000"/>
              </w:rPr>
              <w:t xml:space="preserve">Number of </w:t>
            </w:r>
            <w:r w:rsidRPr="00C563D6">
              <w:rPr>
                <w:rFonts w:eastAsia="Times New Roman"/>
                <w:i/>
                <w:color w:val="000000"/>
              </w:rPr>
              <w:t>male</w:t>
            </w:r>
            <w:r w:rsidRPr="00C563D6">
              <w:rPr>
                <w:rFonts w:eastAsia="Times New Roman"/>
                <w:color w:val="000000"/>
              </w:rPr>
              <w:t xml:space="preserve"> household members whose highest education level completed is </w:t>
            </w:r>
            <w:r w:rsidRPr="00C563D6">
              <w:rPr>
                <w:rFonts w:eastAsia="Times New Roman"/>
                <w:i/>
                <w:color w:val="000000"/>
              </w:rPr>
              <w:t>secondary school or above</w:t>
            </w:r>
          </w:p>
        </w:tc>
        <w:tc>
          <w:tcPr>
            <w:tcW w:w="794" w:type="pct"/>
            <w:tcBorders>
              <w:top w:val="nil"/>
            </w:tcBorders>
            <w:shd w:val="clear" w:color="auto" w:fill="auto"/>
            <w:noWrap/>
            <w:vAlign w:val="bottom"/>
            <w:hideMark/>
          </w:tcPr>
          <w:p w14:paraId="09B685AA" w14:textId="77777777" w:rsidR="005D7F00" w:rsidRPr="00C563D6" w:rsidRDefault="005D7F00" w:rsidP="000412E0">
            <w:pPr>
              <w:rPr>
                <w:rFonts w:eastAsia="Times New Roman"/>
                <w:color w:val="000000"/>
              </w:rPr>
            </w:pPr>
            <w:r w:rsidRPr="00C563D6">
              <w:rPr>
                <w:rFonts w:eastAsia="Times New Roman"/>
                <w:color w:val="000000"/>
              </w:rPr>
              <w:t>0.233**</w:t>
            </w:r>
          </w:p>
        </w:tc>
      </w:tr>
      <w:tr w:rsidR="005D7F00" w:rsidRPr="0037775C" w14:paraId="4C698AB3" w14:textId="77777777" w:rsidTr="005D7F00">
        <w:trPr>
          <w:trHeight w:val="300"/>
          <w:jc w:val="center"/>
        </w:trPr>
        <w:tc>
          <w:tcPr>
            <w:tcW w:w="4206" w:type="pct"/>
            <w:vMerge/>
            <w:tcBorders>
              <w:top w:val="nil"/>
            </w:tcBorders>
            <w:vAlign w:val="center"/>
            <w:hideMark/>
          </w:tcPr>
          <w:p w14:paraId="3F74C635"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7DE4C514" w14:textId="77777777" w:rsidR="005D7F00" w:rsidRPr="00C563D6" w:rsidRDefault="005D7F00" w:rsidP="000412E0">
            <w:pPr>
              <w:rPr>
                <w:rFonts w:eastAsia="Times New Roman"/>
                <w:color w:val="000000"/>
              </w:rPr>
            </w:pPr>
            <w:r w:rsidRPr="00C563D6">
              <w:rPr>
                <w:rFonts w:eastAsia="Times New Roman"/>
                <w:color w:val="000000"/>
              </w:rPr>
              <w:t>(0.094)</w:t>
            </w:r>
          </w:p>
        </w:tc>
      </w:tr>
      <w:tr w:rsidR="005D7F00" w:rsidRPr="0037775C" w14:paraId="5E9B821C" w14:textId="77777777" w:rsidTr="005D7F00">
        <w:trPr>
          <w:trHeight w:val="300"/>
          <w:jc w:val="center"/>
        </w:trPr>
        <w:tc>
          <w:tcPr>
            <w:tcW w:w="4206" w:type="pct"/>
            <w:vMerge w:val="restart"/>
            <w:tcBorders>
              <w:top w:val="nil"/>
            </w:tcBorders>
            <w:shd w:val="clear" w:color="auto" w:fill="auto"/>
            <w:vAlign w:val="center"/>
            <w:hideMark/>
          </w:tcPr>
          <w:p w14:paraId="07FAC761" w14:textId="77777777" w:rsidR="005D7F00" w:rsidRPr="00C563D6" w:rsidRDefault="005D7F00" w:rsidP="000412E0">
            <w:pPr>
              <w:rPr>
                <w:rFonts w:eastAsia="Times New Roman"/>
                <w:color w:val="000000"/>
              </w:rPr>
            </w:pPr>
            <w:r w:rsidRPr="00C563D6">
              <w:rPr>
                <w:rFonts w:eastAsia="Times New Roman"/>
                <w:color w:val="000000"/>
              </w:rPr>
              <w:t xml:space="preserve">Number of </w:t>
            </w:r>
            <w:r w:rsidRPr="00C563D6">
              <w:rPr>
                <w:rFonts w:eastAsia="Times New Roman"/>
                <w:i/>
                <w:color w:val="000000"/>
              </w:rPr>
              <w:t>female</w:t>
            </w:r>
            <w:r w:rsidRPr="00C563D6">
              <w:rPr>
                <w:rFonts w:eastAsia="Times New Roman"/>
                <w:color w:val="000000"/>
              </w:rPr>
              <w:t xml:space="preserve"> household members whose highest education level completed is </w:t>
            </w:r>
            <w:r w:rsidRPr="00C563D6">
              <w:rPr>
                <w:rFonts w:eastAsia="Times New Roman"/>
                <w:i/>
                <w:color w:val="000000"/>
              </w:rPr>
              <w:t>secondary school or above</w:t>
            </w:r>
          </w:p>
        </w:tc>
        <w:tc>
          <w:tcPr>
            <w:tcW w:w="794" w:type="pct"/>
            <w:tcBorders>
              <w:top w:val="nil"/>
            </w:tcBorders>
            <w:shd w:val="clear" w:color="auto" w:fill="auto"/>
            <w:noWrap/>
            <w:vAlign w:val="bottom"/>
            <w:hideMark/>
          </w:tcPr>
          <w:p w14:paraId="3ABF7941" w14:textId="77777777" w:rsidR="005D7F00" w:rsidRPr="00C563D6" w:rsidRDefault="005D7F00" w:rsidP="000412E0">
            <w:pPr>
              <w:rPr>
                <w:rFonts w:eastAsia="Times New Roman"/>
                <w:color w:val="000000"/>
              </w:rPr>
            </w:pPr>
            <w:r w:rsidRPr="00C563D6">
              <w:rPr>
                <w:rFonts w:eastAsia="Times New Roman"/>
                <w:color w:val="000000"/>
              </w:rPr>
              <w:t>0.275**</w:t>
            </w:r>
          </w:p>
        </w:tc>
      </w:tr>
      <w:tr w:rsidR="005D7F00" w:rsidRPr="0037775C" w14:paraId="216A5DE3" w14:textId="77777777" w:rsidTr="005D7F00">
        <w:trPr>
          <w:trHeight w:val="300"/>
          <w:jc w:val="center"/>
        </w:trPr>
        <w:tc>
          <w:tcPr>
            <w:tcW w:w="4206" w:type="pct"/>
            <w:vMerge/>
            <w:tcBorders>
              <w:top w:val="nil"/>
            </w:tcBorders>
            <w:vAlign w:val="center"/>
            <w:hideMark/>
          </w:tcPr>
          <w:p w14:paraId="0EDB61AA"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113E630B" w14:textId="77777777" w:rsidR="005D7F00" w:rsidRPr="00C563D6" w:rsidRDefault="005D7F00" w:rsidP="000412E0">
            <w:pPr>
              <w:rPr>
                <w:rFonts w:eastAsia="Times New Roman"/>
                <w:color w:val="000000"/>
              </w:rPr>
            </w:pPr>
            <w:r w:rsidRPr="00C563D6">
              <w:rPr>
                <w:rFonts w:eastAsia="Times New Roman"/>
                <w:color w:val="000000"/>
              </w:rPr>
              <w:t>(0.109)</w:t>
            </w:r>
          </w:p>
        </w:tc>
      </w:tr>
      <w:tr w:rsidR="005D7F00" w:rsidRPr="0037775C" w14:paraId="5A366A42" w14:textId="77777777" w:rsidTr="005D7F00">
        <w:trPr>
          <w:trHeight w:val="300"/>
          <w:jc w:val="center"/>
        </w:trPr>
        <w:tc>
          <w:tcPr>
            <w:tcW w:w="4206" w:type="pct"/>
            <w:vMerge w:val="restart"/>
            <w:tcBorders>
              <w:top w:val="nil"/>
            </w:tcBorders>
            <w:shd w:val="clear" w:color="auto" w:fill="auto"/>
            <w:vAlign w:val="center"/>
            <w:hideMark/>
          </w:tcPr>
          <w:p w14:paraId="08A08C7C" w14:textId="77777777" w:rsidR="005D7F00" w:rsidRPr="00C563D6" w:rsidRDefault="005D7F00" w:rsidP="000412E0">
            <w:pPr>
              <w:rPr>
                <w:rFonts w:eastAsia="Times New Roman"/>
                <w:color w:val="000000"/>
              </w:rPr>
            </w:pPr>
            <w:r w:rsidRPr="00C563D6">
              <w:rPr>
                <w:rFonts w:eastAsia="Times New Roman"/>
                <w:color w:val="000000"/>
              </w:rPr>
              <w:t>Number of agricultural acres owned</w:t>
            </w:r>
          </w:p>
        </w:tc>
        <w:tc>
          <w:tcPr>
            <w:tcW w:w="794" w:type="pct"/>
            <w:tcBorders>
              <w:top w:val="nil"/>
            </w:tcBorders>
            <w:shd w:val="clear" w:color="auto" w:fill="auto"/>
            <w:noWrap/>
            <w:vAlign w:val="bottom"/>
            <w:hideMark/>
          </w:tcPr>
          <w:p w14:paraId="123A1B4F" w14:textId="77777777" w:rsidR="005D7F00" w:rsidRPr="00C563D6" w:rsidRDefault="005D7F00" w:rsidP="000412E0">
            <w:pPr>
              <w:rPr>
                <w:rFonts w:eastAsia="Times New Roman"/>
                <w:color w:val="000000"/>
              </w:rPr>
            </w:pPr>
            <w:r w:rsidRPr="00C563D6">
              <w:rPr>
                <w:rFonts w:eastAsia="Times New Roman"/>
                <w:color w:val="000000"/>
              </w:rPr>
              <w:t>0.021***</w:t>
            </w:r>
          </w:p>
        </w:tc>
      </w:tr>
      <w:tr w:rsidR="005D7F00" w:rsidRPr="0037775C" w14:paraId="1AF68FCA" w14:textId="77777777" w:rsidTr="005D7F00">
        <w:trPr>
          <w:trHeight w:val="300"/>
          <w:jc w:val="center"/>
        </w:trPr>
        <w:tc>
          <w:tcPr>
            <w:tcW w:w="4206" w:type="pct"/>
            <w:vMerge/>
            <w:tcBorders>
              <w:top w:val="nil"/>
            </w:tcBorders>
            <w:vAlign w:val="center"/>
            <w:hideMark/>
          </w:tcPr>
          <w:p w14:paraId="74974788"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6AA01946" w14:textId="77777777" w:rsidR="005D7F00" w:rsidRPr="00C563D6" w:rsidRDefault="005D7F00" w:rsidP="000412E0">
            <w:pPr>
              <w:rPr>
                <w:rFonts w:eastAsia="Times New Roman"/>
                <w:color w:val="000000"/>
              </w:rPr>
            </w:pPr>
            <w:r w:rsidRPr="00C563D6">
              <w:rPr>
                <w:rFonts w:eastAsia="Times New Roman"/>
                <w:color w:val="000000"/>
              </w:rPr>
              <w:t>(0.003)</w:t>
            </w:r>
          </w:p>
        </w:tc>
      </w:tr>
      <w:tr w:rsidR="005D7F00" w:rsidRPr="0037775C" w14:paraId="75BEC122" w14:textId="77777777" w:rsidTr="005D7F00">
        <w:trPr>
          <w:trHeight w:val="300"/>
          <w:jc w:val="center"/>
        </w:trPr>
        <w:tc>
          <w:tcPr>
            <w:tcW w:w="4206" w:type="pct"/>
            <w:vMerge w:val="restart"/>
            <w:tcBorders>
              <w:top w:val="nil"/>
            </w:tcBorders>
            <w:shd w:val="clear" w:color="auto" w:fill="auto"/>
            <w:vAlign w:val="center"/>
            <w:hideMark/>
          </w:tcPr>
          <w:p w14:paraId="7FF6E76F" w14:textId="77777777" w:rsidR="005D7F00" w:rsidRPr="00C563D6" w:rsidRDefault="005D7F00" w:rsidP="000412E0">
            <w:pPr>
              <w:rPr>
                <w:rFonts w:eastAsia="Times New Roman"/>
                <w:color w:val="000000"/>
              </w:rPr>
            </w:pPr>
            <w:r w:rsidRPr="00C563D6">
              <w:rPr>
                <w:rFonts w:eastAsia="Times New Roman"/>
                <w:color w:val="000000"/>
              </w:rPr>
              <w:t>Number of pigs owned</w:t>
            </w:r>
          </w:p>
        </w:tc>
        <w:tc>
          <w:tcPr>
            <w:tcW w:w="794" w:type="pct"/>
            <w:tcBorders>
              <w:top w:val="nil"/>
            </w:tcBorders>
            <w:shd w:val="clear" w:color="auto" w:fill="auto"/>
            <w:noWrap/>
            <w:vAlign w:val="bottom"/>
            <w:hideMark/>
          </w:tcPr>
          <w:p w14:paraId="3E199039" w14:textId="77777777" w:rsidR="005D7F00" w:rsidRPr="00C563D6" w:rsidRDefault="005D7F00" w:rsidP="000412E0">
            <w:pPr>
              <w:rPr>
                <w:rFonts w:eastAsia="Times New Roman"/>
                <w:color w:val="000000"/>
              </w:rPr>
            </w:pPr>
            <w:r w:rsidRPr="00C563D6">
              <w:rPr>
                <w:rFonts w:eastAsia="Times New Roman"/>
                <w:color w:val="000000"/>
              </w:rPr>
              <w:t>0.058***</w:t>
            </w:r>
          </w:p>
        </w:tc>
      </w:tr>
      <w:tr w:rsidR="005D7F00" w:rsidRPr="0037775C" w14:paraId="29728424" w14:textId="77777777" w:rsidTr="005D7F00">
        <w:trPr>
          <w:trHeight w:val="300"/>
          <w:jc w:val="center"/>
        </w:trPr>
        <w:tc>
          <w:tcPr>
            <w:tcW w:w="4206" w:type="pct"/>
            <w:vMerge/>
            <w:tcBorders>
              <w:top w:val="nil"/>
            </w:tcBorders>
            <w:vAlign w:val="center"/>
            <w:hideMark/>
          </w:tcPr>
          <w:p w14:paraId="32041ACE"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62852893" w14:textId="77777777" w:rsidR="005D7F00" w:rsidRPr="00C563D6" w:rsidRDefault="005D7F00" w:rsidP="000412E0">
            <w:pPr>
              <w:rPr>
                <w:rFonts w:eastAsia="Times New Roman"/>
                <w:color w:val="000000"/>
              </w:rPr>
            </w:pPr>
            <w:r w:rsidRPr="00C563D6">
              <w:rPr>
                <w:rFonts w:eastAsia="Times New Roman"/>
                <w:color w:val="000000"/>
              </w:rPr>
              <w:t>(0.012)</w:t>
            </w:r>
          </w:p>
        </w:tc>
      </w:tr>
      <w:tr w:rsidR="005D7F00" w:rsidRPr="0037775C" w14:paraId="4DC0329B" w14:textId="77777777" w:rsidTr="005D7F00">
        <w:trPr>
          <w:trHeight w:val="300"/>
          <w:jc w:val="center"/>
        </w:trPr>
        <w:tc>
          <w:tcPr>
            <w:tcW w:w="4206" w:type="pct"/>
            <w:vMerge w:val="restart"/>
            <w:tcBorders>
              <w:top w:val="nil"/>
            </w:tcBorders>
            <w:shd w:val="clear" w:color="auto" w:fill="auto"/>
            <w:vAlign w:val="center"/>
            <w:hideMark/>
          </w:tcPr>
          <w:p w14:paraId="294432C5" w14:textId="77777777" w:rsidR="005D7F00" w:rsidRPr="00C563D6" w:rsidRDefault="005D7F00" w:rsidP="000412E0">
            <w:pPr>
              <w:rPr>
                <w:rFonts w:eastAsia="Times New Roman"/>
                <w:color w:val="000000"/>
              </w:rPr>
            </w:pPr>
            <w:r w:rsidRPr="00C563D6">
              <w:rPr>
                <w:rFonts w:eastAsia="Times New Roman"/>
                <w:color w:val="000000"/>
              </w:rPr>
              <w:t>Constant</w:t>
            </w:r>
          </w:p>
        </w:tc>
        <w:tc>
          <w:tcPr>
            <w:tcW w:w="794" w:type="pct"/>
            <w:tcBorders>
              <w:top w:val="nil"/>
            </w:tcBorders>
            <w:shd w:val="clear" w:color="auto" w:fill="auto"/>
            <w:noWrap/>
            <w:vAlign w:val="bottom"/>
            <w:hideMark/>
          </w:tcPr>
          <w:p w14:paraId="385C734D" w14:textId="77777777" w:rsidR="005D7F00" w:rsidRPr="00C563D6" w:rsidRDefault="005D7F00" w:rsidP="000412E0">
            <w:pPr>
              <w:rPr>
                <w:rFonts w:eastAsia="Times New Roman"/>
                <w:color w:val="000000"/>
              </w:rPr>
            </w:pPr>
            <w:r w:rsidRPr="00C563D6">
              <w:rPr>
                <w:rFonts w:eastAsia="Times New Roman"/>
                <w:color w:val="000000"/>
              </w:rPr>
              <w:t>13.611***</w:t>
            </w:r>
          </w:p>
        </w:tc>
      </w:tr>
      <w:tr w:rsidR="005D7F00" w:rsidRPr="0037775C" w14:paraId="5CD126C0" w14:textId="77777777" w:rsidTr="005D7F00">
        <w:trPr>
          <w:trHeight w:val="300"/>
          <w:jc w:val="center"/>
        </w:trPr>
        <w:tc>
          <w:tcPr>
            <w:tcW w:w="4206" w:type="pct"/>
            <w:vMerge/>
            <w:tcBorders>
              <w:top w:val="nil"/>
            </w:tcBorders>
            <w:vAlign w:val="center"/>
            <w:hideMark/>
          </w:tcPr>
          <w:p w14:paraId="616231C8" w14:textId="77777777" w:rsidR="005D7F00" w:rsidRPr="00C563D6" w:rsidRDefault="005D7F00" w:rsidP="000412E0">
            <w:pPr>
              <w:rPr>
                <w:rFonts w:eastAsia="Times New Roman"/>
                <w:color w:val="000000"/>
              </w:rPr>
            </w:pPr>
          </w:p>
        </w:tc>
        <w:tc>
          <w:tcPr>
            <w:tcW w:w="794" w:type="pct"/>
            <w:tcBorders>
              <w:top w:val="nil"/>
            </w:tcBorders>
            <w:shd w:val="clear" w:color="auto" w:fill="auto"/>
            <w:noWrap/>
            <w:vAlign w:val="bottom"/>
            <w:hideMark/>
          </w:tcPr>
          <w:p w14:paraId="0F1CBED2" w14:textId="77777777" w:rsidR="005D7F00" w:rsidRPr="00C563D6" w:rsidRDefault="005D7F00" w:rsidP="000412E0">
            <w:pPr>
              <w:rPr>
                <w:rFonts w:eastAsia="Times New Roman"/>
                <w:color w:val="000000"/>
              </w:rPr>
            </w:pPr>
            <w:r w:rsidRPr="00C563D6">
              <w:rPr>
                <w:rFonts w:eastAsia="Times New Roman"/>
                <w:color w:val="000000"/>
              </w:rPr>
              <w:t>(0.096)</w:t>
            </w:r>
          </w:p>
        </w:tc>
      </w:tr>
      <w:tr w:rsidR="005D7F00" w:rsidRPr="0037775C" w14:paraId="64DE469F" w14:textId="77777777" w:rsidTr="005D7F00">
        <w:trPr>
          <w:trHeight w:val="300"/>
          <w:jc w:val="center"/>
        </w:trPr>
        <w:tc>
          <w:tcPr>
            <w:tcW w:w="4206" w:type="pct"/>
            <w:tcBorders>
              <w:top w:val="nil"/>
            </w:tcBorders>
            <w:shd w:val="clear" w:color="auto" w:fill="auto"/>
            <w:noWrap/>
            <w:vAlign w:val="bottom"/>
            <w:hideMark/>
          </w:tcPr>
          <w:p w14:paraId="5EC870E2" w14:textId="77777777" w:rsidR="005D7F00" w:rsidRPr="00C563D6" w:rsidRDefault="005D7F00" w:rsidP="000412E0">
            <w:pPr>
              <w:rPr>
                <w:rFonts w:eastAsia="Times New Roman"/>
                <w:color w:val="000000"/>
              </w:rPr>
            </w:pPr>
            <w:r w:rsidRPr="00C563D6">
              <w:rPr>
                <w:rFonts w:eastAsia="Times New Roman"/>
                <w:color w:val="000000"/>
              </w:rPr>
              <w:t>N</w:t>
            </w:r>
          </w:p>
        </w:tc>
        <w:tc>
          <w:tcPr>
            <w:tcW w:w="794" w:type="pct"/>
            <w:tcBorders>
              <w:top w:val="nil"/>
            </w:tcBorders>
            <w:shd w:val="clear" w:color="auto" w:fill="auto"/>
            <w:noWrap/>
            <w:vAlign w:val="bottom"/>
            <w:hideMark/>
          </w:tcPr>
          <w:p w14:paraId="4A9F85D6" w14:textId="77777777" w:rsidR="005D7F00" w:rsidRPr="00C563D6" w:rsidRDefault="005D7F00" w:rsidP="000412E0">
            <w:pPr>
              <w:rPr>
                <w:rFonts w:eastAsia="Times New Roman"/>
                <w:color w:val="000000"/>
              </w:rPr>
            </w:pPr>
            <w:r w:rsidRPr="00C563D6">
              <w:rPr>
                <w:rFonts w:eastAsia="Times New Roman"/>
                <w:color w:val="000000"/>
              </w:rPr>
              <w:t>559</w:t>
            </w:r>
          </w:p>
        </w:tc>
      </w:tr>
      <w:tr w:rsidR="005D7F00" w:rsidRPr="0037775C" w14:paraId="1299CDAF" w14:textId="77777777" w:rsidTr="005D7F00">
        <w:trPr>
          <w:trHeight w:val="300"/>
          <w:jc w:val="center"/>
        </w:trPr>
        <w:tc>
          <w:tcPr>
            <w:tcW w:w="4206" w:type="pct"/>
            <w:shd w:val="clear" w:color="auto" w:fill="auto"/>
            <w:noWrap/>
            <w:vAlign w:val="bottom"/>
            <w:hideMark/>
          </w:tcPr>
          <w:p w14:paraId="3E482079" w14:textId="77777777" w:rsidR="005D7F00" w:rsidRPr="00C563D6" w:rsidRDefault="005D7F00" w:rsidP="000412E0">
            <w:pPr>
              <w:rPr>
                <w:rFonts w:eastAsia="Times New Roman"/>
                <w:color w:val="000000"/>
              </w:rPr>
            </w:pPr>
            <w:r w:rsidRPr="00C563D6">
              <w:rPr>
                <w:rFonts w:eastAsia="Times New Roman"/>
                <w:color w:val="000000"/>
              </w:rPr>
              <w:t>R</w:t>
            </w:r>
            <w:r w:rsidRPr="00C563D6">
              <w:rPr>
                <w:rFonts w:eastAsia="Times New Roman"/>
                <w:color w:val="000000"/>
                <w:vertAlign w:val="superscript"/>
              </w:rPr>
              <w:t>2</w:t>
            </w:r>
          </w:p>
        </w:tc>
        <w:tc>
          <w:tcPr>
            <w:tcW w:w="794" w:type="pct"/>
            <w:shd w:val="clear" w:color="auto" w:fill="auto"/>
            <w:noWrap/>
            <w:vAlign w:val="bottom"/>
            <w:hideMark/>
          </w:tcPr>
          <w:p w14:paraId="70128C35" w14:textId="77777777" w:rsidR="005D7F00" w:rsidRPr="00C563D6" w:rsidRDefault="005D7F00" w:rsidP="000412E0">
            <w:pPr>
              <w:rPr>
                <w:rFonts w:eastAsia="Times New Roman"/>
                <w:color w:val="000000"/>
              </w:rPr>
            </w:pPr>
            <w:r w:rsidRPr="00C563D6">
              <w:rPr>
                <w:rFonts w:eastAsia="Times New Roman"/>
                <w:color w:val="000000"/>
              </w:rPr>
              <w:t>0.469</w:t>
            </w:r>
          </w:p>
        </w:tc>
      </w:tr>
      <w:tr w:rsidR="005D7F00" w:rsidRPr="0037775C" w14:paraId="15926B47" w14:textId="77777777" w:rsidTr="005D7F00">
        <w:trPr>
          <w:trHeight w:val="300"/>
          <w:jc w:val="center"/>
        </w:trPr>
        <w:tc>
          <w:tcPr>
            <w:tcW w:w="4206" w:type="pct"/>
            <w:tcBorders>
              <w:bottom w:val="single" w:sz="4" w:space="0" w:color="auto"/>
            </w:tcBorders>
            <w:shd w:val="clear" w:color="auto" w:fill="auto"/>
            <w:noWrap/>
            <w:vAlign w:val="bottom"/>
          </w:tcPr>
          <w:p w14:paraId="317472F0" w14:textId="77777777" w:rsidR="005D7F00" w:rsidRPr="00C563D6" w:rsidRDefault="005D7F00" w:rsidP="000412E0">
            <w:pPr>
              <w:rPr>
                <w:rFonts w:eastAsia="Times New Roman"/>
                <w:color w:val="000000"/>
                <w:vertAlign w:val="superscript"/>
              </w:rPr>
            </w:pPr>
            <w:r w:rsidRPr="00C563D6">
              <w:rPr>
                <w:rFonts w:eastAsia="Times New Roman"/>
                <w:color w:val="000000"/>
              </w:rPr>
              <w:t>Adjusted R</w:t>
            </w:r>
            <w:r w:rsidRPr="00C563D6">
              <w:rPr>
                <w:rFonts w:eastAsia="Times New Roman"/>
                <w:color w:val="000000"/>
                <w:vertAlign w:val="superscript"/>
              </w:rPr>
              <w:t>2</w:t>
            </w:r>
          </w:p>
        </w:tc>
        <w:tc>
          <w:tcPr>
            <w:tcW w:w="794" w:type="pct"/>
            <w:tcBorders>
              <w:bottom w:val="single" w:sz="4" w:space="0" w:color="auto"/>
            </w:tcBorders>
            <w:shd w:val="clear" w:color="auto" w:fill="auto"/>
            <w:noWrap/>
            <w:vAlign w:val="bottom"/>
          </w:tcPr>
          <w:p w14:paraId="5B6A3C26" w14:textId="77777777" w:rsidR="005D7F00" w:rsidRPr="00C563D6" w:rsidRDefault="005D7F00" w:rsidP="000412E0">
            <w:pPr>
              <w:rPr>
                <w:rFonts w:eastAsia="Times New Roman"/>
                <w:color w:val="000000"/>
              </w:rPr>
            </w:pPr>
            <w:r w:rsidRPr="00C563D6">
              <w:rPr>
                <w:rFonts w:eastAsia="Times New Roman"/>
                <w:color w:val="000000"/>
              </w:rPr>
              <w:t>0.455</w:t>
            </w:r>
          </w:p>
        </w:tc>
      </w:tr>
      <w:tr w:rsidR="005D7F00" w:rsidRPr="0037775C" w14:paraId="499B8DC7" w14:textId="77777777" w:rsidTr="005D7F00">
        <w:trPr>
          <w:trHeight w:val="300"/>
          <w:jc w:val="center"/>
        </w:trPr>
        <w:tc>
          <w:tcPr>
            <w:tcW w:w="5000" w:type="pct"/>
            <w:gridSpan w:val="2"/>
            <w:tcBorders>
              <w:top w:val="single" w:sz="4" w:space="0" w:color="auto"/>
            </w:tcBorders>
            <w:shd w:val="clear" w:color="auto" w:fill="auto"/>
            <w:noWrap/>
            <w:vAlign w:val="bottom"/>
          </w:tcPr>
          <w:p w14:paraId="2D2A44BB" w14:textId="77777777" w:rsidR="005D7F00" w:rsidRPr="00314EBB" w:rsidRDefault="005D7F00" w:rsidP="000412E0">
            <w:pPr>
              <w:pStyle w:val="NoSpacing"/>
              <w:rPr>
                <w:color w:val="000000"/>
                <w:sz w:val="20"/>
                <w:szCs w:val="20"/>
              </w:rPr>
            </w:pPr>
            <w:r w:rsidRPr="00314EBB">
              <w:rPr>
                <w:sz w:val="20"/>
                <w:szCs w:val="20"/>
              </w:rPr>
              <w:t>Note: Coefficients were estimated by FGLS with individual sampling weights. Village-level cluster robust standard errors are in parentheses. Statistical significance at the 10%, 5%, and 1% levels is denoted by one, two, and three asterisks respectively.</w:t>
            </w:r>
          </w:p>
        </w:tc>
      </w:tr>
    </w:tbl>
    <w:p w14:paraId="257DD8C4" w14:textId="7D277376" w:rsidR="005D7F00" w:rsidRDefault="005D7F00">
      <w:pPr>
        <w:rPr>
          <w:rFonts w:eastAsia="Calibri"/>
          <w:color w:val="000000"/>
        </w:rPr>
      </w:pPr>
      <w:r>
        <w:rPr>
          <w:rFonts w:eastAsia="Calibri"/>
          <w:color w:val="000000"/>
        </w:rPr>
        <w:br w:type="page"/>
      </w:r>
    </w:p>
    <w:p w14:paraId="11261605" w14:textId="77777777" w:rsidR="000F15CD" w:rsidRDefault="000F15CD">
      <w:pPr>
        <w:rPr>
          <w:rFonts w:eastAsia="Calibri"/>
          <w:color w:val="000000"/>
        </w:rPr>
      </w:pPr>
    </w:p>
    <w:tbl>
      <w:tblPr>
        <w:tblW w:w="5000" w:type="pct"/>
        <w:tblLook w:val="04A0" w:firstRow="1" w:lastRow="0" w:firstColumn="1" w:lastColumn="0" w:noHBand="0" w:noVBand="1"/>
      </w:tblPr>
      <w:tblGrid>
        <w:gridCol w:w="2157"/>
        <w:gridCol w:w="1160"/>
        <w:gridCol w:w="1283"/>
        <w:gridCol w:w="1166"/>
        <w:gridCol w:w="1159"/>
        <w:gridCol w:w="1282"/>
        <w:gridCol w:w="1153"/>
      </w:tblGrid>
      <w:tr w:rsidR="007A20D1" w:rsidRPr="007A20D1" w14:paraId="7EC78FB6" w14:textId="77777777" w:rsidTr="007A20D1">
        <w:trPr>
          <w:trHeight w:val="320"/>
        </w:trPr>
        <w:tc>
          <w:tcPr>
            <w:tcW w:w="5000" w:type="pct"/>
            <w:gridSpan w:val="7"/>
            <w:tcBorders>
              <w:top w:val="nil"/>
              <w:left w:val="nil"/>
              <w:bottom w:val="single" w:sz="4" w:space="0" w:color="auto"/>
              <w:right w:val="nil"/>
            </w:tcBorders>
            <w:shd w:val="clear" w:color="auto" w:fill="auto"/>
            <w:noWrap/>
            <w:vAlign w:val="bottom"/>
            <w:hideMark/>
          </w:tcPr>
          <w:p w14:paraId="73577F9D" w14:textId="77777777" w:rsidR="007A20D1" w:rsidRPr="007A20D1" w:rsidRDefault="007A20D1">
            <w:pPr>
              <w:rPr>
                <w:rFonts w:eastAsia="Times New Roman"/>
                <w:b/>
                <w:bCs/>
                <w:color w:val="000000"/>
                <w:lang w:eastAsia="zh-CN"/>
              </w:rPr>
            </w:pPr>
            <w:r w:rsidRPr="007A20D1">
              <w:rPr>
                <w:rFonts w:eastAsia="Times New Roman"/>
                <w:b/>
                <w:bCs/>
                <w:color w:val="000000"/>
              </w:rPr>
              <w:t xml:space="preserve">Table 3. Estimated Reductions in the Poverty Indices for Different Levels of Per-Acre Profit Changes and Land Cultivated by Poor Households </w:t>
            </w:r>
          </w:p>
        </w:tc>
      </w:tr>
      <w:tr w:rsidR="007A20D1" w:rsidRPr="007A20D1" w14:paraId="4D559D03" w14:textId="77777777" w:rsidTr="007A20D1">
        <w:trPr>
          <w:trHeight w:val="300"/>
        </w:trPr>
        <w:tc>
          <w:tcPr>
            <w:tcW w:w="1184" w:type="pct"/>
            <w:tcBorders>
              <w:top w:val="nil"/>
              <w:left w:val="nil"/>
              <w:bottom w:val="single" w:sz="4" w:space="0" w:color="auto"/>
              <w:right w:val="nil"/>
            </w:tcBorders>
            <w:shd w:val="clear" w:color="auto" w:fill="auto"/>
            <w:noWrap/>
            <w:vAlign w:val="center"/>
            <w:hideMark/>
          </w:tcPr>
          <w:p w14:paraId="48E13C9E" w14:textId="77777777" w:rsidR="007A20D1" w:rsidRPr="007A20D1" w:rsidRDefault="007A20D1">
            <w:pPr>
              <w:rPr>
                <w:rFonts w:eastAsia="Times New Roman"/>
                <w:color w:val="000000"/>
              </w:rPr>
            </w:pPr>
            <w:r w:rsidRPr="007A20D1">
              <w:rPr>
                <w:rFonts w:eastAsia="Times New Roman"/>
                <w:color w:val="000000"/>
              </w:rPr>
              <w:t>Per-Acre Profit Change (UGX)</w:t>
            </w:r>
          </w:p>
        </w:tc>
        <w:tc>
          <w:tcPr>
            <w:tcW w:w="1912" w:type="pct"/>
            <w:gridSpan w:val="3"/>
            <w:tcBorders>
              <w:top w:val="single" w:sz="4" w:space="0" w:color="auto"/>
              <w:left w:val="nil"/>
              <w:bottom w:val="single" w:sz="4" w:space="0" w:color="auto"/>
              <w:right w:val="nil"/>
            </w:tcBorders>
            <w:shd w:val="clear" w:color="auto" w:fill="auto"/>
            <w:noWrap/>
            <w:vAlign w:val="center"/>
            <w:hideMark/>
          </w:tcPr>
          <w:p w14:paraId="03DF4AD9" w14:textId="77777777" w:rsidR="007A20D1" w:rsidRPr="007A20D1" w:rsidRDefault="007A20D1">
            <w:pPr>
              <w:jc w:val="center"/>
              <w:rPr>
                <w:rFonts w:eastAsia="Times New Roman"/>
                <w:color w:val="000000"/>
              </w:rPr>
            </w:pPr>
            <w:r w:rsidRPr="007A20D1">
              <w:rPr>
                <w:rFonts w:eastAsia="Times New Roman"/>
                <w:color w:val="000000"/>
              </w:rPr>
              <w:t>1,500</w:t>
            </w:r>
          </w:p>
        </w:tc>
        <w:tc>
          <w:tcPr>
            <w:tcW w:w="1904" w:type="pct"/>
            <w:gridSpan w:val="3"/>
            <w:tcBorders>
              <w:top w:val="single" w:sz="4" w:space="0" w:color="auto"/>
              <w:left w:val="nil"/>
              <w:bottom w:val="single" w:sz="4" w:space="0" w:color="auto"/>
              <w:right w:val="nil"/>
            </w:tcBorders>
            <w:shd w:val="clear" w:color="auto" w:fill="auto"/>
            <w:noWrap/>
            <w:vAlign w:val="center"/>
            <w:hideMark/>
          </w:tcPr>
          <w:p w14:paraId="28472B51" w14:textId="77777777" w:rsidR="007A20D1" w:rsidRPr="007A20D1" w:rsidRDefault="007A20D1">
            <w:pPr>
              <w:jc w:val="center"/>
              <w:rPr>
                <w:rFonts w:eastAsia="Times New Roman"/>
                <w:color w:val="000000"/>
              </w:rPr>
            </w:pPr>
            <w:r w:rsidRPr="007A20D1">
              <w:rPr>
                <w:rFonts w:eastAsia="Times New Roman"/>
                <w:color w:val="000000"/>
              </w:rPr>
              <w:t>9,000</w:t>
            </w:r>
          </w:p>
        </w:tc>
      </w:tr>
      <w:tr w:rsidR="007A20D1" w:rsidRPr="007A20D1" w14:paraId="60B48C34" w14:textId="77777777" w:rsidTr="007A20D1">
        <w:trPr>
          <w:trHeight w:val="600"/>
        </w:trPr>
        <w:tc>
          <w:tcPr>
            <w:tcW w:w="1184" w:type="pct"/>
            <w:tcBorders>
              <w:top w:val="nil"/>
              <w:left w:val="nil"/>
              <w:bottom w:val="single" w:sz="4" w:space="0" w:color="auto"/>
              <w:right w:val="nil"/>
            </w:tcBorders>
            <w:shd w:val="clear" w:color="auto" w:fill="auto"/>
            <w:noWrap/>
            <w:vAlign w:val="center"/>
            <w:hideMark/>
          </w:tcPr>
          <w:p w14:paraId="68756D14" w14:textId="77777777" w:rsidR="007A20D1" w:rsidRPr="007A20D1" w:rsidRDefault="007A20D1">
            <w:pPr>
              <w:rPr>
                <w:rFonts w:eastAsia="Times New Roman"/>
                <w:color w:val="000000"/>
              </w:rPr>
            </w:pPr>
            <w:r w:rsidRPr="007A20D1">
              <w:rPr>
                <w:rFonts w:eastAsia="Times New Roman"/>
                <w:color w:val="000000"/>
              </w:rPr>
              <w:t>Land under CA</w:t>
            </w:r>
          </w:p>
        </w:tc>
        <w:tc>
          <w:tcPr>
            <w:tcW w:w="613" w:type="pct"/>
            <w:tcBorders>
              <w:top w:val="nil"/>
              <w:left w:val="nil"/>
              <w:bottom w:val="single" w:sz="4" w:space="0" w:color="auto"/>
              <w:right w:val="nil"/>
            </w:tcBorders>
            <w:shd w:val="clear" w:color="auto" w:fill="auto"/>
            <w:noWrap/>
            <w:vAlign w:val="center"/>
            <w:hideMark/>
          </w:tcPr>
          <w:p w14:paraId="7BE6952B" w14:textId="77777777" w:rsidR="007A20D1" w:rsidRPr="007A20D1" w:rsidRDefault="007A20D1">
            <w:pPr>
              <w:jc w:val="center"/>
              <w:rPr>
                <w:rFonts w:eastAsia="Times New Roman"/>
                <w:color w:val="000000"/>
              </w:rPr>
            </w:pPr>
            <w:r w:rsidRPr="007A20D1">
              <w:rPr>
                <w:rFonts w:eastAsia="Times New Roman"/>
                <w:color w:val="000000"/>
              </w:rPr>
              <w:t>1 acre</w:t>
            </w:r>
          </w:p>
        </w:tc>
        <w:tc>
          <w:tcPr>
            <w:tcW w:w="683" w:type="pct"/>
            <w:tcBorders>
              <w:top w:val="nil"/>
              <w:left w:val="nil"/>
              <w:bottom w:val="single" w:sz="4" w:space="0" w:color="auto"/>
              <w:right w:val="nil"/>
            </w:tcBorders>
            <w:shd w:val="clear" w:color="auto" w:fill="auto"/>
            <w:vAlign w:val="center"/>
            <w:hideMark/>
          </w:tcPr>
          <w:p w14:paraId="57F58AF4" w14:textId="77777777" w:rsidR="007A20D1" w:rsidRPr="007A20D1" w:rsidRDefault="007A20D1">
            <w:pPr>
              <w:jc w:val="center"/>
              <w:rPr>
                <w:rFonts w:eastAsia="Times New Roman"/>
                <w:color w:val="000000"/>
              </w:rPr>
            </w:pPr>
            <w:r w:rsidRPr="007A20D1">
              <w:rPr>
                <w:rFonts w:eastAsia="Times New Roman"/>
                <w:color w:val="000000"/>
              </w:rPr>
              <w:t>50%</w:t>
            </w:r>
          </w:p>
        </w:tc>
        <w:tc>
          <w:tcPr>
            <w:tcW w:w="615" w:type="pct"/>
            <w:tcBorders>
              <w:top w:val="nil"/>
              <w:left w:val="nil"/>
              <w:bottom w:val="single" w:sz="4" w:space="0" w:color="auto"/>
              <w:right w:val="nil"/>
            </w:tcBorders>
            <w:shd w:val="clear" w:color="auto" w:fill="auto"/>
            <w:noWrap/>
            <w:vAlign w:val="center"/>
            <w:hideMark/>
          </w:tcPr>
          <w:p w14:paraId="01E0A80F" w14:textId="77777777" w:rsidR="007A20D1" w:rsidRPr="007A20D1" w:rsidRDefault="007A20D1">
            <w:pPr>
              <w:jc w:val="center"/>
              <w:rPr>
                <w:rFonts w:eastAsia="Times New Roman"/>
                <w:color w:val="000000"/>
              </w:rPr>
            </w:pPr>
            <w:r w:rsidRPr="007A20D1">
              <w:rPr>
                <w:rFonts w:eastAsia="Times New Roman"/>
                <w:color w:val="000000"/>
              </w:rPr>
              <w:t>75%</w:t>
            </w:r>
          </w:p>
        </w:tc>
        <w:tc>
          <w:tcPr>
            <w:tcW w:w="612" w:type="pct"/>
            <w:tcBorders>
              <w:top w:val="nil"/>
              <w:left w:val="nil"/>
              <w:bottom w:val="single" w:sz="4" w:space="0" w:color="auto"/>
              <w:right w:val="nil"/>
            </w:tcBorders>
            <w:shd w:val="clear" w:color="auto" w:fill="auto"/>
            <w:noWrap/>
            <w:vAlign w:val="center"/>
            <w:hideMark/>
          </w:tcPr>
          <w:p w14:paraId="229BECC4" w14:textId="77777777" w:rsidR="007A20D1" w:rsidRPr="007A20D1" w:rsidRDefault="007A20D1">
            <w:pPr>
              <w:jc w:val="center"/>
              <w:rPr>
                <w:rFonts w:eastAsia="Times New Roman"/>
                <w:color w:val="000000"/>
              </w:rPr>
            </w:pPr>
            <w:r w:rsidRPr="007A20D1">
              <w:rPr>
                <w:rFonts w:eastAsia="Times New Roman"/>
                <w:color w:val="000000"/>
              </w:rPr>
              <w:t>1 acre</w:t>
            </w:r>
          </w:p>
        </w:tc>
        <w:tc>
          <w:tcPr>
            <w:tcW w:w="683" w:type="pct"/>
            <w:tcBorders>
              <w:top w:val="nil"/>
              <w:left w:val="nil"/>
              <w:bottom w:val="single" w:sz="4" w:space="0" w:color="auto"/>
              <w:right w:val="nil"/>
            </w:tcBorders>
            <w:shd w:val="clear" w:color="auto" w:fill="auto"/>
            <w:vAlign w:val="center"/>
            <w:hideMark/>
          </w:tcPr>
          <w:p w14:paraId="52D6E037" w14:textId="77777777" w:rsidR="007A20D1" w:rsidRPr="007A20D1" w:rsidRDefault="007A20D1">
            <w:pPr>
              <w:jc w:val="center"/>
              <w:rPr>
                <w:rFonts w:eastAsia="Times New Roman"/>
                <w:color w:val="000000"/>
              </w:rPr>
            </w:pPr>
            <w:r w:rsidRPr="007A20D1">
              <w:rPr>
                <w:rFonts w:eastAsia="Times New Roman"/>
                <w:color w:val="000000"/>
              </w:rPr>
              <w:t>50%</w:t>
            </w:r>
          </w:p>
        </w:tc>
        <w:tc>
          <w:tcPr>
            <w:tcW w:w="608" w:type="pct"/>
            <w:tcBorders>
              <w:top w:val="nil"/>
              <w:left w:val="nil"/>
              <w:bottom w:val="single" w:sz="4" w:space="0" w:color="auto"/>
              <w:right w:val="nil"/>
            </w:tcBorders>
            <w:shd w:val="clear" w:color="auto" w:fill="auto"/>
            <w:noWrap/>
            <w:vAlign w:val="center"/>
            <w:hideMark/>
          </w:tcPr>
          <w:p w14:paraId="186473A0" w14:textId="77777777" w:rsidR="007A20D1" w:rsidRPr="007A20D1" w:rsidRDefault="007A20D1">
            <w:pPr>
              <w:jc w:val="center"/>
              <w:rPr>
                <w:rFonts w:eastAsia="Times New Roman"/>
                <w:color w:val="000000"/>
              </w:rPr>
            </w:pPr>
            <w:r w:rsidRPr="007A20D1">
              <w:rPr>
                <w:rFonts w:eastAsia="Times New Roman"/>
                <w:color w:val="000000"/>
              </w:rPr>
              <w:t>75%</w:t>
            </w:r>
          </w:p>
        </w:tc>
      </w:tr>
      <w:tr w:rsidR="007A20D1" w:rsidRPr="007A20D1" w14:paraId="2BC2CBAB" w14:textId="77777777" w:rsidTr="007A20D1">
        <w:trPr>
          <w:trHeight w:val="320"/>
        </w:trPr>
        <w:tc>
          <w:tcPr>
            <w:tcW w:w="1184" w:type="pct"/>
            <w:tcBorders>
              <w:top w:val="nil"/>
              <w:left w:val="nil"/>
              <w:bottom w:val="nil"/>
              <w:right w:val="nil"/>
            </w:tcBorders>
            <w:shd w:val="clear" w:color="000000" w:fill="D9D9D9"/>
            <w:noWrap/>
            <w:vAlign w:val="center"/>
            <w:hideMark/>
          </w:tcPr>
          <w:p w14:paraId="097380E2" w14:textId="77777777" w:rsidR="007A20D1" w:rsidRPr="007A20D1" w:rsidRDefault="007A20D1">
            <w:pPr>
              <w:rPr>
                <w:rFonts w:eastAsia="Times New Roman"/>
                <w:color w:val="000000"/>
              </w:rPr>
            </w:pPr>
            <w:r w:rsidRPr="007A20D1">
              <w:rPr>
                <w:rFonts w:eastAsia="Times New Roman"/>
                <w:color w:val="000000"/>
              </w:rPr>
              <w:t>Poverty impacts</w:t>
            </w:r>
          </w:p>
        </w:tc>
        <w:tc>
          <w:tcPr>
            <w:tcW w:w="613" w:type="pct"/>
            <w:tcBorders>
              <w:top w:val="nil"/>
              <w:left w:val="nil"/>
              <w:bottom w:val="nil"/>
              <w:right w:val="nil"/>
            </w:tcBorders>
            <w:shd w:val="clear" w:color="000000" w:fill="D9D9D9"/>
            <w:noWrap/>
            <w:vAlign w:val="center"/>
            <w:hideMark/>
          </w:tcPr>
          <w:p w14:paraId="2F241759" w14:textId="77777777" w:rsidR="007A20D1" w:rsidRPr="007A20D1" w:rsidRDefault="007A20D1">
            <w:pPr>
              <w:jc w:val="center"/>
              <w:rPr>
                <w:rFonts w:eastAsia="Times New Roman"/>
                <w:color w:val="000000"/>
              </w:rPr>
            </w:pPr>
            <w:r w:rsidRPr="007A20D1">
              <w:rPr>
                <w:rFonts w:eastAsia="Times New Roman"/>
                <w:color w:val="000000"/>
              </w:rPr>
              <w:t> </w:t>
            </w:r>
          </w:p>
        </w:tc>
        <w:tc>
          <w:tcPr>
            <w:tcW w:w="683" w:type="pct"/>
            <w:tcBorders>
              <w:top w:val="nil"/>
              <w:left w:val="nil"/>
              <w:bottom w:val="nil"/>
              <w:right w:val="nil"/>
            </w:tcBorders>
            <w:shd w:val="clear" w:color="000000" w:fill="D9D9D9"/>
            <w:noWrap/>
            <w:vAlign w:val="center"/>
            <w:hideMark/>
          </w:tcPr>
          <w:p w14:paraId="16A0827B" w14:textId="77777777" w:rsidR="007A20D1" w:rsidRPr="007A20D1" w:rsidRDefault="007A20D1">
            <w:pPr>
              <w:jc w:val="center"/>
              <w:rPr>
                <w:rFonts w:eastAsia="Times New Roman"/>
                <w:color w:val="000000"/>
              </w:rPr>
            </w:pPr>
            <w:r w:rsidRPr="007A20D1">
              <w:rPr>
                <w:rFonts w:eastAsia="Times New Roman"/>
                <w:color w:val="000000"/>
              </w:rPr>
              <w:t> </w:t>
            </w:r>
          </w:p>
        </w:tc>
        <w:tc>
          <w:tcPr>
            <w:tcW w:w="615" w:type="pct"/>
            <w:tcBorders>
              <w:top w:val="nil"/>
              <w:left w:val="nil"/>
              <w:bottom w:val="nil"/>
              <w:right w:val="nil"/>
            </w:tcBorders>
            <w:shd w:val="clear" w:color="000000" w:fill="D9D9D9"/>
            <w:noWrap/>
            <w:vAlign w:val="center"/>
            <w:hideMark/>
          </w:tcPr>
          <w:p w14:paraId="26BA77A9" w14:textId="77777777" w:rsidR="007A20D1" w:rsidRPr="007A20D1" w:rsidRDefault="007A20D1">
            <w:pPr>
              <w:jc w:val="center"/>
              <w:rPr>
                <w:rFonts w:eastAsia="Times New Roman"/>
                <w:color w:val="000000"/>
              </w:rPr>
            </w:pPr>
            <w:r w:rsidRPr="007A20D1">
              <w:rPr>
                <w:rFonts w:eastAsia="Times New Roman"/>
                <w:color w:val="000000"/>
              </w:rPr>
              <w:t> </w:t>
            </w:r>
          </w:p>
        </w:tc>
        <w:tc>
          <w:tcPr>
            <w:tcW w:w="612" w:type="pct"/>
            <w:tcBorders>
              <w:top w:val="nil"/>
              <w:left w:val="nil"/>
              <w:bottom w:val="nil"/>
              <w:right w:val="nil"/>
            </w:tcBorders>
            <w:shd w:val="clear" w:color="000000" w:fill="D9D9D9"/>
            <w:noWrap/>
            <w:vAlign w:val="center"/>
            <w:hideMark/>
          </w:tcPr>
          <w:p w14:paraId="5A8D531A" w14:textId="77777777" w:rsidR="007A20D1" w:rsidRPr="007A20D1" w:rsidRDefault="007A20D1">
            <w:pPr>
              <w:jc w:val="center"/>
              <w:rPr>
                <w:rFonts w:eastAsia="Times New Roman"/>
                <w:color w:val="000000"/>
              </w:rPr>
            </w:pPr>
            <w:r w:rsidRPr="007A20D1">
              <w:rPr>
                <w:rFonts w:eastAsia="Times New Roman"/>
                <w:color w:val="000000"/>
              </w:rPr>
              <w:t> </w:t>
            </w:r>
          </w:p>
        </w:tc>
        <w:tc>
          <w:tcPr>
            <w:tcW w:w="683" w:type="pct"/>
            <w:tcBorders>
              <w:top w:val="nil"/>
              <w:left w:val="nil"/>
              <w:bottom w:val="nil"/>
              <w:right w:val="nil"/>
            </w:tcBorders>
            <w:shd w:val="clear" w:color="000000" w:fill="D9D9D9"/>
            <w:noWrap/>
            <w:vAlign w:val="center"/>
            <w:hideMark/>
          </w:tcPr>
          <w:p w14:paraId="7AB9FBEF" w14:textId="77777777" w:rsidR="007A20D1" w:rsidRPr="007A20D1" w:rsidRDefault="007A20D1">
            <w:pPr>
              <w:jc w:val="center"/>
              <w:rPr>
                <w:rFonts w:eastAsia="Times New Roman"/>
                <w:color w:val="000000"/>
              </w:rPr>
            </w:pPr>
            <w:r w:rsidRPr="007A20D1">
              <w:rPr>
                <w:rFonts w:eastAsia="Times New Roman"/>
                <w:color w:val="000000"/>
              </w:rPr>
              <w:t> </w:t>
            </w:r>
          </w:p>
        </w:tc>
        <w:tc>
          <w:tcPr>
            <w:tcW w:w="608" w:type="pct"/>
            <w:tcBorders>
              <w:top w:val="nil"/>
              <w:left w:val="nil"/>
              <w:bottom w:val="nil"/>
              <w:right w:val="nil"/>
            </w:tcBorders>
            <w:shd w:val="clear" w:color="000000" w:fill="D9D9D9"/>
            <w:noWrap/>
            <w:vAlign w:val="center"/>
            <w:hideMark/>
          </w:tcPr>
          <w:p w14:paraId="4C030AD1" w14:textId="77777777" w:rsidR="007A20D1" w:rsidRPr="007A20D1" w:rsidRDefault="007A20D1">
            <w:pPr>
              <w:jc w:val="center"/>
              <w:rPr>
                <w:rFonts w:eastAsia="Times New Roman"/>
                <w:color w:val="000000"/>
              </w:rPr>
            </w:pPr>
            <w:r w:rsidRPr="007A20D1">
              <w:rPr>
                <w:rFonts w:eastAsia="Times New Roman"/>
                <w:color w:val="000000"/>
              </w:rPr>
              <w:t> </w:t>
            </w:r>
          </w:p>
        </w:tc>
      </w:tr>
      <w:tr w:rsidR="007A20D1" w:rsidRPr="007A20D1" w14:paraId="22D31726" w14:textId="77777777" w:rsidTr="007A20D1">
        <w:trPr>
          <w:trHeight w:val="320"/>
        </w:trPr>
        <w:tc>
          <w:tcPr>
            <w:tcW w:w="1184" w:type="pct"/>
            <w:tcBorders>
              <w:top w:val="nil"/>
              <w:left w:val="nil"/>
              <w:bottom w:val="nil"/>
              <w:right w:val="nil"/>
            </w:tcBorders>
            <w:shd w:val="clear" w:color="auto" w:fill="auto"/>
            <w:noWrap/>
            <w:vAlign w:val="center"/>
            <w:hideMark/>
          </w:tcPr>
          <w:p w14:paraId="6B0C2D7E" w14:textId="77777777" w:rsidR="007A20D1" w:rsidRPr="007A20D1" w:rsidRDefault="007A20D1">
            <w:pPr>
              <w:rPr>
                <w:rFonts w:eastAsia="Times New Roman"/>
                <w:color w:val="000000"/>
              </w:rPr>
            </w:pPr>
            <w:r w:rsidRPr="007A20D1">
              <w:rPr>
                <w:rFonts w:eastAsia="Times New Roman"/>
                <w:color w:val="000000"/>
              </w:rPr>
              <w:t>∆ Headcount</w:t>
            </w:r>
          </w:p>
        </w:tc>
        <w:tc>
          <w:tcPr>
            <w:tcW w:w="613" w:type="pct"/>
            <w:tcBorders>
              <w:top w:val="nil"/>
              <w:left w:val="nil"/>
              <w:bottom w:val="nil"/>
              <w:right w:val="nil"/>
            </w:tcBorders>
            <w:shd w:val="clear" w:color="auto" w:fill="auto"/>
            <w:noWrap/>
            <w:vAlign w:val="center"/>
            <w:hideMark/>
          </w:tcPr>
          <w:p w14:paraId="4D3A3AD3" w14:textId="77777777" w:rsidR="007A20D1" w:rsidRPr="007A20D1" w:rsidRDefault="007A20D1">
            <w:pPr>
              <w:jc w:val="center"/>
              <w:rPr>
                <w:rFonts w:eastAsia="Times New Roman"/>
                <w:color w:val="000000"/>
              </w:rPr>
            </w:pPr>
            <w:r w:rsidRPr="007A20D1">
              <w:rPr>
                <w:rFonts w:eastAsia="Times New Roman"/>
                <w:color w:val="000000"/>
              </w:rPr>
              <w:t>-0.0010</w:t>
            </w:r>
          </w:p>
        </w:tc>
        <w:tc>
          <w:tcPr>
            <w:tcW w:w="683" w:type="pct"/>
            <w:tcBorders>
              <w:top w:val="nil"/>
              <w:left w:val="nil"/>
              <w:bottom w:val="nil"/>
              <w:right w:val="nil"/>
            </w:tcBorders>
            <w:shd w:val="clear" w:color="auto" w:fill="auto"/>
            <w:noWrap/>
            <w:vAlign w:val="center"/>
            <w:hideMark/>
          </w:tcPr>
          <w:p w14:paraId="4DEF9AD3" w14:textId="77777777" w:rsidR="007A20D1" w:rsidRPr="007A20D1" w:rsidRDefault="007A20D1">
            <w:pPr>
              <w:jc w:val="center"/>
              <w:rPr>
                <w:rFonts w:eastAsia="Times New Roman"/>
                <w:color w:val="000000"/>
              </w:rPr>
            </w:pPr>
            <w:r w:rsidRPr="007A20D1">
              <w:rPr>
                <w:rFonts w:eastAsia="Times New Roman"/>
                <w:color w:val="000000"/>
              </w:rPr>
              <w:t>-0.0017</w:t>
            </w:r>
          </w:p>
        </w:tc>
        <w:tc>
          <w:tcPr>
            <w:tcW w:w="615" w:type="pct"/>
            <w:tcBorders>
              <w:top w:val="nil"/>
              <w:left w:val="nil"/>
              <w:bottom w:val="nil"/>
              <w:right w:val="nil"/>
            </w:tcBorders>
            <w:shd w:val="clear" w:color="auto" w:fill="auto"/>
            <w:noWrap/>
            <w:vAlign w:val="center"/>
            <w:hideMark/>
          </w:tcPr>
          <w:p w14:paraId="7C137940" w14:textId="77777777" w:rsidR="007A20D1" w:rsidRPr="007A20D1" w:rsidRDefault="007A20D1">
            <w:pPr>
              <w:jc w:val="center"/>
              <w:rPr>
                <w:rFonts w:eastAsia="Times New Roman"/>
                <w:color w:val="000000"/>
              </w:rPr>
            </w:pPr>
            <w:r w:rsidRPr="007A20D1">
              <w:rPr>
                <w:rFonts w:eastAsia="Times New Roman"/>
                <w:color w:val="000000"/>
              </w:rPr>
              <w:t>-0.0026</w:t>
            </w:r>
          </w:p>
        </w:tc>
        <w:tc>
          <w:tcPr>
            <w:tcW w:w="612" w:type="pct"/>
            <w:tcBorders>
              <w:top w:val="nil"/>
              <w:left w:val="nil"/>
              <w:bottom w:val="nil"/>
              <w:right w:val="nil"/>
            </w:tcBorders>
            <w:shd w:val="clear" w:color="auto" w:fill="auto"/>
            <w:noWrap/>
            <w:vAlign w:val="center"/>
            <w:hideMark/>
          </w:tcPr>
          <w:p w14:paraId="121F7BF9" w14:textId="77777777" w:rsidR="007A20D1" w:rsidRPr="007A20D1" w:rsidRDefault="007A20D1">
            <w:pPr>
              <w:jc w:val="center"/>
              <w:rPr>
                <w:rFonts w:eastAsia="Times New Roman"/>
                <w:color w:val="000000"/>
              </w:rPr>
            </w:pPr>
            <w:r w:rsidRPr="007A20D1">
              <w:rPr>
                <w:rFonts w:eastAsia="Times New Roman"/>
                <w:color w:val="000000"/>
              </w:rPr>
              <w:t>-0.0064</w:t>
            </w:r>
          </w:p>
        </w:tc>
        <w:tc>
          <w:tcPr>
            <w:tcW w:w="683" w:type="pct"/>
            <w:tcBorders>
              <w:top w:val="nil"/>
              <w:left w:val="nil"/>
              <w:bottom w:val="nil"/>
              <w:right w:val="nil"/>
            </w:tcBorders>
            <w:shd w:val="clear" w:color="auto" w:fill="auto"/>
            <w:noWrap/>
            <w:vAlign w:val="center"/>
            <w:hideMark/>
          </w:tcPr>
          <w:p w14:paraId="5CE3AC56" w14:textId="77777777" w:rsidR="007A20D1" w:rsidRPr="007A20D1" w:rsidRDefault="007A20D1">
            <w:pPr>
              <w:jc w:val="center"/>
              <w:rPr>
                <w:rFonts w:eastAsia="Times New Roman"/>
                <w:color w:val="000000"/>
              </w:rPr>
            </w:pPr>
            <w:r w:rsidRPr="007A20D1">
              <w:rPr>
                <w:rFonts w:eastAsia="Times New Roman"/>
                <w:color w:val="000000"/>
              </w:rPr>
              <w:t>-0.0114</w:t>
            </w:r>
          </w:p>
        </w:tc>
        <w:tc>
          <w:tcPr>
            <w:tcW w:w="608" w:type="pct"/>
            <w:tcBorders>
              <w:top w:val="nil"/>
              <w:left w:val="nil"/>
              <w:bottom w:val="nil"/>
              <w:right w:val="nil"/>
            </w:tcBorders>
            <w:shd w:val="clear" w:color="auto" w:fill="auto"/>
            <w:noWrap/>
            <w:vAlign w:val="center"/>
            <w:hideMark/>
          </w:tcPr>
          <w:p w14:paraId="255757E1" w14:textId="77777777" w:rsidR="007A20D1" w:rsidRPr="007A20D1" w:rsidRDefault="007A20D1">
            <w:pPr>
              <w:jc w:val="center"/>
              <w:rPr>
                <w:rFonts w:eastAsia="Times New Roman"/>
                <w:color w:val="000000"/>
              </w:rPr>
            </w:pPr>
            <w:r w:rsidRPr="007A20D1">
              <w:rPr>
                <w:rFonts w:eastAsia="Times New Roman"/>
                <w:color w:val="000000"/>
              </w:rPr>
              <w:t>-0.0181</w:t>
            </w:r>
          </w:p>
        </w:tc>
      </w:tr>
      <w:tr w:rsidR="007A20D1" w:rsidRPr="007A20D1" w14:paraId="396E4387" w14:textId="77777777" w:rsidTr="007A20D1">
        <w:trPr>
          <w:trHeight w:val="320"/>
        </w:trPr>
        <w:tc>
          <w:tcPr>
            <w:tcW w:w="1184" w:type="pct"/>
            <w:tcBorders>
              <w:top w:val="nil"/>
              <w:left w:val="nil"/>
              <w:bottom w:val="nil"/>
              <w:right w:val="nil"/>
            </w:tcBorders>
            <w:shd w:val="clear" w:color="auto" w:fill="auto"/>
            <w:noWrap/>
            <w:vAlign w:val="center"/>
            <w:hideMark/>
          </w:tcPr>
          <w:p w14:paraId="172BE06D" w14:textId="77777777" w:rsidR="007A20D1" w:rsidRPr="007A20D1" w:rsidRDefault="007A20D1">
            <w:pPr>
              <w:rPr>
                <w:rFonts w:eastAsia="Times New Roman"/>
                <w:color w:val="000000"/>
              </w:rPr>
            </w:pPr>
            <w:r w:rsidRPr="007A20D1">
              <w:rPr>
                <w:rFonts w:eastAsia="Times New Roman"/>
                <w:color w:val="000000"/>
              </w:rPr>
              <w:t>∆ Depth</w:t>
            </w:r>
          </w:p>
        </w:tc>
        <w:tc>
          <w:tcPr>
            <w:tcW w:w="613" w:type="pct"/>
            <w:tcBorders>
              <w:top w:val="nil"/>
              <w:left w:val="nil"/>
              <w:bottom w:val="nil"/>
              <w:right w:val="nil"/>
            </w:tcBorders>
            <w:shd w:val="clear" w:color="auto" w:fill="auto"/>
            <w:noWrap/>
            <w:vAlign w:val="center"/>
            <w:hideMark/>
          </w:tcPr>
          <w:p w14:paraId="094D845A" w14:textId="77777777" w:rsidR="007A20D1" w:rsidRPr="007A20D1" w:rsidRDefault="007A20D1">
            <w:pPr>
              <w:jc w:val="center"/>
              <w:rPr>
                <w:rFonts w:eastAsia="Times New Roman"/>
                <w:color w:val="000000"/>
              </w:rPr>
            </w:pPr>
            <w:r w:rsidRPr="007A20D1">
              <w:rPr>
                <w:rFonts w:eastAsia="Times New Roman"/>
                <w:color w:val="000000"/>
              </w:rPr>
              <w:t>-0.0017</w:t>
            </w:r>
          </w:p>
        </w:tc>
        <w:tc>
          <w:tcPr>
            <w:tcW w:w="683" w:type="pct"/>
            <w:tcBorders>
              <w:top w:val="nil"/>
              <w:left w:val="nil"/>
              <w:bottom w:val="nil"/>
              <w:right w:val="nil"/>
            </w:tcBorders>
            <w:shd w:val="clear" w:color="auto" w:fill="auto"/>
            <w:noWrap/>
            <w:vAlign w:val="center"/>
            <w:hideMark/>
          </w:tcPr>
          <w:p w14:paraId="7DDB207F" w14:textId="77777777" w:rsidR="007A20D1" w:rsidRPr="007A20D1" w:rsidRDefault="007A20D1">
            <w:pPr>
              <w:jc w:val="center"/>
              <w:rPr>
                <w:rFonts w:eastAsia="Times New Roman"/>
                <w:color w:val="000000"/>
              </w:rPr>
            </w:pPr>
            <w:r w:rsidRPr="007A20D1">
              <w:rPr>
                <w:rFonts w:eastAsia="Times New Roman"/>
                <w:color w:val="000000"/>
              </w:rPr>
              <w:t>-0.0025</w:t>
            </w:r>
          </w:p>
        </w:tc>
        <w:tc>
          <w:tcPr>
            <w:tcW w:w="615" w:type="pct"/>
            <w:tcBorders>
              <w:top w:val="nil"/>
              <w:left w:val="nil"/>
              <w:bottom w:val="nil"/>
              <w:right w:val="nil"/>
            </w:tcBorders>
            <w:shd w:val="clear" w:color="auto" w:fill="auto"/>
            <w:noWrap/>
            <w:vAlign w:val="center"/>
            <w:hideMark/>
          </w:tcPr>
          <w:p w14:paraId="5A7AA3FE" w14:textId="77777777" w:rsidR="007A20D1" w:rsidRPr="007A20D1" w:rsidRDefault="007A20D1">
            <w:pPr>
              <w:jc w:val="center"/>
              <w:rPr>
                <w:rFonts w:eastAsia="Times New Roman"/>
                <w:color w:val="000000"/>
              </w:rPr>
            </w:pPr>
            <w:r w:rsidRPr="007A20D1">
              <w:rPr>
                <w:rFonts w:eastAsia="Times New Roman"/>
                <w:color w:val="000000"/>
              </w:rPr>
              <w:t>-0.0037</w:t>
            </w:r>
          </w:p>
        </w:tc>
        <w:tc>
          <w:tcPr>
            <w:tcW w:w="612" w:type="pct"/>
            <w:tcBorders>
              <w:top w:val="nil"/>
              <w:left w:val="nil"/>
              <w:bottom w:val="nil"/>
              <w:right w:val="nil"/>
            </w:tcBorders>
            <w:shd w:val="clear" w:color="auto" w:fill="auto"/>
            <w:noWrap/>
            <w:vAlign w:val="center"/>
            <w:hideMark/>
          </w:tcPr>
          <w:p w14:paraId="2DF22ADB" w14:textId="77777777" w:rsidR="007A20D1" w:rsidRPr="007A20D1" w:rsidRDefault="007A20D1">
            <w:pPr>
              <w:jc w:val="center"/>
              <w:rPr>
                <w:rFonts w:eastAsia="Times New Roman"/>
                <w:color w:val="000000"/>
              </w:rPr>
            </w:pPr>
            <w:r w:rsidRPr="007A20D1">
              <w:rPr>
                <w:rFonts w:eastAsia="Times New Roman"/>
                <w:color w:val="000000"/>
              </w:rPr>
              <w:t>-0.0099</w:t>
            </w:r>
          </w:p>
        </w:tc>
        <w:tc>
          <w:tcPr>
            <w:tcW w:w="683" w:type="pct"/>
            <w:tcBorders>
              <w:top w:val="nil"/>
              <w:left w:val="nil"/>
              <w:bottom w:val="nil"/>
              <w:right w:val="nil"/>
            </w:tcBorders>
            <w:shd w:val="clear" w:color="auto" w:fill="auto"/>
            <w:noWrap/>
            <w:vAlign w:val="center"/>
            <w:hideMark/>
          </w:tcPr>
          <w:p w14:paraId="3E62D665" w14:textId="77777777" w:rsidR="007A20D1" w:rsidRPr="007A20D1" w:rsidRDefault="007A20D1">
            <w:pPr>
              <w:jc w:val="center"/>
              <w:rPr>
                <w:rFonts w:eastAsia="Times New Roman"/>
                <w:color w:val="000000"/>
              </w:rPr>
            </w:pPr>
            <w:r w:rsidRPr="007A20D1">
              <w:rPr>
                <w:rFonts w:eastAsia="Times New Roman"/>
                <w:color w:val="000000"/>
              </w:rPr>
              <w:t>-0.0147</w:t>
            </w:r>
          </w:p>
        </w:tc>
        <w:tc>
          <w:tcPr>
            <w:tcW w:w="608" w:type="pct"/>
            <w:tcBorders>
              <w:top w:val="nil"/>
              <w:left w:val="nil"/>
              <w:bottom w:val="nil"/>
              <w:right w:val="nil"/>
            </w:tcBorders>
            <w:shd w:val="clear" w:color="auto" w:fill="auto"/>
            <w:noWrap/>
            <w:vAlign w:val="center"/>
            <w:hideMark/>
          </w:tcPr>
          <w:p w14:paraId="70C7BB6D" w14:textId="77777777" w:rsidR="007A20D1" w:rsidRPr="007A20D1" w:rsidRDefault="007A20D1">
            <w:pPr>
              <w:jc w:val="center"/>
              <w:rPr>
                <w:rFonts w:eastAsia="Times New Roman"/>
                <w:color w:val="000000"/>
              </w:rPr>
            </w:pPr>
            <w:r w:rsidRPr="007A20D1">
              <w:rPr>
                <w:rFonts w:eastAsia="Times New Roman"/>
                <w:color w:val="000000"/>
              </w:rPr>
              <w:t>-0.0217</w:t>
            </w:r>
          </w:p>
        </w:tc>
      </w:tr>
      <w:tr w:rsidR="007A20D1" w:rsidRPr="007A20D1" w14:paraId="4CAA18A2" w14:textId="77777777" w:rsidTr="007A20D1">
        <w:trPr>
          <w:trHeight w:val="320"/>
        </w:trPr>
        <w:tc>
          <w:tcPr>
            <w:tcW w:w="1184" w:type="pct"/>
            <w:tcBorders>
              <w:top w:val="nil"/>
              <w:left w:val="nil"/>
              <w:bottom w:val="single" w:sz="4" w:space="0" w:color="auto"/>
              <w:right w:val="nil"/>
            </w:tcBorders>
            <w:shd w:val="clear" w:color="auto" w:fill="auto"/>
            <w:noWrap/>
            <w:vAlign w:val="center"/>
            <w:hideMark/>
          </w:tcPr>
          <w:p w14:paraId="5621607E" w14:textId="77777777" w:rsidR="007A20D1" w:rsidRPr="007A20D1" w:rsidRDefault="007A20D1">
            <w:pPr>
              <w:rPr>
                <w:rFonts w:eastAsia="Times New Roman"/>
                <w:color w:val="000000"/>
              </w:rPr>
            </w:pPr>
            <w:r w:rsidRPr="007A20D1">
              <w:rPr>
                <w:rFonts w:eastAsia="Times New Roman"/>
                <w:color w:val="000000"/>
              </w:rPr>
              <w:t>∆ Severity</w:t>
            </w:r>
          </w:p>
        </w:tc>
        <w:tc>
          <w:tcPr>
            <w:tcW w:w="613" w:type="pct"/>
            <w:tcBorders>
              <w:top w:val="nil"/>
              <w:left w:val="nil"/>
              <w:bottom w:val="single" w:sz="4" w:space="0" w:color="auto"/>
              <w:right w:val="nil"/>
            </w:tcBorders>
            <w:shd w:val="clear" w:color="auto" w:fill="auto"/>
            <w:noWrap/>
            <w:vAlign w:val="center"/>
            <w:hideMark/>
          </w:tcPr>
          <w:p w14:paraId="597FA26E" w14:textId="77777777" w:rsidR="007A20D1" w:rsidRPr="007A20D1" w:rsidRDefault="007A20D1">
            <w:pPr>
              <w:jc w:val="center"/>
              <w:rPr>
                <w:rFonts w:eastAsia="Times New Roman"/>
                <w:color w:val="000000"/>
              </w:rPr>
            </w:pPr>
            <w:r w:rsidRPr="007A20D1">
              <w:rPr>
                <w:rFonts w:eastAsia="Times New Roman"/>
                <w:color w:val="000000"/>
              </w:rPr>
              <w:t>-0.0014</w:t>
            </w:r>
          </w:p>
        </w:tc>
        <w:tc>
          <w:tcPr>
            <w:tcW w:w="683" w:type="pct"/>
            <w:tcBorders>
              <w:top w:val="nil"/>
              <w:left w:val="nil"/>
              <w:bottom w:val="single" w:sz="4" w:space="0" w:color="auto"/>
              <w:right w:val="nil"/>
            </w:tcBorders>
            <w:shd w:val="clear" w:color="auto" w:fill="auto"/>
            <w:noWrap/>
            <w:vAlign w:val="center"/>
            <w:hideMark/>
          </w:tcPr>
          <w:p w14:paraId="10873BF1" w14:textId="77777777" w:rsidR="007A20D1" w:rsidRPr="007A20D1" w:rsidRDefault="007A20D1">
            <w:pPr>
              <w:jc w:val="center"/>
              <w:rPr>
                <w:rFonts w:eastAsia="Times New Roman"/>
                <w:color w:val="000000"/>
              </w:rPr>
            </w:pPr>
            <w:r w:rsidRPr="007A20D1">
              <w:rPr>
                <w:rFonts w:eastAsia="Times New Roman"/>
                <w:color w:val="000000"/>
              </w:rPr>
              <w:t>-0.0020</w:t>
            </w:r>
          </w:p>
        </w:tc>
        <w:tc>
          <w:tcPr>
            <w:tcW w:w="615" w:type="pct"/>
            <w:tcBorders>
              <w:top w:val="nil"/>
              <w:left w:val="nil"/>
              <w:bottom w:val="single" w:sz="4" w:space="0" w:color="auto"/>
              <w:right w:val="nil"/>
            </w:tcBorders>
            <w:shd w:val="clear" w:color="auto" w:fill="auto"/>
            <w:noWrap/>
            <w:vAlign w:val="center"/>
            <w:hideMark/>
          </w:tcPr>
          <w:p w14:paraId="2F134832" w14:textId="77777777" w:rsidR="007A20D1" w:rsidRPr="007A20D1" w:rsidRDefault="007A20D1">
            <w:pPr>
              <w:jc w:val="center"/>
              <w:rPr>
                <w:rFonts w:eastAsia="Times New Roman"/>
                <w:color w:val="000000"/>
              </w:rPr>
            </w:pPr>
            <w:r w:rsidRPr="007A20D1">
              <w:rPr>
                <w:rFonts w:eastAsia="Times New Roman"/>
                <w:color w:val="000000"/>
              </w:rPr>
              <w:t>-0.0030</w:t>
            </w:r>
          </w:p>
        </w:tc>
        <w:tc>
          <w:tcPr>
            <w:tcW w:w="612" w:type="pct"/>
            <w:tcBorders>
              <w:top w:val="nil"/>
              <w:left w:val="nil"/>
              <w:bottom w:val="single" w:sz="4" w:space="0" w:color="auto"/>
              <w:right w:val="nil"/>
            </w:tcBorders>
            <w:shd w:val="clear" w:color="auto" w:fill="auto"/>
            <w:noWrap/>
            <w:vAlign w:val="center"/>
            <w:hideMark/>
          </w:tcPr>
          <w:p w14:paraId="11C5701F" w14:textId="77777777" w:rsidR="007A20D1" w:rsidRPr="007A20D1" w:rsidRDefault="007A20D1">
            <w:pPr>
              <w:jc w:val="center"/>
              <w:rPr>
                <w:rFonts w:eastAsia="Times New Roman"/>
                <w:color w:val="000000"/>
              </w:rPr>
            </w:pPr>
            <w:r w:rsidRPr="007A20D1">
              <w:rPr>
                <w:rFonts w:eastAsia="Times New Roman"/>
                <w:color w:val="000000"/>
              </w:rPr>
              <w:t>-0.0081</w:t>
            </w:r>
          </w:p>
        </w:tc>
        <w:tc>
          <w:tcPr>
            <w:tcW w:w="683" w:type="pct"/>
            <w:tcBorders>
              <w:top w:val="nil"/>
              <w:left w:val="nil"/>
              <w:bottom w:val="single" w:sz="4" w:space="0" w:color="auto"/>
              <w:right w:val="nil"/>
            </w:tcBorders>
            <w:shd w:val="clear" w:color="auto" w:fill="auto"/>
            <w:noWrap/>
            <w:vAlign w:val="center"/>
            <w:hideMark/>
          </w:tcPr>
          <w:p w14:paraId="5E6B1373" w14:textId="77777777" w:rsidR="007A20D1" w:rsidRPr="007A20D1" w:rsidRDefault="007A20D1">
            <w:pPr>
              <w:jc w:val="center"/>
              <w:rPr>
                <w:rFonts w:eastAsia="Times New Roman"/>
                <w:color w:val="000000"/>
              </w:rPr>
            </w:pPr>
            <w:r w:rsidRPr="007A20D1">
              <w:rPr>
                <w:rFonts w:eastAsia="Times New Roman"/>
                <w:color w:val="000000"/>
              </w:rPr>
              <w:t>-0.0112</w:t>
            </w:r>
          </w:p>
        </w:tc>
        <w:tc>
          <w:tcPr>
            <w:tcW w:w="608" w:type="pct"/>
            <w:tcBorders>
              <w:top w:val="nil"/>
              <w:left w:val="nil"/>
              <w:bottom w:val="single" w:sz="4" w:space="0" w:color="auto"/>
              <w:right w:val="nil"/>
            </w:tcBorders>
            <w:shd w:val="clear" w:color="auto" w:fill="auto"/>
            <w:noWrap/>
            <w:vAlign w:val="center"/>
            <w:hideMark/>
          </w:tcPr>
          <w:p w14:paraId="4CD619D7" w14:textId="77777777" w:rsidR="007A20D1" w:rsidRPr="007A20D1" w:rsidRDefault="007A20D1">
            <w:pPr>
              <w:jc w:val="center"/>
              <w:rPr>
                <w:rFonts w:eastAsia="Times New Roman"/>
                <w:color w:val="000000"/>
              </w:rPr>
            </w:pPr>
            <w:r w:rsidRPr="007A20D1">
              <w:rPr>
                <w:rFonts w:eastAsia="Times New Roman"/>
                <w:color w:val="000000"/>
              </w:rPr>
              <w:t>-0.0162</w:t>
            </w:r>
          </w:p>
        </w:tc>
      </w:tr>
    </w:tbl>
    <w:p w14:paraId="1BB0906B" w14:textId="77777777" w:rsidR="00D660D2" w:rsidRDefault="00D660D2" w:rsidP="00C50EB1">
      <w:pPr>
        <w:rPr>
          <w:rFonts w:eastAsia="Calibri"/>
          <w:color w:val="000000"/>
        </w:rPr>
      </w:pPr>
    </w:p>
    <w:p w14:paraId="4CAC6F5C" w14:textId="0E390D58" w:rsidR="00B307F7" w:rsidRDefault="00B307F7">
      <w:pPr>
        <w:rPr>
          <w:rFonts w:eastAsia="Calibri"/>
          <w:color w:val="000000"/>
        </w:rPr>
      </w:pPr>
      <w:r>
        <w:rPr>
          <w:rFonts w:eastAsia="Calibri"/>
          <w:color w:val="000000"/>
        </w:rPr>
        <w:br w:type="page"/>
      </w:r>
    </w:p>
    <w:p w14:paraId="3B234481" w14:textId="651750DE" w:rsidR="00B307F7" w:rsidRPr="00A944E7" w:rsidRDefault="00B307F7" w:rsidP="004E59B7">
      <w:pPr>
        <w:rPr>
          <w:rFonts w:eastAsia="Calibri"/>
          <w:color w:val="000000"/>
        </w:rPr>
      </w:pPr>
      <w:r w:rsidRPr="00F0359B">
        <w:rPr>
          <w:rFonts w:eastAsia="Times New Roman"/>
          <w:b/>
          <w:bCs/>
          <w:color w:val="000000"/>
        </w:rPr>
        <w:lastRenderedPageBreak/>
        <w:t xml:space="preserve">Figure </w:t>
      </w:r>
      <w:r w:rsidR="00EB7C6B">
        <w:rPr>
          <w:rFonts w:eastAsia="Times New Roman"/>
          <w:b/>
          <w:bCs/>
          <w:color w:val="000000"/>
        </w:rPr>
        <w:t>1</w:t>
      </w:r>
      <w:r w:rsidRPr="00F0359B">
        <w:rPr>
          <w:rFonts w:eastAsia="Times New Roman"/>
          <w:b/>
          <w:bCs/>
          <w:color w:val="000000"/>
        </w:rPr>
        <w:t>.</w:t>
      </w:r>
      <w:r w:rsidR="004E59B7">
        <w:rPr>
          <w:rFonts w:eastAsia="Times New Roman"/>
          <w:b/>
          <w:bCs/>
          <w:color w:val="000000"/>
        </w:rPr>
        <w:t xml:space="preserve">  </w:t>
      </w:r>
      <w:r w:rsidRPr="00A944E7">
        <w:rPr>
          <w:rFonts w:eastAsia="Times New Roman"/>
          <w:b/>
          <w:bCs/>
          <w:color w:val="000000"/>
        </w:rPr>
        <w:t xml:space="preserve">Cumulative Distribution Function of </w:t>
      </w:r>
      <w:r w:rsidR="004E59B7">
        <w:rPr>
          <w:rFonts w:eastAsia="Times New Roman"/>
          <w:b/>
          <w:bCs/>
          <w:color w:val="000000"/>
        </w:rPr>
        <w:t xml:space="preserve">Predicted Annul </w:t>
      </w:r>
      <w:r w:rsidR="004E59B7" w:rsidRPr="00A944E7">
        <w:rPr>
          <w:rFonts w:eastAsia="Times New Roman"/>
          <w:b/>
          <w:bCs/>
          <w:color w:val="000000"/>
        </w:rPr>
        <w:t xml:space="preserve">Household Consumption Per Capita </w:t>
      </w:r>
      <w:r w:rsidR="004E59B7">
        <w:rPr>
          <w:rFonts w:eastAsia="Times New Roman"/>
          <w:b/>
          <w:bCs/>
          <w:color w:val="000000"/>
        </w:rPr>
        <w:t xml:space="preserve">for </w:t>
      </w:r>
      <w:r w:rsidRPr="00A944E7">
        <w:rPr>
          <w:rFonts w:eastAsia="Times New Roman"/>
          <w:b/>
          <w:bCs/>
          <w:color w:val="000000"/>
        </w:rPr>
        <w:t>Rural Tororo District</w:t>
      </w:r>
      <w:r w:rsidR="004E59B7">
        <w:rPr>
          <w:rFonts w:eastAsia="Times New Roman"/>
          <w:b/>
          <w:bCs/>
          <w:color w:val="000000"/>
        </w:rPr>
        <w:t xml:space="preserve"> using SAEp Method</w:t>
      </w:r>
    </w:p>
    <w:p w14:paraId="76B7CB60" w14:textId="06FAB1AF" w:rsidR="00B307F7" w:rsidRDefault="00B307F7" w:rsidP="00C50EB1">
      <w:pPr>
        <w:rPr>
          <w:rFonts w:eastAsia="Calibri"/>
          <w:color w:val="000000"/>
        </w:rPr>
      </w:pPr>
      <w:r>
        <w:rPr>
          <w:noProof/>
          <w:lang w:eastAsia="zh-CN"/>
        </w:rPr>
        <w:drawing>
          <wp:inline distT="0" distB="0" distL="0" distR="0" wp14:anchorId="5A7F4417" wp14:editId="3E0E8599">
            <wp:extent cx="5486400" cy="42529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486400" cy="4252905"/>
                    </a:xfrm>
                    <a:prstGeom prst="rect">
                      <a:avLst/>
                    </a:prstGeom>
                    <a:noFill/>
                    <a:ln>
                      <a:noFill/>
                    </a:ln>
                  </pic:spPr>
                </pic:pic>
              </a:graphicData>
            </a:graphic>
          </wp:inline>
        </w:drawing>
      </w:r>
    </w:p>
    <w:p w14:paraId="6C61743F" w14:textId="77777777" w:rsidR="00EF524A" w:rsidRDefault="00EF524A" w:rsidP="00C50EB1">
      <w:pPr>
        <w:rPr>
          <w:rFonts w:eastAsia="Calibri"/>
          <w:color w:val="000000"/>
        </w:rPr>
      </w:pPr>
    </w:p>
    <w:p w14:paraId="71B5892C" w14:textId="77777777" w:rsidR="00EF524A" w:rsidRDefault="00EF524A" w:rsidP="00C50EB1">
      <w:pPr>
        <w:rPr>
          <w:rFonts w:eastAsia="Calibri"/>
          <w:color w:val="000000"/>
        </w:rPr>
      </w:pPr>
    </w:p>
    <w:p w14:paraId="5C5C5997" w14:textId="77777777" w:rsidR="00EF524A" w:rsidRDefault="00EF524A" w:rsidP="00C50EB1">
      <w:pPr>
        <w:rPr>
          <w:rFonts w:eastAsia="Calibri"/>
          <w:color w:val="000000"/>
        </w:rPr>
      </w:pPr>
    </w:p>
    <w:p w14:paraId="04CD4B68" w14:textId="77777777" w:rsidR="00F70ACA" w:rsidRDefault="00F70ACA" w:rsidP="004A38EE">
      <w:pPr>
        <w:rPr>
          <w:rFonts w:eastAsia="Calibri"/>
          <w:color w:val="000000"/>
        </w:rPr>
      </w:pPr>
    </w:p>
    <w:p w14:paraId="736E6A60" w14:textId="77777777" w:rsidR="00F70ACA" w:rsidRDefault="00F70ACA" w:rsidP="004A38EE">
      <w:pPr>
        <w:rPr>
          <w:rFonts w:eastAsia="Calibri"/>
          <w:color w:val="000000"/>
        </w:rPr>
      </w:pPr>
    </w:p>
    <w:p w14:paraId="2B4FEDB2" w14:textId="434A3373" w:rsidR="00EF524A" w:rsidRDefault="00EF524A" w:rsidP="00C924F5">
      <w:pPr>
        <w:rPr>
          <w:rFonts w:eastAsia="Calibri"/>
          <w:color w:val="000000"/>
        </w:rPr>
      </w:pPr>
    </w:p>
    <w:sectPr w:rsidR="00EF524A" w:rsidSect="00261C5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8A461C" w14:textId="77777777" w:rsidR="00997C20" w:rsidRDefault="00997C20" w:rsidP="00EC75C0">
      <w:r>
        <w:separator/>
      </w:r>
    </w:p>
  </w:endnote>
  <w:endnote w:type="continuationSeparator" w:id="0">
    <w:p w14:paraId="3A0964FD" w14:textId="77777777" w:rsidR="00997C20" w:rsidRDefault="00997C20" w:rsidP="00EC7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Times-Roman">
    <w:altName w:val="Times"/>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BBE1D6" w14:textId="77777777" w:rsidR="0091127E" w:rsidRDefault="0091127E" w:rsidP="00C61D7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6F8615C" w14:textId="77777777" w:rsidR="0091127E" w:rsidRDefault="0091127E" w:rsidP="0004249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888951" w14:textId="2296D370" w:rsidR="0091127E" w:rsidRDefault="0091127E" w:rsidP="00C61D7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76F6">
      <w:rPr>
        <w:rStyle w:val="PageNumber"/>
        <w:noProof/>
      </w:rPr>
      <w:t>2</w:t>
    </w:r>
    <w:r>
      <w:rPr>
        <w:rStyle w:val="PageNumber"/>
      </w:rPr>
      <w:fldChar w:fldCharType="end"/>
    </w:r>
  </w:p>
  <w:p w14:paraId="23ACC82F" w14:textId="77777777" w:rsidR="0091127E" w:rsidRDefault="0091127E" w:rsidP="0004249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7D907E" w14:textId="77777777" w:rsidR="00997C20" w:rsidRDefault="00997C20" w:rsidP="00EC75C0">
      <w:r>
        <w:separator/>
      </w:r>
    </w:p>
  </w:footnote>
  <w:footnote w:type="continuationSeparator" w:id="0">
    <w:p w14:paraId="4B3FBB24" w14:textId="77777777" w:rsidR="00997C20" w:rsidRDefault="00997C20" w:rsidP="00EC75C0">
      <w:r>
        <w:continuationSeparator/>
      </w:r>
    </w:p>
  </w:footnote>
  <w:footnote w:id="1">
    <w:p w14:paraId="09872EB7" w14:textId="2A9A63AF" w:rsidR="0091127E" w:rsidRPr="00687741" w:rsidRDefault="0091127E" w:rsidP="00687741">
      <w:pPr>
        <w:pStyle w:val="FootnoteText"/>
        <w:rPr>
          <w:sz w:val="20"/>
          <w:szCs w:val="20"/>
        </w:rPr>
      </w:pPr>
      <w:r w:rsidRPr="00687741">
        <w:rPr>
          <w:rStyle w:val="FootnoteReference"/>
          <w:sz w:val="20"/>
          <w:szCs w:val="20"/>
        </w:rPr>
        <w:footnoteRef/>
      </w:r>
      <w:r w:rsidRPr="00687741">
        <w:rPr>
          <w:sz w:val="20"/>
          <w:szCs w:val="20"/>
        </w:rPr>
        <w:t xml:space="preserve"> The aggregation includes </w:t>
      </w:r>
      <w:r>
        <w:rPr>
          <w:sz w:val="20"/>
          <w:szCs w:val="20"/>
        </w:rPr>
        <w:t>expenditures on beverages and tobacco</w:t>
      </w:r>
      <w:r w:rsidRPr="00687741">
        <w:rPr>
          <w:sz w:val="20"/>
          <w:szCs w:val="20"/>
        </w:rPr>
        <w:t>, but excludes the consumption of items related to medical care, as suggested in in Deaton and Zaidi (2002).</w:t>
      </w:r>
    </w:p>
  </w:footnote>
  <w:footnote w:id="2">
    <w:p w14:paraId="2A81AA52" w14:textId="5ED4C24C" w:rsidR="0091127E" w:rsidRPr="00A5740A" w:rsidRDefault="0091127E">
      <w:pPr>
        <w:pStyle w:val="FootnoteText"/>
        <w:rPr>
          <w:sz w:val="20"/>
          <w:szCs w:val="20"/>
        </w:rPr>
      </w:pPr>
      <w:r w:rsidRPr="00A5740A">
        <w:rPr>
          <w:rStyle w:val="FootnoteReference"/>
          <w:sz w:val="20"/>
          <w:szCs w:val="20"/>
        </w:rPr>
        <w:footnoteRef/>
      </w:r>
      <w:r w:rsidRPr="00A5740A">
        <w:rPr>
          <w:sz w:val="20"/>
          <w:szCs w:val="20"/>
        </w:rPr>
        <w:t xml:space="preserve"> To reduce potential “noise” in predicted consumption estimates (explained below), the </w:t>
      </w:r>
      <w:proofErr w:type="gramStart"/>
      <w:r w:rsidRPr="00A5740A">
        <w:rPr>
          <w:sz w:val="20"/>
          <w:szCs w:val="20"/>
        </w:rPr>
        <w:t>vast majority</w:t>
      </w:r>
      <w:proofErr w:type="gramEnd"/>
      <w:r w:rsidRPr="00A5740A">
        <w:rPr>
          <w:sz w:val="20"/>
          <w:szCs w:val="20"/>
        </w:rPr>
        <w:t xml:space="preserve"> of selected variables were significant at the five percent level or lower. </w:t>
      </w:r>
    </w:p>
  </w:footnote>
  <w:footnote w:id="3">
    <w:p w14:paraId="6165035C" w14:textId="0EA42D1A" w:rsidR="0091127E" w:rsidRPr="0014001A" w:rsidRDefault="0091127E" w:rsidP="009804F9">
      <w:pPr>
        <w:pStyle w:val="FootnoteText"/>
        <w:rPr>
          <w:sz w:val="20"/>
          <w:szCs w:val="20"/>
        </w:rPr>
      </w:pPr>
      <w:r w:rsidRPr="009804F9">
        <w:rPr>
          <w:rStyle w:val="FootnoteReference"/>
          <w:sz w:val="20"/>
          <w:szCs w:val="20"/>
        </w:rPr>
        <w:footnoteRef/>
      </w:r>
      <w:r w:rsidRPr="009804F9">
        <w:rPr>
          <w:sz w:val="20"/>
          <w:szCs w:val="20"/>
        </w:rPr>
        <w:t xml:space="preserve"> The assumption of independence of the two components of the error term can be justified since households </w:t>
      </w:r>
      <w:proofErr w:type="gramStart"/>
      <w:r w:rsidRPr="009804F9">
        <w:rPr>
          <w:sz w:val="20"/>
          <w:szCs w:val="20"/>
        </w:rPr>
        <w:t>in a given</w:t>
      </w:r>
      <w:proofErr w:type="gramEnd"/>
      <w:r w:rsidRPr="009804F9">
        <w:rPr>
          <w:sz w:val="20"/>
          <w:szCs w:val="20"/>
        </w:rPr>
        <w:t xml:space="preserve"> village are selected independently of the village characteristics.</w:t>
      </w:r>
      <w:r>
        <w:rPr>
          <w:sz w:val="20"/>
          <w:szCs w:val="20"/>
        </w:rPr>
        <w:t xml:space="preserve"> </w:t>
      </w:r>
      <w:r w:rsidRPr="0014001A">
        <w:rPr>
          <w:sz w:val="20"/>
          <w:szCs w:val="20"/>
        </w:rPr>
        <w:t xml:space="preserve"> </w:t>
      </w:r>
    </w:p>
  </w:footnote>
  <w:footnote w:id="4">
    <w:p w14:paraId="108A1A8A" w14:textId="48DF63B6" w:rsidR="0091127E" w:rsidRPr="00D17F08" w:rsidRDefault="0091127E" w:rsidP="000C5A2B">
      <w:pPr>
        <w:pStyle w:val="FootnoteText"/>
        <w:rPr>
          <w:sz w:val="20"/>
          <w:szCs w:val="20"/>
        </w:rPr>
      </w:pPr>
      <w:r w:rsidRPr="006951BB">
        <w:rPr>
          <w:rStyle w:val="FootnoteReference"/>
          <w:sz w:val="20"/>
          <w:szCs w:val="20"/>
        </w:rPr>
        <w:footnoteRef/>
      </w:r>
      <w:r w:rsidRPr="006951BB">
        <w:rPr>
          <w:sz w:val="20"/>
          <w:szCs w:val="20"/>
        </w:rPr>
        <w:t xml:space="preserve"> The conversion factor of 612.70 Ugandan shillings per international </w:t>
      </w:r>
      <w:r w:rsidRPr="00D17F08">
        <w:rPr>
          <w:sz w:val="20"/>
          <w:szCs w:val="20"/>
        </w:rPr>
        <w:t xml:space="preserve">dollar is based on estimates from the 2011 round of the International Comparison Program </w:t>
      </w:r>
      <w:r w:rsidRPr="00D17F08">
        <w:rPr>
          <w:sz w:val="20"/>
          <w:szCs w:val="20"/>
        </w:rPr>
        <w:fldChar w:fldCharType="begin"/>
      </w:r>
      <w:r w:rsidRPr="00D17F08">
        <w:rPr>
          <w:sz w:val="20"/>
          <w:szCs w:val="20"/>
        </w:rPr>
        <w:instrText xml:space="preserve"> ADDIN EN.CITE &lt;EndNote&gt;&lt;Cite&gt;&lt;Author&gt;World Bank&lt;/Author&gt;&lt;Year&gt;2016&lt;/Year&gt;&lt;RecNum&gt;40&lt;/RecNum&gt;&lt;DisplayText&gt;(World Bank, 2016b)&lt;/DisplayText&gt;&lt;record&gt;&lt;rec-number&gt;40&lt;/rec-number&gt;&lt;foreign-keys&gt;&lt;key app="EN" db-id="5fvtavdaavaz95e2zv0vf9wms90fv05av5se" timestamp="1481136661"&gt;40&lt;/key&gt;&lt;/foreign-keys&gt;&lt;ref-type name="Report"&gt;27&lt;/ref-type&gt;&lt;contributors&gt;&lt;authors&gt;&lt;author&gt;World Bank,&lt;/author&gt;&lt;/authors&gt;&lt;/contributors&gt;&lt;titles&gt;&lt;title&gt;PPP conversion factor, private consumption (LCU per international $)&lt;/title&gt;&lt;/titles&gt;&lt;dates&gt;&lt;year&gt;2016&lt;/year&gt;&lt;/dates&gt;&lt;urls&gt;&lt;related-urls&gt;&lt;url&gt;http://data.worldbank.org/indicator/PA.NUS.PRVT.PP?page=1&lt;/url&gt;&lt;/related-urls&gt;&lt;/urls&gt;&lt;access-date&gt;December 2016&lt;/access-date&gt;&lt;/record&gt;&lt;/Cite&gt;&lt;/EndNote&gt;</w:instrText>
      </w:r>
      <w:r w:rsidRPr="00D17F08">
        <w:rPr>
          <w:sz w:val="20"/>
          <w:szCs w:val="20"/>
        </w:rPr>
        <w:fldChar w:fldCharType="separate"/>
      </w:r>
      <w:r w:rsidRPr="00D17F08">
        <w:rPr>
          <w:noProof/>
          <w:sz w:val="20"/>
          <w:szCs w:val="20"/>
        </w:rPr>
        <w:t>(World Bank, 2016b)</w:t>
      </w:r>
      <w:r w:rsidRPr="00D17F08">
        <w:rPr>
          <w:sz w:val="20"/>
          <w:szCs w:val="20"/>
        </w:rPr>
        <w:fldChar w:fldCharType="end"/>
      </w:r>
      <w:r w:rsidRPr="00D17F08">
        <w:rPr>
          <w:sz w:val="20"/>
          <w:szCs w:val="20"/>
        </w:rPr>
        <w:t>.</w:t>
      </w:r>
    </w:p>
  </w:footnote>
  <w:footnote w:id="5">
    <w:p w14:paraId="705307C3" w14:textId="1C8474E5" w:rsidR="0091127E" w:rsidRPr="00443465" w:rsidRDefault="0091127E" w:rsidP="00097F85">
      <w:pPr>
        <w:pStyle w:val="FootnoteText"/>
        <w:rPr>
          <w:sz w:val="20"/>
          <w:szCs w:val="20"/>
        </w:rPr>
      </w:pPr>
      <w:r w:rsidRPr="00D17F08">
        <w:rPr>
          <w:rStyle w:val="FootnoteReference"/>
          <w:sz w:val="20"/>
          <w:szCs w:val="20"/>
        </w:rPr>
        <w:footnoteRef/>
      </w:r>
      <w:r w:rsidRPr="00D17F08">
        <w:rPr>
          <w:sz w:val="20"/>
          <w:szCs w:val="20"/>
        </w:rPr>
        <w:t xml:space="preserve"> Since CA adoption in Tororo is not expected to generate large short-term yield increases, changes in output price due to</w:t>
      </w:r>
      <w:r w:rsidRPr="00443465">
        <w:rPr>
          <w:sz w:val="20"/>
          <w:szCs w:val="20"/>
        </w:rPr>
        <w:t xml:space="preserve"> adoption is assumed to be zero.  </w:t>
      </w:r>
    </w:p>
  </w:footnote>
  <w:footnote w:id="6">
    <w:p w14:paraId="1AEE3436" w14:textId="4B92B9AA" w:rsidR="0091127E" w:rsidRDefault="0091127E">
      <w:pPr>
        <w:pStyle w:val="FootnoteText"/>
      </w:pPr>
      <w:r>
        <w:rPr>
          <w:rStyle w:val="FootnoteReference"/>
        </w:rPr>
        <w:footnoteRef/>
      </w:r>
      <w:r>
        <w:t xml:space="preserve"> </w:t>
      </w:r>
      <w:r w:rsidRPr="00913078">
        <w:rPr>
          <w:sz w:val="20"/>
          <w:szCs w:val="20"/>
        </w:rPr>
        <w:t>CA was not widely adopted at the time of the THS so yield and costs of production differences could not be estimated using the household survey.  In an ex-ante case, this is likely to be true.  After substantial adoption, a THS-like survey could be used to measure changes from CA after accounting for the endogeneity of adoption.</w:t>
      </w:r>
      <w:r>
        <w:t xml:space="preserve">  </w:t>
      </w:r>
    </w:p>
  </w:footnote>
  <w:footnote w:id="7">
    <w:p w14:paraId="2ECEED59" w14:textId="4E09B07D" w:rsidR="0091127E" w:rsidRPr="00604492" w:rsidRDefault="0091127E" w:rsidP="00D8787F">
      <w:pPr>
        <w:pStyle w:val="FootnoteText"/>
        <w:rPr>
          <w:sz w:val="20"/>
          <w:szCs w:val="20"/>
        </w:rPr>
      </w:pPr>
      <w:r w:rsidRPr="00604492">
        <w:rPr>
          <w:rStyle w:val="FootnoteReference"/>
          <w:sz w:val="20"/>
          <w:szCs w:val="20"/>
        </w:rPr>
        <w:footnoteRef/>
      </w:r>
      <w:r w:rsidRPr="00604492">
        <w:rPr>
          <w:sz w:val="20"/>
          <w:szCs w:val="20"/>
        </w:rPr>
        <w:t xml:space="preserve"> On-station land preparation costs are also based on two ploughing</w:t>
      </w:r>
      <w:r>
        <w:rPr>
          <w:sz w:val="20"/>
          <w:szCs w:val="20"/>
        </w:rPr>
        <w:t>s per-</w:t>
      </w:r>
      <w:r w:rsidRPr="00604492">
        <w:rPr>
          <w:sz w:val="20"/>
          <w:szCs w:val="20"/>
        </w:rPr>
        <w:t xml:space="preserve">season. </w:t>
      </w:r>
    </w:p>
  </w:footnote>
  <w:footnote w:id="8">
    <w:p w14:paraId="72E02A08" w14:textId="031965F0" w:rsidR="0091127E" w:rsidRDefault="0091127E">
      <w:pPr>
        <w:pStyle w:val="FootnoteText"/>
      </w:pPr>
      <w:r w:rsidRPr="00604492">
        <w:rPr>
          <w:rStyle w:val="FootnoteReference"/>
          <w:sz w:val="20"/>
          <w:szCs w:val="20"/>
        </w:rPr>
        <w:footnoteRef/>
      </w:r>
      <w:r w:rsidRPr="00604492">
        <w:rPr>
          <w:sz w:val="20"/>
          <w:szCs w:val="20"/>
        </w:rPr>
        <w:t xml:space="preserve"> This is a conservative estimate since mucuna seeds are not for human consumption.</w:t>
      </w:r>
      <w:r>
        <w:t xml:space="preserve"> </w:t>
      </w:r>
    </w:p>
  </w:footnote>
  <w:footnote w:id="9">
    <w:p w14:paraId="11B3B882" w14:textId="77777777" w:rsidR="0091127E" w:rsidRPr="005D3E5C" w:rsidRDefault="0091127E" w:rsidP="00B1246E">
      <w:pPr>
        <w:pStyle w:val="FootnoteText"/>
        <w:rPr>
          <w:sz w:val="20"/>
          <w:szCs w:val="20"/>
        </w:rPr>
      </w:pPr>
      <w:r w:rsidRPr="005D3E5C">
        <w:rPr>
          <w:rStyle w:val="FootnoteReference"/>
          <w:sz w:val="20"/>
          <w:szCs w:val="20"/>
        </w:rPr>
        <w:footnoteRef/>
      </w:r>
      <w:r w:rsidRPr="005D3E5C">
        <w:rPr>
          <w:sz w:val="20"/>
          <w:szCs w:val="20"/>
        </w:rPr>
        <w:t xml:space="preserve"> One outlying observation was omitted from the regression; its consumption per capita was 2.4 times the second largest estimated consumption per capita value, resulting in undue influence on the fitted regression line.</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C3935"/>
    <w:multiLevelType w:val="hybridMultilevel"/>
    <w:tmpl w:val="D1B83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8410BC"/>
    <w:multiLevelType w:val="hybridMultilevel"/>
    <w:tmpl w:val="7E6ED78C"/>
    <w:lvl w:ilvl="0" w:tplc="8ADA621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20403D"/>
    <w:multiLevelType w:val="hybridMultilevel"/>
    <w:tmpl w:val="8DDE1C52"/>
    <w:lvl w:ilvl="0" w:tplc="6030A78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457E4D"/>
    <w:multiLevelType w:val="hybridMultilevel"/>
    <w:tmpl w:val="33720E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593D5D"/>
    <w:multiLevelType w:val="hybridMultilevel"/>
    <w:tmpl w:val="AAE8F82E"/>
    <w:lvl w:ilvl="0" w:tplc="914EE352">
      <w:start w:val="1"/>
      <w:numFmt w:val="decimal"/>
      <w:lvlText w:val="C.%1."/>
      <w:lvlJc w:val="left"/>
      <w:pPr>
        <w:tabs>
          <w:tab w:val="num" w:pos="1008"/>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95557D"/>
    <w:multiLevelType w:val="multilevel"/>
    <w:tmpl w:val="EDA0D4C4"/>
    <w:styleLink w:val="Chapters"/>
    <w:lvl w:ilvl="0">
      <w:start w:val="1"/>
      <w:numFmt w:val="decimal"/>
      <w:pStyle w:val="TOCHeading"/>
      <w:lvlText w:val="Chapter %1:"/>
      <w:lvlJc w:val="left"/>
      <w:pPr>
        <w:ind w:left="360" w:hanging="360"/>
      </w:pPr>
      <w:rPr>
        <w:rFonts w:hint="default"/>
      </w:rPr>
    </w:lvl>
    <w:lvl w:ilvl="1">
      <w:start w:val="1"/>
      <w:numFmt w:val="upperLetter"/>
      <w:lvlText w:val="Section %1.%2. "/>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2D9271DE"/>
    <w:multiLevelType w:val="hybridMultilevel"/>
    <w:tmpl w:val="6204C0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C64FA3"/>
    <w:multiLevelType w:val="hybridMultilevel"/>
    <w:tmpl w:val="C7C2F4D4"/>
    <w:lvl w:ilvl="0" w:tplc="6904413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B05B43"/>
    <w:multiLevelType w:val="hybridMultilevel"/>
    <w:tmpl w:val="252A31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7DA334F"/>
    <w:multiLevelType w:val="hybridMultilevel"/>
    <w:tmpl w:val="301E6A0C"/>
    <w:lvl w:ilvl="0" w:tplc="F0F2083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1379E9"/>
    <w:multiLevelType w:val="hybridMultilevel"/>
    <w:tmpl w:val="5ADE75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6363168C"/>
    <w:multiLevelType w:val="multilevel"/>
    <w:tmpl w:val="722CA242"/>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63EE72C3"/>
    <w:multiLevelType w:val="hybridMultilevel"/>
    <w:tmpl w:val="D0BA0BA0"/>
    <w:lvl w:ilvl="0" w:tplc="04090001">
      <w:start w:val="1"/>
      <w:numFmt w:val="bullet"/>
      <w:lvlText w:val=""/>
      <w:lvlJc w:val="left"/>
      <w:pPr>
        <w:ind w:left="1447" w:hanging="360"/>
      </w:pPr>
      <w:rPr>
        <w:rFonts w:ascii="Symbol" w:hAnsi="Symbol" w:hint="default"/>
      </w:rPr>
    </w:lvl>
    <w:lvl w:ilvl="1" w:tplc="04090003">
      <w:start w:val="1"/>
      <w:numFmt w:val="bullet"/>
      <w:lvlText w:val="o"/>
      <w:lvlJc w:val="left"/>
      <w:pPr>
        <w:ind w:left="2167" w:hanging="360"/>
      </w:pPr>
      <w:rPr>
        <w:rFonts w:ascii="Courier New" w:hAnsi="Courier New" w:hint="default"/>
      </w:rPr>
    </w:lvl>
    <w:lvl w:ilvl="2" w:tplc="04090005" w:tentative="1">
      <w:start w:val="1"/>
      <w:numFmt w:val="bullet"/>
      <w:lvlText w:val=""/>
      <w:lvlJc w:val="left"/>
      <w:pPr>
        <w:ind w:left="2887" w:hanging="360"/>
      </w:pPr>
      <w:rPr>
        <w:rFonts w:ascii="Wingdings" w:hAnsi="Wingdings" w:hint="default"/>
      </w:rPr>
    </w:lvl>
    <w:lvl w:ilvl="3" w:tplc="04090001" w:tentative="1">
      <w:start w:val="1"/>
      <w:numFmt w:val="bullet"/>
      <w:lvlText w:val=""/>
      <w:lvlJc w:val="left"/>
      <w:pPr>
        <w:ind w:left="3607" w:hanging="360"/>
      </w:pPr>
      <w:rPr>
        <w:rFonts w:ascii="Symbol" w:hAnsi="Symbol" w:hint="default"/>
      </w:rPr>
    </w:lvl>
    <w:lvl w:ilvl="4" w:tplc="04090003" w:tentative="1">
      <w:start w:val="1"/>
      <w:numFmt w:val="bullet"/>
      <w:lvlText w:val="o"/>
      <w:lvlJc w:val="left"/>
      <w:pPr>
        <w:ind w:left="4327" w:hanging="360"/>
      </w:pPr>
      <w:rPr>
        <w:rFonts w:ascii="Courier New" w:hAnsi="Courier New" w:hint="default"/>
      </w:rPr>
    </w:lvl>
    <w:lvl w:ilvl="5" w:tplc="04090005" w:tentative="1">
      <w:start w:val="1"/>
      <w:numFmt w:val="bullet"/>
      <w:lvlText w:val=""/>
      <w:lvlJc w:val="left"/>
      <w:pPr>
        <w:ind w:left="5047" w:hanging="360"/>
      </w:pPr>
      <w:rPr>
        <w:rFonts w:ascii="Wingdings" w:hAnsi="Wingdings" w:hint="default"/>
      </w:rPr>
    </w:lvl>
    <w:lvl w:ilvl="6" w:tplc="04090001" w:tentative="1">
      <w:start w:val="1"/>
      <w:numFmt w:val="bullet"/>
      <w:lvlText w:val=""/>
      <w:lvlJc w:val="left"/>
      <w:pPr>
        <w:ind w:left="5767" w:hanging="360"/>
      </w:pPr>
      <w:rPr>
        <w:rFonts w:ascii="Symbol" w:hAnsi="Symbol" w:hint="default"/>
      </w:rPr>
    </w:lvl>
    <w:lvl w:ilvl="7" w:tplc="04090003" w:tentative="1">
      <w:start w:val="1"/>
      <w:numFmt w:val="bullet"/>
      <w:lvlText w:val="o"/>
      <w:lvlJc w:val="left"/>
      <w:pPr>
        <w:ind w:left="6487" w:hanging="360"/>
      </w:pPr>
      <w:rPr>
        <w:rFonts w:ascii="Courier New" w:hAnsi="Courier New" w:hint="default"/>
      </w:rPr>
    </w:lvl>
    <w:lvl w:ilvl="8" w:tplc="04090005" w:tentative="1">
      <w:start w:val="1"/>
      <w:numFmt w:val="bullet"/>
      <w:lvlText w:val=""/>
      <w:lvlJc w:val="left"/>
      <w:pPr>
        <w:ind w:left="7207" w:hanging="360"/>
      </w:pPr>
      <w:rPr>
        <w:rFonts w:ascii="Wingdings" w:hAnsi="Wingdings" w:hint="default"/>
      </w:rPr>
    </w:lvl>
  </w:abstractNum>
  <w:abstractNum w:abstractNumId="13">
    <w:nsid w:val="643520C3"/>
    <w:multiLevelType w:val="hybridMultilevel"/>
    <w:tmpl w:val="6AB2A1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nsid w:val="6CFF4F5B"/>
    <w:multiLevelType w:val="hybridMultilevel"/>
    <w:tmpl w:val="37DEC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2025AD"/>
    <w:multiLevelType w:val="multilevel"/>
    <w:tmpl w:val="793A41C8"/>
    <w:lvl w:ilvl="0">
      <w:start w:val="1"/>
      <w:numFmt w:val="decimal"/>
      <w:pStyle w:val="Heading1"/>
      <w:lvlText w:val="Chapter %1:"/>
      <w:lvlJc w:val="left"/>
      <w:pPr>
        <w:tabs>
          <w:tab w:val="num" w:pos="0"/>
        </w:tabs>
        <w:ind w:left="360" w:hanging="360"/>
      </w:pPr>
      <w:rPr>
        <w:rFonts w:hint="default"/>
      </w:rPr>
    </w:lvl>
    <w:lvl w:ilvl="1">
      <w:start w:val="1"/>
      <w:numFmt w:val="decimal"/>
      <w:pStyle w:val="Heading2"/>
      <w:suff w:val="space"/>
      <w:lvlText w:val="%1.%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701643FF"/>
    <w:multiLevelType w:val="hybridMultilevel"/>
    <w:tmpl w:val="A47A67F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0385FCA"/>
    <w:multiLevelType w:val="multilevel"/>
    <w:tmpl w:val="8FA2BE4A"/>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79F45E17"/>
    <w:multiLevelType w:val="hybridMultilevel"/>
    <w:tmpl w:val="AF76D0E4"/>
    <w:lvl w:ilvl="0" w:tplc="F7F050CC">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3"/>
  </w:num>
  <w:num w:numId="3">
    <w:abstractNumId w:val="16"/>
  </w:num>
  <w:num w:numId="4">
    <w:abstractNumId w:val="10"/>
  </w:num>
  <w:num w:numId="5">
    <w:abstractNumId w:val="5"/>
  </w:num>
  <w:num w:numId="6">
    <w:abstractNumId w:val="0"/>
  </w:num>
  <w:num w:numId="7">
    <w:abstractNumId w:val="9"/>
  </w:num>
  <w:num w:numId="8">
    <w:abstractNumId w:val="1"/>
  </w:num>
  <w:num w:numId="9">
    <w:abstractNumId w:val="7"/>
  </w:num>
  <w:num w:numId="10">
    <w:abstractNumId w:val="18"/>
  </w:num>
  <w:num w:numId="11">
    <w:abstractNumId w:val="6"/>
  </w:num>
  <w:num w:numId="12">
    <w:abstractNumId w:val="4"/>
  </w:num>
  <w:num w:numId="13">
    <w:abstractNumId w:val="12"/>
  </w:num>
  <w:num w:numId="14">
    <w:abstractNumId w:val="14"/>
  </w:num>
  <w:num w:numId="15">
    <w:abstractNumId w:val="3"/>
  </w:num>
  <w:num w:numId="16">
    <w:abstractNumId w:val="2"/>
  </w:num>
  <w:num w:numId="17">
    <w:abstractNumId w:val="17"/>
  </w:num>
  <w:num w:numId="18">
    <w:abstractNumId w:val="11"/>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hideGrammaticalErrors/>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gricultural Economics (1)-I&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fvtavdaavaz95e2zv0vf9wms90fv05av5se&quot;&gt;CA_Farris&lt;record-ids&gt;&lt;item&gt;7&lt;/item&gt;&lt;item&gt;14&lt;/item&gt;&lt;item&gt;15&lt;/item&gt;&lt;item&gt;16&lt;/item&gt;&lt;item&gt;17&lt;/item&gt;&lt;item&gt;18&lt;/item&gt;&lt;item&gt;19&lt;/item&gt;&lt;item&gt;20&lt;/item&gt;&lt;item&gt;21&lt;/item&gt;&lt;item&gt;22&lt;/item&gt;&lt;item&gt;24&lt;/item&gt;&lt;item&gt;26&lt;/item&gt;&lt;item&gt;27&lt;/item&gt;&lt;item&gt;28&lt;/item&gt;&lt;item&gt;29&lt;/item&gt;&lt;item&gt;31&lt;/item&gt;&lt;item&gt;33&lt;/item&gt;&lt;item&gt;35&lt;/item&gt;&lt;item&gt;36&lt;/item&gt;&lt;item&gt;37&lt;/item&gt;&lt;item&gt;38&lt;/item&gt;&lt;item&gt;39&lt;/item&gt;&lt;item&gt;40&lt;/item&gt;&lt;/record-ids&gt;&lt;/item&gt;&lt;/Libraries&gt;"/>
  </w:docVars>
  <w:rsids>
    <w:rsidRoot w:val="00CC62A5"/>
    <w:rsid w:val="00000D29"/>
    <w:rsid w:val="00001F0A"/>
    <w:rsid w:val="00003BB9"/>
    <w:rsid w:val="00003CC0"/>
    <w:rsid w:val="0000443B"/>
    <w:rsid w:val="000055E9"/>
    <w:rsid w:val="00006D6A"/>
    <w:rsid w:val="00013C40"/>
    <w:rsid w:val="00013D14"/>
    <w:rsid w:val="00014345"/>
    <w:rsid w:val="00014822"/>
    <w:rsid w:val="00017218"/>
    <w:rsid w:val="00017BFE"/>
    <w:rsid w:val="0002032B"/>
    <w:rsid w:val="0002477C"/>
    <w:rsid w:val="00027802"/>
    <w:rsid w:val="00027DFF"/>
    <w:rsid w:val="00030635"/>
    <w:rsid w:val="00030663"/>
    <w:rsid w:val="00031898"/>
    <w:rsid w:val="00031F9E"/>
    <w:rsid w:val="00032622"/>
    <w:rsid w:val="000330C2"/>
    <w:rsid w:val="00033442"/>
    <w:rsid w:val="00034A81"/>
    <w:rsid w:val="00036038"/>
    <w:rsid w:val="00036FC2"/>
    <w:rsid w:val="00037E09"/>
    <w:rsid w:val="0004085C"/>
    <w:rsid w:val="00040ADE"/>
    <w:rsid w:val="000412E0"/>
    <w:rsid w:val="000414DB"/>
    <w:rsid w:val="0004249F"/>
    <w:rsid w:val="000465A0"/>
    <w:rsid w:val="00046949"/>
    <w:rsid w:val="00047E9E"/>
    <w:rsid w:val="0005165B"/>
    <w:rsid w:val="000524CB"/>
    <w:rsid w:val="000547EC"/>
    <w:rsid w:val="00060488"/>
    <w:rsid w:val="00062086"/>
    <w:rsid w:val="00062405"/>
    <w:rsid w:val="00063B44"/>
    <w:rsid w:val="0006550B"/>
    <w:rsid w:val="0006672D"/>
    <w:rsid w:val="00072883"/>
    <w:rsid w:val="0007327C"/>
    <w:rsid w:val="000753EA"/>
    <w:rsid w:val="000812C0"/>
    <w:rsid w:val="000813C2"/>
    <w:rsid w:val="0008165A"/>
    <w:rsid w:val="000822F0"/>
    <w:rsid w:val="00083C76"/>
    <w:rsid w:val="000853F0"/>
    <w:rsid w:val="00085974"/>
    <w:rsid w:val="00087E75"/>
    <w:rsid w:val="000914B4"/>
    <w:rsid w:val="00091D3B"/>
    <w:rsid w:val="00092D8B"/>
    <w:rsid w:val="00094D23"/>
    <w:rsid w:val="00094D2F"/>
    <w:rsid w:val="00097F85"/>
    <w:rsid w:val="000A0BC9"/>
    <w:rsid w:val="000A1ED4"/>
    <w:rsid w:val="000A3BCD"/>
    <w:rsid w:val="000B29C2"/>
    <w:rsid w:val="000B5D53"/>
    <w:rsid w:val="000C090A"/>
    <w:rsid w:val="000C5A2B"/>
    <w:rsid w:val="000C692B"/>
    <w:rsid w:val="000C7425"/>
    <w:rsid w:val="000C78E8"/>
    <w:rsid w:val="000D17D3"/>
    <w:rsid w:val="000D1886"/>
    <w:rsid w:val="000D3B62"/>
    <w:rsid w:val="000D5060"/>
    <w:rsid w:val="000E0368"/>
    <w:rsid w:val="000E1520"/>
    <w:rsid w:val="000E3B5F"/>
    <w:rsid w:val="000E40D8"/>
    <w:rsid w:val="000E5627"/>
    <w:rsid w:val="000E6972"/>
    <w:rsid w:val="000F15CD"/>
    <w:rsid w:val="000F1BCD"/>
    <w:rsid w:val="000F2641"/>
    <w:rsid w:val="000F26FA"/>
    <w:rsid w:val="000F2984"/>
    <w:rsid w:val="000F4893"/>
    <w:rsid w:val="000F4ABF"/>
    <w:rsid w:val="000F6C11"/>
    <w:rsid w:val="000F7651"/>
    <w:rsid w:val="000F76B3"/>
    <w:rsid w:val="00100843"/>
    <w:rsid w:val="001032DD"/>
    <w:rsid w:val="00103863"/>
    <w:rsid w:val="00106745"/>
    <w:rsid w:val="00112647"/>
    <w:rsid w:val="00116ACA"/>
    <w:rsid w:val="00124E4C"/>
    <w:rsid w:val="00131261"/>
    <w:rsid w:val="00131853"/>
    <w:rsid w:val="001328EF"/>
    <w:rsid w:val="0014001A"/>
    <w:rsid w:val="00141C8F"/>
    <w:rsid w:val="00144F1E"/>
    <w:rsid w:val="00145721"/>
    <w:rsid w:val="0015122C"/>
    <w:rsid w:val="00151750"/>
    <w:rsid w:val="001524E0"/>
    <w:rsid w:val="001533F6"/>
    <w:rsid w:val="00154C0B"/>
    <w:rsid w:val="00155242"/>
    <w:rsid w:val="00156159"/>
    <w:rsid w:val="001565DE"/>
    <w:rsid w:val="00157208"/>
    <w:rsid w:val="00157B84"/>
    <w:rsid w:val="00164ED2"/>
    <w:rsid w:val="00165C51"/>
    <w:rsid w:val="00165DA3"/>
    <w:rsid w:val="001715F5"/>
    <w:rsid w:val="00175D02"/>
    <w:rsid w:val="001773BA"/>
    <w:rsid w:val="001777D2"/>
    <w:rsid w:val="00181EFF"/>
    <w:rsid w:val="00182AB6"/>
    <w:rsid w:val="00185A47"/>
    <w:rsid w:val="00186D9F"/>
    <w:rsid w:val="00190556"/>
    <w:rsid w:val="00190A93"/>
    <w:rsid w:val="001916D2"/>
    <w:rsid w:val="00193A8C"/>
    <w:rsid w:val="00193C3E"/>
    <w:rsid w:val="00194ED9"/>
    <w:rsid w:val="00196A93"/>
    <w:rsid w:val="00197328"/>
    <w:rsid w:val="00197EB0"/>
    <w:rsid w:val="001A175D"/>
    <w:rsid w:val="001A44C7"/>
    <w:rsid w:val="001A4828"/>
    <w:rsid w:val="001A6F09"/>
    <w:rsid w:val="001B2E61"/>
    <w:rsid w:val="001B339F"/>
    <w:rsid w:val="001B4DD6"/>
    <w:rsid w:val="001B5145"/>
    <w:rsid w:val="001B7E96"/>
    <w:rsid w:val="001C1D46"/>
    <w:rsid w:val="001C2336"/>
    <w:rsid w:val="001C50B5"/>
    <w:rsid w:val="001C5200"/>
    <w:rsid w:val="001C70A1"/>
    <w:rsid w:val="001D01D3"/>
    <w:rsid w:val="001D1916"/>
    <w:rsid w:val="001D29D7"/>
    <w:rsid w:val="001D3B36"/>
    <w:rsid w:val="001D5142"/>
    <w:rsid w:val="001D6264"/>
    <w:rsid w:val="001D6B85"/>
    <w:rsid w:val="001D740D"/>
    <w:rsid w:val="001D778E"/>
    <w:rsid w:val="001D7B9B"/>
    <w:rsid w:val="001E0129"/>
    <w:rsid w:val="001E234F"/>
    <w:rsid w:val="001E26EC"/>
    <w:rsid w:val="001E3225"/>
    <w:rsid w:val="001E4F48"/>
    <w:rsid w:val="001E4FA3"/>
    <w:rsid w:val="001E5516"/>
    <w:rsid w:val="001F0923"/>
    <w:rsid w:val="001F1F1D"/>
    <w:rsid w:val="001F6FF5"/>
    <w:rsid w:val="001F7049"/>
    <w:rsid w:val="0020004E"/>
    <w:rsid w:val="0020033E"/>
    <w:rsid w:val="00202927"/>
    <w:rsid w:val="00205A53"/>
    <w:rsid w:val="00207972"/>
    <w:rsid w:val="0021034E"/>
    <w:rsid w:val="0021219C"/>
    <w:rsid w:val="002130EA"/>
    <w:rsid w:val="00213A2E"/>
    <w:rsid w:val="0021493E"/>
    <w:rsid w:val="002164A7"/>
    <w:rsid w:val="00221038"/>
    <w:rsid w:val="0022111B"/>
    <w:rsid w:val="002248F1"/>
    <w:rsid w:val="00224E08"/>
    <w:rsid w:val="00225AE0"/>
    <w:rsid w:val="002263CD"/>
    <w:rsid w:val="00226D5E"/>
    <w:rsid w:val="00227117"/>
    <w:rsid w:val="00227629"/>
    <w:rsid w:val="0023336F"/>
    <w:rsid w:val="0023585D"/>
    <w:rsid w:val="002365EB"/>
    <w:rsid w:val="00240E3B"/>
    <w:rsid w:val="0024161A"/>
    <w:rsid w:val="00242805"/>
    <w:rsid w:val="00242D28"/>
    <w:rsid w:val="002441E4"/>
    <w:rsid w:val="002464E8"/>
    <w:rsid w:val="002468E9"/>
    <w:rsid w:val="00247002"/>
    <w:rsid w:val="00253786"/>
    <w:rsid w:val="002539A7"/>
    <w:rsid w:val="00254E2F"/>
    <w:rsid w:val="00255112"/>
    <w:rsid w:val="00256454"/>
    <w:rsid w:val="002609A7"/>
    <w:rsid w:val="00261C52"/>
    <w:rsid w:val="0026262B"/>
    <w:rsid w:val="00263771"/>
    <w:rsid w:val="0026399C"/>
    <w:rsid w:val="00263C74"/>
    <w:rsid w:val="00263D5E"/>
    <w:rsid w:val="00265D6A"/>
    <w:rsid w:val="00267274"/>
    <w:rsid w:val="0027003E"/>
    <w:rsid w:val="00270506"/>
    <w:rsid w:val="0027246D"/>
    <w:rsid w:val="00272AA8"/>
    <w:rsid w:val="0027445C"/>
    <w:rsid w:val="00276957"/>
    <w:rsid w:val="0027787B"/>
    <w:rsid w:val="00280742"/>
    <w:rsid w:val="0028390A"/>
    <w:rsid w:val="00283D40"/>
    <w:rsid w:val="0028580A"/>
    <w:rsid w:val="00285AF0"/>
    <w:rsid w:val="00292359"/>
    <w:rsid w:val="00294A34"/>
    <w:rsid w:val="00296DEB"/>
    <w:rsid w:val="002A0515"/>
    <w:rsid w:val="002A1344"/>
    <w:rsid w:val="002A189D"/>
    <w:rsid w:val="002A33BF"/>
    <w:rsid w:val="002A4AB9"/>
    <w:rsid w:val="002A54AC"/>
    <w:rsid w:val="002A70E1"/>
    <w:rsid w:val="002B1965"/>
    <w:rsid w:val="002B1B16"/>
    <w:rsid w:val="002B1EB7"/>
    <w:rsid w:val="002B2FB7"/>
    <w:rsid w:val="002B5DFE"/>
    <w:rsid w:val="002B6196"/>
    <w:rsid w:val="002B72EC"/>
    <w:rsid w:val="002C04E8"/>
    <w:rsid w:val="002C05A8"/>
    <w:rsid w:val="002C1C62"/>
    <w:rsid w:val="002D3A7D"/>
    <w:rsid w:val="002D5ADA"/>
    <w:rsid w:val="002D6DFF"/>
    <w:rsid w:val="002D744E"/>
    <w:rsid w:val="002E0C88"/>
    <w:rsid w:val="002E14F0"/>
    <w:rsid w:val="002E64CF"/>
    <w:rsid w:val="002F0240"/>
    <w:rsid w:val="002F1001"/>
    <w:rsid w:val="002F11D4"/>
    <w:rsid w:val="002F2315"/>
    <w:rsid w:val="002F34FE"/>
    <w:rsid w:val="002F4170"/>
    <w:rsid w:val="002F4780"/>
    <w:rsid w:val="0030000C"/>
    <w:rsid w:val="003018F8"/>
    <w:rsid w:val="00304769"/>
    <w:rsid w:val="00307253"/>
    <w:rsid w:val="00307407"/>
    <w:rsid w:val="00310F6C"/>
    <w:rsid w:val="003119C3"/>
    <w:rsid w:val="00314EBB"/>
    <w:rsid w:val="0031611E"/>
    <w:rsid w:val="003254F4"/>
    <w:rsid w:val="00327150"/>
    <w:rsid w:val="0032738C"/>
    <w:rsid w:val="00330C2E"/>
    <w:rsid w:val="00331DF6"/>
    <w:rsid w:val="003322EC"/>
    <w:rsid w:val="00334A36"/>
    <w:rsid w:val="003360D0"/>
    <w:rsid w:val="00341BED"/>
    <w:rsid w:val="00342F56"/>
    <w:rsid w:val="00343B58"/>
    <w:rsid w:val="00344169"/>
    <w:rsid w:val="0034472E"/>
    <w:rsid w:val="00346099"/>
    <w:rsid w:val="0035070F"/>
    <w:rsid w:val="0035175F"/>
    <w:rsid w:val="00355AB8"/>
    <w:rsid w:val="00356DFD"/>
    <w:rsid w:val="00356E32"/>
    <w:rsid w:val="00362D4F"/>
    <w:rsid w:val="00364121"/>
    <w:rsid w:val="00364C8C"/>
    <w:rsid w:val="0036504E"/>
    <w:rsid w:val="00365358"/>
    <w:rsid w:val="00365502"/>
    <w:rsid w:val="00365E2B"/>
    <w:rsid w:val="003701B2"/>
    <w:rsid w:val="003711C6"/>
    <w:rsid w:val="003747C9"/>
    <w:rsid w:val="00374893"/>
    <w:rsid w:val="003753F3"/>
    <w:rsid w:val="003803EC"/>
    <w:rsid w:val="00380ABF"/>
    <w:rsid w:val="00380AFB"/>
    <w:rsid w:val="0038387E"/>
    <w:rsid w:val="003865C5"/>
    <w:rsid w:val="003927F8"/>
    <w:rsid w:val="00392A1A"/>
    <w:rsid w:val="00396799"/>
    <w:rsid w:val="00396900"/>
    <w:rsid w:val="0039738D"/>
    <w:rsid w:val="003973E8"/>
    <w:rsid w:val="00397B1A"/>
    <w:rsid w:val="003A019E"/>
    <w:rsid w:val="003A3ADE"/>
    <w:rsid w:val="003A42C9"/>
    <w:rsid w:val="003A4C40"/>
    <w:rsid w:val="003A6DF9"/>
    <w:rsid w:val="003A7B67"/>
    <w:rsid w:val="003A7CBB"/>
    <w:rsid w:val="003B0920"/>
    <w:rsid w:val="003B0DC3"/>
    <w:rsid w:val="003B2976"/>
    <w:rsid w:val="003B3147"/>
    <w:rsid w:val="003B5E43"/>
    <w:rsid w:val="003C08C4"/>
    <w:rsid w:val="003C688A"/>
    <w:rsid w:val="003C7301"/>
    <w:rsid w:val="003C75A1"/>
    <w:rsid w:val="003D04FE"/>
    <w:rsid w:val="003D0C49"/>
    <w:rsid w:val="003D2C4D"/>
    <w:rsid w:val="003D4117"/>
    <w:rsid w:val="003E02B1"/>
    <w:rsid w:val="003E0591"/>
    <w:rsid w:val="003E1A70"/>
    <w:rsid w:val="003E2449"/>
    <w:rsid w:val="003E471E"/>
    <w:rsid w:val="003E528D"/>
    <w:rsid w:val="003E5640"/>
    <w:rsid w:val="003E6EF8"/>
    <w:rsid w:val="003E7DBB"/>
    <w:rsid w:val="003F04E1"/>
    <w:rsid w:val="003F1CCB"/>
    <w:rsid w:val="003F35FE"/>
    <w:rsid w:val="003F3984"/>
    <w:rsid w:val="003F446B"/>
    <w:rsid w:val="003F450D"/>
    <w:rsid w:val="003F648B"/>
    <w:rsid w:val="003F7778"/>
    <w:rsid w:val="003F790B"/>
    <w:rsid w:val="003F7B2A"/>
    <w:rsid w:val="003F7C50"/>
    <w:rsid w:val="00400A57"/>
    <w:rsid w:val="00402429"/>
    <w:rsid w:val="00402517"/>
    <w:rsid w:val="004046EF"/>
    <w:rsid w:val="00410B7E"/>
    <w:rsid w:val="00414320"/>
    <w:rsid w:val="0041529C"/>
    <w:rsid w:val="004159EB"/>
    <w:rsid w:val="00415C2E"/>
    <w:rsid w:val="00417A77"/>
    <w:rsid w:val="00417B1A"/>
    <w:rsid w:val="00417C3A"/>
    <w:rsid w:val="004203BC"/>
    <w:rsid w:val="00426714"/>
    <w:rsid w:val="00433CF2"/>
    <w:rsid w:val="00435611"/>
    <w:rsid w:val="00437701"/>
    <w:rsid w:val="004402A3"/>
    <w:rsid w:val="00440951"/>
    <w:rsid w:val="00440DFD"/>
    <w:rsid w:val="00447565"/>
    <w:rsid w:val="00453FE3"/>
    <w:rsid w:val="004573F5"/>
    <w:rsid w:val="004608C2"/>
    <w:rsid w:val="00460C24"/>
    <w:rsid w:val="00462E30"/>
    <w:rsid w:val="00464B15"/>
    <w:rsid w:val="00464E99"/>
    <w:rsid w:val="00465462"/>
    <w:rsid w:val="00465620"/>
    <w:rsid w:val="00466A29"/>
    <w:rsid w:val="00466F1A"/>
    <w:rsid w:val="004706BE"/>
    <w:rsid w:val="004712B8"/>
    <w:rsid w:val="0047243A"/>
    <w:rsid w:val="00472D2D"/>
    <w:rsid w:val="0047357B"/>
    <w:rsid w:val="004751D2"/>
    <w:rsid w:val="00475C98"/>
    <w:rsid w:val="00477CF0"/>
    <w:rsid w:val="00481252"/>
    <w:rsid w:val="00482358"/>
    <w:rsid w:val="004823F6"/>
    <w:rsid w:val="00486384"/>
    <w:rsid w:val="004876C0"/>
    <w:rsid w:val="00490F56"/>
    <w:rsid w:val="004920B8"/>
    <w:rsid w:val="0049255F"/>
    <w:rsid w:val="00493158"/>
    <w:rsid w:val="00494E4E"/>
    <w:rsid w:val="00495308"/>
    <w:rsid w:val="004A15F7"/>
    <w:rsid w:val="004A21AF"/>
    <w:rsid w:val="004A38EE"/>
    <w:rsid w:val="004A4466"/>
    <w:rsid w:val="004A580D"/>
    <w:rsid w:val="004A76F6"/>
    <w:rsid w:val="004A799E"/>
    <w:rsid w:val="004B1956"/>
    <w:rsid w:val="004B70E3"/>
    <w:rsid w:val="004C2932"/>
    <w:rsid w:val="004C329D"/>
    <w:rsid w:val="004C6A9E"/>
    <w:rsid w:val="004D02DD"/>
    <w:rsid w:val="004D1206"/>
    <w:rsid w:val="004D773B"/>
    <w:rsid w:val="004D7D7F"/>
    <w:rsid w:val="004E104A"/>
    <w:rsid w:val="004E2E1A"/>
    <w:rsid w:val="004E40C5"/>
    <w:rsid w:val="004E4B6F"/>
    <w:rsid w:val="004E540D"/>
    <w:rsid w:val="004E59B7"/>
    <w:rsid w:val="004E7214"/>
    <w:rsid w:val="004E7380"/>
    <w:rsid w:val="004E7E9B"/>
    <w:rsid w:val="004E7F78"/>
    <w:rsid w:val="004F0123"/>
    <w:rsid w:val="004F01C9"/>
    <w:rsid w:val="00501AF2"/>
    <w:rsid w:val="00504B5E"/>
    <w:rsid w:val="00507898"/>
    <w:rsid w:val="00510458"/>
    <w:rsid w:val="00515666"/>
    <w:rsid w:val="0051643D"/>
    <w:rsid w:val="00517702"/>
    <w:rsid w:val="00520AC3"/>
    <w:rsid w:val="005216F7"/>
    <w:rsid w:val="005224A5"/>
    <w:rsid w:val="00522943"/>
    <w:rsid w:val="00522FCB"/>
    <w:rsid w:val="005237DD"/>
    <w:rsid w:val="00523DA4"/>
    <w:rsid w:val="005253FC"/>
    <w:rsid w:val="00526B54"/>
    <w:rsid w:val="0052763E"/>
    <w:rsid w:val="005305A2"/>
    <w:rsid w:val="005320D3"/>
    <w:rsid w:val="00533937"/>
    <w:rsid w:val="00535162"/>
    <w:rsid w:val="00540C40"/>
    <w:rsid w:val="00540C65"/>
    <w:rsid w:val="00544824"/>
    <w:rsid w:val="0054640A"/>
    <w:rsid w:val="00546901"/>
    <w:rsid w:val="0055017A"/>
    <w:rsid w:val="005514AC"/>
    <w:rsid w:val="005525FC"/>
    <w:rsid w:val="0055426C"/>
    <w:rsid w:val="00555A01"/>
    <w:rsid w:val="0056133A"/>
    <w:rsid w:val="00562A21"/>
    <w:rsid w:val="00562BF0"/>
    <w:rsid w:val="0056361C"/>
    <w:rsid w:val="005650F6"/>
    <w:rsid w:val="00565CD6"/>
    <w:rsid w:val="00566074"/>
    <w:rsid w:val="0057010F"/>
    <w:rsid w:val="005714FA"/>
    <w:rsid w:val="0057268D"/>
    <w:rsid w:val="00573909"/>
    <w:rsid w:val="005770A2"/>
    <w:rsid w:val="0058017A"/>
    <w:rsid w:val="005805DA"/>
    <w:rsid w:val="005816F6"/>
    <w:rsid w:val="00582A03"/>
    <w:rsid w:val="00582FDC"/>
    <w:rsid w:val="00584CAA"/>
    <w:rsid w:val="0058711E"/>
    <w:rsid w:val="005876A6"/>
    <w:rsid w:val="0058790F"/>
    <w:rsid w:val="00590C56"/>
    <w:rsid w:val="005924CE"/>
    <w:rsid w:val="005937EB"/>
    <w:rsid w:val="00595D7C"/>
    <w:rsid w:val="00597A81"/>
    <w:rsid w:val="005A12D4"/>
    <w:rsid w:val="005A17A4"/>
    <w:rsid w:val="005A2058"/>
    <w:rsid w:val="005A2C48"/>
    <w:rsid w:val="005A4495"/>
    <w:rsid w:val="005A4F93"/>
    <w:rsid w:val="005A57C3"/>
    <w:rsid w:val="005A639D"/>
    <w:rsid w:val="005B137A"/>
    <w:rsid w:val="005B2049"/>
    <w:rsid w:val="005C07A1"/>
    <w:rsid w:val="005C32CB"/>
    <w:rsid w:val="005C358B"/>
    <w:rsid w:val="005C55DC"/>
    <w:rsid w:val="005D0511"/>
    <w:rsid w:val="005D12C7"/>
    <w:rsid w:val="005D1A3B"/>
    <w:rsid w:val="005D22D7"/>
    <w:rsid w:val="005D2779"/>
    <w:rsid w:val="005D2E54"/>
    <w:rsid w:val="005D2F85"/>
    <w:rsid w:val="005D3E5C"/>
    <w:rsid w:val="005D550D"/>
    <w:rsid w:val="005D7DA4"/>
    <w:rsid w:val="005D7F00"/>
    <w:rsid w:val="005E2C50"/>
    <w:rsid w:val="005E3459"/>
    <w:rsid w:val="005E5133"/>
    <w:rsid w:val="005E6C50"/>
    <w:rsid w:val="005F0810"/>
    <w:rsid w:val="005F1030"/>
    <w:rsid w:val="005F110F"/>
    <w:rsid w:val="005F29F1"/>
    <w:rsid w:val="005F2ED6"/>
    <w:rsid w:val="005F3F32"/>
    <w:rsid w:val="005F5AC6"/>
    <w:rsid w:val="00600BFD"/>
    <w:rsid w:val="00601820"/>
    <w:rsid w:val="006026D2"/>
    <w:rsid w:val="00604492"/>
    <w:rsid w:val="006068A0"/>
    <w:rsid w:val="006109ED"/>
    <w:rsid w:val="006135C6"/>
    <w:rsid w:val="00613D7D"/>
    <w:rsid w:val="006141CD"/>
    <w:rsid w:val="006211B3"/>
    <w:rsid w:val="006219CB"/>
    <w:rsid w:val="00621D4A"/>
    <w:rsid w:val="00624B7A"/>
    <w:rsid w:val="00626127"/>
    <w:rsid w:val="0063023F"/>
    <w:rsid w:val="00630A55"/>
    <w:rsid w:val="00633370"/>
    <w:rsid w:val="006351AB"/>
    <w:rsid w:val="00635CBD"/>
    <w:rsid w:val="00636A5B"/>
    <w:rsid w:val="0064137E"/>
    <w:rsid w:val="00642B97"/>
    <w:rsid w:val="00647C88"/>
    <w:rsid w:val="006613AE"/>
    <w:rsid w:val="0066340A"/>
    <w:rsid w:val="0066616A"/>
    <w:rsid w:val="006676DE"/>
    <w:rsid w:val="00671255"/>
    <w:rsid w:val="006735A8"/>
    <w:rsid w:val="00673905"/>
    <w:rsid w:val="006748F4"/>
    <w:rsid w:val="00675591"/>
    <w:rsid w:val="00675806"/>
    <w:rsid w:val="00675C6C"/>
    <w:rsid w:val="00680CCA"/>
    <w:rsid w:val="006822F4"/>
    <w:rsid w:val="006845B0"/>
    <w:rsid w:val="00687741"/>
    <w:rsid w:val="00692C9B"/>
    <w:rsid w:val="00694249"/>
    <w:rsid w:val="006951BB"/>
    <w:rsid w:val="0069676A"/>
    <w:rsid w:val="00697206"/>
    <w:rsid w:val="006A025A"/>
    <w:rsid w:val="006A1D6D"/>
    <w:rsid w:val="006A2932"/>
    <w:rsid w:val="006A5382"/>
    <w:rsid w:val="006A6538"/>
    <w:rsid w:val="006A6693"/>
    <w:rsid w:val="006A6840"/>
    <w:rsid w:val="006A77F0"/>
    <w:rsid w:val="006B780B"/>
    <w:rsid w:val="006B78A7"/>
    <w:rsid w:val="006B78D1"/>
    <w:rsid w:val="006B7D42"/>
    <w:rsid w:val="006C17BC"/>
    <w:rsid w:val="006C7F7B"/>
    <w:rsid w:val="006D0DD9"/>
    <w:rsid w:val="006D2B4A"/>
    <w:rsid w:val="006D3683"/>
    <w:rsid w:val="006D42ED"/>
    <w:rsid w:val="006D63C8"/>
    <w:rsid w:val="006D7457"/>
    <w:rsid w:val="006E04C7"/>
    <w:rsid w:val="006E23ED"/>
    <w:rsid w:val="006E4EE7"/>
    <w:rsid w:val="006E5A62"/>
    <w:rsid w:val="006E66A0"/>
    <w:rsid w:val="006F07EC"/>
    <w:rsid w:val="006F502D"/>
    <w:rsid w:val="006F6381"/>
    <w:rsid w:val="00700264"/>
    <w:rsid w:val="00700D5A"/>
    <w:rsid w:val="00701639"/>
    <w:rsid w:val="00701D3E"/>
    <w:rsid w:val="00702AEB"/>
    <w:rsid w:val="007036E0"/>
    <w:rsid w:val="00715979"/>
    <w:rsid w:val="0071734C"/>
    <w:rsid w:val="00717352"/>
    <w:rsid w:val="00722322"/>
    <w:rsid w:val="007235D1"/>
    <w:rsid w:val="007257F5"/>
    <w:rsid w:val="0072587E"/>
    <w:rsid w:val="00725DBF"/>
    <w:rsid w:val="007265E9"/>
    <w:rsid w:val="00731F66"/>
    <w:rsid w:val="00733EE7"/>
    <w:rsid w:val="0073533F"/>
    <w:rsid w:val="00735B65"/>
    <w:rsid w:val="007364B9"/>
    <w:rsid w:val="00737DE8"/>
    <w:rsid w:val="00740F0C"/>
    <w:rsid w:val="0074773B"/>
    <w:rsid w:val="0074795B"/>
    <w:rsid w:val="00750B24"/>
    <w:rsid w:val="00750B89"/>
    <w:rsid w:val="0075165F"/>
    <w:rsid w:val="00754112"/>
    <w:rsid w:val="0075566A"/>
    <w:rsid w:val="0075566C"/>
    <w:rsid w:val="0075591E"/>
    <w:rsid w:val="00755CDA"/>
    <w:rsid w:val="00760609"/>
    <w:rsid w:val="00765E55"/>
    <w:rsid w:val="007664BC"/>
    <w:rsid w:val="00766A54"/>
    <w:rsid w:val="00766B2B"/>
    <w:rsid w:val="00766D5C"/>
    <w:rsid w:val="00774608"/>
    <w:rsid w:val="00777B24"/>
    <w:rsid w:val="00783FE0"/>
    <w:rsid w:val="007854C7"/>
    <w:rsid w:val="00786076"/>
    <w:rsid w:val="00791193"/>
    <w:rsid w:val="0079273D"/>
    <w:rsid w:val="00793C42"/>
    <w:rsid w:val="00793C7B"/>
    <w:rsid w:val="00797652"/>
    <w:rsid w:val="007A03E0"/>
    <w:rsid w:val="007A1504"/>
    <w:rsid w:val="007A20D1"/>
    <w:rsid w:val="007A2121"/>
    <w:rsid w:val="007A542C"/>
    <w:rsid w:val="007A660F"/>
    <w:rsid w:val="007B149B"/>
    <w:rsid w:val="007B2EE9"/>
    <w:rsid w:val="007B3EC5"/>
    <w:rsid w:val="007C1739"/>
    <w:rsid w:val="007C29A4"/>
    <w:rsid w:val="007C380F"/>
    <w:rsid w:val="007C3CD8"/>
    <w:rsid w:val="007C60FA"/>
    <w:rsid w:val="007C638C"/>
    <w:rsid w:val="007D160E"/>
    <w:rsid w:val="007D199B"/>
    <w:rsid w:val="007D213B"/>
    <w:rsid w:val="007D75F5"/>
    <w:rsid w:val="007E20C6"/>
    <w:rsid w:val="007E5E56"/>
    <w:rsid w:val="007E72DF"/>
    <w:rsid w:val="007E7D5D"/>
    <w:rsid w:val="007F01F4"/>
    <w:rsid w:val="007F3FF7"/>
    <w:rsid w:val="007F420F"/>
    <w:rsid w:val="007F529E"/>
    <w:rsid w:val="007F5894"/>
    <w:rsid w:val="00800A9B"/>
    <w:rsid w:val="0080444D"/>
    <w:rsid w:val="00805638"/>
    <w:rsid w:val="00814824"/>
    <w:rsid w:val="00820484"/>
    <w:rsid w:val="0082163F"/>
    <w:rsid w:val="00825EA6"/>
    <w:rsid w:val="00826576"/>
    <w:rsid w:val="0082694D"/>
    <w:rsid w:val="008275B6"/>
    <w:rsid w:val="008302E3"/>
    <w:rsid w:val="0083091A"/>
    <w:rsid w:val="00834130"/>
    <w:rsid w:val="00836E20"/>
    <w:rsid w:val="00837527"/>
    <w:rsid w:val="0083753F"/>
    <w:rsid w:val="00837A8F"/>
    <w:rsid w:val="00842FB0"/>
    <w:rsid w:val="00844EF2"/>
    <w:rsid w:val="008453E2"/>
    <w:rsid w:val="008455DB"/>
    <w:rsid w:val="0084745F"/>
    <w:rsid w:val="00850C60"/>
    <w:rsid w:val="0085547A"/>
    <w:rsid w:val="00855A3C"/>
    <w:rsid w:val="008703D1"/>
    <w:rsid w:val="00870C17"/>
    <w:rsid w:val="008741A9"/>
    <w:rsid w:val="00876D9F"/>
    <w:rsid w:val="00877C0E"/>
    <w:rsid w:val="00880862"/>
    <w:rsid w:val="0088237E"/>
    <w:rsid w:val="0088792D"/>
    <w:rsid w:val="00890445"/>
    <w:rsid w:val="00891D6F"/>
    <w:rsid w:val="00894A3E"/>
    <w:rsid w:val="0089754B"/>
    <w:rsid w:val="008A0289"/>
    <w:rsid w:val="008A2250"/>
    <w:rsid w:val="008A286A"/>
    <w:rsid w:val="008A3922"/>
    <w:rsid w:val="008A3A4C"/>
    <w:rsid w:val="008A6D23"/>
    <w:rsid w:val="008A76A7"/>
    <w:rsid w:val="008B02D7"/>
    <w:rsid w:val="008B0708"/>
    <w:rsid w:val="008B1CFF"/>
    <w:rsid w:val="008B385C"/>
    <w:rsid w:val="008B46CA"/>
    <w:rsid w:val="008B52BA"/>
    <w:rsid w:val="008B643E"/>
    <w:rsid w:val="008B6BA5"/>
    <w:rsid w:val="008B7950"/>
    <w:rsid w:val="008C233A"/>
    <w:rsid w:val="008C34D7"/>
    <w:rsid w:val="008C42B4"/>
    <w:rsid w:val="008D1CD8"/>
    <w:rsid w:val="008D488B"/>
    <w:rsid w:val="008D4ED5"/>
    <w:rsid w:val="008E019C"/>
    <w:rsid w:val="008E1A34"/>
    <w:rsid w:val="008E342F"/>
    <w:rsid w:val="008E372A"/>
    <w:rsid w:val="008F050C"/>
    <w:rsid w:val="008F0C78"/>
    <w:rsid w:val="008F0F5A"/>
    <w:rsid w:val="008F1F3A"/>
    <w:rsid w:val="008F24FA"/>
    <w:rsid w:val="008F372A"/>
    <w:rsid w:val="008F3F1A"/>
    <w:rsid w:val="00900DB1"/>
    <w:rsid w:val="00901008"/>
    <w:rsid w:val="009018C3"/>
    <w:rsid w:val="00901E5D"/>
    <w:rsid w:val="00902159"/>
    <w:rsid w:val="00903690"/>
    <w:rsid w:val="0090389B"/>
    <w:rsid w:val="009040FB"/>
    <w:rsid w:val="0090522B"/>
    <w:rsid w:val="00905D59"/>
    <w:rsid w:val="0090712C"/>
    <w:rsid w:val="0091127E"/>
    <w:rsid w:val="00913078"/>
    <w:rsid w:val="00914555"/>
    <w:rsid w:val="009145AA"/>
    <w:rsid w:val="00914A8C"/>
    <w:rsid w:val="00914F1D"/>
    <w:rsid w:val="00915148"/>
    <w:rsid w:val="009153B3"/>
    <w:rsid w:val="00916EDB"/>
    <w:rsid w:val="00921AA7"/>
    <w:rsid w:val="00922D17"/>
    <w:rsid w:val="00923478"/>
    <w:rsid w:val="00923C9F"/>
    <w:rsid w:val="00924AFA"/>
    <w:rsid w:val="00926F7B"/>
    <w:rsid w:val="00930182"/>
    <w:rsid w:val="009339F0"/>
    <w:rsid w:val="00934D97"/>
    <w:rsid w:val="00934E94"/>
    <w:rsid w:val="00934F46"/>
    <w:rsid w:val="0093554C"/>
    <w:rsid w:val="00937534"/>
    <w:rsid w:val="00937D0F"/>
    <w:rsid w:val="00941004"/>
    <w:rsid w:val="009434B8"/>
    <w:rsid w:val="009441FA"/>
    <w:rsid w:val="00944638"/>
    <w:rsid w:val="00944E57"/>
    <w:rsid w:val="00950DC2"/>
    <w:rsid w:val="009517F7"/>
    <w:rsid w:val="009534B9"/>
    <w:rsid w:val="009539E1"/>
    <w:rsid w:val="00954C8E"/>
    <w:rsid w:val="0095520A"/>
    <w:rsid w:val="009555AA"/>
    <w:rsid w:val="00956A45"/>
    <w:rsid w:val="00957881"/>
    <w:rsid w:val="00961731"/>
    <w:rsid w:val="00966394"/>
    <w:rsid w:val="00967663"/>
    <w:rsid w:val="00967995"/>
    <w:rsid w:val="009679F9"/>
    <w:rsid w:val="009714E2"/>
    <w:rsid w:val="00971D30"/>
    <w:rsid w:val="009778CC"/>
    <w:rsid w:val="009804F9"/>
    <w:rsid w:val="00980655"/>
    <w:rsid w:val="00984AD8"/>
    <w:rsid w:val="00986399"/>
    <w:rsid w:val="00986BE9"/>
    <w:rsid w:val="00986ECB"/>
    <w:rsid w:val="00993434"/>
    <w:rsid w:val="00995862"/>
    <w:rsid w:val="00996782"/>
    <w:rsid w:val="00997C20"/>
    <w:rsid w:val="009A08FE"/>
    <w:rsid w:val="009A0994"/>
    <w:rsid w:val="009A1AC4"/>
    <w:rsid w:val="009A2328"/>
    <w:rsid w:val="009A27EF"/>
    <w:rsid w:val="009A345D"/>
    <w:rsid w:val="009A44F8"/>
    <w:rsid w:val="009A5475"/>
    <w:rsid w:val="009A5BBD"/>
    <w:rsid w:val="009A6638"/>
    <w:rsid w:val="009A7D47"/>
    <w:rsid w:val="009B0233"/>
    <w:rsid w:val="009B5C2F"/>
    <w:rsid w:val="009B617F"/>
    <w:rsid w:val="009B7A06"/>
    <w:rsid w:val="009C0B2B"/>
    <w:rsid w:val="009C1C49"/>
    <w:rsid w:val="009C2D49"/>
    <w:rsid w:val="009C4F60"/>
    <w:rsid w:val="009C78CA"/>
    <w:rsid w:val="009D146B"/>
    <w:rsid w:val="009D168A"/>
    <w:rsid w:val="009D5559"/>
    <w:rsid w:val="009D6BA5"/>
    <w:rsid w:val="009D7685"/>
    <w:rsid w:val="009E0C74"/>
    <w:rsid w:val="009E0CF5"/>
    <w:rsid w:val="009E107F"/>
    <w:rsid w:val="009E14A8"/>
    <w:rsid w:val="009E1692"/>
    <w:rsid w:val="009E1F08"/>
    <w:rsid w:val="009E2462"/>
    <w:rsid w:val="009E2C90"/>
    <w:rsid w:val="009E3B3C"/>
    <w:rsid w:val="009E5841"/>
    <w:rsid w:val="009E59DF"/>
    <w:rsid w:val="009E5D22"/>
    <w:rsid w:val="009E5D6A"/>
    <w:rsid w:val="009F2232"/>
    <w:rsid w:val="009F2F00"/>
    <w:rsid w:val="009F30CA"/>
    <w:rsid w:val="009F6E44"/>
    <w:rsid w:val="009F7820"/>
    <w:rsid w:val="00A000D3"/>
    <w:rsid w:val="00A01645"/>
    <w:rsid w:val="00A0295A"/>
    <w:rsid w:val="00A0497C"/>
    <w:rsid w:val="00A056F3"/>
    <w:rsid w:val="00A145D0"/>
    <w:rsid w:val="00A15822"/>
    <w:rsid w:val="00A168E2"/>
    <w:rsid w:val="00A20D79"/>
    <w:rsid w:val="00A21863"/>
    <w:rsid w:val="00A219A3"/>
    <w:rsid w:val="00A22B41"/>
    <w:rsid w:val="00A24ADF"/>
    <w:rsid w:val="00A261F4"/>
    <w:rsid w:val="00A26445"/>
    <w:rsid w:val="00A276A2"/>
    <w:rsid w:val="00A27820"/>
    <w:rsid w:val="00A27F7E"/>
    <w:rsid w:val="00A30116"/>
    <w:rsid w:val="00A30D83"/>
    <w:rsid w:val="00A312D5"/>
    <w:rsid w:val="00A36610"/>
    <w:rsid w:val="00A40294"/>
    <w:rsid w:val="00A410DA"/>
    <w:rsid w:val="00A4413F"/>
    <w:rsid w:val="00A448D3"/>
    <w:rsid w:val="00A463AE"/>
    <w:rsid w:val="00A47AA2"/>
    <w:rsid w:val="00A5462B"/>
    <w:rsid w:val="00A551FC"/>
    <w:rsid w:val="00A5740A"/>
    <w:rsid w:val="00A578BD"/>
    <w:rsid w:val="00A6130B"/>
    <w:rsid w:val="00A620FE"/>
    <w:rsid w:val="00A62F2E"/>
    <w:rsid w:val="00A63EF6"/>
    <w:rsid w:val="00A651ED"/>
    <w:rsid w:val="00A7082E"/>
    <w:rsid w:val="00A73226"/>
    <w:rsid w:val="00A73E57"/>
    <w:rsid w:val="00A81409"/>
    <w:rsid w:val="00A814D1"/>
    <w:rsid w:val="00A81D31"/>
    <w:rsid w:val="00A834F8"/>
    <w:rsid w:val="00A91AE3"/>
    <w:rsid w:val="00A91BF3"/>
    <w:rsid w:val="00A92352"/>
    <w:rsid w:val="00A94252"/>
    <w:rsid w:val="00A944E7"/>
    <w:rsid w:val="00A95173"/>
    <w:rsid w:val="00AA03EC"/>
    <w:rsid w:val="00AA07D8"/>
    <w:rsid w:val="00AA159B"/>
    <w:rsid w:val="00AA3E48"/>
    <w:rsid w:val="00AA5882"/>
    <w:rsid w:val="00AA5CD1"/>
    <w:rsid w:val="00AB0236"/>
    <w:rsid w:val="00AB2E4A"/>
    <w:rsid w:val="00AB60BE"/>
    <w:rsid w:val="00AC261A"/>
    <w:rsid w:val="00AC2D22"/>
    <w:rsid w:val="00AC3F3B"/>
    <w:rsid w:val="00AC48B5"/>
    <w:rsid w:val="00AC56D4"/>
    <w:rsid w:val="00AC596D"/>
    <w:rsid w:val="00AC782D"/>
    <w:rsid w:val="00AD070C"/>
    <w:rsid w:val="00AD0FA8"/>
    <w:rsid w:val="00AD125B"/>
    <w:rsid w:val="00AD159D"/>
    <w:rsid w:val="00AE2A40"/>
    <w:rsid w:val="00AE33A6"/>
    <w:rsid w:val="00AE5538"/>
    <w:rsid w:val="00AE564F"/>
    <w:rsid w:val="00AF2F7C"/>
    <w:rsid w:val="00AF3825"/>
    <w:rsid w:val="00B006A4"/>
    <w:rsid w:val="00B01DBE"/>
    <w:rsid w:val="00B03F99"/>
    <w:rsid w:val="00B07EC4"/>
    <w:rsid w:val="00B123C5"/>
    <w:rsid w:val="00B1246E"/>
    <w:rsid w:val="00B12BAF"/>
    <w:rsid w:val="00B1463F"/>
    <w:rsid w:val="00B16213"/>
    <w:rsid w:val="00B212F1"/>
    <w:rsid w:val="00B22C1D"/>
    <w:rsid w:val="00B2398F"/>
    <w:rsid w:val="00B249C0"/>
    <w:rsid w:val="00B24DE1"/>
    <w:rsid w:val="00B27E96"/>
    <w:rsid w:val="00B307F7"/>
    <w:rsid w:val="00B34131"/>
    <w:rsid w:val="00B360D1"/>
    <w:rsid w:val="00B42D8A"/>
    <w:rsid w:val="00B43974"/>
    <w:rsid w:val="00B44F1F"/>
    <w:rsid w:val="00B501AB"/>
    <w:rsid w:val="00B510E2"/>
    <w:rsid w:val="00B52ED9"/>
    <w:rsid w:val="00B541C1"/>
    <w:rsid w:val="00B54E23"/>
    <w:rsid w:val="00B55AC6"/>
    <w:rsid w:val="00B57C92"/>
    <w:rsid w:val="00B60E01"/>
    <w:rsid w:val="00B61427"/>
    <w:rsid w:val="00B61F3D"/>
    <w:rsid w:val="00B6345B"/>
    <w:rsid w:val="00B6369A"/>
    <w:rsid w:val="00B63836"/>
    <w:rsid w:val="00B6485A"/>
    <w:rsid w:val="00B66CF0"/>
    <w:rsid w:val="00B6789A"/>
    <w:rsid w:val="00B70247"/>
    <w:rsid w:val="00B70445"/>
    <w:rsid w:val="00B70EBB"/>
    <w:rsid w:val="00B74BF1"/>
    <w:rsid w:val="00B74E7A"/>
    <w:rsid w:val="00B77972"/>
    <w:rsid w:val="00B77F48"/>
    <w:rsid w:val="00B80E1E"/>
    <w:rsid w:val="00B82D0F"/>
    <w:rsid w:val="00B8792C"/>
    <w:rsid w:val="00B92FA8"/>
    <w:rsid w:val="00B945AA"/>
    <w:rsid w:val="00B95150"/>
    <w:rsid w:val="00B97478"/>
    <w:rsid w:val="00B976E4"/>
    <w:rsid w:val="00BA1694"/>
    <w:rsid w:val="00BA30E4"/>
    <w:rsid w:val="00BA4424"/>
    <w:rsid w:val="00BA45A1"/>
    <w:rsid w:val="00BA6629"/>
    <w:rsid w:val="00BA6C0B"/>
    <w:rsid w:val="00BA71AC"/>
    <w:rsid w:val="00BA7280"/>
    <w:rsid w:val="00BB0593"/>
    <w:rsid w:val="00BB06E6"/>
    <w:rsid w:val="00BB0778"/>
    <w:rsid w:val="00BB079A"/>
    <w:rsid w:val="00BB0B75"/>
    <w:rsid w:val="00BB10ED"/>
    <w:rsid w:val="00BB2D81"/>
    <w:rsid w:val="00BB66F2"/>
    <w:rsid w:val="00BC22A6"/>
    <w:rsid w:val="00BC2FD5"/>
    <w:rsid w:val="00BC369D"/>
    <w:rsid w:val="00BC5775"/>
    <w:rsid w:val="00BD1DB3"/>
    <w:rsid w:val="00BD1DC1"/>
    <w:rsid w:val="00BD1E7A"/>
    <w:rsid w:val="00BD2764"/>
    <w:rsid w:val="00BD27A3"/>
    <w:rsid w:val="00BD3A45"/>
    <w:rsid w:val="00BD4CBB"/>
    <w:rsid w:val="00BD4E5A"/>
    <w:rsid w:val="00BE198C"/>
    <w:rsid w:val="00BE2252"/>
    <w:rsid w:val="00BE3038"/>
    <w:rsid w:val="00BE3687"/>
    <w:rsid w:val="00BE401C"/>
    <w:rsid w:val="00BE4CFD"/>
    <w:rsid w:val="00BE6424"/>
    <w:rsid w:val="00BF05D8"/>
    <w:rsid w:val="00C0098B"/>
    <w:rsid w:val="00C010BC"/>
    <w:rsid w:val="00C02FB7"/>
    <w:rsid w:val="00C04E06"/>
    <w:rsid w:val="00C07AB6"/>
    <w:rsid w:val="00C10E45"/>
    <w:rsid w:val="00C10E71"/>
    <w:rsid w:val="00C1464C"/>
    <w:rsid w:val="00C2020B"/>
    <w:rsid w:val="00C2180D"/>
    <w:rsid w:val="00C27E1C"/>
    <w:rsid w:val="00C31082"/>
    <w:rsid w:val="00C31DA4"/>
    <w:rsid w:val="00C36663"/>
    <w:rsid w:val="00C36F51"/>
    <w:rsid w:val="00C37F91"/>
    <w:rsid w:val="00C4098F"/>
    <w:rsid w:val="00C460BD"/>
    <w:rsid w:val="00C478BE"/>
    <w:rsid w:val="00C506EB"/>
    <w:rsid w:val="00C50EB1"/>
    <w:rsid w:val="00C520C9"/>
    <w:rsid w:val="00C55574"/>
    <w:rsid w:val="00C563D6"/>
    <w:rsid w:val="00C60DA4"/>
    <w:rsid w:val="00C61091"/>
    <w:rsid w:val="00C61558"/>
    <w:rsid w:val="00C61D70"/>
    <w:rsid w:val="00C61FE5"/>
    <w:rsid w:val="00C64FDB"/>
    <w:rsid w:val="00C66B5B"/>
    <w:rsid w:val="00C73A45"/>
    <w:rsid w:val="00C7650A"/>
    <w:rsid w:val="00C7727B"/>
    <w:rsid w:val="00C8076B"/>
    <w:rsid w:val="00C82390"/>
    <w:rsid w:val="00C82E0C"/>
    <w:rsid w:val="00C83D1E"/>
    <w:rsid w:val="00C854DE"/>
    <w:rsid w:val="00C873F0"/>
    <w:rsid w:val="00C90979"/>
    <w:rsid w:val="00C91B65"/>
    <w:rsid w:val="00C924F5"/>
    <w:rsid w:val="00C92F71"/>
    <w:rsid w:val="00C96DB8"/>
    <w:rsid w:val="00C975C9"/>
    <w:rsid w:val="00CA06B1"/>
    <w:rsid w:val="00CA54D6"/>
    <w:rsid w:val="00CA609C"/>
    <w:rsid w:val="00CA69E8"/>
    <w:rsid w:val="00CA6E73"/>
    <w:rsid w:val="00CA743D"/>
    <w:rsid w:val="00CA799E"/>
    <w:rsid w:val="00CB2830"/>
    <w:rsid w:val="00CB4A1A"/>
    <w:rsid w:val="00CB6D4C"/>
    <w:rsid w:val="00CB7158"/>
    <w:rsid w:val="00CC000F"/>
    <w:rsid w:val="00CC0862"/>
    <w:rsid w:val="00CC3F0D"/>
    <w:rsid w:val="00CC472F"/>
    <w:rsid w:val="00CC5652"/>
    <w:rsid w:val="00CC62A5"/>
    <w:rsid w:val="00CC6D87"/>
    <w:rsid w:val="00CD6570"/>
    <w:rsid w:val="00CD6FDA"/>
    <w:rsid w:val="00CD7818"/>
    <w:rsid w:val="00CD7F48"/>
    <w:rsid w:val="00CE2133"/>
    <w:rsid w:val="00CE2887"/>
    <w:rsid w:val="00CE3249"/>
    <w:rsid w:val="00CE62BB"/>
    <w:rsid w:val="00CF7715"/>
    <w:rsid w:val="00D03222"/>
    <w:rsid w:val="00D06B98"/>
    <w:rsid w:val="00D06C31"/>
    <w:rsid w:val="00D11AFC"/>
    <w:rsid w:val="00D140E3"/>
    <w:rsid w:val="00D1594C"/>
    <w:rsid w:val="00D15B7D"/>
    <w:rsid w:val="00D16297"/>
    <w:rsid w:val="00D1714C"/>
    <w:rsid w:val="00D17F08"/>
    <w:rsid w:val="00D209EA"/>
    <w:rsid w:val="00D243DC"/>
    <w:rsid w:val="00D25568"/>
    <w:rsid w:val="00D255A1"/>
    <w:rsid w:val="00D377B3"/>
    <w:rsid w:val="00D40A54"/>
    <w:rsid w:val="00D40B73"/>
    <w:rsid w:val="00D40BF7"/>
    <w:rsid w:val="00D41363"/>
    <w:rsid w:val="00D4169C"/>
    <w:rsid w:val="00D419A8"/>
    <w:rsid w:val="00D429C0"/>
    <w:rsid w:val="00D42A40"/>
    <w:rsid w:val="00D43C5E"/>
    <w:rsid w:val="00D45F3B"/>
    <w:rsid w:val="00D4647E"/>
    <w:rsid w:val="00D52DD2"/>
    <w:rsid w:val="00D538EE"/>
    <w:rsid w:val="00D566C0"/>
    <w:rsid w:val="00D566DC"/>
    <w:rsid w:val="00D575E0"/>
    <w:rsid w:val="00D660D2"/>
    <w:rsid w:val="00D720D4"/>
    <w:rsid w:val="00D730EC"/>
    <w:rsid w:val="00D73E91"/>
    <w:rsid w:val="00D74BF1"/>
    <w:rsid w:val="00D76D62"/>
    <w:rsid w:val="00D806FB"/>
    <w:rsid w:val="00D869F6"/>
    <w:rsid w:val="00D8787F"/>
    <w:rsid w:val="00D90818"/>
    <w:rsid w:val="00D93633"/>
    <w:rsid w:val="00D93AE5"/>
    <w:rsid w:val="00D943BD"/>
    <w:rsid w:val="00D95902"/>
    <w:rsid w:val="00D96802"/>
    <w:rsid w:val="00DA01BF"/>
    <w:rsid w:val="00DA3C99"/>
    <w:rsid w:val="00DA4224"/>
    <w:rsid w:val="00DB0231"/>
    <w:rsid w:val="00DB103D"/>
    <w:rsid w:val="00DB1447"/>
    <w:rsid w:val="00DB2A73"/>
    <w:rsid w:val="00DB4256"/>
    <w:rsid w:val="00DB5D5F"/>
    <w:rsid w:val="00DB5F71"/>
    <w:rsid w:val="00DC0B07"/>
    <w:rsid w:val="00DC0C1B"/>
    <w:rsid w:val="00DC0C45"/>
    <w:rsid w:val="00DC2243"/>
    <w:rsid w:val="00DC2897"/>
    <w:rsid w:val="00DC2A5F"/>
    <w:rsid w:val="00DC606F"/>
    <w:rsid w:val="00DD2F76"/>
    <w:rsid w:val="00DD6F4A"/>
    <w:rsid w:val="00DE0114"/>
    <w:rsid w:val="00DE0889"/>
    <w:rsid w:val="00DE1591"/>
    <w:rsid w:val="00DE6B2F"/>
    <w:rsid w:val="00DE6EC5"/>
    <w:rsid w:val="00DE768D"/>
    <w:rsid w:val="00DF0246"/>
    <w:rsid w:val="00DF52B2"/>
    <w:rsid w:val="00DF5B7F"/>
    <w:rsid w:val="00DF5FA5"/>
    <w:rsid w:val="00DF6A28"/>
    <w:rsid w:val="00DF7614"/>
    <w:rsid w:val="00DF7846"/>
    <w:rsid w:val="00DF7A12"/>
    <w:rsid w:val="00E006B2"/>
    <w:rsid w:val="00E03E94"/>
    <w:rsid w:val="00E0497F"/>
    <w:rsid w:val="00E05ACB"/>
    <w:rsid w:val="00E07122"/>
    <w:rsid w:val="00E11207"/>
    <w:rsid w:val="00E129D4"/>
    <w:rsid w:val="00E13222"/>
    <w:rsid w:val="00E143AB"/>
    <w:rsid w:val="00E145E1"/>
    <w:rsid w:val="00E14BE4"/>
    <w:rsid w:val="00E162F6"/>
    <w:rsid w:val="00E212DA"/>
    <w:rsid w:val="00E22B63"/>
    <w:rsid w:val="00E26F75"/>
    <w:rsid w:val="00E306C0"/>
    <w:rsid w:val="00E30A5A"/>
    <w:rsid w:val="00E32552"/>
    <w:rsid w:val="00E3381E"/>
    <w:rsid w:val="00E34776"/>
    <w:rsid w:val="00E351FE"/>
    <w:rsid w:val="00E36DCF"/>
    <w:rsid w:val="00E373D6"/>
    <w:rsid w:val="00E40475"/>
    <w:rsid w:val="00E41960"/>
    <w:rsid w:val="00E42164"/>
    <w:rsid w:val="00E4512E"/>
    <w:rsid w:val="00E45150"/>
    <w:rsid w:val="00E46BD5"/>
    <w:rsid w:val="00E511D3"/>
    <w:rsid w:val="00E52D83"/>
    <w:rsid w:val="00E52EEA"/>
    <w:rsid w:val="00E5365C"/>
    <w:rsid w:val="00E54780"/>
    <w:rsid w:val="00E55E6B"/>
    <w:rsid w:val="00E562E0"/>
    <w:rsid w:val="00E5665C"/>
    <w:rsid w:val="00E608C2"/>
    <w:rsid w:val="00E618A0"/>
    <w:rsid w:val="00E6224A"/>
    <w:rsid w:val="00E70CD8"/>
    <w:rsid w:val="00E763CC"/>
    <w:rsid w:val="00E76811"/>
    <w:rsid w:val="00E804B1"/>
    <w:rsid w:val="00E80F39"/>
    <w:rsid w:val="00E84A55"/>
    <w:rsid w:val="00E86300"/>
    <w:rsid w:val="00E8765E"/>
    <w:rsid w:val="00E90F22"/>
    <w:rsid w:val="00E94556"/>
    <w:rsid w:val="00E94A84"/>
    <w:rsid w:val="00E95C2A"/>
    <w:rsid w:val="00E9636C"/>
    <w:rsid w:val="00EA0D04"/>
    <w:rsid w:val="00EA1B72"/>
    <w:rsid w:val="00EA21D1"/>
    <w:rsid w:val="00EA22E6"/>
    <w:rsid w:val="00EB38BE"/>
    <w:rsid w:val="00EB3A42"/>
    <w:rsid w:val="00EB7C6B"/>
    <w:rsid w:val="00EB7EF6"/>
    <w:rsid w:val="00EC0A9C"/>
    <w:rsid w:val="00EC34CE"/>
    <w:rsid w:val="00EC3987"/>
    <w:rsid w:val="00EC52C2"/>
    <w:rsid w:val="00EC5826"/>
    <w:rsid w:val="00EC65CD"/>
    <w:rsid w:val="00EC6C75"/>
    <w:rsid w:val="00EC6CBD"/>
    <w:rsid w:val="00EC7039"/>
    <w:rsid w:val="00EC75C0"/>
    <w:rsid w:val="00EC784A"/>
    <w:rsid w:val="00ED07A2"/>
    <w:rsid w:val="00ED0A56"/>
    <w:rsid w:val="00ED2C11"/>
    <w:rsid w:val="00ED3159"/>
    <w:rsid w:val="00ED366F"/>
    <w:rsid w:val="00ED5138"/>
    <w:rsid w:val="00EE05DD"/>
    <w:rsid w:val="00EE0E30"/>
    <w:rsid w:val="00EE25DE"/>
    <w:rsid w:val="00EE27C0"/>
    <w:rsid w:val="00EE617E"/>
    <w:rsid w:val="00EE75F0"/>
    <w:rsid w:val="00EF3E2D"/>
    <w:rsid w:val="00EF4C20"/>
    <w:rsid w:val="00EF51EB"/>
    <w:rsid w:val="00EF524A"/>
    <w:rsid w:val="00EF5D6B"/>
    <w:rsid w:val="00EF6E24"/>
    <w:rsid w:val="00F034E8"/>
    <w:rsid w:val="00F0359B"/>
    <w:rsid w:val="00F03B84"/>
    <w:rsid w:val="00F03BCA"/>
    <w:rsid w:val="00F05ACF"/>
    <w:rsid w:val="00F111F3"/>
    <w:rsid w:val="00F12FD8"/>
    <w:rsid w:val="00F147B1"/>
    <w:rsid w:val="00F15A54"/>
    <w:rsid w:val="00F15DAE"/>
    <w:rsid w:val="00F1761E"/>
    <w:rsid w:val="00F202EE"/>
    <w:rsid w:val="00F21EC3"/>
    <w:rsid w:val="00F21FD6"/>
    <w:rsid w:val="00F30E27"/>
    <w:rsid w:val="00F31F7C"/>
    <w:rsid w:val="00F324D2"/>
    <w:rsid w:val="00F32B14"/>
    <w:rsid w:val="00F33783"/>
    <w:rsid w:val="00F33CC2"/>
    <w:rsid w:val="00F35A73"/>
    <w:rsid w:val="00F360B3"/>
    <w:rsid w:val="00F3747D"/>
    <w:rsid w:val="00F37691"/>
    <w:rsid w:val="00F41F0C"/>
    <w:rsid w:val="00F44996"/>
    <w:rsid w:val="00F44C3A"/>
    <w:rsid w:val="00F463C1"/>
    <w:rsid w:val="00F52A16"/>
    <w:rsid w:val="00F54E09"/>
    <w:rsid w:val="00F55163"/>
    <w:rsid w:val="00F5552D"/>
    <w:rsid w:val="00F560C6"/>
    <w:rsid w:val="00F64C39"/>
    <w:rsid w:val="00F6596D"/>
    <w:rsid w:val="00F661B1"/>
    <w:rsid w:val="00F675B8"/>
    <w:rsid w:val="00F70ACA"/>
    <w:rsid w:val="00F76DF3"/>
    <w:rsid w:val="00F77020"/>
    <w:rsid w:val="00F82383"/>
    <w:rsid w:val="00F82CB0"/>
    <w:rsid w:val="00F83707"/>
    <w:rsid w:val="00F8454C"/>
    <w:rsid w:val="00F849B3"/>
    <w:rsid w:val="00F84AB1"/>
    <w:rsid w:val="00F853C7"/>
    <w:rsid w:val="00F86FF3"/>
    <w:rsid w:val="00F9136F"/>
    <w:rsid w:val="00F929F6"/>
    <w:rsid w:val="00F93AB0"/>
    <w:rsid w:val="00F95B29"/>
    <w:rsid w:val="00FA2A76"/>
    <w:rsid w:val="00FA5EDA"/>
    <w:rsid w:val="00FA6EAD"/>
    <w:rsid w:val="00FA7551"/>
    <w:rsid w:val="00FB3277"/>
    <w:rsid w:val="00FB3D1A"/>
    <w:rsid w:val="00FB45AE"/>
    <w:rsid w:val="00FB4D43"/>
    <w:rsid w:val="00FB65A9"/>
    <w:rsid w:val="00FB7454"/>
    <w:rsid w:val="00FB76AF"/>
    <w:rsid w:val="00FC0742"/>
    <w:rsid w:val="00FC1EE9"/>
    <w:rsid w:val="00FC27E9"/>
    <w:rsid w:val="00FC3E11"/>
    <w:rsid w:val="00FC4425"/>
    <w:rsid w:val="00FC5297"/>
    <w:rsid w:val="00FC6726"/>
    <w:rsid w:val="00FC7B83"/>
    <w:rsid w:val="00FD204C"/>
    <w:rsid w:val="00FE0392"/>
    <w:rsid w:val="00FE32B8"/>
    <w:rsid w:val="00FF06D2"/>
    <w:rsid w:val="00FF0740"/>
    <w:rsid w:val="00FF268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5A0CD2"/>
  <w14:defaultImageDpi w14:val="300"/>
  <w15:docId w15:val="{14EDB10C-25EA-4840-ADD4-6C7B83C36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75C0"/>
    <w:pPr>
      <w:numPr>
        <w:numId w:val="1"/>
      </w:numPr>
      <w:spacing w:after="200" w:line="276" w:lineRule="auto"/>
      <w:outlineLvl w:val="0"/>
    </w:pPr>
    <w:rPr>
      <w:rFonts w:eastAsia="Calibri"/>
      <w:b/>
      <w:sz w:val="28"/>
    </w:rPr>
  </w:style>
  <w:style w:type="paragraph" w:styleId="Heading2">
    <w:name w:val="heading 2"/>
    <w:basedOn w:val="Normal"/>
    <w:next w:val="Normal"/>
    <w:link w:val="Heading2Char"/>
    <w:uiPriority w:val="9"/>
    <w:unhideWhenUsed/>
    <w:qFormat/>
    <w:rsid w:val="00EC75C0"/>
    <w:pPr>
      <w:numPr>
        <w:ilvl w:val="1"/>
        <w:numId w:val="1"/>
      </w:numPr>
      <w:spacing w:after="200" w:line="276" w:lineRule="auto"/>
      <w:outlineLvl w:val="1"/>
    </w:pPr>
    <w:rPr>
      <w:rFonts w:eastAsia="Calibri"/>
      <w:b/>
      <w:sz w:val="28"/>
    </w:rPr>
  </w:style>
  <w:style w:type="paragraph" w:styleId="Heading3">
    <w:name w:val="heading 3"/>
    <w:basedOn w:val="Heading4"/>
    <w:next w:val="Normal"/>
    <w:link w:val="Heading3Char"/>
    <w:uiPriority w:val="9"/>
    <w:unhideWhenUsed/>
    <w:qFormat/>
    <w:rsid w:val="00E46BD5"/>
    <w:pPr>
      <w:outlineLvl w:val="2"/>
    </w:pPr>
  </w:style>
  <w:style w:type="paragraph" w:styleId="Heading4">
    <w:name w:val="heading 4"/>
    <w:basedOn w:val="Normal"/>
    <w:next w:val="Normal"/>
    <w:link w:val="Heading4Char"/>
    <w:uiPriority w:val="9"/>
    <w:unhideWhenUsed/>
    <w:qFormat/>
    <w:rsid w:val="00E46BD5"/>
    <w:pPr>
      <w:keepNext/>
      <w:keepLines/>
      <w:spacing w:before="200" w:line="276" w:lineRule="auto"/>
      <w:outlineLvl w:val="3"/>
    </w:pPr>
    <w:rPr>
      <w:rFonts w:eastAsiaTheme="majorEastAsia"/>
      <w:b/>
      <w:bCs/>
      <w:iCs/>
      <w:sz w:val="28"/>
      <w:szCs w:val="28"/>
    </w:rPr>
  </w:style>
  <w:style w:type="paragraph" w:styleId="Heading5">
    <w:name w:val="heading 5"/>
    <w:basedOn w:val="Normal"/>
    <w:next w:val="Normal"/>
    <w:link w:val="Heading5Char"/>
    <w:uiPriority w:val="9"/>
    <w:unhideWhenUsed/>
    <w:qFormat/>
    <w:rsid w:val="00E46BD5"/>
    <w:pPr>
      <w:outlineLvl w:val="4"/>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4823F6"/>
    <w:pPr>
      <w:jc w:val="center"/>
    </w:pPr>
    <w:rPr>
      <w:rFonts w:ascii="Calibri" w:hAnsi="Calibri"/>
      <w:b/>
      <w:bCs/>
    </w:rPr>
  </w:style>
  <w:style w:type="character" w:customStyle="1" w:styleId="Heading1Char">
    <w:name w:val="Heading 1 Char"/>
    <w:basedOn w:val="DefaultParagraphFont"/>
    <w:link w:val="Heading1"/>
    <w:uiPriority w:val="9"/>
    <w:rsid w:val="00EC75C0"/>
    <w:rPr>
      <w:rFonts w:eastAsia="Calibri"/>
      <w:b/>
      <w:sz w:val="28"/>
    </w:rPr>
  </w:style>
  <w:style w:type="character" w:customStyle="1" w:styleId="Heading2Char">
    <w:name w:val="Heading 2 Char"/>
    <w:basedOn w:val="DefaultParagraphFont"/>
    <w:link w:val="Heading2"/>
    <w:uiPriority w:val="9"/>
    <w:rsid w:val="00EC75C0"/>
    <w:rPr>
      <w:rFonts w:eastAsia="Calibri"/>
      <w:b/>
      <w:sz w:val="28"/>
    </w:rPr>
  </w:style>
  <w:style w:type="paragraph" w:styleId="FootnoteText">
    <w:name w:val="footnote text"/>
    <w:basedOn w:val="Normal"/>
    <w:link w:val="FootnoteTextChar"/>
    <w:uiPriority w:val="99"/>
    <w:unhideWhenUsed/>
    <w:rsid w:val="00EC75C0"/>
  </w:style>
  <w:style w:type="character" w:customStyle="1" w:styleId="FootnoteTextChar">
    <w:name w:val="Footnote Text Char"/>
    <w:basedOn w:val="DefaultParagraphFont"/>
    <w:link w:val="FootnoteText"/>
    <w:uiPriority w:val="99"/>
    <w:rsid w:val="00EC75C0"/>
  </w:style>
  <w:style w:type="character" w:styleId="FootnoteReference">
    <w:name w:val="footnote reference"/>
    <w:basedOn w:val="DefaultParagraphFont"/>
    <w:uiPriority w:val="99"/>
    <w:unhideWhenUsed/>
    <w:rsid w:val="00EC75C0"/>
    <w:rPr>
      <w:vertAlign w:val="superscript"/>
    </w:rPr>
  </w:style>
  <w:style w:type="table" w:styleId="TableGrid">
    <w:name w:val="Table Grid"/>
    <w:basedOn w:val="TableNormal"/>
    <w:uiPriority w:val="59"/>
    <w:rsid w:val="00EC75C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nhideWhenUsed/>
    <w:rsid w:val="00EC75C0"/>
    <w:rPr>
      <w:rFonts w:ascii="Lucida Grande" w:hAnsi="Lucida Grande" w:cs="Lucida Grande"/>
      <w:sz w:val="18"/>
      <w:szCs w:val="18"/>
    </w:rPr>
  </w:style>
  <w:style w:type="character" w:customStyle="1" w:styleId="BalloonTextChar">
    <w:name w:val="Balloon Text Char"/>
    <w:basedOn w:val="DefaultParagraphFont"/>
    <w:link w:val="BalloonText"/>
    <w:rsid w:val="00EC75C0"/>
    <w:rPr>
      <w:rFonts w:ascii="Lucida Grande" w:hAnsi="Lucida Grande" w:cs="Lucida Grande"/>
      <w:sz w:val="18"/>
      <w:szCs w:val="18"/>
    </w:rPr>
  </w:style>
  <w:style w:type="character" w:customStyle="1" w:styleId="Heading3Char">
    <w:name w:val="Heading 3 Char"/>
    <w:basedOn w:val="DefaultParagraphFont"/>
    <w:link w:val="Heading3"/>
    <w:uiPriority w:val="9"/>
    <w:rsid w:val="00E46BD5"/>
    <w:rPr>
      <w:rFonts w:eastAsiaTheme="majorEastAsia"/>
      <w:b/>
      <w:bCs/>
      <w:iCs/>
      <w:sz w:val="28"/>
      <w:szCs w:val="28"/>
    </w:rPr>
  </w:style>
  <w:style w:type="character" w:customStyle="1" w:styleId="Heading4Char">
    <w:name w:val="Heading 4 Char"/>
    <w:basedOn w:val="DefaultParagraphFont"/>
    <w:link w:val="Heading4"/>
    <w:uiPriority w:val="9"/>
    <w:rsid w:val="00E46BD5"/>
    <w:rPr>
      <w:rFonts w:eastAsiaTheme="majorEastAsia"/>
      <w:b/>
      <w:bCs/>
      <w:iCs/>
      <w:sz w:val="28"/>
      <w:szCs w:val="28"/>
    </w:rPr>
  </w:style>
  <w:style w:type="character" w:customStyle="1" w:styleId="Heading5Char">
    <w:name w:val="Heading 5 Char"/>
    <w:basedOn w:val="DefaultParagraphFont"/>
    <w:link w:val="Heading5"/>
    <w:uiPriority w:val="9"/>
    <w:rsid w:val="00E46BD5"/>
    <w:rPr>
      <w:b/>
      <w:sz w:val="28"/>
    </w:rPr>
  </w:style>
  <w:style w:type="character" w:styleId="Hyperlink">
    <w:name w:val="Hyperlink"/>
    <w:basedOn w:val="DefaultParagraphFont"/>
    <w:uiPriority w:val="99"/>
    <w:unhideWhenUsed/>
    <w:rsid w:val="00E46BD5"/>
    <w:rPr>
      <w:color w:val="0000FF" w:themeColor="hyperlink"/>
      <w:u w:val="single"/>
    </w:rPr>
  </w:style>
  <w:style w:type="character" w:styleId="CommentReference">
    <w:name w:val="annotation reference"/>
    <w:basedOn w:val="DefaultParagraphFont"/>
    <w:uiPriority w:val="99"/>
    <w:semiHidden/>
    <w:unhideWhenUsed/>
    <w:rsid w:val="00E46BD5"/>
    <w:rPr>
      <w:sz w:val="18"/>
      <w:szCs w:val="18"/>
    </w:rPr>
  </w:style>
  <w:style w:type="paragraph" w:styleId="CommentText">
    <w:name w:val="annotation text"/>
    <w:basedOn w:val="Normal"/>
    <w:link w:val="CommentTextChar"/>
    <w:uiPriority w:val="99"/>
    <w:unhideWhenUsed/>
    <w:rsid w:val="00E46BD5"/>
    <w:pPr>
      <w:spacing w:after="200"/>
    </w:pPr>
  </w:style>
  <w:style w:type="character" w:customStyle="1" w:styleId="CommentTextChar">
    <w:name w:val="Comment Text Char"/>
    <w:basedOn w:val="DefaultParagraphFont"/>
    <w:link w:val="CommentText"/>
    <w:uiPriority w:val="99"/>
    <w:rsid w:val="00E46BD5"/>
  </w:style>
  <w:style w:type="paragraph" w:styleId="CommentSubject">
    <w:name w:val="annotation subject"/>
    <w:basedOn w:val="CommentText"/>
    <w:next w:val="CommentText"/>
    <w:link w:val="CommentSubjectChar"/>
    <w:uiPriority w:val="99"/>
    <w:semiHidden/>
    <w:unhideWhenUsed/>
    <w:rsid w:val="00E46BD5"/>
    <w:rPr>
      <w:b/>
      <w:bCs/>
      <w:sz w:val="20"/>
      <w:szCs w:val="20"/>
    </w:rPr>
  </w:style>
  <w:style w:type="character" w:customStyle="1" w:styleId="CommentSubjectChar">
    <w:name w:val="Comment Subject Char"/>
    <w:basedOn w:val="CommentTextChar"/>
    <w:link w:val="CommentSubject"/>
    <w:uiPriority w:val="99"/>
    <w:semiHidden/>
    <w:rsid w:val="00E46BD5"/>
    <w:rPr>
      <w:b/>
      <w:bCs/>
      <w:sz w:val="20"/>
      <w:szCs w:val="20"/>
    </w:rPr>
  </w:style>
  <w:style w:type="paragraph" w:styleId="ListParagraph">
    <w:name w:val="List Paragraph"/>
    <w:basedOn w:val="Normal"/>
    <w:uiPriority w:val="34"/>
    <w:qFormat/>
    <w:rsid w:val="00E46BD5"/>
    <w:pPr>
      <w:spacing w:after="200" w:line="276" w:lineRule="auto"/>
      <w:ind w:left="720"/>
      <w:contextualSpacing/>
    </w:pPr>
  </w:style>
  <w:style w:type="character" w:styleId="PlaceholderText">
    <w:name w:val="Placeholder Text"/>
    <w:basedOn w:val="DefaultParagraphFont"/>
    <w:uiPriority w:val="99"/>
    <w:semiHidden/>
    <w:rsid w:val="00E46BD5"/>
    <w:rPr>
      <w:color w:val="808080"/>
    </w:rPr>
  </w:style>
  <w:style w:type="character" w:styleId="FollowedHyperlink">
    <w:name w:val="FollowedHyperlink"/>
    <w:basedOn w:val="DefaultParagraphFont"/>
    <w:uiPriority w:val="99"/>
    <w:semiHidden/>
    <w:unhideWhenUsed/>
    <w:rsid w:val="00E46BD5"/>
    <w:rPr>
      <w:color w:val="800080" w:themeColor="followedHyperlink"/>
      <w:u w:val="single"/>
    </w:rPr>
  </w:style>
  <w:style w:type="paragraph" w:styleId="Header">
    <w:name w:val="header"/>
    <w:basedOn w:val="Normal"/>
    <w:link w:val="HeaderChar"/>
    <w:uiPriority w:val="99"/>
    <w:unhideWhenUsed/>
    <w:rsid w:val="00E46BD5"/>
    <w:pPr>
      <w:tabs>
        <w:tab w:val="center" w:pos="4320"/>
        <w:tab w:val="right" w:pos="8640"/>
      </w:tabs>
    </w:pPr>
  </w:style>
  <w:style w:type="character" w:customStyle="1" w:styleId="HeaderChar">
    <w:name w:val="Header Char"/>
    <w:basedOn w:val="DefaultParagraphFont"/>
    <w:link w:val="Header"/>
    <w:uiPriority w:val="99"/>
    <w:rsid w:val="00E46BD5"/>
  </w:style>
  <w:style w:type="character" w:styleId="PageNumber">
    <w:name w:val="page number"/>
    <w:basedOn w:val="DefaultParagraphFont"/>
    <w:unhideWhenUsed/>
    <w:rsid w:val="00E46BD5"/>
  </w:style>
  <w:style w:type="paragraph" w:styleId="Footer">
    <w:name w:val="footer"/>
    <w:basedOn w:val="Normal"/>
    <w:link w:val="FooterChar"/>
    <w:uiPriority w:val="99"/>
    <w:unhideWhenUsed/>
    <w:rsid w:val="00E46BD5"/>
    <w:pPr>
      <w:tabs>
        <w:tab w:val="center" w:pos="4320"/>
        <w:tab w:val="right" w:pos="8640"/>
      </w:tabs>
    </w:pPr>
  </w:style>
  <w:style w:type="character" w:customStyle="1" w:styleId="FooterChar">
    <w:name w:val="Footer Char"/>
    <w:basedOn w:val="DefaultParagraphFont"/>
    <w:link w:val="Footer"/>
    <w:uiPriority w:val="99"/>
    <w:rsid w:val="00E46BD5"/>
  </w:style>
  <w:style w:type="paragraph" w:styleId="TOCHeading">
    <w:name w:val="TOC Heading"/>
    <w:basedOn w:val="Heading1"/>
    <w:next w:val="Normal"/>
    <w:uiPriority w:val="39"/>
    <w:unhideWhenUsed/>
    <w:qFormat/>
    <w:rsid w:val="00E46BD5"/>
    <w:pPr>
      <w:numPr>
        <w:numId w:val="5"/>
      </w:numPr>
      <w:outlineLvl w:val="9"/>
    </w:pPr>
    <w:rPr>
      <w:color w:val="365F91" w:themeColor="accent1" w:themeShade="BF"/>
      <w:szCs w:val="28"/>
    </w:rPr>
  </w:style>
  <w:style w:type="paragraph" w:styleId="TOC1">
    <w:name w:val="toc 1"/>
    <w:basedOn w:val="Normal"/>
    <w:next w:val="Normal"/>
    <w:autoRedefine/>
    <w:uiPriority w:val="39"/>
    <w:unhideWhenUsed/>
    <w:rsid w:val="00E46BD5"/>
    <w:pPr>
      <w:spacing w:before="120" w:line="276" w:lineRule="auto"/>
    </w:pPr>
    <w:rPr>
      <w:rFonts w:asciiTheme="minorHAnsi" w:hAnsiTheme="minorHAnsi"/>
      <w:b/>
      <w:caps/>
      <w:sz w:val="22"/>
      <w:szCs w:val="22"/>
    </w:rPr>
  </w:style>
  <w:style w:type="paragraph" w:styleId="TOC2">
    <w:name w:val="toc 2"/>
    <w:basedOn w:val="Normal"/>
    <w:next w:val="Normal"/>
    <w:autoRedefine/>
    <w:uiPriority w:val="39"/>
    <w:unhideWhenUsed/>
    <w:rsid w:val="00E46BD5"/>
    <w:pPr>
      <w:spacing w:line="276" w:lineRule="auto"/>
      <w:ind w:left="240"/>
    </w:pPr>
    <w:rPr>
      <w:rFonts w:asciiTheme="minorHAnsi" w:hAnsiTheme="minorHAnsi"/>
      <w:smallCaps/>
      <w:sz w:val="22"/>
      <w:szCs w:val="22"/>
    </w:rPr>
  </w:style>
  <w:style w:type="paragraph" w:styleId="TOC3">
    <w:name w:val="toc 3"/>
    <w:basedOn w:val="Normal"/>
    <w:next w:val="Normal"/>
    <w:autoRedefine/>
    <w:uiPriority w:val="39"/>
    <w:unhideWhenUsed/>
    <w:rsid w:val="00E46BD5"/>
    <w:pPr>
      <w:spacing w:line="276" w:lineRule="auto"/>
      <w:ind w:left="480"/>
    </w:pPr>
    <w:rPr>
      <w:rFonts w:asciiTheme="minorHAnsi" w:hAnsiTheme="minorHAnsi"/>
      <w:i/>
      <w:sz w:val="22"/>
      <w:szCs w:val="22"/>
    </w:rPr>
  </w:style>
  <w:style w:type="paragraph" w:styleId="TOC4">
    <w:name w:val="toc 4"/>
    <w:basedOn w:val="Normal"/>
    <w:next w:val="Normal"/>
    <w:autoRedefine/>
    <w:uiPriority w:val="39"/>
    <w:unhideWhenUsed/>
    <w:rsid w:val="00E46BD5"/>
    <w:pPr>
      <w:spacing w:line="276" w:lineRule="auto"/>
      <w:ind w:left="720"/>
    </w:pPr>
    <w:rPr>
      <w:rFonts w:asciiTheme="minorHAnsi" w:hAnsiTheme="minorHAnsi"/>
      <w:sz w:val="18"/>
      <w:szCs w:val="18"/>
    </w:rPr>
  </w:style>
  <w:style w:type="paragraph" w:styleId="TOC5">
    <w:name w:val="toc 5"/>
    <w:basedOn w:val="Normal"/>
    <w:next w:val="Normal"/>
    <w:autoRedefine/>
    <w:uiPriority w:val="39"/>
    <w:unhideWhenUsed/>
    <w:rsid w:val="00E46BD5"/>
    <w:pPr>
      <w:spacing w:line="276" w:lineRule="auto"/>
      <w:ind w:left="960"/>
    </w:pPr>
    <w:rPr>
      <w:rFonts w:asciiTheme="minorHAnsi" w:hAnsiTheme="minorHAnsi"/>
      <w:sz w:val="18"/>
      <w:szCs w:val="18"/>
    </w:rPr>
  </w:style>
  <w:style w:type="paragraph" w:styleId="TOC6">
    <w:name w:val="toc 6"/>
    <w:basedOn w:val="Normal"/>
    <w:next w:val="Normal"/>
    <w:autoRedefine/>
    <w:uiPriority w:val="39"/>
    <w:unhideWhenUsed/>
    <w:rsid w:val="00E46BD5"/>
    <w:pPr>
      <w:spacing w:line="276" w:lineRule="auto"/>
      <w:ind w:left="1200"/>
    </w:pPr>
    <w:rPr>
      <w:rFonts w:asciiTheme="minorHAnsi" w:hAnsiTheme="minorHAnsi"/>
      <w:sz w:val="18"/>
      <w:szCs w:val="18"/>
    </w:rPr>
  </w:style>
  <w:style w:type="paragraph" w:styleId="TOC7">
    <w:name w:val="toc 7"/>
    <w:basedOn w:val="Normal"/>
    <w:next w:val="Normal"/>
    <w:autoRedefine/>
    <w:uiPriority w:val="39"/>
    <w:unhideWhenUsed/>
    <w:rsid w:val="00E46BD5"/>
    <w:pPr>
      <w:spacing w:line="276" w:lineRule="auto"/>
      <w:ind w:left="1440"/>
    </w:pPr>
    <w:rPr>
      <w:rFonts w:asciiTheme="minorHAnsi" w:hAnsiTheme="minorHAnsi"/>
      <w:sz w:val="18"/>
      <w:szCs w:val="18"/>
    </w:rPr>
  </w:style>
  <w:style w:type="paragraph" w:styleId="TOC8">
    <w:name w:val="toc 8"/>
    <w:basedOn w:val="Normal"/>
    <w:next w:val="Normal"/>
    <w:autoRedefine/>
    <w:uiPriority w:val="39"/>
    <w:unhideWhenUsed/>
    <w:rsid w:val="00E46BD5"/>
    <w:pPr>
      <w:spacing w:line="276" w:lineRule="auto"/>
      <w:ind w:left="1680"/>
    </w:pPr>
    <w:rPr>
      <w:rFonts w:asciiTheme="minorHAnsi" w:hAnsiTheme="minorHAnsi"/>
      <w:sz w:val="18"/>
      <w:szCs w:val="18"/>
    </w:rPr>
  </w:style>
  <w:style w:type="paragraph" w:styleId="TOC9">
    <w:name w:val="toc 9"/>
    <w:basedOn w:val="Normal"/>
    <w:next w:val="Normal"/>
    <w:autoRedefine/>
    <w:uiPriority w:val="39"/>
    <w:unhideWhenUsed/>
    <w:rsid w:val="00E46BD5"/>
    <w:pPr>
      <w:spacing w:line="276" w:lineRule="auto"/>
      <w:ind w:left="1920"/>
    </w:pPr>
    <w:rPr>
      <w:rFonts w:asciiTheme="minorHAnsi" w:hAnsiTheme="minorHAnsi"/>
      <w:sz w:val="18"/>
      <w:szCs w:val="18"/>
    </w:rPr>
  </w:style>
  <w:style w:type="numbering" w:customStyle="1" w:styleId="Chapters">
    <w:name w:val="Chapters"/>
    <w:uiPriority w:val="99"/>
    <w:rsid w:val="00E46BD5"/>
    <w:pPr>
      <w:numPr>
        <w:numId w:val="5"/>
      </w:numPr>
    </w:pPr>
  </w:style>
  <w:style w:type="paragraph" w:styleId="TableofFigures">
    <w:name w:val="table of figures"/>
    <w:basedOn w:val="Normal"/>
    <w:next w:val="Normal"/>
    <w:uiPriority w:val="99"/>
    <w:unhideWhenUsed/>
    <w:rsid w:val="00E46BD5"/>
    <w:pPr>
      <w:spacing w:line="276" w:lineRule="auto"/>
      <w:ind w:left="480" w:hanging="480"/>
    </w:pPr>
    <w:rPr>
      <w:rFonts w:asciiTheme="minorHAnsi" w:hAnsiTheme="minorHAnsi"/>
      <w:smallCaps/>
      <w:sz w:val="20"/>
      <w:szCs w:val="20"/>
    </w:rPr>
  </w:style>
  <w:style w:type="paragraph" w:customStyle="1" w:styleId="Normal1">
    <w:name w:val="Normal1"/>
    <w:rsid w:val="00E46BD5"/>
    <w:pPr>
      <w:spacing w:line="276" w:lineRule="auto"/>
    </w:pPr>
    <w:rPr>
      <w:rFonts w:ascii="Arial" w:eastAsia="Arial" w:hAnsi="Arial" w:cs="Arial"/>
      <w:color w:val="000000"/>
      <w:sz w:val="22"/>
      <w:lang w:eastAsia="ja-JP"/>
    </w:rPr>
  </w:style>
  <w:style w:type="paragraph" w:customStyle="1" w:styleId="Default">
    <w:name w:val="Default"/>
    <w:rsid w:val="00E46BD5"/>
    <w:pPr>
      <w:autoSpaceDE w:val="0"/>
      <w:autoSpaceDN w:val="0"/>
      <w:adjustRightInd w:val="0"/>
    </w:pPr>
    <w:rPr>
      <w:rFonts w:ascii="Arial" w:eastAsiaTheme="minorHAnsi" w:hAnsi="Arial" w:cs="Arial"/>
      <w:color w:val="000000"/>
    </w:rPr>
  </w:style>
  <w:style w:type="paragraph" w:customStyle="1" w:styleId="xl131">
    <w:name w:val="xl131"/>
    <w:basedOn w:val="Normal"/>
    <w:uiPriority w:val="99"/>
    <w:rsid w:val="00E46BD5"/>
    <w:pPr>
      <w:spacing w:before="100" w:beforeAutospacing="1" w:after="100" w:afterAutospacing="1"/>
    </w:pPr>
    <w:rPr>
      <w:rFonts w:ascii="Arial" w:eastAsia="Times New Roman" w:hAnsi="Arial" w:cs="Arial"/>
      <w:b/>
      <w:bCs/>
    </w:rPr>
  </w:style>
  <w:style w:type="numbering" w:customStyle="1" w:styleId="NoList1">
    <w:name w:val="No List1"/>
    <w:next w:val="NoList"/>
    <w:uiPriority w:val="99"/>
    <w:semiHidden/>
    <w:unhideWhenUsed/>
    <w:rsid w:val="00E46BD5"/>
  </w:style>
  <w:style w:type="table" w:customStyle="1" w:styleId="TableGrid1">
    <w:name w:val="Table Grid1"/>
    <w:basedOn w:val="TableNormal"/>
    <w:next w:val="TableGrid"/>
    <w:uiPriority w:val="59"/>
    <w:rsid w:val="00E46BD5"/>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E46BD5"/>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E46BD5"/>
  </w:style>
  <w:style w:type="paragraph" w:styleId="NormalWeb">
    <w:name w:val="Normal (Web)"/>
    <w:basedOn w:val="Normal"/>
    <w:uiPriority w:val="99"/>
    <w:semiHidden/>
    <w:unhideWhenUsed/>
    <w:rsid w:val="007F420F"/>
  </w:style>
  <w:style w:type="paragraph" w:styleId="Revision">
    <w:name w:val="Revision"/>
    <w:hidden/>
    <w:uiPriority w:val="99"/>
    <w:semiHidden/>
    <w:rsid w:val="003B5E43"/>
  </w:style>
  <w:style w:type="paragraph" w:styleId="DocumentMap">
    <w:name w:val="Document Map"/>
    <w:basedOn w:val="Normal"/>
    <w:link w:val="DocumentMapChar"/>
    <w:uiPriority w:val="99"/>
    <w:semiHidden/>
    <w:unhideWhenUsed/>
    <w:rsid w:val="00CD6570"/>
  </w:style>
  <w:style w:type="character" w:customStyle="1" w:styleId="DocumentMapChar">
    <w:name w:val="Document Map Char"/>
    <w:basedOn w:val="DefaultParagraphFont"/>
    <w:link w:val="DocumentMap"/>
    <w:uiPriority w:val="99"/>
    <w:semiHidden/>
    <w:rsid w:val="00CD6570"/>
  </w:style>
  <w:style w:type="paragraph" w:styleId="NoSpacing">
    <w:name w:val="No Spacing"/>
    <w:uiPriority w:val="1"/>
    <w:qFormat/>
    <w:rsid w:val="00F853C7"/>
  </w:style>
  <w:style w:type="paragraph" w:customStyle="1" w:styleId="EndNoteBibliographyTitle">
    <w:name w:val="EndNote Bibliography Title"/>
    <w:basedOn w:val="Normal"/>
    <w:rsid w:val="00F70ACA"/>
    <w:pPr>
      <w:jc w:val="center"/>
    </w:pPr>
  </w:style>
  <w:style w:type="paragraph" w:customStyle="1" w:styleId="EndNoteBibliography">
    <w:name w:val="EndNote Bibliography"/>
    <w:basedOn w:val="Normal"/>
    <w:rsid w:val="00F70A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496477">
      <w:bodyDiv w:val="1"/>
      <w:marLeft w:val="0"/>
      <w:marRight w:val="0"/>
      <w:marTop w:val="0"/>
      <w:marBottom w:val="0"/>
      <w:divBdr>
        <w:top w:val="none" w:sz="0" w:space="0" w:color="auto"/>
        <w:left w:val="none" w:sz="0" w:space="0" w:color="auto"/>
        <w:bottom w:val="none" w:sz="0" w:space="0" w:color="auto"/>
        <w:right w:val="none" w:sz="0" w:space="0" w:color="auto"/>
      </w:divBdr>
    </w:div>
    <w:div w:id="373236178">
      <w:bodyDiv w:val="1"/>
      <w:marLeft w:val="0"/>
      <w:marRight w:val="0"/>
      <w:marTop w:val="0"/>
      <w:marBottom w:val="0"/>
      <w:divBdr>
        <w:top w:val="none" w:sz="0" w:space="0" w:color="auto"/>
        <w:left w:val="none" w:sz="0" w:space="0" w:color="auto"/>
        <w:bottom w:val="none" w:sz="0" w:space="0" w:color="auto"/>
        <w:right w:val="none" w:sz="0" w:space="0" w:color="auto"/>
      </w:divBdr>
    </w:div>
    <w:div w:id="443958635">
      <w:bodyDiv w:val="1"/>
      <w:marLeft w:val="0"/>
      <w:marRight w:val="0"/>
      <w:marTop w:val="0"/>
      <w:marBottom w:val="0"/>
      <w:divBdr>
        <w:top w:val="none" w:sz="0" w:space="0" w:color="auto"/>
        <w:left w:val="none" w:sz="0" w:space="0" w:color="auto"/>
        <w:bottom w:val="none" w:sz="0" w:space="0" w:color="auto"/>
        <w:right w:val="none" w:sz="0" w:space="0" w:color="auto"/>
      </w:divBdr>
    </w:div>
    <w:div w:id="501823880">
      <w:bodyDiv w:val="1"/>
      <w:marLeft w:val="0"/>
      <w:marRight w:val="0"/>
      <w:marTop w:val="0"/>
      <w:marBottom w:val="0"/>
      <w:divBdr>
        <w:top w:val="none" w:sz="0" w:space="0" w:color="auto"/>
        <w:left w:val="none" w:sz="0" w:space="0" w:color="auto"/>
        <w:bottom w:val="none" w:sz="0" w:space="0" w:color="auto"/>
        <w:right w:val="none" w:sz="0" w:space="0" w:color="auto"/>
      </w:divBdr>
    </w:div>
    <w:div w:id="618494283">
      <w:bodyDiv w:val="1"/>
      <w:marLeft w:val="0"/>
      <w:marRight w:val="0"/>
      <w:marTop w:val="0"/>
      <w:marBottom w:val="0"/>
      <w:divBdr>
        <w:top w:val="none" w:sz="0" w:space="0" w:color="auto"/>
        <w:left w:val="none" w:sz="0" w:space="0" w:color="auto"/>
        <w:bottom w:val="none" w:sz="0" w:space="0" w:color="auto"/>
        <w:right w:val="none" w:sz="0" w:space="0" w:color="auto"/>
      </w:divBdr>
      <w:divsChild>
        <w:div w:id="216821275">
          <w:marLeft w:val="0"/>
          <w:marRight w:val="0"/>
          <w:marTop w:val="0"/>
          <w:marBottom w:val="0"/>
          <w:divBdr>
            <w:top w:val="none" w:sz="0" w:space="0" w:color="auto"/>
            <w:left w:val="none" w:sz="0" w:space="0" w:color="auto"/>
            <w:bottom w:val="none" w:sz="0" w:space="0" w:color="auto"/>
            <w:right w:val="none" w:sz="0" w:space="0" w:color="auto"/>
          </w:divBdr>
          <w:divsChild>
            <w:div w:id="1383137697">
              <w:marLeft w:val="0"/>
              <w:marRight w:val="0"/>
              <w:marTop w:val="0"/>
              <w:marBottom w:val="0"/>
              <w:divBdr>
                <w:top w:val="none" w:sz="0" w:space="0" w:color="auto"/>
                <w:left w:val="none" w:sz="0" w:space="0" w:color="auto"/>
                <w:bottom w:val="none" w:sz="0" w:space="0" w:color="auto"/>
                <w:right w:val="none" w:sz="0" w:space="0" w:color="auto"/>
              </w:divBdr>
              <w:divsChild>
                <w:div w:id="14250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352660">
      <w:bodyDiv w:val="1"/>
      <w:marLeft w:val="0"/>
      <w:marRight w:val="0"/>
      <w:marTop w:val="0"/>
      <w:marBottom w:val="0"/>
      <w:divBdr>
        <w:top w:val="none" w:sz="0" w:space="0" w:color="auto"/>
        <w:left w:val="none" w:sz="0" w:space="0" w:color="auto"/>
        <w:bottom w:val="none" w:sz="0" w:space="0" w:color="auto"/>
        <w:right w:val="none" w:sz="0" w:space="0" w:color="auto"/>
      </w:divBdr>
      <w:divsChild>
        <w:div w:id="326792148">
          <w:marLeft w:val="0"/>
          <w:marRight w:val="0"/>
          <w:marTop w:val="0"/>
          <w:marBottom w:val="0"/>
          <w:divBdr>
            <w:top w:val="none" w:sz="0" w:space="0" w:color="auto"/>
            <w:left w:val="none" w:sz="0" w:space="0" w:color="auto"/>
            <w:bottom w:val="none" w:sz="0" w:space="0" w:color="auto"/>
            <w:right w:val="none" w:sz="0" w:space="0" w:color="auto"/>
          </w:divBdr>
          <w:divsChild>
            <w:div w:id="332101027">
              <w:marLeft w:val="0"/>
              <w:marRight w:val="0"/>
              <w:marTop w:val="0"/>
              <w:marBottom w:val="0"/>
              <w:divBdr>
                <w:top w:val="none" w:sz="0" w:space="0" w:color="auto"/>
                <w:left w:val="none" w:sz="0" w:space="0" w:color="auto"/>
                <w:bottom w:val="none" w:sz="0" w:space="0" w:color="auto"/>
                <w:right w:val="none" w:sz="0" w:space="0" w:color="auto"/>
              </w:divBdr>
              <w:divsChild>
                <w:div w:id="1497069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85548">
      <w:bodyDiv w:val="1"/>
      <w:marLeft w:val="0"/>
      <w:marRight w:val="0"/>
      <w:marTop w:val="0"/>
      <w:marBottom w:val="0"/>
      <w:divBdr>
        <w:top w:val="none" w:sz="0" w:space="0" w:color="auto"/>
        <w:left w:val="none" w:sz="0" w:space="0" w:color="auto"/>
        <w:bottom w:val="none" w:sz="0" w:space="0" w:color="auto"/>
        <w:right w:val="none" w:sz="0" w:space="0" w:color="auto"/>
      </w:divBdr>
      <w:divsChild>
        <w:div w:id="51278214">
          <w:marLeft w:val="0"/>
          <w:marRight w:val="0"/>
          <w:marTop w:val="0"/>
          <w:marBottom w:val="0"/>
          <w:divBdr>
            <w:top w:val="none" w:sz="0" w:space="0" w:color="auto"/>
            <w:left w:val="none" w:sz="0" w:space="0" w:color="auto"/>
            <w:bottom w:val="none" w:sz="0" w:space="0" w:color="auto"/>
            <w:right w:val="none" w:sz="0" w:space="0" w:color="auto"/>
          </w:divBdr>
          <w:divsChild>
            <w:div w:id="1268662633">
              <w:marLeft w:val="0"/>
              <w:marRight w:val="0"/>
              <w:marTop w:val="0"/>
              <w:marBottom w:val="0"/>
              <w:divBdr>
                <w:top w:val="none" w:sz="0" w:space="0" w:color="auto"/>
                <w:left w:val="none" w:sz="0" w:space="0" w:color="auto"/>
                <w:bottom w:val="none" w:sz="0" w:space="0" w:color="auto"/>
                <w:right w:val="none" w:sz="0" w:space="0" w:color="auto"/>
              </w:divBdr>
              <w:divsChild>
                <w:div w:id="39243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319936">
      <w:bodyDiv w:val="1"/>
      <w:marLeft w:val="0"/>
      <w:marRight w:val="0"/>
      <w:marTop w:val="0"/>
      <w:marBottom w:val="0"/>
      <w:divBdr>
        <w:top w:val="none" w:sz="0" w:space="0" w:color="auto"/>
        <w:left w:val="none" w:sz="0" w:space="0" w:color="auto"/>
        <w:bottom w:val="none" w:sz="0" w:space="0" w:color="auto"/>
        <w:right w:val="none" w:sz="0" w:space="0" w:color="auto"/>
      </w:divBdr>
      <w:divsChild>
        <w:div w:id="1470243755">
          <w:marLeft w:val="0"/>
          <w:marRight w:val="0"/>
          <w:marTop w:val="0"/>
          <w:marBottom w:val="0"/>
          <w:divBdr>
            <w:top w:val="none" w:sz="0" w:space="0" w:color="auto"/>
            <w:left w:val="none" w:sz="0" w:space="0" w:color="auto"/>
            <w:bottom w:val="none" w:sz="0" w:space="0" w:color="auto"/>
            <w:right w:val="none" w:sz="0" w:space="0" w:color="auto"/>
          </w:divBdr>
          <w:divsChild>
            <w:div w:id="1646813430">
              <w:marLeft w:val="0"/>
              <w:marRight w:val="0"/>
              <w:marTop w:val="0"/>
              <w:marBottom w:val="0"/>
              <w:divBdr>
                <w:top w:val="none" w:sz="0" w:space="0" w:color="auto"/>
                <w:left w:val="none" w:sz="0" w:space="0" w:color="auto"/>
                <w:bottom w:val="none" w:sz="0" w:space="0" w:color="auto"/>
                <w:right w:val="none" w:sz="0" w:space="0" w:color="auto"/>
              </w:divBdr>
              <w:divsChild>
                <w:div w:id="54594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413968">
      <w:bodyDiv w:val="1"/>
      <w:marLeft w:val="0"/>
      <w:marRight w:val="0"/>
      <w:marTop w:val="0"/>
      <w:marBottom w:val="0"/>
      <w:divBdr>
        <w:top w:val="none" w:sz="0" w:space="0" w:color="auto"/>
        <w:left w:val="none" w:sz="0" w:space="0" w:color="auto"/>
        <w:bottom w:val="none" w:sz="0" w:space="0" w:color="auto"/>
        <w:right w:val="none" w:sz="0" w:space="0" w:color="auto"/>
      </w:divBdr>
      <w:divsChild>
        <w:div w:id="361172769">
          <w:marLeft w:val="0"/>
          <w:marRight w:val="0"/>
          <w:marTop w:val="0"/>
          <w:marBottom w:val="0"/>
          <w:divBdr>
            <w:top w:val="none" w:sz="0" w:space="0" w:color="auto"/>
            <w:left w:val="none" w:sz="0" w:space="0" w:color="auto"/>
            <w:bottom w:val="none" w:sz="0" w:space="0" w:color="auto"/>
            <w:right w:val="none" w:sz="0" w:space="0" w:color="auto"/>
          </w:divBdr>
          <w:divsChild>
            <w:div w:id="595597397">
              <w:marLeft w:val="0"/>
              <w:marRight w:val="0"/>
              <w:marTop w:val="0"/>
              <w:marBottom w:val="0"/>
              <w:divBdr>
                <w:top w:val="none" w:sz="0" w:space="0" w:color="auto"/>
                <w:left w:val="none" w:sz="0" w:space="0" w:color="auto"/>
                <w:bottom w:val="none" w:sz="0" w:space="0" w:color="auto"/>
                <w:right w:val="none" w:sz="0" w:space="0" w:color="auto"/>
              </w:divBdr>
              <w:divsChild>
                <w:div w:id="200515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958920">
      <w:bodyDiv w:val="1"/>
      <w:marLeft w:val="0"/>
      <w:marRight w:val="0"/>
      <w:marTop w:val="0"/>
      <w:marBottom w:val="0"/>
      <w:divBdr>
        <w:top w:val="none" w:sz="0" w:space="0" w:color="auto"/>
        <w:left w:val="none" w:sz="0" w:space="0" w:color="auto"/>
        <w:bottom w:val="none" w:sz="0" w:space="0" w:color="auto"/>
        <w:right w:val="none" w:sz="0" w:space="0" w:color="auto"/>
      </w:divBdr>
      <w:divsChild>
        <w:div w:id="1588418599">
          <w:marLeft w:val="0"/>
          <w:marRight w:val="0"/>
          <w:marTop w:val="0"/>
          <w:marBottom w:val="0"/>
          <w:divBdr>
            <w:top w:val="none" w:sz="0" w:space="0" w:color="auto"/>
            <w:left w:val="none" w:sz="0" w:space="0" w:color="auto"/>
            <w:bottom w:val="none" w:sz="0" w:space="0" w:color="auto"/>
            <w:right w:val="none" w:sz="0" w:space="0" w:color="auto"/>
          </w:divBdr>
          <w:divsChild>
            <w:div w:id="1465999946">
              <w:marLeft w:val="0"/>
              <w:marRight w:val="0"/>
              <w:marTop w:val="0"/>
              <w:marBottom w:val="0"/>
              <w:divBdr>
                <w:top w:val="none" w:sz="0" w:space="0" w:color="auto"/>
                <w:left w:val="none" w:sz="0" w:space="0" w:color="auto"/>
                <w:bottom w:val="none" w:sz="0" w:space="0" w:color="auto"/>
                <w:right w:val="none" w:sz="0" w:space="0" w:color="auto"/>
              </w:divBdr>
              <w:divsChild>
                <w:div w:id="318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www.fao.org/fileadmin/templates/ess/pages/rural/wye_city_group/2011/documents/session3/Daniels_-_Paper.pdf" TargetMode="External"/><Relationship Id="rId11" Type="http://schemas.openxmlformats.org/officeDocument/2006/relationships/hyperlink" Target="http://africainequalities.org/wp-content/uploads/2016/07/Poverty-and-Inequality-in-Uganda-Evidence-from-Small-Area-Estimation-Techniques.pdf" TargetMode="External"/><Relationship Id="rId12" Type="http://schemas.openxmlformats.org/officeDocument/2006/relationships/hyperlink" Target="http://cega.berkeley.edu/assets/miscellaneous_files/82-ABCA_-PapeMistiaen.pdf" TargetMode="External"/><Relationship Id="rId13" Type="http://schemas.openxmlformats.org/officeDocument/2006/relationships/hyperlink" Target="http://www.oired.vt.edu/sanremcrsp/wp-content/uploads/2013/03/SANREM-2013AnnualReport.pdf" TargetMode="External"/><Relationship Id="rId14" Type="http://schemas.openxmlformats.org/officeDocument/2006/relationships/hyperlink" Target="http://siteresources.worldbank.org/INTLSMS/Resources/3358986-1233781970982/5800988-1265043582346/6752587-1388762908476/UNPS_Report_Wave3.pdf" TargetMode="External"/><Relationship Id="rId15" Type="http://schemas.openxmlformats.org/officeDocument/2006/relationships/hyperlink" Target="http://unstats.un.org/unsd/demographic/sources/census/wphc/Uganda/UGA-2014-11.pdf" TargetMode="External"/><Relationship Id="rId16" Type="http://schemas.openxmlformats.org/officeDocument/2006/relationships/hyperlink" Target="http://iresearch.worldbank.org/lsms/lsmssurveyFinder.htm" TargetMode="External"/><Relationship Id="rId17" Type="http://schemas.openxmlformats.org/officeDocument/2006/relationships/hyperlink" Target="http://data.worldbank.org/indicator/FP.CPI.TOTL" TargetMode="External"/><Relationship Id="rId18" Type="http://schemas.openxmlformats.org/officeDocument/2006/relationships/hyperlink" Target="http://data.worldbank.org/indicator/PA.NUS.PRVT.PP?page=1" TargetMode="External"/><Relationship Id="rId19" Type="http://schemas.openxmlformats.org/officeDocument/2006/relationships/image" Target="media/image1.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1058F-583F-0D49-A40D-5DBF6BFC0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13322</Words>
  <Characters>75936</Characters>
  <Application>Microsoft Macintosh Word</Application>
  <DocSecurity>0</DocSecurity>
  <Lines>632</Lines>
  <Paragraphs>178</Paragraphs>
  <ScaleCrop>false</ScaleCrop>
  <HeadingPairs>
    <vt:vector size="2" baseType="variant">
      <vt:variant>
        <vt:lpstr>Title</vt:lpstr>
      </vt:variant>
      <vt:variant>
        <vt:i4>1</vt:i4>
      </vt:variant>
    </vt:vector>
  </HeadingPairs>
  <TitlesOfParts>
    <vt:vector size="1" baseType="lpstr">
      <vt:lpstr/>
    </vt:vector>
  </TitlesOfParts>
  <Manager/>
  <Company>Microsoft</Company>
  <LinksUpToDate>false</LinksUpToDate>
  <CharactersWithSpaces>89080</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Jarrad Farris</dc:creator>
  <cp:keywords/>
  <dc:description/>
  <cp:lastModifiedBy>Catherine Larochelle</cp:lastModifiedBy>
  <cp:revision>3</cp:revision>
  <cp:lastPrinted>2017-02-08T21:11:00Z</cp:lastPrinted>
  <dcterms:created xsi:type="dcterms:W3CDTF">2018-12-14T15:03:00Z</dcterms:created>
  <dcterms:modified xsi:type="dcterms:W3CDTF">2018-12-14T15:05:00Z</dcterms:modified>
  <cp:category/>
</cp:coreProperties>
</file>