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7E3D4B" w14:textId="3E2208A1" w:rsidR="008C247B" w:rsidRPr="0052749D" w:rsidRDefault="00124F89" w:rsidP="00294FB0">
      <w:pPr>
        <w:rPr>
          <w:b/>
          <w:szCs w:val="20"/>
        </w:rPr>
      </w:pPr>
      <w:bookmarkStart w:id="0" w:name="_GoBack"/>
      <w:bookmarkEnd w:id="0"/>
      <w:r w:rsidRPr="009833C5">
        <w:rPr>
          <w:b/>
          <w:szCs w:val="20"/>
        </w:rPr>
        <w:t xml:space="preserve">VT </w:t>
      </w:r>
      <w:r w:rsidR="008C247B" w:rsidRPr="009833C5">
        <w:rPr>
          <w:b/>
          <w:szCs w:val="20"/>
        </w:rPr>
        <w:t>OASF FY2015 Report</w:t>
      </w:r>
      <w:r w:rsidR="0052749D">
        <w:rPr>
          <w:b/>
          <w:szCs w:val="20"/>
        </w:rPr>
        <w:tab/>
      </w:r>
      <w:r w:rsidR="0052749D">
        <w:rPr>
          <w:b/>
          <w:szCs w:val="20"/>
        </w:rPr>
        <w:tab/>
      </w:r>
      <w:r w:rsidR="0052749D">
        <w:rPr>
          <w:b/>
          <w:szCs w:val="20"/>
        </w:rPr>
        <w:tab/>
      </w:r>
      <w:r w:rsidR="0052749D">
        <w:rPr>
          <w:b/>
          <w:szCs w:val="20"/>
        </w:rPr>
        <w:tab/>
      </w:r>
      <w:r w:rsidR="0052749D">
        <w:rPr>
          <w:b/>
          <w:szCs w:val="20"/>
        </w:rPr>
        <w:tab/>
      </w:r>
      <w:r w:rsidR="0052749D">
        <w:rPr>
          <w:b/>
          <w:szCs w:val="20"/>
        </w:rPr>
        <w:tab/>
      </w:r>
      <w:r w:rsidR="0052749D">
        <w:rPr>
          <w:b/>
          <w:szCs w:val="20"/>
        </w:rPr>
        <w:tab/>
      </w:r>
      <w:r w:rsidR="0052749D">
        <w:rPr>
          <w:b/>
          <w:szCs w:val="20"/>
        </w:rPr>
        <w:tab/>
      </w:r>
      <w:r w:rsidR="0052749D">
        <w:rPr>
          <w:b/>
          <w:szCs w:val="20"/>
        </w:rPr>
        <w:tab/>
      </w:r>
      <w:r w:rsidR="0052749D">
        <w:rPr>
          <w:b/>
          <w:szCs w:val="20"/>
        </w:rPr>
        <w:tab/>
      </w:r>
      <w:r w:rsidR="00EB792B" w:rsidRPr="00A9275A">
        <w:rPr>
          <w:szCs w:val="20"/>
        </w:rPr>
        <w:t>Gail McMillan,</w:t>
      </w:r>
      <w:r w:rsidR="00EB792B">
        <w:rPr>
          <w:b/>
          <w:szCs w:val="20"/>
        </w:rPr>
        <w:t xml:space="preserve"> </w:t>
      </w:r>
      <w:r w:rsidR="00402DA1" w:rsidRPr="009833C5">
        <w:rPr>
          <w:szCs w:val="20"/>
        </w:rPr>
        <w:t>July</w:t>
      </w:r>
      <w:r w:rsidR="00A602ED" w:rsidRPr="009833C5">
        <w:rPr>
          <w:szCs w:val="20"/>
        </w:rPr>
        <w:t xml:space="preserve"> </w:t>
      </w:r>
      <w:r w:rsidR="00721C50" w:rsidRPr="009833C5">
        <w:rPr>
          <w:szCs w:val="20"/>
        </w:rPr>
        <w:t>30</w:t>
      </w:r>
      <w:r w:rsidR="008C247B" w:rsidRPr="009833C5">
        <w:rPr>
          <w:szCs w:val="20"/>
        </w:rPr>
        <w:t>, 2015</w:t>
      </w:r>
    </w:p>
    <w:p w14:paraId="1E027164" w14:textId="77777777" w:rsidR="002F68F4" w:rsidRPr="009833C5" w:rsidRDefault="002F68F4" w:rsidP="008845D4">
      <w:pPr>
        <w:rPr>
          <w:szCs w:val="20"/>
        </w:rPr>
      </w:pPr>
    </w:p>
    <w:p w14:paraId="3AB1E866" w14:textId="77777777" w:rsidR="00294FB0" w:rsidRDefault="00294FB0" w:rsidP="009F42AE">
      <w:pPr>
        <w:rPr>
          <w:b/>
          <w:szCs w:val="20"/>
        </w:rPr>
      </w:pPr>
    </w:p>
    <w:p w14:paraId="2ED5A604" w14:textId="537AC2B2" w:rsidR="00F60796" w:rsidRPr="00607E11" w:rsidRDefault="00607E11" w:rsidP="006F6961">
      <w:pPr>
        <w:rPr>
          <w:szCs w:val="20"/>
        </w:rPr>
      </w:pPr>
      <w:r>
        <w:rPr>
          <w:szCs w:val="20"/>
        </w:rPr>
        <w:t xml:space="preserve">The </w:t>
      </w:r>
      <w:r w:rsidR="00F60796" w:rsidRPr="00607E11">
        <w:rPr>
          <w:szCs w:val="20"/>
        </w:rPr>
        <w:t xml:space="preserve">VT OASF </w:t>
      </w:r>
      <w:r w:rsidR="00095200" w:rsidRPr="00607E11">
        <w:rPr>
          <w:szCs w:val="20"/>
        </w:rPr>
        <w:t>was allocated $50,000</w:t>
      </w:r>
      <w:r w:rsidR="00504CAD" w:rsidRPr="00607E11">
        <w:rPr>
          <w:szCs w:val="20"/>
        </w:rPr>
        <w:t xml:space="preserve"> </w:t>
      </w:r>
      <w:r w:rsidR="00AD4125" w:rsidRPr="00607E11">
        <w:rPr>
          <w:szCs w:val="20"/>
        </w:rPr>
        <w:t>in FY2015</w:t>
      </w:r>
      <w:r>
        <w:rPr>
          <w:szCs w:val="20"/>
        </w:rPr>
        <w:t xml:space="preserve"> </w:t>
      </w:r>
      <w:r w:rsidR="007A385B">
        <w:rPr>
          <w:szCs w:val="20"/>
        </w:rPr>
        <w:t>f</w:t>
      </w:r>
      <w:r w:rsidR="007A385B" w:rsidRPr="00607E11">
        <w:rPr>
          <w:szCs w:val="20"/>
        </w:rPr>
        <w:t>rom t</w:t>
      </w:r>
      <w:r w:rsidR="007A385B">
        <w:rPr>
          <w:szCs w:val="20"/>
        </w:rPr>
        <w:t>he Libraries’ Collections budget</w:t>
      </w:r>
      <w:r w:rsidR="00AD4125" w:rsidRPr="00607E11">
        <w:rPr>
          <w:szCs w:val="20"/>
        </w:rPr>
        <w:t xml:space="preserve">. The OASF </w:t>
      </w:r>
      <w:r w:rsidR="00F60796" w:rsidRPr="00607E11">
        <w:rPr>
          <w:szCs w:val="20"/>
        </w:rPr>
        <w:t xml:space="preserve">received 88 requests </w:t>
      </w:r>
      <w:r w:rsidR="007A385B">
        <w:rPr>
          <w:szCs w:val="20"/>
        </w:rPr>
        <w:t xml:space="preserve">to fund </w:t>
      </w:r>
      <w:r w:rsidR="00132A20">
        <w:rPr>
          <w:szCs w:val="20"/>
        </w:rPr>
        <w:t xml:space="preserve">publishers’ </w:t>
      </w:r>
      <w:r w:rsidR="007A385B">
        <w:rPr>
          <w:szCs w:val="20"/>
        </w:rPr>
        <w:t xml:space="preserve">article processing charges </w:t>
      </w:r>
      <w:r w:rsidR="00B56030" w:rsidRPr="00607E11">
        <w:rPr>
          <w:szCs w:val="20"/>
        </w:rPr>
        <w:t>total</w:t>
      </w:r>
      <w:r w:rsidR="00AD4125" w:rsidRPr="00607E11">
        <w:rPr>
          <w:szCs w:val="20"/>
        </w:rPr>
        <w:t>ing</w:t>
      </w:r>
      <w:r w:rsidR="001C1517" w:rsidRPr="00607E11">
        <w:rPr>
          <w:szCs w:val="20"/>
        </w:rPr>
        <w:t xml:space="preserve"> $129,967. </w:t>
      </w:r>
      <w:r w:rsidR="00B56030" w:rsidRPr="00607E11">
        <w:rPr>
          <w:szCs w:val="20"/>
        </w:rPr>
        <w:t xml:space="preserve">We approved </w:t>
      </w:r>
      <w:r w:rsidR="00A9275A" w:rsidRPr="00607E11">
        <w:rPr>
          <w:szCs w:val="20"/>
        </w:rPr>
        <w:t>48</w:t>
      </w:r>
      <w:r w:rsidR="00BB6736" w:rsidRPr="00607E11">
        <w:rPr>
          <w:szCs w:val="20"/>
        </w:rPr>
        <w:t xml:space="preserve"> articles (55%)</w:t>
      </w:r>
      <w:r w:rsidR="006C5E6F" w:rsidRPr="00607E11">
        <w:rPr>
          <w:szCs w:val="20"/>
        </w:rPr>
        <w:t>,</w:t>
      </w:r>
      <w:r w:rsidR="00BB6736" w:rsidRPr="00607E11">
        <w:rPr>
          <w:szCs w:val="20"/>
        </w:rPr>
        <w:t xml:space="preserve"> </w:t>
      </w:r>
      <w:r w:rsidR="006C5E6F" w:rsidRPr="00607E11">
        <w:rPr>
          <w:szCs w:val="20"/>
        </w:rPr>
        <w:t>awarding</w:t>
      </w:r>
      <w:r w:rsidR="00BB6736" w:rsidRPr="00607E11">
        <w:rPr>
          <w:szCs w:val="20"/>
        </w:rPr>
        <w:t xml:space="preserve"> </w:t>
      </w:r>
      <w:r w:rsidR="002A5B1F" w:rsidRPr="00607E11">
        <w:rPr>
          <w:szCs w:val="20"/>
        </w:rPr>
        <w:t>$49,711</w:t>
      </w:r>
      <w:r w:rsidR="002102CE" w:rsidRPr="00607E11">
        <w:rPr>
          <w:szCs w:val="20"/>
        </w:rPr>
        <w:t xml:space="preserve"> to cover $</w:t>
      </w:r>
      <w:r w:rsidR="0035289F" w:rsidRPr="00607E11">
        <w:rPr>
          <w:szCs w:val="20"/>
        </w:rPr>
        <w:t xml:space="preserve"> $59,393 of the publishers’ charges</w:t>
      </w:r>
      <w:r w:rsidR="00C33679" w:rsidRPr="00607E11">
        <w:rPr>
          <w:szCs w:val="20"/>
        </w:rPr>
        <w:t>.</w:t>
      </w:r>
      <w:r w:rsidR="00010C35" w:rsidRPr="00607E11">
        <w:rPr>
          <w:szCs w:val="20"/>
        </w:rPr>
        <w:t xml:space="preserve"> </w:t>
      </w:r>
      <w:r w:rsidR="00C33679" w:rsidRPr="00607E11">
        <w:rPr>
          <w:szCs w:val="20"/>
        </w:rPr>
        <w:t xml:space="preserve">The </w:t>
      </w:r>
      <w:r w:rsidR="006C5E6F" w:rsidRPr="00607E11">
        <w:rPr>
          <w:szCs w:val="20"/>
        </w:rPr>
        <w:t>awards</w:t>
      </w:r>
      <w:r w:rsidR="00C33679" w:rsidRPr="00607E11">
        <w:rPr>
          <w:szCs w:val="20"/>
        </w:rPr>
        <w:t xml:space="preserve"> averaged</w:t>
      </w:r>
      <w:r w:rsidR="002A5B1F" w:rsidRPr="00607E11">
        <w:rPr>
          <w:szCs w:val="20"/>
        </w:rPr>
        <w:t xml:space="preserve"> </w:t>
      </w:r>
      <w:r w:rsidR="00C33679" w:rsidRPr="00607E11">
        <w:rPr>
          <w:szCs w:val="20"/>
        </w:rPr>
        <w:t xml:space="preserve">$1,035.65, ranging from $148.50 to </w:t>
      </w:r>
      <w:r w:rsidR="00DE4CF1" w:rsidRPr="00607E11">
        <w:rPr>
          <w:szCs w:val="20"/>
        </w:rPr>
        <w:t xml:space="preserve">our maximum, </w:t>
      </w:r>
      <w:r w:rsidR="00C33679" w:rsidRPr="00607E11">
        <w:rPr>
          <w:szCs w:val="20"/>
        </w:rPr>
        <w:t>$1500.</w:t>
      </w:r>
      <w:r w:rsidR="005864CF" w:rsidRPr="00607E11">
        <w:rPr>
          <w:szCs w:val="20"/>
        </w:rPr>
        <w:t xml:space="preserve"> </w:t>
      </w:r>
      <w:r w:rsidR="006F6961" w:rsidRPr="00607E11">
        <w:rPr>
          <w:szCs w:val="20"/>
        </w:rPr>
        <w:t xml:space="preserve">The OASF </w:t>
      </w:r>
      <w:r w:rsidR="00EF4D5E" w:rsidRPr="00607E11">
        <w:rPr>
          <w:szCs w:val="20"/>
        </w:rPr>
        <w:t>approved</w:t>
      </w:r>
      <w:r w:rsidR="006F6961" w:rsidRPr="00607E11">
        <w:rPr>
          <w:szCs w:val="20"/>
        </w:rPr>
        <w:t xml:space="preserve"> 38% of the </w:t>
      </w:r>
      <w:r w:rsidR="00F058D9" w:rsidRPr="00607E11">
        <w:rPr>
          <w:szCs w:val="20"/>
        </w:rPr>
        <w:t xml:space="preserve">total requests to cover the </w:t>
      </w:r>
      <w:r w:rsidR="006F6961" w:rsidRPr="00607E11">
        <w:rPr>
          <w:szCs w:val="20"/>
        </w:rPr>
        <w:t xml:space="preserve">publishers’ charges. </w:t>
      </w:r>
      <w:r w:rsidR="00147783" w:rsidRPr="00607E11">
        <w:rPr>
          <w:szCs w:val="20"/>
        </w:rPr>
        <w:t xml:space="preserve">[Comparisons with FY2014 </w:t>
      </w:r>
      <w:r w:rsidR="001429AE" w:rsidRPr="00607E11">
        <w:rPr>
          <w:szCs w:val="20"/>
        </w:rPr>
        <w:t>are available on the last page.]</w:t>
      </w:r>
    </w:p>
    <w:p w14:paraId="257CDE9B" w14:textId="77777777" w:rsidR="004956E4" w:rsidRDefault="004956E4" w:rsidP="004956E4">
      <w:pPr>
        <w:rPr>
          <w:szCs w:val="20"/>
        </w:rPr>
      </w:pPr>
    </w:p>
    <w:p w14:paraId="3C59A2C5" w14:textId="71D97FC4" w:rsidR="00A21703" w:rsidRDefault="0052749D" w:rsidP="009F42AE">
      <w:pPr>
        <w:rPr>
          <w:szCs w:val="20"/>
        </w:rPr>
      </w:pPr>
      <w:r>
        <w:rPr>
          <w:szCs w:val="20"/>
        </w:rPr>
        <w:t>Since</w:t>
      </w:r>
      <w:r w:rsidR="004956E4">
        <w:rPr>
          <w:szCs w:val="20"/>
        </w:rPr>
        <w:t xml:space="preserve"> March</w:t>
      </w:r>
      <w:r w:rsidR="00A21703">
        <w:rPr>
          <w:szCs w:val="20"/>
        </w:rPr>
        <w:t xml:space="preserve"> 2014</w:t>
      </w:r>
      <w:r w:rsidR="004956E4">
        <w:rPr>
          <w:szCs w:val="20"/>
        </w:rPr>
        <w:t xml:space="preserve"> </w:t>
      </w:r>
      <w:r>
        <w:rPr>
          <w:szCs w:val="20"/>
        </w:rPr>
        <w:t>when we joined</w:t>
      </w:r>
      <w:r w:rsidR="004956E4">
        <w:rPr>
          <w:szCs w:val="20"/>
        </w:rPr>
        <w:t xml:space="preserve"> </w:t>
      </w:r>
      <w:proofErr w:type="spellStart"/>
      <w:r w:rsidR="007C31A5" w:rsidRPr="004956E4">
        <w:rPr>
          <w:szCs w:val="20"/>
        </w:rPr>
        <w:t>PeerJ</w:t>
      </w:r>
      <w:r w:rsidR="007C31A5">
        <w:rPr>
          <w:szCs w:val="20"/>
        </w:rPr>
        <w:t>‘s</w:t>
      </w:r>
      <w:proofErr w:type="spellEnd"/>
      <w:r w:rsidR="007C31A5">
        <w:rPr>
          <w:szCs w:val="20"/>
        </w:rPr>
        <w:t xml:space="preserve"> Lifetime Publication Plan</w:t>
      </w:r>
      <w:r w:rsidR="00D73567">
        <w:rPr>
          <w:szCs w:val="20"/>
        </w:rPr>
        <w:t xml:space="preserve"> </w:t>
      </w:r>
      <w:r>
        <w:rPr>
          <w:szCs w:val="20"/>
        </w:rPr>
        <w:t>($5,000)</w:t>
      </w:r>
      <w:r w:rsidR="003466BB">
        <w:rPr>
          <w:szCs w:val="20"/>
        </w:rPr>
        <w:t>,</w:t>
      </w:r>
      <w:r w:rsidR="007C31A5">
        <w:rPr>
          <w:szCs w:val="20"/>
        </w:rPr>
        <w:t xml:space="preserve"> </w:t>
      </w:r>
      <w:r w:rsidR="003466BB">
        <w:rPr>
          <w:szCs w:val="20"/>
        </w:rPr>
        <w:t xml:space="preserve">any </w:t>
      </w:r>
      <w:r w:rsidR="007C31A5">
        <w:rPr>
          <w:szCs w:val="20"/>
        </w:rPr>
        <w:t xml:space="preserve">VT </w:t>
      </w:r>
      <w:r w:rsidR="003466BB">
        <w:rPr>
          <w:szCs w:val="20"/>
        </w:rPr>
        <w:t>author</w:t>
      </w:r>
      <w:r w:rsidR="004956E4" w:rsidRPr="004956E4">
        <w:rPr>
          <w:szCs w:val="20"/>
        </w:rPr>
        <w:t xml:space="preserve"> </w:t>
      </w:r>
      <w:r w:rsidR="003466BB">
        <w:rPr>
          <w:szCs w:val="20"/>
        </w:rPr>
        <w:t>may publish one paper per year and</w:t>
      </w:r>
      <w:r w:rsidR="004956E4" w:rsidRPr="004956E4">
        <w:rPr>
          <w:szCs w:val="20"/>
        </w:rPr>
        <w:t xml:space="preserve"> $129 </w:t>
      </w:r>
      <w:r w:rsidR="003466BB">
        <w:rPr>
          <w:szCs w:val="20"/>
        </w:rPr>
        <w:t>will be</w:t>
      </w:r>
      <w:r w:rsidR="004956E4" w:rsidRPr="004956E4">
        <w:rPr>
          <w:szCs w:val="20"/>
        </w:rPr>
        <w:t xml:space="preserve"> deducted upon acceptance</w:t>
      </w:r>
      <w:r w:rsidR="00A21703">
        <w:rPr>
          <w:szCs w:val="20"/>
        </w:rPr>
        <w:t xml:space="preserve">. </w:t>
      </w:r>
      <w:r w:rsidR="00376BF5">
        <w:rPr>
          <w:szCs w:val="20"/>
        </w:rPr>
        <w:t>Three co-authors</w:t>
      </w:r>
      <w:r w:rsidR="00E6333D">
        <w:rPr>
          <w:szCs w:val="20"/>
        </w:rPr>
        <w:t xml:space="preserve"> of an article</w:t>
      </w:r>
      <w:r w:rsidR="00376BF5">
        <w:rPr>
          <w:szCs w:val="20"/>
        </w:rPr>
        <w:t xml:space="preserve"> </w:t>
      </w:r>
      <w:r w:rsidR="00A21703" w:rsidRPr="009833C5">
        <w:rPr>
          <w:szCs w:val="20"/>
        </w:rPr>
        <w:t xml:space="preserve">took advantage of our </w:t>
      </w:r>
      <w:proofErr w:type="spellStart"/>
      <w:r w:rsidR="00A21703" w:rsidRPr="009833C5">
        <w:rPr>
          <w:szCs w:val="20"/>
        </w:rPr>
        <w:t>PeerJ</w:t>
      </w:r>
      <w:proofErr w:type="spellEnd"/>
      <w:r w:rsidR="00A21703" w:rsidRPr="009833C5">
        <w:rPr>
          <w:szCs w:val="20"/>
        </w:rPr>
        <w:t xml:space="preserve"> account.</w:t>
      </w:r>
    </w:p>
    <w:p w14:paraId="1E4C8470" w14:textId="73B89E05" w:rsidR="004956E4" w:rsidRPr="004956E4" w:rsidRDefault="004956E4" w:rsidP="004956E4">
      <w:pPr>
        <w:rPr>
          <w:szCs w:val="20"/>
        </w:rPr>
      </w:pPr>
      <w:r w:rsidRPr="004956E4">
        <w:rPr>
          <w:szCs w:val="20"/>
        </w:rPr>
        <w:tab/>
      </w:r>
      <w:r w:rsidRPr="004956E4">
        <w:rPr>
          <w:szCs w:val="20"/>
        </w:rPr>
        <w:tab/>
      </w:r>
      <w:r w:rsidRPr="004956E4">
        <w:rPr>
          <w:szCs w:val="20"/>
        </w:rPr>
        <w:tab/>
      </w:r>
      <w:r w:rsidRPr="004956E4">
        <w:rPr>
          <w:szCs w:val="20"/>
        </w:rPr>
        <w:tab/>
      </w:r>
      <w:r w:rsidRPr="004956E4">
        <w:rPr>
          <w:szCs w:val="20"/>
        </w:rPr>
        <w:tab/>
      </w:r>
      <w:r w:rsidRPr="004956E4">
        <w:rPr>
          <w:szCs w:val="20"/>
        </w:rPr>
        <w:tab/>
      </w:r>
      <w:r w:rsidRPr="004956E4">
        <w:rPr>
          <w:szCs w:val="20"/>
        </w:rPr>
        <w:tab/>
      </w:r>
      <w:r w:rsidRPr="004956E4">
        <w:rPr>
          <w:szCs w:val="20"/>
        </w:rPr>
        <w:tab/>
      </w:r>
      <w:r w:rsidRPr="004956E4">
        <w:rPr>
          <w:szCs w:val="20"/>
        </w:rPr>
        <w:tab/>
      </w:r>
      <w:r w:rsidRPr="004956E4">
        <w:rPr>
          <w:szCs w:val="20"/>
        </w:rPr>
        <w:tab/>
      </w:r>
      <w:r w:rsidRPr="004956E4">
        <w:rPr>
          <w:szCs w:val="20"/>
        </w:rPr>
        <w:tab/>
      </w:r>
    </w:p>
    <w:p w14:paraId="1517E81B" w14:textId="3C246F32" w:rsidR="006949A2" w:rsidRPr="0006487B" w:rsidRDefault="00A21703" w:rsidP="008845D4">
      <w:pPr>
        <w:rPr>
          <w:szCs w:val="20"/>
        </w:rPr>
      </w:pPr>
      <w:r>
        <w:rPr>
          <w:szCs w:val="20"/>
        </w:rPr>
        <w:t>In February 2015</w:t>
      </w:r>
      <w:r w:rsidR="00CA3770">
        <w:rPr>
          <w:szCs w:val="20"/>
        </w:rPr>
        <w:t xml:space="preserve"> we joined</w:t>
      </w:r>
      <w:r w:rsidR="00C16784">
        <w:rPr>
          <w:szCs w:val="20"/>
        </w:rPr>
        <w:t xml:space="preserve"> the </w:t>
      </w:r>
      <w:r w:rsidR="004956E4" w:rsidRPr="004956E4">
        <w:rPr>
          <w:szCs w:val="20"/>
        </w:rPr>
        <w:t>Open Library of the Humanities</w:t>
      </w:r>
      <w:r w:rsidR="00C16784">
        <w:rPr>
          <w:szCs w:val="20"/>
        </w:rPr>
        <w:t xml:space="preserve"> for $1,000</w:t>
      </w:r>
      <w:r w:rsidR="00D73567">
        <w:rPr>
          <w:szCs w:val="20"/>
        </w:rPr>
        <w:t>,</w:t>
      </w:r>
      <w:r w:rsidR="00C16784">
        <w:rPr>
          <w:szCs w:val="20"/>
        </w:rPr>
        <w:t xml:space="preserve"> which </w:t>
      </w:r>
      <w:r w:rsidR="00B95678">
        <w:rPr>
          <w:szCs w:val="20"/>
        </w:rPr>
        <w:t>contribute</w:t>
      </w:r>
      <w:r w:rsidR="00CE1FFE">
        <w:rPr>
          <w:szCs w:val="20"/>
        </w:rPr>
        <w:t>s</w:t>
      </w:r>
      <w:r w:rsidR="00C16784">
        <w:rPr>
          <w:szCs w:val="20"/>
        </w:rPr>
        <w:t xml:space="preserve"> to making </w:t>
      </w:r>
      <w:r w:rsidR="004956E4" w:rsidRPr="004956E4">
        <w:rPr>
          <w:szCs w:val="20"/>
        </w:rPr>
        <w:t xml:space="preserve">250 articles and 12 books </w:t>
      </w:r>
      <w:r w:rsidR="00CA3770">
        <w:rPr>
          <w:szCs w:val="20"/>
        </w:rPr>
        <w:t>OA</w:t>
      </w:r>
      <w:r w:rsidR="004956E4" w:rsidRPr="004956E4">
        <w:rPr>
          <w:szCs w:val="20"/>
        </w:rPr>
        <w:t xml:space="preserve"> and </w:t>
      </w:r>
      <w:r w:rsidR="00CA3770">
        <w:rPr>
          <w:szCs w:val="20"/>
        </w:rPr>
        <w:t>g</w:t>
      </w:r>
      <w:r w:rsidR="00CE1FFE">
        <w:rPr>
          <w:szCs w:val="20"/>
        </w:rPr>
        <w:t>ives</w:t>
      </w:r>
      <w:r w:rsidR="00CA3770">
        <w:rPr>
          <w:szCs w:val="20"/>
        </w:rPr>
        <w:t xml:space="preserve"> us </w:t>
      </w:r>
      <w:r w:rsidR="004956E4" w:rsidRPr="004956E4">
        <w:rPr>
          <w:szCs w:val="20"/>
        </w:rPr>
        <w:t>a role in governance</w:t>
      </w:r>
      <w:r w:rsidR="00CA3770">
        <w:rPr>
          <w:szCs w:val="20"/>
        </w:rPr>
        <w:t xml:space="preserve"> through January 2016.</w:t>
      </w:r>
      <w:r w:rsidR="00986606">
        <w:rPr>
          <w:szCs w:val="20"/>
        </w:rPr>
        <w:tab/>
      </w:r>
      <w:r w:rsidR="004956E4" w:rsidRPr="004956E4">
        <w:rPr>
          <w:szCs w:val="20"/>
        </w:rPr>
        <w:tab/>
      </w:r>
      <w:r w:rsidR="004956E4" w:rsidRPr="004956E4">
        <w:rPr>
          <w:szCs w:val="20"/>
        </w:rPr>
        <w:tab/>
      </w:r>
      <w:r w:rsidR="004956E4" w:rsidRPr="004956E4">
        <w:rPr>
          <w:szCs w:val="20"/>
        </w:rPr>
        <w:tab/>
      </w:r>
      <w:r w:rsidR="004956E4" w:rsidRPr="004956E4">
        <w:rPr>
          <w:szCs w:val="20"/>
        </w:rPr>
        <w:tab/>
      </w:r>
    </w:p>
    <w:p w14:paraId="51302208" w14:textId="1B100167" w:rsidR="006949A2" w:rsidRPr="009833C5" w:rsidRDefault="0036058F" w:rsidP="008845D4">
      <w:pPr>
        <w:rPr>
          <w:b/>
          <w:szCs w:val="20"/>
        </w:rPr>
      </w:pPr>
      <w:r>
        <w:rPr>
          <w:b/>
          <w:szCs w:val="20"/>
        </w:rPr>
        <w:t>ABOUT THE OASF AUTHORS</w:t>
      </w:r>
    </w:p>
    <w:p w14:paraId="35CF81A2" w14:textId="10C52EDB" w:rsidR="005A6BC8" w:rsidRPr="009833C5" w:rsidRDefault="00AE5B31" w:rsidP="008845D4">
      <w:pPr>
        <w:pStyle w:val="ListParagraph"/>
        <w:numPr>
          <w:ilvl w:val="0"/>
          <w:numId w:val="3"/>
        </w:numPr>
        <w:rPr>
          <w:szCs w:val="20"/>
        </w:rPr>
      </w:pPr>
      <w:r w:rsidRPr="009833C5">
        <w:rPr>
          <w:szCs w:val="20"/>
        </w:rPr>
        <w:t xml:space="preserve">109 </w:t>
      </w:r>
      <w:r w:rsidRPr="009833C5">
        <w:rPr>
          <w:szCs w:val="20"/>
        </w:rPr>
        <w:tab/>
      </w:r>
      <w:r w:rsidR="00533A85" w:rsidRPr="009833C5">
        <w:rPr>
          <w:szCs w:val="20"/>
        </w:rPr>
        <w:t>U</w:t>
      </w:r>
      <w:r w:rsidR="005A6BC8" w:rsidRPr="009833C5">
        <w:rPr>
          <w:szCs w:val="20"/>
        </w:rPr>
        <w:t>nique VT authors funded</w:t>
      </w:r>
    </w:p>
    <w:p w14:paraId="06B1583D" w14:textId="77777777" w:rsidR="00010C35" w:rsidRPr="009833C5" w:rsidRDefault="00010C35" w:rsidP="008845D4">
      <w:pPr>
        <w:ind w:left="360"/>
        <w:rPr>
          <w:szCs w:val="20"/>
        </w:rPr>
      </w:pPr>
    </w:p>
    <w:p w14:paraId="416203DB" w14:textId="2E4F769C" w:rsidR="00892667" w:rsidRDefault="00892667" w:rsidP="008845D4">
      <w:pPr>
        <w:pStyle w:val="ListParagraph"/>
        <w:numPr>
          <w:ilvl w:val="0"/>
          <w:numId w:val="3"/>
        </w:numPr>
        <w:rPr>
          <w:szCs w:val="20"/>
        </w:rPr>
      </w:pPr>
      <w:r w:rsidRPr="009833C5">
        <w:rPr>
          <w:szCs w:val="20"/>
        </w:rPr>
        <w:t xml:space="preserve">    9</w:t>
      </w:r>
      <w:r w:rsidRPr="009833C5">
        <w:rPr>
          <w:szCs w:val="20"/>
        </w:rPr>
        <w:tab/>
        <w:t>Articles have a single author (19%)</w:t>
      </w:r>
    </w:p>
    <w:p w14:paraId="493D98EE" w14:textId="77777777" w:rsidR="0011725E" w:rsidRPr="0011725E" w:rsidRDefault="0011725E" w:rsidP="0011725E">
      <w:pPr>
        <w:rPr>
          <w:szCs w:val="20"/>
        </w:rPr>
      </w:pPr>
    </w:p>
    <w:p w14:paraId="3555DBE3" w14:textId="5FBD76BE" w:rsidR="0069271A" w:rsidRPr="009833C5" w:rsidRDefault="005E4148" w:rsidP="008845D4">
      <w:pPr>
        <w:pStyle w:val="ListParagraph"/>
        <w:numPr>
          <w:ilvl w:val="0"/>
          <w:numId w:val="3"/>
        </w:numPr>
        <w:rPr>
          <w:szCs w:val="20"/>
        </w:rPr>
      </w:pPr>
      <w:r>
        <w:rPr>
          <w:szCs w:val="20"/>
        </w:rPr>
        <w:t xml:space="preserve">  18</w:t>
      </w:r>
      <w:r>
        <w:rPr>
          <w:szCs w:val="20"/>
        </w:rPr>
        <w:tab/>
        <w:t>A</w:t>
      </w:r>
      <w:r w:rsidR="0069271A" w:rsidRPr="009833C5">
        <w:rPr>
          <w:szCs w:val="20"/>
        </w:rPr>
        <w:t>uthors received funding for more than one article (17%)</w:t>
      </w:r>
    </w:p>
    <w:p w14:paraId="39861D9B" w14:textId="77777777" w:rsidR="00892667" w:rsidRPr="009833C5" w:rsidRDefault="00892667" w:rsidP="008845D4">
      <w:pPr>
        <w:rPr>
          <w:szCs w:val="20"/>
        </w:rPr>
      </w:pPr>
    </w:p>
    <w:p w14:paraId="406E8038" w14:textId="3244D40F" w:rsidR="00892667" w:rsidRPr="009833C5" w:rsidRDefault="00892667" w:rsidP="008845D4">
      <w:pPr>
        <w:pStyle w:val="ListParagraph"/>
        <w:numPr>
          <w:ilvl w:val="0"/>
          <w:numId w:val="3"/>
        </w:numPr>
        <w:rPr>
          <w:szCs w:val="20"/>
        </w:rPr>
      </w:pPr>
      <w:r w:rsidRPr="009833C5">
        <w:rPr>
          <w:szCs w:val="20"/>
        </w:rPr>
        <w:t xml:space="preserve">  38</w:t>
      </w:r>
      <w:r w:rsidRPr="009833C5">
        <w:rPr>
          <w:szCs w:val="20"/>
        </w:rPr>
        <w:tab/>
        <w:t>Articles have multiple authors (81%)</w:t>
      </w:r>
    </w:p>
    <w:p w14:paraId="2B53C390" w14:textId="54994575" w:rsidR="005A6BC8" w:rsidRPr="009833C5" w:rsidRDefault="0069271A" w:rsidP="008845D4">
      <w:pPr>
        <w:pStyle w:val="ListParagraph"/>
        <w:numPr>
          <w:ilvl w:val="0"/>
          <w:numId w:val="3"/>
        </w:numPr>
        <w:rPr>
          <w:szCs w:val="20"/>
        </w:rPr>
      </w:pPr>
      <w:r w:rsidRPr="009833C5">
        <w:rPr>
          <w:szCs w:val="20"/>
        </w:rPr>
        <w:t xml:space="preserve">  </w:t>
      </w:r>
      <w:r w:rsidR="008458A7" w:rsidRPr="009833C5">
        <w:rPr>
          <w:szCs w:val="20"/>
        </w:rPr>
        <w:t>10</w:t>
      </w:r>
      <w:r w:rsidR="00533A85" w:rsidRPr="009833C5">
        <w:rPr>
          <w:szCs w:val="20"/>
        </w:rPr>
        <w:tab/>
        <w:t>A</w:t>
      </w:r>
      <w:r w:rsidR="005A6BC8" w:rsidRPr="009833C5">
        <w:rPr>
          <w:szCs w:val="20"/>
        </w:rPr>
        <w:t xml:space="preserve">rticles co-authored </w:t>
      </w:r>
      <w:r w:rsidR="00B16C4D" w:rsidRPr="009833C5">
        <w:rPr>
          <w:szCs w:val="20"/>
        </w:rPr>
        <w:t xml:space="preserve">with </w:t>
      </w:r>
      <w:r w:rsidR="00D867D7" w:rsidRPr="009833C5">
        <w:rPr>
          <w:szCs w:val="20"/>
        </w:rPr>
        <w:t>colleagues</w:t>
      </w:r>
      <w:r w:rsidR="00533A85" w:rsidRPr="009833C5">
        <w:rPr>
          <w:szCs w:val="20"/>
        </w:rPr>
        <w:t xml:space="preserve"> </w:t>
      </w:r>
      <w:r w:rsidR="00B16C4D" w:rsidRPr="009833C5">
        <w:rPr>
          <w:szCs w:val="20"/>
        </w:rPr>
        <w:t xml:space="preserve">in another college/institute </w:t>
      </w:r>
      <w:r w:rsidR="00533A85" w:rsidRPr="009833C5">
        <w:rPr>
          <w:szCs w:val="20"/>
        </w:rPr>
        <w:t>(</w:t>
      </w:r>
      <w:r w:rsidR="008458A7" w:rsidRPr="009833C5">
        <w:rPr>
          <w:szCs w:val="20"/>
        </w:rPr>
        <w:t>21%</w:t>
      </w:r>
      <w:r w:rsidR="00533A85" w:rsidRPr="009833C5">
        <w:rPr>
          <w:szCs w:val="20"/>
        </w:rPr>
        <w:t>)</w:t>
      </w:r>
    </w:p>
    <w:p w14:paraId="4782242F" w14:textId="17284270" w:rsidR="005A6BC8" w:rsidRPr="009833C5" w:rsidRDefault="00533A85" w:rsidP="00D867D7">
      <w:pPr>
        <w:pStyle w:val="ListParagraph"/>
        <w:numPr>
          <w:ilvl w:val="2"/>
          <w:numId w:val="3"/>
        </w:numPr>
        <w:rPr>
          <w:szCs w:val="20"/>
        </w:rPr>
      </w:pPr>
      <w:r w:rsidRPr="009833C5">
        <w:rPr>
          <w:szCs w:val="20"/>
        </w:rPr>
        <w:t>A</w:t>
      </w:r>
      <w:r w:rsidR="005A6BC8" w:rsidRPr="009833C5">
        <w:rPr>
          <w:szCs w:val="20"/>
        </w:rPr>
        <w:t xml:space="preserve">ll </w:t>
      </w:r>
      <w:r w:rsidRPr="009833C5">
        <w:rPr>
          <w:szCs w:val="20"/>
        </w:rPr>
        <w:t>included</w:t>
      </w:r>
      <w:r w:rsidR="005A6BC8" w:rsidRPr="009833C5">
        <w:rPr>
          <w:szCs w:val="20"/>
        </w:rPr>
        <w:t xml:space="preserve"> </w:t>
      </w:r>
      <w:proofErr w:type="spellStart"/>
      <w:r w:rsidR="005A6BC8" w:rsidRPr="009833C5">
        <w:rPr>
          <w:szCs w:val="20"/>
        </w:rPr>
        <w:t>CoS</w:t>
      </w:r>
      <w:proofErr w:type="spellEnd"/>
      <w:r w:rsidR="005A6BC8" w:rsidRPr="009833C5">
        <w:rPr>
          <w:szCs w:val="20"/>
        </w:rPr>
        <w:t xml:space="preserve"> </w:t>
      </w:r>
      <w:r w:rsidR="00C30DE8" w:rsidRPr="009833C5">
        <w:rPr>
          <w:szCs w:val="20"/>
        </w:rPr>
        <w:t>authors with</w:t>
      </w:r>
      <w:r w:rsidR="005A6BC8" w:rsidRPr="009833C5">
        <w:rPr>
          <w:szCs w:val="20"/>
        </w:rPr>
        <w:t xml:space="preserve"> </w:t>
      </w:r>
      <w:proofErr w:type="spellStart"/>
      <w:r w:rsidR="005A6BC8" w:rsidRPr="009833C5">
        <w:rPr>
          <w:szCs w:val="20"/>
        </w:rPr>
        <w:t>CoE</w:t>
      </w:r>
      <w:proofErr w:type="spellEnd"/>
      <w:r w:rsidR="005A6BC8" w:rsidRPr="009833C5">
        <w:rPr>
          <w:szCs w:val="20"/>
        </w:rPr>
        <w:t xml:space="preserve">, CALS, VBI, VTCRI, </w:t>
      </w:r>
      <w:proofErr w:type="spellStart"/>
      <w:r w:rsidR="005A6BC8" w:rsidRPr="009833C5">
        <w:rPr>
          <w:szCs w:val="20"/>
        </w:rPr>
        <w:t>Fralin</w:t>
      </w:r>
      <w:proofErr w:type="spellEnd"/>
    </w:p>
    <w:p w14:paraId="66B2F3BE" w14:textId="67B49564" w:rsidR="005A6BC8" w:rsidRPr="009833C5" w:rsidRDefault="007859A8" w:rsidP="008845D4">
      <w:pPr>
        <w:pStyle w:val="ListParagraph"/>
        <w:numPr>
          <w:ilvl w:val="0"/>
          <w:numId w:val="3"/>
        </w:numPr>
        <w:rPr>
          <w:szCs w:val="20"/>
        </w:rPr>
      </w:pPr>
      <w:r w:rsidRPr="009833C5">
        <w:rPr>
          <w:szCs w:val="20"/>
        </w:rPr>
        <w:t xml:space="preserve">  </w:t>
      </w:r>
      <w:r w:rsidR="008458A7" w:rsidRPr="009833C5">
        <w:rPr>
          <w:szCs w:val="20"/>
        </w:rPr>
        <w:t>23</w:t>
      </w:r>
      <w:r w:rsidR="00AE5B31" w:rsidRPr="009833C5">
        <w:rPr>
          <w:szCs w:val="20"/>
        </w:rPr>
        <w:tab/>
      </w:r>
      <w:r w:rsidR="00C30DE8" w:rsidRPr="009833C5">
        <w:rPr>
          <w:szCs w:val="20"/>
        </w:rPr>
        <w:t>A</w:t>
      </w:r>
      <w:r w:rsidR="00B16C4D" w:rsidRPr="009833C5">
        <w:rPr>
          <w:szCs w:val="20"/>
        </w:rPr>
        <w:t xml:space="preserve">rticles co-authored with </w:t>
      </w:r>
      <w:r w:rsidR="005A6BC8" w:rsidRPr="009833C5">
        <w:rPr>
          <w:szCs w:val="20"/>
        </w:rPr>
        <w:t>colleagues outside VT</w:t>
      </w:r>
      <w:r w:rsidR="00C30DE8" w:rsidRPr="009833C5">
        <w:rPr>
          <w:szCs w:val="20"/>
        </w:rPr>
        <w:t xml:space="preserve"> (</w:t>
      </w:r>
      <w:r w:rsidR="008458A7" w:rsidRPr="009833C5">
        <w:rPr>
          <w:szCs w:val="20"/>
        </w:rPr>
        <w:t>49%</w:t>
      </w:r>
      <w:r w:rsidR="00C30DE8" w:rsidRPr="009833C5">
        <w:rPr>
          <w:szCs w:val="20"/>
        </w:rPr>
        <w:t>)</w:t>
      </w:r>
    </w:p>
    <w:p w14:paraId="7A3DA39A" w14:textId="77777777" w:rsidR="005A6BC8" w:rsidRPr="009833C5" w:rsidRDefault="005A6BC8" w:rsidP="008845D4">
      <w:pPr>
        <w:pStyle w:val="ListParagraph"/>
        <w:numPr>
          <w:ilvl w:val="2"/>
          <w:numId w:val="3"/>
        </w:numPr>
        <w:rPr>
          <w:szCs w:val="20"/>
        </w:rPr>
      </w:pPr>
      <w:proofErr w:type="spellStart"/>
      <w:r w:rsidRPr="009833C5">
        <w:rPr>
          <w:szCs w:val="20"/>
        </w:rPr>
        <w:t>CoS</w:t>
      </w:r>
      <w:proofErr w:type="spellEnd"/>
      <w:r w:rsidRPr="009833C5">
        <w:rPr>
          <w:szCs w:val="20"/>
        </w:rPr>
        <w:t xml:space="preserve">: 7 articles, </w:t>
      </w:r>
      <w:proofErr w:type="spellStart"/>
      <w:r w:rsidRPr="009833C5">
        <w:rPr>
          <w:szCs w:val="20"/>
        </w:rPr>
        <w:t>CoE</w:t>
      </w:r>
      <w:proofErr w:type="spellEnd"/>
      <w:r w:rsidRPr="009833C5">
        <w:rPr>
          <w:szCs w:val="20"/>
        </w:rPr>
        <w:t>: 5, CALS: 4, VBI: 4, Vet Med: 2, CLAHS: 1</w:t>
      </w:r>
    </w:p>
    <w:p w14:paraId="1D6D6267" w14:textId="77777777" w:rsidR="00010C35" w:rsidRPr="009833C5" w:rsidRDefault="00010C35" w:rsidP="008845D4">
      <w:pPr>
        <w:pStyle w:val="ListParagraph"/>
        <w:ind w:left="2160"/>
        <w:rPr>
          <w:szCs w:val="20"/>
        </w:rPr>
      </w:pPr>
    </w:p>
    <w:p w14:paraId="25495AF4" w14:textId="1AA371F8" w:rsidR="0072116D" w:rsidRDefault="0072116D" w:rsidP="008845D4">
      <w:pPr>
        <w:rPr>
          <w:b/>
          <w:szCs w:val="20"/>
        </w:rPr>
      </w:pPr>
      <w:r w:rsidRPr="009833C5">
        <w:rPr>
          <w:b/>
          <w:szCs w:val="20"/>
        </w:rPr>
        <w:t xml:space="preserve">Funded </w:t>
      </w:r>
      <w:r w:rsidR="00CE65C9">
        <w:rPr>
          <w:b/>
          <w:szCs w:val="20"/>
        </w:rPr>
        <w:t>A</w:t>
      </w:r>
      <w:r w:rsidR="0069271A" w:rsidRPr="009833C5">
        <w:rPr>
          <w:b/>
          <w:szCs w:val="20"/>
        </w:rPr>
        <w:t xml:space="preserve">uthors by </w:t>
      </w:r>
      <w:r w:rsidR="00CE65C9">
        <w:rPr>
          <w:b/>
          <w:szCs w:val="20"/>
        </w:rPr>
        <w:t>Categories</w:t>
      </w:r>
    </w:p>
    <w:p w14:paraId="4B898564" w14:textId="77777777" w:rsidR="009F2C8D" w:rsidRDefault="009F2C8D" w:rsidP="009F2C8D">
      <w:pPr>
        <w:rPr>
          <w:b/>
          <w:szCs w:val="20"/>
        </w:rPr>
      </w:pPr>
    </w:p>
    <w:tbl>
      <w:tblPr>
        <w:tblW w:w="7940" w:type="dxa"/>
        <w:tblInd w:w="93" w:type="dxa"/>
        <w:tblLook w:val="04A0" w:firstRow="1" w:lastRow="0" w:firstColumn="1" w:lastColumn="0" w:noHBand="0" w:noVBand="1"/>
      </w:tblPr>
      <w:tblGrid>
        <w:gridCol w:w="708"/>
        <w:gridCol w:w="762"/>
        <w:gridCol w:w="662"/>
        <w:gridCol w:w="720"/>
        <w:gridCol w:w="743"/>
        <w:gridCol w:w="743"/>
        <w:gridCol w:w="662"/>
        <w:gridCol w:w="662"/>
        <w:gridCol w:w="676"/>
        <w:gridCol w:w="682"/>
        <w:gridCol w:w="732"/>
        <w:gridCol w:w="837"/>
      </w:tblGrid>
      <w:tr w:rsidR="009F2C8D" w:rsidRPr="00E22120" w14:paraId="36B68025" w14:textId="77777777" w:rsidTr="009F2C8D">
        <w:trPr>
          <w:trHeight w:val="920"/>
        </w:trPr>
        <w:tc>
          <w:tcPr>
            <w:tcW w:w="600" w:type="dxa"/>
            <w:tcBorders>
              <w:top w:val="single" w:sz="4" w:space="0" w:color="auto"/>
              <w:left w:val="single" w:sz="4" w:space="0" w:color="auto"/>
              <w:bottom w:val="double" w:sz="6" w:space="0" w:color="auto"/>
              <w:right w:val="single" w:sz="4" w:space="0" w:color="auto"/>
            </w:tcBorders>
            <w:shd w:val="clear" w:color="auto" w:fill="auto"/>
            <w:vAlign w:val="bottom"/>
            <w:hideMark/>
          </w:tcPr>
          <w:p w14:paraId="75CF36C0" w14:textId="77777777" w:rsidR="009F2C8D" w:rsidRPr="00E22120" w:rsidRDefault="009F2C8D" w:rsidP="009F2C8D">
            <w:pPr>
              <w:rPr>
                <w:rFonts w:eastAsia="Times New Roman" w:cs="Times New Roman"/>
                <w:color w:val="000000"/>
                <w:sz w:val="16"/>
                <w:szCs w:val="16"/>
              </w:rPr>
            </w:pPr>
            <w:proofErr w:type="spellStart"/>
            <w:r w:rsidRPr="00E22120">
              <w:rPr>
                <w:rFonts w:eastAsia="Times New Roman" w:cs="Times New Roman"/>
                <w:color w:val="000000"/>
                <w:sz w:val="16"/>
                <w:szCs w:val="16"/>
              </w:rPr>
              <w:t>auth'rs</w:t>
            </w:r>
            <w:proofErr w:type="spellEnd"/>
          </w:p>
        </w:tc>
        <w:tc>
          <w:tcPr>
            <w:tcW w:w="740" w:type="dxa"/>
            <w:tcBorders>
              <w:top w:val="single" w:sz="4" w:space="0" w:color="auto"/>
              <w:left w:val="nil"/>
              <w:bottom w:val="double" w:sz="6" w:space="0" w:color="auto"/>
              <w:right w:val="single" w:sz="4" w:space="0" w:color="auto"/>
            </w:tcBorders>
            <w:shd w:val="clear" w:color="auto" w:fill="auto"/>
            <w:vAlign w:val="bottom"/>
            <w:hideMark/>
          </w:tcPr>
          <w:p w14:paraId="29745365" w14:textId="77777777" w:rsidR="009F2C8D" w:rsidRPr="00E22120" w:rsidRDefault="009F2C8D" w:rsidP="009F2C8D">
            <w:pPr>
              <w:rPr>
                <w:rFonts w:eastAsia="Times New Roman" w:cs="Times New Roman"/>
                <w:b/>
                <w:bCs/>
                <w:color w:val="000000"/>
                <w:sz w:val="16"/>
                <w:szCs w:val="16"/>
              </w:rPr>
            </w:pPr>
            <w:r w:rsidRPr="00E22120">
              <w:rPr>
                <w:rFonts w:eastAsia="Times New Roman" w:cs="Times New Roman"/>
                <w:b/>
                <w:bCs/>
                <w:color w:val="000000"/>
                <w:sz w:val="16"/>
                <w:szCs w:val="16"/>
              </w:rPr>
              <w:t> </w:t>
            </w:r>
          </w:p>
        </w:tc>
        <w:tc>
          <w:tcPr>
            <w:tcW w:w="660" w:type="dxa"/>
            <w:tcBorders>
              <w:top w:val="single" w:sz="4" w:space="0" w:color="auto"/>
              <w:left w:val="nil"/>
              <w:bottom w:val="double" w:sz="6" w:space="0" w:color="auto"/>
              <w:right w:val="single" w:sz="4" w:space="0" w:color="auto"/>
            </w:tcBorders>
            <w:shd w:val="clear" w:color="auto" w:fill="auto"/>
            <w:vAlign w:val="bottom"/>
            <w:hideMark/>
          </w:tcPr>
          <w:p w14:paraId="6EB0160A" w14:textId="77777777" w:rsidR="009F2C8D" w:rsidRPr="00E22120" w:rsidRDefault="009F2C8D" w:rsidP="009F2C8D">
            <w:pPr>
              <w:jc w:val="right"/>
              <w:rPr>
                <w:rFonts w:eastAsia="Times New Roman" w:cs="Times New Roman"/>
                <w:b/>
                <w:bCs/>
                <w:color w:val="000000"/>
                <w:sz w:val="16"/>
                <w:szCs w:val="16"/>
              </w:rPr>
            </w:pPr>
            <w:proofErr w:type="spellStart"/>
            <w:r w:rsidRPr="00E22120">
              <w:rPr>
                <w:rFonts w:eastAsia="Times New Roman" w:cs="Times New Roman"/>
                <w:b/>
                <w:bCs/>
                <w:color w:val="000000"/>
                <w:sz w:val="16"/>
                <w:szCs w:val="16"/>
              </w:rPr>
              <w:t>Adj</w:t>
            </w:r>
            <w:proofErr w:type="spellEnd"/>
            <w:r w:rsidRPr="00E22120">
              <w:rPr>
                <w:rFonts w:eastAsia="Times New Roman" w:cs="Times New Roman"/>
                <w:b/>
                <w:bCs/>
                <w:color w:val="000000"/>
                <w:sz w:val="16"/>
                <w:szCs w:val="16"/>
              </w:rPr>
              <w:t xml:space="preserve"> Prof</w:t>
            </w:r>
          </w:p>
        </w:tc>
        <w:tc>
          <w:tcPr>
            <w:tcW w:w="720" w:type="dxa"/>
            <w:tcBorders>
              <w:top w:val="single" w:sz="4" w:space="0" w:color="auto"/>
              <w:left w:val="nil"/>
              <w:bottom w:val="double" w:sz="6" w:space="0" w:color="auto"/>
              <w:right w:val="single" w:sz="4" w:space="0" w:color="auto"/>
            </w:tcBorders>
            <w:shd w:val="clear" w:color="auto" w:fill="auto"/>
            <w:vAlign w:val="bottom"/>
            <w:hideMark/>
          </w:tcPr>
          <w:p w14:paraId="744A815B" w14:textId="77777777" w:rsidR="009F2C8D" w:rsidRPr="00E22120" w:rsidRDefault="009F2C8D" w:rsidP="009F2C8D">
            <w:pPr>
              <w:jc w:val="right"/>
              <w:rPr>
                <w:rFonts w:eastAsia="Times New Roman" w:cs="Times New Roman"/>
                <w:b/>
                <w:bCs/>
                <w:color w:val="000000"/>
                <w:sz w:val="16"/>
                <w:szCs w:val="16"/>
              </w:rPr>
            </w:pPr>
            <w:proofErr w:type="spellStart"/>
            <w:r w:rsidRPr="00E22120">
              <w:rPr>
                <w:rFonts w:eastAsia="Times New Roman" w:cs="Times New Roman"/>
                <w:b/>
                <w:bCs/>
                <w:color w:val="000000"/>
                <w:sz w:val="16"/>
                <w:szCs w:val="16"/>
              </w:rPr>
              <w:t>Assoc</w:t>
            </w:r>
            <w:proofErr w:type="spellEnd"/>
            <w:r w:rsidRPr="00E22120">
              <w:rPr>
                <w:rFonts w:eastAsia="Times New Roman" w:cs="Times New Roman"/>
                <w:b/>
                <w:bCs/>
                <w:color w:val="000000"/>
                <w:sz w:val="16"/>
                <w:szCs w:val="16"/>
              </w:rPr>
              <w:t xml:space="preserve"> Prof</w:t>
            </w:r>
          </w:p>
        </w:tc>
        <w:tc>
          <w:tcPr>
            <w:tcW w:w="720" w:type="dxa"/>
            <w:tcBorders>
              <w:top w:val="single" w:sz="4" w:space="0" w:color="auto"/>
              <w:left w:val="nil"/>
              <w:bottom w:val="double" w:sz="6" w:space="0" w:color="auto"/>
              <w:right w:val="single" w:sz="4" w:space="0" w:color="auto"/>
            </w:tcBorders>
            <w:shd w:val="clear" w:color="auto" w:fill="auto"/>
            <w:vAlign w:val="bottom"/>
            <w:hideMark/>
          </w:tcPr>
          <w:p w14:paraId="6951667C" w14:textId="77777777" w:rsidR="009F2C8D" w:rsidRPr="00E22120" w:rsidRDefault="009F2C8D" w:rsidP="009F2C8D">
            <w:pPr>
              <w:jc w:val="right"/>
              <w:rPr>
                <w:rFonts w:eastAsia="Times New Roman" w:cs="Times New Roman"/>
                <w:b/>
                <w:bCs/>
                <w:color w:val="000000"/>
                <w:sz w:val="16"/>
                <w:szCs w:val="16"/>
              </w:rPr>
            </w:pPr>
            <w:proofErr w:type="spellStart"/>
            <w:r w:rsidRPr="00E22120">
              <w:rPr>
                <w:rFonts w:eastAsia="Times New Roman" w:cs="Times New Roman"/>
                <w:b/>
                <w:bCs/>
                <w:color w:val="000000"/>
                <w:sz w:val="16"/>
                <w:szCs w:val="16"/>
              </w:rPr>
              <w:t>Asst</w:t>
            </w:r>
            <w:proofErr w:type="spellEnd"/>
            <w:r w:rsidRPr="00E22120">
              <w:rPr>
                <w:rFonts w:eastAsia="Times New Roman" w:cs="Times New Roman"/>
                <w:b/>
                <w:bCs/>
                <w:color w:val="000000"/>
                <w:sz w:val="16"/>
                <w:szCs w:val="16"/>
              </w:rPr>
              <w:t xml:space="preserve"> Prof</w:t>
            </w:r>
          </w:p>
        </w:tc>
        <w:tc>
          <w:tcPr>
            <w:tcW w:w="720" w:type="dxa"/>
            <w:tcBorders>
              <w:top w:val="single" w:sz="4" w:space="0" w:color="auto"/>
              <w:left w:val="nil"/>
              <w:bottom w:val="double" w:sz="6" w:space="0" w:color="auto"/>
              <w:right w:val="single" w:sz="4" w:space="0" w:color="auto"/>
            </w:tcBorders>
            <w:shd w:val="clear" w:color="auto" w:fill="auto"/>
            <w:vAlign w:val="bottom"/>
            <w:hideMark/>
          </w:tcPr>
          <w:p w14:paraId="72D58892" w14:textId="77777777" w:rsidR="009F2C8D" w:rsidRPr="00E22120" w:rsidRDefault="009F2C8D" w:rsidP="009F2C8D">
            <w:pPr>
              <w:jc w:val="right"/>
              <w:rPr>
                <w:rFonts w:eastAsia="Times New Roman" w:cs="Times New Roman"/>
                <w:b/>
                <w:bCs/>
                <w:color w:val="000000"/>
                <w:sz w:val="16"/>
                <w:szCs w:val="16"/>
              </w:rPr>
            </w:pPr>
            <w:r w:rsidRPr="00E22120">
              <w:rPr>
                <w:rFonts w:eastAsia="Times New Roman" w:cs="Times New Roman"/>
                <w:b/>
                <w:bCs/>
                <w:color w:val="000000"/>
                <w:sz w:val="16"/>
                <w:szCs w:val="16"/>
              </w:rPr>
              <w:t>Grad Stud</w:t>
            </w:r>
          </w:p>
        </w:tc>
        <w:tc>
          <w:tcPr>
            <w:tcW w:w="620" w:type="dxa"/>
            <w:tcBorders>
              <w:top w:val="single" w:sz="4" w:space="0" w:color="auto"/>
              <w:left w:val="nil"/>
              <w:bottom w:val="double" w:sz="6" w:space="0" w:color="auto"/>
              <w:right w:val="single" w:sz="4" w:space="0" w:color="auto"/>
            </w:tcBorders>
            <w:shd w:val="clear" w:color="auto" w:fill="auto"/>
            <w:vAlign w:val="bottom"/>
            <w:hideMark/>
          </w:tcPr>
          <w:p w14:paraId="04E54DF7" w14:textId="77777777" w:rsidR="009F2C8D" w:rsidRPr="00E22120" w:rsidRDefault="009F2C8D" w:rsidP="009F2C8D">
            <w:pPr>
              <w:jc w:val="right"/>
              <w:rPr>
                <w:rFonts w:eastAsia="Times New Roman" w:cs="Times New Roman"/>
                <w:b/>
                <w:bCs/>
                <w:color w:val="000000"/>
                <w:sz w:val="16"/>
                <w:szCs w:val="16"/>
              </w:rPr>
            </w:pPr>
            <w:r w:rsidRPr="00E22120">
              <w:rPr>
                <w:rFonts w:eastAsia="Times New Roman" w:cs="Times New Roman"/>
                <w:b/>
                <w:bCs/>
                <w:color w:val="000000"/>
                <w:sz w:val="16"/>
                <w:szCs w:val="16"/>
              </w:rPr>
              <w:t>Post Doc</w:t>
            </w:r>
          </w:p>
        </w:tc>
        <w:tc>
          <w:tcPr>
            <w:tcW w:w="640" w:type="dxa"/>
            <w:tcBorders>
              <w:top w:val="single" w:sz="4" w:space="0" w:color="auto"/>
              <w:left w:val="nil"/>
              <w:bottom w:val="double" w:sz="6" w:space="0" w:color="auto"/>
              <w:right w:val="single" w:sz="4" w:space="0" w:color="auto"/>
            </w:tcBorders>
            <w:shd w:val="clear" w:color="auto" w:fill="auto"/>
            <w:vAlign w:val="bottom"/>
            <w:hideMark/>
          </w:tcPr>
          <w:p w14:paraId="6BECB932" w14:textId="77777777" w:rsidR="009F2C8D" w:rsidRPr="00E22120" w:rsidRDefault="009F2C8D" w:rsidP="009F2C8D">
            <w:pPr>
              <w:jc w:val="right"/>
              <w:rPr>
                <w:rFonts w:eastAsia="Times New Roman" w:cs="Times New Roman"/>
                <w:b/>
                <w:bCs/>
                <w:color w:val="000000"/>
                <w:sz w:val="16"/>
                <w:szCs w:val="16"/>
              </w:rPr>
            </w:pPr>
            <w:r w:rsidRPr="00E22120">
              <w:rPr>
                <w:rFonts w:eastAsia="Times New Roman" w:cs="Times New Roman"/>
                <w:b/>
                <w:bCs/>
                <w:color w:val="000000"/>
                <w:sz w:val="16"/>
                <w:szCs w:val="16"/>
              </w:rPr>
              <w:t>Prof</w:t>
            </w:r>
          </w:p>
        </w:tc>
        <w:tc>
          <w:tcPr>
            <w:tcW w:w="620" w:type="dxa"/>
            <w:tcBorders>
              <w:top w:val="single" w:sz="4" w:space="0" w:color="auto"/>
              <w:left w:val="nil"/>
              <w:bottom w:val="double" w:sz="6" w:space="0" w:color="auto"/>
              <w:right w:val="single" w:sz="4" w:space="0" w:color="auto"/>
            </w:tcBorders>
            <w:shd w:val="clear" w:color="auto" w:fill="auto"/>
            <w:vAlign w:val="bottom"/>
            <w:hideMark/>
          </w:tcPr>
          <w:p w14:paraId="7389A367" w14:textId="2CB544CC" w:rsidR="009F2C8D" w:rsidRPr="00E22120" w:rsidRDefault="009F2C8D" w:rsidP="009F2C8D">
            <w:pPr>
              <w:jc w:val="right"/>
              <w:rPr>
                <w:rFonts w:eastAsia="Times New Roman" w:cs="Times New Roman"/>
                <w:b/>
                <w:bCs/>
                <w:color w:val="000000"/>
                <w:sz w:val="16"/>
                <w:szCs w:val="16"/>
              </w:rPr>
            </w:pPr>
            <w:proofErr w:type="spellStart"/>
            <w:r w:rsidRPr="00E22120">
              <w:rPr>
                <w:rFonts w:eastAsia="Times New Roman" w:cs="Times New Roman"/>
                <w:b/>
                <w:bCs/>
                <w:color w:val="000000"/>
                <w:sz w:val="16"/>
                <w:szCs w:val="16"/>
              </w:rPr>
              <w:t>Asso</w:t>
            </w:r>
            <w:proofErr w:type="spellEnd"/>
            <w:r w:rsidR="008277F5">
              <w:rPr>
                <w:rFonts w:eastAsia="Times New Roman" w:cs="Times New Roman"/>
                <w:b/>
                <w:bCs/>
                <w:color w:val="000000"/>
                <w:sz w:val="16"/>
                <w:szCs w:val="16"/>
              </w:rPr>
              <w:t>-</w:t>
            </w:r>
            <w:r w:rsidRPr="00E22120">
              <w:rPr>
                <w:rFonts w:eastAsia="Times New Roman" w:cs="Times New Roman"/>
                <w:b/>
                <w:bCs/>
                <w:color w:val="000000"/>
                <w:sz w:val="16"/>
                <w:szCs w:val="16"/>
              </w:rPr>
              <w:t xml:space="preserve"> </w:t>
            </w:r>
            <w:proofErr w:type="spellStart"/>
            <w:r w:rsidRPr="00E22120">
              <w:rPr>
                <w:rFonts w:eastAsia="Times New Roman" w:cs="Times New Roman"/>
                <w:b/>
                <w:bCs/>
                <w:color w:val="000000"/>
                <w:sz w:val="16"/>
                <w:szCs w:val="16"/>
              </w:rPr>
              <w:t>ciates</w:t>
            </w:r>
            <w:proofErr w:type="spellEnd"/>
          </w:p>
        </w:tc>
        <w:tc>
          <w:tcPr>
            <w:tcW w:w="540" w:type="dxa"/>
            <w:tcBorders>
              <w:top w:val="single" w:sz="4" w:space="0" w:color="auto"/>
              <w:left w:val="nil"/>
              <w:bottom w:val="double" w:sz="6" w:space="0" w:color="auto"/>
              <w:right w:val="single" w:sz="4" w:space="0" w:color="auto"/>
            </w:tcBorders>
            <w:shd w:val="clear" w:color="auto" w:fill="auto"/>
            <w:vAlign w:val="bottom"/>
            <w:hideMark/>
          </w:tcPr>
          <w:p w14:paraId="024EAA85" w14:textId="77777777" w:rsidR="009F2C8D" w:rsidRPr="00E22120" w:rsidRDefault="009F2C8D" w:rsidP="009F2C8D">
            <w:pPr>
              <w:jc w:val="right"/>
              <w:rPr>
                <w:rFonts w:eastAsia="Times New Roman" w:cs="Times New Roman"/>
                <w:b/>
                <w:bCs/>
                <w:color w:val="000000"/>
                <w:sz w:val="16"/>
                <w:szCs w:val="16"/>
              </w:rPr>
            </w:pPr>
            <w:r w:rsidRPr="00E22120">
              <w:rPr>
                <w:rFonts w:eastAsia="Times New Roman" w:cs="Times New Roman"/>
                <w:b/>
                <w:bCs/>
                <w:color w:val="000000"/>
                <w:sz w:val="16"/>
                <w:szCs w:val="16"/>
              </w:rPr>
              <w:t>Under grad</w:t>
            </w:r>
          </w:p>
        </w:tc>
        <w:tc>
          <w:tcPr>
            <w:tcW w:w="620" w:type="dxa"/>
            <w:tcBorders>
              <w:top w:val="single" w:sz="4" w:space="0" w:color="auto"/>
              <w:left w:val="nil"/>
              <w:bottom w:val="double" w:sz="6" w:space="0" w:color="auto"/>
              <w:right w:val="single" w:sz="4" w:space="0" w:color="auto"/>
            </w:tcBorders>
            <w:shd w:val="clear" w:color="auto" w:fill="auto"/>
            <w:vAlign w:val="bottom"/>
            <w:hideMark/>
          </w:tcPr>
          <w:p w14:paraId="1EF06CC9" w14:textId="77777777" w:rsidR="009F2C8D" w:rsidRPr="00E22120" w:rsidRDefault="009F2C8D" w:rsidP="009F2C8D">
            <w:pPr>
              <w:jc w:val="right"/>
              <w:rPr>
                <w:rFonts w:eastAsia="Times New Roman" w:cs="Times New Roman"/>
                <w:b/>
                <w:bCs/>
                <w:color w:val="000000"/>
                <w:sz w:val="16"/>
                <w:szCs w:val="16"/>
              </w:rPr>
            </w:pPr>
            <w:r w:rsidRPr="00E22120">
              <w:rPr>
                <w:rFonts w:eastAsia="Times New Roman" w:cs="Times New Roman"/>
                <w:b/>
                <w:bCs/>
                <w:color w:val="000000"/>
                <w:sz w:val="16"/>
                <w:szCs w:val="16"/>
              </w:rPr>
              <w:t>Others</w:t>
            </w:r>
          </w:p>
        </w:tc>
        <w:tc>
          <w:tcPr>
            <w:tcW w:w="740" w:type="dxa"/>
            <w:tcBorders>
              <w:top w:val="single" w:sz="4" w:space="0" w:color="auto"/>
              <w:left w:val="nil"/>
              <w:bottom w:val="double" w:sz="6" w:space="0" w:color="auto"/>
              <w:right w:val="single" w:sz="4" w:space="0" w:color="auto"/>
            </w:tcBorders>
            <w:shd w:val="clear" w:color="auto" w:fill="auto"/>
            <w:vAlign w:val="bottom"/>
            <w:hideMark/>
          </w:tcPr>
          <w:p w14:paraId="088A24E8" w14:textId="77777777" w:rsidR="009F2C8D" w:rsidRPr="00E22120" w:rsidRDefault="009F2C8D" w:rsidP="009F2C8D">
            <w:pPr>
              <w:jc w:val="right"/>
              <w:rPr>
                <w:rFonts w:ascii="Calibri" w:eastAsia="Times New Roman" w:hAnsi="Calibri" w:cs="Times New Roman"/>
                <w:color w:val="000000"/>
                <w:sz w:val="16"/>
                <w:szCs w:val="16"/>
              </w:rPr>
            </w:pPr>
            <w:r w:rsidRPr="00E22120">
              <w:rPr>
                <w:rFonts w:ascii="Calibri" w:eastAsia="Times New Roman" w:hAnsi="Calibri" w:cs="Times New Roman"/>
                <w:color w:val="000000"/>
                <w:sz w:val="16"/>
                <w:szCs w:val="16"/>
              </w:rPr>
              <w:t>FY 2015 VT OASF approved</w:t>
            </w:r>
          </w:p>
        </w:tc>
      </w:tr>
      <w:tr w:rsidR="009F2C8D" w:rsidRPr="00E22120" w14:paraId="451BF21C" w14:textId="77777777" w:rsidTr="009F2C8D">
        <w:trPr>
          <w:trHeight w:val="320"/>
        </w:trPr>
        <w:tc>
          <w:tcPr>
            <w:tcW w:w="600" w:type="dxa"/>
            <w:tcBorders>
              <w:top w:val="nil"/>
              <w:left w:val="single" w:sz="4" w:space="0" w:color="auto"/>
              <w:bottom w:val="single" w:sz="4" w:space="0" w:color="auto"/>
              <w:right w:val="single" w:sz="4" w:space="0" w:color="auto"/>
            </w:tcBorders>
            <w:shd w:val="clear" w:color="auto" w:fill="auto"/>
            <w:noWrap/>
            <w:vAlign w:val="bottom"/>
            <w:hideMark/>
          </w:tcPr>
          <w:p w14:paraId="125ED732"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33</w:t>
            </w:r>
          </w:p>
        </w:tc>
        <w:tc>
          <w:tcPr>
            <w:tcW w:w="740" w:type="dxa"/>
            <w:tcBorders>
              <w:top w:val="nil"/>
              <w:left w:val="nil"/>
              <w:bottom w:val="single" w:sz="4" w:space="0" w:color="auto"/>
              <w:right w:val="single" w:sz="4" w:space="0" w:color="auto"/>
            </w:tcBorders>
            <w:shd w:val="clear" w:color="auto" w:fill="auto"/>
            <w:noWrap/>
            <w:vAlign w:val="bottom"/>
            <w:hideMark/>
          </w:tcPr>
          <w:p w14:paraId="5B726524" w14:textId="77777777" w:rsidR="009F2C8D" w:rsidRPr="00E22120" w:rsidRDefault="009F2C8D" w:rsidP="009F2C8D">
            <w:pPr>
              <w:jc w:val="right"/>
              <w:rPr>
                <w:rFonts w:eastAsia="Times New Roman" w:cs="Times New Roman"/>
                <w:b/>
                <w:bCs/>
                <w:color w:val="000000"/>
                <w:sz w:val="16"/>
                <w:szCs w:val="16"/>
              </w:rPr>
            </w:pPr>
            <w:r w:rsidRPr="00E22120">
              <w:rPr>
                <w:rFonts w:eastAsia="Times New Roman" w:cs="Times New Roman"/>
                <w:b/>
                <w:bCs/>
                <w:color w:val="000000"/>
                <w:sz w:val="16"/>
                <w:szCs w:val="16"/>
              </w:rPr>
              <w:t>CALS</w:t>
            </w:r>
          </w:p>
        </w:tc>
        <w:tc>
          <w:tcPr>
            <w:tcW w:w="660" w:type="dxa"/>
            <w:tcBorders>
              <w:top w:val="nil"/>
              <w:left w:val="nil"/>
              <w:bottom w:val="single" w:sz="4" w:space="0" w:color="auto"/>
              <w:right w:val="single" w:sz="4" w:space="0" w:color="auto"/>
            </w:tcBorders>
            <w:shd w:val="clear" w:color="auto" w:fill="auto"/>
            <w:noWrap/>
            <w:vAlign w:val="bottom"/>
            <w:hideMark/>
          </w:tcPr>
          <w:p w14:paraId="4E9EF6F6"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720" w:type="dxa"/>
            <w:tcBorders>
              <w:top w:val="nil"/>
              <w:left w:val="nil"/>
              <w:bottom w:val="single" w:sz="4" w:space="0" w:color="auto"/>
              <w:right w:val="single" w:sz="4" w:space="0" w:color="auto"/>
            </w:tcBorders>
            <w:shd w:val="clear" w:color="auto" w:fill="auto"/>
            <w:noWrap/>
            <w:vAlign w:val="bottom"/>
            <w:hideMark/>
          </w:tcPr>
          <w:p w14:paraId="43750FE3"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5</w:t>
            </w:r>
          </w:p>
        </w:tc>
        <w:tc>
          <w:tcPr>
            <w:tcW w:w="720" w:type="dxa"/>
            <w:tcBorders>
              <w:top w:val="nil"/>
              <w:left w:val="nil"/>
              <w:bottom w:val="single" w:sz="4" w:space="0" w:color="auto"/>
              <w:right w:val="single" w:sz="4" w:space="0" w:color="auto"/>
            </w:tcBorders>
            <w:shd w:val="clear" w:color="auto" w:fill="auto"/>
            <w:noWrap/>
            <w:vAlign w:val="bottom"/>
            <w:hideMark/>
          </w:tcPr>
          <w:p w14:paraId="7CEF4D1B"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6</w:t>
            </w:r>
          </w:p>
        </w:tc>
        <w:tc>
          <w:tcPr>
            <w:tcW w:w="720" w:type="dxa"/>
            <w:tcBorders>
              <w:top w:val="nil"/>
              <w:left w:val="nil"/>
              <w:bottom w:val="single" w:sz="4" w:space="0" w:color="auto"/>
              <w:right w:val="single" w:sz="4" w:space="0" w:color="auto"/>
            </w:tcBorders>
            <w:shd w:val="clear" w:color="auto" w:fill="auto"/>
            <w:noWrap/>
            <w:vAlign w:val="bottom"/>
            <w:hideMark/>
          </w:tcPr>
          <w:p w14:paraId="036DF641"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5</w:t>
            </w:r>
          </w:p>
        </w:tc>
        <w:tc>
          <w:tcPr>
            <w:tcW w:w="620" w:type="dxa"/>
            <w:tcBorders>
              <w:top w:val="nil"/>
              <w:left w:val="nil"/>
              <w:bottom w:val="single" w:sz="4" w:space="0" w:color="auto"/>
              <w:right w:val="single" w:sz="4" w:space="0" w:color="auto"/>
            </w:tcBorders>
            <w:shd w:val="clear" w:color="auto" w:fill="auto"/>
            <w:noWrap/>
            <w:vAlign w:val="bottom"/>
            <w:hideMark/>
          </w:tcPr>
          <w:p w14:paraId="2C8CCF64"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w:t>
            </w:r>
          </w:p>
        </w:tc>
        <w:tc>
          <w:tcPr>
            <w:tcW w:w="640" w:type="dxa"/>
            <w:tcBorders>
              <w:top w:val="nil"/>
              <w:left w:val="nil"/>
              <w:bottom w:val="single" w:sz="4" w:space="0" w:color="auto"/>
              <w:right w:val="single" w:sz="4" w:space="0" w:color="auto"/>
            </w:tcBorders>
            <w:shd w:val="clear" w:color="auto" w:fill="auto"/>
            <w:noWrap/>
            <w:vAlign w:val="bottom"/>
            <w:hideMark/>
          </w:tcPr>
          <w:p w14:paraId="30FCF683"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5</w:t>
            </w:r>
          </w:p>
        </w:tc>
        <w:tc>
          <w:tcPr>
            <w:tcW w:w="620" w:type="dxa"/>
            <w:tcBorders>
              <w:top w:val="nil"/>
              <w:left w:val="nil"/>
              <w:bottom w:val="single" w:sz="4" w:space="0" w:color="auto"/>
              <w:right w:val="single" w:sz="4" w:space="0" w:color="auto"/>
            </w:tcBorders>
            <w:shd w:val="clear" w:color="auto" w:fill="auto"/>
            <w:noWrap/>
            <w:vAlign w:val="bottom"/>
            <w:hideMark/>
          </w:tcPr>
          <w:p w14:paraId="7389C87E"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3</w:t>
            </w:r>
          </w:p>
        </w:tc>
        <w:tc>
          <w:tcPr>
            <w:tcW w:w="540" w:type="dxa"/>
            <w:tcBorders>
              <w:top w:val="nil"/>
              <w:left w:val="nil"/>
              <w:bottom w:val="single" w:sz="4" w:space="0" w:color="auto"/>
              <w:right w:val="single" w:sz="4" w:space="0" w:color="auto"/>
            </w:tcBorders>
            <w:shd w:val="clear" w:color="auto" w:fill="auto"/>
            <w:noWrap/>
            <w:vAlign w:val="bottom"/>
            <w:hideMark/>
          </w:tcPr>
          <w:p w14:paraId="07DD7FDD"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4</w:t>
            </w:r>
          </w:p>
        </w:tc>
        <w:tc>
          <w:tcPr>
            <w:tcW w:w="620" w:type="dxa"/>
            <w:tcBorders>
              <w:top w:val="nil"/>
              <w:left w:val="nil"/>
              <w:bottom w:val="single" w:sz="4" w:space="0" w:color="auto"/>
              <w:right w:val="single" w:sz="4" w:space="0" w:color="auto"/>
            </w:tcBorders>
            <w:shd w:val="clear" w:color="auto" w:fill="auto"/>
            <w:noWrap/>
            <w:vAlign w:val="bottom"/>
            <w:hideMark/>
          </w:tcPr>
          <w:p w14:paraId="577EFEF3"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4</w:t>
            </w:r>
          </w:p>
        </w:tc>
        <w:tc>
          <w:tcPr>
            <w:tcW w:w="740" w:type="dxa"/>
            <w:tcBorders>
              <w:top w:val="nil"/>
              <w:left w:val="nil"/>
              <w:bottom w:val="single" w:sz="4" w:space="0" w:color="auto"/>
              <w:right w:val="single" w:sz="4" w:space="0" w:color="auto"/>
            </w:tcBorders>
            <w:shd w:val="clear" w:color="auto" w:fill="auto"/>
            <w:noWrap/>
            <w:vAlign w:val="bottom"/>
            <w:hideMark/>
          </w:tcPr>
          <w:p w14:paraId="3E079CEC"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 xml:space="preserve"> $14,319 </w:t>
            </w:r>
          </w:p>
        </w:tc>
      </w:tr>
      <w:tr w:rsidR="009F2C8D" w:rsidRPr="00E22120" w14:paraId="4E6DC84D" w14:textId="77777777" w:rsidTr="009F2C8D">
        <w:trPr>
          <w:trHeight w:val="300"/>
        </w:trPr>
        <w:tc>
          <w:tcPr>
            <w:tcW w:w="600" w:type="dxa"/>
            <w:tcBorders>
              <w:top w:val="nil"/>
              <w:left w:val="single" w:sz="4" w:space="0" w:color="auto"/>
              <w:bottom w:val="single" w:sz="4" w:space="0" w:color="auto"/>
              <w:right w:val="single" w:sz="4" w:space="0" w:color="auto"/>
            </w:tcBorders>
            <w:shd w:val="clear" w:color="auto" w:fill="auto"/>
            <w:noWrap/>
            <w:vAlign w:val="bottom"/>
            <w:hideMark/>
          </w:tcPr>
          <w:p w14:paraId="5C23F6FC"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2</w:t>
            </w:r>
          </w:p>
        </w:tc>
        <w:tc>
          <w:tcPr>
            <w:tcW w:w="740" w:type="dxa"/>
            <w:tcBorders>
              <w:top w:val="nil"/>
              <w:left w:val="nil"/>
              <w:bottom w:val="single" w:sz="4" w:space="0" w:color="auto"/>
              <w:right w:val="single" w:sz="4" w:space="0" w:color="auto"/>
            </w:tcBorders>
            <w:shd w:val="clear" w:color="auto" w:fill="auto"/>
            <w:noWrap/>
            <w:vAlign w:val="bottom"/>
            <w:hideMark/>
          </w:tcPr>
          <w:p w14:paraId="6AC70114" w14:textId="77777777" w:rsidR="009F2C8D" w:rsidRPr="00E22120" w:rsidRDefault="009F2C8D" w:rsidP="009F2C8D">
            <w:pPr>
              <w:jc w:val="right"/>
              <w:rPr>
                <w:rFonts w:eastAsia="Times New Roman" w:cs="Times New Roman"/>
                <w:b/>
                <w:bCs/>
                <w:color w:val="000000"/>
                <w:sz w:val="16"/>
                <w:szCs w:val="16"/>
              </w:rPr>
            </w:pPr>
            <w:r w:rsidRPr="00E22120">
              <w:rPr>
                <w:rFonts w:eastAsia="Times New Roman" w:cs="Times New Roman"/>
                <w:b/>
                <w:bCs/>
                <w:color w:val="000000"/>
                <w:sz w:val="16"/>
                <w:szCs w:val="16"/>
              </w:rPr>
              <w:t>CLAHS</w:t>
            </w:r>
          </w:p>
        </w:tc>
        <w:tc>
          <w:tcPr>
            <w:tcW w:w="660" w:type="dxa"/>
            <w:tcBorders>
              <w:top w:val="nil"/>
              <w:left w:val="nil"/>
              <w:bottom w:val="single" w:sz="4" w:space="0" w:color="auto"/>
              <w:right w:val="single" w:sz="4" w:space="0" w:color="auto"/>
            </w:tcBorders>
            <w:shd w:val="clear" w:color="auto" w:fill="auto"/>
            <w:noWrap/>
            <w:vAlign w:val="bottom"/>
            <w:hideMark/>
          </w:tcPr>
          <w:p w14:paraId="6F814CCE"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w:t>
            </w:r>
          </w:p>
        </w:tc>
        <w:tc>
          <w:tcPr>
            <w:tcW w:w="720" w:type="dxa"/>
            <w:tcBorders>
              <w:top w:val="nil"/>
              <w:left w:val="nil"/>
              <w:bottom w:val="single" w:sz="4" w:space="0" w:color="auto"/>
              <w:right w:val="single" w:sz="4" w:space="0" w:color="auto"/>
            </w:tcBorders>
            <w:shd w:val="clear" w:color="auto" w:fill="auto"/>
            <w:noWrap/>
            <w:vAlign w:val="bottom"/>
            <w:hideMark/>
          </w:tcPr>
          <w:p w14:paraId="4E6C7472"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720" w:type="dxa"/>
            <w:tcBorders>
              <w:top w:val="nil"/>
              <w:left w:val="nil"/>
              <w:bottom w:val="single" w:sz="4" w:space="0" w:color="auto"/>
              <w:right w:val="single" w:sz="4" w:space="0" w:color="auto"/>
            </w:tcBorders>
            <w:shd w:val="clear" w:color="auto" w:fill="auto"/>
            <w:noWrap/>
            <w:vAlign w:val="bottom"/>
            <w:hideMark/>
          </w:tcPr>
          <w:p w14:paraId="31BC0BC3"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w:t>
            </w:r>
          </w:p>
        </w:tc>
        <w:tc>
          <w:tcPr>
            <w:tcW w:w="720" w:type="dxa"/>
            <w:tcBorders>
              <w:top w:val="nil"/>
              <w:left w:val="nil"/>
              <w:bottom w:val="single" w:sz="4" w:space="0" w:color="auto"/>
              <w:right w:val="single" w:sz="4" w:space="0" w:color="auto"/>
            </w:tcBorders>
            <w:shd w:val="clear" w:color="auto" w:fill="auto"/>
            <w:noWrap/>
            <w:vAlign w:val="bottom"/>
            <w:hideMark/>
          </w:tcPr>
          <w:p w14:paraId="161C0338"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620" w:type="dxa"/>
            <w:tcBorders>
              <w:top w:val="nil"/>
              <w:left w:val="nil"/>
              <w:bottom w:val="single" w:sz="4" w:space="0" w:color="auto"/>
              <w:right w:val="single" w:sz="4" w:space="0" w:color="auto"/>
            </w:tcBorders>
            <w:shd w:val="clear" w:color="auto" w:fill="auto"/>
            <w:noWrap/>
            <w:vAlign w:val="bottom"/>
            <w:hideMark/>
          </w:tcPr>
          <w:p w14:paraId="4BB44AD8"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640" w:type="dxa"/>
            <w:tcBorders>
              <w:top w:val="nil"/>
              <w:left w:val="nil"/>
              <w:bottom w:val="single" w:sz="4" w:space="0" w:color="auto"/>
              <w:right w:val="single" w:sz="4" w:space="0" w:color="auto"/>
            </w:tcBorders>
            <w:shd w:val="clear" w:color="auto" w:fill="auto"/>
            <w:noWrap/>
            <w:vAlign w:val="bottom"/>
            <w:hideMark/>
          </w:tcPr>
          <w:p w14:paraId="5EA80F97"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620" w:type="dxa"/>
            <w:tcBorders>
              <w:top w:val="nil"/>
              <w:left w:val="nil"/>
              <w:bottom w:val="single" w:sz="4" w:space="0" w:color="auto"/>
              <w:right w:val="single" w:sz="4" w:space="0" w:color="auto"/>
            </w:tcBorders>
            <w:shd w:val="clear" w:color="auto" w:fill="auto"/>
            <w:noWrap/>
            <w:vAlign w:val="bottom"/>
            <w:hideMark/>
          </w:tcPr>
          <w:p w14:paraId="706B0CDD"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540" w:type="dxa"/>
            <w:tcBorders>
              <w:top w:val="nil"/>
              <w:left w:val="nil"/>
              <w:bottom w:val="single" w:sz="4" w:space="0" w:color="auto"/>
              <w:right w:val="single" w:sz="4" w:space="0" w:color="auto"/>
            </w:tcBorders>
            <w:shd w:val="clear" w:color="auto" w:fill="auto"/>
            <w:noWrap/>
            <w:vAlign w:val="bottom"/>
            <w:hideMark/>
          </w:tcPr>
          <w:p w14:paraId="55D96189"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620" w:type="dxa"/>
            <w:tcBorders>
              <w:top w:val="nil"/>
              <w:left w:val="nil"/>
              <w:bottom w:val="single" w:sz="4" w:space="0" w:color="auto"/>
              <w:right w:val="single" w:sz="4" w:space="0" w:color="auto"/>
            </w:tcBorders>
            <w:shd w:val="clear" w:color="auto" w:fill="auto"/>
            <w:noWrap/>
            <w:vAlign w:val="bottom"/>
            <w:hideMark/>
          </w:tcPr>
          <w:p w14:paraId="0F7FAA4D"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0</w:t>
            </w:r>
          </w:p>
        </w:tc>
        <w:tc>
          <w:tcPr>
            <w:tcW w:w="740" w:type="dxa"/>
            <w:tcBorders>
              <w:top w:val="nil"/>
              <w:left w:val="nil"/>
              <w:bottom w:val="single" w:sz="4" w:space="0" w:color="auto"/>
              <w:right w:val="single" w:sz="4" w:space="0" w:color="auto"/>
            </w:tcBorders>
            <w:shd w:val="clear" w:color="auto" w:fill="auto"/>
            <w:noWrap/>
            <w:vAlign w:val="bottom"/>
            <w:hideMark/>
          </w:tcPr>
          <w:p w14:paraId="2FB5042C"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 xml:space="preserve"> $2,663 </w:t>
            </w:r>
          </w:p>
        </w:tc>
      </w:tr>
      <w:tr w:rsidR="009F2C8D" w:rsidRPr="00E22120" w14:paraId="6A298D0C" w14:textId="77777777" w:rsidTr="009F2C8D">
        <w:trPr>
          <w:trHeight w:val="300"/>
        </w:trPr>
        <w:tc>
          <w:tcPr>
            <w:tcW w:w="600" w:type="dxa"/>
            <w:tcBorders>
              <w:top w:val="nil"/>
              <w:left w:val="single" w:sz="4" w:space="0" w:color="auto"/>
              <w:bottom w:val="single" w:sz="4" w:space="0" w:color="auto"/>
              <w:right w:val="single" w:sz="4" w:space="0" w:color="auto"/>
            </w:tcBorders>
            <w:shd w:val="clear" w:color="auto" w:fill="auto"/>
            <w:noWrap/>
            <w:vAlign w:val="bottom"/>
            <w:hideMark/>
          </w:tcPr>
          <w:p w14:paraId="64AA1447"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4</w:t>
            </w:r>
          </w:p>
        </w:tc>
        <w:tc>
          <w:tcPr>
            <w:tcW w:w="740" w:type="dxa"/>
            <w:tcBorders>
              <w:top w:val="nil"/>
              <w:left w:val="nil"/>
              <w:bottom w:val="single" w:sz="4" w:space="0" w:color="auto"/>
              <w:right w:val="single" w:sz="4" w:space="0" w:color="auto"/>
            </w:tcBorders>
            <w:shd w:val="clear" w:color="auto" w:fill="auto"/>
            <w:noWrap/>
            <w:vAlign w:val="bottom"/>
            <w:hideMark/>
          </w:tcPr>
          <w:p w14:paraId="6BD8CD9E" w14:textId="77777777" w:rsidR="009F2C8D" w:rsidRPr="00E22120" w:rsidRDefault="009F2C8D" w:rsidP="009F2C8D">
            <w:pPr>
              <w:jc w:val="right"/>
              <w:rPr>
                <w:rFonts w:eastAsia="Times New Roman" w:cs="Times New Roman"/>
                <w:b/>
                <w:bCs/>
                <w:color w:val="000000"/>
                <w:sz w:val="16"/>
                <w:szCs w:val="16"/>
              </w:rPr>
            </w:pPr>
            <w:r w:rsidRPr="00E22120">
              <w:rPr>
                <w:rFonts w:eastAsia="Times New Roman" w:cs="Times New Roman"/>
                <w:b/>
                <w:bCs/>
                <w:color w:val="000000"/>
                <w:sz w:val="16"/>
                <w:szCs w:val="16"/>
              </w:rPr>
              <w:t>CNRE</w:t>
            </w:r>
          </w:p>
        </w:tc>
        <w:tc>
          <w:tcPr>
            <w:tcW w:w="660" w:type="dxa"/>
            <w:tcBorders>
              <w:top w:val="nil"/>
              <w:left w:val="nil"/>
              <w:bottom w:val="single" w:sz="4" w:space="0" w:color="auto"/>
              <w:right w:val="single" w:sz="4" w:space="0" w:color="auto"/>
            </w:tcBorders>
            <w:shd w:val="clear" w:color="auto" w:fill="auto"/>
            <w:noWrap/>
            <w:vAlign w:val="bottom"/>
            <w:hideMark/>
          </w:tcPr>
          <w:p w14:paraId="775520D4"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720" w:type="dxa"/>
            <w:tcBorders>
              <w:top w:val="nil"/>
              <w:left w:val="nil"/>
              <w:bottom w:val="single" w:sz="4" w:space="0" w:color="auto"/>
              <w:right w:val="single" w:sz="4" w:space="0" w:color="auto"/>
            </w:tcBorders>
            <w:shd w:val="clear" w:color="auto" w:fill="auto"/>
            <w:noWrap/>
            <w:vAlign w:val="bottom"/>
            <w:hideMark/>
          </w:tcPr>
          <w:p w14:paraId="17D95DBA"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2</w:t>
            </w:r>
          </w:p>
        </w:tc>
        <w:tc>
          <w:tcPr>
            <w:tcW w:w="720" w:type="dxa"/>
            <w:tcBorders>
              <w:top w:val="nil"/>
              <w:left w:val="nil"/>
              <w:bottom w:val="single" w:sz="4" w:space="0" w:color="auto"/>
              <w:right w:val="single" w:sz="4" w:space="0" w:color="auto"/>
            </w:tcBorders>
            <w:shd w:val="clear" w:color="auto" w:fill="auto"/>
            <w:noWrap/>
            <w:vAlign w:val="bottom"/>
            <w:hideMark/>
          </w:tcPr>
          <w:p w14:paraId="08ED7407"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w:t>
            </w:r>
          </w:p>
        </w:tc>
        <w:tc>
          <w:tcPr>
            <w:tcW w:w="720" w:type="dxa"/>
            <w:tcBorders>
              <w:top w:val="nil"/>
              <w:left w:val="nil"/>
              <w:bottom w:val="single" w:sz="4" w:space="0" w:color="auto"/>
              <w:right w:val="single" w:sz="4" w:space="0" w:color="auto"/>
            </w:tcBorders>
            <w:shd w:val="clear" w:color="auto" w:fill="auto"/>
            <w:noWrap/>
            <w:vAlign w:val="bottom"/>
            <w:hideMark/>
          </w:tcPr>
          <w:p w14:paraId="1888E0A6"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w:t>
            </w:r>
          </w:p>
        </w:tc>
        <w:tc>
          <w:tcPr>
            <w:tcW w:w="620" w:type="dxa"/>
            <w:tcBorders>
              <w:top w:val="nil"/>
              <w:left w:val="nil"/>
              <w:bottom w:val="single" w:sz="4" w:space="0" w:color="auto"/>
              <w:right w:val="single" w:sz="4" w:space="0" w:color="auto"/>
            </w:tcBorders>
            <w:shd w:val="clear" w:color="auto" w:fill="auto"/>
            <w:noWrap/>
            <w:vAlign w:val="bottom"/>
            <w:hideMark/>
          </w:tcPr>
          <w:p w14:paraId="561F0B4F"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640" w:type="dxa"/>
            <w:tcBorders>
              <w:top w:val="nil"/>
              <w:left w:val="nil"/>
              <w:bottom w:val="single" w:sz="4" w:space="0" w:color="auto"/>
              <w:right w:val="single" w:sz="4" w:space="0" w:color="auto"/>
            </w:tcBorders>
            <w:shd w:val="clear" w:color="auto" w:fill="auto"/>
            <w:noWrap/>
            <w:vAlign w:val="bottom"/>
            <w:hideMark/>
          </w:tcPr>
          <w:p w14:paraId="0001A8B9"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620" w:type="dxa"/>
            <w:tcBorders>
              <w:top w:val="nil"/>
              <w:left w:val="nil"/>
              <w:bottom w:val="single" w:sz="4" w:space="0" w:color="auto"/>
              <w:right w:val="single" w:sz="4" w:space="0" w:color="auto"/>
            </w:tcBorders>
            <w:shd w:val="clear" w:color="auto" w:fill="auto"/>
            <w:noWrap/>
            <w:vAlign w:val="bottom"/>
            <w:hideMark/>
          </w:tcPr>
          <w:p w14:paraId="5AB27E92"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540" w:type="dxa"/>
            <w:tcBorders>
              <w:top w:val="nil"/>
              <w:left w:val="nil"/>
              <w:bottom w:val="single" w:sz="4" w:space="0" w:color="auto"/>
              <w:right w:val="single" w:sz="4" w:space="0" w:color="auto"/>
            </w:tcBorders>
            <w:shd w:val="clear" w:color="auto" w:fill="auto"/>
            <w:noWrap/>
            <w:vAlign w:val="bottom"/>
            <w:hideMark/>
          </w:tcPr>
          <w:p w14:paraId="0CAE9E2E"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620" w:type="dxa"/>
            <w:tcBorders>
              <w:top w:val="nil"/>
              <w:left w:val="nil"/>
              <w:bottom w:val="single" w:sz="4" w:space="0" w:color="auto"/>
              <w:right w:val="single" w:sz="4" w:space="0" w:color="auto"/>
            </w:tcBorders>
            <w:shd w:val="clear" w:color="auto" w:fill="auto"/>
            <w:noWrap/>
            <w:vAlign w:val="bottom"/>
            <w:hideMark/>
          </w:tcPr>
          <w:p w14:paraId="21F704B5"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0</w:t>
            </w:r>
          </w:p>
        </w:tc>
        <w:tc>
          <w:tcPr>
            <w:tcW w:w="740" w:type="dxa"/>
            <w:tcBorders>
              <w:top w:val="nil"/>
              <w:left w:val="nil"/>
              <w:bottom w:val="single" w:sz="4" w:space="0" w:color="auto"/>
              <w:right w:val="single" w:sz="4" w:space="0" w:color="auto"/>
            </w:tcBorders>
            <w:shd w:val="clear" w:color="auto" w:fill="auto"/>
            <w:noWrap/>
            <w:vAlign w:val="bottom"/>
            <w:hideMark/>
          </w:tcPr>
          <w:p w14:paraId="1C7C5DDC"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 xml:space="preserve"> $2,625 </w:t>
            </w:r>
          </w:p>
        </w:tc>
      </w:tr>
      <w:tr w:rsidR="009F2C8D" w:rsidRPr="00E22120" w14:paraId="429AFA4E" w14:textId="77777777" w:rsidTr="009F2C8D">
        <w:trPr>
          <w:trHeight w:val="300"/>
        </w:trPr>
        <w:tc>
          <w:tcPr>
            <w:tcW w:w="600" w:type="dxa"/>
            <w:tcBorders>
              <w:top w:val="nil"/>
              <w:left w:val="single" w:sz="4" w:space="0" w:color="auto"/>
              <w:bottom w:val="single" w:sz="4" w:space="0" w:color="auto"/>
              <w:right w:val="single" w:sz="4" w:space="0" w:color="auto"/>
            </w:tcBorders>
            <w:shd w:val="clear" w:color="auto" w:fill="auto"/>
            <w:noWrap/>
            <w:vAlign w:val="bottom"/>
            <w:hideMark/>
          </w:tcPr>
          <w:p w14:paraId="5714F42D"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28</w:t>
            </w:r>
          </w:p>
        </w:tc>
        <w:tc>
          <w:tcPr>
            <w:tcW w:w="740" w:type="dxa"/>
            <w:tcBorders>
              <w:top w:val="nil"/>
              <w:left w:val="nil"/>
              <w:bottom w:val="single" w:sz="4" w:space="0" w:color="auto"/>
              <w:right w:val="single" w:sz="4" w:space="0" w:color="auto"/>
            </w:tcBorders>
            <w:shd w:val="clear" w:color="auto" w:fill="auto"/>
            <w:noWrap/>
            <w:vAlign w:val="bottom"/>
            <w:hideMark/>
          </w:tcPr>
          <w:p w14:paraId="59E854FD" w14:textId="77777777" w:rsidR="009F2C8D" w:rsidRPr="00E22120" w:rsidRDefault="009F2C8D" w:rsidP="009F2C8D">
            <w:pPr>
              <w:jc w:val="right"/>
              <w:rPr>
                <w:rFonts w:eastAsia="Times New Roman" w:cs="Times New Roman"/>
                <w:b/>
                <w:bCs/>
                <w:color w:val="000000"/>
                <w:sz w:val="16"/>
                <w:szCs w:val="16"/>
              </w:rPr>
            </w:pPr>
            <w:proofErr w:type="spellStart"/>
            <w:r w:rsidRPr="00E22120">
              <w:rPr>
                <w:rFonts w:eastAsia="Times New Roman" w:cs="Times New Roman"/>
                <w:b/>
                <w:bCs/>
                <w:color w:val="000000"/>
                <w:sz w:val="16"/>
                <w:szCs w:val="16"/>
              </w:rPr>
              <w:t>CoE</w:t>
            </w:r>
            <w:proofErr w:type="spellEnd"/>
          </w:p>
        </w:tc>
        <w:tc>
          <w:tcPr>
            <w:tcW w:w="660" w:type="dxa"/>
            <w:tcBorders>
              <w:top w:val="nil"/>
              <w:left w:val="nil"/>
              <w:bottom w:val="single" w:sz="4" w:space="0" w:color="auto"/>
              <w:right w:val="single" w:sz="4" w:space="0" w:color="auto"/>
            </w:tcBorders>
            <w:shd w:val="clear" w:color="auto" w:fill="auto"/>
            <w:noWrap/>
            <w:vAlign w:val="bottom"/>
            <w:hideMark/>
          </w:tcPr>
          <w:p w14:paraId="4111444E"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w:t>
            </w:r>
          </w:p>
        </w:tc>
        <w:tc>
          <w:tcPr>
            <w:tcW w:w="720" w:type="dxa"/>
            <w:tcBorders>
              <w:top w:val="nil"/>
              <w:left w:val="nil"/>
              <w:bottom w:val="single" w:sz="4" w:space="0" w:color="auto"/>
              <w:right w:val="single" w:sz="4" w:space="0" w:color="auto"/>
            </w:tcBorders>
            <w:shd w:val="clear" w:color="auto" w:fill="auto"/>
            <w:noWrap/>
            <w:vAlign w:val="bottom"/>
            <w:hideMark/>
          </w:tcPr>
          <w:p w14:paraId="4E76285F"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6</w:t>
            </w:r>
          </w:p>
        </w:tc>
        <w:tc>
          <w:tcPr>
            <w:tcW w:w="720" w:type="dxa"/>
            <w:tcBorders>
              <w:top w:val="nil"/>
              <w:left w:val="nil"/>
              <w:bottom w:val="single" w:sz="4" w:space="0" w:color="auto"/>
              <w:right w:val="single" w:sz="4" w:space="0" w:color="auto"/>
            </w:tcBorders>
            <w:shd w:val="clear" w:color="auto" w:fill="auto"/>
            <w:noWrap/>
            <w:vAlign w:val="bottom"/>
            <w:hideMark/>
          </w:tcPr>
          <w:p w14:paraId="25F79BA8"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w:t>
            </w:r>
          </w:p>
        </w:tc>
        <w:tc>
          <w:tcPr>
            <w:tcW w:w="720" w:type="dxa"/>
            <w:tcBorders>
              <w:top w:val="nil"/>
              <w:left w:val="nil"/>
              <w:bottom w:val="single" w:sz="4" w:space="0" w:color="auto"/>
              <w:right w:val="single" w:sz="4" w:space="0" w:color="auto"/>
            </w:tcBorders>
            <w:shd w:val="clear" w:color="auto" w:fill="auto"/>
            <w:noWrap/>
            <w:vAlign w:val="bottom"/>
            <w:hideMark/>
          </w:tcPr>
          <w:p w14:paraId="271B3906"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15</w:t>
            </w:r>
          </w:p>
        </w:tc>
        <w:tc>
          <w:tcPr>
            <w:tcW w:w="620" w:type="dxa"/>
            <w:tcBorders>
              <w:top w:val="nil"/>
              <w:left w:val="nil"/>
              <w:bottom w:val="single" w:sz="4" w:space="0" w:color="auto"/>
              <w:right w:val="single" w:sz="4" w:space="0" w:color="auto"/>
            </w:tcBorders>
            <w:shd w:val="clear" w:color="auto" w:fill="auto"/>
            <w:noWrap/>
            <w:vAlign w:val="bottom"/>
            <w:hideMark/>
          </w:tcPr>
          <w:p w14:paraId="5A676F79"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w:t>
            </w:r>
          </w:p>
        </w:tc>
        <w:tc>
          <w:tcPr>
            <w:tcW w:w="640" w:type="dxa"/>
            <w:tcBorders>
              <w:top w:val="nil"/>
              <w:left w:val="nil"/>
              <w:bottom w:val="single" w:sz="4" w:space="0" w:color="auto"/>
              <w:right w:val="single" w:sz="4" w:space="0" w:color="auto"/>
            </w:tcBorders>
            <w:shd w:val="clear" w:color="auto" w:fill="auto"/>
            <w:noWrap/>
            <w:vAlign w:val="bottom"/>
            <w:hideMark/>
          </w:tcPr>
          <w:p w14:paraId="4D2C5C0F"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3</w:t>
            </w:r>
          </w:p>
        </w:tc>
        <w:tc>
          <w:tcPr>
            <w:tcW w:w="620" w:type="dxa"/>
            <w:tcBorders>
              <w:top w:val="nil"/>
              <w:left w:val="nil"/>
              <w:bottom w:val="single" w:sz="4" w:space="0" w:color="auto"/>
              <w:right w:val="single" w:sz="4" w:space="0" w:color="auto"/>
            </w:tcBorders>
            <w:shd w:val="clear" w:color="auto" w:fill="auto"/>
            <w:noWrap/>
            <w:vAlign w:val="bottom"/>
            <w:hideMark/>
          </w:tcPr>
          <w:p w14:paraId="39D482E4"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w:t>
            </w:r>
          </w:p>
        </w:tc>
        <w:tc>
          <w:tcPr>
            <w:tcW w:w="540" w:type="dxa"/>
            <w:tcBorders>
              <w:top w:val="nil"/>
              <w:left w:val="nil"/>
              <w:bottom w:val="single" w:sz="4" w:space="0" w:color="auto"/>
              <w:right w:val="single" w:sz="4" w:space="0" w:color="auto"/>
            </w:tcBorders>
            <w:shd w:val="clear" w:color="auto" w:fill="auto"/>
            <w:noWrap/>
            <w:vAlign w:val="bottom"/>
            <w:hideMark/>
          </w:tcPr>
          <w:p w14:paraId="28AE3DB2"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620" w:type="dxa"/>
            <w:tcBorders>
              <w:top w:val="nil"/>
              <w:left w:val="nil"/>
              <w:bottom w:val="single" w:sz="4" w:space="0" w:color="auto"/>
              <w:right w:val="single" w:sz="4" w:space="0" w:color="auto"/>
            </w:tcBorders>
            <w:shd w:val="clear" w:color="auto" w:fill="auto"/>
            <w:noWrap/>
            <w:vAlign w:val="bottom"/>
            <w:hideMark/>
          </w:tcPr>
          <w:p w14:paraId="3F819979"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740" w:type="dxa"/>
            <w:tcBorders>
              <w:top w:val="nil"/>
              <w:left w:val="nil"/>
              <w:bottom w:val="single" w:sz="4" w:space="0" w:color="auto"/>
              <w:right w:val="single" w:sz="4" w:space="0" w:color="auto"/>
            </w:tcBorders>
            <w:shd w:val="clear" w:color="auto" w:fill="auto"/>
            <w:noWrap/>
            <w:vAlign w:val="bottom"/>
            <w:hideMark/>
          </w:tcPr>
          <w:p w14:paraId="69E99F8E"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 xml:space="preserve"> $11,043 </w:t>
            </w:r>
          </w:p>
        </w:tc>
      </w:tr>
      <w:tr w:rsidR="009F2C8D" w:rsidRPr="00E22120" w14:paraId="0F3A0106" w14:textId="77777777" w:rsidTr="009F2C8D">
        <w:trPr>
          <w:trHeight w:val="300"/>
        </w:trPr>
        <w:tc>
          <w:tcPr>
            <w:tcW w:w="600" w:type="dxa"/>
            <w:tcBorders>
              <w:top w:val="nil"/>
              <w:left w:val="single" w:sz="4" w:space="0" w:color="auto"/>
              <w:bottom w:val="single" w:sz="4" w:space="0" w:color="auto"/>
              <w:right w:val="single" w:sz="4" w:space="0" w:color="auto"/>
            </w:tcBorders>
            <w:shd w:val="clear" w:color="auto" w:fill="auto"/>
            <w:noWrap/>
            <w:vAlign w:val="bottom"/>
            <w:hideMark/>
          </w:tcPr>
          <w:p w14:paraId="4E815581"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26</w:t>
            </w:r>
          </w:p>
        </w:tc>
        <w:tc>
          <w:tcPr>
            <w:tcW w:w="740" w:type="dxa"/>
            <w:tcBorders>
              <w:top w:val="nil"/>
              <w:left w:val="nil"/>
              <w:bottom w:val="single" w:sz="4" w:space="0" w:color="auto"/>
              <w:right w:val="single" w:sz="4" w:space="0" w:color="auto"/>
            </w:tcBorders>
            <w:shd w:val="clear" w:color="auto" w:fill="auto"/>
            <w:noWrap/>
            <w:vAlign w:val="bottom"/>
            <w:hideMark/>
          </w:tcPr>
          <w:p w14:paraId="52BA2787" w14:textId="77777777" w:rsidR="009F2C8D" w:rsidRPr="00E22120" w:rsidRDefault="009F2C8D" w:rsidP="009F2C8D">
            <w:pPr>
              <w:jc w:val="right"/>
              <w:rPr>
                <w:rFonts w:eastAsia="Times New Roman" w:cs="Times New Roman"/>
                <w:b/>
                <w:bCs/>
                <w:color w:val="000000"/>
                <w:sz w:val="16"/>
                <w:szCs w:val="16"/>
              </w:rPr>
            </w:pPr>
            <w:proofErr w:type="spellStart"/>
            <w:r w:rsidRPr="00E22120">
              <w:rPr>
                <w:rFonts w:eastAsia="Times New Roman" w:cs="Times New Roman"/>
                <w:b/>
                <w:bCs/>
                <w:color w:val="000000"/>
                <w:sz w:val="16"/>
                <w:szCs w:val="16"/>
              </w:rPr>
              <w:t>CoS</w:t>
            </w:r>
            <w:proofErr w:type="spellEnd"/>
          </w:p>
        </w:tc>
        <w:tc>
          <w:tcPr>
            <w:tcW w:w="660" w:type="dxa"/>
            <w:tcBorders>
              <w:top w:val="nil"/>
              <w:left w:val="nil"/>
              <w:bottom w:val="single" w:sz="4" w:space="0" w:color="auto"/>
              <w:right w:val="single" w:sz="4" w:space="0" w:color="auto"/>
            </w:tcBorders>
            <w:shd w:val="clear" w:color="auto" w:fill="auto"/>
            <w:noWrap/>
            <w:vAlign w:val="bottom"/>
            <w:hideMark/>
          </w:tcPr>
          <w:p w14:paraId="4A8B54F0"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720" w:type="dxa"/>
            <w:tcBorders>
              <w:top w:val="nil"/>
              <w:left w:val="nil"/>
              <w:bottom w:val="single" w:sz="4" w:space="0" w:color="auto"/>
              <w:right w:val="single" w:sz="4" w:space="0" w:color="auto"/>
            </w:tcBorders>
            <w:shd w:val="clear" w:color="auto" w:fill="auto"/>
            <w:noWrap/>
            <w:vAlign w:val="bottom"/>
            <w:hideMark/>
          </w:tcPr>
          <w:p w14:paraId="5E464E6E"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2</w:t>
            </w:r>
          </w:p>
        </w:tc>
        <w:tc>
          <w:tcPr>
            <w:tcW w:w="720" w:type="dxa"/>
            <w:tcBorders>
              <w:top w:val="nil"/>
              <w:left w:val="nil"/>
              <w:bottom w:val="single" w:sz="4" w:space="0" w:color="auto"/>
              <w:right w:val="single" w:sz="4" w:space="0" w:color="auto"/>
            </w:tcBorders>
            <w:shd w:val="clear" w:color="auto" w:fill="auto"/>
            <w:noWrap/>
            <w:vAlign w:val="bottom"/>
            <w:hideMark/>
          </w:tcPr>
          <w:p w14:paraId="4A3BCA98"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5</w:t>
            </w:r>
          </w:p>
        </w:tc>
        <w:tc>
          <w:tcPr>
            <w:tcW w:w="720" w:type="dxa"/>
            <w:tcBorders>
              <w:top w:val="nil"/>
              <w:left w:val="nil"/>
              <w:bottom w:val="single" w:sz="4" w:space="0" w:color="auto"/>
              <w:right w:val="single" w:sz="4" w:space="0" w:color="auto"/>
            </w:tcBorders>
            <w:shd w:val="clear" w:color="auto" w:fill="auto"/>
            <w:noWrap/>
            <w:vAlign w:val="bottom"/>
            <w:hideMark/>
          </w:tcPr>
          <w:p w14:paraId="72D813FD"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9</w:t>
            </w:r>
          </w:p>
        </w:tc>
        <w:tc>
          <w:tcPr>
            <w:tcW w:w="620" w:type="dxa"/>
            <w:tcBorders>
              <w:top w:val="nil"/>
              <w:left w:val="nil"/>
              <w:bottom w:val="single" w:sz="4" w:space="0" w:color="auto"/>
              <w:right w:val="single" w:sz="4" w:space="0" w:color="auto"/>
            </w:tcBorders>
            <w:shd w:val="clear" w:color="auto" w:fill="auto"/>
            <w:noWrap/>
            <w:vAlign w:val="bottom"/>
            <w:hideMark/>
          </w:tcPr>
          <w:p w14:paraId="6683CAE4"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640" w:type="dxa"/>
            <w:tcBorders>
              <w:top w:val="nil"/>
              <w:left w:val="nil"/>
              <w:bottom w:val="single" w:sz="4" w:space="0" w:color="auto"/>
              <w:right w:val="single" w:sz="4" w:space="0" w:color="auto"/>
            </w:tcBorders>
            <w:shd w:val="clear" w:color="auto" w:fill="auto"/>
            <w:noWrap/>
            <w:vAlign w:val="bottom"/>
            <w:hideMark/>
          </w:tcPr>
          <w:p w14:paraId="690B81F0"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8</w:t>
            </w:r>
          </w:p>
        </w:tc>
        <w:tc>
          <w:tcPr>
            <w:tcW w:w="620" w:type="dxa"/>
            <w:tcBorders>
              <w:top w:val="nil"/>
              <w:left w:val="nil"/>
              <w:bottom w:val="single" w:sz="4" w:space="0" w:color="auto"/>
              <w:right w:val="single" w:sz="4" w:space="0" w:color="auto"/>
            </w:tcBorders>
            <w:shd w:val="clear" w:color="auto" w:fill="auto"/>
            <w:noWrap/>
            <w:vAlign w:val="bottom"/>
            <w:hideMark/>
          </w:tcPr>
          <w:p w14:paraId="7984D0B7"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540" w:type="dxa"/>
            <w:tcBorders>
              <w:top w:val="nil"/>
              <w:left w:val="nil"/>
              <w:bottom w:val="single" w:sz="4" w:space="0" w:color="auto"/>
              <w:right w:val="single" w:sz="4" w:space="0" w:color="auto"/>
            </w:tcBorders>
            <w:shd w:val="clear" w:color="auto" w:fill="auto"/>
            <w:noWrap/>
            <w:vAlign w:val="bottom"/>
            <w:hideMark/>
          </w:tcPr>
          <w:p w14:paraId="7747F855"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w:t>
            </w:r>
          </w:p>
        </w:tc>
        <w:tc>
          <w:tcPr>
            <w:tcW w:w="620" w:type="dxa"/>
            <w:tcBorders>
              <w:top w:val="nil"/>
              <w:left w:val="nil"/>
              <w:bottom w:val="single" w:sz="4" w:space="0" w:color="auto"/>
              <w:right w:val="single" w:sz="4" w:space="0" w:color="auto"/>
            </w:tcBorders>
            <w:shd w:val="clear" w:color="auto" w:fill="auto"/>
            <w:noWrap/>
            <w:vAlign w:val="bottom"/>
            <w:hideMark/>
          </w:tcPr>
          <w:p w14:paraId="1F0EDED3"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w:t>
            </w:r>
          </w:p>
        </w:tc>
        <w:tc>
          <w:tcPr>
            <w:tcW w:w="740" w:type="dxa"/>
            <w:tcBorders>
              <w:top w:val="nil"/>
              <w:left w:val="nil"/>
              <w:bottom w:val="single" w:sz="4" w:space="0" w:color="auto"/>
              <w:right w:val="single" w:sz="4" w:space="0" w:color="auto"/>
            </w:tcBorders>
            <w:shd w:val="clear" w:color="auto" w:fill="auto"/>
            <w:noWrap/>
            <w:vAlign w:val="bottom"/>
            <w:hideMark/>
          </w:tcPr>
          <w:p w14:paraId="18870791"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 xml:space="preserve"> $12,004 </w:t>
            </w:r>
          </w:p>
        </w:tc>
      </w:tr>
      <w:tr w:rsidR="009F2C8D" w:rsidRPr="00E22120" w14:paraId="523B4413" w14:textId="77777777" w:rsidTr="009F2C8D">
        <w:trPr>
          <w:trHeight w:val="300"/>
        </w:trPr>
        <w:tc>
          <w:tcPr>
            <w:tcW w:w="600" w:type="dxa"/>
            <w:tcBorders>
              <w:top w:val="nil"/>
              <w:left w:val="single" w:sz="4" w:space="0" w:color="auto"/>
              <w:bottom w:val="single" w:sz="4" w:space="0" w:color="auto"/>
              <w:right w:val="single" w:sz="4" w:space="0" w:color="auto"/>
            </w:tcBorders>
            <w:shd w:val="clear" w:color="auto" w:fill="auto"/>
            <w:noWrap/>
            <w:vAlign w:val="bottom"/>
            <w:hideMark/>
          </w:tcPr>
          <w:p w14:paraId="3F45F143"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8</w:t>
            </w:r>
          </w:p>
        </w:tc>
        <w:tc>
          <w:tcPr>
            <w:tcW w:w="740" w:type="dxa"/>
            <w:tcBorders>
              <w:top w:val="nil"/>
              <w:left w:val="nil"/>
              <w:bottom w:val="single" w:sz="4" w:space="0" w:color="auto"/>
              <w:right w:val="single" w:sz="4" w:space="0" w:color="auto"/>
            </w:tcBorders>
            <w:shd w:val="clear" w:color="auto" w:fill="auto"/>
            <w:noWrap/>
            <w:vAlign w:val="bottom"/>
            <w:hideMark/>
          </w:tcPr>
          <w:p w14:paraId="79456603" w14:textId="77777777" w:rsidR="009F2C8D" w:rsidRPr="00E22120" w:rsidRDefault="009F2C8D" w:rsidP="009F2C8D">
            <w:pPr>
              <w:jc w:val="right"/>
              <w:rPr>
                <w:rFonts w:eastAsia="Times New Roman" w:cs="Times New Roman"/>
                <w:b/>
                <w:bCs/>
                <w:color w:val="000000"/>
                <w:sz w:val="16"/>
                <w:szCs w:val="16"/>
              </w:rPr>
            </w:pPr>
            <w:r w:rsidRPr="00E22120">
              <w:rPr>
                <w:rFonts w:eastAsia="Times New Roman" w:cs="Times New Roman"/>
                <w:b/>
                <w:bCs/>
                <w:color w:val="000000"/>
                <w:sz w:val="16"/>
                <w:szCs w:val="16"/>
              </w:rPr>
              <w:t>Vet Med</w:t>
            </w:r>
          </w:p>
        </w:tc>
        <w:tc>
          <w:tcPr>
            <w:tcW w:w="660" w:type="dxa"/>
            <w:tcBorders>
              <w:top w:val="nil"/>
              <w:left w:val="nil"/>
              <w:bottom w:val="single" w:sz="4" w:space="0" w:color="auto"/>
              <w:right w:val="single" w:sz="4" w:space="0" w:color="auto"/>
            </w:tcBorders>
            <w:shd w:val="clear" w:color="auto" w:fill="auto"/>
            <w:noWrap/>
            <w:vAlign w:val="bottom"/>
            <w:hideMark/>
          </w:tcPr>
          <w:p w14:paraId="766776A6"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720" w:type="dxa"/>
            <w:tcBorders>
              <w:top w:val="nil"/>
              <w:left w:val="nil"/>
              <w:bottom w:val="single" w:sz="4" w:space="0" w:color="auto"/>
              <w:right w:val="single" w:sz="4" w:space="0" w:color="auto"/>
            </w:tcBorders>
            <w:shd w:val="clear" w:color="auto" w:fill="auto"/>
            <w:noWrap/>
            <w:vAlign w:val="bottom"/>
            <w:hideMark/>
          </w:tcPr>
          <w:p w14:paraId="7A3FBE5B"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w:t>
            </w:r>
          </w:p>
        </w:tc>
        <w:tc>
          <w:tcPr>
            <w:tcW w:w="720" w:type="dxa"/>
            <w:tcBorders>
              <w:top w:val="nil"/>
              <w:left w:val="nil"/>
              <w:bottom w:val="single" w:sz="4" w:space="0" w:color="auto"/>
              <w:right w:val="single" w:sz="4" w:space="0" w:color="auto"/>
            </w:tcBorders>
            <w:shd w:val="clear" w:color="auto" w:fill="auto"/>
            <w:noWrap/>
            <w:vAlign w:val="bottom"/>
            <w:hideMark/>
          </w:tcPr>
          <w:p w14:paraId="7A76933B"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2</w:t>
            </w:r>
          </w:p>
        </w:tc>
        <w:tc>
          <w:tcPr>
            <w:tcW w:w="720" w:type="dxa"/>
            <w:tcBorders>
              <w:top w:val="nil"/>
              <w:left w:val="nil"/>
              <w:bottom w:val="single" w:sz="4" w:space="0" w:color="auto"/>
              <w:right w:val="single" w:sz="4" w:space="0" w:color="auto"/>
            </w:tcBorders>
            <w:shd w:val="clear" w:color="auto" w:fill="auto"/>
            <w:noWrap/>
            <w:vAlign w:val="bottom"/>
            <w:hideMark/>
          </w:tcPr>
          <w:p w14:paraId="31FB271C"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2</w:t>
            </w:r>
          </w:p>
        </w:tc>
        <w:tc>
          <w:tcPr>
            <w:tcW w:w="620" w:type="dxa"/>
            <w:tcBorders>
              <w:top w:val="nil"/>
              <w:left w:val="nil"/>
              <w:bottom w:val="single" w:sz="4" w:space="0" w:color="auto"/>
              <w:right w:val="single" w:sz="4" w:space="0" w:color="auto"/>
            </w:tcBorders>
            <w:shd w:val="clear" w:color="auto" w:fill="auto"/>
            <w:noWrap/>
            <w:vAlign w:val="bottom"/>
            <w:hideMark/>
          </w:tcPr>
          <w:p w14:paraId="0B182D93"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w:t>
            </w:r>
          </w:p>
        </w:tc>
        <w:tc>
          <w:tcPr>
            <w:tcW w:w="640" w:type="dxa"/>
            <w:tcBorders>
              <w:top w:val="nil"/>
              <w:left w:val="nil"/>
              <w:bottom w:val="single" w:sz="4" w:space="0" w:color="auto"/>
              <w:right w:val="single" w:sz="4" w:space="0" w:color="auto"/>
            </w:tcBorders>
            <w:shd w:val="clear" w:color="auto" w:fill="auto"/>
            <w:noWrap/>
            <w:vAlign w:val="bottom"/>
            <w:hideMark/>
          </w:tcPr>
          <w:p w14:paraId="3999100F"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w:t>
            </w:r>
          </w:p>
        </w:tc>
        <w:tc>
          <w:tcPr>
            <w:tcW w:w="620" w:type="dxa"/>
            <w:tcBorders>
              <w:top w:val="nil"/>
              <w:left w:val="nil"/>
              <w:bottom w:val="single" w:sz="4" w:space="0" w:color="auto"/>
              <w:right w:val="single" w:sz="4" w:space="0" w:color="auto"/>
            </w:tcBorders>
            <w:shd w:val="clear" w:color="auto" w:fill="auto"/>
            <w:noWrap/>
            <w:vAlign w:val="bottom"/>
            <w:hideMark/>
          </w:tcPr>
          <w:p w14:paraId="4009D702"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540" w:type="dxa"/>
            <w:tcBorders>
              <w:top w:val="nil"/>
              <w:left w:val="nil"/>
              <w:bottom w:val="single" w:sz="4" w:space="0" w:color="auto"/>
              <w:right w:val="single" w:sz="4" w:space="0" w:color="auto"/>
            </w:tcBorders>
            <w:shd w:val="clear" w:color="auto" w:fill="auto"/>
            <w:noWrap/>
            <w:vAlign w:val="bottom"/>
            <w:hideMark/>
          </w:tcPr>
          <w:p w14:paraId="548A2D1C"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620" w:type="dxa"/>
            <w:tcBorders>
              <w:top w:val="nil"/>
              <w:left w:val="nil"/>
              <w:bottom w:val="single" w:sz="4" w:space="0" w:color="auto"/>
              <w:right w:val="single" w:sz="4" w:space="0" w:color="auto"/>
            </w:tcBorders>
            <w:shd w:val="clear" w:color="auto" w:fill="auto"/>
            <w:noWrap/>
            <w:vAlign w:val="bottom"/>
            <w:hideMark/>
          </w:tcPr>
          <w:p w14:paraId="53F16CA7"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w:t>
            </w:r>
          </w:p>
        </w:tc>
        <w:tc>
          <w:tcPr>
            <w:tcW w:w="740" w:type="dxa"/>
            <w:tcBorders>
              <w:top w:val="nil"/>
              <w:left w:val="nil"/>
              <w:bottom w:val="single" w:sz="4" w:space="0" w:color="auto"/>
              <w:right w:val="single" w:sz="4" w:space="0" w:color="auto"/>
            </w:tcBorders>
            <w:shd w:val="clear" w:color="auto" w:fill="auto"/>
            <w:noWrap/>
            <w:vAlign w:val="bottom"/>
            <w:hideMark/>
          </w:tcPr>
          <w:p w14:paraId="6FE22891"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 xml:space="preserve"> $2,700 </w:t>
            </w:r>
          </w:p>
        </w:tc>
      </w:tr>
      <w:tr w:rsidR="009F2C8D" w:rsidRPr="00E22120" w14:paraId="17175666" w14:textId="77777777" w:rsidTr="009F2C8D">
        <w:trPr>
          <w:trHeight w:val="300"/>
        </w:trPr>
        <w:tc>
          <w:tcPr>
            <w:tcW w:w="600" w:type="dxa"/>
            <w:tcBorders>
              <w:top w:val="nil"/>
              <w:left w:val="single" w:sz="4" w:space="0" w:color="auto"/>
              <w:bottom w:val="single" w:sz="4" w:space="0" w:color="auto"/>
              <w:right w:val="single" w:sz="4" w:space="0" w:color="auto"/>
            </w:tcBorders>
            <w:shd w:val="clear" w:color="auto" w:fill="auto"/>
            <w:noWrap/>
            <w:vAlign w:val="bottom"/>
            <w:hideMark/>
          </w:tcPr>
          <w:p w14:paraId="46AF816A"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6</w:t>
            </w:r>
          </w:p>
        </w:tc>
        <w:tc>
          <w:tcPr>
            <w:tcW w:w="740" w:type="dxa"/>
            <w:tcBorders>
              <w:top w:val="nil"/>
              <w:left w:val="nil"/>
              <w:bottom w:val="single" w:sz="4" w:space="0" w:color="auto"/>
              <w:right w:val="single" w:sz="4" w:space="0" w:color="auto"/>
            </w:tcBorders>
            <w:shd w:val="clear" w:color="auto" w:fill="auto"/>
            <w:noWrap/>
            <w:vAlign w:val="bottom"/>
            <w:hideMark/>
          </w:tcPr>
          <w:p w14:paraId="5604AAA7" w14:textId="77777777" w:rsidR="009F2C8D" w:rsidRPr="00E22120" w:rsidRDefault="009F2C8D" w:rsidP="009F2C8D">
            <w:pPr>
              <w:jc w:val="right"/>
              <w:rPr>
                <w:rFonts w:eastAsia="Times New Roman" w:cs="Times New Roman"/>
                <w:b/>
                <w:bCs/>
                <w:color w:val="000000"/>
                <w:sz w:val="16"/>
                <w:szCs w:val="16"/>
              </w:rPr>
            </w:pPr>
            <w:r w:rsidRPr="00E22120">
              <w:rPr>
                <w:rFonts w:eastAsia="Times New Roman" w:cs="Times New Roman"/>
                <w:b/>
                <w:bCs/>
                <w:color w:val="000000"/>
                <w:sz w:val="16"/>
                <w:szCs w:val="16"/>
              </w:rPr>
              <w:t>VBI</w:t>
            </w:r>
          </w:p>
        </w:tc>
        <w:tc>
          <w:tcPr>
            <w:tcW w:w="660" w:type="dxa"/>
            <w:tcBorders>
              <w:top w:val="nil"/>
              <w:left w:val="nil"/>
              <w:bottom w:val="single" w:sz="4" w:space="0" w:color="auto"/>
              <w:right w:val="single" w:sz="4" w:space="0" w:color="auto"/>
            </w:tcBorders>
            <w:shd w:val="clear" w:color="auto" w:fill="auto"/>
            <w:noWrap/>
            <w:vAlign w:val="bottom"/>
            <w:hideMark/>
          </w:tcPr>
          <w:p w14:paraId="0C13BF22"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720" w:type="dxa"/>
            <w:tcBorders>
              <w:top w:val="nil"/>
              <w:left w:val="nil"/>
              <w:bottom w:val="single" w:sz="4" w:space="0" w:color="auto"/>
              <w:right w:val="single" w:sz="4" w:space="0" w:color="auto"/>
            </w:tcBorders>
            <w:shd w:val="clear" w:color="auto" w:fill="auto"/>
            <w:noWrap/>
            <w:vAlign w:val="bottom"/>
            <w:hideMark/>
          </w:tcPr>
          <w:p w14:paraId="6C98357E"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w:t>
            </w:r>
          </w:p>
        </w:tc>
        <w:tc>
          <w:tcPr>
            <w:tcW w:w="720" w:type="dxa"/>
            <w:tcBorders>
              <w:top w:val="nil"/>
              <w:left w:val="nil"/>
              <w:bottom w:val="single" w:sz="4" w:space="0" w:color="auto"/>
              <w:right w:val="single" w:sz="4" w:space="0" w:color="auto"/>
            </w:tcBorders>
            <w:shd w:val="clear" w:color="auto" w:fill="auto"/>
            <w:noWrap/>
            <w:vAlign w:val="bottom"/>
            <w:hideMark/>
          </w:tcPr>
          <w:p w14:paraId="2649212E"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w:t>
            </w:r>
          </w:p>
        </w:tc>
        <w:tc>
          <w:tcPr>
            <w:tcW w:w="720" w:type="dxa"/>
            <w:tcBorders>
              <w:top w:val="nil"/>
              <w:left w:val="nil"/>
              <w:bottom w:val="single" w:sz="4" w:space="0" w:color="auto"/>
              <w:right w:val="single" w:sz="4" w:space="0" w:color="auto"/>
            </w:tcBorders>
            <w:shd w:val="clear" w:color="auto" w:fill="auto"/>
            <w:noWrap/>
            <w:vAlign w:val="bottom"/>
            <w:hideMark/>
          </w:tcPr>
          <w:p w14:paraId="5E8AA5AB"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2</w:t>
            </w:r>
          </w:p>
        </w:tc>
        <w:tc>
          <w:tcPr>
            <w:tcW w:w="620" w:type="dxa"/>
            <w:tcBorders>
              <w:top w:val="nil"/>
              <w:left w:val="nil"/>
              <w:bottom w:val="single" w:sz="4" w:space="0" w:color="auto"/>
              <w:right w:val="single" w:sz="4" w:space="0" w:color="auto"/>
            </w:tcBorders>
            <w:shd w:val="clear" w:color="auto" w:fill="auto"/>
            <w:noWrap/>
            <w:vAlign w:val="bottom"/>
            <w:hideMark/>
          </w:tcPr>
          <w:p w14:paraId="080287A9"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640" w:type="dxa"/>
            <w:tcBorders>
              <w:top w:val="nil"/>
              <w:left w:val="nil"/>
              <w:bottom w:val="single" w:sz="4" w:space="0" w:color="auto"/>
              <w:right w:val="single" w:sz="4" w:space="0" w:color="auto"/>
            </w:tcBorders>
            <w:shd w:val="clear" w:color="auto" w:fill="auto"/>
            <w:noWrap/>
            <w:vAlign w:val="bottom"/>
            <w:hideMark/>
          </w:tcPr>
          <w:p w14:paraId="641B1F81"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w:t>
            </w:r>
          </w:p>
        </w:tc>
        <w:tc>
          <w:tcPr>
            <w:tcW w:w="620" w:type="dxa"/>
            <w:tcBorders>
              <w:top w:val="nil"/>
              <w:left w:val="nil"/>
              <w:bottom w:val="single" w:sz="4" w:space="0" w:color="auto"/>
              <w:right w:val="single" w:sz="4" w:space="0" w:color="auto"/>
            </w:tcBorders>
            <w:shd w:val="clear" w:color="auto" w:fill="auto"/>
            <w:noWrap/>
            <w:vAlign w:val="bottom"/>
            <w:hideMark/>
          </w:tcPr>
          <w:p w14:paraId="7F949225"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540" w:type="dxa"/>
            <w:tcBorders>
              <w:top w:val="nil"/>
              <w:left w:val="nil"/>
              <w:bottom w:val="single" w:sz="4" w:space="0" w:color="auto"/>
              <w:right w:val="single" w:sz="4" w:space="0" w:color="auto"/>
            </w:tcBorders>
            <w:shd w:val="clear" w:color="auto" w:fill="auto"/>
            <w:noWrap/>
            <w:vAlign w:val="bottom"/>
            <w:hideMark/>
          </w:tcPr>
          <w:p w14:paraId="01B78012"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620" w:type="dxa"/>
            <w:tcBorders>
              <w:top w:val="nil"/>
              <w:left w:val="nil"/>
              <w:bottom w:val="single" w:sz="4" w:space="0" w:color="auto"/>
              <w:right w:val="single" w:sz="4" w:space="0" w:color="auto"/>
            </w:tcBorders>
            <w:shd w:val="clear" w:color="auto" w:fill="auto"/>
            <w:noWrap/>
            <w:vAlign w:val="bottom"/>
            <w:hideMark/>
          </w:tcPr>
          <w:p w14:paraId="77B8D1EE"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w:t>
            </w:r>
          </w:p>
        </w:tc>
        <w:tc>
          <w:tcPr>
            <w:tcW w:w="740" w:type="dxa"/>
            <w:tcBorders>
              <w:top w:val="nil"/>
              <w:left w:val="nil"/>
              <w:bottom w:val="single" w:sz="4" w:space="0" w:color="auto"/>
              <w:right w:val="single" w:sz="4" w:space="0" w:color="auto"/>
            </w:tcBorders>
            <w:shd w:val="clear" w:color="auto" w:fill="auto"/>
            <w:noWrap/>
            <w:vAlign w:val="bottom"/>
            <w:hideMark/>
          </w:tcPr>
          <w:p w14:paraId="085A9BCA"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 xml:space="preserve"> $3,308 </w:t>
            </w:r>
          </w:p>
        </w:tc>
      </w:tr>
      <w:tr w:rsidR="009F2C8D" w:rsidRPr="00E22120" w14:paraId="712EC6E9" w14:textId="77777777" w:rsidTr="009F2C8D">
        <w:trPr>
          <w:trHeight w:val="300"/>
        </w:trPr>
        <w:tc>
          <w:tcPr>
            <w:tcW w:w="600" w:type="dxa"/>
            <w:tcBorders>
              <w:top w:val="nil"/>
              <w:left w:val="single" w:sz="4" w:space="0" w:color="auto"/>
              <w:bottom w:val="single" w:sz="4" w:space="0" w:color="auto"/>
              <w:right w:val="single" w:sz="4" w:space="0" w:color="auto"/>
            </w:tcBorders>
            <w:shd w:val="clear" w:color="auto" w:fill="auto"/>
            <w:noWrap/>
            <w:vAlign w:val="bottom"/>
            <w:hideMark/>
          </w:tcPr>
          <w:p w14:paraId="755A3B80"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w:t>
            </w:r>
          </w:p>
        </w:tc>
        <w:tc>
          <w:tcPr>
            <w:tcW w:w="740" w:type="dxa"/>
            <w:tcBorders>
              <w:top w:val="nil"/>
              <w:left w:val="nil"/>
              <w:bottom w:val="single" w:sz="4" w:space="0" w:color="auto"/>
              <w:right w:val="single" w:sz="4" w:space="0" w:color="auto"/>
            </w:tcBorders>
            <w:shd w:val="clear" w:color="auto" w:fill="auto"/>
            <w:noWrap/>
            <w:vAlign w:val="bottom"/>
            <w:hideMark/>
          </w:tcPr>
          <w:p w14:paraId="21A9A366" w14:textId="77777777" w:rsidR="009F2C8D" w:rsidRPr="00E22120" w:rsidRDefault="009F2C8D" w:rsidP="009F2C8D">
            <w:pPr>
              <w:jc w:val="right"/>
              <w:rPr>
                <w:rFonts w:eastAsia="Times New Roman" w:cs="Times New Roman"/>
                <w:b/>
                <w:bCs/>
                <w:color w:val="000000"/>
                <w:sz w:val="16"/>
                <w:szCs w:val="16"/>
              </w:rPr>
            </w:pPr>
            <w:proofErr w:type="spellStart"/>
            <w:r w:rsidRPr="00E22120">
              <w:rPr>
                <w:rFonts w:eastAsia="Times New Roman" w:cs="Times New Roman"/>
                <w:b/>
                <w:bCs/>
                <w:color w:val="000000"/>
                <w:sz w:val="16"/>
                <w:szCs w:val="16"/>
              </w:rPr>
              <w:t>Fralin</w:t>
            </w:r>
            <w:proofErr w:type="spellEnd"/>
          </w:p>
        </w:tc>
        <w:tc>
          <w:tcPr>
            <w:tcW w:w="660" w:type="dxa"/>
            <w:tcBorders>
              <w:top w:val="nil"/>
              <w:left w:val="nil"/>
              <w:bottom w:val="single" w:sz="4" w:space="0" w:color="auto"/>
              <w:right w:val="single" w:sz="4" w:space="0" w:color="auto"/>
            </w:tcBorders>
            <w:shd w:val="clear" w:color="auto" w:fill="auto"/>
            <w:noWrap/>
            <w:vAlign w:val="bottom"/>
            <w:hideMark/>
          </w:tcPr>
          <w:p w14:paraId="03EE4A50"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720" w:type="dxa"/>
            <w:tcBorders>
              <w:top w:val="nil"/>
              <w:left w:val="nil"/>
              <w:bottom w:val="single" w:sz="4" w:space="0" w:color="auto"/>
              <w:right w:val="single" w:sz="4" w:space="0" w:color="auto"/>
            </w:tcBorders>
            <w:shd w:val="clear" w:color="auto" w:fill="auto"/>
            <w:noWrap/>
            <w:vAlign w:val="bottom"/>
            <w:hideMark/>
          </w:tcPr>
          <w:p w14:paraId="67A592C3"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720" w:type="dxa"/>
            <w:tcBorders>
              <w:top w:val="nil"/>
              <w:left w:val="nil"/>
              <w:bottom w:val="single" w:sz="4" w:space="0" w:color="auto"/>
              <w:right w:val="single" w:sz="4" w:space="0" w:color="auto"/>
            </w:tcBorders>
            <w:shd w:val="clear" w:color="auto" w:fill="auto"/>
            <w:noWrap/>
            <w:vAlign w:val="bottom"/>
            <w:hideMark/>
          </w:tcPr>
          <w:p w14:paraId="55FC296A"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720" w:type="dxa"/>
            <w:tcBorders>
              <w:top w:val="nil"/>
              <w:left w:val="nil"/>
              <w:bottom w:val="single" w:sz="4" w:space="0" w:color="auto"/>
              <w:right w:val="single" w:sz="4" w:space="0" w:color="auto"/>
            </w:tcBorders>
            <w:shd w:val="clear" w:color="auto" w:fill="auto"/>
            <w:noWrap/>
            <w:vAlign w:val="bottom"/>
            <w:hideMark/>
          </w:tcPr>
          <w:p w14:paraId="45CDBAE6"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620" w:type="dxa"/>
            <w:tcBorders>
              <w:top w:val="nil"/>
              <w:left w:val="nil"/>
              <w:bottom w:val="single" w:sz="4" w:space="0" w:color="auto"/>
              <w:right w:val="single" w:sz="4" w:space="0" w:color="auto"/>
            </w:tcBorders>
            <w:shd w:val="clear" w:color="auto" w:fill="auto"/>
            <w:noWrap/>
            <w:vAlign w:val="bottom"/>
            <w:hideMark/>
          </w:tcPr>
          <w:p w14:paraId="0087D8E8"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640" w:type="dxa"/>
            <w:tcBorders>
              <w:top w:val="nil"/>
              <w:left w:val="nil"/>
              <w:bottom w:val="single" w:sz="4" w:space="0" w:color="auto"/>
              <w:right w:val="single" w:sz="4" w:space="0" w:color="auto"/>
            </w:tcBorders>
            <w:shd w:val="clear" w:color="auto" w:fill="auto"/>
            <w:noWrap/>
            <w:vAlign w:val="bottom"/>
            <w:hideMark/>
          </w:tcPr>
          <w:p w14:paraId="7698FD77"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620" w:type="dxa"/>
            <w:tcBorders>
              <w:top w:val="nil"/>
              <w:left w:val="nil"/>
              <w:bottom w:val="single" w:sz="4" w:space="0" w:color="auto"/>
              <w:right w:val="single" w:sz="4" w:space="0" w:color="auto"/>
            </w:tcBorders>
            <w:shd w:val="clear" w:color="auto" w:fill="auto"/>
            <w:noWrap/>
            <w:vAlign w:val="bottom"/>
            <w:hideMark/>
          </w:tcPr>
          <w:p w14:paraId="6640BF7B"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540" w:type="dxa"/>
            <w:tcBorders>
              <w:top w:val="nil"/>
              <w:left w:val="nil"/>
              <w:bottom w:val="single" w:sz="4" w:space="0" w:color="auto"/>
              <w:right w:val="single" w:sz="4" w:space="0" w:color="auto"/>
            </w:tcBorders>
            <w:shd w:val="clear" w:color="auto" w:fill="auto"/>
            <w:noWrap/>
            <w:vAlign w:val="bottom"/>
            <w:hideMark/>
          </w:tcPr>
          <w:p w14:paraId="5CFEC3CC"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620" w:type="dxa"/>
            <w:tcBorders>
              <w:top w:val="nil"/>
              <w:left w:val="nil"/>
              <w:bottom w:val="single" w:sz="4" w:space="0" w:color="auto"/>
              <w:right w:val="single" w:sz="4" w:space="0" w:color="auto"/>
            </w:tcBorders>
            <w:shd w:val="clear" w:color="auto" w:fill="auto"/>
            <w:noWrap/>
            <w:vAlign w:val="bottom"/>
            <w:hideMark/>
          </w:tcPr>
          <w:p w14:paraId="34AA5B73"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w:t>
            </w:r>
          </w:p>
        </w:tc>
        <w:tc>
          <w:tcPr>
            <w:tcW w:w="740" w:type="dxa"/>
            <w:tcBorders>
              <w:top w:val="nil"/>
              <w:left w:val="nil"/>
              <w:bottom w:val="single" w:sz="4" w:space="0" w:color="auto"/>
              <w:right w:val="single" w:sz="4" w:space="0" w:color="auto"/>
            </w:tcBorders>
            <w:shd w:val="clear" w:color="auto" w:fill="auto"/>
            <w:noWrap/>
            <w:vAlign w:val="bottom"/>
            <w:hideMark/>
          </w:tcPr>
          <w:p w14:paraId="06832BAA"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 xml:space="preserve"> $300 </w:t>
            </w:r>
          </w:p>
        </w:tc>
      </w:tr>
      <w:tr w:rsidR="009F2C8D" w:rsidRPr="00E22120" w14:paraId="5FF1DE1C" w14:textId="77777777" w:rsidTr="009F2C8D">
        <w:trPr>
          <w:trHeight w:val="300"/>
        </w:trPr>
        <w:tc>
          <w:tcPr>
            <w:tcW w:w="600" w:type="dxa"/>
            <w:tcBorders>
              <w:top w:val="nil"/>
              <w:left w:val="single" w:sz="4" w:space="0" w:color="auto"/>
              <w:bottom w:val="single" w:sz="4" w:space="0" w:color="auto"/>
              <w:right w:val="single" w:sz="4" w:space="0" w:color="auto"/>
            </w:tcBorders>
            <w:shd w:val="clear" w:color="auto" w:fill="auto"/>
            <w:noWrap/>
            <w:vAlign w:val="bottom"/>
            <w:hideMark/>
          </w:tcPr>
          <w:p w14:paraId="2A91D4A7"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w:t>
            </w:r>
          </w:p>
        </w:tc>
        <w:tc>
          <w:tcPr>
            <w:tcW w:w="740" w:type="dxa"/>
            <w:tcBorders>
              <w:top w:val="nil"/>
              <w:left w:val="nil"/>
              <w:bottom w:val="single" w:sz="4" w:space="0" w:color="auto"/>
              <w:right w:val="single" w:sz="4" w:space="0" w:color="auto"/>
            </w:tcBorders>
            <w:shd w:val="clear" w:color="auto" w:fill="auto"/>
            <w:noWrap/>
            <w:vAlign w:val="bottom"/>
            <w:hideMark/>
          </w:tcPr>
          <w:p w14:paraId="3797D5D2" w14:textId="77777777" w:rsidR="009F2C8D" w:rsidRPr="00E22120" w:rsidRDefault="009F2C8D" w:rsidP="009F2C8D">
            <w:pPr>
              <w:jc w:val="right"/>
              <w:rPr>
                <w:rFonts w:eastAsia="Times New Roman" w:cs="Times New Roman"/>
                <w:b/>
                <w:bCs/>
                <w:color w:val="000000"/>
                <w:sz w:val="16"/>
                <w:szCs w:val="16"/>
              </w:rPr>
            </w:pPr>
            <w:r w:rsidRPr="00E22120">
              <w:rPr>
                <w:rFonts w:eastAsia="Times New Roman" w:cs="Times New Roman"/>
                <w:b/>
                <w:bCs/>
                <w:color w:val="000000"/>
                <w:sz w:val="16"/>
                <w:szCs w:val="16"/>
              </w:rPr>
              <w:t>VTCRI</w:t>
            </w:r>
          </w:p>
        </w:tc>
        <w:tc>
          <w:tcPr>
            <w:tcW w:w="660" w:type="dxa"/>
            <w:tcBorders>
              <w:top w:val="nil"/>
              <w:left w:val="nil"/>
              <w:bottom w:val="single" w:sz="4" w:space="0" w:color="auto"/>
              <w:right w:val="single" w:sz="4" w:space="0" w:color="auto"/>
            </w:tcBorders>
            <w:shd w:val="clear" w:color="auto" w:fill="auto"/>
            <w:noWrap/>
            <w:vAlign w:val="bottom"/>
            <w:hideMark/>
          </w:tcPr>
          <w:p w14:paraId="56F2BA3F"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720" w:type="dxa"/>
            <w:tcBorders>
              <w:top w:val="nil"/>
              <w:left w:val="nil"/>
              <w:bottom w:val="single" w:sz="4" w:space="0" w:color="auto"/>
              <w:right w:val="single" w:sz="4" w:space="0" w:color="auto"/>
            </w:tcBorders>
            <w:shd w:val="clear" w:color="auto" w:fill="auto"/>
            <w:noWrap/>
            <w:vAlign w:val="bottom"/>
            <w:hideMark/>
          </w:tcPr>
          <w:p w14:paraId="38DFDE60"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720" w:type="dxa"/>
            <w:tcBorders>
              <w:top w:val="nil"/>
              <w:left w:val="nil"/>
              <w:bottom w:val="single" w:sz="4" w:space="0" w:color="auto"/>
              <w:right w:val="single" w:sz="4" w:space="0" w:color="auto"/>
            </w:tcBorders>
            <w:shd w:val="clear" w:color="auto" w:fill="auto"/>
            <w:noWrap/>
            <w:vAlign w:val="bottom"/>
            <w:hideMark/>
          </w:tcPr>
          <w:p w14:paraId="7F62DA65"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720" w:type="dxa"/>
            <w:tcBorders>
              <w:top w:val="nil"/>
              <w:left w:val="nil"/>
              <w:bottom w:val="single" w:sz="4" w:space="0" w:color="auto"/>
              <w:right w:val="single" w:sz="4" w:space="0" w:color="auto"/>
            </w:tcBorders>
            <w:shd w:val="clear" w:color="auto" w:fill="auto"/>
            <w:noWrap/>
            <w:vAlign w:val="bottom"/>
            <w:hideMark/>
          </w:tcPr>
          <w:p w14:paraId="0E614683"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620" w:type="dxa"/>
            <w:tcBorders>
              <w:top w:val="nil"/>
              <w:left w:val="nil"/>
              <w:bottom w:val="single" w:sz="4" w:space="0" w:color="auto"/>
              <w:right w:val="single" w:sz="4" w:space="0" w:color="auto"/>
            </w:tcBorders>
            <w:shd w:val="clear" w:color="auto" w:fill="auto"/>
            <w:noWrap/>
            <w:vAlign w:val="bottom"/>
            <w:hideMark/>
          </w:tcPr>
          <w:p w14:paraId="44DABFC5"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w:t>
            </w:r>
          </w:p>
        </w:tc>
        <w:tc>
          <w:tcPr>
            <w:tcW w:w="640" w:type="dxa"/>
            <w:tcBorders>
              <w:top w:val="nil"/>
              <w:left w:val="nil"/>
              <w:bottom w:val="single" w:sz="4" w:space="0" w:color="auto"/>
              <w:right w:val="single" w:sz="4" w:space="0" w:color="auto"/>
            </w:tcBorders>
            <w:shd w:val="clear" w:color="auto" w:fill="auto"/>
            <w:noWrap/>
            <w:vAlign w:val="bottom"/>
            <w:hideMark/>
          </w:tcPr>
          <w:p w14:paraId="16FBBA8A"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620" w:type="dxa"/>
            <w:tcBorders>
              <w:top w:val="nil"/>
              <w:left w:val="nil"/>
              <w:bottom w:val="single" w:sz="4" w:space="0" w:color="auto"/>
              <w:right w:val="single" w:sz="4" w:space="0" w:color="auto"/>
            </w:tcBorders>
            <w:shd w:val="clear" w:color="auto" w:fill="auto"/>
            <w:noWrap/>
            <w:vAlign w:val="bottom"/>
            <w:hideMark/>
          </w:tcPr>
          <w:p w14:paraId="52300F08"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540" w:type="dxa"/>
            <w:tcBorders>
              <w:top w:val="nil"/>
              <w:left w:val="nil"/>
              <w:bottom w:val="single" w:sz="4" w:space="0" w:color="auto"/>
              <w:right w:val="single" w:sz="4" w:space="0" w:color="auto"/>
            </w:tcBorders>
            <w:shd w:val="clear" w:color="auto" w:fill="auto"/>
            <w:noWrap/>
            <w:vAlign w:val="bottom"/>
            <w:hideMark/>
          </w:tcPr>
          <w:p w14:paraId="18BD8A03"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c>
          <w:tcPr>
            <w:tcW w:w="620" w:type="dxa"/>
            <w:tcBorders>
              <w:top w:val="nil"/>
              <w:left w:val="nil"/>
              <w:bottom w:val="single" w:sz="4" w:space="0" w:color="auto"/>
              <w:right w:val="single" w:sz="4" w:space="0" w:color="auto"/>
            </w:tcBorders>
            <w:shd w:val="clear" w:color="auto" w:fill="auto"/>
            <w:noWrap/>
            <w:vAlign w:val="bottom"/>
            <w:hideMark/>
          </w:tcPr>
          <w:p w14:paraId="3A646257"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0</w:t>
            </w:r>
          </w:p>
        </w:tc>
        <w:tc>
          <w:tcPr>
            <w:tcW w:w="740" w:type="dxa"/>
            <w:tcBorders>
              <w:top w:val="nil"/>
              <w:left w:val="nil"/>
              <w:bottom w:val="single" w:sz="4" w:space="0" w:color="auto"/>
              <w:right w:val="single" w:sz="4" w:space="0" w:color="auto"/>
            </w:tcBorders>
            <w:shd w:val="clear" w:color="auto" w:fill="auto"/>
            <w:noWrap/>
            <w:vAlign w:val="bottom"/>
            <w:hideMark/>
          </w:tcPr>
          <w:p w14:paraId="381D87DC"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 xml:space="preserve"> $750 </w:t>
            </w:r>
          </w:p>
        </w:tc>
      </w:tr>
      <w:tr w:rsidR="009F2C8D" w:rsidRPr="00E22120" w14:paraId="3620AC1D" w14:textId="77777777" w:rsidTr="009F2C8D">
        <w:trPr>
          <w:trHeight w:val="300"/>
        </w:trPr>
        <w:tc>
          <w:tcPr>
            <w:tcW w:w="600" w:type="dxa"/>
            <w:tcBorders>
              <w:top w:val="nil"/>
              <w:left w:val="single" w:sz="4" w:space="0" w:color="auto"/>
              <w:bottom w:val="single" w:sz="4" w:space="0" w:color="auto"/>
              <w:right w:val="single" w:sz="4" w:space="0" w:color="auto"/>
            </w:tcBorders>
            <w:shd w:val="clear" w:color="auto" w:fill="auto"/>
            <w:noWrap/>
            <w:vAlign w:val="bottom"/>
            <w:hideMark/>
          </w:tcPr>
          <w:p w14:paraId="5CE2B42F"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109</w:t>
            </w:r>
          </w:p>
        </w:tc>
        <w:tc>
          <w:tcPr>
            <w:tcW w:w="740" w:type="dxa"/>
            <w:tcBorders>
              <w:top w:val="nil"/>
              <w:left w:val="nil"/>
              <w:bottom w:val="single" w:sz="4" w:space="0" w:color="auto"/>
              <w:right w:val="single" w:sz="4" w:space="0" w:color="auto"/>
            </w:tcBorders>
            <w:shd w:val="clear" w:color="auto" w:fill="auto"/>
            <w:noWrap/>
            <w:vAlign w:val="bottom"/>
            <w:hideMark/>
          </w:tcPr>
          <w:p w14:paraId="00274B04" w14:textId="77777777" w:rsidR="009F2C8D" w:rsidRPr="00E22120" w:rsidRDefault="009F2C8D" w:rsidP="009F2C8D">
            <w:pPr>
              <w:rPr>
                <w:rFonts w:eastAsia="Times New Roman" w:cs="Times New Roman"/>
                <w:b/>
                <w:bCs/>
                <w:color w:val="000000"/>
                <w:sz w:val="16"/>
                <w:szCs w:val="16"/>
              </w:rPr>
            </w:pPr>
            <w:r w:rsidRPr="00E22120">
              <w:rPr>
                <w:rFonts w:eastAsia="Times New Roman" w:cs="Times New Roman"/>
                <w:b/>
                <w:bCs/>
                <w:color w:val="000000"/>
                <w:sz w:val="16"/>
                <w:szCs w:val="16"/>
              </w:rPr>
              <w:t> </w:t>
            </w:r>
          </w:p>
        </w:tc>
        <w:tc>
          <w:tcPr>
            <w:tcW w:w="660" w:type="dxa"/>
            <w:tcBorders>
              <w:top w:val="nil"/>
              <w:left w:val="nil"/>
              <w:bottom w:val="single" w:sz="4" w:space="0" w:color="auto"/>
              <w:right w:val="single" w:sz="4" w:space="0" w:color="auto"/>
            </w:tcBorders>
            <w:shd w:val="clear" w:color="auto" w:fill="auto"/>
            <w:noWrap/>
            <w:vAlign w:val="bottom"/>
            <w:hideMark/>
          </w:tcPr>
          <w:p w14:paraId="7E75870E"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2</w:t>
            </w:r>
          </w:p>
        </w:tc>
        <w:tc>
          <w:tcPr>
            <w:tcW w:w="720" w:type="dxa"/>
            <w:tcBorders>
              <w:top w:val="nil"/>
              <w:left w:val="nil"/>
              <w:bottom w:val="single" w:sz="4" w:space="0" w:color="auto"/>
              <w:right w:val="single" w:sz="4" w:space="0" w:color="auto"/>
            </w:tcBorders>
            <w:shd w:val="clear" w:color="auto" w:fill="auto"/>
            <w:noWrap/>
            <w:vAlign w:val="bottom"/>
            <w:hideMark/>
          </w:tcPr>
          <w:p w14:paraId="7DCB2389"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17</w:t>
            </w:r>
          </w:p>
        </w:tc>
        <w:tc>
          <w:tcPr>
            <w:tcW w:w="720" w:type="dxa"/>
            <w:tcBorders>
              <w:top w:val="nil"/>
              <w:left w:val="nil"/>
              <w:bottom w:val="single" w:sz="4" w:space="0" w:color="auto"/>
              <w:right w:val="single" w:sz="4" w:space="0" w:color="auto"/>
            </w:tcBorders>
            <w:shd w:val="clear" w:color="auto" w:fill="auto"/>
            <w:noWrap/>
            <w:vAlign w:val="bottom"/>
            <w:hideMark/>
          </w:tcPr>
          <w:p w14:paraId="751F4C4E"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17</w:t>
            </w:r>
          </w:p>
        </w:tc>
        <w:tc>
          <w:tcPr>
            <w:tcW w:w="720" w:type="dxa"/>
            <w:tcBorders>
              <w:top w:val="nil"/>
              <w:left w:val="nil"/>
              <w:bottom w:val="single" w:sz="4" w:space="0" w:color="auto"/>
              <w:right w:val="single" w:sz="4" w:space="0" w:color="auto"/>
            </w:tcBorders>
            <w:shd w:val="clear" w:color="auto" w:fill="auto"/>
            <w:noWrap/>
            <w:vAlign w:val="bottom"/>
            <w:hideMark/>
          </w:tcPr>
          <w:p w14:paraId="4CBF512F"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34</w:t>
            </w:r>
          </w:p>
        </w:tc>
        <w:tc>
          <w:tcPr>
            <w:tcW w:w="620" w:type="dxa"/>
            <w:tcBorders>
              <w:top w:val="nil"/>
              <w:left w:val="nil"/>
              <w:bottom w:val="single" w:sz="4" w:space="0" w:color="auto"/>
              <w:right w:val="single" w:sz="4" w:space="0" w:color="auto"/>
            </w:tcBorders>
            <w:shd w:val="clear" w:color="auto" w:fill="auto"/>
            <w:noWrap/>
            <w:vAlign w:val="bottom"/>
            <w:hideMark/>
          </w:tcPr>
          <w:p w14:paraId="629A53DC"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4</w:t>
            </w:r>
          </w:p>
        </w:tc>
        <w:tc>
          <w:tcPr>
            <w:tcW w:w="640" w:type="dxa"/>
            <w:tcBorders>
              <w:top w:val="nil"/>
              <w:left w:val="nil"/>
              <w:bottom w:val="single" w:sz="4" w:space="0" w:color="auto"/>
              <w:right w:val="single" w:sz="4" w:space="0" w:color="auto"/>
            </w:tcBorders>
            <w:shd w:val="clear" w:color="auto" w:fill="auto"/>
            <w:noWrap/>
            <w:vAlign w:val="bottom"/>
            <w:hideMark/>
          </w:tcPr>
          <w:p w14:paraId="55900C51"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18</w:t>
            </w:r>
          </w:p>
        </w:tc>
        <w:tc>
          <w:tcPr>
            <w:tcW w:w="620" w:type="dxa"/>
            <w:tcBorders>
              <w:top w:val="nil"/>
              <w:left w:val="nil"/>
              <w:bottom w:val="single" w:sz="4" w:space="0" w:color="auto"/>
              <w:right w:val="single" w:sz="4" w:space="0" w:color="auto"/>
            </w:tcBorders>
            <w:shd w:val="clear" w:color="auto" w:fill="auto"/>
            <w:noWrap/>
            <w:vAlign w:val="bottom"/>
            <w:hideMark/>
          </w:tcPr>
          <w:p w14:paraId="123560C3"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1</w:t>
            </w:r>
          </w:p>
        </w:tc>
        <w:tc>
          <w:tcPr>
            <w:tcW w:w="540" w:type="dxa"/>
            <w:tcBorders>
              <w:top w:val="nil"/>
              <w:left w:val="nil"/>
              <w:bottom w:val="single" w:sz="4" w:space="0" w:color="auto"/>
              <w:right w:val="single" w:sz="4" w:space="0" w:color="auto"/>
            </w:tcBorders>
            <w:shd w:val="clear" w:color="auto" w:fill="auto"/>
            <w:noWrap/>
            <w:vAlign w:val="bottom"/>
            <w:hideMark/>
          </w:tcPr>
          <w:p w14:paraId="24CDCA72"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5</w:t>
            </w:r>
          </w:p>
        </w:tc>
        <w:tc>
          <w:tcPr>
            <w:tcW w:w="620" w:type="dxa"/>
            <w:tcBorders>
              <w:top w:val="nil"/>
              <w:left w:val="nil"/>
              <w:bottom w:val="single" w:sz="4" w:space="0" w:color="auto"/>
              <w:right w:val="single" w:sz="4" w:space="0" w:color="auto"/>
            </w:tcBorders>
            <w:shd w:val="clear" w:color="auto" w:fill="auto"/>
            <w:noWrap/>
            <w:vAlign w:val="bottom"/>
            <w:hideMark/>
          </w:tcPr>
          <w:p w14:paraId="05DC3456" w14:textId="77777777" w:rsidR="009F2C8D" w:rsidRPr="00E22120" w:rsidRDefault="009F2C8D" w:rsidP="009F2C8D">
            <w:pPr>
              <w:jc w:val="right"/>
              <w:rPr>
                <w:rFonts w:eastAsia="Times New Roman" w:cs="Times New Roman"/>
                <w:color w:val="000000"/>
                <w:sz w:val="16"/>
                <w:szCs w:val="16"/>
              </w:rPr>
            </w:pPr>
            <w:r w:rsidRPr="00E22120">
              <w:rPr>
                <w:rFonts w:eastAsia="Times New Roman" w:cs="Times New Roman"/>
                <w:color w:val="000000"/>
                <w:sz w:val="16"/>
                <w:szCs w:val="16"/>
              </w:rPr>
              <w:t>8</w:t>
            </w:r>
          </w:p>
        </w:tc>
        <w:tc>
          <w:tcPr>
            <w:tcW w:w="740" w:type="dxa"/>
            <w:tcBorders>
              <w:top w:val="nil"/>
              <w:left w:val="nil"/>
              <w:bottom w:val="single" w:sz="4" w:space="0" w:color="auto"/>
              <w:right w:val="single" w:sz="4" w:space="0" w:color="auto"/>
            </w:tcBorders>
            <w:shd w:val="clear" w:color="auto" w:fill="auto"/>
            <w:noWrap/>
            <w:vAlign w:val="bottom"/>
            <w:hideMark/>
          </w:tcPr>
          <w:p w14:paraId="6BD06E34" w14:textId="77777777" w:rsidR="009F2C8D" w:rsidRPr="00E22120" w:rsidRDefault="009F2C8D" w:rsidP="009F2C8D">
            <w:pPr>
              <w:rPr>
                <w:rFonts w:eastAsia="Times New Roman" w:cs="Times New Roman"/>
                <w:color w:val="000000"/>
                <w:sz w:val="16"/>
                <w:szCs w:val="16"/>
              </w:rPr>
            </w:pPr>
            <w:r w:rsidRPr="00E22120">
              <w:rPr>
                <w:rFonts w:eastAsia="Times New Roman" w:cs="Times New Roman"/>
                <w:color w:val="000000"/>
                <w:sz w:val="16"/>
                <w:szCs w:val="16"/>
              </w:rPr>
              <w:t> </w:t>
            </w:r>
          </w:p>
        </w:tc>
      </w:tr>
      <w:tr w:rsidR="009F2C8D" w:rsidRPr="00E22120" w14:paraId="3F98F98F" w14:textId="77777777" w:rsidTr="009F2C8D">
        <w:trPr>
          <w:trHeight w:val="300"/>
        </w:trPr>
        <w:tc>
          <w:tcPr>
            <w:tcW w:w="600" w:type="dxa"/>
            <w:tcBorders>
              <w:top w:val="nil"/>
              <w:left w:val="nil"/>
              <w:bottom w:val="nil"/>
              <w:right w:val="nil"/>
            </w:tcBorders>
            <w:shd w:val="clear" w:color="auto" w:fill="auto"/>
            <w:noWrap/>
            <w:vAlign w:val="bottom"/>
            <w:hideMark/>
          </w:tcPr>
          <w:p w14:paraId="1E77ABAE" w14:textId="77777777" w:rsidR="009F2C8D" w:rsidRPr="00E22120" w:rsidRDefault="009F2C8D" w:rsidP="009F2C8D">
            <w:pPr>
              <w:rPr>
                <w:rFonts w:ascii="Calibri" w:eastAsia="Times New Roman" w:hAnsi="Calibri" w:cs="Times New Roman"/>
                <w:color w:val="000000"/>
                <w:sz w:val="16"/>
                <w:szCs w:val="16"/>
              </w:rPr>
            </w:pPr>
          </w:p>
        </w:tc>
        <w:tc>
          <w:tcPr>
            <w:tcW w:w="740" w:type="dxa"/>
            <w:tcBorders>
              <w:top w:val="nil"/>
              <w:left w:val="nil"/>
              <w:bottom w:val="nil"/>
              <w:right w:val="nil"/>
            </w:tcBorders>
            <w:shd w:val="clear" w:color="auto" w:fill="auto"/>
            <w:noWrap/>
            <w:vAlign w:val="bottom"/>
            <w:hideMark/>
          </w:tcPr>
          <w:p w14:paraId="7001EF33" w14:textId="77777777" w:rsidR="009F2C8D" w:rsidRPr="00E22120" w:rsidRDefault="009F2C8D" w:rsidP="009F2C8D">
            <w:pPr>
              <w:rPr>
                <w:rFonts w:ascii="Calibri" w:eastAsia="Times New Roman" w:hAnsi="Calibri" w:cs="Times New Roman"/>
                <w:color w:val="000000"/>
                <w:sz w:val="16"/>
                <w:szCs w:val="16"/>
              </w:rPr>
            </w:pPr>
          </w:p>
        </w:tc>
        <w:tc>
          <w:tcPr>
            <w:tcW w:w="660" w:type="dxa"/>
            <w:tcBorders>
              <w:top w:val="nil"/>
              <w:left w:val="nil"/>
              <w:bottom w:val="nil"/>
              <w:right w:val="nil"/>
            </w:tcBorders>
            <w:shd w:val="clear" w:color="auto" w:fill="auto"/>
            <w:noWrap/>
            <w:vAlign w:val="bottom"/>
            <w:hideMark/>
          </w:tcPr>
          <w:p w14:paraId="15427230" w14:textId="77777777" w:rsidR="009F2C8D" w:rsidRPr="00E22120" w:rsidRDefault="009F2C8D" w:rsidP="009F2C8D">
            <w:pPr>
              <w:jc w:val="right"/>
              <w:rPr>
                <w:rFonts w:ascii="Calibri" w:eastAsia="Times New Roman" w:hAnsi="Calibri" w:cs="Times New Roman"/>
                <w:color w:val="000000"/>
                <w:sz w:val="16"/>
                <w:szCs w:val="16"/>
              </w:rPr>
            </w:pPr>
            <w:r w:rsidRPr="00E22120">
              <w:rPr>
                <w:rFonts w:ascii="Calibri" w:eastAsia="Times New Roman" w:hAnsi="Calibri" w:cs="Times New Roman"/>
                <w:color w:val="000000"/>
                <w:sz w:val="16"/>
                <w:szCs w:val="16"/>
              </w:rPr>
              <w:t xml:space="preserve"> $1,982 </w:t>
            </w:r>
          </w:p>
        </w:tc>
        <w:tc>
          <w:tcPr>
            <w:tcW w:w="720" w:type="dxa"/>
            <w:tcBorders>
              <w:top w:val="nil"/>
              <w:left w:val="nil"/>
              <w:bottom w:val="nil"/>
              <w:right w:val="nil"/>
            </w:tcBorders>
            <w:shd w:val="clear" w:color="auto" w:fill="auto"/>
            <w:noWrap/>
            <w:vAlign w:val="bottom"/>
            <w:hideMark/>
          </w:tcPr>
          <w:p w14:paraId="31235C40" w14:textId="77777777" w:rsidR="009F2C8D" w:rsidRPr="00E22120" w:rsidRDefault="009F2C8D" w:rsidP="009F2C8D">
            <w:pPr>
              <w:jc w:val="right"/>
              <w:rPr>
                <w:rFonts w:ascii="Calibri" w:eastAsia="Times New Roman" w:hAnsi="Calibri" w:cs="Times New Roman"/>
                <w:color w:val="000000"/>
                <w:sz w:val="16"/>
                <w:szCs w:val="16"/>
              </w:rPr>
            </w:pPr>
            <w:r w:rsidRPr="00E22120">
              <w:rPr>
                <w:rFonts w:ascii="Calibri" w:eastAsia="Times New Roman" w:hAnsi="Calibri" w:cs="Times New Roman"/>
                <w:color w:val="000000"/>
                <w:sz w:val="16"/>
                <w:szCs w:val="16"/>
              </w:rPr>
              <w:t xml:space="preserve"> $8,739 </w:t>
            </w:r>
          </w:p>
        </w:tc>
        <w:tc>
          <w:tcPr>
            <w:tcW w:w="720" w:type="dxa"/>
            <w:tcBorders>
              <w:top w:val="nil"/>
              <w:left w:val="nil"/>
              <w:bottom w:val="nil"/>
              <w:right w:val="nil"/>
            </w:tcBorders>
            <w:shd w:val="clear" w:color="auto" w:fill="auto"/>
            <w:noWrap/>
            <w:vAlign w:val="bottom"/>
            <w:hideMark/>
          </w:tcPr>
          <w:p w14:paraId="3496E1A9" w14:textId="77777777" w:rsidR="009F2C8D" w:rsidRPr="00E22120" w:rsidRDefault="009F2C8D" w:rsidP="009F2C8D">
            <w:pPr>
              <w:jc w:val="right"/>
              <w:rPr>
                <w:rFonts w:ascii="Calibri" w:eastAsia="Times New Roman" w:hAnsi="Calibri" w:cs="Times New Roman"/>
                <w:color w:val="000000"/>
                <w:sz w:val="16"/>
                <w:szCs w:val="16"/>
              </w:rPr>
            </w:pPr>
            <w:r w:rsidRPr="00E22120">
              <w:rPr>
                <w:rFonts w:ascii="Calibri" w:eastAsia="Times New Roman" w:hAnsi="Calibri" w:cs="Times New Roman"/>
                <w:color w:val="000000"/>
                <w:sz w:val="16"/>
                <w:szCs w:val="16"/>
              </w:rPr>
              <w:t xml:space="preserve"> $11,902 </w:t>
            </w:r>
          </w:p>
        </w:tc>
        <w:tc>
          <w:tcPr>
            <w:tcW w:w="720" w:type="dxa"/>
            <w:tcBorders>
              <w:top w:val="nil"/>
              <w:left w:val="nil"/>
              <w:bottom w:val="nil"/>
              <w:right w:val="nil"/>
            </w:tcBorders>
            <w:shd w:val="clear" w:color="auto" w:fill="auto"/>
            <w:noWrap/>
            <w:vAlign w:val="bottom"/>
            <w:hideMark/>
          </w:tcPr>
          <w:p w14:paraId="1B5BE524" w14:textId="77777777" w:rsidR="009F2C8D" w:rsidRPr="00E22120" w:rsidRDefault="009F2C8D" w:rsidP="009F2C8D">
            <w:pPr>
              <w:jc w:val="right"/>
              <w:rPr>
                <w:rFonts w:ascii="Calibri" w:eastAsia="Times New Roman" w:hAnsi="Calibri" w:cs="Times New Roman"/>
                <w:color w:val="000000"/>
                <w:sz w:val="16"/>
                <w:szCs w:val="16"/>
              </w:rPr>
            </w:pPr>
            <w:r w:rsidRPr="00E22120">
              <w:rPr>
                <w:rFonts w:ascii="Calibri" w:eastAsia="Times New Roman" w:hAnsi="Calibri" w:cs="Times New Roman"/>
                <w:color w:val="000000"/>
                <w:sz w:val="16"/>
                <w:szCs w:val="16"/>
              </w:rPr>
              <w:t xml:space="preserve"> $11,365 </w:t>
            </w:r>
          </w:p>
        </w:tc>
        <w:tc>
          <w:tcPr>
            <w:tcW w:w="620" w:type="dxa"/>
            <w:tcBorders>
              <w:top w:val="nil"/>
              <w:left w:val="nil"/>
              <w:bottom w:val="nil"/>
              <w:right w:val="nil"/>
            </w:tcBorders>
            <w:shd w:val="clear" w:color="auto" w:fill="auto"/>
            <w:noWrap/>
            <w:vAlign w:val="bottom"/>
            <w:hideMark/>
          </w:tcPr>
          <w:p w14:paraId="2F725A44" w14:textId="77777777" w:rsidR="009F2C8D" w:rsidRPr="00E22120" w:rsidRDefault="009F2C8D" w:rsidP="009F2C8D">
            <w:pPr>
              <w:jc w:val="right"/>
              <w:rPr>
                <w:rFonts w:ascii="Calibri" w:eastAsia="Times New Roman" w:hAnsi="Calibri" w:cs="Times New Roman"/>
                <w:color w:val="000000"/>
                <w:sz w:val="16"/>
                <w:szCs w:val="16"/>
              </w:rPr>
            </w:pPr>
            <w:r w:rsidRPr="00E22120">
              <w:rPr>
                <w:rFonts w:ascii="Calibri" w:eastAsia="Times New Roman" w:hAnsi="Calibri" w:cs="Times New Roman"/>
                <w:color w:val="000000"/>
                <w:sz w:val="16"/>
                <w:szCs w:val="16"/>
              </w:rPr>
              <w:t xml:space="preserve"> $2,296 </w:t>
            </w:r>
          </w:p>
        </w:tc>
        <w:tc>
          <w:tcPr>
            <w:tcW w:w="640" w:type="dxa"/>
            <w:tcBorders>
              <w:top w:val="nil"/>
              <w:left w:val="nil"/>
              <w:bottom w:val="nil"/>
              <w:right w:val="nil"/>
            </w:tcBorders>
            <w:shd w:val="clear" w:color="auto" w:fill="auto"/>
            <w:noWrap/>
            <w:vAlign w:val="bottom"/>
            <w:hideMark/>
          </w:tcPr>
          <w:p w14:paraId="50FDA16B" w14:textId="77777777" w:rsidR="009F2C8D" w:rsidRPr="00E22120" w:rsidRDefault="009F2C8D" w:rsidP="009F2C8D">
            <w:pPr>
              <w:jc w:val="right"/>
              <w:rPr>
                <w:rFonts w:ascii="Calibri" w:eastAsia="Times New Roman" w:hAnsi="Calibri" w:cs="Times New Roman"/>
                <w:color w:val="000000"/>
                <w:sz w:val="16"/>
                <w:szCs w:val="16"/>
              </w:rPr>
            </w:pPr>
            <w:r w:rsidRPr="00E22120">
              <w:rPr>
                <w:rFonts w:ascii="Calibri" w:eastAsia="Times New Roman" w:hAnsi="Calibri" w:cs="Times New Roman"/>
                <w:color w:val="000000"/>
                <w:sz w:val="16"/>
                <w:szCs w:val="16"/>
              </w:rPr>
              <w:t xml:space="preserve"> $7,840 </w:t>
            </w:r>
          </w:p>
        </w:tc>
        <w:tc>
          <w:tcPr>
            <w:tcW w:w="620" w:type="dxa"/>
            <w:tcBorders>
              <w:top w:val="nil"/>
              <w:left w:val="nil"/>
              <w:bottom w:val="nil"/>
              <w:right w:val="nil"/>
            </w:tcBorders>
            <w:shd w:val="clear" w:color="auto" w:fill="auto"/>
            <w:noWrap/>
            <w:vAlign w:val="bottom"/>
            <w:hideMark/>
          </w:tcPr>
          <w:p w14:paraId="2D2660FC" w14:textId="77777777" w:rsidR="009F2C8D" w:rsidRPr="00E22120" w:rsidRDefault="009F2C8D" w:rsidP="009F2C8D">
            <w:pPr>
              <w:jc w:val="right"/>
              <w:rPr>
                <w:rFonts w:ascii="Calibri" w:eastAsia="Times New Roman" w:hAnsi="Calibri" w:cs="Times New Roman"/>
                <w:color w:val="000000"/>
                <w:sz w:val="16"/>
                <w:szCs w:val="16"/>
              </w:rPr>
            </w:pPr>
            <w:r w:rsidRPr="00E22120">
              <w:rPr>
                <w:rFonts w:ascii="Calibri" w:eastAsia="Times New Roman" w:hAnsi="Calibri" w:cs="Times New Roman"/>
                <w:color w:val="000000"/>
                <w:sz w:val="16"/>
                <w:szCs w:val="16"/>
              </w:rPr>
              <w:t xml:space="preserve"> $1,338 </w:t>
            </w:r>
          </w:p>
        </w:tc>
        <w:tc>
          <w:tcPr>
            <w:tcW w:w="540" w:type="dxa"/>
            <w:tcBorders>
              <w:top w:val="nil"/>
              <w:left w:val="nil"/>
              <w:bottom w:val="nil"/>
              <w:right w:val="nil"/>
            </w:tcBorders>
            <w:shd w:val="clear" w:color="auto" w:fill="auto"/>
            <w:noWrap/>
            <w:vAlign w:val="bottom"/>
            <w:hideMark/>
          </w:tcPr>
          <w:p w14:paraId="34637897" w14:textId="77777777" w:rsidR="009F2C8D" w:rsidRPr="00E22120" w:rsidRDefault="009F2C8D" w:rsidP="009F2C8D">
            <w:pPr>
              <w:jc w:val="right"/>
              <w:rPr>
                <w:rFonts w:ascii="Calibri" w:eastAsia="Times New Roman" w:hAnsi="Calibri" w:cs="Times New Roman"/>
                <w:color w:val="000000"/>
                <w:sz w:val="16"/>
                <w:szCs w:val="16"/>
              </w:rPr>
            </w:pPr>
            <w:r w:rsidRPr="00E22120">
              <w:rPr>
                <w:rFonts w:ascii="Calibri" w:eastAsia="Times New Roman" w:hAnsi="Calibri" w:cs="Times New Roman"/>
                <w:color w:val="000000"/>
                <w:sz w:val="16"/>
                <w:szCs w:val="16"/>
              </w:rPr>
              <w:t xml:space="preserve"> $978 </w:t>
            </w:r>
          </w:p>
        </w:tc>
        <w:tc>
          <w:tcPr>
            <w:tcW w:w="620" w:type="dxa"/>
            <w:tcBorders>
              <w:top w:val="nil"/>
              <w:left w:val="nil"/>
              <w:bottom w:val="nil"/>
              <w:right w:val="nil"/>
            </w:tcBorders>
            <w:shd w:val="clear" w:color="auto" w:fill="auto"/>
            <w:noWrap/>
            <w:vAlign w:val="bottom"/>
            <w:hideMark/>
          </w:tcPr>
          <w:p w14:paraId="671618E9" w14:textId="77777777" w:rsidR="009F2C8D" w:rsidRPr="00E22120" w:rsidRDefault="009F2C8D" w:rsidP="009F2C8D">
            <w:pPr>
              <w:jc w:val="right"/>
              <w:rPr>
                <w:rFonts w:ascii="Calibri" w:eastAsia="Times New Roman" w:hAnsi="Calibri" w:cs="Times New Roman"/>
                <w:color w:val="000000"/>
                <w:sz w:val="16"/>
                <w:szCs w:val="16"/>
              </w:rPr>
            </w:pPr>
            <w:r w:rsidRPr="00E22120">
              <w:rPr>
                <w:rFonts w:ascii="Calibri" w:eastAsia="Times New Roman" w:hAnsi="Calibri" w:cs="Times New Roman"/>
                <w:color w:val="000000"/>
                <w:sz w:val="16"/>
                <w:szCs w:val="16"/>
              </w:rPr>
              <w:t xml:space="preserve"> $3,270 </w:t>
            </w:r>
          </w:p>
        </w:tc>
        <w:tc>
          <w:tcPr>
            <w:tcW w:w="740" w:type="dxa"/>
            <w:tcBorders>
              <w:top w:val="nil"/>
              <w:left w:val="nil"/>
              <w:bottom w:val="nil"/>
              <w:right w:val="nil"/>
            </w:tcBorders>
            <w:shd w:val="clear" w:color="auto" w:fill="auto"/>
            <w:noWrap/>
            <w:vAlign w:val="bottom"/>
            <w:hideMark/>
          </w:tcPr>
          <w:p w14:paraId="55C69D9A" w14:textId="77777777" w:rsidR="009F2C8D" w:rsidRPr="00E22120" w:rsidRDefault="009F2C8D" w:rsidP="009F2C8D">
            <w:pPr>
              <w:jc w:val="right"/>
              <w:rPr>
                <w:rFonts w:ascii="Calibri" w:eastAsia="Times New Roman" w:hAnsi="Calibri" w:cs="Times New Roman"/>
                <w:color w:val="000000"/>
                <w:sz w:val="16"/>
                <w:szCs w:val="16"/>
              </w:rPr>
            </w:pPr>
            <w:r w:rsidRPr="00E22120">
              <w:rPr>
                <w:rFonts w:ascii="Calibri" w:eastAsia="Times New Roman" w:hAnsi="Calibri" w:cs="Times New Roman"/>
                <w:color w:val="000000"/>
                <w:sz w:val="16"/>
                <w:szCs w:val="16"/>
              </w:rPr>
              <w:t xml:space="preserve"> $49,711 </w:t>
            </w:r>
          </w:p>
        </w:tc>
      </w:tr>
    </w:tbl>
    <w:p w14:paraId="5EEE7972" w14:textId="77777777" w:rsidR="00C66026" w:rsidRDefault="00C66026" w:rsidP="008845D4">
      <w:pPr>
        <w:rPr>
          <w:b/>
          <w:szCs w:val="20"/>
        </w:rPr>
      </w:pPr>
    </w:p>
    <w:p w14:paraId="225FC873" w14:textId="77777777" w:rsidR="009F2C8D" w:rsidRPr="009F14D8" w:rsidRDefault="009F2C8D" w:rsidP="009F2C8D">
      <w:pPr>
        <w:rPr>
          <w:rFonts w:eastAsia="Times New Roman" w:cs="Times New Roman"/>
          <w:color w:val="000000"/>
          <w:sz w:val="18"/>
          <w:szCs w:val="18"/>
        </w:rPr>
      </w:pPr>
      <w:r w:rsidRPr="009F14D8">
        <w:rPr>
          <w:rFonts w:eastAsia="Times New Roman" w:cs="Times New Roman"/>
          <w:color w:val="000000"/>
          <w:sz w:val="18"/>
          <w:szCs w:val="18"/>
        </w:rPr>
        <w:t>Others are: Emeritus (2), instructor (1), P/T temp faculty (1), scientist (1), biologist (1), staff (2).</w:t>
      </w:r>
    </w:p>
    <w:p w14:paraId="4F99B4A0" w14:textId="77777777" w:rsidR="009F2C8D" w:rsidRDefault="009F2C8D" w:rsidP="009F2C8D">
      <w:pPr>
        <w:rPr>
          <w:rFonts w:eastAsia="Times New Roman" w:cs="Times New Roman"/>
          <w:color w:val="000000"/>
          <w:sz w:val="16"/>
          <w:szCs w:val="16"/>
        </w:rPr>
      </w:pPr>
    </w:p>
    <w:p w14:paraId="62A9AD07" w14:textId="77777777" w:rsidR="009F2C8D" w:rsidRDefault="009F2C8D" w:rsidP="008845D4">
      <w:pPr>
        <w:rPr>
          <w:b/>
          <w:szCs w:val="20"/>
        </w:rPr>
      </w:pPr>
    </w:p>
    <w:p w14:paraId="7DB60298" w14:textId="760645B6" w:rsidR="00C66026" w:rsidRDefault="00C66026" w:rsidP="008845D4">
      <w:pPr>
        <w:rPr>
          <w:b/>
          <w:szCs w:val="20"/>
        </w:rPr>
      </w:pPr>
      <w:r>
        <w:rPr>
          <w:noProof/>
        </w:rPr>
        <w:drawing>
          <wp:inline distT="0" distB="0" distL="0" distR="0" wp14:anchorId="69AD5213" wp14:editId="1B8C0305">
            <wp:extent cx="4525433" cy="3357034"/>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636B41B0" w14:textId="46E5B3AD" w:rsidR="000C3414" w:rsidRDefault="0069271A" w:rsidP="008845D4">
      <w:pPr>
        <w:rPr>
          <w:b/>
          <w:szCs w:val="20"/>
        </w:rPr>
      </w:pPr>
      <w:r w:rsidRPr="009833C5">
        <w:rPr>
          <w:b/>
          <w:szCs w:val="20"/>
        </w:rPr>
        <w:t>Co</w:t>
      </w:r>
      <w:r w:rsidR="008845D4" w:rsidRPr="009833C5">
        <w:rPr>
          <w:b/>
          <w:szCs w:val="20"/>
        </w:rPr>
        <w:t>m</w:t>
      </w:r>
      <w:r w:rsidRPr="009833C5">
        <w:rPr>
          <w:b/>
          <w:szCs w:val="20"/>
        </w:rPr>
        <w:t>ments</w:t>
      </w:r>
      <w:r w:rsidR="000C3414" w:rsidRPr="009833C5">
        <w:rPr>
          <w:b/>
          <w:szCs w:val="20"/>
        </w:rPr>
        <w:t xml:space="preserve"> from </w:t>
      </w:r>
      <w:r w:rsidR="00CE65C9">
        <w:rPr>
          <w:b/>
          <w:szCs w:val="20"/>
        </w:rPr>
        <w:t>A</w:t>
      </w:r>
      <w:r w:rsidR="008845D4" w:rsidRPr="009833C5">
        <w:rPr>
          <w:b/>
          <w:szCs w:val="20"/>
        </w:rPr>
        <w:t>uthors</w:t>
      </w:r>
    </w:p>
    <w:p w14:paraId="1500E4CE" w14:textId="77777777" w:rsidR="00CE65C9" w:rsidRPr="00640283" w:rsidRDefault="00CE65C9" w:rsidP="008845D4">
      <w:pPr>
        <w:rPr>
          <w:b/>
          <w:szCs w:val="20"/>
        </w:rPr>
      </w:pPr>
    </w:p>
    <w:p w14:paraId="7794D477" w14:textId="502737C8" w:rsidR="008845D4" w:rsidRPr="00D80B01" w:rsidRDefault="006E40E3" w:rsidP="008845D4">
      <w:pPr>
        <w:rPr>
          <w:rFonts w:eastAsia="Times New Roman" w:cs="Times New Roman"/>
          <w:i/>
          <w:szCs w:val="20"/>
        </w:rPr>
      </w:pPr>
      <w:r w:rsidRPr="00D80B01">
        <w:rPr>
          <w:rFonts w:eastAsia="Times New Roman" w:cs="Times New Roman"/>
          <w:i/>
          <w:szCs w:val="20"/>
        </w:rPr>
        <w:t>Ray David</w:t>
      </w:r>
      <w:r w:rsidR="00D80B01" w:rsidRPr="00D80B01">
        <w:rPr>
          <w:rFonts w:eastAsia="Times New Roman" w:cs="Times New Roman"/>
          <w:i/>
          <w:szCs w:val="20"/>
        </w:rPr>
        <w:t xml:space="preserve">, </w:t>
      </w:r>
      <w:r w:rsidR="00B86E11" w:rsidRPr="00D80B01">
        <w:rPr>
          <w:rFonts w:eastAsia="Times New Roman" w:cs="Times New Roman"/>
          <w:i/>
          <w:szCs w:val="20"/>
        </w:rPr>
        <w:t>doctoral candidate in Civil and Environmental Engineering, CALS</w:t>
      </w:r>
    </w:p>
    <w:p w14:paraId="476920BB" w14:textId="22D3AD3F" w:rsidR="00EF68CD" w:rsidRPr="009833C5" w:rsidRDefault="000C3414" w:rsidP="00DC2DBC">
      <w:pPr>
        <w:ind w:left="432"/>
        <w:rPr>
          <w:rFonts w:eastAsia="Times New Roman" w:cs="Times New Roman"/>
          <w:szCs w:val="20"/>
        </w:rPr>
      </w:pPr>
      <w:r w:rsidRPr="009833C5">
        <w:rPr>
          <w:rFonts w:eastAsia="Times New Roman" w:cs="Times New Roman"/>
          <w:szCs w:val="20"/>
        </w:rPr>
        <w:t xml:space="preserve">Thank you so much for the wonderful news! It is great that VT Libraries supports publications in open access. We are more than happy to acknowledge your support and deposit the article in VTechWorks. </w:t>
      </w:r>
      <w:r w:rsidR="006E40E3" w:rsidRPr="009833C5">
        <w:rPr>
          <w:rFonts w:eastAsia="Times New Roman" w:cs="Times New Roman"/>
          <w:szCs w:val="20"/>
        </w:rPr>
        <w:t>…</w:t>
      </w:r>
    </w:p>
    <w:p w14:paraId="664B2EF5" w14:textId="77777777" w:rsidR="00D80B01" w:rsidRDefault="00D80B01" w:rsidP="008845D4">
      <w:pPr>
        <w:rPr>
          <w:rFonts w:eastAsia="Times New Roman" w:cs="Times New Roman"/>
          <w:szCs w:val="20"/>
        </w:rPr>
      </w:pPr>
    </w:p>
    <w:p w14:paraId="761A0E00" w14:textId="7D747EA7" w:rsidR="008845D4" w:rsidRPr="00D80B01" w:rsidRDefault="007049E8" w:rsidP="008845D4">
      <w:pPr>
        <w:rPr>
          <w:rFonts w:eastAsia="Times New Roman" w:cs="Times New Roman"/>
          <w:i/>
          <w:szCs w:val="20"/>
        </w:rPr>
      </w:pPr>
      <w:r w:rsidRPr="00D80B01">
        <w:rPr>
          <w:rFonts w:eastAsia="Times New Roman" w:cs="Times New Roman"/>
          <w:i/>
          <w:szCs w:val="20"/>
        </w:rPr>
        <w:t xml:space="preserve">Prof. </w:t>
      </w:r>
      <w:r w:rsidR="00EA6D68" w:rsidRPr="00D80B01">
        <w:rPr>
          <w:rFonts w:eastAsia="Times New Roman" w:cs="Times New Roman"/>
          <w:i/>
          <w:szCs w:val="20"/>
        </w:rPr>
        <w:t>John Phillips</w:t>
      </w:r>
      <w:r w:rsidR="00D80B01" w:rsidRPr="00D80B01">
        <w:rPr>
          <w:rFonts w:eastAsia="Times New Roman" w:cs="Times New Roman"/>
          <w:i/>
          <w:szCs w:val="20"/>
        </w:rPr>
        <w:t xml:space="preserve">, </w:t>
      </w:r>
      <w:r w:rsidR="00EA6D68" w:rsidRPr="00D80B01">
        <w:rPr>
          <w:rFonts w:eastAsia="Times New Roman" w:cs="Times New Roman"/>
          <w:i/>
          <w:szCs w:val="20"/>
        </w:rPr>
        <w:t xml:space="preserve">Biological Sciences, </w:t>
      </w:r>
      <w:proofErr w:type="spellStart"/>
      <w:r w:rsidR="00EA6D68" w:rsidRPr="00D80B01">
        <w:rPr>
          <w:rFonts w:eastAsia="Times New Roman" w:cs="Times New Roman"/>
          <w:i/>
          <w:szCs w:val="20"/>
        </w:rPr>
        <w:t>CoS</w:t>
      </w:r>
      <w:proofErr w:type="spellEnd"/>
    </w:p>
    <w:p w14:paraId="60467216" w14:textId="2DAA2081" w:rsidR="00627C73" w:rsidRPr="009833C5" w:rsidRDefault="00EF68CD" w:rsidP="00DC2DBC">
      <w:pPr>
        <w:ind w:left="432"/>
        <w:rPr>
          <w:rFonts w:eastAsia="Times New Roman" w:cs="Times New Roman"/>
          <w:szCs w:val="20"/>
        </w:rPr>
      </w:pPr>
      <w:r w:rsidRPr="009833C5">
        <w:rPr>
          <w:rFonts w:eastAsia="Times New Roman" w:cs="Times New Roman"/>
          <w:szCs w:val="20"/>
        </w:rPr>
        <w:t>I would also like to emphasize the importance of internal sources of funding like the Subvention Fund, as well as various small grants that are available to graduate students from the Biological Sciences Department and graduate school, because they allow students like Lukas Landler to pursue independent avenues of research that would not be possible if the only funds available were from the external funding agencies.</w:t>
      </w:r>
    </w:p>
    <w:p w14:paraId="1E8E04DD" w14:textId="77777777" w:rsidR="00D80B01" w:rsidRDefault="00D80B01" w:rsidP="00627C73">
      <w:pPr>
        <w:rPr>
          <w:rFonts w:eastAsia="Times New Roman" w:cs="Times New Roman"/>
          <w:szCs w:val="20"/>
        </w:rPr>
      </w:pPr>
    </w:p>
    <w:p w14:paraId="0993905C" w14:textId="6CEF544F" w:rsidR="00627C73" w:rsidRPr="00D80B01" w:rsidRDefault="00627C73" w:rsidP="00627C73">
      <w:pPr>
        <w:rPr>
          <w:rFonts w:eastAsia="Times New Roman" w:cs="Times New Roman"/>
          <w:bCs/>
          <w:i/>
          <w:szCs w:val="20"/>
        </w:rPr>
      </w:pPr>
      <w:r w:rsidRPr="00D80B01">
        <w:rPr>
          <w:rFonts w:eastAsia="Times New Roman" w:cs="Times New Roman"/>
          <w:i/>
          <w:szCs w:val="20"/>
        </w:rPr>
        <w:t>Edward Dougherty</w:t>
      </w:r>
      <w:r w:rsidR="00D80B01" w:rsidRPr="00D80B01">
        <w:rPr>
          <w:rFonts w:eastAsia="Times New Roman" w:cs="Times New Roman"/>
          <w:i/>
          <w:szCs w:val="20"/>
        </w:rPr>
        <w:t xml:space="preserve">, </w:t>
      </w:r>
      <w:r w:rsidRPr="00D80B01">
        <w:rPr>
          <w:rFonts w:eastAsia="Times New Roman" w:cs="Times New Roman"/>
          <w:i/>
          <w:szCs w:val="20"/>
        </w:rPr>
        <w:t xml:space="preserve">doctoral candidate in </w:t>
      </w:r>
      <w:r w:rsidR="000E5FC3" w:rsidRPr="00D80B01">
        <w:rPr>
          <w:rFonts w:eastAsia="Times New Roman" w:cs="Times New Roman"/>
          <w:i/>
          <w:szCs w:val="20"/>
        </w:rPr>
        <w:t xml:space="preserve">Genetics, </w:t>
      </w:r>
      <w:r w:rsidR="000E5FC3" w:rsidRPr="00D80B01">
        <w:rPr>
          <w:rFonts w:eastAsia="Times New Roman" w:cs="Times New Roman"/>
          <w:bCs/>
          <w:i/>
          <w:szCs w:val="20"/>
        </w:rPr>
        <w:t>Bioinformatics</w:t>
      </w:r>
      <w:r w:rsidR="000E5FC3" w:rsidRPr="00D80B01">
        <w:rPr>
          <w:rFonts w:eastAsia="Times New Roman" w:cs="Times New Roman"/>
          <w:i/>
          <w:szCs w:val="20"/>
        </w:rPr>
        <w:t xml:space="preserve">, and </w:t>
      </w:r>
      <w:r w:rsidR="000E5FC3" w:rsidRPr="00D80B01">
        <w:rPr>
          <w:rFonts w:eastAsia="Times New Roman" w:cs="Times New Roman"/>
          <w:bCs/>
          <w:i/>
          <w:szCs w:val="20"/>
        </w:rPr>
        <w:t>Computational Biology</w:t>
      </w:r>
      <w:r w:rsidR="007049E8" w:rsidRPr="00D80B01">
        <w:rPr>
          <w:rFonts w:eastAsia="Times New Roman" w:cs="Times New Roman"/>
          <w:bCs/>
          <w:i/>
          <w:szCs w:val="20"/>
        </w:rPr>
        <w:t>, VBI</w:t>
      </w:r>
    </w:p>
    <w:p w14:paraId="47C06A9A" w14:textId="72ADCDCD" w:rsidR="009B711A" w:rsidRPr="009833C5" w:rsidRDefault="00216A39" w:rsidP="00DC2DBC">
      <w:pPr>
        <w:ind w:left="432"/>
        <w:rPr>
          <w:rFonts w:eastAsia="Times New Roman" w:cs="Times New Roman"/>
          <w:szCs w:val="20"/>
        </w:rPr>
      </w:pPr>
      <w:r w:rsidRPr="009833C5">
        <w:rPr>
          <w:rFonts w:eastAsia="Times New Roman" w:cs="Times New Roman"/>
          <w:szCs w:val="20"/>
        </w:rPr>
        <w:t>We are honored to have received this very generous funding support from the VT OA Subvention Fund.</w:t>
      </w:r>
    </w:p>
    <w:p w14:paraId="495D6023" w14:textId="77777777" w:rsidR="00D80B01" w:rsidRDefault="00D80B01" w:rsidP="008845D4">
      <w:pPr>
        <w:rPr>
          <w:rFonts w:eastAsia="Times New Roman" w:cs="Times New Roman"/>
          <w:szCs w:val="20"/>
        </w:rPr>
      </w:pPr>
    </w:p>
    <w:p w14:paraId="4567BCE9" w14:textId="2DFEBCCE" w:rsidR="008845D4" w:rsidRPr="009833C5" w:rsidRDefault="009B711A" w:rsidP="008845D4">
      <w:pPr>
        <w:rPr>
          <w:rFonts w:eastAsia="Times New Roman" w:cs="Times New Roman"/>
          <w:szCs w:val="20"/>
        </w:rPr>
      </w:pPr>
      <w:r w:rsidRPr="00D80B01">
        <w:rPr>
          <w:rFonts w:eastAsia="Times New Roman" w:cs="Times New Roman"/>
          <w:i/>
          <w:szCs w:val="20"/>
        </w:rPr>
        <w:t>Prof. Brett Jones</w:t>
      </w:r>
      <w:r w:rsidR="00D80B01" w:rsidRPr="00D80B01">
        <w:rPr>
          <w:rFonts w:eastAsia="Times New Roman" w:cs="Times New Roman"/>
          <w:i/>
          <w:szCs w:val="20"/>
        </w:rPr>
        <w:t xml:space="preserve">, </w:t>
      </w:r>
      <w:r w:rsidR="007049E8" w:rsidRPr="00D80B01">
        <w:rPr>
          <w:rFonts w:eastAsia="Times New Roman" w:cs="Times New Roman"/>
          <w:i/>
          <w:szCs w:val="20"/>
        </w:rPr>
        <w:t>Educational Psychology,</w:t>
      </w:r>
      <w:r w:rsidRPr="00D80B01">
        <w:rPr>
          <w:rFonts w:eastAsia="Times New Roman" w:cs="Times New Roman"/>
          <w:i/>
          <w:szCs w:val="20"/>
        </w:rPr>
        <w:t xml:space="preserve"> </w:t>
      </w:r>
      <w:r w:rsidR="00D80B01" w:rsidRPr="00D80B01">
        <w:rPr>
          <w:rFonts w:eastAsia="Times New Roman" w:cs="Times New Roman"/>
          <w:i/>
          <w:szCs w:val="20"/>
        </w:rPr>
        <w:t>CLAHS,</w:t>
      </w:r>
      <w:r w:rsidR="000568BE" w:rsidRPr="009833C5">
        <w:rPr>
          <w:rFonts w:eastAsia="Times New Roman" w:cs="Times New Roman"/>
          <w:szCs w:val="20"/>
        </w:rPr>
        <w:t xml:space="preserve"> </w:t>
      </w:r>
      <w:r w:rsidRPr="009833C5">
        <w:rPr>
          <w:rFonts w:eastAsia="Times New Roman" w:cs="Times New Roman"/>
          <w:szCs w:val="20"/>
        </w:rPr>
        <w:t xml:space="preserve">appreciated learning about </w:t>
      </w:r>
      <w:r w:rsidR="00A26CA1" w:rsidRPr="009833C5">
        <w:rPr>
          <w:rFonts w:eastAsia="Times New Roman" w:cs="Times New Roman"/>
          <w:szCs w:val="20"/>
        </w:rPr>
        <w:t xml:space="preserve">a predatory publisher: </w:t>
      </w:r>
    </w:p>
    <w:p w14:paraId="3BC68045" w14:textId="37C7174E" w:rsidR="009B711A" w:rsidRPr="009833C5" w:rsidRDefault="00A26CA1" w:rsidP="00627C73">
      <w:pPr>
        <w:ind w:left="432"/>
        <w:rPr>
          <w:rFonts w:eastAsia="Times New Roman" w:cs="Times New Roman"/>
          <w:szCs w:val="20"/>
        </w:rPr>
      </w:pPr>
      <w:r w:rsidRPr="009833C5">
        <w:rPr>
          <w:rFonts w:eastAsia="Times New Roman" w:cs="Times New Roman"/>
          <w:szCs w:val="20"/>
        </w:rPr>
        <w:t>Thanks for the information Gail. I had no idea about the "potential, possible, or probable predatory scholarly open-access journals" that is really interesting. I'm going to share this list with the School of Education, that is very helpful!</w:t>
      </w:r>
    </w:p>
    <w:p w14:paraId="0A9A24DF" w14:textId="77777777" w:rsidR="000C3414" w:rsidRPr="009833C5" w:rsidRDefault="000C3414" w:rsidP="008845D4">
      <w:pPr>
        <w:rPr>
          <w:szCs w:val="20"/>
        </w:rPr>
      </w:pPr>
    </w:p>
    <w:p w14:paraId="384C0584" w14:textId="77777777" w:rsidR="00645F64" w:rsidRPr="009833C5" w:rsidRDefault="00645F64" w:rsidP="00645F64">
      <w:pPr>
        <w:rPr>
          <w:rFonts w:eastAsia="Times New Roman" w:cs="Times New Roman"/>
          <w:b/>
          <w:color w:val="000000"/>
          <w:szCs w:val="20"/>
        </w:rPr>
      </w:pPr>
    </w:p>
    <w:p w14:paraId="281614D5" w14:textId="77777777" w:rsidR="009F14D8" w:rsidRDefault="009F14D8">
      <w:pPr>
        <w:rPr>
          <w:rFonts w:eastAsia="Times New Roman" w:cs="Times New Roman"/>
          <w:b/>
          <w:color w:val="000000"/>
          <w:szCs w:val="20"/>
        </w:rPr>
      </w:pPr>
      <w:r>
        <w:rPr>
          <w:rFonts w:eastAsia="Times New Roman" w:cs="Times New Roman"/>
          <w:b/>
          <w:color w:val="000000"/>
          <w:szCs w:val="20"/>
        </w:rPr>
        <w:br w:type="page"/>
      </w:r>
    </w:p>
    <w:p w14:paraId="16EE7BAB" w14:textId="2D87641B" w:rsidR="00733A41" w:rsidRDefault="00C9662D">
      <w:pPr>
        <w:rPr>
          <w:rFonts w:eastAsia="Times New Roman" w:cs="Times New Roman"/>
          <w:b/>
          <w:color w:val="000000"/>
          <w:szCs w:val="20"/>
        </w:rPr>
      </w:pPr>
      <w:r>
        <w:rPr>
          <w:rFonts w:eastAsia="Times New Roman" w:cs="Times New Roman"/>
          <w:b/>
          <w:color w:val="000000"/>
          <w:szCs w:val="20"/>
        </w:rPr>
        <w:lastRenderedPageBreak/>
        <w:t xml:space="preserve">ABOUT THE AUTHORS’ </w:t>
      </w:r>
      <w:r w:rsidR="00CE65C9">
        <w:rPr>
          <w:rFonts w:eastAsia="Times New Roman" w:cs="Times New Roman"/>
          <w:b/>
          <w:color w:val="000000"/>
          <w:szCs w:val="20"/>
        </w:rPr>
        <w:t>COLLEGE</w:t>
      </w:r>
      <w:r>
        <w:rPr>
          <w:rFonts w:eastAsia="Times New Roman" w:cs="Times New Roman"/>
          <w:b/>
          <w:color w:val="000000"/>
          <w:szCs w:val="20"/>
        </w:rPr>
        <w:t xml:space="preserve">S AND </w:t>
      </w:r>
      <w:r w:rsidR="00CE65C9">
        <w:rPr>
          <w:rFonts w:eastAsia="Times New Roman" w:cs="Times New Roman"/>
          <w:b/>
          <w:color w:val="000000"/>
          <w:szCs w:val="20"/>
        </w:rPr>
        <w:t>INSTITUTE</w:t>
      </w:r>
      <w:r>
        <w:rPr>
          <w:rFonts w:eastAsia="Times New Roman" w:cs="Times New Roman"/>
          <w:b/>
          <w:color w:val="000000"/>
          <w:szCs w:val="20"/>
        </w:rPr>
        <w:t xml:space="preserve">S </w:t>
      </w:r>
    </w:p>
    <w:p w14:paraId="7EE3DF44" w14:textId="77777777" w:rsidR="005A6EAD" w:rsidRDefault="005A6EAD">
      <w:pPr>
        <w:rPr>
          <w:rFonts w:eastAsia="Times New Roman" w:cs="Times New Roman"/>
          <w:b/>
          <w:color w:val="000000"/>
          <w:szCs w:val="20"/>
        </w:rPr>
      </w:pPr>
    </w:p>
    <w:p w14:paraId="35487C57" w14:textId="77777777" w:rsidR="00DC2DBC" w:rsidRDefault="00733A41">
      <w:pPr>
        <w:rPr>
          <w:rFonts w:eastAsia="Times New Roman" w:cs="Times New Roman"/>
          <w:b/>
          <w:color w:val="000000"/>
          <w:szCs w:val="20"/>
        </w:rPr>
      </w:pPr>
      <w:r>
        <w:rPr>
          <w:noProof/>
        </w:rPr>
        <w:drawing>
          <wp:inline distT="0" distB="0" distL="0" distR="0" wp14:anchorId="6AD5A159" wp14:editId="0197B437">
            <wp:extent cx="3200400" cy="3230033"/>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DAB0C73" w14:textId="77777777" w:rsidR="009D69D4" w:rsidRDefault="009D69D4">
      <w:pPr>
        <w:rPr>
          <w:rFonts w:eastAsia="Times New Roman" w:cs="Times New Roman"/>
          <w:b/>
          <w:color w:val="000000"/>
          <w:szCs w:val="20"/>
        </w:rPr>
      </w:pPr>
    </w:p>
    <w:p w14:paraId="26AB2EA3" w14:textId="77777777" w:rsidR="009D69D4" w:rsidRDefault="009D69D4">
      <w:pPr>
        <w:rPr>
          <w:rFonts w:eastAsia="Times New Roman" w:cs="Times New Roman"/>
          <w:b/>
          <w:color w:val="000000"/>
          <w:szCs w:val="20"/>
        </w:rPr>
      </w:pPr>
    </w:p>
    <w:p w14:paraId="2260E923" w14:textId="77777777" w:rsidR="0009445D" w:rsidRDefault="0009445D" w:rsidP="005A6EAD">
      <w:pPr>
        <w:rPr>
          <w:rFonts w:eastAsia="Times New Roman" w:cs="Times New Roman"/>
          <w:b/>
          <w:color w:val="000000"/>
        </w:rPr>
      </w:pPr>
    </w:p>
    <w:p w14:paraId="27EC22C1" w14:textId="36449B91" w:rsidR="00DC2DBC" w:rsidRDefault="00DB0055" w:rsidP="005A6EAD">
      <w:pPr>
        <w:rPr>
          <w:rFonts w:eastAsia="Times New Roman" w:cs="Times New Roman"/>
          <w:b/>
          <w:color w:val="000000"/>
        </w:rPr>
      </w:pPr>
      <w:r>
        <w:rPr>
          <w:noProof/>
        </w:rPr>
        <w:drawing>
          <wp:inline distT="0" distB="0" distL="0" distR="0" wp14:anchorId="0110D01D" wp14:editId="18F00209">
            <wp:extent cx="5943600" cy="2442210"/>
            <wp:effectExtent l="0" t="0" r="0" b="2159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516762E" w14:textId="5AC6177C" w:rsidR="00733A41" w:rsidRPr="00733A41" w:rsidRDefault="00733A41">
      <w:pPr>
        <w:rPr>
          <w:rFonts w:eastAsia="Times New Roman" w:cs="Times New Roman"/>
          <w:b/>
          <w:color w:val="000000"/>
          <w:szCs w:val="20"/>
        </w:rPr>
      </w:pPr>
      <w:r w:rsidRPr="00733A41">
        <w:rPr>
          <w:rFonts w:eastAsia="Times New Roman" w:cs="Times New Roman"/>
          <w:b/>
          <w:color w:val="000000"/>
          <w:szCs w:val="20"/>
        </w:rPr>
        <w:br w:type="page"/>
      </w:r>
    </w:p>
    <w:p w14:paraId="213380BD" w14:textId="01E3CDE7" w:rsidR="006949A2" w:rsidRPr="009833C5" w:rsidRDefault="0036058F" w:rsidP="00645F64">
      <w:pPr>
        <w:rPr>
          <w:rFonts w:eastAsia="Times New Roman" w:cs="Times New Roman"/>
          <w:b/>
          <w:color w:val="000000"/>
          <w:szCs w:val="20"/>
        </w:rPr>
      </w:pPr>
      <w:r>
        <w:rPr>
          <w:rFonts w:eastAsia="Times New Roman" w:cs="Times New Roman"/>
          <w:b/>
          <w:color w:val="000000"/>
          <w:szCs w:val="20"/>
        </w:rPr>
        <w:lastRenderedPageBreak/>
        <w:t xml:space="preserve">ABOUT THE </w:t>
      </w:r>
      <w:r w:rsidR="00173F82">
        <w:rPr>
          <w:rFonts w:eastAsia="Times New Roman" w:cs="Times New Roman"/>
          <w:b/>
          <w:color w:val="000000"/>
          <w:szCs w:val="20"/>
        </w:rPr>
        <w:t xml:space="preserve">AUTHORS’ </w:t>
      </w:r>
      <w:r>
        <w:rPr>
          <w:rFonts w:eastAsia="Times New Roman" w:cs="Times New Roman"/>
          <w:b/>
          <w:color w:val="000000"/>
          <w:szCs w:val="20"/>
        </w:rPr>
        <w:t>PUBLISHERS AND JOURNALS</w:t>
      </w:r>
    </w:p>
    <w:p w14:paraId="577C72F1" w14:textId="77777777" w:rsidR="00645F64" w:rsidRPr="009833C5" w:rsidRDefault="00645F64" w:rsidP="00645F64">
      <w:pPr>
        <w:rPr>
          <w:rFonts w:eastAsia="Times New Roman" w:cs="Times New Roman"/>
          <w:b/>
          <w:color w:val="000000"/>
          <w:szCs w:val="20"/>
        </w:rPr>
      </w:pPr>
    </w:p>
    <w:p w14:paraId="5C526728" w14:textId="68EAFDB3" w:rsidR="00645F64" w:rsidRPr="009833C5" w:rsidRDefault="00645F64" w:rsidP="00645F64">
      <w:pPr>
        <w:rPr>
          <w:szCs w:val="20"/>
        </w:rPr>
      </w:pPr>
      <w:r w:rsidRPr="009833C5">
        <w:rPr>
          <w:b/>
          <w:szCs w:val="20"/>
        </w:rPr>
        <w:t>The funded articles were accepted by 25 journals from 14 publishers.</w:t>
      </w:r>
      <w:r w:rsidRPr="009833C5">
        <w:rPr>
          <w:szCs w:val="20"/>
        </w:rPr>
        <w:t xml:space="preserve"> </w:t>
      </w:r>
    </w:p>
    <w:p w14:paraId="4FDE9DAA" w14:textId="77777777" w:rsidR="006949A2" w:rsidRPr="009833C5" w:rsidRDefault="006949A2" w:rsidP="008845D4">
      <w:pPr>
        <w:jc w:val="right"/>
        <w:rPr>
          <w:rFonts w:eastAsia="Times New Roman" w:cs="Times New Roman"/>
          <w:b/>
          <w:color w:val="000000"/>
          <w:szCs w:val="20"/>
          <w:u w:val="single"/>
        </w:rPr>
      </w:pPr>
    </w:p>
    <w:p w14:paraId="43710F78" w14:textId="77777777" w:rsidR="000C3414" w:rsidRPr="009833C5" w:rsidRDefault="000C3414" w:rsidP="008845D4">
      <w:pPr>
        <w:jc w:val="right"/>
        <w:rPr>
          <w:rFonts w:eastAsia="Times New Roman" w:cs="Times New Roman"/>
          <w:b/>
          <w:color w:val="000000"/>
          <w:szCs w:val="20"/>
          <w:u w:val="single"/>
        </w:rPr>
        <w:sectPr w:rsidR="000C3414" w:rsidRPr="009833C5" w:rsidSect="001A735E">
          <w:footerReference w:type="even" r:id="rId11"/>
          <w:footerReference w:type="default" r:id="rId12"/>
          <w:pgSz w:w="12240" w:h="15840"/>
          <w:pgMar w:top="1440" w:right="1440" w:bottom="1440" w:left="1440" w:header="720" w:footer="720" w:gutter="0"/>
          <w:cols w:space="720"/>
          <w:titlePg/>
        </w:sectPr>
      </w:pPr>
    </w:p>
    <w:tbl>
      <w:tblPr>
        <w:tblW w:w="4470" w:type="dxa"/>
        <w:tblInd w:w="93" w:type="dxa"/>
        <w:tblLayout w:type="fixed"/>
        <w:tblLook w:val="04A0" w:firstRow="1" w:lastRow="0" w:firstColumn="1" w:lastColumn="0" w:noHBand="0" w:noVBand="1"/>
      </w:tblPr>
      <w:tblGrid>
        <w:gridCol w:w="3705"/>
        <w:gridCol w:w="765"/>
      </w:tblGrid>
      <w:tr w:rsidR="0009360C" w:rsidRPr="009833C5" w14:paraId="6EF78BCD" w14:textId="77777777" w:rsidTr="0009360C">
        <w:trPr>
          <w:trHeight w:val="300"/>
        </w:trPr>
        <w:tc>
          <w:tcPr>
            <w:tcW w:w="4470" w:type="dxa"/>
            <w:gridSpan w:val="2"/>
            <w:tcBorders>
              <w:top w:val="nil"/>
              <w:left w:val="nil"/>
              <w:bottom w:val="nil"/>
              <w:right w:val="nil"/>
            </w:tcBorders>
            <w:shd w:val="clear" w:color="auto" w:fill="auto"/>
            <w:noWrap/>
            <w:vAlign w:val="bottom"/>
            <w:hideMark/>
          </w:tcPr>
          <w:p w14:paraId="2B54CADF" w14:textId="74944F14" w:rsidR="0009360C" w:rsidRPr="009833C5" w:rsidRDefault="0009360C" w:rsidP="008845D4">
            <w:pPr>
              <w:jc w:val="right"/>
              <w:rPr>
                <w:rFonts w:eastAsia="Times New Roman" w:cs="Times New Roman"/>
                <w:b/>
                <w:color w:val="000000"/>
                <w:szCs w:val="20"/>
                <w:u w:val="single"/>
              </w:rPr>
            </w:pPr>
            <w:r w:rsidRPr="009833C5">
              <w:rPr>
                <w:rFonts w:eastAsia="Times New Roman" w:cs="Times New Roman"/>
                <w:b/>
                <w:color w:val="000000"/>
                <w:szCs w:val="20"/>
                <w:u w:val="single"/>
              </w:rPr>
              <w:t xml:space="preserve">Publishers of Multiple </w:t>
            </w:r>
            <w:r w:rsidR="00173F82">
              <w:rPr>
                <w:rFonts w:eastAsia="Times New Roman" w:cs="Times New Roman"/>
                <w:b/>
                <w:color w:val="000000"/>
                <w:szCs w:val="20"/>
                <w:u w:val="single"/>
              </w:rPr>
              <w:t xml:space="preserve">Funded </w:t>
            </w:r>
            <w:r w:rsidRPr="009833C5">
              <w:rPr>
                <w:rFonts w:eastAsia="Times New Roman" w:cs="Times New Roman"/>
                <w:b/>
                <w:color w:val="000000"/>
                <w:szCs w:val="20"/>
                <w:u w:val="single"/>
              </w:rPr>
              <w:t>Articles</w:t>
            </w:r>
          </w:p>
        </w:tc>
      </w:tr>
      <w:tr w:rsidR="0009360C" w:rsidRPr="009833C5" w14:paraId="12719488" w14:textId="77777777" w:rsidTr="0009360C">
        <w:trPr>
          <w:trHeight w:val="300"/>
        </w:trPr>
        <w:tc>
          <w:tcPr>
            <w:tcW w:w="3705" w:type="dxa"/>
            <w:tcBorders>
              <w:top w:val="nil"/>
              <w:left w:val="nil"/>
              <w:bottom w:val="nil"/>
              <w:right w:val="nil"/>
            </w:tcBorders>
            <w:shd w:val="clear" w:color="auto" w:fill="auto"/>
            <w:noWrap/>
            <w:vAlign w:val="bottom"/>
            <w:hideMark/>
          </w:tcPr>
          <w:p w14:paraId="29BB198E" w14:textId="3EC7F156" w:rsidR="0009360C" w:rsidRPr="009833C5" w:rsidRDefault="0009360C" w:rsidP="008845D4">
            <w:pPr>
              <w:jc w:val="right"/>
              <w:rPr>
                <w:rFonts w:eastAsia="Times New Roman" w:cs="Times New Roman"/>
                <w:szCs w:val="20"/>
              </w:rPr>
            </w:pPr>
            <w:r w:rsidRPr="009833C5">
              <w:rPr>
                <w:rFonts w:eastAsia="Times New Roman" w:cs="Times New Roman"/>
                <w:szCs w:val="20"/>
              </w:rPr>
              <w:t>BMC</w:t>
            </w:r>
            <w:r w:rsidR="00E81685" w:rsidRPr="009833C5">
              <w:rPr>
                <w:rFonts w:eastAsia="Times New Roman" w:cs="Times New Roman"/>
                <w:szCs w:val="20"/>
              </w:rPr>
              <w:t xml:space="preserve"> (8)</w:t>
            </w:r>
          </w:p>
        </w:tc>
        <w:tc>
          <w:tcPr>
            <w:tcW w:w="765" w:type="dxa"/>
            <w:tcBorders>
              <w:top w:val="nil"/>
              <w:left w:val="nil"/>
              <w:bottom w:val="nil"/>
              <w:right w:val="nil"/>
            </w:tcBorders>
            <w:shd w:val="clear" w:color="auto" w:fill="auto"/>
            <w:noWrap/>
            <w:vAlign w:val="bottom"/>
            <w:hideMark/>
          </w:tcPr>
          <w:p w14:paraId="09D02D96" w14:textId="77777777" w:rsidR="0009360C" w:rsidRPr="009833C5" w:rsidRDefault="0009360C" w:rsidP="008845D4">
            <w:pPr>
              <w:jc w:val="right"/>
              <w:rPr>
                <w:rFonts w:eastAsia="Times New Roman" w:cs="Times New Roman"/>
                <w:color w:val="000000"/>
                <w:szCs w:val="20"/>
              </w:rPr>
            </w:pPr>
            <w:r w:rsidRPr="009833C5">
              <w:rPr>
                <w:rFonts w:eastAsia="Times New Roman" w:cs="Times New Roman"/>
                <w:color w:val="000000"/>
                <w:szCs w:val="20"/>
              </w:rPr>
              <w:t>17%</w:t>
            </w:r>
          </w:p>
        </w:tc>
      </w:tr>
      <w:tr w:rsidR="0009360C" w:rsidRPr="009833C5" w14:paraId="17335326" w14:textId="77777777" w:rsidTr="0009360C">
        <w:trPr>
          <w:trHeight w:val="300"/>
        </w:trPr>
        <w:tc>
          <w:tcPr>
            <w:tcW w:w="3705" w:type="dxa"/>
            <w:tcBorders>
              <w:top w:val="nil"/>
              <w:left w:val="nil"/>
              <w:bottom w:val="nil"/>
              <w:right w:val="nil"/>
            </w:tcBorders>
            <w:shd w:val="clear" w:color="auto" w:fill="auto"/>
            <w:noWrap/>
            <w:vAlign w:val="bottom"/>
            <w:hideMark/>
          </w:tcPr>
          <w:p w14:paraId="2A5BF25C" w14:textId="17825373" w:rsidR="0009360C" w:rsidRPr="009833C5" w:rsidRDefault="0009360C" w:rsidP="008845D4">
            <w:pPr>
              <w:jc w:val="right"/>
              <w:rPr>
                <w:rFonts w:eastAsia="Times New Roman" w:cs="Times New Roman"/>
                <w:color w:val="000000"/>
                <w:szCs w:val="20"/>
              </w:rPr>
            </w:pPr>
            <w:r w:rsidRPr="009833C5">
              <w:rPr>
                <w:rFonts w:eastAsia="Times New Roman" w:cs="Times New Roman"/>
                <w:color w:val="000000"/>
                <w:szCs w:val="20"/>
              </w:rPr>
              <w:t>Frontiers</w:t>
            </w:r>
            <w:r w:rsidR="00E81685" w:rsidRPr="009833C5">
              <w:rPr>
                <w:rFonts w:eastAsia="Times New Roman" w:cs="Times New Roman"/>
                <w:color w:val="000000"/>
                <w:szCs w:val="20"/>
              </w:rPr>
              <w:t xml:space="preserve"> (2)</w:t>
            </w:r>
          </w:p>
        </w:tc>
        <w:tc>
          <w:tcPr>
            <w:tcW w:w="765" w:type="dxa"/>
            <w:tcBorders>
              <w:top w:val="nil"/>
              <w:left w:val="nil"/>
              <w:bottom w:val="nil"/>
              <w:right w:val="nil"/>
            </w:tcBorders>
            <w:shd w:val="clear" w:color="auto" w:fill="auto"/>
            <w:noWrap/>
            <w:vAlign w:val="bottom"/>
            <w:hideMark/>
          </w:tcPr>
          <w:p w14:paraId="246D7BCE" w14:textId="77777777" w:rsidR="0009360C" w:rsidRPr="009833C5" w:rsidRDefault="0009360C" w:rsidP="008845D4">
            <w:pPr>
              <w:jc w:val="right"/>
              <w:rPr>
                <w:rFonts w:eastAsia="Times New Roman" w:cs="Times New Roman"/>
                <w:color w:val="000000"/>
                <w:szCs w:val="20"/>
              </w:rPr>
            </w:pPr>
            <w:r w:rsidRPr="009833C5">
              <w:rPr>
                <w:rFonts w:eastAsia="Times New Roman" w:cs="Times New Roman"/>
                <w:color w:val="000000"/>
                <w:szCs w:val="20"/>
              </w:rPr>
              <w:t>4%</w:t>
            </w:r>
          </w:p>
        </w:tc>
      </w:tr>
      <w:tr w:rsidR="0009360C" w:rsidRPr="009833C5" w14:paraId="7B16926B" w14:textId="77777777" w:rsidTr="0009360C">
        <w:trPr>
          <w:trHeight w:val="300"/>
        </w:trPr>
        <w:tc>
          <w:tcPr>
            <w:tcW w:w="3705" w:type="dxa"/>
            <w:tcBorders>
              <w:top w:val="nil"/>
              <w:left w:val="nil"/>
              <w:bottom w:val="nil"/>
              <w:right w:val="nil"/>
            </w:tcBorders>
            <w:shd w:val="clear" w:color="auto" w:fill="auto"/>
            <w:vAlign w:val="bottom"/>
            <w:hideMark/>
          </w:tcPr>
          <w:p w14:paraId="27098CF5" w14:textId="7DC82922" w:rsidR="0009360C" w:rsidRPr="009833C5" w:rsidRDefault="0009360C" w:rsidP="008845D4">
            <w:pPr>
              <w:jc w:val="right"/>
              <w:rPr>
                <w:rFonts w:eastAsia="Times New Roman" w:cs="Times New Roman"/>
                <w:color w:val="000000"/>
                <w:szCs w:val="20"/>
              </w:rPr>
            </w:pPr>
            <w:proofErr w:type="spellStart"/>
            <w:r w:rsidRPr="009833C5">
              <w:rPr>
                <w:rFonts w:eastAsia="Times New Roman" w:cs="Times New Roman"/>
                <w:color w:val="000000"/>
                <w:szCs w:val="20"/>
              </w:rPr>
              <w:t>Hindawi</w:t>
            </w:r>
            <w:proofErr w:type="spellEnd"/>
            <w:r w:rsidR="00E81685" w:rsidRPr="009833C5">
              <w:rPr>
                <w:rFonts w:eastAsia="Times New Roman" w:cs="Times New Roman"/>
                <w:color w:val="000000"/>
                <w:szCs w:val="20"/>
              </w:rPr>
              <w:t xml:space="preserve"> (3)</w:t>
            </w:r>
          </w:p>
        </w:tc>
        <w:tc>
          <w:tcPr>
            <w:tcW w:w="765" w:type="dxa"/>
            <w:tcBorders>
              <w:top w:val="nil"/>
              <w:left w:val="nil"/>
              <w:bottom w:val="nil"/>
              <w:right w:val="nil"/>
            </w:tcBorders>
            <w:shd w:val="clear" w:color="auto" w:fill="auto"/>
            <w:noWrap/>
            <w:vAlign w:val="bottom"/>
            <w:hideMark/>
          </w:tcPr>
          <w:p w14:paraId="347156AA" w14:textId="77777777" w:rsidR="0009360C" w:rsidRPr="009833C5" w:rsidRDefault="0009360C" w:rsidP="008845D4">
            <w:pPr>
              <w:jc w:val="right"/>
              <w:rPr>
                <w:rFonts w:eastAsia="Times New Roman" w:cs="Times New Roman"/>
                <w:color w:val="000000"/>
                <w:szCs w:val="20"/>
              </w:rPr>
            </w:pPr>
            <w:r w:rsidRPr="009833C5">
              <w:rPr>
                <w:rFonts w:eastAsia="Times New Roman" w:cs="Times New Roman"/>
                <w:color w:val="000000"/>
                <w:szCs w:val="20"/>
              </w:rPr>
              <w:t>4%</w:t>
            </w:r>
          </w:p>
        </w:tc>
      </w:tr>
      <w:tr w:rsidR="0009360C" w:rsidRPr="009833C5" w14:paraId="30C2EDB1" w14:textId="77777777" w:rsidTr="0009360C">
        <w:trPr>
          <w:trHeight w:val="300"/>
        </w:trPr>
        <w:tc>
          <w:tcPr>
            <w:tcW w:w="3705" w:type="dxa"/>
            <w:tcBorders>
              <w:top w:val="nil"/>
              <w:left w:val="nil"/>
              <w:bottom w:val="nil"/>
              <w:right w:val="nil"/>
            </w:tcBorders>
            <w:shd w:val="clear" w:color="auto" w:fill="auto"/>
            <w:noWrap/>
            <w:vAlign w:val="bottom"/>
            <w:hideMark/>
          </w:tcPr>
          <w:p w14:paraId="2BFC0AD5" w14:textId="35238C89" w:rsidR="0009360C" w:rsidRPr="009833C5" w:rsidRDefault="0009360C" w:rsidP="008845D4">
            <w:pPr>
              <w:jc w:val="right"/>
              <w:rPr>
                <w:rFonts w:eastAsia="Times New Roman" w:cs="Times New Roman"/>
                <w:color w:val="000000"/>
                <w:szCs w:val="20"/>
              </w:rPr>
            </w:pPr>
            <w:proofErr w:type="spellStart"/>
            <w:r w:rsidRPr="009833C5">
              <w:rPr>
                <w:rFonts w:eastAsia="Times New Roman" w:cs="Times New Roman"/>
                <w:color w:val="000000"/>
                <w:szCs w:val="20"/>
              </w:rPr>
              <w:t>iMedPub</w:t>
            </w:r>
            <w:proofErr w:type="spellEnd"/>
            <w:r w:rsidR="00E81685" w:rsidRPr="009833C5">
              <w:rPr>
                <w:rFonts w:eastAsia="Times New Roman" w:cs="Times New Roman"/>
                <w:color w:val="000000"/>
                <w:szCs w:val="20"/>
              </w:rPr>
              <w:t xml:space="preserve"> (</w:t>
            </w:r>
            <w:r w:rsidR="002A3F2F" w:rsidRPr="009833C5">
              <w:rPr>
                <w:rFonts w:eastAsia="Times New Roman" w:cs="Times New Roman"/>
                <w:color w:val="000000"/>
                <w:szCs w:val="20"/>
              </w:rPr>
              <w:t>7)</w:t>
            </w:r>
          </w:p>
        </w:tc>
        <w:tc>
          <w:tcPr>
            <w:tcW w:w="765" w:type="dxa"/>
            <w:tcBorders>
              <w:top w:val="nil"/>
              <w:left w:val="nil"/>
              <w:bottom w:val="nil"/>
              <w:right w:val="nil"/>
            </w:tcBorders>
            <w:shd w:val="clear" w:color="auto" w:fill="auto"/>
            <w:noWrap/>
            <w:vAlign w:val="bottom"/>
            <w:hideMark/>
          </w:tcPr>
          <w:p w14:paraId="7F385FDF" w14:textId="77777777" w:rsidR="0009360C" w:rsidRPr="009833C5" w:rsidRDefault="0009360C" w:rsidP="008845D4">
            <w:pPr>
              <w:jc w:val="right"/>
              <w:rPr>
                <w:rFonts w:eastAsia="Times New Roman" w:cs="Times New Roman"/>
                <w:color w:val="000000"/>
                <w:szCs w:val="20"/>
              </w:rPr>
            </w:pPr>
            <w:r w:rsidRPr="009833C5">
              <w:rPr>
                <w:rFonts w:eastAsia="Times New Roman" w:cs="Times New Roman"/>
                <w:color w:val="000000"/>
                <w:szCs w:val="20"/>
              </w:rPr>
              <w:t>15%</w:t>
            </w:r>
          </w:p>
        </w:tc>
      </w:tr>
      <w:tr w:rsidR="0009360C" w:rsidRPr="009833C5" w14:paraId="6855A941" w14:textId="77777777" w:rsidTr="0009360C">
        <w:trPr>
          <w:trHeight w:val="300"/>
        </w:trPr>
        <w:tc>
          <w:tcPr>
            <w:tcW w:w="3705" w:type="dxa"/>
            <w:tcBorders>
              <w:top w:val="nil"/>
              <w:left w:val="nil"/>
              <w:bottom w:val="nil"/>
              <w:right w:val="nil"/>
            </w:tcBorders>
            <w:shd w:val="clear" w:color="auto" w:fill="auto"/>
            <w:noWrap/>
            <w:vAlign w:val="bottom"/>
            <w:hideMark/>
          </w:tcPr>
          <w:p w14:paraId="4125668F" w14:textId="5C76FC6C" w:rsidR="0009360C" w:rsidRPr="009833C5" w:rsidRDefault="002A3F2F" w:rsidP="008845D4">
            <w:pPr>
              <w:ind w:left="-363"/>
              <w:jc w:val="right"/>
              <w:rPr>
                <w:rFonts w:eastAsia="Times New Roman" w:cs="Times New Roman"/>
                <w:color w:val="000000"/>
                <w:szCs w:val="20"/>
              </w:rPr>
            </w:pPr>
            <w:r w:rsidRPr="009833C5">
              <w:rPr>
                <w:rFonts w:eastAsia="Times New Roman" w:cs="Times New Roman"/>
                <w:color w:val="000000"/>
                <w:szCs w:val="20"/>
              </w:rPr>
              <w:t xml:space="preserve">International Union </w:t>
            </w:r>
            <w:r w:rsidR="0009360C" w:rsidRPr="009833C5">
              <w:rPr>
                <w:rFonts w:eastAsia="Times New Roman" w:cs="Times New Roman"/>
                <w:color w:val="000000"/>
                <w:szCs w:val="20"/>
              </w:rPr>
              <w:t>Crystallography</w:t>
            </w:r>
            <w:r w:rsidRPr="009833C5">
              <w:rPr>
                <w:rFonts w:eastAsia="Times New Roman" w:cs="Times New Roman"/>
                <w:color w:val="000000"/>
                <w:szCs w:val="20"/>
              </w:rPr>
              <w:t xml:space="preserve"> (4)</w:t>
            </w:r>
          </w:p>
        </w:tc>
        <w:tc>
          <w:tcPr>
            <w:tcW w:w="765" w:type="dxa"/>
            <w:tcBorders>
              <w:top w:val="nil"/>
              <w:left w:val="nil"/>
              <w:bottom w:val="nil"/>
              <w:right w:val="nil"/>
            </w:tcBorders>
            <w:shd w:val="clear" w:color="auto" w:fill="auto"/>
            <w:noWrap/>
            <w:vAlign w:val="bottom"/>
            <w:hideMark/>
          </w:tcPr>
          <w:p w14:paraId="52DC4BD2" w14:textId="77777777" w:rsidR="0009360C" w:rsidRPr="009833C5" w:rsidRDefault="0009360C" w:rsidP="008845D4">
            <w:pPr>
              <w:jc w:val="right"/>
              <w:rPr>
                <w:rFonts w:eastAsia="Times New Roman" w:cs="Times New Roman"/>
                <w:color w:val="000000"/>
                <w:szCs w:val="20"/>
              </w:rPr>
            </w:pPr>
            <w:r w:rsidRPr="009833C5">
              <w:rPr>
                <w:rFonts w:eastAsia="Times New Roman" w:cs="Times New Roman"/>
                <w:color w:val="000000"/>
                <w:szCs w:val="20"/>
              </w:rPr>
              <w:t>8%</w:t>
            </w:r>
          </w:p>
        </w:tc>
      </w:tr>
      <w:tr w:rsidR="0009360C" w:rsidRPr="009833C5" w14:paraId="096ABA8A" w14:textId="77777777" w:rsidTr="0009360C">
        <w:trPr>
          <w:trHeight w:val="300"/>
        </w:trPr>
        <w:tc>
          <w:tcPr>
            <w:tcW w:w="3705" w:type="dxa"/>
            <w:tcBorders>
              <w:top w:val="nil"/>
              <w:left w:val="nil"/>
              <w:bottom w:val="nil"/>
              <w:right w:val="nil"/>
            </w:tcBorders>
            <w:shd w:val="clear" w:color="auto" w:fill="auto"/>
            <w:noWrap/>
            <w:vAlign w:val="bottom"/>
            <w:hideMark/>
          </w:tcPr>
          <w:p w14:paraId="394B0705" w14:textId="5BBE96F2" w:rsidR="0009360C" w:rsidRPr="009833C5" w:rsidRDefault="0009360C" w:rsidP="008845D4">
            <w:pPr>
              <w:jc w:val="right"/>
              <w:rPr>
                <w:rFonts w:eastAsia="Times New Roman" w:cs="Times New Roman"/>
                <w:color w:val="000000"/>
                <w:szCs w:val="20"/>
              </w:rPr>
            </w:pPr>
            <w:r w:rsidRPr="009833C5">
              <w:rPr>
                <w:rFonts w:eastAsia="Times New Roman" w:cs="Times New Roman"/>
                <w:color w:val="000000"/>
                <w:szCs w:val="20"/>
              </w:rPr>
              <w:t>PLOS</w:t>
            </w:r>
            <w:r w:rsidR="002A3F2F" w:rsidRPr="009833C5">
              <w:rPr>
                <w:rFonts w:eastAsia="Times New Roman" w:cs="Times New Roman"/>
                <w:color w:val="000000"/>
                <w:szCs w:val="20"/>
              </w:rPr>
              <w:t xml:space="preserve"> (13)</w:t>
            </w:r>
          </w:p>
        </w:tc>
        <w:tc>
          <w:tcPr>
            <w:tcW w:w="765" w:type="dxa"/>
            <w:tcBorders>
              <w:top w:val="nil"/>
              <w:left w:val="nil"/>
              <w:bottom w:val="nil"/>
              <w:right w:val="nil"/>
            </w:tcBorders>
            <w:shd w:val="clear" w:color="auto" w:fill="auto"/>
            <w:noWrap/>
            <w:vAlign w:val="bottom"/>
            <w:hideMark/>
          </w:tcPr>
          <w:p w14:paraId="0E590D95" w14:textId="77777777" w:rsidR="0009360C" w:rsidRPr="009833C5" w:rsidRDefault="0009360C" w:rsidP="008845D4">
            <w:pPr>
              <w:jc w:val="right"/>
              <w:rPr>
                <w:rFonts w:eastAsia="Times New Roman" w:cs="Times New Roman"/>
                <w:color w:val="000000"/>
                <w:szCs w:val="20"/>
              </w:rPr>
            </w:pPr>
            <w:r w:rsidRPr="009833C5">
              <w:rPr>
                <w:rFonts w:eastAsia="Times New Roman" w:cs="Times New Roman"/>
                <w:color w:val="000000"/>
                <w:szCs w:val="20"/>
              </w:rPr>
              <w:t>29%</w:t>
            </w:r>
          </w:p>
        </w:tc>
      </w:tr>
      <w:tr w:rsidR="0009360C" w:rsidRPr="009833C5" w14:paraId="6457B634" w14:textId="77777777" w:rsidTr="0009360C">
        <w:trPr>
          <w:trHeight w:val="300"/>
        </w:trPr>
        <w:tc>
          <w:tcPr>
            <w:tcW w:w="3705" w:type="dxa"/>
            <w:tcBorders>
              <w:top w:val="nil"/>
              <w:left w:val="nil"/>
              <w:bottom w:val="nil"/>
              <w:right w:val="nil"/>
            </w:tcBorders>
            <w:shd w:val="clear" w:color="auto" w:fill="auto"/>
            <w:vAlign w:val="bottom"/>
            <w:hideMark/>
          </w:tcPr>
          <w:p w14:paraId="5E82F674" w14:textId="7A2F541F" w:rsidR="0009360C" w:rsidRPr="009833C5" w:rsidRDefault="0009360C" w:rsidP="008845D4">
            <w:pPr>
              <w:jc w:val="right"/>
              <w:rPr>
                <w:rFonts w:eastAsia="Times New Roman" w:cs="Times New Roman"/>
                <w:color w:val="000000"/>
                <w:szCs w:val="20"/>
              </w:rPr>
            </w:pPr>
            <w:r w:rsidRPr="009833C5">
              <w:rPr>
                <w:rFonts w:eastAsia="Times New Roman" w:cs="Times New Roman"/>
                <w:color w:val="000000"/>
                <w:szCs w:val="20"/>
              </w:rPr>
              <w:t>Springer</w:t>
            </w:r>
            <w:r w:rsidR="00B16F93" w:rsidRPr="009833C5">
              <w:rPr>
                <w:rFonts w:eastAsia="Times New Roman" w:cs="Times New Roman"/>
                <w:color w:val="000000"/>
                <w:szCs w:val="20"/>
              </w:rPr>
              <w:t xml:space="preserve"> (2)</w:t>
            </w:r>
          </w:p>
        </w:tc>
        <w:tc>
          <w:tcPr>
            <w:tcW w:w="765" w:type="dxa"/>
            <w:tcBorders>
              <w:top w:val="nil"/>
              <w:left w:val="nil"/>
              <w:bottom w:val="nil"/>
              <w:right w:val="nil"/>
            </w:tcBorders>
            <w:shd w:val="clear" w:color="auto" w:fill="auto"/>
            <w:noWrap/>
            <w:vAlign w:val="bottom"/>
            <w:hideMark/>
          </w:tcPr>
          <w:p w14:paraId="6135B46D" w14:textId="77777777" w:rsidR="0009360C" w:rsidRPr="009833C5" w:rsidRDefault="0009360C" w:rsidP="008845D4">
            <w:pPr>
              <w:jc w:val="right"/>
              <w:rPr>
                <w:rFonts w:eastAsia="Times New Roman" w:cs="Times New Roman"/>
                <w:color w:val="000000"/>
                <w:szCs w:val="20"/>
              </w:rPr>
            </w:pPr>
            <w:r w:rsidRPr="009833C5">
              <w:rPr>
                <w:rFonts w:eastAsia="Times New Roman" w:cs="Times New Roman"/>
                <w:color w:val="000000"/>
                <w:szCs w:val="20"/>
              </w:rPr>
              <w:t>4%</w:t>
            </w:r>
          </w:p>
        </w:tc>
      </w:tr>
      <w:tr w:rsidR="0009360C" w:rsidRPr="009833C5" w14:paraId="76B3FADE" w14:textId="77777777" w:rsidTr="0009360C">
        <w:trPr>
          <w:trHeight w:val="300"/>
        </w:trPr>
        <w:tc>
          <w:tcPr>
            <w:tcW w:w="3705" w:type="dxa"/>
            <w:tcBorders>
              <w:top w:val="nil"/>
              <w:left w:val="nil"/>
              <w:bottom w:val="nil"/>
              <w:right w:val="nil"/>
            </w:tcBorders>
            <w:shd w:val="clear" w:color="auto" w:fill="auto"/>
            <w:noWrap/>
            <w:vAlign w:val="bottom"/>
            <w:hideMark/>
          </w:tcPr>
          <w:p w14:paraId="13F5C55B" w14:textId="76FFB58E" w:rsidR="0009360C" w:rsidRPr="009833C5" w:rsidRDefault="0009360C" w:rsidP="008845D4">
            <w:pPr>
              <w:jc w:val="right"/>
              <w:rPr>
                <w:rFonts w:eastAsia="Times New Roman" w:cs="Times New Roman"/>
                <w:color w:val="000000"/>
                <w:szCs w:val="20"/>
              </w:rPr>
            </w:pPr>
            <w:r w:rsidRPr="009833C5">
              <w:rPr>
                <w:rFonts w:eastAsia="Times New Roman" w:cs="Times New Roman"/>
                <w:color w:val="000000"/>
                <w:szCs w:val="20"/>
              </w:rPr>
              <w:t>Wiley</w:t>
            </w:r>
            <w:r w:rsidR="00B16F93" w:rsidRPr="009833C5">
              <w:rPr>
                <w:rFonts w:eastAsia="Times New Roman" w:cs="Times New Roman"/>
                <w:color w:val="000000"/>
                <w:szCs w:val="20"/>
              </w:rPr>
              <w:t xml:space="preserve"> (2)</w:t>
            </w:r>
          </w:p>
        </w:tc>
        <w:tc>
          <w:tcPr>
            <w:tcW w:w="765" w:type="dxa"/>
            <w:tcBorders>
              <w:top w:val="nil"/>
              <w:left w:val="nil"/>
              <w:bottom w:val="single" w:sz="4" w:space="0" w:color="auto"/>
              <w:right w:val="nil"/>
            </w:tcBorders>
            <w:shd w:val="clear" w:color="auto" w:fill="auto"/>
            <w:noWrap/>
            <w:vAlign w:val="bottom"/>
            <w:hideMark/>
          </w:tcPr>
          <w:p w14:paraId="56A0ED14" w14:textId="77777777" w:rsidR="0009360C" w:rsidRPr="009833C5" w:rsidRDefault="0009360C" w:rsidP="008845D4">
            <w:pPr>
              <w:jc w:val="right"/>
              <w:rPr>
                <w:rFonts w:eastAsia="Times New Roman" w:cs="Times New Roman"/>
                <w:color w:val="000000"/>
                <w:szCs w:val="20"/>
              </w:rPr>
            </w:pPr>
            <w:r w:rsidRPr="009833C5">
              <w:rPr>
                <w:rFonts w:eastAsia="Times New Roman" w:cs="Times New Roman"/>
                <w:color w:val="000000"/>
                <w:szCs w:val="20"/>
              </w:rPr>
              <w:t>4%</w:t>
            </w:r>
          </w:p>
        </w:tc>
      </w:tr>
      <w:tr w:rsidR="0009360C" w:rsidRPr="009833C5" w14:paraId="0EFA95CD" w14:textId="77777777" w:rsidTr="0009360C">
        <w:trPr>
          <w:trHeight w:val="300"/>
        </w:trPr>
        <w:tc>
          <w:tcPr>
            <w:tcW w:w="3705" w:type="dxa"/>
            <w:tcBorders>
              <w:top w:val="nil"/>
              <w:left w:val="nil"/>
              <w:bottom w:val="nil"/>
              <w:right w:val="nil"/>
            </w:tcBorders>
            <w:shd w:val="clear" w:color="auto" w:fill="auto"/>
            <w:noWrap/>
            <w:vAlign w:val="bottom"/>
            <w:hideMark/>
          </w:tcPr>
          <w:p w14:paraId="71AC1859" w14:textId="77777777" w:rsidR="0009360C" w:rsidRPr="009833C5" w:rsidRDefault="0009360C" w:rsidP="008845D4">
            <w:pPr>
              <w:rPr>
                <w:rFonts w:eastAsia="Times New Roman" w:cs="Times New Roman"/>
                <w:color w:val="000000"/>
                <w:szCs w:val="20"/>
              </w:rPr>
            </w:pPr>
          </w:p>
        </w:tc>
        <w:tc>
          <w:tcPr>
            <w:tcW w:w="765" w:type="dxa"/>
            <w:tcBorders>
              <w:top w:val="nil"/>
              <w:left w:val="nil"/>
              <w:bottom w:val="nil"/>
              <w:right w:val="nil"/>
            </w:tcBorders>
            <w:shd w:val="clear" w:color="auto" w:fill="auto"/>
            <w:noWrap/>
            <w:vAlign w:val="bottom"/>
            <w:hideMark/>
          </w:tcPr>
          <w:p w14:paraId="722EF85A" w14:textId="77777777" w:rsidR="0009360C" w:rsidRPr="009833C5" w:rsidRDefault="0009360C" w:rsidP="008845D4">
            <w:pPr>
              <w:jc w:val="right"/>
              <w:rPr>
                <w:rFonts w:eastAsia="Times New Roman" w:cs="Times New Roman"/>
                <w:color w:val="000000"/>
                <w:szCs w:val="20"/>
              </w:rPr>
            </w:pPr>
            <w:r w:rsidRPr="009833C5">
              <w:rPr>
                <w:rFonts w:eastAsia="Times New Roman" w:cs="Times New Roman"/>
                <w:color w:val="000000"/>
                <w:szCs w:val="20"/>
              </w:rPr>
              <w:t>85%</w:t>
            </w:r>
          </w:p>
        </w:tc>
      </w:tr>
      <w:tr w:rsidR="0009360C" w:rsidRPr="009833C5" w14:paraId="7CD2006A" w14:textId="77777777" w:rsidTr="0009360C">
        <w:trPr>
          <w:trHeight w:val="300"/>
        </w:trPr>
        <w:tc>
          <w:tcPr>
            <w:tcW w:w="3705" w:type="dxa"/>
            <w:tcBorders>
              <w:top w:val="nil"/>
              <w:left w:val="nil"/>
              <w:bottom w:val="nil"/>
              <w:right w:val="nil"/>
            </w:tcBorders>
            <w:shd w:val="clear" w:color="auto" w:fill="auto"/>
            <w:noWrap/>
            <w:vAlign w:val="bottom"/>
            <w:hideMark/>
          </w:tcPr>
          <w:p w14:paraId="3E518BC0" w14:textId="77777777" w:rsidR="0009360C" w:rsidRPr="009833C5" w:rsidRDefault="0009360C" w:rsidP="008845D4">
            <w:pPr>
              <w:rPr>
                <w:rFonts w:eastAsia="Times New Roman" w:cs="Times New Roman"/>
                <w:color w:val="000000"/>
                <w:szCs w:val="20"/>
              </w:rPr>
            </w:pPr>
          </w:p>
        </w:tc>
        <w:tc>
          <w:tcPr>
            <w:tcW w:w="765" w:type="dxa"/>
            <w:tcBorders>
              <w:top w:val="nil"/>
              <w:left w:val="nil"/>
              <w:bottom w:val="nil"/>
              <w:right w:val="nil"/>
            </w:tcBorders>
            <w:shd w:val="clear" w:color="auto" w:fill="auto"/>
            <w:noWrap/>
            <w:vAlign w:val="bottom"/>
            <w:hideMark/>
          </w:tcPr>
          <w:p w14:paraId="596B1A04" w14:textId="77777777" w:rsidR="0009360C" w:rsidRPr="009833C5" w:rsidRDefault="0009360C" w:rsidP="008845D4">
            <w:pPr>
              <w:rPr>
                <w:rFonts w:eastAsia="Times New Roman" w:cs="Times New Roman"/>
                <w:color w:val="000000"/>
                <w:szCs w:val="20"/>
              </w:rPr>
            </w:pPr>
          </w:p>
        </w:tc>
      </w:tr>
    </w:tbl>
    <w:p w14:paraId="1F66D11B" w14:textId="77777777" w:rsidR="0009360C" w:rsidRPr="009833C5" w:rsidRDefault="0009360C" w:rsidP="008845D4">
      <w:pPr>
        <w:rPr>
          <w:szCs w:val="20"/>
        </w:rPr>
      </w:pPr>
    </w:p>
    <w:tbl>
      <w:tblPr>
        <w:tblW w:w="4470" w:type="dxa"/>
        <w:tblInd w:w="93" w:type="dxa"/>
        <w:tblLayout w:type="fixed"/>
        <w:tblLook w:val="04A0" w:firstRow="1" w:lastRow="0" w:firstColumn="1" w:lastColumn="0" w:noHBand="0" w:noVBand="1"/>
      </w:tblPr>
      <w:tblGrid>
        <w:gridCol w:w="3705"/>
        <w:gridCol w:w="765"/>
      </w:tblGrid>
      <w:tr w:rsidR="0009360C" w:rsidRPr="009833C5" w14:paraId="6C23B777" w14:textId="77777777" w:rsidTr="0009360C">
        <w:trPr>
          <w:trHeight w:val="300"/>
        </w:trPr>
        <w:tc>
          <w:tcPr>
            <w:tcW w:w="4470" w:type="dxa"/>
            <w:gridSpan w:val="2"/>
            <w:tcBorders>
              <w:top w:val="nil"/>
              <w:left w:val="nil"/>
              <w:bottom w:val="nil"/>
              <w:right w:val="nil"/>
            </w:tcBorders>
            <w:shd w:val="clear" w:color="auto" w:fill="auto"/>
            <w:noWrap/>
            <w:vAlign w:val="bottom"/>
            <w:hideMark/>
          </w:tcPr>
          <w:p w14:paraId="4670B02E" w14:textId="1BC9B7BF" w:rsidR="0009360C" w:rsidRPr="009833C5" w:rsidRDefault="00173F82" w:rsidP="00173F82">
            <w:pPr>
              <w:jc w:val="right"/>
              <w:rPr>
                <w:rFonts w:eastAsia="Times New Roman" w:cs="Times New Roman"/>
                <w:b/>
                <w:color w:val="000000"/>
                <w:szCs w:val="20"/>
                <w:u w:val="single"/>
              </w:rPr>
            </w:pPr>
            <w:r>
              <w:rPr>
                <w:rFonts w:eastAsia="Times New Roman" w:cs="Times New Roman"/>
                <w:b/>
                <w:color w:val="000000"/>
                <w:szCs w:val="20"/>
                <w:u w:val="single"/>
              </w:rPr>
              <w:t xml:space="preserve">Journals with </w:t>
            </w:r>
            <w:r w:rsidR="0009360C" w:rsidRPr="009833C5">
              <w:rPr>
                <w:rFonts w:eastAsia="Times New Roman" w:cs="Times New Roman"/>
                <w:b/>
                <w:color w:val="000000"/>
                <w:szCs w:val="20"/>
                <w:u w:val="single"/>
              </w:rPr>
              <w:t xml:space="preserve">Multiple </w:t>
            </w:r>
            <w:r w:rsidR="00A94393">
              <w:rPr>
                <w:rFonts w:eastAsia="Times New Roman" w:cs="Times New Roman"/>
                <w:b/>
                <w:color w:val="000000"/>
                <w:szCs w:val="20"/>
                <w:u w:val="single"/>
              </w:rPr>
              <w:t xml:space="preserve">Funded </w:t>
            </w:r>
            <w:r w:rsidR="0009360C" w:rsidRPr="009833C5">
              <w:rPr>
                <w:rFonts w:eastAsia="Times New Roman" w:cs="Times New Roman"/>
                <w:b/>
                <w:color w:val="000000"/>
                <w:szCs w:val="20"/>
                <w:u w:val="single"/>
              </w:rPr>
              <w:t xml:space="preserve">Articles </w:t>
            </w:r>
          </w:p>
        </w:tc>
      </w:tr>
      <w:tr w:rsidR="0009360C" w:rsidRPr="009833C5" w14:paraId="55F0F45A" w14:textId="77777777" w:rsidTr="0009360C">
        <w:trPr>
          <w:trHeight w:val="300"/>
        </w:trPr>
        <w:tc>
          <w:tcPr>
            <w:tcW w:w="3705" w:type="dxa"/>
            <w:tcBorders>
              <w:top w:val="nil"/>
              <w:left w:val="nil"/>
              <w:bottom w:val="nil"/>
              <w:right w:val="nil"/>
            </w:tcBorders>
            <w:shd w:val="clear" w:color="auto" w:fill="auto"/>
            <w:noWrap/>
            <w:vAlign w:val="bottom"/>
            <w:hideMark/>
          </w:tcPr>
          <w:p w14:paraId="31423982" w14:textId="1127D494" w:rsidR="0009360C" w:rsidRPr="009833C5" w:rsidRDefault="0009360C" w:rsidP="008845D4">
            <w:pPr>
              <w:jc w:val="right"/>
              <w:rPr>
                <w:rFonts w:eastAsia="Times New Roman" w:cs="Times New Roman"/>
                <w:color w:val="000000"/>
                <w:szCs w:val="20"/>
              </w:rPr>
            </w:pPr>
            <w:proofErr w:type="spellStart"/>
            <w:r w:rsidRPr="009833C5">
              <w:rPr>
                <w:rFonts w:eastAsia="Times New Roman" w:cs="Times New Roman"/>
                <w:color w:val="000000"/>
                <w:szCs w:val="20"/>
              </w:rPr>
              <w:t>Acta</w:t>
            </w:r>
            <w:proofErr w:type="spellEnd"/>
            <w:r w:rsidRPr="009833C5">
              <w:rPr>
                <w:rFonts w:eastAsia="Times New Roman" w:cs="Times New Roman"/>
                <w:color w:val="000000"/>
                <w:szCs w:val="20"/>
              </w:rPr>
              <w:t xml:space="preserve"> </w:t>
            </w:r>
            <w:proofErr w:type="spellStart"/>
            <w:r w:rsidRPr="009833C5">
              <w:rPr>
                <w:rFonts w:eastAsia="Times New Roman" w:cs="Times New Roman"/>
                <w:color w:val="000000"/>
                <w:szCs w:val="20"/>
              </w:rPr>
              <w:t>Crystallographica</w:t>
            </w:r>
            <w:proofErr w:type="spellEnd"/>
            <w:r w:rsidRPr="009833C5">
              <w:rPr>
                <w:rFonts w:eastAsia="Times New Roman" w:cs="Times New Roman"/>
                <w:color w:val="000000"/>
                <w:szCs w:val="20"/>
              </w:rPr>
              <w:t xml:space="preserve"> E</w:t>
            </w:r>
            <w:r w:rsidR="005B4A1D" w:rsidRPr="009833C5">
              <w:rPr>
                <w:rFonts w:eastAsia="Times New Roman" w:cs="Times New Roman"/>
                <w:color w:val="000000"/>
                <w:szCs w:val="20"/>
              </w:rPr>
              <w:t xml:space="preserve"> (4)</w:t>
            </w:r>
          </w:p>
        </w:tc>
        <w:tc>
          <w:tcPr>
            <w:tcW w:w="765" w:type="dxa"/>
            <w:tcBorders>
              <w:top w:val="nil"/>
              <w:left w:val="nil"/>
              <w:bottom w:val="nil"/>
              <w:right w:val="nil"/>
            </w:tcBorders>
            <w:shd w:val="clear" w:color="auto" w:fill="auto"/>
            <w:noWrap/>
            <w:vAlign w:val="bottom"/>
            <w:hideMark/>
          </w:tcPr>
          <w:p w14:paraId="54A4EBA5" w14:textId="77777777" w:rsidR="0009360C" w:rsidRPr="009833C5" w:rsidRDefault="0009360C" w:rsidP="008845D4">
            <w:pPr>
              <w:jc w:val="right"/>
              <w:rPr>
                <w:rFonts w:eastAsia="Times New Roman" w:cs="Times New Roman"/>
                <w:color w:val="000000"/>
                <w:szCs w:val="20"/>
              </w:rPr>
            </w:pPr>
            <w:r w:rsidRPr="009833C5">
              <w:rPr>
                <w:rFonts w:eastAsia="Times New Roman" w:cs="Times New Roman"/>
                <w:color w:val="000000"/>
                <w:szCs w:val="20"/>
              </w:rPr>
              <w:t>8%</w:t>
            </w:r>
          </w:p>
        </w:tc>
      </w:tr>
      <w:tr w:rsidR="0009360C" w:rsidRPr="009833C5" w14:paraId="01A8CDC5" w14:textId="77777777" w:rsidTr="0009360C">
        <w:trPr>
          <w:trHeight w:val="300"/>
        </w:trPr>
        <w:tc>
          <w:tcPr>
            <w:tcW w:w="3705" w:type="dxa"/>
            <w:tcBorders>
              <w:top w:val="nil"/>
              <w:left w:val="nil"/>
              <w:bottom w:val="nil"/>
              <w:right w:val="nil"/>
            </w:tcBorders>
            <w:shd w:val="clear" w:color="auto" w:fill="auto"/>
            <w:noWrap/>
            <w:vAlign w:val="bottom"/>
            <w:hideMark/>
          </w:tcPr>
          <w:p w14:paraId="17DB119D" w14:textId="167618BD" w:rsidR="0009360C" w:rsidRPr="009833C5" w:rsidRDefault="0009360C" w:rsidP="008845D4">
            <w:pPr>
              <w:jc w:val="right"/>
              <w:rPr>
                <w:rFonts w:eastAsia="Times New Roman" w:cs="Times New Roman"/>
                <w:szCs w:val="20"/>
              </w:rPr>
            </w:pPr>
            <w:r w:rsidRPr="009833C5">
              <w:rPr>
                <w:rFonts w:eastAsia="Times New Roman" w:cs="Times New Roman"/>
                <w:szCs w:val="20"/>
              </w:rPr>
              <w:t>BMC Bioinformatics</w:t>
            </w:r>
            <w:r w:rsidR="00122E47" w:rsidRPr="009833C5">
              <w:rPr>
                <w:rFonts w:eastAsia="Times New Roman" w:cs="Times New Roman"/>
                <w:szCs w:val="20"/>
              </w:rPr>
              <w:t xml:space="preserve"> (2)</w:t>
            </w:r>
          </w:p>
        </w:tc>
        <w:tc>
          <w:tcPr>
            <w:tcW w:w="765" w:type="dxa"/>
            <w:tcBorders>
              <w:top w:val="nil"/>
              <w:left w:val="nil"/>
              <w:bottom w:val="nil"/>
              <w:right w:val="nil"/>
            </w:tcBorders>
            <w:shd w:val="clear" w:color="auto" w:fill="auto"/>
            <w:noWrap/>
            <w:vAlign w:val="bottom"/>
            <w:hideMark/>
          </w:tcPr>
          <w:p w14:paraId="4A3F839C" w14:textId="77777777" w:rsidR="0009360C" w:rsidRPr="009833C5" w:rsidRDefault="0009360C" w:rsidP="008845D4">
            <w:pPr>
              <w:jc w:val="right"/>
              <w:rPr>
                <w:rFonts w:eastAsia="Times New Roman" w:cs="Times New Roman"/>
                <w:color w:val="000000"/>
                <w:szCs w:val="20"/>
              </w:rPr>
            </w:pPr>
            <w:r w:rsidRPr="009833C5">
              <w:rPr>
                <w:rFonts w:eastAsia="Times New Roman" w:cs="Times New Roman"/>
                <w:color w:val="000000"/>
                <w:szCs w:val="20"/>
              </w:rPr>
              <w:t>4%</w:t>
            </w:r>
          </w:p>
        </w:tc>
      </w:tr>
      <w:tr w:rsidR="0009360C" w:rsidRPr="009833C5" w14:paraId="70390C7B" w14:textId="77777777" w:rsidTr="0009360C">
        <w:trPr>
          <w:trHeight w:val="300"/>
        </w:trPr>
        <w:tc>
          <w:tcPr>
            <w:tcW w:w="3705" w:type="dxa"/>
            <w:tcBorders>
              <w:top w:val="nil"/>
              <w:left w:val="nil"/>
              <w:bottom w:val="nil"/>
              <w:right w:val="nil"/>
            </w:tcBorders>
            <w:shd w:val="clear" w:color="auto" w:fill="auto"/>
            <w:noWrap/>
            <w:vAlign w:val="bottom"/>
            <w:hideMark/>
          </w:tcPr>
          <w:p w14:paraId="43EAA6BA" w14:textId="4B9FC7CD" w:rsidR="0009360C" w:rsidRPr="009833C5" w:rsidRDefault="0009360C" w:rsidP="008845D4">
            <w:pPr>
              <w:jc w:val="right"/>
              <w:rPr>
                <w:rFonts w:eastAsia="Times New Roman" w:cs="Times New Roman"/>
                <w:szCs w:val="20"/>
              </w:rPr>
            </w:pPr>
            <w:r w:rsidRPr="009833C5">
              <w:rPr>
                <w:rFonts w:eastAsia="Times New Roman" w:cs="Times New Roman"/>
                <w:szCs w:val="20"/>
              </w:rPr>
              <w:t>BMC Public Health</w:t>
            </w:r>
            <w:r w:rsidR="00122E47" w:rsidRPr="009833C5">
              <w:rPr>
                <w:rFonts w:eastAsia="Times New Roman" w:cs="Times New Roman"/>
                <w:szCs w:val="20"/>
              </w:rPr>
              <w:t xml:space="preserve"> (2)</w:t>
            </w:r>
          </w:p>
        </w:tc>
        <w:tc>
          <w:tcPr>
            <w:tcW w:w="765" w:type="dxa"/>
            <w:tcBorders>
              <w:top w:val="nil"/>
              <w:left w:val="nil"/>
              <w:bottom w:val="nil"/>
              <w:right w:val="nil"/>
            </w:tcBorders>
            <w:shd w:val="clear" w:color="auto" w:fill="auto"/>
            <w:noWrap/>
            <w:vAlign w:val="bottom"/>
            <w:hideMark/>
          </w:tcPr>
          <w:p w14:paraId="1C0B1533" w14:textId="77777777" w:rsidR="0009360C" w:rsidRPr="009833C5" w:rsidRDefault="0009360C" w:rsidP="008845D4">
            <w:pPr>
              <w:jc w:val="right"/>
              <w:rPr>
                <w:rFonts w:eastAsia="Times New Roman" w:cs="Times New Roman"/>
                <w:color w:val="000000"/>
                <w:szCs w:val="20"/>
              </w:rPr>
            </w:pPr>
            <w:r w:rsidRPr="009833C5">
              <w:rPr>
                <w:rFonts w:eastAsia="Times New Roman" w:cs="Times New Roman"/>
                <w:color w:val="000000"/>
                <w:szCs w:val="20"/>
              </w:rPr>
              <w:t>4%</w:t>
            </w:r>
          </w:p>
        </w:tc>
      </w:tr>
      <w:tr w:rsidR="0009360C" w:rsidRPr="009833C5" w14:paraId="2B2D1515" w14:textId="77777777" w:rsidTr="0009360C">
        <w:trPr>
          <w:trHeight w:val="300"/>
        </w:trPr>
        <w:tc>
          <w:tcPr>
            <w:tcW w:w="3705" w:type="dxa"/>
            <w:tcBorders>
              <w:top w:val="nil"/>
              <w:left w:val="nil"/>
              <w:bottom w:val="nil"/>
              <w:right w:val="nil"/>
            </w:tcBorders>
            <w:shd w:val="clear" w:color="auto" w:fill="auto"/>
            <w:noWrap/>
            <w:vAlign w:val="bottom"/>
            <w:hideMark/>
          </w:tcPr>
          <w:p w14:paraId="57A0CB69" w14:textId="4BC0E5B4" w:rsidR="0009360C" w:rsidRPr="009833C5" w:rsidRDefault="0009360C" w:rsidP="008845D4">
            <w:pPr>
              <w:jc w:val="right"/>
              <w:rPr>
                <w:rFonts w:eastAsia="Times New Roman" w:cs="Times New Roman"/>
                <w:color w:val="000000"/>
                <w:szCs w:val="20"/>
              </w:rPr>
            </w:pPr>
            <w:r w:rsidRPr="009833C5">
              <w:rPr>
                <w:rFonts w:eastAsia="Times New Roman" w:cs="Times New Roman"/>
                <w:color w:val="000000"/>
                <w:szCs w:val="20"/>
              </w:rPr>
              <w:t>International Archives of Medicine</w:t>
            </w:r>
            <w:r w:rsidR="00122E47" w:rsidRPr="009833C5">
              <w:rPr>
                <w:rFonts w:eastAsia="Times New Roman" w:cs="Times New Roman"/>
                <w:color w:val="000000"/>
                <w:szCs w:val="20"/>
              </w:rPr>
              <w:t xml:space="preserve"> (7)</w:t>
            </w:r>
          </w:p>
        </w:tc>
        <w:tc>
          <w:tcPr>
            <w:tcW w:w="765" w:type="dxa"/>
            <w:tcBorders>
              <w:top w:val="nil"/>
              <w:left w:val="nil"/>
              <w:bottom w:val="nil"/>
              <w:right w:val="nil"/>
            </w:tcBorders>
            <w:shd w:val="clear" w:color="auto" w:fill="auto"/>
            <w:noWrap/>
            <w:vAlign w:val="bottom"/>
            <w:hideMark/>
          </w:tcPr>
          <w:p w14:paraId="4EA85761" w14:textId="77777777" w:rsidR="0009360C" w:rsidRPr="009833C5" w:rsidRDefault="0009360C" w:rsidP="008845D4">
            <w:pPr>
              <w:jc w:val="right"/>
              <w:rPr>
                <w:rFonts w:eastAsia="Times New Roman" w:cs="Times New Roman"/>
                <w:color w:val="000000"/>
                <w:szCs w:val="20"/>
              </w:rPr>
            </w:pPr>
            <w:r w:rsidRPr="009833C5">
              <w:rPr>
                <w:rFonts w:eastAsia="Times New Roman" w:cs="Times New Roman"/>
                <w:color w:val="000000"/>
                <w:szCs w:val="20"/>
              </w:rPr>
              <w:t>15%</w:t>
            </w:r>
          </w:p>
        </w:tc>
      </w:tr>
      <w:tr w:rsidR="0009360C" w:rsidRPr="009833C5" w14:paraId="238E003E" w14:textId="77777777" w:rsidTr="0009360C">
        <w:trPr>
          <w:trHeight w:val="300"/>
        </w:trPr>
        <w:tc>
          <w:tcPr>
            <w:tcW w:w="3705" w:type="dxa"/>
            <w:tcBorders>
              <w:top w:val="nil"/>
              <w:left w:val="nil"/>
              <w:bottom w:val="nil"/>
              <w:right w:val="nil"/>
            </w:tcBorders>
            <w:shd w:val="clear" w:color="auto" w:fill="auto"/>
            <w:vAlign w:val="bottom"/>
            <w:hideMark/>
          </w:tcPr>
          <w:p w14:paraId="7B8E8F3B" w14:textId="2124B471" w:rsidR="0009360C" w:rsidRPr="009833C5" w:rsidRDefault="0009360C" w:rsidP="008845D4">
            <w:pPr>
              <w:jc w:val="right"/>
              <w:rPr>
                <w:rFonts w:eastAsia="Times New Roman" w:cs="Times New Roman"/>
                <w:color w:val="000000"/>
                <w:szCs w:val="20"/>
              </w:rPr>
            </w:pPr>
            <w:r w:rsidRPr="009833C5">
              <w:rPr>
                <w:rFonts w:eastAsia="Times New Roman" w:cs="Times New Roman"/>
                <w:color w:val="000000"/>
                <w:szCs w:val="20"/>
              </w:rPr>
              <w:t>PLOS One</w:t>
            </w:r>
            <w:r w:rsidR="00122E47" w:rsidRPr="009833C5">
              <w:rPr>
                <w:rFonts w:eastAsia="Times New Roman" w:cs="Times New Roman"/>
                <w:color w:val="000000"/>
                <w:szCs w:val="20"/>
              </w:rPr>
              <w:t xml:space="preserve"> (12) </w:t>
            </w:r>
          </w:p>
        </w:tc>
        <w:tc>
          <w:tcPr>
            <w:tcW w:w="765" w:type="dxa"/>
            <w:tcBorders>
              <w:top w:val="nil"/>
              <w:left w:val="nil"/>
              <w:bottom w:val="single" w:sz="4" w:space="0" w:color="auto"/>
              <w:right w:val="nil"/>
            </w:tcBorders>
            <w:shd w:val="clear" w:color="auto" w:fill="auto"/>
            <w:noWrap/>
            <w:vAlign w:val="bottom"/>
            <w:hideMark/>
          </w:tcPr>
          <w:p w14:paraId="2719CB03" w14:textId="77777777" w:rsidR="0009360C" w:rsidRPr="009833C5" w:rsidRDefault="0009360C" w:rsidP="008845D4">
            <w:pPr>
              <w:jc w:val="right"/>
              <w:rPr>
                <w:rFonts w:eastAsia="Times New Roman" w:cs="Times New Roman"/>
                <w:color w:val="000000"/>
                <w:szCs w:val="20"/>
              </w:rPr>
            </w:pPr>
            <w:r w:rsidRPr="009833C5">
              <w:rPr>
                <w:rFonts w:eastAsia="Times New Roman" w:cs="Times New Roman"/>
                <w:color w:val="000000"/>
                <w:szCs w:val="20"/>
              </w:rPr>
              <w:t>27%</w:t>
            </w:r>
          </w:p>
        </w:tc>
      </w:tr>
      <w:tr w:rsidR="0009360C" w:rsidRPr="009833C5" w14:paraId="7BEE879D" w14:textId="77777777" w:rsidTr="0009360C">
        <w:trPr>
          <w:trHeight w:val="300"/>
        </w:trPr>
        <w:tc>
          <w:tcPr>
            <w:tcW w:w="3705" w:type="dxa"/>
            <w:tcBorders>
              <w:top w:val="nil"/>
              <w:left w:val="nil"/>
              <w:bottom w:val="nil"/>
              <w:right w:val="nil"/>
            </w:tcBorders>
            <w:shd w:val="clear" w:color="auto" w:fill="auto"/>
            <w:noWrap/>
            <w:vAlign w:val="bottom"/>
            <w:hideMark/>
          </w:tcPr>
          <w:p w14:paraId="19AC0F4F" w14:textId="77777777" w:rsidR="0009360C" w:rsidRPr="009833C5" w:rsidRDefault="0009360C" w:rsidP="008845D4">
            <w:pPr>
              <w:rPr>
                <w:rFonts w:eastAsia="Times New Roman" w:cs="Times New Roman"/>
                <w:color w:val="000000"/>
                <w:szCs w:val="20"/>
              </w:rPr>
            </w:pPr>
          </w:p>
        </w:tc>
        <w:tc>
          <w:tcPr>
            <w:tcW w:w="765" w:type="dxa"/>
            <w:tcBorders>
              <w:top w:val="nil"/>
              <w:left w:val="nil"/>
              <w:bottom w:val="nil"/>
              <w:right w:val="nil"/>
            </w:tcBorders>
            <w:shd w:val="clear" w:color="auto" w:fill="auto"/>
            <w:noWrap/>
            <w:vAlign w:val="bottom"/>
            <w:hideMark/>
          </w:tcPr>
          <w:p w14:paraId="78D419CB" w14:textId="77777777" w:rsidR="0009360C" w:rsidRPr="009833C5" w:rsidRDefault="0009360C" w:rsidP="008845D4">
            <w:pPr>
              <w:jc w:val="right"/>
              <w:rPr>
                <w:rFonts w:eastAsia="Times New Roman" w:cs="Times New Roman"/>
                <w:color w:val="000000"/>
                <w:szCs w:val="20"/>
              </w:rPr>
            </w:pPr>
            <w:r w:rsidRPr="009833C5">
              <w:rPr>
                <w:rFonts w:eastAsia="Times New Roman" w:cs="Times New Roman"/>
                <w:color w:val="000000"/>
                <w:szCs w:val="20"/>
              </w:rPr>
              <w:t>58%</w:t>
            </w:r>
          </w:p>
        </w:tc>
      </w:tr>
    </w:tbl>
    <w:p w14:paraId="08D59071" w14:textId="7460FE8A" w:rsidR="00A43401" w:rsidRPr="009833C5" w:rsidRDefault="00A43401" w:rsidP="008845D4">
      <w:pPr>
        <w:rPr>
          <w:szCs w:val="20"/>
        </w:rPr>
      </w:pPr>
    </w:p>
    <w:p w14:paraId="43152021" w14:textId="5CCCC781" w:rsidR="005555B1" w:rsidRDefault="005555B1" w:rsidP="008845D4">
      <w:pPr>
        <w:rPr>
          <w:szCs w:val="20"/>
        </w:rPr>
      </w:pPr>
    </w:p>
    <w:p w14:paraId="370E7BF3" w14:textId="77777777" w:rsidR="00FA5CAA" w:rsidRDefault="00FA5CAA" w:rsidP="008845D4">
      <w:pPr>
        <w:rPr>
          <w:szCs w:val="20"/>
        </w:rPr>
      </w:pPr>
    </w:p>
    <w:p w14:paraId="5AD7A233" w14:textId="77777777" w:rsidR="00B57D97" w:rsidRPr="009833C5" w:rsidRDefault="00B57D97" w:rsidP="008845D4">
      <w:pPr>
        <w:rPr>
          <w:szCs w:val="20"/>
        </w:rPr>
        <w:sectPr w:rsidR="00B57D97" w:rsidRPr="009833C5" w:rsidSect="0052749D">
          <w:type w:val="continuous"/>
          <w:pgSz w:w="12240" w:h="15840"/>
          <w:pgMar w:top="1440" w:right="1440" w:bottom="1440" w:left="1440" w:header="720" w:footer="720" w:gutter="0"/>
          <w:cols w:num="2" w:space="720"/>
          <w:titlePg/>
        </w:sectPr>
      </w:pPr>
    </w:p>
    <w:tbl>
      <w:tblPr>
        <w:tblW w:w="10200" w:type="dxa"/>
        <w:tblInd w:w="78" w:type="dxa"/>
        <w:tblLayout w:type="fixed"/>
        <w:tblLook w:val="0000" w:firstRow="0" w:lastRow="0" w:firstColumn="0" w:lastColumn="0" w:noHBand="0" w:noVBand="0"/>
      </w:tblPr>
      <w:tblGrid>
        <w:gridCol w:w="379"/>
        <w:gridCol w:w="101"/>
        <w:gridCol w:w="4980"/>
        <w:gridCol w:w="101"/>
        <w:gridCol w:w="2599"/>
        <w:gridCol w:w="240"/>
        <w:gridCol w:w="1699"/>
        <w:gridCol w:w="101"/>
      </w:tblGrid>
      <w:tr w:rsidR="0038267C" w:rsidRPr="009833C5" w14:paraId="38DBAE5A" w14:textId="77777777" w:rsidTr="00A7429A">
        <w:trPr>
          <w:gridAfter w:val="1"/>
          <w:wAfter w:w="101" w:type="dxa"/>
          <w:trHeight w:val="319"/>
        </w:trPr>
        <w:tc>
          <w:tcPr>
            <w:tcW w:w="379" w:type="dxa"/>
            <w:tcBorders>
              <w:top w:val="nil"/>
              <w:left w:val="nil"/>
              <w:bottom w:val="nil"/>
              <w:right w:val="nil"/>
            </w:tcBorders>
          </w:tcPr>
          <w:p w14:paraId="02556C1E" w14:textId="77777777" w:rsidR="0038267C" w:rsidRPr="009833C5" w:rsidRDefault="0038267C" w:rsidP="008845D4">
            <w:pPr>
              <w:widowControl w:val="0"/>
              <w:autoSpaceDE w:val="0"/>
              <w:autoSpaceDN w:val="0"/>
              <w:adjustRightInd w:val="0"/>
              <w:jc w:val="right"/>
              <w:rPr>
                <w:rFonts w:cs="Calibri"/>
                <w:color w:val="000000"/>
                <w:szCs w:val="20"/>
              </w:rPr>
            </w:pPr>
          </w:p>
        </w:tc>
        <w:tc>
          <w:tcPr>
            <w:tcW w:w="5081" w:type="dxa"/>
            <w:gridSpan w:val="2"/>
            <w:tcBorders>
              <w:top w:val="single" w:sz="6" w:space="0" w:color="auto"/>
              <w:left w:val="nil"/>
              <w:bottom w:val="double" w:sz="6" w:space="0" w:color="auto"/>
              <w:right w:val="nil"/>
            </w:tcBorders>
          </w:tcPr>
          <w:p w14:paraId="22215D98" w14:textId="1A13A694" w:rsidR="0038267C" w:rsidRPr="009833C5" w:rsidRDefault="00B53D4D" w:rsidP="008845D4">
            <w:pPr>
              <w:widowControl w:val="0"/>
              <w:autoSpaceDE w:val="0"/>
              <w:autoSpaceDN w:val="0"/>
              <w:adjustRightInd w:val="0"/>
              <w:rPr>
                <w:rFonts w:cs="Arial"/>
                <w:color w:val="000000"/>
                <w:szCs w:val="20"/>
              </w:rPr>
            </w:pPr>
            <w:r>
              <w:rPr>
                <w:rFonts w:cs="Arial"/>
                <w:color w:val="000000"/>
                <w:szCs w:val="20"/>
              </w:rPr>
              <w:t xml:space="preserve">Funded </w:t>
            </w:r>
            <w:r w:rsidR="0038267C" w:rsidRPr="009833C5">
              <w:rPr>
                <w:rFonts w:cs="Arial"/>
                <w:color w:val="000000"/>
                <w:szCs w:val="20"/>
              </w:rPr>
              <w:t>Article</w:t>
            </w:r>
          </w:p>
        </w:tc>
        <w:tc>
          <w:tcPr>
            <w:tcW w:w="2700" w:type="dxa"/>
            <w:gridSpan w:val="2"/>
            <w:tcBorders>
              <w:top w:val="single" w:sz="6" w:space="0" w:color="auto"/>
              <w:left w:val="nil"/>
              <w:bottom w:val="double" w:sz="6" w:space="0" w:color="auto"/>
              <w:right w:val="nil"/>
            </w:tcBorders>
          </w:tcPr>
          <w:p w14:paraId="75104784"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Journal</w:t>
            </w:r>
          </w:p>
        </w:tc>
        <w:tc>
          <w:tcPr>
            <w:tcW w:w="1939" w:type="dxa"/>
            <w:gridSpan w:val="2"/>
            <w:tcBorders>
              <w:top w:val="single" w:sz="6" w:space="0" w:color="auto"/>
              <w:left w:val="nil"/>
              <w:bottom w:val="double" w:sz="6" w:space="0" w:color="auto"/>
              <w:right w:val="nil"/>
            </w:tcBorders>
          </w:tcPr>
          <w:p w14:paraId="0C9485BF"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Publisher</w:t>
            </w:r>
          </w:p>
        </w:tc>
      </w:tr>
      <w:tr w:rsidR="0038267C" w:rsidRPr="009833C5" w14:paraId="622B8B81" w14:textId="77777777" w:rsidTr="00A7429A">
        <w:trPr>
          <w:trHeight w:val="998"/>
        </w:trPr>
        <w:tc>
          <w:tcPr>
            <w:tcW w:w="480" w:type="dxa"/>
            <w:gridSpan w:val="2"/>
            <w:tcBorders>
              <w:top w:val="nil"/>
              <w:left w:val="nil"/>
              <w:bottom w:val="nil"/>
              <w:right w:val="nil"/>
            </w:tcBorders>
          </w:tcPr>
          <w:p w14:paraId="5EBC94DA"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1</w:t>
            </w:r>
          </w:p>
        </w:tc>
        <w:tc>
          <w:tcPr>
            <w:tcW w:w="5081" w:type="dxa"/>
            <w:gridSpan w:val="2"/>
            <w:tcBorders>
              <w:top w:val="nil"/>
              <w:left w:val="nil"/>
              <w:bottom w:val="nil"/>
              <w:right w:val="nil"/>
            </w:tcBorders>
          </w:tcPr>
          <w:p w14:paraId="03A74717"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Privacy-Preserving Scanning of Big Content for Sensitive Data Exposure with MapReduce</w:t>
            </w:r>
          </w:p>
        </w:tc>
        <w:tc>
          <w:tcPr>
            <w:tcW w:w="2839" w:type="dxa"/>
            <w:gridSpan w:val="2"/>
            <w:tcBorders>
              <w:top w:val="nil"/>
              <w:left w:val="nil"/>
              <w:bottom w:val="nil"/>
              <w:right w:val="nil"/>
            </w:tcBorders>
          </w:tcPr>
          <w:p w14:paraId="435EF34E" w14:textId="5F4348EA"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Proceeding</w:t>
            </w:r>
            <w:r w:rsidR="008116B0" w:rsidRPr="009833C5">
              <w:rPr>
                <w:rFonts w:cs="Arial"/>
                <w:color w:val="000000"/>
                <w:szCs w:val="20"/>
              </w:rPr>
              <w:t>s</w:t>
            </w:r>
            <w:r w:rsidRPr="009833C5">
              <w:rPr>
                <w:rFonts w:cs="Arial"/>
                <w:color w:val="000000"/>
                <w:szCs w:val="20"/>
              </w:rPr>
              <w:t xml:space="preserve"> - CODASPY'15: Fifth ACM Conference on Data and Application Security and Privacy</w:t>
            </w:r>
          </w:p>
        </w:tc>
        <w:tc>
          <w:tcPr>
            <w:tcW w:w="1800" w:type="dxa"/>
            <w:gridSpan w:val="2"/>
            <w:tcBorders>
              <w:top w:val="nil"/>
              <w:left w:val="nil"/>
              <w:bottom w:val="nil"/>
              <w:right w:val="nil"/>
            </w:tcBorders>
          </w:tcPr>
          <w:p w14:paraId="2CA8C8C9"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ACM</w:t>
            </w:r>
          </w:p>
        </w:tc>
      </w:tr>
      <w:tr w:rsidR="0038267C" w:rsidRPr="009833C5" w14:paraId="6190F457" w14:textId="77777777" w:rsidTr="00A7429A">
        <w:trPr>
          <w:trHeight w:val="739"/>
        </w:trPr>
        <w:tc>
          <w:tcPr>
            <w:tcW w:w="480" w:type="dxa"/>
            <w:gridSpan w:val="2"/>
            <w:tcBorders>
              <w:top w:val="nil"/>
              <w:left w:val="nil"/>
              <w:bottom w:val="nil"/>
              <w:right w:val="nil"/>
            </w:tcBorders>
          </w:tcPr>
          <w:p w14:paraId="3B93AE74"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2</w:t>
            </w:r>
          </w:p>
        </w:tc>
        <w:tc>
          <w:tcPr>
            <w:tcW w:w="5081" w:type="dxa"/>
            <w:gridSpan w:val="2"/>
            <w:tcBorders>
              <w:top w:val="nil"/>
              <w:left w:val="nil"/>
              <w:bottom w:val="nil"/>
              <w:right w:val="nil"/>
            </w:tcBorders>
          </w:tcPr>
          <w:p w14:paraId="2B9862C5"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Nonparametric Bayesian Clustering to Detect Bipolar Methylated Genomic Loci</w:t>
            </w:r>
          </w:p>
        </w:tc>
        <w:tc>
          <w:tcPr>
            <w:tcW w:w="2839" w:type="dxa"/>
            <w:gridSpan w:val="2"/>
            <w:tcBorders>
              <w:top w:val="nil"/>
              <w:left w:val="nil"/>
              <w:bottom w:val="nil"/>
              <w:right w:val="nil"/>
            </w:tcBorders>
          </w:tcPr>
          <w:p w14:paraId="1011F61D"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BMC Bioinformatics</w:t>
            </w:r>
          </w:p>
        </w:tc>
        <w:tc>
          <w:tcPr>
            <w:tcW w:w="1800" w:type="dxa"/>
            <w:gridSpan w:val="2"/>
            <w:tcBorders>
              <w:top w:val="nil"/>
              <w:left w:val="nil"/>
              <w:bottom w:val="nil"/>
              <w:right w:val="nil"/>
            </w:tcBorders>
          </w:tcPr>
          <w:p w14:paraId="1C1B6225"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BMC</w:t>
            </w:r>
          </w:p>
        </w:tc>
      </w:tr>
      <w:tr w:rsidR="0038267C" w:rsidRPr="009833C5" w14:paraId="2CB4C223" w14:textId="77777777" w:rsidTr="00A7429A">
        <w:trPr>
          <w:trHeight w:val="499"/>
        </w:trPr>
        <w:tc>
          <w:tcPr>
            <w:tcW w:w="480" w:type="dxa"/>
            <w:gridSpan w:val="2"/>
            <w:tcBorders>
              <w:top w:val="nil"/>
              <w:left w:val="nil"/>
              <w:bottom w:val="nil"/>
              <w:right w:val="nil"/>
            </w:tcBorders>
          </w:tcPr>
          <w:p w14:paraId="10FA91B6"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3</w:t>
            </w:r>
          </w:p>
        </w:tc>
        <w:tc>
          <w:tcPr>
            <w:tcW w:w="5081" w:type="dxa"/>
            <w:gridSpan w:val="2"/>
            <w:tcBorders>
              <w:top w:val="nil"/>
              <w:left w:val="nil"/>
              <w:bottom w:val="nil"/>
              <w:right w:val="nil"/>
            </w:tcBorders>
          </w:tcPr>
          <w:p w14:paraId="77B4C05D"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Vindel</w:t>
            </w:r>
            <w:proofErr w:type="spellEnd"/>
            <w:r w:rsidRPr="009833C5">
              <w:rPr>
                <w:rFonts w:cs="Arial"/>
                <w:color w:val="000000"/>
                <w:szCs w:val="20"/>
              </w:rPr>
              <w:t xml:space="preserve">: A simple </w:t>
            </w:r>
            <w:proofErr w:type="spellStart"/>
            <w:r w:rsidRPr="009833C5">
              <w:rPr>
                <w:rFonts w:cs="Arial"/>
                <w:color w:val="000000"/>
                <w:szCs w:val="20"/>
              </w:rPr>
              <w:t>pipeleine</w:t>
            </w:r>
            <w:proofErr w:type="spellEnd"/>
            <w:r w:rsidRPr="009833C5">
              <w:rPr>
                <w:rFonts w:cs="Arial"/>
                <w:color w:val="000000"/>
                <w:szCs w:val="20"/>
              </w:rPr>
              <w:t xml:space="preserve"> for check </w:t>
            </w:r>
            <w:proofErr w:type="spellStart"/>
            <w:r w:rsidRPr="009833C5">
              <w:rPr>
                <w:rFonts w:cs="Arial"/>
                <w:color w:val="000000"/>
                <w:szCs w:val="20"/>
              </w:rPr>
              <w:t>indel</w:t>
            </w:r>
            <w:proofErr w:type="spellEnd"/>
            <w:r w:rsidRPr="009833C5">
              <w:rPr>
                <w:rFonts w:cs="Arial"/>
                <w:color w:val="000000"/>
                <w:szCs w:val="20"/>
              </w:rPr>
              <w:t xml:space="preserve"> redundancy</w:t>
            </w:r>
          </w:p>
        </w:tc>
        <w:tc>
          <w:tcPr>
            <w:tcW w:w="2839" w:type="dxa"/>
            <w:gridSpan w:val="2"/>
            <w:tcBorders>
              <w:top w:val="nil"/>
              <w:left w:val="nil"/>
              <w:bottom w:val="nil"/>
              <w:right w:val="nil"/>
            </w:tcBorders>
          </w:tcPr>
          <w:p w14:paraId="6C44BA66"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BMC Bioinformatics</w:t>
            </w:r>
          </w:p>
        </w:tc>
        <w:tc>
          <w:tcPr>
            <w:tcW w:w="1800" w:type="dxa"/>
            <w:gridSpan w:val="2"/>
            <w:tcBorders>
              <w:top w:val="nil"/>
              <w:left w:val="nil"/>
              <w:bottom w:val="nil"/>
              <w:right w:val="nil"/>
            </w:tcBorders>
          </w:tcPr>
          <w:p w14:paraId="23AFDCC2"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BMC</w:t>
            </w:r>
          </w:p>
        </w:tc>
      </w:tr>
      <w:tr w:rsidR="0038267C" w:rsidRPr="009833C5" w14:paraId="717457AF" w14:textId="77777777" w:rsidTr="00A7429A">
        <w:trPr>
          <w:trHeight w:val="499"/>
        </w:trPr>
        <w:tc>
          <w:tcPr>
            <w:tcW w:w="480" w:type="dxa"/>
            <w:gridSpan w:val="2"/>
            <w:tcBorders>
              <w:top w:val="nil"/>
              <w:left w:val="nil"/>
              <w:bottom w:val="nil"/>
              <w:right w:val="nil"/>
            </w:tcBorders>
          </w:tcPr>
          <w:p w14:paraId="2D889361"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4</w:t>
            </w:r>
          </w:p>
        </w:tc>
        <w:tc>
          <w:tcPr>
            <w:tcW w:w="5081" w:type="dxa"/>
            <w:gridSpan w:val="2"/>
            <w:tcBorders>
              <w:top w:val="nil"/>
              <w:left w:val="nil"/>
              <w:bottom w:val="nil"/>
              <w:right w:val="nil"/>
            </w:tcBorders>
          </w:tcPr>
          <w:p w14:paraId="6B8AC1D5"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 xml:space="preserve">Proteomic Study Reveals a Functional Network of Cancer Markers in the G1-Stage of the Breast Cancer Cell Cycle </w:t>
            </w:r>
          </w:p>
        </w:tc>
        <w:tc>
          <w:tcPr>
            <w:tcW w:w="2839" w:type="dxa"/>
            <w:gridSpan w:val="2"/>
            <w:tcBorders>
              <w:top w:val="nil"/>
              <w:left w:val="nil"/>
              <w:bottom w:val="nil"/>
              <w:right w:val="nil"/>
            </w:tcBorders>
          </w:tcPr>
          <w:p w14:paraId="453B012A"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BMC Cancer</w:t>
            </w:r>
          </w:p>
        </w:tc>
        <w:tc>
          <w:tcPr>
            <w:tcW w:w="1800" w:type="dxa"/>
            <w:gridSpan w:val="2"/>
            <w:tcBorders>
              <w:top w:val="nil"/>
              <w:left w:val="nil"/>
              <w:bottom w:val="nil"/>
              <w:right w:val="nil"/>
            </w:tcBorders>
          </w:tcPr>
          <w:p w14:paraId="03A87A9C"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BMC</w:t>
            </w:r>
          </w:p>
        </w:tc>
      </w:tr>
      <w:tr w:rsidR="0038267C" w:rsidRPr="009833C5" w14:paraId="632A4D84" w14:textId="77777777" w:rsidTr="00A7429A">
        <w:trPr>
          <w:trHeight w:val="499"/>
        </w:trPr>
        <w:tc>
          <w:tcPr>
            <w:tcW w:w="480" w:type="dxa"/>
            <w:gridSpan w:val="2"/>
            <w:tcBorders>
              <w:top w:val="nil"/>
              <w:left w:val="nil"/>
              <w:bottom w:val="nil"/>
              <w:right w:val="nil"/>
            </w:tcBorders>
          </w:tcPr>
          <w:p w14:paraId="1754CA70"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5</w:t>
            </w:r>
          </w:p>
        </w:tc>
        <w:tc>
          <w:tcPr>
            <w:tcW w:w="5081" w:type="dxa"/>
            <w:gridSpan w:val="2"/>
            <w:tcBorders>
              <w:top w:val="nil"/>
              <w:left w:val="nil"/>
              <w:bottom w:val="nil"/>
              <w:right w:val="nil"/>
            </w:tcBorders>
          </w:tcPr>
          <w:p w14:paraId="2AE6F9E3"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Disparities in obesity among rural and urban residents in a health disparate region.</w:t>
            </w:r>
          </w:p>
        </w:tc>
        <w:tc>
          <w:tcPr>
            <w:tcW w:w="2839" w:type="dxa"/>
            <w:gridSpan w:val="2"/>
            <w:tcBorders>
              <w:top w:val="nil"/>
              <w:left w:val="nil"/>
              <w:bottom w:val="nil"/>
              <w:right w:val="nil"/>
            </w:tcBorders>
          </w:tcPr>
          <w:p w14:paraId="7A0D5313"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BMC Public Health</w:t>
            </w:r>
          </w:p>
        </w:tc>
        <w:tc>
          <w:tcPr>
            <w:tcW w:w="1800" w:type="dxa"/>
            <w:gridSpan w:val="2"/>
            <w:tcBorders>
              <w:top w:val="nil"/>
              <w:left w:val="nil"/>
              <w:bottom w:val="nil"/>
              <w:right w:val="nil"/>
            </w:tcBorders>
          </w:tcPr>
          <w:p w14:paraId="6C390965"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BMC</w:t>
            </w:r>
          </w:p>
        </w:tc>
      </w:tr>
      <w:tr w:rsidR="0038267C" w:rsidRPr="009833C5" w14:paraId="0C952850" w14:textId="77777777" w:rsidTr="00A7429A">
        <w:trPr>
          <w:trHeight w:val="300"/>
        </w:trPr>
        <w:tc>
          <w:tcPr>
            <w:tcW w:w="480" w:type="dxa"/>
            <w:gridSpan w:val="2"/>
            <w:tcBorders>
              <w:top w:val="nil"/>
              <w:left w:val="nil"/>
              <w:bottom w:val="nil"/>
              <w:right w:val="nil"/>
            </w:tcBorders>
          </w:tcPr>
          <w:p w14:paraId="68ECBB75"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6</w:t>
            </w:r>
          </w:p>
        </w:tc>
        <w:tc>
          <w:tcPr>
            <w:tcW w:w="5081" w:type="dxa"/>
            <w:gridSpan w:val="2"/>
            <w:tcBorders>
              <w:top w:val="nil"/>
              <w:left w:val="nil"/>
              <w:bottom w:val="nil"/>
              <w:right w:val="nil"/>
            </w:tcBorders>
          </w:tcPr>
          <w:p w14:paraId="5CE07708"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Does availability of physical activity and food outlets differ by race and income? Findings from an enumeration study in a health disparate region</w:t>
            </w:r>
          </w:p>
        </w:tc>
        <w:tc>
          <w:tcPr>
            <w:tcW w:w="2839" w:type="dxa"/>
            <w:gridSpan w:val="2"/>
            <w:tcBorders>
              <w:top w:val="nil"/>
              <w:left w:val="nil"/>
              <w:bottom w:val="nil"/>
              <w:right w:val="nil"/>
            </w:tcBorders>
          </w:tcPr>
          <w:p w14:paraId="2A434D97"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BMC Public Health</w:t>
            </w:r>
          </w:p>
        </w:tc>
        <w:tc>
          <w:tcPr>
            <w:tcW w:w="1800" w:type="dxa"/>
            <w:gridSpan w:val="2"/>
            <w:tcBorders>
              <w:top w:val="nil"/>
              <w:left w:val="nil"/>
              <w:bottom w:val="nil"/>
              <w:right w:val="nil"/>
            </w:tcBorders>
          </w:tcPr>
          <w:p w14:paraId="730471F8"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BMC</w:t>
            </w:r>
          </w:p>
        </w:tc>
      </w:tr>
      <w:tr w:rsidR="0038267C" w:rsidRPr="009833C5" w14:paraId="70836850" w14:textId="77777777" w:rsidTr="00A7429A">
        <w:trPr>
          <w:trHeight w:val="499"/>
        </w:trPr>
        <w:tc>
          <w:tcPr>
            <w:tcW w:w="480" w:type="dxa"/>
            <w:gridSpan w:val="2"/>
            <w:tcBorders>
              <w:top w:val="nil"/>
              <w:left w:val="nil"/>
              <w:bottom w:val="nil"/>
              <w:right w:val="nil"/>
            </w:tcBorders>
          </w:tcPr>
          <w:p w14:paraId="51384A38"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7</w:t>
            </w:r>
          </w:p>
        </w:tc>
        <w:tc>
          <w:tcPr>
            <w:tcW w:w="5081" w:type="dxa"/>
            <w:gridSpan w:val="2"/>
            <w:tcBorders>
              <w:top w:val="nil"/>
              <w:left w:val="nil"/>
              <w:bottom w:val="nil"/>
              <w:right w:val="nil"/>
            </w:tcBorders>
          </w:tcPr>
          <w:p w14:paraId="77843948"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Effects of birth-rearing type on weaning weights in meat sheep are systematically associated with differences among flocks in mean performance</w:t>
            </w:r>
          </w:p>
        </w:tc>
        <w:tc>
          <w:tcPr>
            <w:tcW w:w="2839" w:type="dxa"/>
            <w:gridSpan w:val="2"/>
            <w:tcBorders>
              <w:top w:val="nil"/>
              <w:left w:val="nil"/>
              <w:bottom w:val="nil"/>
              <w:right w:val="nil"/>
            </w:tcBorders>
          </w:tcPr>
          <w:p w14:paraId="2696716C"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Genetic, Selection, Evolution</w:t>
            </w:r>
          </w:p>
        </w:tc>
        <w:tc>
          <w:tcPr>
            <w:tcW w:w="1800" w:type="dxa"/>
            <w:gridSpan w:val="2"/>
            <w:tcBorders>
              <w:top w:val="nil"/>
              <w:left w:val="nil"/>
              <w:bottom w:val="nil"/>
              <w:right w:val="nil"/>
            </w:tcBorders>
          </w:tcPr>
          <w:p w14:paraId="748A1638"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BMC</w:t>
            </w:r>
          </w:p>
        </w:tc>
      </w:tr>
      <w:tr w:rsidR="0038267C" w:rsidRPr="009833C5" w14:paraId="42D9DAA7" w14:textId="77777777" w:rsidTr="00A7429A">
        <w:trPr>
          <w:trHeight w:val="739"/>
        </w:trPr>
        <w:tc>
          <w:tcPr>
            <w:tcW w:w="480" w:type="dxa"/>
            <w:gridSpan w:val="2"/>
            <w:tcBorders>
              <w:top w:val="nil"/>
              <w:left w:val="nil"/>
              <w:bottom w:val="nil"/>
              <w:right w:val="nil"/>
            </w:tcBorders>
          </w:tcPr>
          <w:p w14:paraId="7C45BC92"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8</w:t>
            </w:r>
          </w:p>
        </w:tc>
        <w:tc>
          <w:tcPr>
            <w:tcW w:w="5081" w:type="dxa"/>
            <w:gridSpan w:val="2"/>
            <w:tcBorders>
              <w:top w:val="nil"/>
              <w:left w:val="nil"/>
              <w:bottom w:val="nil"/>
              <w:right w:val="nil"/>
            </w:tcBorders>
          </w:tcPr>
          <w:p w14:paraId="1A602274"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Empirical Study using Network of Semantically Related Associations in Bridging the Knowledge Gap</w:t>
            </w:r>
          </w:p>
        </w:tc>
        <w:tc>
          <w:tcPr>
            <w:tcW w:w="2839" w:type="dxa"/>
            <w:gridSpan w:val="2"/>
            <w:tcBorders>
              <w:top w:val="nil"/>
              <w:left w:val="nil"/>
              <w:bottom w:val="nil"/>
              <w:right w:val="nil"/>
            </w:tcBorders>
          </w:tcPr>
          <w:p w14:paraId="751687E4"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Journal of Translational Medicine</w:t>
            </w:r>
          </w:p>
        </w:tc>
        <w:tc>
          <w:tcPr>
            <w:tcW w:w="1800" w:type="dxa"/>
            <w:gridSpan w:val="2"/>
            <w:tcBorders>
              <w:top w:val="nil"/>
              <w:left w:val="nil"/>
              <w:bottom w:val="nil"/>
              <w:right w:val="nil"/>
            </w:tcBorders>
          </w:tcPr>
          <w:p w14:paraId="7C68282A"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BMC</w:t>
            </w:r>
          </w:p>
        </w:tc>
      </w:tr>
      <w:tr w:rsidR="0038267C" w:rsidRPr="009833C5" w14:paraId="157D4FA3" w14:textId="77777777" w:rsidTr="00A7429A">
        <w:trPr>
          <w:trHeight w:val="739"/>
        </w:trPr>
        <w:tc>
          <w:tcPr>
            <w:tcW w:w="480" w:type="dxa"/>
            <w:gridSpan w:val="2"/>
            <w:tcBorders>
              <w:top w:val="nil"/>
              <w:left w:val="nil"/>
              <w:bottom w:val="nil"/>
              <w:right w:val="nil"/>
            </w:tcBorders>
          </w:tcPr>
          <w:p w14:paraId="3AA61B33"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9</w:t>
            </w:r>
          </w:p>
        </w:tc>
        <w:tc>
          <w:tcPr>
            <w:tcW w:w="5081" w:type="dxa"/>
            <w:gridSpan w:val="2"/>
            <w:tcBorders>
              <w:top w:val="nil"/>
              <w:left w:val="nil"/>
              <w:bottom w:val="nil"/>
              <w:right w:val="nil"/>
            </w:tcBorders>
          </w:tcPr>
          <w:p w14:paraId="116E47E6"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The pivotal role of pyruvate dehydrogenase kinases in metabolic flexibility</w:t>
            </w:r>
          </w:p>
        </w:tc>
        <w:tc>
          <w:tcPr>
            <w:tcW w:w="2839" w:type="dxa"/>
            <w:gridSpan w:val="2"/>
            <w:tcBorders>
              <w:top w:val="nil"/>
              <w:left w:val="nil"/>
              <w:bottom w:val="nil"/>
              <w:right w:val="nil"/>
            </w:tcBorders>
          </w:tcPr>
          <w:p w14:paraId="4EC90A43"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Nutrition &amp; Metabolism</w:t>
            </w:r>
          </w:p>
        </w:tc>
        <w:tc>
          <w:tcPr>
            <w:tcW w:w="1800" w:type="dxa"/>
            <w:gridSpan w:val="2"/>
            <w:tcBorders>
              <w:top w:val="nil"/>
              <w:left w:val="nil"/>
              <w:bottom w:val="nil"/>
              <w:right w:val="nil"/>
            </w:tcBorders>
          </w:tcPr>
          <w:p w14:paraId="119B7FAA"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BMC</w:t>
            </w:r>
          </w:p>
        </w:tc>
      </w:tr>
      <w:tr w:rsidR="0038267C" w:rsidRPr="009833C5" w14:paraId="4AE13560" w14:textId="77777777" w:rsidTr="00A7429A">
        <w:trPr>
          <w:trHeight w:val="499"/>
        </w:trPr>
        <w:tc>
          <w:tcPr>
            <w:tcW w:w="480" w:type="dxa"/>
            <w:gridSpan w:val="2"/>
            <w:tcBorders>
              <w:top w:val="nil"/>
              <w:left w:val="nil"/>
              <w:bottom w:val="nil"/>
              <w:right w:val="nil"/>
            </w:tcBorders>
          </w:tcPr>
          <w:p w14:paraId="0364E082"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10</w:t>
            </w:r>
          </w:p>
        </w:tc>
        <w:tc>
          <w:tcPr>
            <w:tcW w:w="5081" w:type="dxa"/>
            <w:gridSpan w:val="2"/>
            <w:tcBorders>
              <w:top w:val="nil"/>
              <w:left w:val="nil"/>
              <w:bottom w:val="nil"/>
              <w:right w:val="nil"/>
            </w:tcBorders>
          </w:tcPr>
          <w:p w14:paraId="500588DB"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Repeat what after whom? Exploring variable selectivity in a cross-dialectal shadowing task.</w:t>
            </w:r>
          </w:p>
        </w:tc>
        <w:tc>
          <w:tcPr>
            <w:tcW w:w="2839" w:type="dxa"/>
            <w:gridSpan w:val="2"/>
            <w:tcBorders>
              <w:top w:val="nil"/>
              <w:left w:val="nil"/>
              <w:bottom w:val="nil"/>
              <w:right w:val="nil"/>
            </w:tcBorders>
          </w:tcPr>
          <w:p w14:paraId="7F602B25"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Frontiers in Psychology</w:t>
            </w:r>
          </w:p>
        </w:tc>
        <w:tc>
          <w:tcPr>
            <w:tcW w:w="1800" w:type="dxa"/>
            <w:gridSpan w:val="2"/>
            <w:tcBorders>
              <w:top w:val="nil"/>
              <w:left w:val="nil"/>
              <w:bottom w:val="nil"/>
              <w:right w:val="nil"/>
            </w:tcBorders>
          </w:tcPr>
          <w:p w14:paraId="276438BB"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Frontiers</w:t>
            </w:r>
          </w:p>
        </w:tc>
      </w:tr>
      <w:tr w:rsidR="0038267C" w:rsidRPr="009833C5" w14:paraId="369DA24E" w14:textId="77777777" w:rsidTr="00A7429A">
        <w:trPr>
          <w:trHeight w:val="499"/>
        </w:trPr>
        <w:tc>
          <w:tcPr>
            <w:tcW w:w="480" w:type="dxa"/>
            <w:gridSpan w:val="2"/>
            <w:tcBorders>
              <w:top w:val="nil"/>
              <w:left w:val="nil"/>
              <w:bottom w:val="nil"/>
              <w:right w:val="nil"/>
            </w:tcBorders>
          </w:tcPr>
          <w:p w14:paraId="3CC97CBE"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11</w:t>
            </w:r>
          </w:p>
        </w:tc>
        <w:tc>
          <w:tcPr>
            <w:tcW w:w="5081" w:type="dxa"/>
            <w:gridSpan w:val="2"/>
            <w:tcBorders>
              <w:top w:val="nil"/>
              <w:left w:val="nil"/>
              <w:bottom w:val="nil"/>
              <w:right w:val="nil"/>
            </w:tcBorders>
          </w:tcPr>
          <w:p w14:paraId="18C348D6"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Metabolic Engineering of Yeast to Produce Fatty Acid-derived Biofuels: Bottlenecks and Solutions</w:t>
            </w:r>
          </w:p>
        </w:tc>
        <w:tc>
          <w:tcPr>
            <w:tcW w:w="2839" w:type="dxa"/>
            <w:gridSpan w:val="2"/>
            <w:tcBorders>
              <w:top w:val="nil"/>
              <w:left w:val="nil"/>
              <w:bottom w:val="nil"/>
              <w:right w:val="nil"/>
            </w:tcBorders>
          </w:tcPr>
          <w:p w14:paraId="16CDFBFB"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Frontiers in Microbiology</w:t>
            </w:r>
          </w:p>
        </w:tc>
        <w:tc>
          <w:tcPr>
            <w:tcW w:w="1800" w:type="dxa"/>
            <w:gridSpan w:val="2"/>
            <w:tcBorders>
              <w:top w:val="nil"/>
              <w:left w:val="nil"/>
              <w:bottom w:val="nil"/>
              <w:right w:val="nil"/>
            </w:tcBorders>
          </w:tcPr>
          <w:p w14:paraId="77489589"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 xml:space="preserve">Frontiers </w:t>
            </w:r>
          </w:p>
        </w:tc>
      </w:tr>
      <w:tr w:rsidR="0038267C" w:rsidRPr="009833C5" w14:paraId="295AAB97" w14:textId="77777777" w:rsidTr="00A7429A">
        <w:trPr>
          <w:trHeight w:val="739"/>
        </w:trPr>
        <w:tc>
          <w:tcPr>
            <w:tcW w:w="480" w:type="dxa"/>
            <w:gridSpan w:val="2"/>
            <w:tcBorders>
              <w:top w:val="nil"/>
              <w:left w:val="nil"/>
              <w:bottom w:val="nil"/>
              <w:right w:val="nil"/>
            </w:tcBorders>
          </w:tcPr>
          <w:p w14:paraId="586855CA"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12</w:t>
            </w:r>
          </w:p>
        </w:tc>
        <w:tc>
          <w:tcPr>
            <w:tcW w:w="5081" w:type="dxa"/>
            <w:gridSpan w:val="2"/>
            <w:tcBorders>
              <w:top w:val="nil"/>
              <w:left w:val="nil"/>
              <w:bottom w:val="nil"/>
              <w:right w:val="nil"/>
            </w:tcBorders>
          </w:tcPr>
          <w:p w14:paraId="35AFFCDA"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Multiscale Model and Simulations of Transcranial Direct Current Stimulation</w:t>
            </w:r>
          </w:p>
        </w:tc>
        <w:tc>
          <w:tcPr>
            <w:tcW w:w="2839" w:type="dxa"/>
            <w:gridSpan w:val="2"/>
            <w:tcBorders>
              <w:top w:val="nil"/>
              <w:left w:val="nil"/>
              <w:bottom w:val="nil"/>
              <w:right w:val="nil"/>
            </w:tcBorders>
          </w:tcPr>
          <w:p w14:paraId="3B840233"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Computational and Mathematical Methods in Medicine</w:t>
            </w:r>
          </w:p>
        </w:tc>
        <w:tc>
          <w:tcPr>
            <w:tcW w:w="1800" w:type="dxa"/>
            <w:gridSpan w:val="2"/>
            <w:tcBorders>
              <w:top w:val="nil"/>
              <w:left w:val="nil"/>
              <w:bottom w:val="nil"/>
              <w:right w:val="nil"/>
            </w:tcBorders>
          </w:tcPr>
          <w:p w14:paraId="5255318C"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Hindawi</w:t>
            </w:r>
            <w:proofErr w:type="spellEnd"/>
          </w:p>
        </w:tc>
      </w:tr>
      <w:tr w:rsidR="0038267C" w:rsidRPr="009833C5" w14:paraId="64679B5E" w14:textId="77777777" w:rsidTr="00A7429A">
        <w:trPr>
          <w:trHeight w:val="499"/>
        </w:trPr>
        <w:tc>
          <w:tcPr>
            <w:tcW w:w="480" w:type="dxa"/>
            <w:gridSpan w:val="2"/>
            <w:tcBorders>
              <w:top w:val="nil"/>
              <w:left w:val="nil"/>
              <w:bottom w:val="nil"/>
              <w:right w:val="nil"/>
            </w:tcBorders>
          </w:tcPr>
          <w:p w14:paraId="167590A2"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lastRenderedPageBreak/>
              <w:t>13</w:t>
            </w:r>
          </w:p>
        </w:tc>
        <w:tc>
          <w:tcPr>
            <w:tcW w:w="5081" w:type="dxa"/>
            <w:gridSpan w:val="2"/>
            <w:tcBorders>
              <w:top w:val="nil"/>
              <w:left w:val="nil"/>
              <w:bottom w:val="nil"/>
              <w:right w:val="nil"/>
            </w:tcBorders>
          </w:tcPr>
          <w:p w14:paraId="373A42FC"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Baicalein</w:t>
            </w:r>
            <w:proofErr w:type="spellEnd"/>
            <w:r w:rsidRPr="009833C5">
              <w:rPr>
                <w:rFonts w:cs="Arial"/>
                <w:color w:val="000000"/>
                <w:szCs w:val="20"/>
              </w:rPr>
              <w:t xml:space="preserve"> Prevents Type 2 Diabetes via Promoting Islet ß-Cell</w:t>
            </w:r>
          </w:p>
        </w:tc>
        <w:tc>
          <w:tcPr>
            <w:tcW w:w="2839" w:type="dxa"/>
            <w:gridSpan w:val="2"/>
            <w:tcBorders>
              <w:top w:val="nil"/>
              <w:left w:val="nil"/>
              <w:bottom w:val="nil"/>
              <w:right w:val="nil"/>
            </w:tcBorders>
          </w:tcPr>
          <w:p w14:paraId="512896DC"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International Journal of Endocrinology</w:t>
            </w:r>
          </w:p>
        </w:tc>
        <w:tc>
          <w:tcPr>
            <w:tcW w:w="1800" w:type="dxa"/>
            <w:gridSpan w:val="2"/>
            <w:tcBorders>
              <w:top w:val="nil"/>
              <w:left w:val="nil"/>
              <w:bottom w:val="nil"/>
              <w:right w:val="nil"/>
            </w:tcBorders>
          </w:tcPr>
          <w:p w14:paraId="1D30638B"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Hindawi</w:t>
            </w:r>
            <w:proofErr w:type="spellEnd"/>
          </w:p>
        </w:tc>
      </w:tr>
      <w:tr w:rsidR="0038267C" w:rsidRPr="009833C5" w14:paraId="08114AF1" w14:textId="77777777" w:rsidTr="00A7429A">
        <w:trPr>
          <w:trHeight w:val="499"/>
        </w:trPr>
        <w:tc>
          <w:tcPr>
            <w:tcW w:w="480" w:type="dxa"/>
            <w:gridSpan w:val="2"/>
            <w:tcBorders>
              <w:top w:val="nil"/>
              <w:left w:val="nil"/>
              <w:bottom w:val="nil"/>
              <w:right w:val="nil"/>
            </w:tcBorders>
          </w:tcPr>
          <w:p w14:paraId="75C0571D"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14</w:t>
            </w:r>
          </w:p>
        </w:tc>
        <w:tc>
          <w:tcPr>
            <w:tcW w:w="5081" w:type="dxa"/>
            <w:gridSpan w:val="2"/>
            <w:tcBorders>
              <w:top w:val="nil"/>
              <w:left w:val="nil"/>
              <w:bottom w:val="nil"/>
              <w:right w:val="nil"/>
            </w:tcBorders>
          </w:tcPr>
          <w:p w14:paraId="6EDAD7F0"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Spectral Distortion in Fiber Bragg Gratings Embedded in 3D Printed Prototypes</w:t>
            </w:r>
          </w:p>
        </w:tc>
        <w:tc>
          <w:tcPr>
            <w:tcW w:w="2839" w:type="dxa"/>
            <w:gridSpan w:val="2"/>
            <w:tcBorders>
              <w:top w:val="nil"/>
              <w:left w:val="nil"/>
              <w:bottom w:val="nil"/>
              <w:right w:val="nil"/>
            </w:tcBorders>
          </w:tcPr>
          <w:p w14:paraId="5C9AFB4F"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Journal of Sensors</w:t>
            </w:r>
          </w:p>
        </w:tc>
        <w:tc>
          <w:tcPr>
            <w:tcW w:w="1800" w:type="dxa"/>
            <w:gridSpan w:val="2"/>
            <w:tcBorders>
              <w:top w:val="nil"/>
              <w:left w:val="nil"/>
              <w:bottom w:val="nil"/>
              <w:right w:val="nil"/>
            </w:tcBorders>
          </w:tcPr>
          <w:p w14:paraId="40A7FFE8"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Hindawi</w:t>
            </w:r>
            <w:proofErr w:type="spellEnd"/>
          </w:p>
        </w:tc>
      </w:tr>
      <w:tr w:rsidR="0038267C" w:rsidRPr="009833C5" w14:paraId="2F8E3F73" w14:textId="77777777" w:rsidTr="00A7429A">
        <w:trPr>
          <w:trHeight w:val="739"/>
        </w:trPr>
        <w:tc>
          <w:tcPr>
            <w:tcW w:w="480" w:type="dxa"/>
            <w:gridSpan w:val="2"/>
            <w:tcBorders>
              <w:top w:val="nil"/>
              <w:left w:val="nil"/>
              <w:bottom w:val="nil"/>
              <w:right w:val="nil"/>
            </w:tcBorders>
          </w:tcPr>
          <w:p w14:paraId="1A74A2FF"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15</w:t>
            </w:r>
          </w:p>
        </w:tc>
        <w:tc>
          <w:tcPr>
            <w:tcW w:w="5081" w:type="dxa"/>
            <w:gridSpan w:val="2"/>
            <w:tcBorders>
              <w:top w:val="nil"/>
              <w:left w:val="nil"/>
              <w:bottom w:val="nil"/>
              <w:right w:val="nil"/>
            </w:tcBorders>
          </w:tcPr>
          <w:p w14:paraId="079DC0E5"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A comparative study of the cognitive function of the hearing-impaired and the non-hearing-impaired in two primary schools in Lagos State, Nigeria</w:t>
            </w:r>
          </w:p>
        </w:tc>
        <w:tc>
          <w:tcPr>
            <w:tcW w:w="2839" w:type="dxa"/>
            <w:gridSpan w:val="2"/>
            <w:tcBorders>
              <w:top w:val="nil"/>
              <w:left w:val="nil"/>
              <w:bottom w:val="nil"/>
              <w:right w:val="nil"/>
            </w:tcBorders>
          </w:tcPr>
          <w:p w14:paraId="49FDC3C5"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International Archives of Medicine</w:t>
            </w:r>
          </w:p>
        </w:tc>
        <w:tc>
          <w:tcPr>
            <w:tcW w:w="1800" w:type="dxa"/>
            <w:gridSpan w:val="2"/>
            <w:tcBorders>
              <w:top w:val="nil"/>
              <w:left w:val="nil"/>
              <w:bottom w:val="nil"/>
              <w:right w:val="nil"/>
            </w:tcBorders>
          </w:tcPr>
          <w:p w14:paraId="274C2759"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iMedPub</w:t>
            </w:r>
            <w:proofErr w:type="spellEnd"/>
          </w:p>
        </w:tc>
      </w:tr>
      <w:tr w:rsidR="0038267C" w:rsidRPr="009833C5" w14:paraId="5D7C6365" w14:textId="77777777" w:rsidTr="00A7429A">
        <w:trPr>
          <w:trHeight w:val="979"/>
        </w:trPr>
        <w:tc>
          <w:tcPr>
            <w:tcW w:w="480" w:type="dxa"/>
            <w:gridSpan w:val="2"/>
            <w:tcBorders>
              <w:top w:val="nil"/>
              <w:left w:val="nil"/>
              <w:bottom w:val="nil"/>
              <w:right w:val="nil"/>
            </w:tcBorders>
          </w:tcPr>
          <w:p w14:paraId="7F24E881"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16</w:t>
            </w:r>
          </w:p>
        </w:tc>
        <w:tc>
          <w:tcPr>
            <w:tcW w:w="5081" w:type="dxa"/>
            <w:gridSpan w:val="2"/>
            <w:tcBorders>
              <w:top w:val="nil"/>
              <w:left w:val="nil"/>
              <w:bottom w:val="nil"/>
              <w:right w:val="nil"/>
            </w:tcBorders>
          </w:tcPr>
          <w:p w14:paraId="45F892E0"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A Descriptive Study of the Knowledge-Base of Malaria between the Visually-impaired and the Non-Visually impaired in Two Primary Schools in Lagos, Nigeria; implications for health education</w:t>
            </w:r>
          </w:p>
        </w:tc>
        <w:tc>
          <w:tcPr>
            <w:tcW w:w="2839" w:type="dxa"/>
            <w:gridSpan w:val="2"/>
            <w:tcBorders>
              <w:top w:val="nil"/>
              <w:left w:val="nil"/>
              <w:bottom w:val="nil"/>
              <w:right w:val="nil"/>
            </w:tcBorders>
          </w:tcPr>
          <w:p w14:paraId="6C277882"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International Archives of Medicine</w:t>
            </w:r>
          </w:p>
        </w:tc>
        <w:tc>
          <w:tcPr>
            <w:tcW w:w="1800" w:type="dxa"/>
            <w:gridSpan w:val="2"/>
            <w:tcBorders>
              <w:top w:val="nil"/>
              <w:left w:val="nil"/>
              <w:bottom w:val="nil"/>
              <w:right w:val="nil"/>
            </w:tcBorders>
          </w:tcPr>
          <w:p w14:paraId="41470AF6"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iMedPub</w:t>
            </w:r>
            <w:proofErr w:type="spellEnd"/>
          </w:p>
        </w:tc>
      </w:tr>
      <w:tr w:rsidR="0038267C" w:rsidRPr="009833C5" w14:paraId="48570259" w14:textId="77777777" w:rsidTr="00A7429A">
        <w:trPr>
          <w:trHeight w:val="739"/>
        </w:trPr>
        <w:tc>
          <w:tcPr>
            <w:tcW w:w="480" w:type="dxa"/>
            <w:gridSpan w:val="2"/>
            <w:tcBorders>
              <w:top w:val="nil"/>
              <w:left w:val="nil"/>
              <w:bottom w:val="nil"/>
              <w:right w:val="nil"/>
            </w:tcBorders>
          </w:tcPr>
          <w:p w14:paraId="07FE0657"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17</w:t>
            </w:r>
          </w:p>
        </w:tc>
        <w:tc>
          <w:tcPr>
            <w:tcW w:w="5081" w:type="dxa"/>
            <w:gridSpan w:val="2"/>
            <w:tcBorders>
              <w:top w:val="nil"/>
              <w:left w:val="nil"/>
              <w:bottom w:val="nil"/>
              <w:right w:val="nil"/>
            </w:tcBorders>
          </w:tcPr>
          <w:p w14:paraId="3745F99E"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Ebola Virus Disease Stigmatization; The Role of Societal Attributes</w:t>
            </w:r>
          </w:p>
        </w:tc>
        <w:tc>
          <w:tcPr>
            <w:tcW w:w="2839" w:type="dxa"/>
            <w:gridSpan w:val="2"/>
            <w:tcBorders>
              <w:top w:val="nil"/>
              <w:left w:val="nil"/>
              <w:bottom w:val="nil"/>
              <w:right w:val="nil"/>
            </w:tcBorders>
          </w:tcPr>
          <w:p w14:paraId="1285FD37"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International Archives of Medicine</w:t>
            </w:r>
          </w:p>
        </w:tc>
        <w:tc>
          <w:tcPr>
            <w:tcW w:w="1800" w:type="dxa"/>
            <w:gridSpan w:val="2"/>
            <w:tcBorders>
              <w:top w:val="nil"/>
              <w:left w:val="nil"/>
              <w:bottom w:val="nil"/>
              <w:right w:val="nil"/>
            </w:tcBorders>
          </w:tcPr>
          <w:p w14:paraId="394FE027"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iMedPub</w:t>
            </w:r>
            <w:proofErr w:type="spellEnd"/>
          </w:p>
        </w:tc>
      </w:tr>
      <w:tr w:rsidR="0038267C" w:rsidRPr="009833C5" w14:paraId="6B107968" w14:textId="77777777" w:rsidTr="00A7429A">
        <w:trPr>
          <w:trHeight w:val="739"/>
        </w:trPr>
        <w:tc>
          <w:tcPr>
            <w:tcW w:w="480" w:type="dxa"/>
            <w:gridSpan w:val="2"/>
            <w:tcBorders>
              <w:top w:val="nil"/>
              <w:left w:val="nil"/>
              <w:bottom w:val="nil"/>
              <w:right w:val="nil"/>
            </w:tcBorders>
          </w:tcPr>
          <w:p w14:paraId="4D01E36D"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18</w:t>
            </w:r>
          </w:p>
        </w:tc>
        <w:tc>
          <w:tcPr>
            <w:tcW w:w="5081" w:type="dxa"/>
            <w:gridSpan w:val="2"/>
            <w:tcBorders>
              <w:top w:val="nil"/>
              <w:left w:val="nil"/>
              <w:bottom w:val="nil"/>
              <w:right w:val="nil"/>
            </w:tcBorders>
          </w:tcPr>
          <w:p w14:paraId="5C7EB74B"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Exclusive Breastfeeding among Mothers in Two Semi-Urban Areas around a Baby Friendly Hospital Initiative (BFHI) designated hospital in Lagos State, Nigeria</w:t>
            </w:r>
          </w:p>
        </w:tc>
        <w:tc>
          <w:tcPr>
            <w:tcW w:w="2839" w:type="dxa"/>
            <w:gridSpan w:val="2"/>
            <w:tcBorders>
              <w:top w:val="nil"/>
              <w:left w:val="nil"/>
              <w:bottom w:val="nil"/>
              <w:right w:val="nil"/>
            </w:tcBorders>
          </w:tcPr>
          <w:p w14:paraId="044AAB44"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International Archives of Medicine</w:t>
            </w:r>
          </w:p>
        </w:tc>
        <w:tc>
          <w:tcPr>
            <w:tcW w:w="1800" w:type="dxa"/>
            <w:gridSpan w:val="2"/>
            <w:tcBorders>
              <w:top w:val="nil"/>
              <w:left w:val="nil"/>
              <w:bottom w:val="nil"/>
              <w:right w:val="nil"/>
            </w:tcBorders>
          </w:tcPr>
          <w:p w14:paraId="3F98FC36"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iMedPub</w:t>
            </w:r>
            <w:proofErr w:type="spellEnd"/>
          </w:p>
        </w:tc>
      </w:tr>
      <w:tr w:rsidR="0038267C" w:rsidRPr="009833C5" w14:paraId="3AFC5344" w14:textId="77777777" w:rsidTr="00A7429A">
        <w:trPr>
          <w:trHeight w:val="499"/>
        </w:trPr>
        <w:tc>
          <w:tcPr>
            <w:tcW w:w="480" w:type="dxa"/>
            <w:gridSpan w:val="2"/>
            <w:tcBorders>
              <w:top w:val="nil"/>
              <w:left w:val="nil"/>
              <w:bottom w:val="nil"/>
              <w:right w:val="nil"/>
            </w:tcBorders>
          </w:tcPr>
          <w:p w14:paraId="720E8A28"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19</w:t>
            </w:r>
          </w:p>
        </w:tc>
        <w:tc>
          <w:tcPr>
            <w:tcW w:w="5081" w:type="dxa"/>
            <w:gridSpan w:val="2"/>
            <w:tcBorders>
              <w:top w:val="nil"/>
              <w:left w:val="nil"/>
              <w:bottom w:val="nil"/>
              <w:right w:val="nil"/>
            </w:tcBorders>
          </w:tcPr>
          <w:p w14:paraId="32D718A4"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The Political Economy and Stigmatization of HIV/AIDS in Patients Attending a Clinic in Lagos, Nigeria</w:t>
            </w:r>
          </w:p>
        </w:tc>
        <w:tc>
          <w:tcPr>
            <w:tcW w:w="2839" w:type="dxa"/>
            <w:gridSpan w:val="2"/>
            <w:tcBorders>
              <w:top w:val="nil"/>
              <w:left w:val="nil"/>
              <w:bottom w:val="nil"/>
              <w:right w:val="nil"/>
            </w:tcBorders>
          </w:tcPr>
          <w:p w14:paraId="00D92C04"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International Archives of Medicine</w:t>
            </w:r>
          </w:p>
        </w:tc>
        <w:tc>
          <w:tcPr>
            <w:tcW w:w="1800" w:type="dxa"/>
            <w:gridSpan w:val="2"/>
            <w:tcBorders>
              <w:top w:val="nil"/>
              <w:left w:val="nil"/>
              <w:bottom w:val="nil"/>
              <w:right w:val="nil"/>
            </w:tcBorders>
          </w:tcPr>
          <w:p w14:paraId="267A402A"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iMedPub</w:t>
            </w:r>
            <w:proofErr w:type="spellEnd"/>
          </w:p>
        </w:tc>
      </w:tr>
      <w:tr w:rsidR="0038267C" w:rsidRPr="009833C5" w14:paraId="2887843D" w14:textId="77777777" w:rsidTr="00A7429A">
        <w:trPr>
          <w:trHeight w:val="499"/>
        </w:trPr>
        <w:tc>
          <w:tcPr>
            <w:tcW w:w="480" w:type="dxa"/>
            <w:gridSpan w:val="2"/>
            <w:tcBorders>
              <w:top w:val="nil"/>
              <w:left w:val="nil"/>
              <w:bottom w:val="nil"/>
              <w:right w:val="nil"/>
            </w:tcBorders>
          </w:tcPr>
          <w:p w14:paraId="7D132C08"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20</w:t>
            </w:r>
          </w:p>
        </w:tc>
        <w:tc>
          <w:tcPr>
            <w:tcW w:w="5081" w:type="dxa"/>
            <w:gridSpan w:val="2"/>
            <w:tcBorders>
              <w:top w:val="nil"/>
              <w:left w:val="nil"/>
              <w:bottom w:val="nil"/>
              <w:right w:val="nil"/>
            </w:tcBorders>
          </w:tcPr>
          <w:p w14:paraId="638D2CA2"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The Political Economy of Ebola Virus Disease (EVD) in West African Countries</w:t>
            </w:r>
          </w:p>
        </w:tc>
        <w:tc>
          <w:tcPr>
            <w:tcW w:w="2839" w:type="dxa"/>
            <w:gridSpan w:val="2"/>
            <w:tcBorders>
              <w:top w:val="nil"/>
              <w:left w:val="nil"/>
              <w:bottom w:val="nil"/>
              <w:right w:val="nil"/>
            </w:tcBorders>
          </w:tcPr>
          <w:p w14:paraId="39F63B43"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International Archives of Medicine</w:t>
            </w:r>
          </w:p>
        </w:tc>
        <w:tc>
          <w:tcPr>
            <w:tcW w:w="1800" w:type="dxa"/>
            <w:gridSpan w:val="2"/>
            <w:tcBorders>
              <w:top w:val="nil"/>
              <w:left w:val="nil"/>
              <w:bottom w:val="nil"/>
              <w:right w:val="nil"/>
            </w:tcBorders>
          </w:tcPr>
          <w:p w14:paraId="364C4F35"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iMedPub</w:t>
            </w:r>
            <w:proofErr w:type="spellEnd"/>
          </w:p>
        </w:tc>
      </w:tr>
      <w:tr w:rsidR="0038267C" w:rsidRPr="009833C5" w14:paraId="4EBD2971" w14:textId="77777777" w:rsidTr="00A7429A">
        <w:trPr>
          <w:trHeight w:val="739"/>
        </w:trPr>
        <w:tc>
          <w:tcPr>
            <w:tcW w:w="480" w:type="dxa"/>
            <w:gridSpan w:val="2"/>
            <w:tcBorders>
              <w:top w:val="nil"/>
              <w:left w:val="nil"/>
              <w:bottom w:val="nil"/>
              <w:right w:val="nil"/>
            </w:tcBorders>
          </w:tcPr>
          <w:p w14:paraId="71E8E5C8"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21</w:t>
            </w:r>
          </w:p>
        </w:tc>
        <w:tc>
          <w:tcPr>
            <w:tcW w:w="5081" w:type="dxa"/>
            <w:gridSpan w:val="2"/>
            <w:tcBorders>
              <w:top w:val="nil"/>
              <w:left w:val="nil"/>
              <w:bottom w:val="nil"/>
              <w:right w:val="nil"/>
            </w:tcBorders>
          </w:tcPr>
          <w:p w14:paraId="0EC430C1"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Village Health Workers: Considering their Potential Role in the Current Ebola Virus Disease (EVD) Outbreak</w:t>
            </w:r>
          </w:p>
        </w:tc>
        <w:tc>
          <w:tcPr>
            <w:tcW w:w="2839" w:type="dxa"/>
            <w:gridSpan w:val="2"/>
            <w:tcBorders>
              <w:top w:val="nil"/>
              <w:left w:val="nil"/>
              <w:bottom w:val="nil"/>
              <w:right w:val="nil"/>
            </w:tcBorders>
          </w:tcPr>
          <w:p w14:paraId="178F22C6"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International Archives of Medicine</w:t>
            </w:r>
          </w:p>
        </w:tc>
        <w:tc>
          <w:tcPr>
            <w:tcW w:w="1800" w:type="dxa"/>
            <w:gridSpan w:val="2"/>
            <w:tcBorders>
              <w:top w:val="nil"/>
              <w:left w:val="nil"/>
              <w:bottom w:val="nil"/>
              <w:right w:val="nil"/>
            </w:tcBorders>
          </w:tcPr>
          <w:p w14:paraId="6935C46B"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iMedPub</w:t>
            </w:r>
            <w:proofErr w:type="spellEnd"/>
          </w:p>
        </w:tc>
      </w:tr>
      <w:tr w:rsidR="0038267C" w:rsidRPr="009833C5" w14:paraId="78AEB9D8" w14:textId="77777777" w:rsidTr="00A7429A">
        <w:trPr>
          <w:trHeight w:val="979"/>
        </w:trPr>
        <w:tc>
          <w:tcPr>
            <w:tcW w:w="480" w:type="dxa"/>
            <w:gridSpan w:val="2"/>
            <w:tcBorders>
              <w:top w:val="nil"/>
              <w:left w:val="nil"/>
              <w:bottom w:val="nil"/>
              <w:right w:val="nil"/>
            </w:tcBorders>
          </w:tcPr>
          <w:p w14:paraId="49EBB575"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22</w:t>
            </w:r>
          </w:p>
        </w:tc>
        <w:tc>
          <w:tcPr>
            <w:tcW w:w="5081" w:type="dxa"/>
            <w:gridSpan w:val="2"/>
            <w:tcBorders>
              <w:top w:val="nil"/>
              <w:left w:val="nil"/>
              <w:bottom w:val="nil"/>
              <w:right w:val="nil"/>
            </w:tcBorders>
          </w:tcPr>
          <w:p w14:paraId="729D286F"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 xml:space="preserve">Crystal Structure of </w:t>
            </w:r>
            <w:proofErr w:type="spellStart"/>
            <w:r w:rsidRPr="009833C5">
              <w:rPr>
                <w:rFonts w:cs="Arial"/>
                <w:color w:val="000000"/>
                <w:szCs w:val="20"/>
              </w:rPr>
              <w:t>bis</w:t>
            </w:r>
            <w:proofErr w:type="spellEnd"/>
            <w:r w:rsidRPr="009833C5">
              <w:rPr>
                <w:rFonts w:cs="Arial"/>
                <w:color w:val="000000"/>
                <w:szCs w:val="20"/>
              </w:rPr>
              <w:t>(2-chloro)-</w:t>
            </w:r>
            <w:proofErr w:type="spellStart"/>
            <w:r w:rsidRPr="009833C5">
              <w:rPr>
                <w:rFonts w:cs="Arial"/>
                <w:color w:val="000000"/>
                <w:szCs w:val="20"/>
              </w:rPr>
              <w:t>tetrachloro-tetrakis</w:t>
            </w:r>
            <w:proofErr w:type="spellEnd"/>
            <w:r w:rsidRPr="009833C5">
              <w:rPr>
                <w:rFonts w:cs="Arial"/>
                <w:color w:val="000000"/>
                <w:szCs w:val="20"/>
              </w:rPr>
              <w:t xml:space="preserve">(methanol)-di-iridium </w:t>
            </w:r>
            <w:proofErr w:type="spellStart"/>
            <w:r w:rsidRPr="009833C5">
              <w:rPr>
                <w:rFonts w:cs="Arial"/>
                <w:color w:val="000000"/>
                <w:szCs w:val="20"/>
              </w:rPr>
              <w:t>dihydrate</w:t>
            </w:r>
            <w:proofErr w:type="spellEnd"/>
            <w:r w:rsidRPr="009833C5">
              <w:rPr>
                <w:rFonts w:cs="Arial"/>
                <w:color w:val="000000"/>
                <w:szCs w:val="20"/>
              </w:rPr>
              <w:t xml:space="preserve">: a surprisingly simple </w:t>
            </w:r>
            <w:proofErr w:type="spellStart"/>
            <w:r w:rsidRPr="009833C5">
              <w:rPr>
                <w:rFonts w:cs="Arial"/>
                <w:color w:val="000000"/>
                <w:szCs w:val="20"/>
              </w:rPr>
              <w:t>chloroiridium</w:t>
            </w:r>
            <w:proofErr w:type="spellEnd"/>
            <w:r w:rsidRPr="009833C5">
              <w:rPr>
                <w:rFonts w:cs="Arial"/>
                <w:color w:val="000000"/>
                <w:szCs w:val="20"/>
              </w:rPr>
              <w:t xml:space="preserve">(III) </w:t>
            </w:r>
            <w:proofErr w:type="spellStart"/>
            <w:r w:rsidRPr="009833C5">
              <w:rPr>
                <w:rFonts w:cs="Arial"/>
                <w:color w:val="000000"/>
                <w:szCs w:val="20"/>
              </w:rPr>
              <w:t>dinuclear</w:t>
            </w:r>
            <w:proofErr w:type="spellEnd"/>
            <w:r w:rsidRPr="009833C5">
              <w:rPr>
                <w:rFonts w:cs="Arial"/>
                <w:color w:val="000000"/>
                <w:szCs w:val="20"/>
              </w:rPr>
              <w:t xml:space="preserve"> complex with methanol ligands</w:t>
            </w:r>
          </w:p>
        </w:tc>
        <w:tc>
          <w:tcPr>
            <w:tcW w:w="2839" w:type="dxa"/>
            <w:gridSpan w:val="2"/>
            <w:tcBorders>
              <w:top w:val="nil"/>
              <w:left w:val="nil"/>
              <w:bottom w:val="nil"/>
              <w:right w:val="nil"/>
            </w:tcBorders>
          </w:tcPr>
          <w:p w14:paraId="12252FD9" w14:textId="76456512" w:rsidR="0038267C" w:rsidRPr="009833C5" w:rsidRDefault="008116B0" w:rsidP="008845D4">
            <w:pPr>
              <w:widowControl w:val="0"/>
              <w:autoSpaceDE w:val="0"/>
              <w:autoSpaceDN w:val="0"/>
              <w:adjustRightInd w:val="0"/>
              <w:rPr>
                <w:rFonts w:cs="Arial"/>
                <w:color w:val="000000"/>
                <w:szCs w:val="20"/>
              </w:rPr>
            </w:pPr>
            <w:proofErr w:type="spellStart"/>
            <w:r w:rsidRPr="009833C5">
              <w:rPr>
                <w:rFonts w:cs="Arial"/>
                <w:color w:val="000000"/>
                <w:szCs w:val="20"/>
              </w:rPr>
              <w:t>Acta</w:t>
            </w:r>
            <w:proofErr w:type="spellEnd"/>
            <w:r w:rsidRPr="009833C5">
              <w:rPr>
                <w:rFonts w:cs="Arial"/>
                <w:color w:val="000000"/>
                <w:szCs w:val="20"/>
              </w:rPr>
              <w:t xml:space="preserve"> </w:t>
            </w:r>
            <w:proofErr w:type="spellStart"/>
            <w:r w:rsidRPr="009833C5">
              <w:rPr>
                <w:rFonts w:cs="Arial"/>
                <w:color w:val="000000"/>
                <w:szCs w:val="20"/>
              </w:rPr>
              <w:t>Crystallographica</w:t>
            </w:r>
            <w:proofErr w:type="spellEnd"/>
            <w:r w:rsidRPr="009833C5">
              <w:rPr>
                <w:rFonts w:cs="Arial"/>
                <w:color w:val="000000"/>
                <w:szCs w:val="20"/>
              </w:rPr>
              <w:t>, Section E</w:t>
            </w:r>
          </w:p>
        </w:tc>
        <w:tc>
          <w:tcPr>
            <w:tcW w:w="1800" w:type="dxa"/>
            <w:gridSpan w:val="2"/>
            <w:tcBorders>
              <w:top w:val="nil"/>
              <w:left w:val="nil"/>
              <w:bottom w:val="nil"/>
              <w:right w:val="nil"/>
            </w:tcBorders>
          </w:tcPr>
          <w:p w14:paraId="37A965AF"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International Union of Crystallography</w:t>
            </w:r>
          </w:p>
        </w:tc>
      </w:tr>
      <w:tr w:rsidR="0038267C" w:rsidRPr="009833C5" w14:paraId="7C6B1987" w14:textId="77777777" w:rsidTr="00A7429A">
        <w:trPr>
          <w:trHeight w:val="739"/>
        </w:trPr>
        <w:tc>
          <w:tcPr>
            <w:tcW w:w="480" w:type="dxa"/>
            <w:gridSpan w:val="2"/>
            <w:tcBorders>
              <w:top w:val="nil"/>
              <w:left w:val="nil"/>
              <w:bottom w:val="nil"/>
              <w:right w:val="nil"/>
            </w:tcBorders>
          </w:tcPr>
          <w:p w14:paraId="621C9A6A"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23</w:t>
            </w:r>
          </w:p>
        </w:tc>
        <w:tc>
          <w:tcPr>
            <w:tcW w:w="5081" w:type="dxa"/>
            <w:gridSpan w:val="2"/>
            <w:tcBorders>
              <w:top w:val="nil"/>
              <w:left w:val="nil"/>
              <w:bottom w:val="nil"/>
              <w:right w:val="nil"/>
            </w:tcBorders>
          </w:tcPr>
          <w:p w14:paraId="7E5CB397"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Chloro</w:t>
            </w:r>
            <w:proofErr w:type="spellEnd"/>
            <w:r w:rsidRPr="009833C5">
              <w:rPr>
                <w:rFonts w:cs="Arial"/>
                <w:color w:val="000000"/>
                <w:szCs w:val="20"/>
              </w:rPr>
              <w:t>-(</w:t>
            </w:r>
            <w:proofErr w:type="spellStart"/>
            <w:r w:rsidRPr="009833C5">
              <w:rPr>
                <w:rFonts w:cs="Arial"/>
                <w:color w:val="000000"/>
                <w:szCs w:val="20"/>
              </w:rPr>
              <w:t>mer-tris</w:t>
            </w:r>
            <w:proofErr w:type="spellEnd"/>
            <w:r w:rsidRPr="009833C5">
              <w:rPr>
                <w:rFonts w:cs="Arial"/>
                <w:color w:val="000000"/>
                <w:szCs w:val="20"/>
              </w:rPr>
              <w:t>(</w:t>
            </w:r>
            <w:proofErr w:type="spellStart"/>
            <w:r w:rsidRPr="009833C5">
              <w:rPr>
                <w:rFonts w:cs="Arial"/>
                <w:color w:val="000000"/>
                <w:szCs w:val="20"/>
              </w:rPr>
              <w:t>trimethylphosphine</w:t>
            </w:r>
            <w:proofErr w:type="spellEnd"/>
            <w:r w:rsidRPr="009833C5">
              <w:rPr>
                <w:rFonts w:cs="Arial"/>
                <w:color w:val="000000"/>
                <w:szCs w:val="20"/>
              </w:rPr>
              <w:t>) (η2-C,S-phenylisothiocyanate)iridium</w:t>
            </w:r>
          </w:p>
        </w:tc>
        <w:tc>
          <w:tcPr>
            <w:tcW w:w="2839" w:type="dxa"/>
            <w:gridSpan w:val="2"/>
            <w:tcBorders>
              <w:top w:val="nil"/>
              <w:left w:val="nil"/>
              <w:bottom w:val="nil"/>
              <w:right w:val="nil"/>
            </w:tcBorders>
          </w:tcPr>
          <w:p w14:paraId="456294F3"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Acta</w:t>
            </w:r>
            <w:proofErr w:type="spellEnd"/>
            <w:r w:rsidRPr="009833C5">
              <w:rPr>
                <w:rFonts w:cs="Arial"/>
                <w:color w:val="000000"/>
                <w:szCs w:val="20"/>
              </w:rPr>
              <w:t xml:space="preserve"> </w:t>
            </w:r>
            <w:proofErr w:type="spellStart"/>
            <w:r w:rsidRPr="009833C5">
              <w:rPr>
                <w:rFonts w:cs="Arial"/>
                <w:color w:val="000000"/>
                <w:szCs w:val="20"/>
              </w:rPr>
              <w:t>Crystallographica</w:t>
            </w:r>
            <w:proofErr w:type="spellEnd"/>
            <w:r w:rsidRPr="009833C5">
              <w:rPr>
                <w:rFonts w:cs="Arial"/>
                <w:color w:val="000000"/>
                <w:szCs w:val="20"/>
              </w:rPr>
              <w:t xml:space="preserve"> Section E</w:t>
            </w:r>
          </w:p>
        </w:tc>
        <w:tc>
          <w:tcPr>
            <w:tcW w:w="1800" w:type="dxa"/>
            <w:gridSpan w:val="2"/>
            <w:tcBorders>
              <w:top w:val="nil"/>
              <w:left w:val="nil"/>
              <w:bottom w:val="nil"/>
              <w:right w:val="nil"/>
            </w:tcBorders>
          </w:tcPr>
          <w:p w14:paraId="71F91A19"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International Union of Crystallography</w:t>
            </w:r>
          </w:p>
        </w:tc>
      </w:tr>
      <w:tr w:rsidR="0038267C" w:rsidRPr="009833C5" w14:paraId="37555730" w14:textId="77777777" w:rsidTr="00A7429A">
        <w:trPr>
          <w:trHeight w:val="1219"/>
        </w:trPr>
        <w:tc>
          <w:tcPr>
            <w:tcW w:w="480" w:type="dxa"/>
            <w:gridSpan w:val="2"/>
            <w:tcBorders>
              <w:top w:val="nil"/>
              <w:left w:val="nil"/>
              <w:bottom w:val="nil"/>
              <w:right w:val="nil"/>
            </w:tcBorders>
          </w:tcPr>
          <w:p w14:paraId="33BF5857"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24</w:t>
            </w:r>
          </w:p>
        </w:tc>
        <w:tc>
          <w:tcPr>
            <w:tcW w:w="5081" w:type="dxa"/>
            <w:gridSpan w:val="2"/>
            <w:tcBorders>
              <w:top w:val="nil"/>
              <w:left w:val="nil"/>
              <w:bottom w:val="nil"/>
              <w:right w:val="nil"/>
            </w:tcBorders>
          </w:tcPr>
          <w:p w14:paraId="4EACC4AA"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 xml:space="preserve">Crystal structures of </w:t>
            </w:r>
            <w:proofErr w:type="spellStart"/>
            <w:r w:rsidRPr="009833C5">
              <w:rPr>
                <w:rFonts w:cs="Arial"/>
                <w:color w:val="000000"/>
                <w:szCs w:val="20"/>
              </w:rPr>
              <w:t>fac-tris</w:t>
            </w:r>
            <w:proofErr w:type="spellEnd"/>
            <w:r w:rsidRPr="009833C5">
              <w:rPr>
                <w:rFonts w:cs="Arial"/>
                <w:color w:val="000000"/>
                <w:szCs w:val="20"/>
              </w:rPr>
              <w:t>(</w:t>
            </w:r>
            <w:proofErr w:type="spellStart"/>
            <w:r w:rsidRPr="009833C5">
              <w:rPr>
                <w:rFonts w:cs="Arial"/>
                <w:color w:val="000000"/>
                <w:szCs w:val="20"/>
              </w:rPr>
              <w:t>trimethylphosphane</w:t>
            </w:r>
            <w:proofErr w:type="spellEnd"/>
            <w:r w:rsidRPr="009833C5">
              <w:rPr>
                <w:rFonts w:cs="Arial"/>
                <w:color w:val="000000"/>
                <w:szCs w:val="20"/>
              </w:rPr>
              <w:t>)</w:t>
            </w:r>
            <w:proofErr w:type="spellStart"/>
            <w:r w:rsidRPr="009833C5">
              <w:rPr>
                <w:rFonts w:cs="Arial"/>
                <w:color w:val="000000"/>
                <w:szCs w:val="20"/>
              </w:rPr>
              <w:t>trichlororhodium</w:t>
            </w:r>
            <w:proofErr w:type="spellEnd"/>
            <w:r w:rsidRPr="009833C5">
              <w:rPr>
                <w:rFonts w:cs="Arial"/>
                <w:color w:val="000000"/>
                <w:szCs w:val="20"/>
              </w:rPr>
              <w:t xml:space="preserve">(III) hydrate and </w:t>
            </w:r>
            <w:proofErr w:type="spellStart"/>
            <w:r w:rsidRPr="009833C5">
              <w:rPr>
                <w:rFonts w:cs="Arial"/>
                <w:color w:val="000000"/>
                <w:szCs w:val="20"/>
              </w:rPr>
              <w:t>fac-tris</w:t>
            </w:r>
            <w:proofErr w:type="spellEnd"/>
            <w:r w:rsidRPr="009833C5">
              <w:rPr>
                <w:rFonts w:cs="Arial"/>
                <w:color w:val="000000"/>
                <w:szCs w:val="20"/>
              </w:rPr>
              <w:t>(</w:t>
            </w:r>
            <w:proofErr w:type="spellStart"/>
            <w:r w:rsidRPr="009833C5">
              <w:rPr>
                <w:rFonts w:cs="Arial"/>
                <w:color w:val="000000"/>
                <w:szCs w:val="20"/>
              </w:rPr>
              <w:t>trimethylphosphane</w:t>
            </w:r>
            <w:proofErr w:type="spellEnd"/>
            <w:r w:rsidRPr="009833C5">
              <w:rPr>
                <w:rFonts w:cs="Arial"/>
                <w:color w:val="000000"/>
                <w:szCs w:val="20"/>
              </w:rPr>
              <w:t>)</w:t>
            </w:r>
            <w:proofErr w:type="spellStart"/>
            <w:r w:rsidRPr="009833C5">
              <w:rPr>
                <w:rFonts w:cs="Arial"/>
                <w:color w:val="000000"/>
                <w:szCs w:val="20"/>
              </w:rPr>
              <w:t>trichlororhodium</w:t>
            </w:r>
            <w:proofErr w:type="spellEnd"/>
            <w:r w:rsidRPr="009833C5">
              <w:rPr>
                <w:rFonts w:cs="Arial"/>
                <w:color w:val="000000"/>
                <w:szCs w:val="20"/>
              </w:rPr>
              <w:t xml:space="preserve">(III) 0.5 </w:t>
            </w:r>
            <w:proofErr w:type="spellStart"/>
            <w:r w:rsidRPr="009833C5">
              <w:rPr>
                <w:rFonts w:cs="Arial"/>
                <w:color w:val="000000"/>
                <w:szCs w:val="20"/>
              </w:rPr>
              <w:t>methanolate</w:t>
            </w:r>
            <w:proofErr w:type="spellEnd"/>
            <w:r w:rsidRPr="009833C5">
              <w:rPr>
                <w:rFonts w:cs="Arial"/>
                <w:color w:val="000000"/>
                <w:szCs w:val="20"/>
              </w:rPr>
              <w:t xml:space="preserve"> - rhodium structures that are </w:t>
            </w:r>
            <w:proofErr w:type="spellStart"/>
            <w:r w:rsidRPr="009833C5">
              <w:rPr>
                <w:rFonts w:cs="Arial"/>
                <w:color w:val="000000"/>
                <w:szCs w:val="20"/>
              </w:rPr>
              <w:t>isomorphous</w:t>
            </w:r>
            <w:proofErr w:type="spellEnd"/>
            <w:r w:rsidRPr="009833C5">
              <w:rPr>
                <w:rFonts w:cs="Arial"/>
                <w:color w:val="000000"/>
                <w:szCs w:val="20"/>
              </w:rPr>
              <w:t xml:space="preserve"> with their iridium analogs.</w:t>
            </w:r>
          </w:p>
        </w:tc>
        <w:tc>
          <w:tcPr>
            <w:tcW w:w="2839" w:type="dxa"/>
            <w:gridSpan w:val="2"/>
            <w:tcBorders>
              <w:top w:val="nil"/>
              <w:left w:val="nil"/>
              <w:bottom w:val="nil"/>
              <w:right w:val="nil"/>
            </w:tcBorders>
          </w:tcPr>
          <w:p w14:paraId="55019D66"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Acta</w:t>
            </w:r>
            <w:proofErr w:type="spellEnd"/>
            <w:r w:rsidRPr="009833C5">
              <w:rPr>
                <w:rFonts w:cs="Arial"/>
                <w:color w:val="000000"/>
                <w:szCs w:val="20"/>
              </w:rPr>
              <w:t xml:space="preserve"> </w:t>
            </w:r>
            <w:proofErr w:type="spellStart"/>
            <w:r w:rsidRPr="009833C5">
              <w:rPr>
                <w:rFonts w:cs="Arial"/>
                <w:color w:val="000000"/>
                <w:szCs w:val="20"/>
              </w:rPr>
              <w:t>Crystallographica</w:t>
            </w:r>
            <w:proofErr w:type="spellEnd"/>
            <w:r w:rsidRPr="009833C5">
              <w:rPr>
                <w:rFonts w:cs="Arial"/>
                <w:color w:val="000000"/>
                <w:szCs w:val="20"/>
              </w:rPr>
              <w:t>, Section E</w:t>
            </w:r>
          </w:p>
        </w:tc>
        <w:tc>
          <w:tcPr>
            <w:tcW w:w="1800" w:type="dxa"/>
            <w:gridSpan w:val="2"/>
            <w:tcBorders>
              <w:top w:val="nil"/>
              <w:left w:val="nil"/>
              <w:bottom w:val="nil"/>
              <w:right w:val="nil"/>
            </w:tcBorders>
          </w:tcPr>
          <w:p w14:paraId="3A00449F"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International Union of Crystallography</w:t>
            </w:r>
          </w:p>
        </w:tc>
      </w:tr>
      <w:tr w:rsidR="0038267C" w:rsidRPr="009833C5" w14:paraId="6C3A1494" w14:textId="77777777" w:rsidTr="00A7429A">
        <w:trPr>
          <w:trHeight w:val="739"/>
        </w:trPr>
        <w:tc>
          <w:tcPr>
            <w:tcW w:w="480" w:type="dxa"/>
            <w:gridSpan w:val="2"/>
            <w:tcBorders>
              <w:top w:val="nil"/>
              <w:left w:val="nil"/>
              <w:bottom w:val="nil"/>
              <w:right w:val="nil"/>
            </w:tcBorders>
          </w:tcPr>
          <w:p w14:paraId="5FFE9498"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25</w:t>
            </w:r>
          </w:p>
        </w:tc>
        <w:tc>
          <w:tcPr>
            <w:tcW w:w="5081" w:type="dxa"/>
            <w:gridSpan w:val="2"/>
            <w:tcBorders>
              <w:top w:val="nil"/>
              <w:left w:val="nil"/>
              <w:bottom w:val="nil"/>
              <w:right w:val="nil"/>
            </w:tcBorders>
          </w:tcPr>
          <w:p w14:paraId="449761FC"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 xml:space="preserve">Serendipitous preparation of </w:t>
            </w:r>
            <w:proofErr w:type="spellStart"/>
            <w:r w:rsidRPr="009833C5">
              <w:rPr>
                <w:rFonts w:cs="Arial"/>
                <w:color w:val="000000"/>
                <w:szCs w:val="20"/>
              </w:rPr>
              <w:t>fac</w:t>
            </w:r>
            <w:proofErr w:type="spellEnd"/>
            <w:r w:rsidRPr="009833C5">
              <w:rPr>
                <w:rFonts w:cs="Arial"/>
                <w:color w:val="000000"/>
                <w:szCs w:val="20"/>
              </w:rPr>
              <w:t>[(1,5-cyclooctadiene)(acetonitrile)</w:t>
            </w:r>
            <w:proofErr w:type="spellStart"/>
            <w:r w:rsidRPr="009833C5">
              <w:rPr>
                <w:rFonts w:cs="Arial"/>
                <w:color w:val="000000"/>
                <w:szCs w:val="20"/>
              </w:rPr>
              <w:t>trichloroiridium</w:t>
            </w:r>
            <w:proofErr w:type="spellEnd"/>
            <w:r w:rsidRPr="009833C5">
              <w:rPr>
                <w:rFonts w:cs="Arial"/>
                <w:color w:val="000000"/>
                <w:szCs w:val="20"/>
              </w:rPr>
              <w:t>(III)]</w:t>
            </w:r>
          </w:p>
        </w:tc>
        <w:tc>
          <w:tcPr>
            <w:tcW w:w="2839" w:type="dxa"/>
            <w:gridSpan w:val="2"/>
            <w:tcBorders>
              <w:top w:val="nil"/>
              <w:left w:val="nil"/>
              <w:bottom w:val="nil"/>
              <w:right w:val="nil"/>
            </w:tcBorders>
          </w:tcPr>
          <w:p w14:paraId="7E96E76C"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Acta</w:t>
            </w:r>
            <w:proofErr w:type="spellEnd"/>
            <w:r w:rsidRPr="009833C5">
              <w:rPr>
                <w:rFonts w:cs="Arial"/>
                <w:color w:val="000000"/>
                <w:szCs w:val="20"/>
              </w:rPr>
              <w:t xml:space="preserve"> </w:t>
            </w:r>
            <w:proofErr w:type="spellStart"/>
            <w:r w:rsidRPr="009833C5">
              <w:rPr>
                <w:rFonts w:cs="Arial"/>
                <w:color w:val="000000"/>
                <w:szCs w:val="20"/>
              </w:rPr>
              <w:t>Crystallographica</w:t>
            </w:r>
            <w:proofErr w:type="spellEnd"/>
            <w:r w:rsidRPr="009833C5">
              <w:rPr>
                <w:rFonts w:cs="Arial"/>
                <w:color w:val="000000"/>
                <w:szCs w:val="20"/>
              </w:rPr>
              <w:t>, Section E</w:t>
            </w:r>
          </w:p>
        </w:tc>
        <w:tc>
          <w:tcPr>
            <w:tcW w:w="1800" w:type="dxa"/>
            <w:gridSpan w:val="2"/>
            <w:tcBorders>
              <w:top w:val="nil"/>
              <w:left w:val="nil"/>
              <w:bottom w:val="nil"/>
              <w:right w:val="nil"/>
            </w:tcBorders>
          </w:tcPr>
          <w:p w14:paraId="7E390321"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International Union of Crystallography</w:t>
            </w:r>
          </w:p>
        </w:tc>
      </w:tr>
      <w:tr w:rsidR="0038267C" w:rsidRPr="009833C5" w14:paraId="64CF1475" w14:textId="77777777" w:rsidTr="00A7429A">
        <w:trPr>
          <w:trHeight w:val="499"/>
        </w:trPr>
        <w:tc>
          <w:tcPr>
            <w:tcW w:w="480" w:type="dxa"/>
            <w:gridSpan w:val="2"/>
            <w:tcBorders>
              <w:top w:val="nil"/>
              <w:left w:val="nil"/>
              <w:bottom w:val="nil"/>
              <w:right w:val="nil"/>
            </w:tcBorders>
          </w:tcPr>
          <w:p w14:paraId="0B345AE5"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26</w:t>
            </w:r>
          </w:p>
        </w:tc>
        <w:tc>
          <w:tcPr>
            <w:tcW w:w="5081" w:type="dxa"/>
            <w:gridSpan w:val="2"/>
            <w:tcBorders>
              <w:top w:val="nil"/>
              <w:left w:val="nil"/>
              <w:bottom w:val="nil"/>
              <w:right w:val="nil"/>
            </w:tcBorders>
          </w:tcPr>
          <w:p w14:paraId="728FB0AC"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 xml:space="preserve">Targeting FoxO1 with AS1842856 Suppresses </w:t>
            </w:r>
            <w:proofErr w:type="spellStart"/>
            <w:r w:rsidRPr="009833C5">
              <w:rPr>
                <w:rFonts w:cs="Arial"/>
                <w:color w:val="000000"/>
                <w:szCs w:val="20"/>
              </w:rPr>
              <w:t>Adipogenesis</w:t>
            </w:r>
            <w:proofErr w:type="spellEnd"/>
          </w:p>
        </w:tc>
        <w:tc>
          <w:tcPr>
            <w:tcW w:w="2839" w:type="dxa"/>
            <w:gridSpan w:val="2"/>
            <w:tcBorders>
              <w:top w:val="nil"/>
              <w:left w:val="nil"/>
              <w:bottom w:val="nil"/>
              <w:right w:val="nil"/>
            </w:tcBorders>
          </w:tcPr>
          <w:p w14:paraId="0D799A24"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Cell Cycle</w:t>
            </w:r>
          </w:p>
        </w:tc>
        <w:tc>
          <w:tcPr>
            <w:tcW w:w="1800" w:type="dxa"/>
            <w:gridSpan w:val="2"/>
            <w:tcBorders>
              <w:top w:val="nil"/>
              <w:left w:val="nil"/>
              <w:bottom w:val="nil"/>
              <w:right w:val="nil"/>
            </w:tcBorders>
          </w:tcPr>
          <w:p w14:paraId="0D1B2109"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Landes</w:t>
            </w:r>
            <w:proofErr w:type="spellEnd"/>
            <w:r w:rsidRPr="009833C5">
              <w:rPr>
                <w:rFonts w:cs="Arial"/>
                <w:color w:val="000000"/>
                <w:szCs w:val="20"/>
              </w:rPr>
              <w:t xml:space="preserve"> Bioscience</w:t>
            </w:r>
          </w:p>
        </w:tc>
      </w:tr>
      <w:tr w:rsidR="0038267C" w:rsidRPr="009833C5" w14:paraId="4C247E52" w14:textId="77777777" w:rsidTr="00A7429A">
        <w:trPr>
          <w:trHeight w:val="499"/>
        </w:trPr>
        <w:tc>
          <w:tcPr>
            <w:tcW w:w="480" w:type="dxa"/>
            <w:gridSpan w:val="2"/>
            <w:tcBorders>
              <w:top w:val="nil"/>
              <w:left w:val="nil"/>
              <w:bottom w:val="nil"/>
              <w:right w:val="nil"/>
            </w:tcBorders>
          </w:tcPr>
          <w:p w14:paraId="7750C390"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27</w:t>
            </w:r>
          </w:p>
        </w:tc>
        <w:tc>
          <w:tcPr>
            <w:tcW w:w="5081" w:type="dxa"/>
            <w:gridSpan w:val="2"/>
            <w:tcBorders>
              <w:top w:val="nil"/>
              <w:left w:val="nil"/>
              <w:bottom w:val="nil"/>
              <w:right w:val="nil"/>
            </w:tcBorders>
          </w:tcPr>
          <w:p w14:paraId="706B5D33"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 xml:space="preserve">Tamoxifen Reduces Fat Mass by Boosting Reactive Oxygen Species </w:t>
            </w:r>
          </w:p>
        </w:tc>
        <w:tc>
          <w:tcPr>
            <w:tcW w:w="2839" w:type="dxa"/>
            <w:gridSpan w:val="2"/>
            <w:tcBorders>
              <w:top w:val="nil"/>
              <w:left w:val="nil"/>
              <w:bottom w:val="nil"/>
              <w:right w:val="nil"/>
            </w:tcBorders>
          </w:tcPr>
          <w:p w14:paraId="61E37153"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Cell Death and Disease</w:t>
            </w:r>
          </w:p>
        </w:tc>
        <w:tc>
          <w:tcPr>
            <w:tcW w:w="1800" w:type="dxa"/>
            <w:gridSpan w:val="2"/>
            <w:tcBorders>
              <w:top w:val="nil"/>
              <w:left w:val="nil"/>
              <w:bottom w:val="nil"/>
              <w:right w:val="nil"/>
            </w:tcBorders>
          </w:tcPr>
          <w:p w14:paraId="6D7F6A78"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Nature</w:t>
            </w:r>
          </w:p>
        </w:tc>
      </w:tr>
      <w:tr w:rsidR="0038267C" w:rsidRPr="009833C5" w14:paraId="7C3BBDF2" w14:textId="77777777" w:rsidTr="00A7429A">
        <w:trPr>
          <w:trHeight w:val="739"/>
        </w:trPr>
        <w:tc>
          <w:tcPr>
            <w:tcW w:w="480" w:type="dxa"/>
            <w:gridSpan w:val="2"/>
            <w:tcBorders>
              <w:top w:val="nil"/>
              <w:left w:val="nil"/>
              <w:bottom w:val="nil"/>
              <w:right w:val="nil"/>
            </w:tcBorders>
          </w:tcPr>
          <w:p w14:paraId="2F0EEC07"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28</w:t>
            </w:r>
          </w:p>
        </w:tc>
        <w:tc>
          <w:tcPr>
            <w:tcW w:w="5081" w:type="dxa"/>
            <w:gridSpan w:val="2"/>
            <w:tcBorders>
              <w:top w:val="nil"/>
              <w:left w:val="nil"/>
              <w:bottom w:val="nil"/>
              <w:right w:val="nil"/>
            </w:tcBorders>
          </w:tcPr>
          <w:p w14:paraId="6A819305"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 xml:space="preserve">Parallel evolution of </w:t>
            </w:r>
            <w:proofErr w:type="spellStart"/>
            <w:r w:rsidRPr="009833C5">
              <w:rPr>
                <w:rFonts w:cs="Arial"/>
                <w:color w:val="000000"/>
                <w:szCs w:val="20"/>
              </w:rPr>
              <w:t>tetrodotoxin</w:t>
            </w:r>
            <w:proofErr w:type="spellEnd"/>
            <w:r w:rsidRPr="009833C5">
              <w:rPr>
                <w:rFonts w:cs="Arial"/>
                <w:color w:val="000000"/>
                <w:szCs w:val="20"/>
              </w:rPr>
              <w:t xml:space="preserve"> resistance in three voltage-gated sodium channel genes in the garter snake Thamnophis </w:t>
            </w:r>
            <w:proofErr w:type="spellStart"/>
            <w:r w:rsidRPr="009833C5">
              <w:rPr>
                <w:rFonts w:cs="Arial"/>
                <w:color w:val="000000"/>
                <w:szCs w:val="20"/>
              </w:rPr>
              <w:t>sirtalis</w:t>
            </w:r>
            <w:proofErr w:type="spellEnd"/>
          </w:p>
        </w:tc>
        <w:tc>
          <w:tcPr>
            <w:tcW w:w="2839" w:type="dxa"/>
            <w:gridSpan w:val="2"/>
            <w:tcBorders>
              <w:top w:val="nil"/>
              <w:left w:val="nil"/>
              <w:bottom w:val="nil"/>
              <w:right w:val="nil"/>
            </w:tcBorders>
          </w:tcPr>
          <w:p w14:paraId="07F215CA"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Molecular Biology and Evolution</w:t>
            </w:r>
          </w:p>
        </w:tc>
        <w:tc>
          <w:tcPr>
            <w:tcW w:w="1800" w:type="dxa"/>
            <w:gridSpan w:val="2"/>
            <w:tcBorders>
              <w:top w:val="nil"/>
              <w:left w:val="nil"/>
              <w:bottom w:val="nil"/>
              <w:right w:val="nil"/>
            </w:tcBorders>
          </w:tcPr>
          <w:p w14:paraId="6D3A9A3B"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Oxford</w:t>
            </w:r>
          </w:p>
        </w:tc>
      </w:tr>
      <w:tr w:rsidR="0038267C" w:rsidRPr="009833C5" w14:paraId="243576D1" w14:textId="77777777" w:rsidTr="00A7429A">
        <w:trPr>
          <w:trHeight w:val="739"/>
        </w:trPr>
        <w:tc>
          <w:tcPr>
            <w:tcW w:w="480" w:type="dxa"/>
            <w:gridSpan w:val="2"/>
            <w:tcBorders>
              <w:top w:val="nil"/>
              <w:left w:val="nil"/>
              <w:bottom w:val="nil"/>
              <w:right w:val="nil"/>
            </w:tcBorders>
          </w:tcPr>
          <w:p w14:paraId="1AF2D824"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29</w:t>
            </w:r>
          </w:p>
        </w:tc>
        <w:tc>
          <w:tcPr>
            <w:tcW w:w="5081" w:type="dxa"/>
            <w:gridSpan w:val="2"/>
            <w:tcBorders>
              <w:top w:val="nil"/>
              <w:left w:val="nil"/>
              <w:bottom w:val="nil"/>
              <w:right w:val="nil"/>
            </w:tcBorders>
          </w:tcPr>
          <w:p w14:paraId="715A8DDB"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 xml:space="preserve">The Hsp70-like </w:t>
            </w:r>
            <w:proofErr w:type="spellStart"/>
            <w:r w:rsidRPr="009833C5">
              <w:rPr>
                <w:rFonts w:cs="Arial"/>
                <w:color w:val="000000"/>
                <w:szCs w:val="20"/>
              </w:rPr>
              <w:t>StkA</w:t>
            </w:r>
            <w:proofErr w:type="spellEnd"/>
            <w:r w:rsidRPr="009833C5">
              <w:rPr>
                <w:rFonts w:cs="Arial"/>
                <w:color w:val="000000"/>
                <w:szCs w:val="20"/>
              </w:rPr>
              <w:t xml:space="preserve"> functions between T4P and </w:t>
            </w:r>
            <w:proofErr w:type="spellStart"/>
            <w:r w:rsidRPr="009833C5">
              <w:rPr>
                <w:rFonts w:cs="Arial"/>
                <w:color w:val="000000"/>
                <w:szCs w:val="20"/>
              </w:rPr>
              <w:t>Dif</w:t>
            </w:r>
            <w:proofErr w:type="spellEnd"/>
            <w:r w:rsidRPr="009833C5">
              <w:rPr>
                <w:rFonts w:cs="Arial"/>
                <w:color w:val="000000"/>
                <w:szCs w:val="20"/>
              </w:rPr>
              <w:t xml:space="preserve"> signaling proteins as a negative regulator of exopolysaccharide in </w:t>
            </w:r>
            <w:proofErr w:type="spellStart"/>
            <w:r w:rsidRPr="009833C5">
              <w:rPr>
                <w:rFonts w:cs="Arial"/>
                <w:color w:val="000000"/>
                <w:szCs w:val="20"/>
              </w:rPr>
              <w:t>Myxococcus</w:t>
            </w:r>
            <w:proofErr w:type="spellEnd"/>
            <w:r w:rsidRPr="009833C5">
              <w:rPr>
                <w:rFonts w:cs="Arial"/>
                <w:color w:val="000000"/>
                <w:szCs w:val="20"/>
              </w:rPr>
              <w:t xml:space="preserve"> </w:t>
            </w:r>
            <w:proofErr w:type="spellStart"/>
            <w:r w:rsidRPr="009833C5">
              <w:rPr>
                <w:rFonts w:cs="Arial"/>
                <w:color w:val="000000"/>
                <w:szCs w:val="20"/>
              </w:rPr>
              <w:t>xanthus</w:t>
            </w:r>
            <w:proofErr w:type="spellEnd"/>
          </w:p>
        </w:tc>
        <w:tc>
          <w:tcPr>
            <w:tcW w:w="2839" w:type="dxa"/>
            <w:gridSpan w:val="2"/>
            <w:tcBorders>
              <w:top w:val="nil"/>
              <w:left w:val="nil"/>
              <w:bottom w:val="nil"/>
              <w:right w:val="nil"/>
            </w:tcBorders>
          </w:tcPr>
          <w:p w14:paraId="3A00EDEA"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PeerJ</w:t>
            </w:r>
            <w:proofErr w:type="spellEnd"/>
          </w:p>
        </w:tc>
        <w:tc>
          <w:tcPr>
            <w:tcW w:w="1800" w:type="dxa"/>
            <w:gridSpan w:val="2"/>
            <w:tcBorders>
              <w:top w:val="nil"/>
              <w:left w:val="nil"/>
              <w:bottom w:val="nil"/>
              <w:right w:val="nil"/>
            </w:tcBorders>
          </w:tcPr>
          <w:p w14:paraId="50B3FE74"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PeerJ</w:t>
            </w:r>
            <w:proofErr w:type="spellEnd"/>
          </w:p>
        </w:tc>
      </w:tr>
      <w:tr w:rsidR="0038267C" w:rsidRPr="009833C5" w14:paraId="1E718D30" w14:textId="77777777" w:rsidTr="00A7429A">
        <w:trPr>
          <w:trHeight w:val="499"/>
        </w:trPr>
        <w:tc>
          <w:tcPr>
            <w:tcW w:w="480" w:type="dxa"/>
            <w:gridSpan w:val="2"/>
            <w:tcBorders>
              <w:top w:val="nil"/>
              <w:left w:val="nil"/>
              <w:bottom w:val="nil"/>
              <w:right w:val="nil"/>
            </w:tcBorders>
          </w:tcPr>
          <w:p w14:paraId="321BFF20"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30</w:t>
            </w:r>
          </w:p>
        </w:tc>
        <w:tc>
          <w:tcPr>
            <w:tcW w:w="5081" w:type="dxa"/>
            <w:gridSpan w:val="2"/>
            <w:tcBorders>
              <w:top w:val="nil"/>
              <w:left w:val="nil"/>
              <w:bottom w:val="nil"/>
              <w:right w:val="nil"/>
            </w:tcBorders>
          </w:tcPr>
          <w:p w14:paraId="7717483C"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Comparing Postural Stability Entropy Analyses to Differentiate Fallers and Non-fallers</w:t>
            </w:r>
          </w:p>
        </w:tc>
        <w:tc>
          <w:tcPr>
            <w:tcW w:w="2839" w:type="dxa"/>
            <w:gridSpan w:val="2"/>
            <w:tcBorders>
              <w:top w:val="nil"/>
              <w:left w:val="nil"/>
              <w:bottom w:val="nil"/>
              <w:right w:val="nil"/>
            </w:tcBorders>
          </w:tcPr>
          <w:p w14:paraId="533B2F4A"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PLoS</w:t>
            </w:r>
            <w:proofErr w:type="spellEnd"/>
            <w:r w:rsidRPr="009833C5">
              <w:rPr>
                <w:rFonts w:cs="Arial"/>
                <w:color w:val="000000"/>
                <w:szCs w:val="20"/>
              </w:rPr>
              <w:t xml:space="preserve"> Computational Biology</w:t>
            </w:r>
          </w:p>
        </w:tc>
        <w:tc>
          <w:tcPr>
            <w:tcW w:w="1800" w:type="dxa"/>
            <w:gridSpan w:val="2"/>
            <w:tcBorders>
              <w:top w:val="nil"/>
              <w:left w:val="nil"/>
              <w:bottom w:val="nil"/>
              <w:right w:val="nil"/>
            </w:tcBorders>
          </w:tcPr>
          <w:p w14:paraId="20920FB6"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PLOS</w:t>
            </w:r>
          </w:p>
        </w:tc>
      </w:tr>
      <w:tr w:rsidR="0038267C" w:rsidRPr="009833C5" w14:paraId="4530CE06" w14:textId="77777777" w:rsidTr="00A7429A">
        <w:trPr>
          <w:trHeight w:val="979"/>
        </w:trPr>
        <w:tc>
          <w:tcPr>
            <w:tcW w:w="480" w:type="dxa"/>
            <w:gridSpan w:val="2"/>
            <w:tcBorders>
              <w:top w:val="nil"/>
              <w:left w:val="nil"/>
              <w:bottom w:val="nil"/>
              <w:right w:val="nil"/>
            </w:tcBorders>
          </w:tcPr>
          <w:p w14:paraId="05423CA3"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lastRenderedPageBreak/>
              <w:t>31</w:t>
            </w:r>
          </w:p>
        </w:tc>
        <w:tc>
          <w:tcPr>
            <w:tcW w:w="5081" w:type="dxa"/>
            <w:gridSpan w:val="2"/>
            <w:tcBorders>
              <w:top w:val="nil"/>
              <w:left w:val="nil"/>
              <w:bottom w:val="nil"/>
              <w:right w:val="nil"/>
            </w:tcBorders>
          </w:tcPr>
          <w:p w14:paraId="591CF6A8"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 xml:space="preserve">A rootstock provides water conservation for a grafted commercial tomato (Solanum </w:t>
            </w:r>
            <w:proofErr w:type="spellStart"/>
            <w:r w:rsidRPr="009833C5">
              <w:rPr>
                <w:rFonts w:cs="Arial"/>
                <w:color w:val="000000"/>
                <w:szCs w:val="20"/>
              </w:rPr>
              <w:t>lycopersicum</w:t>
            </w:r>
            <w:proofErr w:type="spellEnd"/>
            <w:r w:rsidRPr="009833C5">
              <w:rPr>
                <w:rFonts w:cs="Arial"/>
                <w:color w:val="000000"/>
                <w:szCs w:val="20"/>
              </w:rPr>
              <w:t xml:space="preserve"> L.) line in response to mild-drought conditions: A focus on vegetative growth and photosynthetic parameters</w:t>
            </w:r>
          </w:p>
        </w:tc>
        <w:tc>
          <w:tcPr>
            <w:tcW w:w="2839" w:type="dxa"/>
            <w:gridSpan w:val="2"/>
            <w:tcBorders>
              <w:top w:val="nil"/>
              <w:left w:val="nil"/>
              <w:bottom w:val="nil"/>
              <w:right w:val="nil"/>
            </w:tcBorders>
          </w:tcPr>
          <w:p w14:paraId="472F62C6"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PLoS</w:t>
            </w:r>
            <w:proofErr w:type="spellEnd"/>
            <w:r w:rsidRPr="009833C5">
              <w:rPr>
                <w:rFonts w:cs="Arial"/>
                <w:color w:val="000000"/>
                <w:szCs w:val="20"/>
              </w:rPr>
              <w:t xml:space="preserve"> One</w:t>
            </w:r>
          </w:p>
        </w:tc>
        <w:tc>
          <w:tcPr>
            <w:tcW w:w="1800" w:type="dxa"/>
            <w:gridSpan w:val="2"/>
            <w:tcBorders>
              <w:top w:val="nil"/>
              <w:left w:val="nil"/>
              <w:bottom w:val="nil"/>
              <w:right w:val="nil"/>
            </w:tcBorders>
          </w:tcPr>
          <w:p w14:paraId="7FED144D"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PLOS</w:t>
            </w:r>
          </w:p>
        </w:tc>
      </w:tr>
      <w:tr w:rsidR="0038267C" w:rsidRPr="009833C5" w14:paraId="485E3239" w14:textId="77777777" w:rsidTr="00A7429A">
        <w:trPr>
          <w:trHeight w:val="499"/>
        </w:trPr>
        <w:tc>
          <w:tcPr>
            <w:tcW w:w="480" w:type="dxa"/>
            <w:gridSpan w:val="2"/>
            <w:tcBorders>
              <w:top w:val="nil"/>
              <w:left w:val="nil"/>
              <w:bottom w:val="nil"/>
              <w:right w:val="nil"/>
            </w:tcBorders>
          </w:tcPr>
          <w:p w14:paraId="7C5CA65A"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32</w:t>
            </w:r>
          </w:p>
        </w:tc>
        <w:tc>
          <w:tcPr>
            <w:tcW w:w="5081" w:type="dxa"/>
            <w:gridSpan w:val="2"/>
            <w:tcBorders>
              <w:top w:val="nil"/>
              <w:left w:val="nil"/>
              <w:bottom w:val="nil"/>
              <w:right w:val="nil"/>
            </w:tcBorders>
          </w:tcPr>
          <w:p w14:paraId="0966B34D"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Acyl-</w:t>
            </w:r>
            <w:proofErr w:type="spellStart"/>
            <w:r w:rsidRPr="009833C5">
              <w:rPr>
                <w:rFonts w:cs="Arial"/>
                <w:color w:val="000000"/>
                <w:szCs w:val="20"/>
              </w:rPr>
              <w:t>homoserine</w:t>
            </w:r>
            <w:proofErr w:type="spellEnd"/>
            <w:r w:rsidRPr="009833C5">
              <w:rPr>
                <w:rFonts w:cs="Arial"/>
                <w:color w:val="000000"/>
                <w:szCs w:val="20"/>
              </w:rPr>
              <w:t xml:space="preserve"> Lactone Recognition and Response Hindering the Quorum-Sensing Regulator </w:t>
            </w:r>
            <w:proofErr w:type="spellStart"/>
            <w:r w:rsidRPr="009833C5">
              <w:rPr>
                <w:rFonts w:cs="Arial"/>
                <w:color w:val="000000"/>
                <w:szCs w:val="20"/>
              </w:rPr>
              <w:t>EsaR</w:t>
            </w:r>
            <w:proofErr w:type="spellEnd"/>
          </w:p>
        </w:tc>
        <w:tc>
          <w:tcPr>
            <w:tcW w:w="2839" w:type="dxa"/>
            <w:gridSpan w:val="2"/>
            <w:tcBorders>
              <w:top w:val="nil"/>
              <w:left w:val="nil"/>
              <w:bottom w:val="nil"/>
              <w:right w:val="nil"/>
            </w:tcBorders>
          </w:tcPr>
          <w:p w14:paraId="43F933F7"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PLoS</w:t>
            </w:r>
            <w:proofErr w:type="spellEnd"/>
            <w:r w:rsidRPr="009833C5">
              <w:rPr>
                <w:rFonts w:cs="Arial"/>
                <w:color w:val="000000"/>
                <w:szCs w:val="20"/>
              </w:rPr>
              <w:t xml:space="preserve"> One</w:t>
            </w:r>
          </w:p>
        </w:tc>
        <w:tc>
          <w:tcPr>
            <w:tcW w:w="1800" w:type="dxa"/>
            <w:gridSpan w:val="2"/>
            <w:tcBorders>
              <w:top w:val="nil"/>
              <w:left w:val="nil"/>
              <w:bottom w:val="nil"/>
              <w:right w:val="nil"/>
            </w:tcBorders>
          </w:tcPr>
          <w:p w14:paraId="4A4B5DE7"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PLOS</w:t>
            </w:r>
          </w:p>
        </w:tc>
      </w:tr>
      <w:tr w:rsidR="0038267C" w:rsidRPr="009833C5" w14:paraId="7C89ACC1" w14:textId="77777777" w:rsidTr="00A7429A">
        <w:trPr>
          <w:trHeight w:val="739"/>
        </w:trPr>
        <w:tc>
          <w:tcPr>
            <w:tcW w:w="480" w:type="dxa"/>
            <w:gridSpan w:val="2"/>
            <w:tcBorders>
              <w:top w:val="nil"/>
              <w:left w:val="nil"/>
              <w:bottom w:val="nil"/>
              <w:right w:val="nil"/>
            </w:tcBorders>
          </w:tcPr>
          <w:p w14:paraId="60B97D3C"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33</w:t>
            </w:r>
          </w:p>
        </w:tc>
        <w:tc>
          <w:tcPr>
            <w:tcW w:w="5081" w:type="dxa"/>
            <w:gridSpan w:val="2"/>
            <w:tcBorders>
              <w:top w:val="nil"/>
              <w:left w:val="nil"/>
              <w:bottom w:val="nil"/>
              <w:right w:val="nil"/>
            </w:tcBorders>
          </w:tcPr>
          <w:p w14:paraId="47066068"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 xml:space="preserve">Development and validation of a UPLC-MS/MS method to monitor </w:t>
            </w:r>
            <w:proofErr w:type="spellStart"/>
            <w:r w:rsidRPr="009833C5">
              <w:rPr>
                <w:rFonts w:cs="Arial"/>
                <w:color w:val="000000"/>
                <w:szCs w:val="20"/>
              </w:rPr>
              <w:t>cephapirin</w:t>
            </w:r>
            <w:proofErr w:type="spellEnd"/>
            <w:r w:rsidRPr="009833C5">
              <w:rPr>
                <w:rFonts w:cs="Arial"/>
                <w:color w:val="000000"/>
                <w:szCs w:val="20"/>
              </w:rPr>
              <w:t xml:space="preserve"> excretion in dairy cows following </w:t>
            </w:r>
            <w:proofErr w:type="spellStart"/>
            <w:r w:rsidRPr="009833C5">
              <w:rPr>
                <w:rFonts w:cs="Arial"/>
                <w:color w:val="000000"/>
                <w:szCs w:val="20"/>
              </w:rPr>
              <w:t>intramammary</w:t>
            </w:r>
            <w:proofErr w:type="spellEnd"/>
            <w:r w:rsidRPr="009833C5">
              <w:rPr>
                <w:rFonts w:cs="Arial"/>
                <w:color w:val="000000"/>
                <w:szCs w:val="20"/>
              </w:rPr>
              <w:t xml:space="preserve"> infusion</w:t>
            </w:r>
          </w:p>
        </w:tc>
        <w:tc>
          <w:tcPr>
            <w:tcW w:w="2839" w:type="dxa"/>
            <w:gridSpan w:val="2"/>
            <w:tcBorders>
              <w:top w:val="nil"/>
              <w:left w:val="nil"/>
              <w:bottom w:val="nil"/>
              <w:right w:val="nil"/>
            </w:tcBorders>
          </w:tcPr>
          <w:p w14:paraId="5AAD480D"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PLoS</w:t>
            </w:r>
            <w:proofErr w:type="spellEnd"/>
            <w:r w:rsidRPr="009833C5">
              <w:rPr>
                <w:rFonts w:cs="Arial"/>
                <w:color w:val="000000"/>
                <w:szCs w:val="20"/>
              </w:rPr>
              <w:t xml:space="preserve"> One</w:t>
            </w:r>
          </w:p>
        </w:tc>
        <w:tc>
          <w:tcPr>
            <w:tcW w:w="1800" w:type="dxa"/>
            <w:gridSpan w:val="2"/>
            <w:tcBorders>
              <w:top w:val="nil"/>
              <w:left w:val="nil"/>
              <w:bottom w:val="nil"/>
              <w:right w:val="nil"/>
            </w:tcBorders>
          </w:tcPr>
          <w:p w14:paraId="44B2057F"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PLOS</w:t>
            </w:r>
          </w:p>
        </w:tc>
      </w:tr>
      <w:tr w:rsidR="0038267C" w:rsidRPr="009833C5" w14:paraId="725C9D29" w14:textId="77777777" w:rsidTr="00A7429A">
        <w:trPr>
          <w:trHeight w:val="739"/>
        </w:trPr>
        <w:tc>
          <w:tcPr>
            <w:tcW w:w="480" w:type="dxa"/>
            <w:gridSpan w:val="2"/>
            <w:tcBorders>
              <w:top w:val="nil"/>
              <w:left w:val="nil"/>
              <w:bottom w:val="nil"/>
              <w:right w:val="nil"/>
            </w:tcBorders>
          </w:tcPr>
          <w:p w14:paraId="48B55D3A"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34</w:t>
            </w:r>
          </w:p>
        </w:tc>
        <w:tc>
          <w:tcPr>
            <w:tcW w:w="5081" w:type="dxa"/>
            <w:gridSpan w:val="2"/>
            <w:tcBorders>
              <w:top w:val="nil"/>
              <w:left w:val="nil"/>
              <w:bottom w:val="nil"/>
              <w:right w:val="nil"/>
            </w:tcBorders>
          </w:tcPr>
          <w:p w14:paraId="70C6504F"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Fish and phytoplankton exhibit contrasting temporal species abundance patterns in a dynamic north temperate lake</w:t>
            </w:r>
          </w:p>
        </w:tc>
        <w:tc>
          <w:tcPr>
            <w:tcW w:w="2839" w:type="dxa"/>
            <w:gridSpan w:val="2"/>
            <w:tcBorders>
              <w:top w:val="nil"/>
              <w:left w:val="nil"/>
              <w:bottom w:val="nil"/>
              <w:right w:val="nil"/>
            </w:tcBorders>
          </w:tcPr>
          <w:p w14:paraId="0303E987"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PLoS</w:t>
            </w:r>
            <w:proofErr w:type="spellEnd"/>
            <w:r w:rsidRPr="009833C5">
              <w:rPr>
                <w:rFonts w:cs="Arial"/>
                <w:color w:val="000000"/>
                <w:szCs w:val="20"/>
              </w:rPr>
              <w:t xml:space="preserve"> One</w:t>
            </w:r>
          </w:p>
        </w:tc>
        <w:tc>
          <w:tcPr>
            <w:tcW w:w="1800" w:type="dxa"/>
            <w:gridSpan w:val="2"/>
            <w:tcBorders>
              <w:top w:val="nil"/>
              <w:left w:val="nil"/>
              <w:bottom w:val="nil"/>
              <w:right w:val="nil"/>
            </w:tcBorders>
          </w:tcPr>
          <w:p w14:paraId="48229937"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PLOS</w:t>
            </w:r>
          </w:p>
        </w:tc>
      </w:tr>
      <w:tr w:rsidR="0038267C" w:rsidRPr="009833C5" w14:paraId="6C33D240" w14:textId="77777777" w:rsidTr="00A7429A">
        <w:trPr>
          <w:trHeight w:val="499"/>
        </w:trPr>
        <w:tc>
          <w:tcPr>
            <w:tcW w:w="480" w:type="dxa"/>
            <w:gridSpan w:val="2"/>
            <w:tcBorders>
              <w:top w:val="nil"/>
              <w:left w:val="nil"/>
              <w:bottom w:val="nil"/>
              <w:right w:val="nil"/>
            </w:tcBorders>
          </w:tcPr>
          <w:p w14:paraId="660617FE"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35</w:t>
            </w:r>
          </w:p>
        </w:tc>
        <w:tc>
          <w:tcPr>
            <w:tcW w:w="5081" w:type="dxa"/>
            <w:gridSpan w:val="2"/>
            <w:tcBorders>
              <w:top w:val="nil"/>
              <w:left w:val="nil"/>
              <w:bottom w:val="nil"/>
              <w:right w:val="nil"/>
            </w:tcBorders>
          </w:tcPr>
          <w:p w14:paraId="12D34CE8"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OpaR</w:t>
            </w:r>
            <w:proofErr w:type="spellEnd"/>
            <w:r w:rsidRPr="009833C5">
              <w:rPr>
                <w:rFonts w:cs="Arial"/>
                <w:color w:val="000000"/>
                <w:szCs w:val="20"/>
              </w:rPr>
              <w:t xml:space="preserve"> Controls a Network of Downstream Transcription Factors in Vibrio  </w:t>
            </w:r>
            <w:proofErr w:type="spellStart"/>
            <w:r w:rsidRPr="009833C5">
              <w:rPr>
                <w:rFonts w:cs="Arial"/>
                <w:color w:val="000000"/>
                <w:szCs w:val="20"/>
              </w:rPr>
              <w:t>parahaemolyticus</w:t>
            </w:r>
            <w:proofErr w:type="spellEnd"/>
            <w:r w:rsidRPr="009833C5">
              <w:rPr>
                <w:rFonts w:cs="Arial"/>
                <w:color w:val="000000"/>
                <w:szCs w:val="20"/>
              </w:rPr>
              <w:t xml:space="preserve"> BB22OP</w:t>
            </w:r>
          </w:p>
        </w:tc>
        <w:tc>
          <w:tcPr>
            <w:tcW w:w="2839" w:type="dxa"/>
            <w:gridSpan w:val="2"/>
            <w:tcBorders>
              <w:top w:val="nil"/>
              <w:left w:val="nil"/>
              <w:bottom w:val="nil"/>
              <w:right w:val="nil"/>
            </w:tcBorders>
          </w:tcPr>
          <w:p w14:paraId="4F3A2DC2"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PLoS</w:t>
            </w:r>
            <w:proofErr w:type="spellEnd"/>
            <w:r w:rsidRPr="009833C5">
              <w:rPr>
                <w:rFonts w:cs="Arial"/>
                <w:color w:val="000000"/>
                <w:szCs w:val="20"/>
              </w:rPr>
              <w:t xml:space="preserve"> One</w:t>
            </w:r>
          </w:p>
        </w:tc>
        <w:tc>
          <w:tcPr>
            <w:tcW w:w="1800" w:type="dxa"/>
            <w:gridSpan w:val="2"/>
            <w:tcBorders>
              <w:top w:val="nil"/>
              <w:left w:val="nil"/>
              <w:bottom w:val="nil"/>
              <w:right w:val="nil"/>
            </w:tcBorders>
          </w:tcPr>
          <w:p w14:paraId="05FA3E47"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PLOS</w:t>
            </w:r>
          </w:p>
        </w:tc>
      </w:tr>
      <w:tr w:rsidR="0038267C" w:rsidRPr="009833C5" w14:paraId="7A585ED6" w14:textId="77777777" w:rsidTr="00A7429A">
        <w:trPr>
          <w:trHeight w:val="499"/>
        </w:trPr>
        <w:tc>
          <w:tcPr>
            <w:tcW w:w="480" w:type="dxa"/>
            <w:gridSpan w:val="2"/>
            <w:tcBorders>
              <w:top w:val="nil"/>
              <w:left w:val="nil"/>
              <w:bottom w:val="nil"/>
              <w:right w:val="nil"/>
            </w:tcBorders>
          </w:tcPr>
          <w:p w14:paraId="1B15E4C0"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36</w:t>
            </w:r>
          </w:p>
        </w:tc>
        <w:tc>
          <w:tcPr>
            <w:tcW w:w="5081" w:type="dxa"/>
            <w:gridSpan w:val="2"/>
            <w:tcBorders>
              <w:top w:val="nil"/>
              <w:left w:val="nil"/>
              <w:bottom w:val="nil"/>
              <w:right w:val="nil"/>
            </w:tcBorders>
          </w:tcPr>
          <w:p w14:paraId="31F56B33"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Paradoxical effects of all-trans-</w:t>
            </w:r>
            <w:proofErr w:type="spellStart"/>
            <w:r w:rsidRPr="009833C5">
              <w:rPr>
                <w:rFonts w:cs="Arial"/>
                <w:color w:val="000000"/>
                <w:szCs w:val="20"/>
              </w:rPr>
              <w:t>reinoic</w:t>
            </w:r>
            <w:proofErr w:type="spellEnd"/>
            <w:r w:rsidRPr="009833C5">
              <w:rPr>
                <w:rFonts w:cs="Arial"/>
                <w:color w:val="000000"/>
                <w:szCs w:val="20"/>
              </w:rPr>
              <w:t xml:space="preserve"> acid on Lupus-like disease in the MRL/</w:t>
            </w:r>
            <w:proofErr w:type="spellStart"/>
            <w:r w:rsidRPr="009833C5">
              <w:rPr>
                <w:rFonts w:cs="Arial"/>
                <w:color w:val="000000"/>
                <w:szCs w:val="20"/>
              </w:rPr>
              <w:t>lpr</w:t>
            </w:r>
            <w:proofErr w:type="spellEnd"/>
            <w:r w:rsidRPr="009833C5">
              <w:rPr>
                <w:rFonts w:cs="Arial"/>
                <w:color w:val="000000"/>
                <w:szCs w:val="20"/>
              </w:rPr>
              <w:t xml:space="preserve"> mouse model</w:t>
            </w:r>
          </w:p>
        </w:tc>
        <w:tc>
          <w:tcPr>
            <w:tcW w:w="2839" w:type="dxa"/>
            <w:gridSpan w:val="2"/>
            <w:tcBorders>
              <w:top w:val="nil"/>
              <w:left w:val="nil"/>
              <w:bottom w:val="nil"/>
              <w:right w:val="nil"/>
            </w:tcBorders>
          </w:tcPr>
          <w:p w14:paraId="2F1E4803"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PLoS</w:t>
            </w:r>
            <w:proofErr w:type="spellEnd"/>
            <w:r w:rsidRPr="009833C5">
              <w:rPr>
                <w:rFonts w:cs="Arial"/>
                <w:color w:val="000000"/>
                <w:szCs w:val="20"/>
              </w:rPr>
              <w:t xml:space="preserve"> One</w:t>
            </w:r>
          </w:p>
        </w:tc>
        <w:tc>
          <w:tcPr>
            <w:tcW w:w="1800" w:type="dxa"/>
            <w:gridSpan w:val="2"/>
            <w:tcBorders>
              <w:top w:val="nil"/>
              <w:left w:val="nil"/>
              <w:bottom w:val="nil"/>
              <w:right w:val="nil"/>
            </w:tcBorders>
          </w:tcPr>
          <w:p w14:paraId="37BD75AE"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PLOS</w:t>
            </w:r>
          </w:p>
        </w:tc>
      </w:tr>
      <w:tr w:rsidR="0038267C" w:rsidRPr="009833C5" w14:paraId="4616A53D" w14:textId="77777777" w:rsidTr="00A7429A">
        <w:trPr>
          <w:trHeight w:val="499"/>
        </w:trPr>
        <w:tc>
          <w:tcPr>
            <w:tcW w:w="480" w:type="dxa"/>
            <w:gridSpan w:val="2"/>
            <w:tcBorders>
              <w:top w:val="nil"/>
              <w:left w:val="nil"/>
              <w:bottom w:val="nil"/>
              <w:right w:val="nil"/>
            </w:tcBorders>
          </w:tcPr>
          <w:p w14:paraId="2B3B34A6"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37</w:t>
            </w:r>
          </w:p>
        </w:tc>
        <w:tc>
          <w:tcPr>
            <w:tcW w:w="5081" w:type="dxa"/>
            <w:gridSpan w:val="2"/>
            <w:tcBorders>
              <w:top w:val="nil"/>
              <w:left w:val="nil"/>
              <w:bottom w:val="nil"/>
              <w:right w:val="nil"/>
            </w:tcBorders>
          </w:tcPr>
          <w:p w14:paraId="195F965B"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 xml:space="preserve">Phosphorylation of </w:t>
            </w:r>
            <w:proofErr w:type="spellStart"/>
            <w:r w:rsidRPr="009833C5">
              <w:rPr>
                <w:rFonts w:cs="Arial"/>
                <w:color w:val="000000"/>
                <w:szCs w:val="20"/>
              </w:rPr>
              <w:t>PPARgamma</w:t>
            </w:r>
            <w:proofErr w:type="spellEnd"/>
            <w:r w:rsidRPr="009833C5">
              <w:rPr>
                <w:rFonts w:cs="Arial"/>
                <w:color w:val="000000"/>
                <w:szCs w:val="20"/>
              </w:rPr>
              <w:t xml:space="preserve"> Affects the Collective Motions of the </w:t>
            </w:r>
            <w:proofErr w:type="spellStart"/>
            <w:r w:rsidRPr="009833C5">
              <w:rPr>
                <w:rFonts w:cs="Arial"/>
                <w:color w:val="000000"/>
                <w:szCs w:val="20"/>
              </w:rPr>
              <w:t>PPARgamma</w:t>
            </w:r>
            <w:proofErr w:type="spellEnd"/>
            <w:r w:rsidRPr="009833C5">
              <w:rPr>
                <w:rFonts w:cs="Arial"/>
                <w:color w:val="000000"/>
                <w:szCs w:val="20"/>
              </w:rPr>
              <w:t>-</w:t>
            </w:r>
            <w:proofErr w:type="spellStart"/>
            <w:r w:rsidRPr="009833C5">
              <w:rPr>
                <w:rFonts w:cs="Arial"/>
                <w:color w:val="000000"/>
                <w:szCs w:val="20"/>
              </w:rPr>
              <w:t>RXRalpha</w:t>
            </w:r>
            <w:proofErr w:type="spellEnd"/>
            <w:r w:rsidRPr="009833C5">
              <w:rPr>
                <w:rFonts w:cs="Arial"/>
                <w:color w:val="000000"/>
                <w:szCs w:val="20"/>
              </w:rPr>
              <w:t>-DNA Complex</w:t>
            </w:r>
          </w:p>
        </w:tc>
        <w:tc>
          <w:tcPr>
            <w:tcW w:w="2839" w:type="dxa"/>
            <w:gridSpan w:val="2"/>
            <w:tcBorders>
              <w:top w:val="nil"/>
              <w:left w:val="nil"/>
              <w:bottom w:val="nil"/>
              <w:right w:val="nil"/>
            </w:tcBorders>
          </w:tcPr>
          <w:p w14:paraId="0317D091"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PLoS</w:t>
            </w:r>
            <w:proofErr w:type="spellEnd"/>
            <w:r w:rsidRPr="009833C5">
              <w:rPr>
                <w:rFonts w:cs="Arial"/>
                <w:color w:val="000000"/>
                <w:szCs w:val="20"/>
              </w:rPr>
              <w:t xml:space="preserve"> One</w:t>
            </w:r>
          </w:p>
        </w:tc>
        <w:tc>
          <w:tcPr>
            <w:tcW w:w="1800" w:type="dxa"/>
            <w:gridSpan w:val="2"/>
            <w:tcBorders>
              <w:top w:val="nil"/>
              <w:left w:val="nil"/>
              <w:bottom w:val="nil"/>
              <w:right w:val="nil"/>
            </w:tcBorders>
          </w:tcPr>
          <w:p w14:paraId="43A9044C"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PLOS</w:t>
            </w:r>
          </w:p>
        </w:tc>
      </w:tr>
      <w:tr w:rsidR="0038267C" w:rsidRPr="009833C5" w14:paraId="01E4C6E5" w14:textId="77777777" w:rsidTr="00A7429A">
        <w:trPr>
          <w:trHeight w:val="499"/>
        </w:trPr>
        <w:tc>
          <w:tcPr>
            <w:tcW w:w="480" w:type="dxa"/>
            <w:gridSpan w:val="2"/>
            <w:tcBorders>
              <w:top w:val="nil"/>
              <w:left w:val="nil"/>
              <w:bottom w:val="nil"/>
              <w:right w:val="nil"/>
            </w:tcBorders>
          </w:tcPr>
          <w:p w14:paraId="6DCDE688"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38</w:t>
            </w:r>
          </w:p>
        </w:tc>
        <w:tc>
          <w:tcPr>
            <w:tcW w:w="5081" w:type="dxa"/>
            <w:gridSpan w:val="2"/>
            <w:tcBorders>
              <w:top w:val="nil"/>
              <w:left w:val="nil"/>
              <w:bottom w:val="nil"/>
              <w:right w:val="nil"/>
            </w:tcBorders>
          </w:tcPr>
          <w:p w14:paraId="0F11D34A"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Quantifying Human Mobility Perturbation and Resilience in Hurricane Sandy</w:t>
            </w:r>
          </w:p>
        </w:tc>
        <w:tc>
          <w:tcPr>
            <w:tcW w:w="2839" w:type="dxa"/>
            <w:gridSpan w:val="2"/>
            <w:tcBorders>
              <w:top w:val="nil"/>
              <w:left w:val="nil"/>
              <w:bottom w:val="nil"/>
              <w:right w:val="nil"/>
            </w:tcBorders>
          </w:tcPr>
          <w:p w14:paraId="39E3764E"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PLoS</w:t>
            </w:r>
            <w:proofErr w:type="spellEnd"/>
            <w:r w:rsidRPr="009833C5">
              <w:rPr>
                <w:rFonts w:cs="Arial"/>
                <w:color w:val="000000"/>
                <w:szCs w:val="20"/>
              </w:rPr>
              <w:t xml:space="preserve"> One</w:t>
            </w:r>
          </w:p>
        </w:tc>
        <w:tc>
          <w:tcPr>
            <w:tcW w:w="1800" w:type="dxa"/>
            <w:gridSpan w:val="2"/>
            <w:tcBorders>
              <w:top w:val="nil"/>
              <w:left w:val="nil"/>
              <w:bottom w:val="nil"/>
              <w:right w:val="nil"/>
            </w:tcBorders>
          </w:tcPr>
          <w:p w14:paraId="663E5F8E"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PLOS</w:t>
            </w:r>
          </w:p>
        </w:tc>
      </w:tr>
      <w:tr w:rsidR="0038267C" w:rsidRPr="009833C5" w14:paraId="4C0F6F50" w14:textId="77777777" w:rsidTr="00A7429A">
        <w:trPr>
          <w:trHeight w:val="739"/>
        </w:trPr>
        <w:tc>
          <w:tcPr>
            <w:tcW w:w="480" w:type="dxa"/>
            <w:gridSpan w:val="2"/>
            <w:tcBorders>
              <w:top w:val="nil"/>
              <w:left w:val="nil"/>
              <w:bottom w:val="nil"/>
              <w:right w:val="nil"/>
            </w:tcBorders>
          </w:tcPr>
          <w:p w14:paraId="40AEFFC8"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39</w:t>
            </w:r>
          </w:p>
        </w:tc>
        <w:tc>
          <w:tcPr>
            <w:tcW w:w="5081" w:type="dxa"/>
            <w:gridSpan w:val="2"/>
            <w:tcBorders>
              <w:top w:val="nil"/>
              <w:left w:val="nil"/>
              <w:bottom w:val="nil"/>
              <w:right w:val="nil"/>
            </w:tcBorders>
          </w:tcPr>
          <w:p w14:paraId="1497652B"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Spontaneous magnetic alignment by yearling snapping turtles: rapid association of radio frequency dependent pattern of magnetic input with novel surroundings</w:t>
            </w:r>
          </w:p>
        </w:tc>
        <w:tc>
          <w:tcPr>
            <w:tcW w:w="2839" w:type="dxa"/>
            <w:gridSpan w:val="2"/>
            <w:tcBorders>
              <w:top w:val="nil"/>
              <w:left w:val="nil"/>
              <w:bottom w:val="nil"/>
              <w:right w:val="nil"/>
            </w:tcBorders>
          </w:tcPr>
          <w:p w14:paraId="0F10CE02"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PLoS</w:t>
            </w:r>
            <w:proofErr w:type="spellEnd"/>
            <w:r w:rsidRPr="009833C5">
              <w:rPr>
                <w:rFonts w:cs="Arial"/>
                <w:color w:val="000000"/>
                <w:szCs w:val="20"/>
              </w:rPr>
              <w:t xml:space="preserve"> One</w:t>
            </w:r>
          </w:p>
        </w:tc>
        <w:tc>
          <w:tcPr>
            <w:tcW w:w="1800" w:type="dxa"/>
            <w:gridSpan w:val="2"/>
            <w:tcBorders>
              <w:top w:val="nil"/>
              <w:left w:val="nil"/>
              <w:bottom w:val="nil"/>
              <w:right w:val="nil"/>
            </w:tcBorders>
          </w:tcPr>
          <w:p w14:paraId="12BBDCB9"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PLOS</w:t>
            </w:r>
          </w:p>
        </w:tc>
      </w:tr>
      <w:tr w:rsidR="0038267C" w:rsidRPr="009833C5" w14:paraId="2B4680C4" w14:textId="77777777" w:rsidTr="00A7429A">
        <w:trPr>
          <w:trHeight w:val="739"/>
        </w:trPr>
        <w:tc>
          <w:tcPr>
            <w:tcW w:w="480" w:type="dxa"/>
            <w:gridSpan w:val="2"/>
            <w:tcBorders>
              <w:top w:val="nil"/>
              <w:left w:val="nil"/>
              <w:bottom w:val="nil"/>
              <w:right w:val="nil"/>
            </w:tcBorders>
          </w:tcPr>
          <w:p w14:paraId="072E1C32"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40</w:t>
            </w:r>
          </w:p>
        </w:tc>
        <w:tc>
          <w:tcPr>
            <w:tcW w:w="5081" w:type="dxa"/>
            <w:gridSpan w:val="2"/>
            <w:tcBorders>
              <w:top w:val="nil"/>
              <w:left w:val="nil"/>
              <w:bottom w:val="nil"/>
              <w:right w:val="nil"/>
            </w:tcBorders>
          </w:tcPr>
          <w:p w14:paraId="0EFC4C42"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 xml:space="preserve">Systematic Reverse Engineering of Network Topologies: A Case Study of Resettable </w:t>
            </w:r>
            <w:proofErr w:type="spellStart"/>
            <w:r w:rsidRPr="009833C5">
              <w:rPr>
                <w:rFonts w:cs="Arial"/>
                <w:color w:val="000000"/>
                <w:szCs w:val="20"/>
              </w:rPr>
              <w:t>Bistable</w:t>
            </w:r>
            <w:proofErr w:type="spellEnd"/>
            <w:r w:rsidRPr="009833C5">
              <w:rPr>
                <w:rFonts w:cs="Arial"/>
                <w:color w:val="000000"/>
                <w:szCs w:val="20"/>
              </w:rPr>
              <w:t xml:space="preserve"> Cellular Responses</w:t>
            </w:r>
          </w:p>
        </w:tc>
        <w:tc>
          <w:tcPr>
            <w:tcW w:w="2839" w:type="dxa"/>
            <w:gridSpan w:val="2"/>
            <w:tcBorders>
              <w:top w:val="nil"/>
              <w:left w:val="nil"/>
              <w:bottom w:val="nil"/>
              <w:right w:val="nil"/>
            </w:tcBorders>
          </w:tcPr>
          <w:p w14:paraId="00064C42"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PLoS</w:t>
            </w:r>
            <w:proofErr w:type="spellEnd"/>
            <w:r w:rsidRPr="009833C5">
              <w:rPr>
                <w:rFonts w:cs="Arial"/>
                <w:color w:val="000000"/>
                <w:szCs w:val="20"/>
              </w:rPr>
              <w:t xml:space="preserve"> One</w:t>
            </w:r>
          </w:p>
        </w:tc>
        <w:tc>
          <w:tcPr>
            <w:tcW w:w="1800" w:type="dxa"/>
            <w:gridSpan w:val="2"/>
            <w:tcBorders>
              <w:top w:val="nil"/>
              <w:left w:val="nil"/>
              <w:bottom w:val="nil"/>
              <w:right w:val="nil"/>
            </w:tcBorders>
          </w:tcPr>
          <w:p w14:paraId="0CA83002"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PLOS</w:t>
            </w:r>
          </w:p>
        </w:tc>
      </w:tr>
      <w:tr w:rsidR="0038267C" w:rsidRPr="009833C5" w14:paraId="76C6067D" w14:textId="77777777" w:rsidTr="00A7429A">
        <w:trPr>
          <w:trHeight w:val="499"/>
        </w:trPr>
        <w:tc>
          <w:tcPr>
            <w:tcW w:w="480" w:type="dxa"/>
            <w:gridSpan w:val="2"/>
            <w:tcBorders>
              <w:top w:val="nil"/>
              <w:left w:val="nil"/>
              <w:bottom w:val="nil"/>
              <w:right w:val="nil"/>
            </w:tcBorders>
          </w:tcPr>
          <w:p w14:paraId="4AC69DA3"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41</w:t>
            </w:r>
          </w:p>
        </w:tc>
        <w:tc>
          <w:tcPr>
            <w:tcW w:w="5081" w:type="dxa"/>
            <w:gridSpan w:val="2"/>
            <w:tcBorders>
              <w:top w:val="nil"/>
              <w:left w:val="nil"/>
              <w:bottom w:val="nil"/>
              <w:right w:val="nil"/>
            </w:tcBorders>
          </w:tcPr>
          <w:p w14:paraId="409A53F3"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 xml:space="preserve">Toll-like receptor responses to </w:t>
            </w:r>
            <w:proofErr w:type="spellStart"/>
            <w:r w:rsidRPr="009833C5">
              <w:rPr>
                <w:rFonts w:cs="Arial"/>
                <w:color w:val="000000"/>
                <w:szCs w:val="20"/>
              </w:rPr>
              <w:t>Peste</w:t>
            </w:r>
            <w:proofErr w:type="spellEnd"/>
            <w:r w:rsidRPr="009833C5">
              <w:rPr>
                <w:rFonts w:cs="Arial"/>
                <w:color w:val="000000"/>
                <w:szCs w:val="20"/>
              </w:rPr>
              <w:t xml:space="preserve"> des </w:t>
            </w:r>
            <w:proofErr w:type="spellStart"/>
            <w:r w:rsidRPr="009833C5">
              <w:rPr>
                <w:rFonts w:cs="Arial"/>
                <w:color w:val="000000"/>
                <w:szCs w:val="20"/>
              </w:rPr>
              <w:t>petits</w:t>
            </w:r>
            <w:proofErr w:type="spellEnd"/>
            <w:r w:rsidRPr="009833C5">
              <w:rPr>
                <w:rFonts w:cs="Arial"/>
                <w:color w:val="000000"/>
                <w:szCs w:val="20"/>
              </w:rPr>
              <w:t xml:space="preserve"> ruminants virus in goats and water buffalo</w:t>
            </w:r>
          </w:p>
        </w:tc>
        <w:tc>
          <w:tcPr>
            <w:tcW w:w="2839" w:type="dxa"/>
            <w:gridSpan w:val="2"/>
            <w:tcBorders>
              <w:top w:val="nil"/>
              <w:left w:val="nil"/>
              <w:bottom w:val="nil"/>
              <w:right w:val="nil"/>
            </w:tcBorders>
          </w:tcPr>
          <w:p w14:paraId="7B937408"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PLoS</w:t>
            </w:r>
            <w:proofErr w:type="spellEnd"/>
            <w:r w:rsidRPr="009833C5">
              <w:rPr>
                <w:rFonts w:cs="Arial"/>
                <w:color w:val="000000"/>
                <w:szCs w:val="20"/>
              </w:rPr>
              <w:t xml:space="preserve"> One</w:t>
            </w:r>
          </w:p>
        </w:tc>
        <w:tc>
          <w:tcPr>
            <w:tcW w:w="1800" w:type="dxa"/>
            <w:gridSpan w:val="2"/>
            <w:tcBorders>
              <w:top w:val="nil"/>
              <w:left w:val="nil"/>
              <w:bottom w:val="nil"/>
              <w:right w:val="nil"/>
            </w:tcBorders>
          </w:tcPr>
          <w:p w14:paraId="62D7402E"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PLOS</w:t>
            </w:r>
          </w:p>
        </w:tc>
      </w:tr>
      <w:tr w:rsidR="0038267C" w:rsidRPr="009833C5" w14:paraId="04C5DDA0" w14:textId="77777777" w:rsidTr="00A7429A">
        <w:trPr>
          <w:trHeight w:val="600"/>
        </w:trPr>
        <w:tc>
          <w:tcPr>
            <w:tcW w:w="480" w:type="dxa"/>
            <w:gridSpan w:val="2"/>
            <w:tcBorders>
              <w:top w:val="nil"/>
              <w:left w:val="nil"/>
              <w:bottom w:val="nil"/>
              <w:right w:val="nil"/>
            </w:tcBorders>
          </w:tcPr>
          <w:p w14:paraId="25F3EB30"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42</w:t>
            </w:r>
          </w:p>
        </w:tc>
        <w:tc>
          <w:tcPr>
            <w:tcW w:w="5081" w:type="dxa"/>
            <w:gridSpan w:val="2"/>
            <w:tcBorders>
              <w:top w:val="nil"/>
              <w:left w:val="nil"/>
              <w:bottom w:val="nil"/>
              <w:right w:val="nil"/>
            </w:tcBorders>
          </w:tcPr>
          <w:p w14:paraId="19925AFE" w14:textId="77777777" w:rsidR="0038267C" w:rsidRPr="009833C5" w:rsidRDefault="0038267C" w:rsidP="008845D4">
            <w:pPr>
              <w:widowControl w:val="0"/>
              <w:autoSpaceDE w:val="0"/>
              <w:autoSpaceDN w:val="0"/>
              <w:adjustRightInd w:val="0"/>
              <w:rPr>
                <w:rFonts w:cs="Calibri"/>
                <w:color w:val="000000"/>
                <w:szCs w:val="20"/>
              </w:rPr>
            </w:pPr>
            <w:r w:rsidRPr="009833C5">
              <w:rPr>
                <w:rFonts w:cs="Calibri"/>
                <w:color w:val="000000"/>
                <w:szCs w:val="20"/>
              </w:rPr>
              <w:t>Using historical atlas data to develop high-resolution distribution models of freshwater fishes</w:t>
            </w:r>
          </w:p>
        </w:tc>
        <w:tc>
          <w:tcPr>
            <w:tcW w:w="2839" w:type="dxa"/>
            <w:gridSpan w:val="2"/>
            <w:tcBorders>
              <w:top w:val="nil"/>
              <w:left w:val="nil"/>
              <w:bottom w:val="nil"/>
              <w:right w:val="nil"/>
            </w:tcBorders>
          </w:tcPr>
          <w:p w14:paraId="1EB991DA" w14:textId="77777777" w:rsidR="0038267C" w:rsidRPr="009833C5" w:rsidRDefault="0038267C" w:rsidP="008845D4">
            <w:pPr>
              <w:widowControl w:val="0"/>
              <w:autoSpaceDE w:val="0"/>
              <w:autoSpaceDN w:val="0"/>
              <w:adjustRightInd w:val="0"/>
              <w:rPr>
                <w:rFonts w:cs="Arial"/>
                <w:color w:val="000000"/>
                <w:szCs w:val="20"/>
              </w:rPr>
            </w:pPr>
            <w:proofErr w:type="spellStart"/>
            <w:r w:rsidRPr="009833C5">
              <w:rPr>
                <w:rFonts w:cs="Arial"/>
                <w:color w:val="000000"/>
                <w:szCs w:val="20"/>
              </w:rPr>
              <w:t>PLoS</w:t>
            </w:r>
            <w:proofErr w:type="spellEnd"/>
            <w:r w:rsidRPr="009833C5">
              <w:rPr>
                <w:rFonts w:cs="Arial"/>
                <w:color w:val="000000"/>
                <w:szCs w:val="20"/>
              </w:rPr>
              <w:t xml:space="preserve"> One</w:t>
            </w:r>
          </w:p>
        </w:tc>
        <w:tc>
          <w:tcPr>
            <w:tcW w:w="1800" w:type="dxa"/>
            <w:gridSpan w:val="2"/>
            <w:tcBorders>
              <w:top w:val="nil"/>
              <w:left w:val="nil"/>
              <w:bottom w:val="nil"/>
              <w:right w:val="nil"/>
            </w:tcBorders>
          </w:tcPr>
          <w:p w14:paraId="501D07ED"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PLOS</w:t>
            </w:r>
          </w:p>
        </w:tc>
      </w:tr>
      <w:tr w:rsidR="0038267C" w:rsidRPr="009833C5" w14:paraId="2E736452" w14:textId="77777777" w:rsidTr="00A7429A">
        <w:trPr>
          <w:trHeight w:val="499"/>
        </w:trPr>
        <w:tc>
          <w:tcPr>
            <w:tcW w:w="480" w:type="dxa"/>
            <w:gridSpan w:val="2"/>
            <w:tcBorders>
              <w:top w:val="nil"/>
              <w:left w:val="nil"/>
              <w:bottom w:val="nil"/>
              <w:right w:val="nil"/>
            </w:tcBorders>
          </w:tcPr>
          <w:p w14:paraId="35D40463"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43</w:t>
            </w:r>
          </w:p>
        </w:tc>
        <w:tc>
          <w:tcPr>
            <w:tcW w:w="5081" w:type="dxa"/>
            <w:gridSpan w:val="2"/>
            <w:tcBorders>
              <w:top w:val="nil"/>
              <w:left w:val="nil"/>
              <w:bottom w:val="nil"/>
              <w:right w:val="nil"/>
            </w:tcBorders>
          </w:tcPr>
          <w:p w14:paraId="21B92BD3"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Trust ecology and the resilience of natural resource management</w:t>
            </w:r>
          </w:p>
        </w:tc>
        <w:tc>
          <w:tcPr>
            <w:tcW w:w="2839" w:type="dxa"/>
            <w:gridSpan w:val="2"/>
            <w:tcBorders>
              <w:top w:val="nil"/>
              <w:left w:val="nil"/>
              <w:bottom w:val="nil"/>
              <w:right w:val="nil"/>
            </w:tcBorders>
          </w:tcPr>
          <w:p w14:paraId="57D2F9AB"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Ecology and Society</w:t>
            </w:r>
          </w:p>
        </w:tc>
        <w:tc>
          <w:tcPr>
            <w:tcW w:w="1800" w:type="dxa"/>
            <w:gridSpan w:val="2"/>
            <w:tcBorders>
              <w:top w:val="nil"/>
              <w:left w:val="nil"/>
              <w:bottom w:val="nil"/>
              <w:right w:val="nil"/>
            </w:tcBorders>
          </w:tcPr>
          <w:p w14:paraId="53C101EB"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Resilience Alliance</w:t>
            </w:r>
          </w:p>
        </w:tc>
      </w:tr>
      <w:tr w:rsidR="0038267C" w:rsidRPr="009833C5" w14:paraId="6D222558" w14:textId="77777777" w:rsidTr="00A7429A">
        <w:trPr>
          <w:trHeight w:val="499"/>
        </w:trPr>
        <w:tc>
          <w:tcPr>
            <w:tcW w:w="480" w:type="dxa"/>
            <w:gridSpan w:val="2"/>
            <w:tcBorders>
              <w:top w:val="nil"/>
              <w:left w:val="nil"/>
              <w:bottom w:val="nil"/>
              <w:right w:val="nil"/>
            </w:tcBorders>
          </w:tcPr>
          <w:p w14:paraId="1BDC705D"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44</w:t>
            </w:r>
          </w:p>
        </w:tc>
        <w:tc>
          <w:tcPr>
            <w:tcW w:w="5081" w:type="dxa"/>
            <w:gridSpan w:val="2"/>
            <w:tcBorders>
              <w:top w:val="nil"/>
              <w:left w:val="nil"/>
              <w:bottom w:val="nil"/>
              <w:right w:val="nil"/>
            </w:tcBorders>
          </w:tcPr>
          <w:p w14:paraId="72CF59B4"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Overview of Aluminum Alloy Mechanical Properties During and After Fires</w:t>
            </w:r>
          </w:p>
        </w:tc>
        <w:tc>
          <w:tcPr>
            <w:tcW w:w="2839" w:type="dxa"/>
            <w:gridSpan w:val="2"/>
            <w:tcBorders>
              <w:top w:val="nil"/>
              <w:left w:val="nil"/>
              <w:bottom w:val="nil"/>
              <w:right w:val="nil"/>
            </w:tcBorders>
          </w:tcPr>
          <w:p w14:paraId="17B137E4"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Fire Science Reviews</w:t>
            </w:r>
          </w:p>
        </w:tc>
        <w:tc>
          <w:tcPr>
            <w:tcW w:w="1800" w:type="dxa"/>
            <w:gridSpan w:val="2"/>
            <w:tcBorders>
              <w:top w:val="nil"/>
              <w:left w:val="nil"/>
              <w:bottom w:val="nil"/>
              <w:right w:val="nil"/>
            </w:tcBorders>
          </w:tcPr>
          <w:p w14:paraId="04B9F615"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Springer</w:t>
            </w:r>
          </w:p>
        </w:tc>
      </w:tr>
      <w:tr w:rsidR="0038267C" w:rsidRPr="009833C5" w14:paraId="527B2C60" w14:textId="77777777" w:rsidTr="00A7429A">
        <w:trPr>
          <w:trHeight w:val="499"/>
        </w:trPr>
        <w:tc>
          <w:tcPr>
            <w:tcW w:w="480" w:type="dxa"/>
            <w:gridSpan w:val="2"/>
            <w:tcBorders>
              <w:top w:val="nil"/>
              <w:left w:val="nil"/>
              <w:bottom w:val="nil"/>
              <w:right w:val="nil"/>
            </w:tcBorders>
          </w:tcPr>
          <w:p w14:paraId="51FF9721"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45</w:t>
            </w:r>
          </w:p>
        </w:tc>
        <w:tc>
          <w:tcPr>
            <w:tcW w:w="5081" w:type="dxa"/>
            <w:gridSpan w:val="2"/>
            <w:tcBorders>
              <w:top w:val="nil"/>
              <w:left w:val="nil"/>
              <w:bottom w:val="nil"/>
              <w:right w:val="nil"/>
            </w:tcBorders>
          </w:tcPr>
          <w:p w14:paraId="5555B80F"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Results of a Digital Library Curriculum Field Test</w:t>
            </w:r>
          </w:p>
        </w:tc>
        <w:tc>
          <w:tcPr>
            <w:tcW w:w="2839" w:type="dxa"/>
            <w:gridSpan w:val="2"/>
            <w:tcBorders>
              <w:top w:val="nil"/>
              <w:left w:val="nil"/>
              <w:bottom w:val="nil"/>
              <w:right w:val="nil"/>
            </w:tcBorders>
          </w:tcPr>
          <w:p w14:paraId="548306F1"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International Journal on Digital Libraries</w:t>
            </w:r>
          </w:p>
        </w:tc>
        <w:tc>
          <w:tcPr>
            <w:tcW w:w="1800" w:type="dxa"/>
            <w:gridSpan w:val="2"/>
            <w:tcBorders>
              <w:top w:val="nil"/>
              <w:left w:val="nil"/>
              <w:bottom w:val="nil"/>
              <w:right w:val="nil"/>
            </w:tcBorders>
          </w:tcPr>
          <w:p w14:paraId="41AE302E"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Springer</w:t>
            </w:r>
          </w:p>
        </w:tc>
      </w:tr>
      <w:tr w:rsidR="0038267C" w:rsidRPr="009833C5" w14:paraId="6CD60540" w14:textId="77777777" w:rsidTr="00A7429A">
        <w:trPr>
          <w:trHeight w:val="739"/>
        </w:trPr>
        <w:tc>
          <w:tcPr>
            <w:tcW w:w="480" w:type="dxa"/>
            <w:gridSpan w:val="2"/>
            <w:tcBorders>
              <w:top w:val="nil"/>
              <w:left w:val="nil"/>
              <w:bottom w:val="nil"/>
              <w:right w:val="nil"/>
            </w:tcBorders>
          </w:tcPr>
          <w:p w14:paraId="5A624CA5"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46</w:t>
            </w:r>
          </w:p>
        </w:tc>
        <w:tc>
          <w:tcPr>
            <w:tcW w:w="5081" w:type="dxa"/>
            <w:gridSpan w:val="2"/>
            <w:tcBorders>
              <w:top w:val="nil"/>
              <w:left w:val="nil"/>
              <w:bottom w:val="nil"/>
              <w:right w:val="nil"/>
            </w:tcBorders>
          </w:tcPr>
          <w:p w14:paraId="082333C1"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Global Invader Impact Network (GIIN): towards standardized evaluation of the ecological impacts of invasive plants</w:t>
            </w:r>
          </w:p>
        </w:tc>
        <w:tc>
          <w:tcPr>
            <w:tcW w:w="2839" w:type="dxa"/>
            <w:gridSpan w:val="2"/>
            <w:tcBorders>
              <w:top w:val="nil"/>
              <w:left w:val="nil"/>
              <w:bottom w:val="nil"/>
              <w:right w:val="nil"/>
            </w:tcBorders>
          </w:tcPr>
          <w:p w14:paraId="49853679"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Ecology and Evolution</w:t>
            </w:r>
          </w:p>
        </w:tc>
        <w:tc>
          <w:tcPr>
            <w:tcW w:w="1800" w:type="dxa"/>
            <w:gridSpan w:val="2"/>
            <w:tcBorders>
              <w:top w:val="nil"/>
              <w:left w:val="nil"/>
              <w:bottom w:val="nil"/>
              <w:right w:val="nil"/>
            </w:tcBorders>
          </w:tcPr>
          <w:p w14:paraId="1687A51D"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Wiley</w:t>
            </w:r>
          </w:p>
        </w:tc>
      </w:tr>
      <w:tr w:rsidR="0038267C" w:rsidRPr="009833C5" w14:paraId="1C45E43C" w14:textId="77777777" w:rsidTr="00A7429A">
        <w:trPr>
          <w:trHeight w:val="499"/>
        </w:trPr>
        <w:tc>
          <w:tcPr>
            <w:tcW w:w="480" w:type="dxa"/>
            <w:gridSpan w:val="2"/>
            <w:tcBorders>
              <w:top w:val="nil"/>
              <w:left w:val="nil"/>
              <w:bottom w:val="nil"/>
              <w:right w:val="nil"/>
            </w:tcBorders>
          </w:tcPr>
          <w:p w14:paraId="69945F89" w14:textId="77777777" w:rsidR="0038267C" w:rsidRPr="009833C5" w:rsidRDefault="0038267C" w:rsidP="007A1409">
            <w:pPr>
              <w:widowControl w:val="0"/>
              <w:autoSpaceDE w:val="0"/>
              <w:autoSpaceDN w:val="0"/>
              <w:adjustRightInd w:val="0"/>
              <w:ind w:left="-78"/>
              <w:jc w:val="right"/>
              <w:rPr>
                <w:rFonts w:cs="Calibri"/>
                <w:color w:val="000000"/>
                <w:szCs w:val="20"/>
              </w:rPr>
            </w:pPr>
            <w:r w:rsidRPr="009833C5">
              <w:rPr>
                <w:rFonts w:cs="Calibri"/>
                <w:color w:val="000000"/>
                <w:szCs w:val="20"/>
              </w:rPr>
              <w:t>47</w:t>
            </w:r>
          </w:p>
        </w:tc>
        <w:tc>
          <w:tcPr>
            <w:tcW w:w="5081" w:type="dxa"/>
            <w:gridSpan w:val="2"/>
            <w:tcBorders>
              <w:top w:val="nil"/>
              <w:left w:val="nil"/>
              <w:bottom w:val="nil"/>
              <w:right w:val="nil"/>
            </w:tcBorders>
          </w:tcPr>
          <w:p w14:paraId="7C21EB33"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 xml:space="preserve">Protecting Soymilk Flavor and Nutrients from </w:t>
            </w:r>
            <w:proofErr w:type="spellStart"/>
            <w:r w:rsidRPr="009833C5">
              <w:rPr>
                <w:rFonts w:cs="Arial"/>
                <w:color w:val="000000"/>
                <w:szCs w:val="20"/>
              </w:rPr>
              <w:t>Photodegradation</w:t>
            </w:r>
            <w:proofErr w:type="spellEnd"/>
          </w:p>
        </w:tc>
        <w:tc>
          <w:tcPr>
            <w:tcW w:w="2839" w:type="dxa"/>
            <w:gridSpan w:val="2"/>
            <w:tcBorders>
              <w:top w:val="nil"/>
              <w:left w:val="nil"/>
              <w:bottom w:val="nil"/>
              <w:right w:val="nil"/>
            </w:tcBorders>
          </w:tcPr>
          <w:p w14:paraId="3C48FAF7"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Food Science and Nutrition</w:t>
            </w:r>
          </w:p>
        </w:tc>
        <w:tc>
          <w:tcPr>
            <w:tcW w:w="1800" w:type="dxa"/>
            <w:gridSpan w:val="2"/>
            <w:tcBorders>
              <w:top w:val="nil"/>
              <w:left w:val="nil"/>
              <w:bottom w:val="nil"/>
              <w:right w:val="nil"/>
            </w:tcBorders>
          </w:tcPr>
          <w:p w14:paraId="56D09DE3" w14:textId="77777777" w:rsidR="0038267C" w:rsidRPr="009833C5" w:rsidRDefault="0038267C" w:rsidP="008845D4">
            <w:pPr>
              <w:widowControl w:val="0"/>
              <w:autoSpaceDE w:val="0"/>
              <w:autoSpaceDN w:val="0"/>
              <w:adjustRightInd w:val="0"/>
              <w:rPr>
                <w:rFonts w:cs="Arial"/>
                <w:color w:val="000000"/>
                <w:szCs w:val="20"/>
              </w:rPr>
            </w:pPr>
            <w:r w:rsidRPr="009833C5">
              <w:rPr>
                <w:rFonts w:cs="Arial"/>
                <w:color w:val="000000"/>
                <w:szCs w:val="20"/>
              </w:rPr>
              <w:t>Wiley</w:t>
            </w:r>
          </w:p>
        </w:tc>
      </w:tr>
    </w:tbl>
    <w:p w14:paraId="6B542615" w14:textId="635A1199" w:rsidR="0038267C" w:rsidRPr="009833C5" w:rsidRDefault="0038267C" w:rsidP="008845D4">
      <w:pPr>
        <w:rPr>
          <w:b/>
          <w:szCs w:val="20"/>
        </w:rPr>
      </w:pPr>
      <w:r w:rsidRPr="009833C5">
        <w:rPr>
          <w:b/>
          <w:szCs w:val="20"/>
        </w:rPr>
        <w:br w:type="page"/>
      </w:r>
    </w:p>
    <w:p w14:paraId="1161FA6B" w14:textId="77777777" w:rsidR="002A4504" w:rsidRPr="009833C5" w:rsidRDefault="002A4504" w:rsidP="008845D4">
      <w:pPr>
        <w:rPr>
          <w:b/>
          <w:szCs w:val="20"/>
        </w:rPr>
      </w:pPr>
    </w:p>
    <w:p w14:paraId="29494F01" w14:textId="3F599920" w:rsidR="00BC0545" w:rsidRPr="009833C5" w:rsidRDefault="00BC0545" w:rsidP="008845D4">
      <w:pPr>
        <w:rPr>
          <w:b/>
          <w:szCs w:val="20"/>
        </w:rPr>
      </w:pPr>
      <w:r w:rsidRPr="009833C5">
        <w:rPr>
          <w:b/>
          <w:szCs w:val="20"/>
        </w:rPr>
        <w:t>40 requests</w:t>
      </w:r>
      <w:r w:rsidR="002455AA" w:rsidRPr="009833C5">
        <w:rPr>
          <w:b/>
          <w:szCs w:val="20"/>
        </w:rPr>
        <w:t xml:space="preserve"> </w:t>
      </w:r>
      <w:r w:rsidRPr="009833C5">
        <w:rPr>
          <w:b/>
          <w:szCs w:val="20"/>
        </w:rPr>
        <w:t xml:space="preserve">for funding were </w:t>
      </w:r>
      <w:r w:rsidRPr="009833C5">
        <w:rPr>
          <w:b/>
          <w:i/>
          <w:szCs w:val="20"/>
        </w:rPr>
        <w:t>not</w:t>
      </w:r>
      <w:r w:rsidRPr="009833C5">
        <w:rPr>
          <w:b/>
          <w:szCs w:val="20"/>
        </w:rPr>
        <w:t xml:space="preserve"> approved</w:t>
      </w:r>
      <w:r w:rsidR="002455AA" w:rsidRPr="009833C5">
        <w:rPr>
          <w:b/>
          <w:szCs w:val="20"/>
        </w:rPr>
        <w:t xml:space="preserve"> (45%)</w:t>
      </w:r>
      <w:r w:rsidRPr="009833C5">
        <w:rPr>
          <w:b/>
          <w:szCs w:val="20"/>
        </w:rPr>
        <w:t>.</w:t>
      </w:r>
    </w:p>
    <w:p w14:paraId="4AE50BA3" w14:textId="77777777" w:rsidR="00B16F93" w:rsidRPr="009833C5" w:rsidRDefault="00B16F93" w:rsidP="008845D4">
      <w:pPr>
        <w:rPr>
          <w:b/>
          <w:szCs w:val="20"/>
        </w:rPr>
      </w:pPr>
    </w:p>
    <w:p w14:paraId="7C68A63D" w14:textId="189B06BF" w:rsidR="00BC0545" w:rsidRPr="009833C5" w:rsidRDefault="00BB5E3B" w:rsidP="008845D4">
      <w:pPr>
        <w:pStyle w:val="ListParagraph"/>
        <w:numPr>
          <w:ilvl w:val="0"/>
          <w:numId w:val="1"/>
        </w:numPr>
        <w:rPr>
          <w:szCs w:val="20"/>
        </w:rPr>
      </w:pPr>
      <w:r w:rsidRPr="009833C5">
        <w:rPr>
          <w:szCs w:val="20"/>
        </w:rPr>
        <w:t xml:space="preserve">22 </w:t>
      </w:r>
      <w:r w:rsidR="00AC15CE" w:rsidRPr="009833C5">
        <w:rPr>
          <w:szCs w:val="20"/>
        </w:rPr>
        <w:t xml:space="preserve">were </w:t>
      </w:r>
      <w:r w:rsidRPr="009833C5">
        <w:rPr>
          <w:szCs w:val="20"/>
        </w:rPr>
        <w:t>due to authors who</w:t>
      </w:r>
      <w:r w:rsidR="00BC0545" w:rsidRPr="009833C5">
        <w:rPr>
          <w:szCs w:val="20"/>
        </w:rPr>
        <w:t xml:space="preserve"> either had other fundin</w:t>
      </w:r>
      <w:r w:rsidR="00AC15CE" w:rsidRPr="009833C5">
        <w:rPr>
          <w:szCs w:val="20"/>
        </w:rPr>
        <w:t>g (18%) or their articles had not</w:t>
      </w:r>
      <w:r w:rsidR="00BC0545" w:rsidRPr="009833C5">
        <w:rPr>
          <w:szCs w:val="20"/>
        </w:rPr>
        <w:t xml:space="preserve"> been accepted </w:t>
      </w:r>
      <w:r w:rsidR="00AC15CE" w:rsidRPr="009833C5">
        <w:rPr>
          <w:szCs w:val="20"/>
        </w:rPr>
        <w:t xml:space="preserve">for publication </w:t>
      </w:r>
      <w:r w:rsidR="00BC0545" w:rsidRPr="009833C5">
        <w:rPr>
          <w:szCs w:val="20"/>
        </w:rPr>
        <w:t>(</w:t>
      </w:r>
      <w:r w:rsidR="00181613" w:rsidRPr="009833C5">
        <w:rPr>
          <w:szCs w:val="20"/>
        </w:rPr>
        <w:t>82%)</w:t>
      </w:r>
      <w:r w:rsidR="00BB6736" w:rsidRPr="009833C5">
        <w:rPr>
          <w:szCs w:val="20"/>
        </w:rPr>
        <w:t xml:space="preserve">.  The </w:t>
      </w:r>
      <w:r w:rsidR="002F2088">
        <w:rPr>
          <w:szCs w:val="20"/>
        </w:rPr>
        <w:t xml:space="preserve">FY 2016 </w:t>
      </w:r>
      <w:r w:rsidR="00BB6736" w:rsidRPr="009833C5">
        <w:rPr>
          <w:szCs w:val="20"/>
        </w:rPr>
        <w:t>OASF submission form was amended so authors may only request funding for articles already accepted for publication.</w:t>
      </w:r>
    </w:p>
    <w:p w14:paraId="4FFC3A37" w14:textId="77777777" w:rsidR="00B16F93" w:rsidRPr="009833C5" w:rsidRDefault="00B16F93" w:rsidP="008845D4">
      <w:pPr>
        <w:rPr>
          <w:szCs w:val="20"/>
        </w:rPr>
      </w:pPr>
    </w:p>
    <w:p w14:paraId="55BE59EF" w14:textId="1A56CF2D" w:rsidR="00181613" w:rsidRPr="009833C5" w:rsidRDefault="00BB5E3B" w:rsidP="008845D4">
      <w:pPr>
        <w:pStyle w:val="ListParagraph"/>
        <w:numPr>
          <w:ilvl w:val="0"/>
          <w:numId w:val="1"/>
        </w:numPr>
        <w:rPr>
          <w:szCs w:val="20"/>
        </w:rPr>
      </w:pPr>
      <w:r w:rsidRPr="009833C5">
        <w:rPr>
          <w:szCs w:val="20"/>
        </w:rPr>
        <w:t xml:space="preserve">11 publishers of </w:t>
      </w:r>
      <w:r w:rsidR="00181613" w:rsidRPr="009833C5">
        <w:rPr>
          <w:szCs w:val="20"/>
        </w:rPr>
        <w:t xml:space="preserve">18 </w:t>
      </w:r>
      <w:r w:rsidRPr="009833C5">
        <w:rPr>
          <w:szCs w:val="20"/>
        </w:rPr>
        <w:t>journals had unacceptable policies</w:t>
      </w:r>
      <w:r w:rsidR="00B16F93" w:rsidRPr="009833C5">
        <w:rPr>
          <w:szCs w:val="20"/>
        </w:rPr>
        <w:t>:</w:t>
      </w:r>
    </w:p>
    <w:p w14:paraId="349384B4" w14:textId="77777777" w:rsidR="00B16F93" w:rsidRPr="009833C5" w:rsidRDefault="00B16F93" w:rsidP="008845D4">
      <w:pPr>
        <w:rPr>
          <w:szCs w:val="20"/>
        </w:rPr>
      </w:pPr>
    </w:p>
    <w:p w14:paraId="028D15B2" w14:textId="13D65859" w:rsidR="00181613" w:rsidRPr="009833C5" w:rsidRDefault="00AC15CE" w:rsidP="008845D4">
      <w:pPr>
        <w:pStyle w:val="ListParagraph"/>
        <w:numPr>
          <w:ilvl w:val="1"/>
          <w:numId w:val="1"/>
        </w:numPr>
        <w:rPr>
          <w:szCs w:val="20"/>
        </w:rPr>
      </w:pPr>
      <w:r w:rsidRPr="009833C5">
        <w:rPr>
          <w:szCs w:val="20"/>
        </w:rPr>
        <w:t>H</w:t>
      </w:r>
      <w:r w:rsidR="00181613" w:rsidRPr="009833C5">
        <w:rPr>
          <w:szCs w:val="20"/>
        </w:rPr>
        <w:t xml:space="preserve">ybrid journals </w:t>
      </w:r>
      <w:r w:rsidR="00630CDA" w:rsidRPr="009833C5">
        <w:rPr>
          <w:szCs w:val="20"/>
        </w:rPr>
        <w:t>did not give</w:t>
      </w:r>
      <w:r w:rsidR="00181613" w:rsidRPr="009833C5">
        <w:rPr>
          <w:szCs w:val="20"/>
        </w:rPr>
        <w:t xml:space="preserve"> institutional discounts</w:t>
      </w:r>
      <w:r w:rsidR="00451118" w:rsidRPr="009833C5">
        <w:rPr>
          <w:szCs w:val="20"/>
        </w:rPr>
        <w:t>*</w:t>
      </w:r>
      <w:r w:rsidR="002F2088">
        <w:rPr>
          <w:szCs w:val="20"/>
        </w:rPr>
        <w:tab/>
      </w:r>
      <w:r w:rsidR="004501EC" w:rsidRPr="009833C5">
        <w:rPr>
          <w:szCs w:val="20"/>
        </w:rPr>
        <w:tab/>
      </w:r>
      <w:r w:rsidRPr="009833C5">
        <w:rPr>
          <w:szCs w:val="20"/>
        </w:rPr>
        <w:t xml:space="preserve">78% </w:t>
      </w:r>
      <w:r w:rsidR="00630CDA" w:rsidRPr="009833C5">
        <w:rPr>
          <w:szCs w:val="20"/>
        </w:rPr>
        <w:tab/>
      </w:r>
      <w:r w:rsidRPr="009833C5">
        <w:rPr>
          <w:szCs w:val="20"/>
        </w:rPr>
        <w:t>(14)</w:t>
      </w:r>
    </w:p>
    <w:p w14:paraId="79860868" w14:textId="53355FE3" w:rsidR="00181613" w:rsidRPr="009833C5" w:rsidRDefault="00181613" w:rsidP="008845D4">
      <w:pPr>
        <w:pStyle w:val="ListParagraph"/>
        <w:numPr>
          <w:ilvl w:val="1"/>
          <w:numId w:val="1"/>
        </w:numPr>
        <w:rPr>
          <w:szCs w:val="20"/>
        </w:rPr>
      </w:pPr>
      <w:r w:rsidRPr="009833C5">
        <w:rPr>
          <w:szCs w:val="20"/>
        </w:rPr>
        <w:t>Journal wasn’t regi</w:t>
      </w:r>
      <w:r w:rsidR="008A6700" w:rsidRPr="009833C5">
        <w:rPr>
          <w:szCs w:val="20"/>
        </w:rPr>
        <w:t>st</w:t>
      </w:r>
      <w:r w:rsidRPr="009833C5">
        <w:rPr>
          <w:szCs w:val="20"/>
        </w:rPr>
        <w:t xml:space="preserve">ered </w:t>
      </w:r>
      <w:r w:rsidR="008C3A58">
        <w:rPr>
          <w:szCs w:val="20"/>
        </w:rPr>
        <w:t xml:space="preserve">anywhere </w:t>
      </w:r>
      <w:r w:rsidRPr="009833C5">
        <w:rPr>
          <w:szCs w:val="20"/>
        </w:rPr>
        <w:t>as open access</w:t>
      </w:r>
      <w:r w:rsidR="00451118" w:rsidRPr="009833C5">
        <w:rPr>
          <w:szCs w:val="20"/>
        </w:rPr>
        <w:t>°</w:t>
      </w:r>
      <w:r w:rsidR="002F2088">
        <w:rPr>
          <w:szCs w:val="20"/>
        </w:rPr>
        <w:tab/>
        <w:t xml:space="preserve">  </w:t>
      </w:r>
      <w:r w:rsidR="00AC15CE" w:rsidRPr="009833C5">
        <w:rPr>
          <w:szCs w:val="20"/>
        </w:rPr>
        <w:t xml:space="preserve">6% </w:t>
      </w:r>
      <w:r w:rsidR="00630CDA" w:rsidRPr="009833C5">
        <w:rPr>
          <w:szCs w:val="20"/>
        </w:rPr>
        <w:tab/>
      </w:r>
      <w:r w:rsidR="00AC15CE" w:rsidRPr="009833C5">
        <w:rPr>
          <w:szCs w:val="20"/>
        </w:rPr>
        <w:t>(1)</w:t>
      </w:r>
    </w:p>
    <w:p w14:paraId="5C534E81" w14:textId="3C4ADE07" w:rsidR="00260058" w:rsidRPr="009833C5" w:rsidRDefault="004501EC" w:rsidP="008845D4">
      <w:pPr>
        <w:pStyle w:val="ListParagraph"/>
        <w:numPr>
          <w:ilvl w:val="1"/>
          <w:numId w:val="1"/>
        </w:numPr>
        <w:rPr>
          <w:szCs w:val="20"/>
        </w:rPr>
      </w:pPr>
      <w:r w:rsidRPr="009833C5">
        <w:rPr>
          <w:szCs w:val="20"/>
        </w:rPr>
        <w:t>Publishers had</w:t>
      </w:r>
      <w:r w:rsidR="008C3A58">
        <w:rPr>
          <w:szCs w:val="20"/>
        </w:rPr>
        <w:t xml:space="preserve"> predatory practices</w:t>
      </w:r>
      <w:r w:rsidR="00451118" w:rsidRPr="009833C5">
        <w:rPr>
          <w:szCs w:val="20"/>
        </w:rPr>
        <w:t>ˇ</w:t>
      </w:r>
      <w:r w:rsidR="00AC15CE" w:rsidRPr="009833C5">
        <w:rPr>
          <w:szCs w:val="20"/>
        </w:rPr>
        <w:tab/>
      </w:r>
      <w:r w:rsidR="00AC15CE" w:rsidRPr="009833C5">
        <w:rPr>
          <w:szCs w:val="20"/>
        </w:rPr>
        <w:tab/>
      </w:r>
      <w:r w:rsidRPr="009833C5">
        <w:rPr>
          <w:szCs w:val="20"/>
        </w:rPr>
        <w:tab/>
      </w:r>
      <w:r w:rsidR="002F2088">
        <w:rPr>
          <w:szCs w:val="20"/>
        </w:rPr>
        <w:tab/>
      </w:r>
      <w:r w:rsidR="002F2088">
        <w:rPr>
          <w:szCs w:val="20"/>
        </w:rPr>
        <w:tab/>
      </w:r>
      <w:r w:rsidR="00AC15CE" w:rsidRPr="009833C5">
        <w:rPr>
          <w:szCs w:val="20"/>
        </w:rPr>
        <w:t xml:space="preserve">17% </w:t>
      </w:r>
      <w:r w:rsidR="00630CDA" w:rsidRPr="009833C5">
        <w:rPr>
          <w:szCs w:val="20"/>
        </w:rPr>
        <w:tab/>
      </w:r>
      <w:r w:rsidR="00AC15CE" w:rsidRPr="009833C5">
        <w:rPr>
          <w:szCs w:val="20"/>
        </w:rPr>
        <w:t>(3)</w:t>
      </w:r>
    </w:p>
    <w:p w14:paraId="50E1B76F" w14:textId="77777777" w:rsidR="00B16F93" w:rsidRPr="009833C5" w:rsidRDefault="00B16F93" w:rsidP="008845D4">
      <w:pPr>
        <w:pStyle w:val="ListParagraph"/>
        <w:ind w:left="1440"/>
        <w:rPr>
          <w:szCs w:val="20"/>
        </w:rPr>
      </w:pPr>
    </w:p>
    <w:p w14:paraId="7400823A" w14:textId="77777777" w:rsidR="00724DD8" w:rsidRPr="009833C5" w:rsidRDefault="00724DD8" w:rsidP="008845D4">
      <w:pPr>
        <w:pStyle w:val="ListParagraph"/>
        <w:ind w:left="1440"/>
        <w:rPr>
          <w:szCs w:val="20"/>
        </w:rPr>
      </w:pPr>
    </w:p>
    <w:tbl>
      <w:tblPr>
        <w:tblW w:w="9619" w:type="dxa"/>
        <w:tblInd w:w="78" w:type="dxa"/>
        <w:tblLayout w:type="fixed"/>
        <w:tblLook w:val="0000" w:firstRow="0" w:lastRow="0" w:firstColumn="0" w:lastColumn="0" w:noHBand="0" w:noVBand="0"/>
      </w:tblPr>
      <w:tblGrid>
        <w:gridCol w:w="5340"/>
        <w:gridCol w:w="4279"/>
      </w:tblGrid>
      <w:tr w:rsidR="003A5802" w:rsidRPr="009833C5" w14:paraId="14FCFB82" w14:textId="77777777" w:rsidTr="004C200B">
        <w:trPr>
          <w:trHeight w:val="300"/>
        </w:trPr>
        <w:tc>
          <w:tcPr>
            <w:tcW w:w="5340" w:type="dxa"/>
            <w:tcBorders>
              <w:top w:val="nil"/>
              <w:left w:val="nil"/>
              <w:bottom w:val="nil"/>
              <w:right w:val="nil"/>
            </w:tcBorders>
          </w:tcPr>
          <w:p w14:paraId="4AB83D45" w14:textId="77777777" w:rsidR="003A5802" w:rsidRPr="009833C5" w:rsidRDefault="003A5802" w:rsidP="008845D4">
            <w:pPr>
              <w:widowControl w:val="0"/>
              <w:autoSpaceDE w:val="0"/>
              <w:autoSpaceDN w:val="0"/>
              <w:adjustRightInd w:val="0"/>
              <w:ind w:right="-427"/>
              <w:rPr>
                <w:rFonts w:cs="Arial"/>
                <w:szCs w:val="20"/>
                <w:u w:val="single"/>
              </w:rPr>
            </w:pPr>
            <w:r w:rsidRPr="009833C5">
              <w:rPr>
                <w:rFonts w:cs="Arial"/>
                <w:szCs w:val="20"/>
                <w:u w:val="single"/>
              </w:rPr>
              <w:t>Journal</w:t>
            </w:r>
          </w:p>
        </w:tc>
        <w:tc>
          <w:tcPr>
            <w:tcW w:w="4279" w:type="dxa"/>
            <w:tcBorders>
              <w:top w:val="nil"/>
              <w:left w:val="nil"/>
              <w:bottom w:val="nil"/>
              <w:right w:val="nil"/>
            </w:tcBorders>
          </w:tcPr>
          <w:p w14:paraId="19135051" w14:textId="77777777" w:rsidR="003A5802" w:rsidRPr="009833C5" w:rsidRDefault="003A5802" w:rsidP="008845D4">
            <w:pPr>
              <w:widowControl w:val="0"/>
              <w:autoSpaceDE w:val="0"/>
              <w:autoSpaceDN w:val="0"/>
              <w:adjustRightInd w:val="0"/>
              <w:ind w:left="432"/>
              <w:rPr>
                <w:rFonts w:cs="Arial"/>
                <w:szCs w:val="20"/>
                <w:u w:val="single"/>
              </w:rPr>
            </w:pPr>
            <w:r w:rsidRPr="009833C5">
              <w:rPr>
                <w:rFonts w:cs="Arial"/>
                <w:szCs w:val="20"/>
                <w:u w:val="single"/>
              </w:rPr>
              <w:t>Publisher</w:t>
            </w:r>
          </w:p>
        </w:tc>
      </w:tr>
      <w:tr w:rsidR="003A5802" w:rsidRPr="009833C5" w14:paraId="02E15DE0" w14:textId="77777777" w:rsidTr="004C200B">
        <w:trPr>
          <w:trHeight w:val="300"/>
        </w:trPr>
        <w:tc>
          <w:tcPr>
            <w:tcW w:w="5340" w:type="dxa"/>
            <w:tcBorders>
              <w:top w:val="nil"/>
              <w:left w:val="nil"/>
              <w:bottom w:val="nil"/>
              <w:right w:val="nil"/>
            </w:tcBorders>
          </w:tcPr>
          <w:p w14:paraId="48497A06" w14:textId="2FD6B67A" w:rsidR="003A5802" w:rsidRPr="009833C5" w:rsidRDefault="003A5802" w:rsidP="008845D4">
            <w:pPr>
              <w:widowControl w:val="0"/>
              <w:autoSpaceDE w:val="0"/>
              <w:autoSpaceDN w:val="0"/>
              <w:adjustRightInd w:val="0"/>
              <w:ind w:right="-427"/>
              <w:rPr>
                <w:rFonts w:cs="Arial"/>
                <w:szCs w:val="20"/>
              </w:rPr>
            </w:pPr>
            <w:r w:rsidRPr="009833C5">
              <w:rPr>
                <w:rFonts w:cs="Arial"/>
                <w:szCs w:val="20"/>
              </w:rPr>
              <w:t>Journal of Dairy Science</w:t>
            </w:r>
          </w:p>
        </w:tc>
        <w:tc>
          <w:tcPr>
            <w:tcW w:w="4279" w:type="dxa"/>
            <w:tcBorders>
              <w:top w:val="nil"/>
              <w:left w:val="nil"/>
              <w:bottom w:val="nil"/>
              <w:right w:val="nil"/>
            </w:tcBorders>
          </w:tcPr>
          <w:p w14:paraId="45DB232D" w14:textId="5B233179" w:rsidR="003A5802" w:rsidRPr="009833C5" w:rsidRDefault="003A5802" w:rsidP="008845D4">
            <w:pPr>
              <w:widowControl w:val="0"/>
              <w:autoSpaceDE w:val="0"/>
              <w:autoSpaceDN w:val="0"/>
              <w:adjustRightInd w:val="0"/>
              <w:ind w:left="432"/>
              <w:rPr>
                <w:rFonts w:cs="Arial"/>
                <w:szCs w:val="20"/>
              </w:rPr>
            </w:pPr>
            <w:r w:rsidRPr="009833C5">
              <w:rPr>
                <w:rFonts w:cs="Arial"/>
                <w:szCs w:val="20"/>
              </w:rPr>
              <w:t>American Dairy Science Association</w:t>
            </w:r>
            <w:r w:rsidR="00451118" w:rsidRPr="009833C5">
              <w:rPr>
                <w:szCs w:val="20"/>
              </w:rPr>
              <w:t>*</w:t>
            </w:r>
          </w:p>
        </w:tc>
      </w:tr>
      <w:tr w:rsidR="003A5802" w:rsidRPr="009833C5" w14:paraId="756EC648" w14:textId="77777777" w:rsidTr="004C200B">
        <w:trPr>
          <w:trHeight w:val="300"/>
        </w:trPr>
        <w:tc>
          <w:tcPr>
            <w:tcW w:w="5340" w:type="dxa"/>
            <w:tcBorders>
              <w:top w:val="nil"/>
              <w:left w:val="nil"/>
              <w:bottom w:val="nil"/>
              <w:right w:val="nil"/>
            </w:tcBorders>
          </w:tcPr>
          <w:p w14:paraId="1ADB1CC4" w14:textId="79AAFDC7" w:rsidR="003A5802" w:rsidRPr="009833C5" w:rsidRDefault="003A5802" w:rsidP="008845D4">
            <w:pPr>
              <w:widowControl w:val="0"/>
              <w:autoSpaceDE w:val="0"/>
              <w:autoSpaceDN w:val="0"/>
              <w:adjustRightInd w:val="0"/>
              <w:ind w:right="-427"/>
              <w:rPr>
                <w:rFonts w:cs="Arial"/>
                <w:szCs w:val="20"/>
              </w:rPr>
            </w:pPr>
            <w:r w:rsidRPr="009833C5">
              <w:rPr>
                <w:rFonts w:cs="Arial"/>
                <w:szCs w:val="20"/>
              </w:rPr>
              <w:t>Journal of Environmental Quality</w:t>
            </w:r>
          </w:p>
        </w:tc>
        <w:tc>
          <w:tcPr>
            <w:tcW w:w="4279" w:type="dxa"/>
            <w:tcBorders>
              <w:top w:val="nil"/>
              <w:left w:val="nil"/>
              <w:bottom w:val="nil"/>
              <w:right w:val="nil"/>
            </w:tcBorders>
          </w:tcPr>
          <w:p w14:paraId="62EB3C22" w14:textId="702DCFE9" w:rsidR="003A5802" w:rsidRPr="009833C5" w:rsidRDefault="003A5802" w:rsidP="008845D4">
            <w:pPr>
              <w:widowControl w:val="0"/>
              <w:autoSpaceDE w:val="0"/>
              <w:autoSpaceDN w:val="0"/>
              <w:adjustRightInd w:val="0"/>
              <w:ind w:left="432"/>
              <w:rPr>
                <w:rFonts w:cs="Arial"/>
                <w:szCs w:val="20"/>
              </w:rPr>
            </w:pPr>
            <w:r w:rsidRPr="009833C5">
              <w:rPr>
                <w:rFonts w:cs="Arial"/>
                <w:szCs w:val="20"/>
              </w:rPr>
              <w:t>American Society of Agronomy</w:t>
            </w:r>
            <w:r w:rsidR="00451118" w:rsidRPr="009833C5">
              <w:rPr>
                <w:szCs w:val="20"/>
              </w:rPr>
              <w:t>*</w:t>
            </w:r>
          </w:p>
        </w:tc>
      </w:tr>
      <w:tr w:rsidR="003A5802" w:rsidRPr="009833C5" w14:paraId="1887D033" w14:textId="77777777" w:rsidTr="004C200B">
        <w:trPr>
          <w:trHeight w:val="300"/>
        </w:trPr>
        <w:tc>
          <w:tcPr>
            <w:tcW w:w="5340" w:type="dxa"/>
            <w:tcBorders>
              <w:top w:val="nil"/>
              <w:left w:val="nil"/>
              <w:bottom w:val="nil"/>
              <w:right w:val="nil"/>
            </w:tcBorders>
          </w:tcPr>
          <w:p w14:paraId="35B9A182" w14:textId="77777777" w:rsidR="003A5802" w:rsidRPr="009833C5" w:rsidRDefault="003A5802" w:rsidP="008845D4">
            <w:pPr>
              <w:widowControl w:val="0"/>
              <w:autoSpaceDE w:val="0"/>
              <w:autoSpaceDN w:val="0"/>
              <w:adjustRightInd w:val="0"/>
              <w:ind w:right="-427"/>
              <w:rPr>
                <w:rFonts w:cs="Arial"/>
                <w:szCs w:val="20"/>
              </w:rPr>
            </w:pPr>
            <w:r w:rsidRPr="009833C5">
              <w:rPr>
                <w:rFonts w:cs="Arial"/>
                <w:szCs w:val="20"/>
              </w:rPr>
              <w:t>Applied and Environmental Microbiology</w:t>
            </w:r>
          </w:p>
        </w:tc>
        <w:tc>
          <w:tcPr>
            <w:tcW w:w="4279" w:type="dxa"/>
            <w:tcBorders>
              <w:top w:val="nil"/>
              <w:left w:val="nil"/>
              <w:bottom w:val="nil"/>
              <w:right w:val="nil"/>
            </w:tcBorders>
          </w:tcPr>
          <w:p w14:paraId="2D75BAB0" w14:textId="288E1F7F" w:rsidR="003A5802" w:rsidRPr="009833C5" w:rsidRDefault="003A5802" w:rsidP="008845D4">
            <w:pPr>
              <w:widowControl w:val="0"/>
              <w:autoSpaceDE w:val="0"/>
              <w:autoSpaceDN w:val="0"/>
              <w:adjustRightInd w:val="0"/>
              <w:ind w:left="432"/>
              <w:rPr>
                <w:rFonts w:cs="Arial"/>
                <w:szCs w:val="20"/>
              </w:rPr>
            </w:pPr>
            <w:r w:rsidRPr="009833C5">
              <w:rPr>
                <w:rFonts w:cs="Arial"/>
                <w:szCs w:val="20"/>
              </w:rPr>
              <w:t>ASM</w:t>
            </w:r>
            <w:r w:rsidR="00451118" w:rsidRPr="009833C5">
              <w:rPr>
                <w:szCs w:val="20"/>
              </w:rPr>
              <w:t>*</w:t>
            </w:r>
          </w:p>
        </w:tc>
      </w:tr>
      <w:tr w:rsidR="003A5802" w:rsidRPr="009833C5" w14:paraId="73A32A72" w14:textId="77777777" w:rsidTr="004C200B">
        <w:trPr>
          <w:trHeight w:val="300"/>
        </w:trPr>
        <w:tc>
          <w:tcPr>
            <w:tcW w:w="5340" w:type="dxa"/>
            <w:tcBorders>
              <w:top w:val="nil"/>
              <w:left w:val="nil"/>
              <w:bottom w:val="nil"/>
              <w:right w:val="nil"/>
            </w:tcBorders>
          </w:tcPr>
          <w:p w14:paraId="2D4AFB56" w14:textId="77777777" w:rsidR="003A5802" w:rsidRPr="009833C5" w:rsidRDefault="003A5802" w:rsidP="008845D4">
            <w:pPr>
              <w:widowControl w:val="0"/>
              <w:autoSpaceDE w:val="0"/>
              <w:autoSpaceDN w:val="0"/>
              <w:adjustRightInd w:val="0"/>
              <w:ind w:right="-427"/>
              <w:rPr>
                <w:rFonts w:cs="Arial"/>
                <w:szCs w:val="20"/>
              </w:rPr>
            </w:pPr>
            <w:r w:rsidRPr="009833C5">
              <w:rPr>
                <w:rFonts w:cs="Arial"/>
                <w:szCs w:val="20"/>
              </w:rPr>
              <w:t>Biophysical Journal</w:t>
            </w:r>
          </w:p>
        </w:tc>
        <w:tc>
          <w:tcPr>
            <w:tcW w:w="4279" w:type="dxa"/>
            <w:tcBorders>
              <w:top w:val="nil"/>
              <w:left w:val="nil"/>
              <w:bottom w:val="nil"/>
              <w:right w:val="nil"/>
            </w:tcBorders>
          </w:tcPr>
          <w:p w14:paraId="3098DEAC" w14:textId="24F5A731" w:rsidR="003A5802" w:rsidRPr="009833C5" w:rsidRDefault="003A5802" w:rsidP="008845D4">
            <w:pPr>
              <w:widowControl w:val="0"/>
              <w:autoSpaceDE w:val="0"/>
              <w:autoSpaceDN w:val="0"/>
              <w:adjustRightInd w:val="0"/>
              <w:ind w:left="432"/>
              <w:rPr>
                <w:rFonts w:cs="Arial"/>
                <w:szCs w:val="20"/>
              </w:rPr>
            </w:pPr>
            <w:r w:rsidRPr="009833C5">
              <w:rPr>
                <w:rFonts w:cs="Arial"/>
                <w:szCs w:val="20"/>
              </w:rPr>
              <w:t>Elsevier</w:t>
            </w:r>
            <w:r w:rsidR="005A1569" w:rsidRPr="009833C5">
              <w:rPr>
                <w:rFonts w:cs="Arial"/>
                <w:szCs w:val="20"/>
              </w:rPr>
              <w:t>*</w:t>
            </w:r>
          </w:p>
        </w:tc>
      </w:tr>
      <w:tr w:rsidR="003A5802" w:rsidRPr="009833C5" w14:paraId="36D8A789" w14:textId="77777777" w:rsidTr="004C200B">
        <w:trPr>
          <w:trHeight w:val="300"/>
        </w:trPr>
        <w:tc>
          <w:tcPr>
            <w:tcW w:w="5340" w:type="dxa"/>
            <w:tcBorders>
              <w:top w:val="nil"/>
              <w:left w:val="nil"/>
              <w:bottom w:val="nil"/>
              <w:right w:val="nil"/>
            </w:tcBorders>
          </w:tcPr>
          <w:p w14:paraId="55A05FEF" w14:textId="77777777" w:rsidR="003A5802" w:rsidRPr="009833C5" w:rsidRDefault="003A5802" w:rsidP="008845D4">
            <w:pPr>
              <w:widowControl w:val="0"/>
              <w:autoSpaceDE w:val="0"/>
              <w:autoSpaceDN w:val="0"/>
              <w:adjustRightInd w:val="0"/>
              <w:ind w:right="-427"/>
              <w:rPr>
                <w:rFonts w:cs="Arial"/>
                <w:szCs w:val="20"/>
              </w:rPr>
            </w:pPr>
            <w:r w:rsidRPr="009833C5">
              <w:rPr>
                <w:rFonts w:cs="Arial"/>
                <w:szCs w:val="20"/>
              </w:rPr>
              <w:t>Toxicology Reports</w:t>
            </w:r>
          </w:p>
        </w:tc>
        <w:tc>
          <w:tcPr>
            <w:tcW w:w="4279" w:type="dxa"/>
            <w:tcBorders>
              <w:top w:val="nil"/>
              <w:left w:val="nil"/>
              <w:bottom w:val="nil"/>
              <w:right w:val="nil"/>
            </w:tcBorders>
          </w:tcPr>
          <w:p w14:paraId="048D2BDE" w14:textId="73D563DB" w:rsidR="003A5802" w:rsidRPr="009833C5" w:rsidRDefault="003A5802" w:rsidP="008845D4">
            <w:pPr>
              <w:widowControl w:val="0"/>
              <w:autoSpaceDE w:val="0"/>
              <w:autoSpaceDN w:val="0"/>
              <w:adjustRightInd w:val="0"/>
              <w:ind w:left="432"/>
              <w:rPr>
                <w:rFonts w:cs="Arial"/>
                <w:szCs w:val="20"/>
              </w:rPr>
            </w:pPr>
            <w:r w:rsidRPr="009833C5">
              <w:rPr>
                <w:rFonts w:cs="Arial"/>
                <w:szCs w:val="20"/>
              </w:rPr>
              <w:t>Elsevier</w:t>
            </w:r>
            <w:r w:rsidR="00901D92" w:rsidRPr="009833C5">
              <w:rPr>
                <w:szCs w:val="20"/>
              </w:rPr>
              <w:t>°</w:t>
            </w:r>
          </w:p>
        </w:tc>
      </w:tr>
      <w:tr w:rsidR="003A5802" w:rsidRPr="009833C5" w14:paraId="0021CBA3" w14:textId="77777777" w:rsidTr="004C200B">
        <w:trPr>
          <w:trHeight w:val="300"/>
        </w:trPr>
        <w:tc>
          <w:tcPr>
            <w:tcW w:w="5340" w:type="dxa"/>
            <w:tcBorders>
              <w:top w:val="nil"/>
              <w:left w:val="nil"/>
              <w:bottom w:val="nil"/>
              <w:right w:val="nil"/>
            </w:tcBorders>
          </w:tcPr>
          <w:p w14:paraId="309FFBFA" w14:textId="77777777" w:rsidR="003A5802" w:rsidRPr="009833C5" w:rsidRDefault="003A5802" w:rsidP="008845D4">
            <w:pPr>
              <w:widowControl w:val="0"/>
              <w:autoSpaceDE w:val="0"/>
              <w:autoSpaceDN w:val="0"/>
              <w:adjustRightInd w:val="0"/>
              <w:ind w:right="-427"/>
              <w:rPr>
                <w:rFonts w:cs="Arial"/>
                <w:szCs w:val="20"/>
              </w:rPr>
            </w:pPr>
            <w:r w:rsidRPr="009833C5">
              <w:rPr>
                <w:rFonts w:cs="Arial"/>
                <w:szCs w:val="20"/>
              </w:rPr>
              <w:t>Water Research</w:t>
            </w:r>
          </w:p>
        </w:tc>
        <w:tc>
          <w:tcPr>
            <w:tcW w:w="4279" w:type="dxa"/>
            <w:tcBorders>
              <w:top w:val="nil"/>
              <w:left w:val="nil"/>
              <w:bottom w:val="nil"/>
              <w:right w:val="nil"/>
            </w:tcBorders>
          </w:tcPr>
          <w:p w14:paraId="04926B0F" w14:textId="68C18A35" w:rsidR="003A5802" w:rsidRPr="009833C5" w:rsidRDefault="003A5802" w:rsidP="008845D4">
            <w:pPr>
              <w:widowControl w:val="0"/>
              <w:autoSpaceDE w:val="0"/>
              <w:autoSpaceDN w:val="0"/>
              <w:adjustRightInd w:val="0"/>
              <w:ind w:left="432"/>
              <w:rPr>
                <w:rFonts w:cs="Arial"/>
                <w:szCs w:val="20"/>
              </w:rPr>
            </w:pPr>
            <w:r w:rsidRPr="009833C5">
              <w:rPr>
                <w:rFonts w:cs="Arial"/>
                <w:szCs w:val="20"/>
              </w:rPr>
              <w:t>Elsevier</w:t>
            </w:r>
            <w:r w:rsidR="005A1569" w:rsidRPr="009833C5">
              <w:rPr>
                <w:rFonts w:cs="Arial"/>
                <w:szCs w:val="20"/>
              </w:rPr>
              <w:t>*</w:t>
            </w:r>
          </w:p>
        </w:tc>
      </w:tr>
      <w:tr w:rsidR="003A5802" w:rsidRPr="009833C5" w14:paraId="50243A95" w14:textId="77777777" w:rsidTr="004C200B">
        <w:trPr>
          <w:trHeight w:val="300"/>
        </w:trPr>
        <w:tc>
          <w:tcPr>
            <w:tcW w:w="5340" w:type="dxa"/>
            <w:tcBorders>
              <w:top w:val="nil"/>
              <w:left w:val="nil"/>
              <w:bottom w:val="nil"/>
              <w:right w:val="nil"/>
            </w:tcBorders>
          </w:tcPr>
          <w:p w14:paraId="2B8DCDA2" w14:textId="77777777" w:rsidR="003A5802" w:rsidRPr="009833C5" w:rsidRDefault="003A5802" w:rsidP="008845D4">
            <w:pPr>
              <w:widowControl w:val="0"/>
              <w:autoSpaceDE w:val="0"/>
              <w:autoSpaceDN w:val="0"/>
              <w:adjustRightInd w:val="0"/>
              <w:ind w:right="-427"/>
              <w:rPr>
                <w:rFonts w:cs="Arial"/>
                <w:szCs w:val="20"/>
              </w:rPr>
            </w:pPr>
            <w:r w:rsidRPr="009833C5">
              <w:rPr>
                <w:rFonts w:cs="Arial"/>
                <w:szCs w:val="20"/>
              </w:rPr>
              <w:t>Computers &amp; Security</w:t>
            </w:r>
          </w:p>
        </w:tc>
        <w:tc>
          <w:tcPr>
            <w:tcW w:w="4279" w:type="dxa"/>
            <w:tcBorders>
              <w:top w:val="nil"/>
              <w:left w:val="nil"/>
              <w:bottom w:val="nil"/>
              <w:right w:val="nil"/>
            </w:tcBorders>
          </w:tcPr>
          <w:p w14:paraId="7A169A23" w14:textId="63E008D1" w:rsidR="003A5802" w:rsidRPr="009833C5" w:rsidRDefault="005316B3" w:rsidP="008845D4">
            <w:pPr>
              <w:widowControl w:val="0"/>
              <w:autoSpaceDE w:val="0"/>
              <w:autoSpaceDN w:val="0"/>
              <w:adjustRightInd w:val="0"/>
              <w:ind w:left="432"/>
              <w:rPr>
                <w:rFonts w:cs="Arial"/>
                <w:szCs w:val="20"/>
              </w:rPr>
            </w:pPr>
            <w:r w:rsidRPr="009833C5">
              <w:rPr>
                <w:rFonts w:cs="Arial"/>
                <w:szCs w:val="20"/>
              </w:rPr>
              <w:t>Elsevier</w:t>
            </w:r>
            <w:r w:rsidR="005A1569" w:rsidRPr="009833C5">
              <w:rPr>
                <w:rFonts w:cs="Arial"/>
                <w:szCs w:val="20"/>
              </w:rPr>
              <w:t>*</w:t>
            </w:r>
          </w:p>
        </w:tc>
      </w:tr>
      <w:tr w:rsidR="003A5802" w:rsidRPr="009833C5" w14:paraId="2C3F3259" w14:textId="77777777" w:rsidTr="004C200B">
        <w:trPr>
          <w:trHeight w:val="300"/>
        </w:trPr>
        <w:tc>
          <w:tcPr>
            <w:tcW w:w="5340" w:type="dxa"/>
            <w:tcBorders>
              <w:top w:val="nil"/>
              <w:left w:val="nil"/>
              <w:bottom w:val="nil"/>
              <w:right w:val="nil"/>
            </w:tcBorders>
          </w:tcPr>
          <w:p w14:paraId="18E8485D" w14:textId="77777777" w:rsidR="003A5802" w:rsidRPr="009833C5" w:rsidRDefault="003A5802" w:rsidP="008845D4">
            <w:pPr>
              <w:widowControl w:val="0"/>
              <w:autoSpaceDE w:val="0"/>
              <w:autoSpaceDN w:val="0"/>
              <w:adjustRightInd w:val="0"/>
              <w:ind w:right="-427"/>
              <w:rPr>
                <w:rFonts w:cs="Arial"/>
                <w:szCs w:val="20"/>
              </w:rPr>
            </w:pPr>
            <w:r w:rsidRPr="009833C5">
              <w:rPr>
                <w:rFonts w:cs="Arial"/>
                <w:szCs w:val="20"/>
              </w:rPr>
              <w:t>IEEE Transactions on Information Forensics and Security</w:t>
            </w:r>
          </w:p>
        </w:tc>
        <w:tc>
          <w:tcPr>
            <w:tcW w:w="4279" w:type="dxa"/>
            <w:tcBorders>
              <w:top w:val="nil"/>
              <w:left w:val="nil"/>
              <w:bottom w:val="nil"/>
              <w:right w:val="nil"/>
            </w:tcBorders>
          </w:tcPr>
          <w:p w14:paraId="222CD049" w14:textId="24BF138B" w:rsidR="003A5802" w:rsidRPr="009833C5" w:rsidRDefault="003A5802" w:rsidP="008845D4">
            <w:pPr>
              <w:widowControl w:val="0"/>
              <w:autoSpaceDE w:val="0"/>
              <w:autoSpaceDN w:val="0"/>
              <w:adjustRightInd w:val="0"/>
              <w:ind w:left="432"/>
              <w:rPr>
                <w:rFonts w:cs="Arial"/>
                <w:szCs w:val="20"/>
              </w:rPr>
            </w:pPr>
            <w:r w:rsidRPr="009833C5">
              <w:rPr>
                <w:rFonts w:cs="Arial"/>
                <w:szCs w:val="20"/>
              </w:rPr>
              <w:t>IEEE</w:t>
            </w:r>
            <w:r w:rsidR="005A1569" w:rsidRPr="009833C5">
              <w:rPr>
                <w:rFonts w:cs="Arial"/>
                <w:szCs w:val="20"/>
              </w:rPr>
              <w:t>*</w:t>
            </w:r>
          </w:p>
        </w:tc>
      </w:tr>
      <w:tr w:rsidR="003A5802" w:rsidRPr="009833C5" w14:paraId="1AA6931F" w14:textId="77777777" w:rsidTr="004C200B">
        <w:trPr>
          <w:trHeight w:val="300"/>
        </w:trPr>
        <w:tc>
          <w:tcPr>
            <w:tcW w:w="5340" w:type="dxa"/>
            <w:tcBorders>
              <w:top w:val="nil"/>
              <w:left w:val="nil"/>
              <w:bottom w:val="nil"/>
              <w:right w:val="nil"/>
            </w:tcBorders>
          </w:tcPr>
          <w:p w14:paraId="0F7B5228" w14:textId="77777777" w:rsidR="003A5802" w:rsidRPr="009833C5" w:rsidRDefault="003A5802" w:rsidP="008845D4">
            <w:pPr>
              <w:widowControl w:val="0"/>
              <w:autoSpaceDE w:val="0"/>
              <w:autoSpaceDN w:val="0"/>
              <w:adjustRightInd w:val="0"/>
              <w:ind w:right="-427"/>
              <w:rPr>
                <w:rFonts w:cs="Arial"/>
                <w:szCs w:val="20"/>
              </w:rPr>
            </w:pPr>
            <w:r w:rsidRPr="009833C5">
              <w:rPr>
                <w:rFonts w:cs="Arial"/>
                <w:szCs w:val="20"/>
              </w:rPr>
              <w:t>IEEE Transactions on Robotics</w:t>
            </w:r>
          </w:p>
        </w:tc>
        <w:tc>
          <w:tcPr>
            <w:tcW w:w="4279" w:type="dxa"/>
            <w:tcBorders>
              <w:top w:val="nil"/>
              <w:left w:val="nil"/>
              <w:bottom w:val="nil"/>
              <w:right w:val="nil"/>
            </w:tcBorders>
          </w:tcPr>
          <w:p w14:paraId="090B897F" w14:textId="515D7843" w:rsidR="003A5802" w:rsidRPr="009833C5" w:rsidRDefault="003A5802" w:rsidP="008845D4">
            <w:pPr>
              <w:widowControl w:val="0"/>
              <w:autoSpaceDE w:val="0"/>
              <w:autoSpaceDN w:val="0"/>
              <w:adjustRightInd w:val="0"/>
              <w:ind w:left="432"/>
              <w:rPr>
                <w:rFonts w:cs="Arial"/>
                <w:szCs w:val="20"/>
              </w:rPr>
            </w:pPr>
            <w:r w:rsidRPr="009833C5">
              <w:rPr>
                <w:rFonts w:cs="Arial"/>
                <w:szCs w:val="20"/>
              </w:rPr>
              <w:t>IEEE</w:t>
            </w:r>
            <w:r w:rsidR="005A1569" w:rsidRPr="009833C5">
              <w:rPr>
                <w:rFonts w:cs="Arial"/>
                <w:szCs w:val="20"/>
              </w:rPr>
              <w:t>*</w:t>
            </w:r>
          </w:p>
        </w:tc>
      </w:tr>
      <w:tr w:rsidR="003A5802" w:rsidRPr="009833C5" w14:paraId="7BF0C8BF" w14:textId="77777777" w:rsidTr="004C200B">
        <w:trPr>
          <w:trHeight w:val="300"/>
        </w:trPr>
        <w:tc>
          <w:tcPr>
            <w:tcW w:w="5340" w:type="dxa"/>
            <w:tcBorders>
              <w:top w:val="nil"/>
              <w:left w:val="nil"/>
              <w:bottom w:val="nil"/>
              <w:right w:val="nil"/>
            </w:tcBorders>
          </w:tcPr>
          <w:p w14:paraId="0366D8C4" w14:textId="77777777" w:rsidR="003A5802" w:rsidRPr="009833C5" w:rsidRDefault="003A5802" w:rsidP="008845D4">
            <w:pPr>
              <w:widowControl w:val="0"/>
              <w:autoSpaceDE w:val="0"/>
              <w:autoSpaceDN w:val="0"/>
              <w:adjustRightInd w:val="0"/>
              <w:ind w:right="-427"/>
              <w:rPr>
                <w:rFonts w:cs="Arial"/>
                <w:szCs w:val="20"/>
              </w:rPr>
            </w:pPr>
            <w:r w:rsidRPr="009833C5">
              <w:rPr>
                <w:rFonts w:cs="Arial"/>
                <w:szCs w:val="20"/>
              </w:rPr>
              <w:t>Proceedings NAS</w:t>
            </w:r>
          </w:p>
        </w:tc>
        <w:tc>
          <w:tcPr>
            <w:tcW w:w="4279" w:type="dxa"/>
            <w:tcBorders>
              <w:top w:val="nil"/>
              <w:left w:val="nil"/>
              <w:bottom w:val="nil"/>
              <w:right w:val="nil"/>
            </w:tcBorders>
          </w:tcPr>
          <w:p w14:paraId="1B969C24" w14:textId="27E4C79C" w:rsidR="003A5802" w:rsidRPr="009833C5" w:rsidRDefault="004C200B" w:rsidP="008845D4">
            <w:pPr>
              <w:widowControl w:val="0"/>
              <w:autoSpaceDE w:val="0"/>
              <w:autoSpaceDN w:val="0"/>
              <w:adjustRightInd w:val="0"/>
              <w:ind w:left="432"/>
              <w:rPr>
                <w:rFonts w:cs="Arial"/>
                <w:szCs w:val="20"/>
              </w:rPr>
            </w:pPr>
            <w:r w:rsidRPr="009833C5">
              <w:rPr>
                <w:rFonts w:cs="Arial"/>
                <w:szCs w:val="20"/>
              </w:rPr>
              <w:t>Nationa</w:t>
            </w:r>
            <w:r w:rsidR="003A5802" w:rsidRPr="009833C5">
              <w:rPr>
                <w:rFonts w:cs="Arial"/>
                <w:szCs w:val="20"/>
              </w:rPr>
              <w:t>l Academy of Sciences</w:t>
            </w:r>
            <w:r w:rsidR="00DB4600" w:rsidRPr="009833C5">
              <w:rPr>
                <w:rFonts w:cs="Arial"/>
                <w:szCs w:val="20"/>
              </w:rPr>
              <w:t>*</w:t>
            </w:r>
          </w:p>
        </w:tc>
      </w:tr>
      <w:tr w:rsidR="003A5802" w:rsidRPr="009833C5" w14:paraId="3D314D78" w14:textId="77777777" w:rsidTr="004C200B">
        <w:trPr>
          <w:trHeight w:val="300"/>
        </w:trPr>
        <w:tc>
          <w:tcPr>
            <w:tcW w:w="5340" w:type="dxa"/>
            <w:tcBorders>
              <w:top w:val="nil"/>
              <w:left w:val="nil"/>
              <w:bottom w:val="nil"/>
              <w:right w:val="nil"/>
            </w:tcBorders>
          </w:tcPr>
          <w:p w14:paraId="5F524604" w14:textId="77777777" w:rsidR="003A5802" w:rsidRPr="009833C5" w:rsidRDefault="003A5802" w:rsidP="008845D4">
            <w:pPr>
              <w:widowControl w:val="0"/>
              <w:autoSpaceDE w:val="0"/>
              <w:autoSpaceDN w:val="0"/>
              <w:adjustRightInd w:val="0"/>
              <w:ind w:right="-427"/>
              <w:rPr>
                <w:rFonts w:cs="Arial"/>
                <w:szCs w:val="20"/>
              </w:rPr>
            </w:pPr>
            <w:r w:rsidRPr="009833C5">
              <w:rPr>
                <w:rFonts w:cs="Arial"/>
                <w:szCs w:val="20"/>
              </w:rPr>
              <w:t>ISME Journal</w:t>
            </w:r>
          </w:p>
        </w:tc>
        <w:tc>
          <w:tcPr>
            <w:tcW w:w="4279" w:type="dxa"/>
            <w:tcBorders>
              <w:top w:val="nil"/>
              <w:left w:val="nil"/>
              <w:bottom w:val="nil"/>
              <w:right w:val="nil"/>
            </w:tcBorders>
          </w:tcPr>
          <w:p w14:paraId="7254E064" w14:textId="0ECA68BE" w:rsidR="003A5802" w:rsidRPr="009833C5" w:rsidRDefault="003A5802" w:rsidP="008845D4">
            <w:pPr>
              <w:widowControl w:val="0"/>
              <w:autoSpaceDE w:val="0"/>
              <w:autoSpaceDN w:val="0"/>
              <w:adjustRightInd w:val="0"/>
              <w:ind w:left="432"/>
              <w:rPr>
                <w:rFonts w:cs="Arial"/>
                <w:szCs w:val="20"/>
              </w:rPr>
            </w:pPr>
            <w:r w:rsidRPr="009833C5">
              <w:rPr>
                <w:rFonts w:cs="Arial"/>
                <w:szCs w:val="20"/>
              </w:rPr>
              <w:t>Nature Publishing Group</w:t>
            </w:r>
            <w:r w:rsidR="00DB4600" w:rsidRPr="009833C5">
              <w:rPr>
                <w:rFonts w:cs="Arial"/>
                <w:szCs w:val="20"/>
              </w:rPr>
              <w:t>*</w:t>
            </w:r>
          </w:p>
        </w:tc>
      </w:tr>
      <w:tr w:rsidR="003A5802" w:rsidRPr="009833C5" w14:paraId="02282549" w14:textId="77777777" w:rsidTr="004C200B">
        <w:trPr>
          <w:trHeight w:val="300"/>
        </w:trPr>
        <w:tc>
          <w:tcPr>
            <w:tcW w:w="5340" w:type="dxa"/>
            <w:tcBorders>
              <w:top w:val="nil"/>
              <w:left w:val="nil"/>
              <w:bottom w:val="nil"/>
              <w:right w:val="nil"/>
            </w:tcBorders>
          </w:tcPr>
          <w:p w14:paraId="2775D939" w14:textId="77777777" w:rsidR="003A5802" w:rsidRPr="009833C5" w:rsidRDefault="003A5802" w:rsidP="008845D4">
            <w:pPr>
              <w:widowControl w:val="0"/>
              <w:autoSpaceDE w:val="0"/>
              <w:autoSpaceDN w:val="0"/>
              <w:adjustRightInd w:val="0"/>
              <w:ind w:right="-427"/>
              <w:rPr>
                <w:rFonts w:cs="Arial"/>
                <w:szCs w:val="20"/>
              </w:rPr>
            </w:pPr>
            <w:r w:rsidRPr="009833C5">
              <w:rPr>
                <w:rFonts w:cs="Arial"/>
                <w:szCs w:val="20"/>
              </w:rPr>
              <w:t>Alternative &amp; Integrative Medicine</w:t>
            </w:r>
          </w:p>
        </w:tc>
        <w:tc>
          <w:tcPr>
            <w:tcW w:w="4279" w:type="dxa"/>
            <w:tcBorders>
              <w:top w:val="nil"/>
              <w:left w:val="nil"/>
              <w:bottom w:val="nil"/>
              <w:right w:val="nil"/>
            </w:tcBorders>
          </w:tcPr>
          <w:p w14:paraId="6F1B375F" w14:textId="69F9ED0F" w:rsidR="003A5802" w:rsidRPr="009833C5" w:rsidRDefault="004C200B" w:rsidP="008845D4">
            <w:pPr>
              <w:widowControl w:val="0"/>
              <w:autoSpaceDE w:val="0"/>
              <w:autoSpaceDN w:val="0"/>
              <w:adjustRightInd w:val="0"/>
              <w:ind w:left="432"/>
              <w:rPr>
                <w:rFonts w:cs="Arial"/>
                <w:szCs w:val="20"/>
              </w:rPr>
            </w:pPr>
            <w:r w:rsidRPr="009833C5">
              <w:rPr>
                <w:rFonts w:cs="Arial"/>
                <w:szCs w:val="20"/>
              </w:rPr>
              <w:t xml:space="preserve">OMICS </w:t>
            </w:r>
            <w:r w:rsidR="00DB4600" w:rsidRPr="009833C5">
              <w:rPr>
                <w:szCs w:val="20"/>
              </w:rPr>
              <w:t>ˇ</w:t>
            </w:r>
          </w:p>
        </w:tc>
      </w:tr>
      <w:tr w:rsidR="003A5802" w:rsidRPr="009833C5" w14:paraId="0F43B931" w14:textId="77777777" w:rsidTr="004C200B">
        <w:trPr>
          <w:trHeight w:val="300"/>
        </w:trPr>
        <w:tc>
          <w:tcPr>
            <w:tcW w:w="5340" w:type="dxa"/>
            <w:tcBorders>
              <w:top w:val="nil"/>
              <w:left w:val="nil"/>
              <w:bottom w:val="nil"/>
              <w:right w:val="nil"/>
            </w:tcBorders>
          </w:tcPr>
          <w:p w14:paraId="592B190A" w14:textId="77777777" w:rsidR="003A5802" w:rsidRPr="009833C5" w:rsidRDefault="003A5802" w:rsidP="008845D4">
            <w:pPr>
              <w:widowControl w:val="0"/>
              <w:autoSpaceDE w:val="0"/>
              <w:autoSpaceDN w:val="0"/>
              <w:adjustRightInd w:val="0"/>
              <w:ind w:right="-427"/>
              <w:rPr>
                <w:rFonts w:cs="Arial"/>
                <w:szCs w:val="20"/>
              </w:rPr>
            </w:pPr>
            <w:r w:rsidRPr="009833C5">
              <w:rPr>
                <w:rFonts w:cs="Arial"/>
                <w:szCs w:val="20"/>
              </w:rPr>
              <w:t>Journal of Obesity &amp; Weight Loss Therapy</w:t>
            </w:r>
          </w:p>
        </w:tc>
        <w:tc>
          <w:tcPr>
            <w:tcW w:w="4279" w:type="dxa"/>
            <w:tcBorders>
              <w:top w:val="nil"/>
              <w:left w:val="nil"/>
              <w:bottom w:val="nil"/>
              <w:right w:val="nil"/>
            </w:tcBorders>
          </w:tcPr>
          <w:p w14:paraId="656C8553" w14:textId="34085235" w:rsidR="003A5802" w:rsidRPr="009833C5" w:rsidRDefault="003A5802" w:rsidP="008845D4">
            <w:pPr>
              <w:widowControl w:val="0"/>
              <w:autoSpaceDE w:val="0"/>
              <w:autoSpaceDN w:val="0"/>
              <w:adjustRightInd w:val="0"/>
              <w:ind w:left="432"/>
              <w:rPr>
                <w:rFonts w:cs="Arial"/>
                <w:szCs w:val="20"/>
              </w:rPr>
            </w:pPr>
            <w:r w:rsidRPr="009833C5">
              <w:rPr>
                <w:rFonts w:cs="Arial"/>
                <w:szCs w:val="20"/>
              </w:rPr>
              <w:t xml:space="preserve">OMICS </w:t>
            </w:r>
            <w:r w:rsidR="00DB4600" w:rsidRPr="009833C5">
              <w:rPr>
                <w:szCs w:val="20"/>
              </w:rPr>
              <w:t>ˇ</w:t>
            </w:r>
          </w:p>
        </w:tc>
      </w:tr>
      <w:tr w:rsidR="003A5802" w:rsidRPr="009833C5" w14:paraId="4C11F447" w14:textId="77777777" w:rsidTr="004C200B">
        <w:trPr>
          <w:trHeight w:val="300"/>
        </w:trPr>
        <w:tc>
          <w:tcPr>
            <w:tcW w:w="5340" w:type="dxa"/>
            <w:tcBorders>
              <w:top w:val="nil"/>
              <w:left w:val="nil"/>
              <w:bottom w:val="nil"/>
              <w:right w:val="nil"/>
            </w:tcBorders>
          </w:tcPr>
          <w:p w14:paraId="34243FD4" w14:textId="77777777" w:rsidR="003A5802" w:rsidRPr="009833C5" w:rsidRDefault="003A5802" w:rsidP="008845D4">
            <w:pPr>
              <w:widowControl w:val="0"/>
              <w:autoSpaceDE w:val="0"/>
              <w:autoSpaceDN w:val="0"/>
              <w:adjustRightInd w:val="0"/>
              <w:ind w:right="-427"/>
              <w:rPr>
                <w:rFonts w:cs="Arial"/>
                <w:szCs w:val="20"/>
              </w:rPr>
            </w:pPr>
            <w:r w:rsidRPr="009833C5">
              <w:rPr>
                <w:rFonts w:cs="Arial"/>
                <w:szCs w:val="20"/>
              </w:rPr>
              <w:t>Journal of Plant Biochemistry and Physiology</w:t>
            </w:r>
          </w:p>
        </w:tc>
        <w:tc>
          <w:tcPr>
            <w:tcW w:w="4279" w:type="dxa"/>
            <w:tcBorders>
              <w:top w:val="nil"/>
              <w:left w:val="nil"/>
              <w:bottom w:val="nil"/>
              <w:right w:val="nil"/>
            </w:tcBorders>
          </w:tcPr>
          <w:p w14:paraId="6DB1763D" w14:textId="3E469B76" w:rsidR="003A5802" w:rsidRPr="009833C5" w:rsidRDefault="003A5802" w:rsidP="008845D4">
            <w:pPr>
              <w:widowControl w:val="0"/>
              <w:autoSpaceDE w:val="0"/>
              <w:autoSpaceDN w:val="0"/>
              <w:adjustRightInd w:val="0"/>
              <w:ind w:left="432"/>
              <w:rPr>
                <w:rFonts w:cs="Arial"/>
                <w:szCs w:val="20"/>
              </w:rPr>
            </w:pPr>
            <w:r w:rsidRPr="009833C5">
              <w:rPr>
                <w:rFonts w:cs="Arial"/>
                <w:szCs w:val="20"/>
              </w:rPr>
              <w:t xml:space="preserve">OMICS </w:t>
            </w:r>
            <w:r w:rsidR="00DB4600" w:rsidRPr="009833C5">
              <w:rPr>
                <w:szCs w:val="20"/>
              </w:rPr>
              <w:t>ˇ</w:t>
            </w:r>
          </w:p>
        </w:tc>
      </w:tr>
      <w:tr w:rsidR="003A5802" w:rsidRPr="009833C5" w14:paraId="35427330" w14:textId="77777777" w:rsidTr="004C200B">
        <w:trPr>
          <w:trHeight w:val="300"/>
        </w:trPr>
        <w:tc>
          <w:tcPr>
            <w:tcW w:w="5340" w:type="dxa"/>
            <w:tcBorders>
              <w:top w:val="nil"/>
              <w:left w:val="nil"/>
              <w:bottom w:val="nil"/>
              <w:right w:val="nil"/>
            </w:tcBorders>
          </w:tcPr>
          <w:p w14:paraId="67D513D8" w14:textId="77777777" w:rsidR="003A5802" w:rsidRPr="009833C5" w:rsidRDefault="003A5802" w:rsidP="008845D4">
            <w:pPr>
              <w:widowControl w:val="0"/>
              <w:autoSpaceDE w:val="0"/>
              <w:autoSpaceDN w:val="0"/>
              <w:adjustRightInd w:val="0"/>
              <w:ind w:right="-427"/>
              <w:rPr>
                <w:rFonts w:cs="Arial"/>
                <w:szCs w:val="20"/>
              </w:rPr>
            </w:pPr>
            <w:r w:rsidRPr="009833C5">
              <w:rPr>
                <w:rFonts w:cs="Arial"/>
                <w:szCs w:val="20"/>
              </w:rPr>
              <w:t>Therapeutic Advances in Cardiovascular Disease</w:t>
            </w:r>
          </w:p>
        </w:tc>
        <w:tc>
          <w:tcPr>
            <w:tcW w:w="4279" w:type="dxa"/>
            <w:tcBorders>
              <w:top w:val="nil"/>
              <w:left w:val="nil"/>
              <w:bottom w:val="nil"/>
              <w:right w:val="nil"/>
            </w:tcBorders>
          </w:tcPr>
          <w:p w14:paraId="74672D51" w14:textId="4C0346E0" w:rsidR="003A5802" w:rsidRPr="009833C5" w:rsidRDefault="003A5802" w:rsidP="008845D4">
            <w:pPr>
              <w:widowControl w:val="0"/>
              <w:autoSpaceDE w:val="0"/>
              <w:autoSpaceDN w:val="0"/>
              <w:adjustRightInd w:val="0"/>
              <w:ind w:left="432"/>
              <w:rPr>
                <w:rFonts w:cs="Arial"/>
                <w:szCs w:val="20"/>
              </w:rPr>
            </w:pPr>
            <w:r w:rsidRPr="009833C5">
              <w:rPr>
                <w:rFonts w:cs="Arial"/>
                <w:szCs w:val="20"/>
              </w:rPr>
              <w:t>SAGE Choice</w:t>
            </w:r>
            <w:r w:rsidR="00DB4600" w:rsidRPr="009833C5">
              <w:rPr>
                <w:rFonts w:cs="Arial"/>
                <w:szCs w:val="20"/>
              </w:rPr>
              <w:t>*</w:t>
            </w:r>
          </w:p>
        </w:tc>
      </w:tr>
      <w:tr w:rsidR="003A5802" w:rsidRPr="009833C5" w14:paraId="65416316" w14:textId="77777777" w:rsidTr="004C200B">
        <w:trPr>
          <w:trHeight w:val="300"/>
        </w:trPr>
        <w:tc>
          <w:tcPr>
            <w:tcW w:w="5340" w:type="dxa"/>
            <w:tcBorders>
              <w:top w:val="nil"/>
              <w:left w:val="nil"/>
              <w:bottom w:val="nil"/>
              <w:right w:val="nil"/>
            </w:tcBorders>
          </w:tcPr>
          <w:p w14:paraId="5149CE88" w14:textId="77777777" w:rsidR="003A5802" w:rsidRPr="009833C5" w:rsidRDefault="003A5802" w:rsidP="008845D4">
            <w:pPr>
              <w:widowControl w:val="0"/>
              <w:autoSpaceDE w:val="0"/>
              <w:autoSpaceDN w:val="0"/>
              <w:adjustRightInd w:val="0"/>
              <w:ind w:right="-427"/>
              <w:rPr>
                <w:rFonts w:cs="Arial"/>
                <w:szCs w:val="20"/>
              </w:rPr>
            </w:pPr>
            <w:r w:rsidRPr="009833C5">
              <w:rPr>
                <w:rFonts w:cs="Arial"/>
                <w:szCs w:val="20"/>
              </w:rPr>
              <w:t>Journal of Wildlife Diseases</w:t>
            </w:r>
          </w:p>
        </w:tc>
        <w:tc>
          <w:tcPr>
            <w:tcW w:w="4279" w:type="dxa"/>
            <w:tcBorders>
              <w:top w:val="nil"/>
              <w:left w:val="nil"/>
              <w:bottom w:val="nil"/>
              <w:right w:val="nil"/>
            </w:tcBorders>
          </w:tcPr>
          <w:p w14:paraId="178505EF" w14:textId="34C2EB6C" w:rsidR="003A5802" w:rsidRPr="009833C5" w:rsidRDefault="003A5802" w:rsidP="008845D4">
            <w:pPr>
              <w:widowControl w:val="0"/>
              <w:autoSpaceDE w:val="0"/>
              <w:autoSpaceDN w:val="0"/>
              <w:adjustRightInd w:val="0"/>
              <w:ind w:left="432"/>
              <w:rPr>
                <w:rFonts w:cs="Arial"/>
                <w:szCs w:val="20"/>
              </w:rPr>
            </w:pPr>
            <w:r w:rsidRPr="009833C5">
              <w:rPr>
                <w:rFonts w:cs="Arial"/>
                <w:szCs w:val="20"/>
              </w:rPr>
              <w:t>Wildlife Disease Association</w:t>
            </w:r>
            <w:r w:rsidR="00DB4600" w:rsidRPr="009833C5">
              <w:rPr>
                <w:rFonts w:cs="Arial"/>
                <w:szCs w:val="20"/>
              </w:rPr>
              <w:t>*</w:t>
            </w:r>
          </w:p>
        </w:tc>
      </w:tr>
      <w:tr w:rsidR="003A5802" w:rsidRPr="009833C5" w14:paraId="2468B36A" w14:textId="77777777" w:rsidTr="004C200B">
        <w:trPr>
          <w:trHeight w:val="300"/>
        </w:trPr>
        <w:tc>
          <w:tcPr>
            <w:tcW w:w="5340" w:type="dxa"/>
            <w:tcBorders>
              <w:top w:val="nil"/>
              <w:left w:val="nil"/>
              <w:bottom w:val="nil"/>
              <w:right w:val="nil"/>
            </w:tcBorders>
          </w:tcPr>
          <w:p w14:paraId="188324DA" w14:textId="77777777" w:rsidR="003A5802" w:rsidRPr="009833C5" w:rsidRDefault="003A5802" w:rsidP="008845D4">
            <w:pPr>
              <w:widowControl w:val="0"/>
              <w:autoSpaceDE w:val="0"/>
              <w:autoSpaceDN w:val="0"/>
              <w:adjustRightInd w:val="0"/>
              <w:ind w:right="-427"/>
              <w:rPr>
                <w:rFonts w:cs="Arial"/>
                <w:szCs w:val="20"/>
              </w:rPr>
            </w:pPr>
            <w:r w:rsidRPr="009833C5">
              <w:rPr>
                <w:rFonts w:cs="Arial"/>
                <w:szCs w:val="20"/>
              </w:rPr>
              <w:t>Journal of Food Science</w:t>
            </w:r>
          </w:p>
        </w:tc>
        <w:tc>
          <w:tcPr>
            <w:tcW w:w="4279" w:type="dxa"/>
            <w:tcBorders>
              <w:top w:val="nil"/>
              <w:left w:val="nil"/>
              <w:bottom w:val="nil"/>
              <w:right w:val="nil"/>
            </w:tcBorders>
          </w:tcPr>
          <w:p w14:paraId="7A297B36" w14:textId="34CE653A" w:rsidR="003A5802" w:rsidRPr="009833C5" w:rsidRDefault="003A5802" w:rsidP="008845D4">
            <w:pPr>
              <w:widowControl w:val="0"/>
              <w:autoSpaceDE w:val="0"/>
              <w:autoSpaceDN w:val="0"/>
              <w:adjustRightInd w:val="0"/>
              <w:ind w:left="432"/>
              <w:rPr>
                <w:rFonts w:cs="Arial"/>
                <w:szCs w:val="20"/>
              </w:rPr>
            </w:pPr>
            <w:r w:rsidRPr="009833C5">
              <w:rPr>
                <w:rFonts w:cs="Arial"/>
                <w:szCs w:val="20"/>
              </w:rPr>
              <w:t>Wiley</w:t>
            </w:r>
            <w:r w:rsidR="00DB4600" w:rsidRPr="009833C5">
              <w:rPr>
                <w:rFonts w:cs="Arial"/>
                <w:szCs w:val="20"/>
              </w:rPr>
              <w:t>*</w:t>
            </w:r>
          </w:p>
        </w:tc>
      </w:tr>
      <w:tr w:rsidR="003A5802" w:rsidRPr="009833C5" w14:paraId="486E092F" w14:textId="77777777" w:rsidTr="004C200B">
        <w:trPr>
          <w:trHeight w:val="300"/>
        </w:trPr>
        <w:tc>
          <w:tcPr>
            <w:tcW w:w="5340" w:type="dxa"/>
            <w:tcBorders>
              <w:top w:val="nil"/>
              <w:left w:val="nil"/>
              <w:bottom w:val="nil"/>
              <w:right w:val="nil"/>
            </w:tcBorders>
          </w:tcPr>
          <w:p w14:paraId="5FB7B974" w14:textId="77777777" w:rsidR="003A5802" w:rsidRPr="009833C5" w:rsidRDefault="003A5802" w:rsidP="008845D4">
            <w:pPr>
              <w:widowControl w:val="0"/>
              <w:autoSpaceDE w:val="0"/>
              <w:autoSpaceDN w:val="0"/>
              <w:adjustRightInd w:val="0"/>
              <w:ind w:right="-427"/>
              <w:rPr>
                <w:rFonts w:cs="Arial"/>
                <w:szCs w:val="20"/>
              </w:rPr>
            </w:pPr>
            <w:r w:rsidRPr="009833C5">
              <w:rPr>
                <w:rFonts w:cs="Arial"/>
                <w:szCs w:val="20"/>
              </w:rPr>
              <w:t xml:space="preserve">Obesity Reviews </w:t>
            </w:r>
          </w:p>
        </w:tc>
        <w:tc>
          <w:tcPr>
            <w:tcW w:w="4279" w:type="dxa"/>
            <w:tcBorders>
              <w:top w:val="nil"/>
              <w:left w:val="nil"/>
              <w:bottom w:val="nil"/>
              <w:right w:val="nil"/>
            </w:tcBorders>
          </w:tcPr>
          <w:p w14:paraId="26529014" w14:textId="6D0E377C" w:rsidR="003A5802" w:rsidRPr="009833C5" w:rsidRDefault="003A5802" w:rsidP="008845D4">
            <w:pPr>
              <w:widowControl w:val="0"/>
              <w:autoSpaceDE w:val="0"/>
              <w:autoSpaceDN w:val="0"/>
              <w:adjustRightInd w:val="0"/>
              <w:ind w:left="432"/>
              <w:rPr>
                <w:rFonts w:cs="Arial"/>
                <w:szCs w:val="20"/>
              </w:rPr>
            </w:pPr>
            <w:r w:rsidRPr="009833C5">
              <w:rPr>
                <w:rFonts w:cs="Arial"/>
                <w:szCs w:val="20"/>
              </w:rPr>
              <w:t>Wiley</w:t>
            </w:r>
            <w:r w:rsidR="00DB4600" w:rsidRPr="009833C5">
              <w:rPr>
                <w:rFonts w:cs="Arial"/>
                <w:szCs w:val="20"/>
              </w:rPr>
              <w:t>*</w:t>
            </w:r>
          </w:p>
        </w:tc>
      </w:tr>
    </w:tbl>
    <w:p w14:paraId="40633993" w14:textId="77777777" w:rsidR="003A5802" w:rsidRDefault="003A5802" w:rsidP="008845D4">
      <w:pPr>
        <w:rPr>
          <w:szCs w:val="20"/>
        </w:rPr>
      </w:pPr>
    </w:p>
    <w:p w14:paraId="2F87E39C" w14:textId="77777777" w:rsidR="00170C79" w:rsidRDefault="00170C79" w:rsidP="008845D4">
      <w:pPr>
        <w:rPr>
          <w:szCs w:val="20"/>
        </w:rPr>
      </w:pPr>
    </w:p>
    <w:p w14:paraId="581A9D0D" w14:textId="77777777" w:rsidR="00651542" w:rsidRDefault="00651542">
      <w:pPr>
        <w:rPr>
          <w:b/>
          <w:szCs w:val="20"/>
        </w:rPr>
      </w:pPr>
      <w:r>
        <w:rPr>
          <w:b/>
          <w:szCs w:val="20"/>
        </w:rPr>
        <w:br w:type="page"/>
      </w:r>
    </w:p>
    <w:p w14:paraId="1007E1C7" w14:textId="2087F0CB" w:rsidR="00651542" w:rsidRDefault="00A94393" w:rsidP="008845D4">
      <w:pPr>
        <w:rPr>
          <w:b/>
          <w:szCs w:val="20"/>
        </w:rPr>
      </w:pPr>
      <w:r>
        <w:rPr>
          <w:b/>
          <w:szCs w:val="20"/>
        </w:rPr>
        <w:lastRenderedPageBreak/>
        <w:t>COMPARING</w:t>
      </w:r>
      <w:r w:rsidR="00170C79">
        <w:rPr>
          <w:b/>
          <w:szCs w:val="20"/>
        </w:rPr>
        <w:t xml:space="preserve"> VT OASF</w:t>
      </w:r>
      <w:r>
        <w:rPr>
          <w:b/>
          <w:szCs w:val="20"/>
        </w:rPr>
        <w:t>s for</w:t>
      </w:r>
      <w:r w:rsidR="00170C79">
        <w:rPr>
          <w:b/>
          <w:szCs w:val="20"/>
        </w:rPr>
        <w:t xml:space="preserve"> FY2014 and FY2015</w:t>
      </w:r>
    </w:p>
    <w:p w14:paraId="196D51E8" w14:textId="77777777" w:rsidR="00651542" w:rsidRDefault="00651542" w:rsidP="008845D4">
      <w:pPr>
        <w:rPr>
          <w:szCs w:val="20"/>
        </w:rPr>
      </w:pPr>
    </w:p>
    <w:p w14:paraId="426CFF1E" w14:textId="3A3032E6" w:rsidR="00DE7FC0" w:rsidRDefault="00DE7FC0" w:rsidP="008845D4">
      <w:pPr>
        <w:rPr>
          <w:szCs w:val="20"/>
        </w:rPr>
      </w:pPr>
      <w:r>
        <w:rPr>
          <w:noProof/>
        </w:rPr>
        <w:drawing>
          <wp:inline distT="0" distB="0" distL="0" distR="0" wp14:anchorId="661D70D4" wp14:editId="127E559A">
            <wp:extent cx="4754034" cy="4279902"/>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B328A5D" w14:textId="13A6AD98" w:rsidR="00170C79" w:rsidRPr="00170C79" w:rsidRDefault="00651542" w:rsidP="008845D4">
      <w:pPr>
        <w:rPr>
          <w:szCs w:val="20"/>
        </w:rPr>
      </w:pPr>
      <w:r>
        <w:rPr>
          <w:noProof/>
        </w:rPr>
        <w:drawing>
          <wp:inline distT="0" distB="0" distL="0" distR="0" wp14:anchorId="4956E055" wp14:editId="24E908ED">
            <wp:extent cx="4572000" cy="3585635"/>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sectPr w:rsidR="00170C79" w:rsidRPr="00170C79" w:rsidSect="0052749D">
      <w:footerReference w:type="even" r:id="rId15"/>
      <w:footerReference w:type="default" r:id="rId16"/>
      <w:type w:val="continuous"/>
      <w:pgSz w:w="12240" w:h="15840"/>
      <w:pgMar w:top="1440" w:right="1440" w:bottom="1440"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2A0C194" w14:textId="77777777" w:rsidR="00F67CF3" w:rsidRDefault="00F67CF3" w:rsidP="00A602ED">
      <w:r>
        <w:separator/>
      </w:r>
    </w:p>
  </w:endnote>
  <w:endnote w:type="continuationSeparator" w:id="0">
    <w:p w14:paraId="4A034FC5" w14:textId="77777777" w:rsidR="00F67CF3" w:rsidRDefault="00F67CF3" w:rsidP="00A602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Helvetica Neue">
    <w:panose1 w:val="02000503000000020004"/>
    <w:charset w:val="00"/>
    <w:family w:val="auto"/>
    <w:pitch w:val="variable"/>
    <w:sig w:usb0="E50002FF" w:usb1="500079DB" w:usb2="00000010" w:usb3="00000000" w:csb0="00000001" w:csb1="00000000"/>
  </w:font>
  <w:font w:name="Lucida Grande">
    <w:panose1 w:val="020B0600040502020204"/>
    <w:charset w:val="00"/>
    <w:family w:val="auto"/>
    <w:pitch w:val="variable"/>
    <w:sig w:usb0="E1000AEF" w:usb1="5000A1FF" w:usb2="00000000" w:usb3="00000000" w:csb0="000001B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130304" w14:textId="77777777" w:rsidR="00E20E89" w:rsidRDefault="00E20E89" w:rsidP="00A602E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8675A43" w14:textId="77777777" w:rsidR="00E20E89" w:rsidRDefault="00E20E89" w:rsidP="00A602ED">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DF5CD8" w14:textId="77777777" w:rsidR="00E20E89" w:rsidRPr="00A602ED" w:rsidRDefault="00E20E89" w:rsidP="00A602ED">
    <w:pPr>
      <w:pStyle w:val="Footer"/>
      <w:framePr w:wrap="around" w:vAnchor="text" w:hAnchor="margin" w:xAlign="right" w:y="1"/>
      <w:rPr>
        <w:rStyle w:val="PageNumber"/>
        <w:sz w:val="16"/>
        <w:szCs w:val="16"/>
      </w:rPr>
    </w:pPr>
    <w:r w:rsidRPr="00A602ED">
      <w:rPr>
        <w:rStyle w:val="PageNumber"/>
        <w:sz w:val="16"/>
        <w:szCs w:val="16"/>
      </w:rPr>
      <w:fldChar w:fldCharType="begin"/>
    </w:r>
    <w:r w:rsidRPr="00A602ED">
      <w:rPr>
        <w:rStyle w:val="PageNumber"/>
        <w:sz w:val="16"/>
        <w:szCs w:val="16"/>
      </w:rPr>
      <w:instrText xml:space="preserve">PAGE  </w:instrText>
    </w:r>
    <w:r w:rsidRPr="00A602ED">
      <w:rPr>
        <w:rStyle w:val="PageNumber"/>
        <w:sz w:val="16"/>
        <w:szCs w:val="16"/>
      </w:rPr>
      <w:fldChar w:fldCharType="separate"/>
    </w:r>
    <w:r w:rsidR="004E146F">
      <w:rPr>
        <w:rStyle w:val="PageNumber"/>
        <w:noProof/>
        <w:sz w:val="16"/>
        <w:szCs w:val="16"/>
      </w:rPr>
      <w:t>4</w:t>
    </w:r>
    <w:r w:rsidRPr="00A602ED">
      <w:rPr>
        <w:rStyle w:val="PageNumber"/>
        <w:sz w:val="16"/>
        <w:szCs w:val="16"/>
      </w:rPr>
      <w:fldChar w:fldCharType="end"/>
    </w:r>
  </w:p>
  <w:p w14:paraId="01F9B519" w14:textId="77777777" w:rsidR="00E20E89" w:rsidRPr="00A602ED" w:rsidRDefault="00E20E89" w:rsidP="00A602ED">
    <w:pPr>
      <w:ind w:right="360"/>
      <w:rPr>
        <w:sz w:val="16"/>
        <w:szCs w:val="16"/>
      </w:rPr>
    </w:pPr>
    <w:r w:rsidRPr="00A602ED">
      <w:rPr>
        <w:sz w:val="16"/>
        <w:szCs w:val="16"/>
      </w:rPr>
      <w:t>OASF FY2015 Report DRAFT</w:t>
    </w:r>
    <w:r>
      <w:rPr>
        <w:sz w:val="16"/>
        <w:szCs w:val="16"/>
      </w:rPr>
      <w:t xml:space="preserve"> (</w:t>
    </w:r>
    <w:r w:rsidRPr="00A602ED">
      <w:rPr>
        <w:sz w:val="16"/>
        <w:szCs w:val="16"/>
      </w:rPr>
      <w:t>GMc  July 27, 2015</w:t>
    </w:r>
    <w:r>
      <w:rPr>
        <w:sz w:val="16"/>
        <w:szCs w:val="16"/>
      </w:rPr>
      <w:t>)</w:t>
    </w:r>
    <w:r>
      <w:rPr>
        <w:sz w:val="16"/>
        <w:szCs w:val="16"/>
      </w:rPr>
      <w:tab/>
    </w: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D2EE46" w14:textId="77777777" w:rsidR="00E20E89" w:rsidRDefault="00E20E89" w:rsidP="00A602E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B0BE420" w14:textId="77777777" w:rsidR="00E20E89" w:rsidRDefault="00E20E89" w:rsidP="00A602ED">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03D1B4" w14:textId="77777777" w:rsidR="00E20E89" w:rsidRPr="00A602ED" w:rsidRDefault="00E20E89" w:rsidP="00A602ED">
    <w:pPr>
      <w:pStyle w:val="Footer"/>
      <w:framePr w:wrap="around" w:vAnchor="text" w:hAnchor="margin" w:xAlign="right" w:y="1"/>
      <w:rPr>
        <w:rStyle w:val="PageNumber"/>
        <w:sz w:val="16"/>
        <w:szCs w:val="16"/>
      </w:rPr>
    </w:pPr>
    <w:r w:rsidRPr="00A602ED">
      <w:rPr>
        <w:rStyle w:val="PageNumber"/>
        <w:sz w:val="16"/>
        <w:szCs w:val="16"/>
      </w:rPr>
      <w:fldChar w:fldCharType="begin"/>
    </w:r>
    <w:r w:rsidRPr="00A602ED">
      <w:rPr>
        <w:rStyle w:val="PageNumber"/>
        <w:sz w:val="16"/>
        <w:szCs w:val="16"/>
      </w:rPr>
      <w:instrText xml:space="preserve">PAGE  </w:instrText>
    </w:r>
    <w:r w:rsidRPr="00A602ED">
      <w:rPr>
        <w:rStyle w:val="PageNumber"/>
        <w:sz w:val="16"/>
        <w:szCs w:val="16"/>
      </w:rPr>
      <w:fldChar w:fldCharType="separate"/>
    </w:r>
    <w:r w:rsidR="004E146F">
      <w:rPr>
        <w:rStyle w:val="PageNumber"/>
        <w:noProof/>
        <w:sz w:val="16"/>
        <w:szCs w:val="16"/>
      </w:rPr>
      <w:t>7</w:t>
    </w:r>
    <w:r w:rsidRPr="00A602ED">
      <w:rPr>
        <w:rStyle w:val="PageNumber"/>
        <w:sz w:val="16"/>
        <w:szCs w:val="16"/>
      </w:rPr>
      <w:fldChar w:fldCharType="end"/>
    </w:r>
  </w:p>
  <w:p w14:paraId="1F90B3CB" w14:textId="330F35F8" w:rsidR="00E20E89" w:rsidRPr="00A602ED" w:rsidRDefault="00E20E89" w:rsidP="00A602ED">
    <w:pPr>
      <w:ind w:right="360"/>
      <w:rPr>
        <w:sz w:val="16"/>
        <w:szCs w:val="16"/>
      </w:rPr>
    </w:pPr>
    <w:r w:rsidRPr="00A602ED">
      <w:rPr>
        <w:sz w:val="16"/>
        <w:szCs w:val="16"/>
      </w:rPr>
      <w:t xml:space="preserve">OASF FY2015 Report </w:t>
    </w:r>
    <w:r>
      <w:rPr>
        <w:sz w:val="16"/>
        <w:szCs w:val="16"/>
      </w:rPr>
      <w:tab/>
    </w: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6E843D7" w14:textId="77777777" w:rsidR="00F67CF3" w:rsidRDefault="00F67CF3" w:rsidP="00A602ED">
      <w:r>
        <w:separator/>
      </w:r>
    </w:p>
  </w:footnote>
  <w:footnote w:type="continuationSeparator" w:id="0">
    <w:p w14:paraId="3AE1C081" w14:textId="77777777" w:rsidR="00F67CF3" w:rsidRDefault="00F67CF3" w:rsidP="00A602E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F76E64"/>
    <w:multiLevelType w:val="hybridMultilevel"/>
    <w:tmpl w:val="879621E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16B25B79"/>
    <w:multiLevelType w:val="hybridMultilevel"/>
    <w:tmpl w:val="D06413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A870913"/>
    <w:multiLevelType w:val="hybridMultilevel"/>
    <w:tmpl w:val="DE2832E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43D4586"/>
    <w:multiLevelType w:val="hybridMultilevel"/>
    <w:tmpl w:val="DDCC81A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3"/>
  <w:proofState w:spelling="clean"/>
  <w:doNotTrackMoves/>
  <w:defaultTabStop w:val="43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C0545"/>
    <w:rsid w:val="00010C35"/>
    <w:rsid w:val="0002126B"/>
    <w:rsid w:val="00044D80"/>
    <w:rsid w:val="000568BE"/>
    <w:rsid w:val="0006487B"/>
    <w:rsid w:val="00074E65"/>
    <w:rsid w:val="0009360C"/>
    <w:rsid w:val="0009445D"/>
    <w:rsid w:val="00095200"/>
    <w:rsid w:val="000B2E0C"/>
    <w:rsid w:val="000C3414"/>
    <w:rsid w:val="000C7B02"/>
    <w:rsid w:val="000E5FC3"/>
    <w:rsid w:val="00102B57"/>
    <w:rsid w:val="0011725E"/>
    <w:rsid w:val="00122E47"/>
    <w:rsid w:val="00124F89"/>
    <w:rsid w:val="0012778F"/>
    <w:rsid w:val="00132A20"/>
    <w:rsid w:val="001429AE"/>
    <w:rsid w:val="00147783"/>
    <w:rsid w:val="001664AA"/>
    <w:rsid w:val="00170C79"/>
    <w:rsid w:val="00173F82"/>
    <w:rsid w:val="001754F4"/>
    <w:rsid w:val="00181613"/>
    <w:rsid w:val="001A735E"/>
    <w:rsid w:val="001B2A4B"/>
    <w:rsid w:val="001C1517"/>
    <w:rsid w:val="001D4307"/>
    <w:rsid w:val="002102CE"/>
    <w:rsid w:val="002111B2"/>
    <w:rsid w:val="00216A39"/>
    <w:rsid w:val="002455AA"/>
    <w:rsid w:val="0025235E"/>
    <w:rsid w:val="0025290F"/>
    <w:rsid w:val="00253DD1"/>
    <w:rsid w:val="00260058"/>
    <w:rsid w:val="00265898"/>
    <w:rsid w:val="002763BD"/>
    <w:rsid w:val="00294FB0"/>
    <w:rsid w:val="00297686"/>
    <w:rsid w:val="002A3065"/>
    <w:rsid w:val="002A3F2F"/>
    <w:rsid w:val="002A4504"/>
    <w:rsid w:val="002A5B1F"/>
    <w:rsid w:val="002A6A17"/>
    <w:rsid w:val="002C573B"/>
    <w:rsid w:val="002D2E4A"/>
    <w:rsid w:val="002D3762"/>
    <w:rsid w:val="002F1539"/>
    <w:rsid w:val="002F2088"/>
    <w:rsid w:val="002F4331"/>
    <w:rsid w:val="002F68F4"/>
    <w:rsid w:val="002F727E"/>
    <w:rsid w:val="003466BB"/>
    <w:rsid w:val="0035289F"/>
    <w:rsid w:val="0036058F"/>
    <w:rsid w:val="00376BF5"/>
    <w:rsid w:val="0038267C"/>
    <w:rsid w:val="003A5802"/>
    <w:rsid w:val="003C4312"/>
    <w:rsid w:val="003C730B"/>
    <w:rsid w:val="003F178D"/>
    <w:rsid w:val="00402DA1"/>
    <w:rsid w:val="0041318A"/>
    <w:rsid w:val="0044326D"/>
    <w:rsid w:val="004501EC"/>
    <w:rsid w:val="00451118"/>
    <w:rsid w:val="00451254"/>
    <w:rsid w:val="004956E4"/>
    <w:rsid w:val="004C200B"/>
    <w:rsid w:val="004D586F"/>
    <w:rsid w:val="004E146F"/>
    <w:rsid w:val="00504CAD"/>
    <w:rsid w:val="00511466"/>
    <w:rsid w:val="005118A0"/>
    <w:rsid w:val="0052749D"/>
    <w:rsid w:val="005316B3"/>
    <w:rsid w:val="00533A85"/>
    <w:rsid w:val="00542AC6"/>
    <w:rsid w:val="005521D6"/>
    <w:rsid w:val="00553E67"/>
    <w:rsid w:val="005555B1"/>
    <w:rsid w:val="0057161A"/>
    <w:rsid w:val="00576AFD"/>
    <w:rsid w:val="005772A6"/>
    <w:rsid w:val="005823B6"/>
    <w:rsid w:val="005864CF"/>
    <w:rsid w:val="005A1569"/>
    <w:rsid w:val="005A6BC8"/>
    <w:rsid w:val="005A6EAD"/>
    <w:rsid w:val="005B2B06"/>
    <w:rsid w:val="005B4A1D"/>
    <w:rsid w:val="005D6CE9"/>
    <w:rsid w:val="005E0D55"/>
    <w:rsid w:val="005E4148"/>
    <w:rsid w:val="00607E11"/>
    <w:rsid w:val="00627C73"/>
    <w:rsid w:val="00630CDA"/>
    <w:rsid w:val="006340A2"/>
    <w:rsid w:val="00640283"/>
    <w:rsid w:val="00644B50"/>
    <w:rsid w:val="00645F64"/>
    <w:rsid w:val="00651542"/>
    <w:rsid w:val="00655D6A"/>
    <w:rsid w:val="00683675"/>
    <w:rsid w:val="0069271A"/>
    <w:rsid w:val="006949A2"/>
    <w:rsid w:val="00695E13"/>
    <w:rsid w:val="006B113A"/>
    <w:rsid w:val="006B554E"/>
    <w:rsid w:val="006C5E6F"/>
    <w:rsid w:val="006E40E3"/>
    <w:rsid w:val="006F6961"/>
    <w:rsid w:val="007026F7"/>
    <w:rsid w:val="007049E8"/>
    <w:rsid w:val="00704B93"/>
    <w:rsid w:val="0071447F"/>
    <w:rsid w:val="0072116D"/>
    <w:rsid w:val="00721C50"/>
    <w:rsid w:val="00724DD8"/>
    <w:rsid w:val="00733A41"/>
    <w:rsid w:val="00757F05"/>
    <w:rsid w:val="007859A8"/>
    <w:rsid w:val="007A1409"/>
    <w:rsid w:val="007A385B"/>
    <w:rsid w:val="007C31A5"/>
    <w:rsid w:val="007D156C"/>
    <w:rsid w:val="00810F5C"/>
    <w:rsid w:val="008116B0"/>
    <w:rsid w:val="008277F5"/>
    <w:rsid w:val="00837C27"/>
    <w:rsid w:val="00840781"/>
    <w:rsid w:val="008458A7"/>
    <w:rsid w:val="008563CC"/>
    <w:rsid w:val="00872273"/>
    <w:rsid w:val="008845D4"/>
    <w:rsid w:val="00892667"/>
    <w:rsid w:val="008A4B55"/>
    <w:rsid w:val="008A6700"/>
    <w:rsid w:val="008B44BB"/>
    <w:rsid w:val="008C247B"/>
    <w:rsid w:val="008C3A58"/>
    <w:rsid w:val="008D49D4"/>
    <w:rsid w:val="00901D92"/>
    <w:rsid w:val="00913B75"/>
    <w:rsid w:val="009833C5"/>
    <w:rsid w:val="00986606"/>
    <w:rsid w:val="00986F8C"/>
    <w:rsid w:val="00990128"/>
    <w:rsid w:val="0099040B"/>
    <w:rsid w:val="009B711A"/>
    <w:rsid w:val="009D3B33"/>
    <w:rsid w:val="009D561C"/>
    <w:rsid w:val="009D69D4"/>
    <w:rsid w:val="009F14D8"/>
    <w:rsid w:val="009F2C8D"/>
    <w:rsid w:val="009F42AE"/>
    <w:rsid w:val="00A21703"/>
    <w:rsid w:val="00A26CA1"/>
    <w:rsid w:val="00A43401"/>
    <w:rsid w:val="00A538A0"/>
    <w:rsid w:val="00A602ED"/>
    <w:rsid w:val="00A7429A"/>
    <w:rsid w:val="00A9130E"/>
    <w:rsid w:val="00A9275A"/>
    <w:rsid w:val="00A94393"/>
    <w:rsid w:val="00A96643"/>
    <w:rsid w:val="00AB343C"/>
    <w:rsid w:val="00AC15CE"/>
    <w:rsid w:val="00AD4125"/>
    <w:rsid w:val="00AE5B31"/>
    <w:rsid w:val="00AE753D"/>
    <w:rsid w:val="00B11B38"/>
    <w:rsid w:val="00B14713"/>
    <w:rsid w:val="00B16C4D"/>
    <w:rsid w:val="00B16F93"/>
    <w:rsid w:val="00B23468"/>
    <w:rsid w:val="00B3409F"/>
    <w:rsid w:val="00B3643C"/>
    <w:rsid w:val="00B53D4D"/>
    <w:rsid w:val="00B56030"/>
    <w:rsid w:val="00B57D97"/>
    <w:rsid w:val="00B8004D"/>
    <w:rsid w:val="00B86E11"/>
    <w:rsid w:val="00B95678"/>
    <w:rsid w:val="00BB5E3B"/>
    <w:rsid w:val="00BB6736"/>
    <w:rsid w:val="00BC0545"/>
    <w:rsid w:val="00BD18A0"/>
    <w:rsid w:val="00BD5BA5"/>
    <w:rsid w:val="00C02ECB"/>
    <w:rsid w:val="00C1061D"/>
    <w:rsid w:val="00C11D89"/>
    <w:rsid w:val="00C16784"/>
    <w:rsid w:val="00C211ED"/>
    <w:rsid w:val="00C30DE8"/>
    <w:rsid w:val="00C33679"/>
    <w:rsid w:val="00C66026"/>
    <w:rsid w:val="00C9662D"/>
    <w:rsid w:val="00CA3770"/>
    <w:rsid w:val="00CC01F1"/>
    <w:rsid w:val="00CE1FFE"/>
    <w:rsid w:val="00CE65C9"/>
    <w:rsid w:val="00D5253F"/>
    <w:rsid w:val="00D67666"/>
    <w:rsid w:val="00D734A7"/>
    <w:rsid w:val="00D73567"/>
    <w:rsid w:val="00D80B01"/>
    <w:rsid w:val="00D867D7"/>
    <w:rsid w:val="00DB0055"/>
    <w:rsid w:val="00DB1A60"/>
    <w:rsid w:val="00DB39A3"/>
    <w:rsid w:val="00DB4600"/>
    <w:rsid w:val="00DC2DBC"/>
    <w:rsid w:val="00DE4CF1"/>
    <w:rsid w:val="00DE7FC0"/>
    <w:rsid w:val="00E13454"/>
    <w:rsid w:val="00E1504B"/>
    <w:rsid w:val="00E20E89"/>
    <w:rsid w:val="00E22120"/>
    <w:rsid w:val="00E4759B"/>
    <w:rsid w:val="00E53E90"/>
    <w:rsid w:val="00E60035"/>
    <w:rsid w:val="00E6333D"/>
    <w:rsid w:val="00E81685"/>
    <w:rsid w:val="00E817C5"/>
    <w:rsid w:val="00E87B80"/>
    <w:rsid w:val="00EA6D68"/>
    <w:rsid w:val="00EB792B"/>
    <w:rsid w:val="00EE5643"/>
    <w:rsid w:val="00EE79DC"/>
    <w:rsid w:val="00EF3B94"/>
    <w:rsid w:val="00EF4D5E"/>
    <w:rsid w:val="00EF68CD"/>
    <w:rsid w:val="00F058D9"/>
    <w:rsid w:val="00F101C2"/>
    <w:rsid w:val="00F21328"/>
    <w:rsid w:val="00F25292"/>
    <w:rsid w:val="00F42E23"/>
    <w:rsid w:val="00F60796"/>
    <w:rsid w:val="00F6101C"/>
    <w:rsid w:val="00F61E3B"/>
    <w:rsid w:val="00F67CF3"/>
    <w:rsid w:val="00FA315C"/>
    <w:rsid w:val="00FA5CAA"/>
    <w:rsid w:val="00FB7C8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36D549E"/>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My Hel Neue"/>
    <w:qFormat/>
    <w:rsid w:val="00E1504B"/>
    <w:rPr>
      <w:rFonts w:ascii="Helvetica Neue" w:hAnsi="Helvetica Neue"/>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C0545"/>
    <w:pPr>
      <w:ind w:left="720"/>
      <w:contextualSpacing/>
    </w:pPr>
  </w:style>
  <w:style w:type="paragraph" w:styleId="Header">
    <w:name w:val="header"/>
    <w:basedOn w:val="Normal"/>
    <w:link w:val="HeaderChar"/>
    <w:uiPriority w:val="99"/>
    <w:unhideWhenUsed/>
    <w:rsid w:val="00A602ED"/>
    <w:pPr>
      <w:tabs>
        <w:tab w:val="center" w:pos="4320"/>
        <w:tab w:val="right" w:pos="8640"/>
      </w:tabs>
    </w:pPr>
  </w:style>
  <w:style w:type="character" w:customStyle="1" w:styleId="HeaderChar">
    <w:name w:val="Header Char"/>
    <w:basedOn w:val="DefaultParagraphFont"/>
    <w:link w:val="Header"/>
    <w:uiPriority w:val="99"/>
    <w:rsid w:val="00A602ED"/>
    <w:rPr>
      <w:rFonts w:ascii="Helvetica Neue" w:hAnsi="Helvetica Neue"/>
      <w:sz w:val="20"/>
    </w:rPr>
  </w:style>
  <w:style w:type="paragraph" w:styleId="Footer">
    <w:name w:val="footer"/>
    <w:basedOn w:val="Normal"/>
    <w:link w:val="FooterChar"/>
    <w:uiPriority w:val="99"/>
    <w:unhideWhenUsed/>
    <w:rsid w:val="00A602ED"/>
    <w:pPr>
      <w:tabs>
        <w:tab w:val="center" w:pos="4320"/>
        <w:tab w:val="right" w:pos="8640"/>
      </w:tabs>
    </w:pPr>
  </w:style>
  <w:style w:type="character" w:customStyle="1" w:styleId="FooterChar">
    <w:name w:val="Footer Char"/>
    <w:basedOn w:val="DefaultParagraphFont"/>
    <w:link w:val="Footer"/>
    <w:uiPriority w:val="99"/>
    <w:rsid w:val="00A602ED"/>
    <w:rPr>
      <w:rFonts w:ascii="Helvetica Neue" w:hAnsi="Helvetica Neue"/>
      <w:sz w:val="20"/>
    </w:rPr>
  </w:style>
  <w:style w:type="character" w:styleId="PageNumber">
    <w:name w:val="page number"/>
    <w:basedOn w:val="DefaultParagraphFont"/>
    <w:uiPriority w:val="99"/>
    <w:semiHidden/>
    <w:unhideWhenUsed/>
    <w:rsid w:val="00A602ED"/>
  </w:style>
  <w:style w:type="paragraph" w:styleId="BalloonText">
    <w:name w:val="Balloon Text"/>
    <w:basedOn w:val="Normal"/>
    <w:link w:val="BalloonTextChar"/>
    <w:uiPriority w:val="99"/>
    <w:semiHidden/>
    <w:unhideWhenUsed/>
    <w:rsid w:val="00757F05"/>
    <w:rPr>
      <w:rFonts w:ascii="Lucida Grande" w:hAnsi="Lucida Grande"/>
      <w:sz w:val="18"/>
      <w:szCs w:val="18"/>
    </w:rPr>
  </w:style>
  <w:style w:type="character" w:customStyle="1" w:styleId="BalloonTextChar">
    <w:name w:val="Balloon Text Char"/>
    <w:basedOn w:val="DefaultParagraphFont"/>
    <w:link w:val="BalloonText"/>
    <w:uiPriority w:val="99"/>
    <w:semiHidden/>
    <w:rsid w:val="00757F05"/>
    <w:rPr>
      <w:rFonts w:ascii="Lucida Grande" w:hAnsi="Lucida Grande"/>
      <w:sz w:val="18"/>
      <w:szCs w:val="18"/>
    </w:rPr>
  </w:style>
  <w:style w:type="character" w:styleId="CommentReference">
    <w:name w:val="annotation reference"/>
    <w:basedOn w:val="DefaultParagraphFont"/>
    <w:uiPriority w:val="99"/>
    <w:semiHidden/>
    <w:unhideWhenUsed/>
    <w:rsid w:val="00010C35"/>
    <w:rPr>
      <w:sz w:val="16"/>
      <w:szCs w:val="16"/>
    </w:rPr>
  </w:style>
  <w:style w:type="paragraph" w:styleId="CommentText">
    <w:name w:val="annotation text"/>
    <w:basedOn w:val="Normal"/>
    <w:link w:val="CommentTextChar"/>
    <w:uiPriority w:val="99"/>
    <w:semiHidden/>
    <w:unhideWhenUsed/>
    <w:rsid w:val="00010C35"/>
    <w:rPr>
      <w:szCs w:val="20"/>
    </w:rPr>
  </w:style>
  <w:style w:type="character" w:customStyle="1" w:styleId="CommentTextChar">
    <w:name w:val="Comment Text Char"/>
    <w:basedOn w:val="DefaultParagraphFont"/>
    <w:link w:val="CommentText"/>
    <w:uiPriority w:val="99"/>
    <w:semiHidden/>
    <w:rsid w:val="00010C35"/>
    <w:rPr>
      <w:rFonts w:ascii="Helvetica Neue" w:hAnsi="Helvetica Neue"/>
      <w:sz w:val="20"/>
      <w:szCs w:val="20"/>
    </w:rPr>
  </w:style>
  <w:style w:type="paragraph" w:styleId="CommentSubject">
    <w:name w:val="annotation subject"/>
    <w:basedOn w:val="CommentText"/>
    <w:next w:val="CommentText"/>
    <w:link w:val="CommentSubjectChar"/>
    <w:uiPriority w:val="99"/>
    <w:semiHidden/>
    <w:unhideWhenUsed/>
    <w:rsid w:val="00010C35"/>
    <w:rPr>
      <w:b/>
      <w:bCs/>
    </w:rPr>
  </w:style>
  <w:style w:type="character" w:customStyle="1" w:styleId="CommentSubjectChar">
    <w:name w:val="Comment Subject Char"/>
    <w:basedOn w:val="CommentTextChar"/>
    <w:link w:val="CommentSubject"/>
    <w:uiPriority w:val="99"/>
    <w:semiHidden/>
    <w:rsid w:val="00010C35"/>
    <w:rPr>
      <w:rFonts w:ascii="Helvetica Neue" w:hAnsi="Helvetica Neue"/>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061564">
      <w:bodyDiv w:val="1"/>
      <w:marLeft w:val="0"/>
      <w:marRight w:val="0"/>
      <w:marTop w:val="0"/>
      <w:marBottom w:val="0"/>
      <w:divBdr>
        <w:top w:val="none" w:sz="0" w:space="0" w:color="auto"/>
        <w:left w:val="none" w:sz="0" w:space="0" w:color="auto"/>
        <w:bottom w:val="none" w:sz="0" w:space="0" w:color="auto"/>
        <w:right w:val="none" w:sz="0" w:space="0" w:color="auto"/>
      </w:divBdr>
    </w:div>
    <w:div w:id="241640924">
      <w:bodyDiv w:val="1"/>
      <w:marLeft w:val="0"/>
      <w:marRight w:val="0"/>
      <w:marTop w:val="0"/>
      <w:marBottom w:val="0"/>
      <w:divBdr>
        <w:top w:val="none" w:sz="0" w:space="0" w:color="auto"/>
        <w:left w:val="none" w:sz="0" w:space="0" w:color="auto"/>
        <w:bottom w:val="none" w:sz="0" w:space="0" w:color="auto"/>
        <w:right w:val="none" w:sz="0" w:space="0" w:color="auto"/>
      </w:divBdr>
    </w:div>
    <w:div w:id="441993320">
      <w:bodyDiv w:val="1"/>
      <w:marLeft w:val="0"/>
      <w:marRight w:val="0"/>
      <w:marTop w:val="0"/>
      <w:marBottom w:val="0"/>
      <w:divBdr>
        <w:top w:val="none" w:sz="0" w:space="0" w:color="auto"/>
        <w:left w:val="none" w:sz="0" w:space="0" w:color="auto"/>
        <w:bottom w:val="none" w:sz="0" w:space="0" w:color="auto"/>
        <w:right w:val="none" w:sz="0" w:space="0" w:color="auto"/>
      </w:divBdr>
      <w:divsChild>
        <w:div w:id="88235793">
          <w:marLeft w:val="0"/>
          <w:marRight w:val="0"/>
          <w:marTop w:val="0"/>
          <w:marBottom w:val="0"/>
          <w:divBdr>
            <w:top w:val="none" w:sz="0" w:space="0" w:color="auto"/>
            <w:left w:val="none" w:sz="0" w:space="0" w:color="auto"/>
            <w:bottom w:val="none" w:sz="0" w:space="0" w:color="auto"/>
            <w:right w:val="none" w:sz="0" w:space="0" w:color="auto"/>
          </w:divBdr>
        </w:div>
        <w:div w:id="287201899">
          <w:marLeft w:val="0"/>
          <w:marRight w:val="0"/>
          <w:marTop w:val="0"/>
          <w:marBottom w:val="0"/>
          <w:divBdr>
            <w:top w:val="none" w:sz="0" w:space="0" w:color="auto"/>
            <w:left w:val="none" w:sz="0" w:space="0" w:color="auto"/>
            <w:bottom w:val="none" w:sz="0" w:space="0" w:color="auto"/>
            <w:right w:val="none" w:sz="0" w:space="0" w:color="auto"/>
          </w:divBdr>
        </w:div>
        <w:div w:id="660429959">
          <w:marLeft w:val="0"/>
          <w:marRight w:val="0"/>
          <w:marTop w:val="0"/>
          <w:marBottom w:val="0"/>
          <w:divBdr>
            <w:top w:val="none" w:sz="0" w:space="0" w:color="auto"/>
            <w:left w:val="none" w:sz="0" w:space="0" w:color="auto"/>
            <w:bottom w:val="none" w:sz="0" w:space="0" w:color="auto"/>
            <w:right w:val="none" w:sz="0" w:space="0" w:color="auto"/>
          </w:divBdr>
        </w:div>
        <w:div w:id="767434321">
          <w:marLeft w:val="0"/>
          <w:marRight w:val="0"/>
          <w:marTop w:val="0"/>
          <w:marBottom w:val="0"/>
          <w:divBdr>
            <w:top w:val="none" w:sz="0" w:space="0" w:color="auto"/>
            <w:left w:val="none" w:sz="0" w:space="0" w:color="auto"/>
            <w:bottom w:val="none" w:sz="0" w:space="0" w:color="auto"/>
            <w:right w:val="none" w:sz="0" w:space="0" w:color="auto"/>
          </w:divBdr>
        </w:div>
        <w:div w:id="910039853">
          <w:marLeft w:val="0"/>
          <w:marRight w:val="0"/>
          <w:marTop w:val="0"/>
          <w:marBottom w:val="0"/>
          <w:divBdr>
            <w:top w:val="none" w:sz="0" w:space="0" w:color="auto"/>
            <w:left w:val="none" w:sz="0" w:space="0" w:color="auto"/>
            <w:bottom w:val="none" w:sz="0" w:space="0" w:color="auto"/>
            <w:right w:val="none" w:sz="0" w:space="0" w:color="auto"/>
          </w:divBdr>
        </w:div>
        <w:div w:id="940837008">
          <w:marLeft w:val="0"/>
          <w:marRight w:val="0"/>
          <w:marTop w:val="0"/>
          <w:marBottom w:val="0"/>
          <w:divBdr>
            <w:top w:val="none" w:sz="0" w:space="0" w:color="auto"/>
            <w:left w:val="none" w:sz="0" w:space="0" w:color="auto"/>
            <w:bottom w:val="none" w:sz="0" w:space="0" w:color="auto"/>
            <w:right w:val="none" w:sz="0" w:space="0" w:color="auto"/>
          </w:divBdr>
        </w:div>
        <w:div w:id="1309163531">
          <w:marLeft w:val="0"/>
          <w:marRight w:val="0"/>
          <w:marTop w:val="0"/>
          <w:marBottom w:val="0"/>
          <w:divBdr>
            <w:top w:val="none" w:sz="0" w:space="0" w:color="auto"/>
            <w:left w:val="none" w:sz="0" w:space="0" w:color="auto"/>
            <w:bottom w:val="none" w:sz="0" w:space="0" w:color="auto"/>
            <w:right w:val="none" w:sz="0" w:space="0" w:color="auto"/>
          </w:divBdr>
        </w:div>
        <w:div w:id="2017463360">
          <w:marLeft w:val="0"/>
          <w:marRight w:val="0"/>
          <w:marTop w:val="0"/>
          <w:marBottom w:val="0"/>
          <w:divBdr>
            <w:top w:val="none" w:sz="0" w:space="0" w:color="auto"/>
            <w:left w:val="none" w:sz="0" w:space="0" w:color="auto"/>
            <w:bottom w:val="none" w:sz="0" w:space="0" w:color="auto"/>
            <w:right w:val="none" w:sz="0" w:space="0" w:color="auto"/>
          </w:divBdr>
        </w:div>
      </w:divsChild>
    </w:div>
    <w:div w:id="612134818">
      <w:bodyDiv w:val="1"/>
      <w:marLeft w:val="0"/>
      <w:marRight w:val="0"/>
      <w:marTop w:val="0"/>
      <w:marBottom w:val="0"/>
      <w:divBdr>
        <w:top w:val="none" w:sz="0" w:space="0" w:color="auto"/>
        <w:left w:val="none" w:sz="0" w:space="0" w:color="auto"/>
        <w:bottom w:val="none" w:sz="0" w:space="0" w:color="auto"/>
        <w:right w:val="none" w:sz="0" w:space="0" w:color="auto"/>
      </w:divBdr>
    </w:div>
    <w:div w:id="813716971">
      <w:bodyDiv w:val="1"/>
      <w:marLeft w:val="0"/>
      <w:marRight w:val="0"/>
      <w:marTop w:val="0"/>
      <w:marBottom w:val="0"/>
      <w:divBdr>
        <w:top w:val="none" w:sz="0" w:space="0" w:color="auto"/>
        <w:left w:val="none" w:sz="0" w:space="0" w:color="auto"/>
        <w:bottom w:val="none" w:sz="0" w:space="0" w:color="auto"/>
        <w:right w:val="none" w:sz="0" w:space="0" w:color="auto"/>
      </w:divBdr>
    </w:div>
    <w:div w:id="813765075">
      <w:bodyDiv w:val="1"/>
      <w:marLeft w:val="0"/>
      <w:marRight w:val="0"/>
      <w:marTop w:val="0"/>
      <w:marBottom w:val="0"/>
      <w:divBdr>
        <w:top w:val="none" w:sz="0" w:space="0" w:color="auto"/>
        <w:left w:val="none" w:sz="0" w:space="0" w:color="auto"/>
        <w:bottom w:val="none" w:sz="0" w:space="0" w:color="auto"/>
        <w:right w:val="none" w:sz="0" w:space="0" w:color="auto"/>
      </w:divBdr>
    </w:div>
    <w:div w:id="916984255">
      <w:bodyDiv w:val="1"/>
      <w:marLeft w:val="0"/>
      <w:marRight w:val="0"/>
      <w:marTop w:val="0"/>
      <w:marBottom w:val="0"/>
      <w:divBdr>
        <w:top w:val="none" w:sz="0" w:space="0" w:color="auto"/>
        <w:left w:val="none" w:sz="0" w:space="0" w:color="auto"/>
        <w:bottom w:val="none" w:sz="0" w:space="0" w:color="auto"/>
        <w:right w:val="none" w:sz="0" w:space="0" w:color="auto"/>
      </w:divBdr>
    </w:div>
    <w:div w:id="1198083420">
      <w:bodyDiv w:val="1"/>
      <w:marLeft w:val="0"/>
      <w:marRight w:val="0"/>
      <w:marTop w:val="0"/>
      <w:marBottom w:val="0"/>
      <w:divBdr>
        <w:top w:val="none" w:sz="0" w:space="0" w:color="auto"/>
        <w:left w:val="none" w:sz="0" w:space="0" w:color="auto"/>
        <w:bottom w:val="none" w:sz="0" w:space="0" w:color="auto"/>
        <w:right w:val="none" w:sz="0" w:space="0" w:color="auto"/>
      </w:divBdr>
    </w:div>
    <w:div w:id="1276402992">
      <w:bodyDiv w:val="1"/>
      <w:marLeft w:val="0"/>
      <w:marRight w:val="0"/>
      <w:marTop w:val="0"/>
      <w:marBottom w:val="0"/>
      <w:divBdr>
        <w:top w:val="none" w:sz="0" w:space="0" w:color="auto"/>
        <w:left w:val="none" w:sz="0" w:space="0" w:color="auto"/>
        <w:bottom w:val="none" w:sz="0" w:space="0" w:color="auto"/>
        <w:right w:val="none" w:sz="0" w:space="0" w:color="auto"/>
      </w:divBdr>
    </w:div>
    <w:div w:id="1503230514">
      <w:bodyDiv w:val="1"/>
      <w:marLeft w:val="0"/>
      <w:marRight w:val="0"/>
      <w:marTop w:val="0"/>
      <w:marBottom w:val="0"/>
      <w:divBdr>
        <w:top w:val="none" w:sz="0" w:space="0" w:color="auto"/>
        <w:left w:val="none" w:sz="0" w:space="0" w:color="auto"/>
        <w:bottom w:val="none" w:sz="0" w:space="0" w:color="auto"/>
        <w:right w:val="none" w:sz="0" w:space="0" w:color="auto"/>
      </w:divBdr>
    </w:div>
    <w:div w:id="1595941350">
      <w:bodyDiv w:val="1"/>
      <w:marLeft w:val="0"/>
      <w:marRight w:val="0"/>
      <w:marTop w:val="0"/>
      <w:marBottom w:val="0"/>
      <w:divBdr>
        <w:top w:val="none" w:sz="0" w:space="0" w:color="auto"/>
        <w:left w:val="none" w:sz="0" w:space="0" w:color="auto"/>
        <w:bottom w:val="none" w:sz="0" w:space="0" w:color="auto"/>
        <w:right w:val="none" w:sz="0" w:space="0" w:color="auto"/>
      </w:divBdr>
    </w:div>
    <w:div w:id="1619028404">
      <w:bodyDiv w:val="1"/>
      <w:marLeft w:val="0"/>
      <w:marRight w:val="0"/>
      <w:marTop w:val="0"/>
      <w:marBottom w:val="0"/>
      <w:divBdr>
        <w:top w:val="none" w:sz="0" w:space="0" w:color="auto"/>
        <w:left w:val="none" w:sz="0" w:space="0" w:color="auto"/>
        <w:bottom w:val="none" w:sz="0" w:space="0" w:color="auto"/>
        <w:right w:val="none" w:sz="0" w:space="0" w:color="auto"/>
      </w:divBdr>
    </w:div>
    <w:div w:id="1762675229">
      <w:bodyDiv w:val="1"/>
      <w:marLeft w:val="0"/>
      <w:marRight w:val="0"/>
      <w:marTop w:val="0"/>
      <w:marBottom w:val="0"/>
      <w:divBdr>
        <w:top w:val="none" w:sz="0" w:space="0" w:color="auto"/>
        <w:left w:val="none" w:sz="0" w:space="0" w:color="auto"/>
        <w:bottom w:val="none" w:sz="0" w:space="0" w:color="auto"/>
        <w:right w:val="none" w:sz="0" w:space="0" w:color="auto"/>
      </w:divBdr>
    </w:div>
    <w:div w:id="1842118616">
      <w:bodyDiv w:val="1"/>
      <w:marLeft w:val="0"/>
      <w:marRight w:val="0"/>
      <w:marTop w:val="0"/>
      <w:marBottom w:val="0"/>
      <w:divBdr>
        <w:top w:val="none" w:sz="0" w:space="0" w:color="auto"/>
        <w:left w:val="none" w:sz="0" w:space="0" w:color="auto"/>
        <w:bottom w:val="none" w:sz="0" w:space="0" w:color="auto"/>
        <w:right w:val="none" w:sz="0" w:space="0" w:color="auto"/>
      </w:divBdr>
    </w:div>
    <w:div w:id="1984115408">
      <w:bodyDiv w:val="1"/>
      <w:marLeft w:val="0"/>
      <w:marRight w:val="0"/>
      <w:marTop w:val="0"/>
      <w:marBottom w:val="0"/>
      <w:divBdr>
        <w:top w:val="none" w:sz="0" w:space="0" w:color="auto"/>
        <w:left w:val="none" w:sz="0" w:space="0" w:color="auto"/>
        <w:bottom w:val="none" w:sz="0" w:space="0" w:color="auto"/>
        <w:right w:val="none" w:sz="0" w:space="0" w:color="auto"/>
      </w:divBdr>
    </w:div>
    <w:div w:id="214507744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4.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5.xml"/></Relationships>
</file>

<file path=word/charts/_rels/chart1.xml.rels><?xml version="1.0" encoding="UTF-8" standalone="yes"?>
<Relationships xmlns="http://schemas.openxmlformats.org/package/2006/relationships"><Relationship Id="rId1" Type="http://schemas.openxmlformats.org/officeDocument/2006/relationships/oleObject" Target="file:////Users/gail/Dropbox/OASF/Reports/FY15/OASFfy15Reportinprogres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Users/gail/Dropbox/OASF/Reports/FY15/OASFfy15Reportinprogres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Users/gail/Dropbox/OASF/Reports/FY15/OASFfy15Reportinprogres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Users/gail/Dropbox/OASF/Reports/FY15/OASFfy15Reportinprogres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Users/gail/Dropbox/OASF/Reports/FY15/OASFfy15Reportinprogres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pieChart>
        <c:varyColors val="1"/>
        <c:ser>
          <c:idx val="0"/>
          <c:order val="0"/>
          <c:dLbls>
            <c:spPr>
              <a:noFill/>
              <a:ln>
                <a:noFill/>
              </a:ln>
              <a:effectLst/>
            </c:spPr>
            <c:txPr>
              <a:bodyPr/>
              <a:lstStyle/>
              <a:p>
                <a:pPr>
                  <a:defRPr>
                    <a:latin typeface="Helvetica Neue"/>
                    <a:cs typeface="Helvetica Neue"/>
                  </a:defRPr>
                </a:pPr>
                <a:endParaRPr lang="en-US"/>
              </a:p>
            </c:txPr>
            <c:showLegendKey val="0"/>
            <c:showVal val="0"/>
            <c:showCatName val="1"/>
            <c:showSerName val="0"/>
            <c:showPercent val="1"/>
            <c:showBubbleSize val="0"/>
            <c:showLeaderLines val="1"/>
            <c:extLst>
              <c:ext xmlns:c15="http://schemas.microsoft.com/office/drawing/2012/chart" uri="{CE6537A1-D6FC-4f65-9D91-7224C49458BB}"/>
            </c:extLst>
          </c:dLbls>
          <c:cat>
            <c:strRef>
              <c:f>Categories!$B$195:$B$203</c:f>
              <c:strCache>
                <c:ptCount val="9"/>
                <c:pt idx="0">
                  <c:v>Undergrads</c:v>
                </c:pt>
                <c:pt idx="1">
                  <c:v>Associates</c:v>
                </c:pt>
                <c:pt idx="2">
                  <c:v>Adj Prof</c:v>
                </c:pt>
                <c:pt idx="3">
                  <c:v>Post Doc</c:v>
                </c:pt>
                <c:pt idx="4">
                  <c:v>Other</c:v>
                </c:pt>
                <c:pt idx="5">
                  <c:v>Prof</c:v>
                </c:pt>
                <c:pt idx="6">
                  <c:v>Assoc Prof</c:v>
                </c:pt>
                <c:pt idx="7">
                  <c:v>Grad Students</c:v>
                </c:pt>
                <c:pt idx="8">
                  <c:v>Asst Prof</c:v>
                </c:pt>
              </c:strCache>
            </c:strRef>
          </c:cat>
          <c:val>
            <c:numRef>
              <c:f>Categories!$C$195:$C$203</c:f>
              <c:numCache>
                <c:formatCode>_("$"* #,##0.00_);_("$"* \(#,##0.00\);_("$"* "-"??_);_(@_)</c:formatCode>
                <c:ptCount val="9"/>
                <c:pt idx="0">
                  <c:v>978.33333333333314</c:v>
                </c:pt>
                <c:pt idx="1">
                  <c:v>1337.5</c:v>
                </c:pt>
                <c:pt idx="2">
                  <c:v>1982.12</c:v>
                </c:pt>
                <c:pt idx="3">
                  <c:v>2296</c:v>
                </c:pt>
                <c:pt idx="4">
                  <c:v>3270.3333333333348</c:v>
                </c:pt>
                <c:pt idx="5">
                  <c:v>7840.25</c:v>
                </c:pt>
                <c:pt idx="6">
                  <c:v>8739.2999999999956</c:v>
                </c:pt>
                <c:pt idx="7">
                  <c:v>11365.05</c:v>
                </c:pt>
                <c:pt idx="8">
                  <c:v>11902.23333333333</c:v>
                </c:pt>
              </c:numCache>
            </c:numRef>
          </c:val>
          <c:extLst>
            <c:ext xmlns:c16="http://schemas.microsoft.com/office/drawing/2014/chart" uri="{C3380CC4-5D6E-409C-BE32-E72D297353CC}">
              <c16:uniqueId val="{00000000-8AFE-CC4D-AC55-140C0F7B3AA5}"/>
            </c:ext>
          </c:extLst>
        </c:ser>
        <c:dLbls>
          <c:showLegendKey val="0"/>
          <c:showVal val="0"/>
          <c:showCatName val="1"/>
          <c:showSerName val="0"/>
          <c:showPercent val="1"/>
          <c:showBubbleSize val="0"/>
          <c:showLeaderLines val="1"/>
        </c:dLbls>
        <c:firstSliceAng val="0"/>
      </c:pieChart>
    </c:plotArea>
    <c:plotVisOnly val="1"/>
    <c:dispBlanksAs val="gap"/>
    <c:showDLblsOverMax val="0"/>
  </c:chart>
  <c:spPr>
    <a:noFill/>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lgn="ctr">
              <a:defRPr/>
            </a:pPr>
            <a:r>
              <a:rPr lang="en-US" sz="1050" b="0"/>
              <a:t>VT OASF College/Institute FY2015</a:t>
            </a:r>
          </a:p>
        </c:rich>
      </c:tx>
      <c:layout>
        <c:manualLayout>
          <c:xMode val="edge"/>
          <c:yMode val="edge"/>
          <c:x val="0.12210813648294"/>
          <c:y val="1.8185951352580099E-2"/>
        </c:manualLayout>
      </c:layout>
      <c:overlay val="0"/>
    </c:title>
    <c:autoTitleDeleted val="0"/>
    <c:plotArea>
      <c:layout/>
      <c:pieChart>
        <c:varyColors val="1"/>
        <c:ser>
          <c:idx val="0"/>
          <c:order val="0"/>
          <c:dLbls>
            <c:spPr>
              <a:noFill/>
              <a:ln>
                <a:noFill/>
              </a:ln>
              <a:effectLst/>
            </c:spPr>
            <c:showLegendKey val="0"/>
            <c:showVal val="0"/>
            <c:showCatName val="1"/>
            <c:showSerName val="0"/>
            <c:showPercent val="1"/>
            <c:showBubbleSize val="0"/>
            <c:showLeaderLines val="1"/>
            <c:extLst>
              <c:ext xmlns:c15="http://schemas.microsoft.com/office/drawing/2012/chart" uri="{CE6537A1-D6FC-4f65-9D91-7224C49458BB}"/>
            </c:extLst>
          </c:dLbls>
          <c:cat>
            <c:strRef>
              <c:f>'combo units'!$R$15:$R$23</c:f>
              <c:strCache>
                <c:ptCount val="9"/>
                <c:pt idx="0">
                  <c:v>CALS</c:v>
                </c:pt>
                <c:pt idx="1">
                  <c:v>CLAHS</c:v>
                </c:pt>
                <c:pt idx="2">
                  <c:v>CNRE</c:v>
                </c:pt>
                <c:pt idx="3">
                  <c:v>CoE</c:v>
                </c:pt>
                <c:pt idx="4">
                  <c:v>CoS</c:v>
                </c:pt>
                <c:pt idx="5">
                  <c:v>Vet Med</c:v>
                </c:pt>
                <c:pt idx="6">
                  <c:v>VBI</c:v>
                </c:pt>
                <c:pt idx="7">
                  <c:v>Fralin</c:v>
                </c:pt>
                <c:pt idx="8">
                  <c:v>VTCRI</c:v>
                </c:pt>
              </c:strCache>
            </c:strRef>
          </c:cat>
          <c:val>
            <c:numRef>
              <c:f>'combo units'!$S$15:$S$23</c:f>
              <c:numCache>
                <c:formatCode>_("$"* #,##0.00_);_("$"* \(#,##0.00\);_("$"* "-"??_);_(@_)</c:formatCode>
                <c:ptCount val="9"/>
                <c:pt idx="0">
                  <c:v>14319.2</c:v>
                </c:pt>
                <c:pt idx="1">
                  <c:v>2663.12</c:v>
                </c:pt>
                <c:pt idx="2">
                  <c:v>2625</c:v>
                </c:pt>
                <c:pt idx="3">
                  <c:v>11042.5</c:v>
                </c:pt>
                <c:pt idx="4">
                  <c:v>12003.8</c:v>
                </c:pt>
                <c:pt idx="5">
                  <c:v>2700</c:v>
                </c:pt>
                <c:pt idx="6">
                  <c:v>3307.5</c:v>
                </c:pt>
                <c:pt idx="7">
                  <c:v>300</c:v>
                </c:pt>
                <c:pt idx="8">
                  <c:v>750</c:v>
                </c:pt>
              </c:numCache>
            </c:numRef>
          </c:val>
          <c:extLst>
            <c:ext xmlns:c16="http://schemas.microsoft.com/office/drawing/2014/chart" uri="{C3380CC4-5D6E-409C-BE32-E72D297353CC}">
              <c16:uniqueId val="{00000000-CDDE-D74B-A997-88C4295A970B}"/>
            </c:ext>
          </c:extLst>
        </c:ser>
        <c:dLbls>
          <c:showLegendKey val="0"/>
          <c:showVal val="0"/>
          <c:showCatName val="1"/>
          <c:showSerName val="0"/>
          <c:showPercent val="1"/>
          <c:showBubbleSize val="0"/>
          <c:showLeaderLines val="1"/>
        </c:dLbls>
        <c:firstSliceAng val="0"/>
      </c:pieChart>
    </c:plotArea>
    <c:plotVisOnly val="1"/>
    <c:dispBlanksAs val="gap"/>
    <c:showDLblsOverMax val="0"/>
  </c:chart>
  <c:spPr>
    <a:noFill/>
    <a:ln>
      <a:noFill/>
    </a:ln>
  </c:spPr>
  <c:txPr>
    <a:bodyPr/>
    <a:lstStyle/>
    <a:p>
      <a:pPr>
        <a:defRPr>
          <a:latin typeface="Helvetica Neue"/>
          <a:cs typeface="Helvetica Neue"/>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sz="1200" b="0"/>
              <a:t>VT OASF FY2015: $49,711.12 Approved  </a:t>
            </a:r>
          </a:p>
        </c:rich>
      </c:tx>
      <c:overlay val="0"/>
    </c:title>
    <c:autoTitleDeleted val="0"/>
    <c:plotArea>
      <c:layout/>
      <c:barChart>
        <c:barDir val="bar"/>
        <c:grouping val="clustered"/>
        <c:varyColors val="0"/>
        <c:ser>
          <c:idx val="0"/>
          <c:order val="0"/>
          <c:tx>
            <c:strRef>
              <c:f>'combo units'!$S$33</c:f>
              <c:strCache>
                <c:ptCount val="1"/>
                <c:pt idx="0">
                  <c:v> $49,711.12  Approved</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'combo units'!$R$34:$R$42</c:f>
              <c:strCache>
                <c:ptCount val="9"/>
                <c:pt idx="0">
                  <c:v>Fralin</c:v>
                </c:pt>
                <c:pt idx="1">
                  <c:v>VTCRI</c:v>
                </c:pt>
                <c:pt idx="2">
                  <c:v>CNRE</c:v>
                </c:pt>
                <c:pt idx="3">
                  <c:v>CLAHS</c:v>
                </c:pt>
                <c:pt idx="4">
                  <c:v>Vet Med</c:v>
                </c:pt>
                <c:pt idx="5">
                  <c:v>VBI</c:v>
                </c:pt>
                <c:pt idx="6">
                  <c:v>CoE</c:v>
                </c:pt>
                <c:pt idx="7">
                  <c:v>CoS</c:v>
                </c:pt>
                <c:pt idx="8">
                  <c:v>CALS</c:v>
                </c:pt>
              </c:strCache>
            </c:strRef>
          </c:cat>
          <c:val>
            <c:numRef>
              <c:f>'combo units'!$S$34:$S$42</c:f>
              <c:numCache>
                <c:formatCode>_("$"* #,##0.00_);_("$"* \(#,##0.00\);_("$"* "-"??_);_(@_)</c:formatCode>
                <c:ptCount val="9"/>
                <c:pt idx="0">
                  <c:v>300</c:v>
                </c:pt>
                <c:pt idx="1">
                  <c:v>750</c:v>
                </c:pt>
                <c:pt idx="2">
                  <c:v>2625</c:v>
                </c:pt>
                <c:pt idx="3">
                  <c:v>2663.12</c:v>
                </c:pt>
                <c:pt idx="4">
                  <c:v>2700</c:v>
                </c:pt>
                <c:pt idx="5">
                  <c:v>3307.5</c:v>
                </c:pt>
                <c:pt idx="6">
                  <c:v>11042.5</c:v>
                </c:pt>
                <c:pt idx="7">
                  <c:v>12003.8</c:v>
                </c:pt>
                <c:pt idx="8">
                  <c:v>14319.2</c:v>
                </c:pt>
              </c:numCache>
            </c:numRef>
          </c:val>
          <c:extLst>
            <c:ext xmlns:c16="http://schemas.microsoft.com/office/drawing/2014/chart" uri="{C3380CC4-5D6E-409C-BE32-E72D297353CC}">
              <c16:uniqueId val="{00000000-CA7D-E64D-8DE1-7D649A949958}"/>
            </c:ext>
          </c:extLst>
        </c:ser>
        <c:dLbls>
          <c:showLegendKey val="0"/>
          <c:showVal val="1"/>
          <c:showCatName val="0"/>
          <c:showSerName val="0"/>
          <c:showPercent val="0"/>
          <c:showBubbleSize val="0"/>
        </c:dLbls>
        <c:gapWidth val="150"/>
        <c:axId val="-2030374432"/>
        <c:axId val="-2046635376"/>
      </c:barChart>
      <c:catAx>
        <c:axId val="-2030374432"/>
        <c:scaling>
          <c:orientation val="minMax"/>
        </c:scaling>
        <c:delete val="0"/>
        <c:axPos val="l"/>
        <c:numFmt formatCode="General" sourceLinked="0"/>
        <c:majorTickMark val="out"/>
        <c:minorTickMark val="none"/>
        <c:tickLblPos val="nextTo"/>
        <c:crossAx val="-2046635376"/>
        <c:crosses val="autoZero"/>
        <c:auto val="1"/>
        <c:lblAlgn val="ctr"/>
        <c:lblOffset val="100"/>
        <c:noMultiLvlLbl val="0"/>
      </c:catAx>
      <c:valAx>
        <c:axId val="-2046635376"/>
        <c:scaling>
          <c:orientation val="minMax"/>
        </c:scaling>
        <c:delete val="1"/>
        <c:axPos val="b"/>
        <c:majorGridlines/>
        <c:numFmt formatCode="_(&quot;$&quot;* #,##0.00_);_(&quot;$&quot;* \(#,##0.00\);_(&quot;$&quot;* &quot;-&quot;??_);_(@_)" sourceLinked="1"/>
        <c:majorTickMark val="out"/>
        <c:minorTickMark val="none"/>
        <c:tickLblPos val="nextTo"/>
        <c:crossAx val="-2030374432"/>
        <c:crosses val="autoZero"/>
        <c:crossBetween val="between"/>
      </c:valAx>
    </c:plotArea>
    <c:plotVisOnly val="1"/>
    <c:dispBlanksAs val="gap"/>
    <c:showDLblsOverMax val="0"/>
  </c:chart>
  <c:spPr>
    <a:noFill/>
    <a:ln>
      <a:solidFill>
        <a:schemeClr val="tx1">
          <a:alpha val="97000"/>
        </a:schemeClr>
      </a:solidFill>
    </a:ln>
  </c:spPr>
  <c:txPr>
    <a:bodyPr/>
    <a:lstStyle/>
    <a:p>
      <a:pPr>
        <a:defRPr>
          <a:latin typeface="Helvetica Neue"/>
          <a:cs typeface="Helvetica Neue"/>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sz="1200"/>
              <a:t>Funding</a:t>
            </a:r>
            <a:r>
              <a:rPr lang="en-US" sz="1200" baseline="0"/>
              <a:t> Changes among Author Categories</a:t>
            </a:r>
            <a:endParaRPr lang="en-US" sz="1200"/>
          </a:p>
        </c:rich>
      </c:tx>
      <c:overlay val="0"/>
    </c:title>
    <c:autoTitleDeleted val="0"/>
    <c:plotArea>
      <c:layout/>
      <c:barChart>
        <c:barDir val="col"/>
        <c:grouping val="clustered"/>
        <c:varyColors val="0"/>
        <c:ser>
          <c:idx val="0"/>
          <c:order val="0"/>
          <c:tx>
            <c:strRef>
              <c:f>'combo units'!$B$137</c:f>
              <c:strCache>
                <c:ptCount val="1"/>
                <c:pt idx="0">
                  <c:v>FY15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'combo units'!$C$136:$K$136</c:f>
              <c:strCache>
                <c:ptCount val="9"/>
                <c:pt idx="0">
                  <c:v>Adj Prof</c:v>
                </c:pt>
                <c:pt idx="1">
                  <c:v>Assoc Prof</c:v>
                </c:pt>
                <c:pt idx="2">
                  <c:v>Asst Prof</c:v>
                </c:pt>
                <c:pt idx="3">
                  <c:v>Grad Stud</c:v>
                </c:pt>
                <c:pt idx="4">
                  <c:v>Post Doc</c:v>
                </c:pt>
                <c:pt idx="5">
                  <c:v>Prof</c:v>
                </c:pt>
                <c:pt idx="6">
                  <c:v>Asso ciates</c:v>
                </c:pt>
                <c:pt idx="7">
                  <c:v>Under grad</c:v>
                </c:pt>
                <c:pt idx="8">
                  <c:v>Others</c:v>
                </c:pt>
              </c:strCache>
            </c:strRef>
          </c:cat>
          <c:val>
            <c:numRef>
              <c:f>'combo units'!$C$137:$K$137</c:f>
              <c:numCache>
                <c:formatCode>0%</c:formatCode>
                <c:ptCount val="9"/>
                <c:pt idx="0">
                  <c:v>3.98728651606284E-2</c:v>
                </c:pt>
                <c:pt idx="1">
                  <c:v>0.175802136348092</c:v>
                </c:pt>
                <c:pt idx="2">
                  <c:v>0.23942856376523</c:v>
                </c:pt>
                <c:pt idx="3">
                  <c:v>0.228622437689847</c:v>
                </c:pt>
                <c:pt idx="4">
                  <c:v>4.6186960632455601E-2</c:v>
                </c:pt>
                <c:pt idx="5">
                  <c:v>0.15771660195932499</c:v>
                </c:pt>
                <c:pt idx="6">
                  <c:v>2.6905513870169599E-2</c:v>
                </c:pt>
                <c:pt idx="7">
                  <c:v>1.9680419491326501E-2</c:v>
                </c:pt>
                <c:pt idx="8">
                  <c:v>6.5786915035572296E-2</c:v>
                </c:pt>
              </c:numCache>
            </c:numRef>
          </c:val>
          <c:extLst>
            <c:ext xmlns:c16="http://schemas.microsoft.com/office/drawing/2014/chart" uri="{C3380CC4-5D6E-409C-BE32-E72D297353CC}">
              <c16:uniqueId val="{00000000-5077-6740-B3F0-A82232E73AD2}"/>
            </c:ext>
          </c:extLst>
        </c:ser>
        <c:ser>
          <c:idx val="1"/>
          <c:order val="1"/>
          <c:tx>
            <c:strRef>
              <c:f>'combo units'!$B$138</c:f>
              <c:strCache>
                <c:ptCount val="1"/>
                <c:pt idx="0">
                  <c:v>FY14</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'combo units'!$C$136:$K$136</c:f>
              <c:strCache>
                <c:ptCount val="9"/>
                <c:pt idx="0">
                  <c:v>Adj Prof</c:v>
                </c:pt>
                <c:pt idx="1">
                  <c:v>Assoc Prof</c:v>
                </c:pt>
                <c:pt idx="2">
                  <c:v>Asst Prof</c:v>
                </c:pt>
                <c:pt idx="3">
                  <c:v>Grad Stud</c:v>
                </c:pt>
                <c:pt idx="4">
                  <c:v>Post Doc</c:v>
                </c:pt>
                <c:pt idx="5">
                  <c:v>Prof</c:v>
                </c:pt>
                <c:pt idx="6">
                  <c:v>Asso ciates</c:v>
                </c:pt>
                <c:pt idx="7">
                  <c:v>Under grad</c:v>
                </c:pt>
                <c:pt idx="8">
                  <c:v>Others</c:v>
                </c:pt>
              </c:strCache>
            </c:strRef>
          </c:cat>
          <c:val>
            <c:numRef>
              <c:f>'combo units'!$C$138:$K$138</c:f>
              <c:numCache>
                <c:formatCode>0%</c:formatCode>
                <c:ptCount val="9"/>
                <c:pt idx="1">
                  <c:v>0.22086686521766699</c:v>
                </c:pt>
                <c:pt idx="2">
                  <c:v>0.20942906026234101</c:v>
                </c:pt>
                <c:pt idx="3">
                  <c:v>0.24279196502122799</c:v>
                </c:pt>
                <c:pt idx="4">
                  <c:v>2.2336987516633901E-2</c:v>
                </c:pt>
                <c:pt idx="5">
                  <c:v>0.17898105316519899</c:v>
                </c:pt>
                <c:pt idx="8">
                  <c:v>0.125594068816932</c:v>
                </c:pt>
              </c:numCache>
            </c:numRef>
          </c:val>
          <c:extLst>
            <c:ext xmlns:c16="http://schemas.microsoft.com/office/drawing/2014/chart" uri="{C3380CC4-5D6E-409C-BE32-E72D297353CC}">
              <c16:uniqueId val="{00000001-5077-6740-B3F0-A82232E73AD2}"/>
            </c:ext>
          </c:extLst>
        </c:ser>
        <c:dLbls>
          <c:showLegendKey val="0"/>
          <c:showVal val="1"/>
          <c:showCatName val="0"/>
          <c:showSerName val="0"/>
          <c:showPercent val="0"/>
          <c:showBubbleSize val="0"/>
        </c:dLbls>
        <c:gapWidth val="150"/>
        <c:axId val="-2125046224"/>
        <c:axId val="-2113532656"/>
      </c:barChart>
      <c:catAx>
        <c:axId val="-2125046224"/>
        <c:scaling>
          <c:orientation val="minMax"/>
        </c:scaling>
        <c:delete val="0"/>
        <c:axPos val="b"/>
        <c:numFmt formatCode="General" sourceLinked="0"/>
        <c:majorTickMark val="out"/>
        <c:minorTickMark val="none"/>
        <c:tickLblPos val="nextTo"/>
        <c:crossAx val="-2113532656"/>
        <c:crosses val="autoZero"/>
        <c:auto val="1"/>
        <c:lblAlgn val="ctr"/>
        <c:lblOffset val="100"/>
        <c:noMultiLvlLbl val="0"/>
      </c:catAx>
      <c:valAx>
        <c:axId val="-2113532656"/>
        <c:scaling>
          <c:orientation val="minMax"/>
        </c:scaling>
        <c:delete val="0"/>
        <c:axPos val="l"/>
        <c:majorGridlines/>
        <c:numFmt formatCode="0%" sourceLinked="1"/>
        <c:majorTickMark val="out"/>
        <c:minorTickMark val="none"/>
        <c:tickLblPos val="nextTo"/>
        <c:crossAx val="-2125046224"/>
        <c:crosses val="autoZero"/>
        <c:crossBetween val="between"/>
      </c:valAx>
    </c:plotArea>
    <c:legend>
      <c:legendPos val="t"/>
      <c:overlay val="0"/>
    </c:legend>
    <c:plotVisOnly val="1"/>
    <c:dispBlanksAs val="gap"/>
    <c:showDLblsOverMax val="0"/>
  </c:chart>
  <c:spPr>
    <a:noFill/>
    <a:ln>
      <a:noFill/>
    </a:ln>
  </c:spPr>
  <c:txPr>
    <a:bodyPr/>
    <a:lstStyle/>
    <a:p>
      <a:pPr>
        <a:defRPr>
          <a:latin typeface="Helvetica Neue"/>
          <a:cs typeface="Helvetica Neue"/>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title>
      <c:tx>
        <c:rich>
          <a:bodyPr/>
          <a:lstStyle/>
          <a:p>
            <a:pPr>
              <a:defRPr/>
            </a:pPr>
            <a:r>
              <a:rPr lang="en-US" sz="1200"/>
              <a:t>Funding Changes among Colleges/Institutes</a:t>
            </a:r>
          </a:p>
        </c:rich>
      </c:tx>
      <c:overlay val="0"/>
    </c:title>
    <c:autoTitleDeleted val="0"/>
    <c:plotArea>
      <c:layout>
        <c:manualLayout>
          <c:layoutTarget val="inner"/>
          <c:xMode val="edge"/>
          <c:yMode val="edge"/>
          <c:x val="4.6159230096237999E-2"/>
          <c:y val="0.19185728211910399"/>
          <c:w val="0.917729658792651"/>
          <c:h val="0.61115281421867695"/>
        </c:manualLayout>
      </c:layout>
      <c:barChart>
        <c:barDir val="col"/>
        <c:grouping val="stacked"/>
        <c:varyColors val="0"/>
        <c:ser>
          <c:idx val="0"/>
          <c:order val="0"/>
          <c:tx>
            <c:strRef>
              <c:f>'combo units'!$G$81</c:f>
              <c:strCache>
                <c:ptCount val="1"/>
                <c:pt idx="0">
                  <c:v>FY 2015</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'combo units'!$F$82:$F$93</c:f>
              <c:strCache>
                <c:ptCount val="12"/>
                <c:pt idx="0">
                  <c:v>CALS</c:v>
                </c:pt>
                <c:pt idx="1">
                  <c:v>CAUS</c:v>
                </c:pt>
                <c:pt idx="2">
                  <c:v>CLAHS</c:v>
                </c:pt>
                <c:pt idx="3">
                  <c:v>CNRE</c:v>
                </c:pt>
                <c:pt idx="4">
                  <c:v>CoE</c:v>
                </c:pt>
                <c:pt idx="5">
                  <c:v>CoS</c:v>
                </c:pt>
                <c:pt idx="6">
                  <c:v>Fralin</c:v>
                </c:pt>
                <c:pt idx="7">
                  <c:v>OIRED</c:v>
                </c:pt>
                <c:pt idx="8">
                  <c:v>Vet Med</c:v>
                </c:pt>
                <c:pt idx="9">
                  <c:v>VBI</c:v>
                </c:pt>
                <c:pt idx="10">
                  <c:v>VTTI/CBI</c:v>
                </c:pt>
                <c:pt idx="11">
                  <c:v>VTCRI</c:v>
                </c:pt>
              </c:strCache>
            </c:strRef>
          </c:cat>
          <c:val>
            <c:numRef>
              <c:f>'combo units'!$G$82:$G$93</c:f>
              <c:numCache>
                <c:formatCode>General</c:formatCode>
                <c:ptCount val="12"/>
                <c:pt idx="0" formatCode="0%">
                  <c:v>0.28804892277363198</c:v>
                </c:pt>
                <c:pt idx="2" formatCode="0%">
                  <c:v>5.3572046428355898E-2</c:v>
                </c:pt>
                <c:pt idx="3" formatCode="0%">
                  <c:v>5.2805214137716001E-2</c:v>
                </c:pt>
                <c:pt idx="4" formatCode="0%">
                  <c:v>0.222133934139325</c:v>
                </c:pt>
                <c:pt idx="5" formatCode="0%">
                  <c:v>0.241471706463358</c:v>
                </c:pt>
                <c:pt idx="6" formatCode="0%">
                  <c:v>6.03488161573897E-3</c:v>
                </c:pt>
                <c:pt idx="8" formatCode="0%">
                  <c:v>5.4313934541650698E-2</c:v>
                </c:pt>
                <c:pt idx="9" formatCode="0%">
                  <c:v>6.6534569813522099E-2</c:v>
                </c:pt>
                <c:pt idx="11" formatCode="0%">
                  <c:v>1.50872040393474E-2</c:v>
                </c:pt>
              </c:numCache>
            </c:numRef>
          </c:val>
          <c:extLst>
            <c:ext xmlns:c16="http://schemas.microsoft.com/office/drawing/2014/chart" uri="{C3380CC4-5D6E-409C-BE32-E72D297353CC}">
              <c16:uniqueId val="{00000000-CEAB-3E43-B705-5A0BDAC22CEB}"/>
            </c:ext>
          </c:extLst>
        </c:ser>
        <c:ser>
          <c:idx val="1"/>
          <c:order val="1"/>
          <c:tx>
            <c:strRef>
              <c:f>'combo units'!$H$81</c:f>
              <c:strCache>
                <c:ptCount val="1"/>
                <c:pt idx="0">
                  <c:v>FY 2014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'combo units'!$F$82:$F$93</c:f>
              <c:strCache>
                <c:ptCount val="12"/>
                <c:pt idx="0">
                  <c:v>CALS</c:v>
                </c:pt>
                <c:pt idx="1">
                  <c:v>CAUS</c:v>
                </c:pt>
                <c:pt idx="2">
                  <c:v>CLAHS</c:v>
                </c:pt>
                <c:pt idx="3">
                  <c:v>CNRE</c:v>
                </c:pt>
                <c:pt idx="4">
                  <c:v>CoE</c:v>
                </c:pt>
                <c:pt idx="5">
                  <c:v>CoS</c:v>
                </c:pt>
                <c:pt idx="6">
                  <c:v>Fralin</c:v>
                </c:pt>
                <c:pt idx="7">
                  <c:v>OIRED</c:v>
                </c:pt>
                <c:pt idx="8">
                  <c:v>Vet Med</c:v>
                </c:pt>
                <c:pt idx="9">
                  <c:v>VBI</c:v>
                </c:pt>
                <c:pt idx="10">
                  <c:v>VTTI/CBI</c:v>
                </c:pt>
                <c:pt idx="11">
                  <c:v>VTCRI</c:v>
                </c:pt>
              </c:strCache>
            </c:strRef>
          </c:cat>
          <c:val>
            <c:numRef>
              <c:f>'combo units'!$H$82:$H$93</c:f>
              <c:numCache>
                <c:formatCode>0%</c:formatCode>
                <c:ptCount val="12"/>
                <c:pt idx="0">
                  <c:v>0.29350119752930798</c:v>
                </c:pt>
                <c:pt idx="1">
                  <c:v>2.3635446867515401E-2</c:v>
                </c:pt>
                <c:pt idx="3">
                  <c:v>7.5318290684482495E-2</c:v>
                </c:pt>
                <c:pt idx="4">
                  <c:v>0.26077776377158701</c:v>
                </c:pt>
                <c:pt idx="5">
                  <c:v>0.14792638346149001</c:v>
                </c:pt>
                <c:pt idx="7">
                  <c:v>2.3635446867515401E-2</c:v>
                </c:pt>
                <c:pt idx="8">
                  <c:v>9.9584016135131695E-2</c:v>
                </c:pt>
                <c:pt idx="10">
                  <c:v>7.5633429976049396E-2</c:v>
                </c:pt>
              </c:numCache>
            </c:numRef>
          </c:val>
          <c:extLst>
            <c:ext xmlns:c16="http://schemas.microsoft.com/office/drawing/2014/chart" uri="{C3380CC4-5D6E-409C-BE32-E72D297353CC}">
              <c16:uniqueId val="{00000001-CEAB-3E43-B705-5A0BDAC22CEB}"/>
            </c:ext>
          </c:extLst>
        </c:ser>
        <c:dLbls>
          <c:showLegendKey val="0"/>
          <c:showVal val="1"/>
          <c:showCatName val="0"/>
          <c:showSerName val="0"/>
          <c:showPercent val="0"/>
          <c:showBubbleSize val="0"/>
        </c:dLbls>
        <c:gapWidth val="150"/>
        <c:overlap val="100"/>
        <c:axId val="-2030975504"/>
        <c:axId val="-2035623776"/>
      </c:barChart>
      <c:catAx>
        <c:axId val="-2030975504"/>
        <c:scaling>
          <c:orientation val="minMax"/>
        </c:scaling>
        <c:delete val="0"/>
        <c:axPos val="b"/>
        <c:numFmt formatCode="General" sourceLinked="0"/>
        <c:majorTickMark val="out"/>
        <c:minorTickMark val="none"/>
        <c:tickLblPos val="nextTo"/>
        <c:crossAx val="-2035623776"/>
        <c:crosses val="autoZero"/>
        <c:auto val="1"/>
        <c:lblAlgn val="ctr"/>
        <c:lblOffset val="100"/>
        <c:noMultiLvlLbl val="0"/>
      </c:catAx>
      <c:valAx>
        <c:axId val="-2035623776"/>
        <c:scaling>
          <c:orientation val="minMax"/>
        </c:scaling>
        <c:delete val="1"/>
        <c:axPos val="l"/>
        <c:majorGridlines/>
        <c:numFmt formatCode="0%" sourceLinked="1"/>
        <c:majorTickMark val="out"/>
        <c:minorTickMark val="none"/>
        <c:tickLblPos val="nextTo"/>
        <c:crossAx val="-2030975504"/>
        <c:crosses val="autoZero"/>
        <c:crossBetween val="between"/>
      </c:valAx>
    </c:plotArea>
    <c:legend>
      <c:legendPos val="t"/>
      <c:layout>
        <c:manualLayout>
          <c:xMode val="edge"/>
          <c:yMode val="edge"/>
          <c:x val="0.33631386701662302"/>
          <c:y val="9.9607812379863395E-2"/>
          <c:w val="0.32737204724409402"/>
          <c:h val="6.9150931424977705E-2"/>
        </c:manualLayout>
      </c:layout>
      <c:overlay val="0"/>
    </c:legend>
    <c:plotVisOnly val="1"/>
    <c:dispBlanksAs val="gap"/>
    <c:showDLblsOverMax val="0"/>
  </c:chart>
  <c:spPr>
    <a:noFill/>
    <a:ln>
      <a:noFill/>
    </a:ln>
  </c:spPr>
  <c:txPr>
    <a:bodyPr/>
    <a:lstStyle/>
    <a:p>
      <a:pPr>
        <a:defRPr>
          <a:latin typeface="Helvetica Neue"/>
          <a:cs typeface="Helvetica Neue"/>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F83853-06E3-4240-A20B-D504E31F8A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1809</Words>
  <Characters>10314</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Scholarly Communication, Virginia Tech Libraries</Company>
  <LinksUpToDate>false</LinksUpToDate>
  <CharactersWithSpaces>12099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Gail McMillan</dc:creator>
  <cp:keywords/>
  <dc:description/>
  <cp:lastModifiedBy>McMillan, Gail</cp:lastModifiedBy>
  <cp:revision>2</cp:revision>
  <cp:lastPrinted>2016-08-06T16:54:00Z</cp:lastPrinted>
  <dcterms:created xsi:type="dcterms:W3CDTF">2018-01-22T14:53:00Z</dcterms:created>
  <dcterms:modified xsi:type="dcterms:W3CDTF">2018-01-22T14:53:00Z</dcterms:modified>
</cp:coreProperties>
</file>