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wmf" ContentType="image/x-wmf"/>
  <Override PartName="/word/charts/chart59.xml" ContentType="application/vnd.openxmlformats-officedocument.drawingml.chart+xml"/>
  <Override PartName="/word/charts/chart68.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39.xml" ContentType="application/vnd.openxmlformats-officedocument.drawingml.chart+xml"/>
  <Override PartName="/word/charts/chart48.xml" ContentType="application/vnd.openxmlformats-officedocument.drawingml.chart+xml"/>
  <Override PartName="/word/charts/chart57.xml" ContentType="application/vnd.openxmlformats-officedocument.drawingml.chart+xml"/>
  <Override PartName="/word/charts/chart6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charts/chart55.xml" ContentType="application/vnd.openxmlformats-officedocument.drawingml.chart+xml"/>
  <Override PartName="/word/charts/chart64.xml" ContentType="application/vnd.openxmlformats-officedocument.drawingml.chart+xml"/>
  <Override PartName="/word/footer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Override PartName="/word/charts/chart44.xml" ContentType="application/vnd.openxmlformats-officedocument.drawingml.chart+xml"/>
  <Override PartName="/word/charts/chart53.xml" ContentType="application/vnd.openxmlformats-officedocument.drawingml.chart+xml"/>
  <Override PartName="/word/charts/chart6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charts/chart42.xml" ContentType="application/vnd.openxmlformats-officedocument.drawingml.chart+xml"/>
  <Override PartName="/word/charts/chart51.xml" ContentType="application/vnd.openxmlformats-officedocument.drawingml.chart+xml"/>
  <Override PartName="/word/charts/chart60.xml" ContentType="application/vnd.openxmlformats-officedocument.drawingml.chart+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word/charts/chart40.xml" ContentType="application/vnd.openxmlformats-officedocument.drawingml.chart+xml"/>
  <Override PartName="/docProps/core.xml" ContentType="application/vnd.openxmlformats-package.core-properties+xml"/>
  <Default Extension="bin" ContentType="application/vnd.openxmlformats-officedocument.oleObject"/>
  <Default Extension="png" ContentType="image/png"/>
  <Override PartName="/word/charts/chart49.xml" ContentType="application/vnd.openxmlformats-officedocument.drawingml.chart+xml"/>
  <Override PartName="/word/charts/chart69.xml" ContentType="application/vnd.openxmlformats-officedocument.drawingml.chart+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word/charts/chart58.xml" ContentType="application/vnd.openxmlformats-officedocument.drawingml.chart+xml"/>
  <Override PartName="/word/charts/chart67.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54.xml" ContentType="application/vnd.openxmlformats-officedocument.drawingml.chart+xml"/>
  <Override PartName="/word/charts/chart56.xml" ContentType="application/vnd.openxmlformats-officedocument.drawingml.chart+xml"/>
  <Override PartName="/word/charts/chart65.xml" ContentType="application/vnd.openxmlformats-officedocument.drawingml.chart+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charts/chart52.xml" ContentType="application/vnd.openxmlformats-officedocument.drawingml.chart+xml"/>
  <Override PartName="/word/charts/chart63.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14.xml" ContentType="application/vnd.openxmlformats-officedocument.drawingml.chart+xml"/>
  <Override PartName="/word/charts/chart23.xml" ContentType="application/vnd.openxmlformats-officedocument.drawingml.chart+xml"/>
  <Override PartName="/word/charts/chart32.xml" ContentType="application/vnd.openxmlformats-officedocument.drawingml.chart+xml"/>
  <Override PartName="/word/charts/chart41.xml" ContentType="application/vnd.openxmlformats-officedocument.drawingml.chart+xml"/>
  <Override PartName="/word/charts/chart50.xml" ContentType="application/vnd.openxmlformats-officedocument.drawingml.chart+xml"/>
  <Override PartName="/word/charts/chart61.xml" ContentType="application/vnd.openxmlformats-officedocument.drawingml.chart+xml"/>
  <Override PartName="/word/charts/chart70.xml" ContentType="application/vnd.openxmlformats-officedocument.drawingml.chart+xml"/>
  <Override PartName="/word/fontTable.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2D74" w:rsidRDefault="009724F8" w:rsidP="009724F8">
      <w:pPr>
        <w:jc w:val="center"/>
        <w:rPr>
          <w:rFonts w:ascii="Times New Roman" w:hAnsi="Times New Roman" w:cs="Times New Roman"/>
          <w:b/>
          <w:bCs/>
          <w:sz w:val="28"/>
          <w:szCs w:val="28"/>
        </w:rPr>
      </w:pPr>
      <w:r w:rsidRPr="009724F8">
        <w:rPr>
          <w:rFonts w:ascii="Times New Roman" w:hAnsi="Times New Roman" w:cs="Times New Roman"/>
          <w:b/>
          <w:bCs/>
          <w:sz w:val="28"/>
          <w:szCs w:val="28"/>
        </w:rPr>
        <w:t>Effects of Flavonoids and Ascorbic Acid Derivatives on Non-enzymatic Browning in Peaches</w:t>
      </w:r>
    </w:p>
    <w:p w:rsidR="009724F8" w:rsidRDefault="009724F8" w:rsidP="009724F8">
      <w:pPr>
        <w:jc w:val="center"/>
        <w:rPr>
          <w:rFonts w:ascii="Times New Roman" w:hAnsi="Times New Roman" w:cs="Times New Roman"/>
          <w:b/>
          <w:bCs/>
          <w:sz w:val="28"/>
          <w:szCs w:val="28"/>
        </w:rPr>
      </w:pPr>
    </w:p>
    <w:p w:rsidR="00B264FB" w:rsidRPr="00B264FB" w:rsidRDefault="00B264FB" w:rsidP="009724F8">
      <w:pPr>
        <w:jc w:val="center"/>
        <w:rPr>
          <w:rFonts w:ascii="Times New Roman" w:hAnsi="Times New Roman" w:cs="Times New Roman"/>
          <w:b/>
          <w:bCs/>
          <w:sz w:val="16"/>
          <w:szCs w:val="16"/>
        </w:rPr>
      </w:pPr>
    </w:p>
    <w:p w:rsidR="009724F8" w:rsidRDefault="009724F8" w:rsidP="009724F8">
      <w:pPr>
        <w:jc w:val="center"/>
        <w:rPr>
          <w:rFonts w:ascii="Times New Roman" w:hAnsi="Times New Roman" w:cs="Times New Roman"/>
          <w:b/>
          <w:bCs/>
          <w:sz w:val="28"/>
          <w:szCs w:val="28"/>
        </w:rPr>
      </w:pPr>
      <w:r>
        <w:rPr>
          <w:rFonts w:ascii="Times New Roman" w:hAnsi="Times New Roman" w:cs="Times New Roman"/>
          <w:b/>
          <w:bCs/>
          <w:sz w:val="28"/>
          <w:szCs w:val="28"/>
        </w:rPr>
        <w:t>Silvia E. Peralta Arribasplata</w:t>
      </w:r>
    </w:p>
    <w:p w:rsidR="009724F8" w:rsidRPr="009724F8" w:rsidRDefault="009724F8" w:rsidP="009724F8">
      <w:pPr>
        <w:jc w:val="center"/>
        <w:rPr>
          <w:rFonts w:ascii="Times New Roman" w:hAnsi="Times New Roman" w:cs="Times New Roman"/>
          <w:bCs/>
          <w:sz w:val="28"/>
          <w:szCs w:val="28"/>
        </w:rPr>
      </w:pPr>
      <w:r w:rsidRPr="009724F8">
        <w:rPr>
          <w:rFonts w:ascii="Times New Roman" w:hAnsi="Times New Roman" w:cs="Times New Roman"/>
          <w:bCs/>
          <w:sz w:val="28"/>
          <w:szCs w:val="28"/>
        </w:rPr>
        <w:t>Virginia Polytechnic Institute and State University</w:t>
      </w:r>
    </w:p>
    <w:p w:rsidR="009724F8" w:rsidRDefault="009724F8" w:rsidP="009724F8">
      <w:pPr>
        <w:jc w:val="center"/>
        <w:rPr>
          <w:rFonts w:ascii="Times New Roman" w:hAnsi="Times New Roman" w:cs="Times New Roman"/>
          <w:bCs/>
          <w:sz w:val="28"/>
          <w:szCs w:val="28"/>
        </w:rPr>
      </w:pPr>
    </w:p>
    <w:p w:rsidR="009724F8" w:rsidRPr="009724F8" w:rsidRDefault="009724F8" w:rsidP="009724F8">
      <w:pPr>
        <w:jc w:val="center"/>
        <w:rPr>
          <w:rFonts w:ascii="Times New Roman" w:hAnsi="Times New Roman" w:cs="Times New Roman"/>
          <w:bCs/>
          <w:sz w:val="28"/>
          <w:szCs w:val="28"/>
        </w:rPr>
      </w:pPr>
      <w:r w:rsidRPr="009724F8">
        <w:rPr>
          <w:rFonts w:ascii="Times New Roman" w:hAnsi="Times New Roman" w:cs="Times New Roman"/>
          <w:bCs/>
          <w:sz w:val="28"/>
          <w:szCs w:val="28"/>
        </w:rPr>
        <w:t>Dissertation submitted to the faculty of Virginia Polytechnic Institute and State University in partial fulfillment of the requirements for the degree of</w:t>
      </w:r>
    </w:p>
    <w:p w:rsidR="009724F8" w:rsidRDefault="009724F8" w:rsidP="000611FF">
      <w:pPr>
        <w:spacing w:after="0" w:line="240" w:lineRule="auto"/>
        <w:jc w:val="center"/>
        <w:rPr>
          <w:rFonts w:ascii="Times New Roman" w:hAnsi="Times New Roman" w:cs="Times New Roman"/>
          <w:bCs/>
          <w:sz w:val="28"/>
          <w:szCs w:val="28"/>
        </w:rPr>
      </w:pPr>
    </w:p>
    <w:p w:rsidR="000611FF" w:rsidRDefault="000611FF" w:rsidP="000611FF">
      <w:pPr>
        <w:spacing w:after="0" w:line="240" w:lineRule="auto"/>
        <w:jc w:val="center"/>
        <w:rPr>
          <w:rFonts w:ascii="Times New Roman" w:hAnsi="Times New Roman" w:cs="Times New Roman"/>
          <w:bCs/>
          <w:sz w:val="28"/>
          <w:szCs w:val="28"/>
        </w:rPr>
      </w:pPr>
    </w:p>
    <w:p w:rsidR="000611FF" w:rsidRPr="009724F8" w:rsidRDefault="000611FF" w:rsidP="000611FF">
      <w:pPr>
        <w:spacing w:after="0" w:line="240" w:lineRule="auto"/>
        <w:jc w:val="center"/>
        <w:rPr>
          <w:rFonts w:ascii="Times New Roman" w:hAnsi="Times New Roman" w:cs="Times New Roman"/>
          <w:bCs/>
          <w:sz w:val="28"/>
          <w:szCs w:val="28"/>
        </w:rPr>
      </w:pPr>
    </w:p>
    <w:p w:rsidR="000611FF" w:rsidRDefault="009724F8" w:rsidP="000611FF">
      <w:pPr>
        <w:spacing w:after="0" w:line="240" w:lineRule="auto"/>
        <w:jc w:val="center"/>
        <w:rPr>
          <w:rFonts w:ascii="Times New Roman" w:hAnsi="Times New Roman" w:cs="Times New Roman"/>
          <w:bCs/>
          <w:sz w:val="28"/>
          <w:szCs w:val="28"/>
        </w:rPr>
      </w:pPr>
      <w:r w:rsidRPr="000611FF">
        <w:rPr>
          <w:rFonts w:ascii="Times New Roman" w:hAnsi="Times New Roman" w:cs="Times New Roman"/>
          <w:bCs/>
          <w:sz w:val="28"/>
          <w:szCs w:val="28"/>
        </w:rPr>
        <w:t xml:space="preserve">Master </w:t>
      </w:r>
      <w:r w:rsidR="000611FF">
        <w:rPr>
          <w:rFonts w:ascii="Times New Roman" w:hAnsi="Times New Roman" w:cs="Times New Roman"/>
          <w:bCs/>
          <w:sz w:val="28"/>
          <w:szCs w:val="28"/>
        </w:rPr>
        <w:t>of Science</w:t>
      </w:r>
    </w:p>
    <w:p w:rsidR="000611FF" w:rsidRDefault="000611FF" w:rsidP="000611FF">
      <w:pPr>
        <w:spacing w:after="0" w:line="240" w:lineRule="auto"/>
        <w:jc w:val="center"/>
        <w:rPr>
          <w:rFonts w:ascii="Times New Roman" w:hAnsi="Times New Roman" w:cs="Times New Roman"/>
          <w:bCs/>
          <w:sz w:val="28"/>
          <w:szCs w:val="28"/>
        </w:rPr>
      </w:pPr>
      <w:proofErr w:type="gramStart"/>
      <w:r>
        <w:rPr>
          <w:rFonts w:ascii="Times New Roman" w:hAnsi="Times New Roman" w:cs="Times New Roman"/>
          <w:bCs/>
          <w:sz w:val="28"/>
          <w:szCs w:val="28"/>
        </w:rPr>
        <w:t>in</w:t>
      </w:r>
      <w:proofErr w:type="gramEnd"/>
      <w:r>
        <w:rPr>
          <w:rFonts w:ascii="Times New Roman" w:hAnsi="Times New Roman" w:cs="Times New Roman"/>
          <w:bCs/>
          <w:sz w:val="28"/>
          <w:szCs w:val="28"/>
        </w:rPr>
        <w:t xml:space="preserve"> </w:t>
      </w:r>
    </w:p>
    <w:p w:rsidR="009724F8" w:rsidRPr="009724F8" w:rsidRDefault="000611FF" w:rsidP="000611FF">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rPr>
        <w:t xml:space="preserve"> Food Science and Technology</w:t>
      </w:r>
    </w:p>
    <w:p w:rsidR="009724F8" w:rsidRDefault="009724F8" w:rsidP="009724F8">
      <w:pPr>
        <w:jc w:val="center"/>
        <w:rPr>
          <w:rFonts w:ascii="Times New Roman" w:hAnsi="Times New Roman" w:cs="Times New Roman"/>
          <w:bCs/>
          <w:sz w:val="28"/>
          <w:szCs w:val="28"/>
        </w:rPr>
      </w:pPr>
    </w:p>
    <w:p w:rsidR="000611FF" w:rsidRDefault="000611FF" w:rsidP="009724F8">
      <w:pPr>
        <w:jc w:val="center"/>
        <w:rPr>
          <w:rFonts w:ascii="Times New Roman" w:hAnsi="Times New Roman" w:cs="Times New Roman"/>
          <w:bCs/>
          <w:sz w:val="28"/>
          <w:szCs w:val="28"/>
        </w:rPr>
      </w:pPr>
    </w:p>
    <w:p w:rsidR="000611FF" w:rsidRPr="009724F8" w:rsidRDefault="000611FF" w:rsidP="009724F8">
      <w:pPr>
        <w:jc w:val="center"/>
        <w:rPr>
          <w:rFonts w:ascii="Times New Roman" w:hAnsi="Times New Roman" w:cs="Times New Roman"/>
          <w:bCs/>
          <w:sz w:val="28"/>
          <w:szCs w:val="28"/>
        </w:rPr>
      </w:pPr>
    </w:p>
    <w:p w:rsidR="009724F8" w:rsidRPr="009724F8" w:rsidRDefault="009724F8" w:rsidP="009724F8">
      <w:pPr>
        <w:jc w:val="center"/>
        <w:rPr>
          <w:rFonts w:ascii="Times New Roman" w:hAnsi="Times New Roman" w:cs="Times New Roman"/>
          <w:bCs/>
          <w:sz w:val="28"/>
          <w:szCs w:val="28"/>
        </w:rPr>
      </w:pPr>
      <w:r w:rsidRPr="009724F8">
        <w:rPr>
          <w:rFonts w:ascii="Times New Roman" w:hAnsi="Times New Roman" w:cs="Times New Roman"/>
          <w:bCs/>
          <w:sz w:val="28"/>
          <w:szCs w:val="28"/>
        </w:rPr>
        <w:t>Sean O’Keefe, chair</w:t>
      </w:r>
    </w:p>
    <w:p w:rsidR="009724F8" w:rsidRPr="009724F8" w:rsidRDefault="009724F8" w:rsidP="009724F8">
      <w:pPr>
        <w:jc w:val="center"/>
        <w:rPr>
          <w:rFonts w:ascii="Times New Roman" w:hAnsi="Times New Roman" w:cs="Times New Roman"/>
          <w:bCs/>
          <w:sz w:val="28"/>
          <w:szCs w:val="28"/>
        </w:rPr>
      </w:pPr>
      <w:r w:rsidRPr="009724F8">
        <w:rPr>
          <w:rFonts w:ascii="Times New Roman" w:hAnsi="Times New Roman" w:cs="Times New Roman"/>
          <w:bCs/>
          <w:sz w:val="28"/>
          <w:szCs w:val="28"/>
        </w:rPr>
        <w:t>Joseph Marcy</w:t>
      </w:r>
    </w:p>
    <w:p w:rsidR="009724F8" w:rsidRPr="009724F8" w:rsidRDefault="009724F8" w:rsidP="009724F8">
      <w:pPr>
        <w:jc w:val="center"/>
        <w:rPr>
          <w:rFonts w:ascii="Times New Roman" w:hAnsi="Times New Roman" w:cs="Times New Roman"/>
          <w:bCs/>
          <w:sz w:val="28"/>
          <w:szCs w:val="28"/>
        </w:rPr>
      </w:pPr>
      <w:r w:rsidRPr="009724F8">
        <w:rPr>
          <w:rFonts w:ascii="Times New Roman" w:hAnsi="Times New Roman" w:cs="Times New Roman"/>
          <w:bCs/>
          <w:sz w:val="28"/>
          <w:szCs w:val="28"/>
        </w:rPr>
        <w:t>William N. Eigel</w:t>
      </w:r>
    </w:p>
    <w:p w:rsidR="009724F8" w:rsidRPr="009724F8" w:rsidRDefault="009724F8" w:rsidP="009724F8">
      <w:pPr>
        <w:jc w:val="center"/>
        <w:rPr>
          <w:rFonts w:ascii="Times New Roman" w:hAnsi="Times New Roman" w:cs="Times New Roman"/>
          <w:bCs/>
          <w:sz w:val="28"/>
          <w:szCs w:val="28"/>
        </w:rPr>
      </w:pPr>
    </w:p>
    <w:p w:rsidR="009724F8" w:rsidRPr="009724F8" w:rsidRDefault="009724F8" w:rsidP="00B264FB">
      <w:pPr>
        <w:spacing w:after="0" w:line="240" w:lineRule="auto"/>
        <w:jc w:val="center"/>
        <w:rPr>
          <w:rFonts w:ascii="Times New Roman" w:hAnsi="Times New Roman" w:cs="Times New Roman"/>
          <w:bCs/>
          <w:sz w:val="28"/>
          <w:szCs w:val="28"/>
        </w:rPr>
      </w:pPr>
      <w:r w:rsidRPr="009724F8">
        <w:rPr>
          <w:rFonts w:ascii="Times New Roman" w:hAnsi="Times New Roman" w:cs="Times New Roman"/>
          <w:bCs/>
          <w:sz w:val="28"/>
          <w:szCs w:val="28"/>
        </w:rPr>
        <w:t>December 6, 20</w:t>
      </w:r>
      <w:r w:rsidR="00523B57">
        <w:rPr>
          <w:rFonts w:ascii="Times New Roman" w:hAnsi="Times New Roman" w:cs="Times New Roman"/>
          <w:bCs/>
          <w:sz w:val="28"/>
          <w:szCs w:val="28"/>
        </w:rPr>
        <w:t>10</w:t>
      </w:r>
    </w:p>
    <w:p w:rsidR="009724F8" w:rsidRPr="009724F8" w:rsidRDefault="009724F8" w:rsidP="00B264FB">
      <w:pPr>
        <w:spacing w:after="0" w:line="240" w:lineRule="auto"/>
        <w:jc w:val="center"/>
        <w:rPr>
          <w:rFonts w:ascii="Times New Roman" w:hAnsi="Times New Roman" w:cs="Times New Roman"/>
          <w:bCs/>
          <w:sz w:val="28"/>
          <w:szCs w:val="28"/>
        </w:rPr>
      </w:pPr>
      <w:r w:rsidRPr="009724F8">
        <w:rPr>
          <w:rFonts w:ascii="Times New Roman" w:hAnsi="Times New Roman" w:cs="Times New Roman"/>
          <w:bCs/>
          <w:sz w:val="28"/>
          <w:szCs w:val="28"/>
        </w:rPr>
        <w:t>Blacksburg, VA</w:t>
      </w:r>
    </w:p>
    <w:p w:rsidR="00B264FB" w:rsidRDefault="00B264FB" w:rsidP="00B264FB">
      <w:pPr>
        <w:spacing w:after="0" w:line="360" w:lineRule="auto"/>
        <w:jc w:val="both"/>
        <w:rPr>
          <w:rFonts w:ascii="Times New Roman" w:hAnsi="Times New Roman" w:cs="Times New Roman"/>
          <w:sz w:val="24"/>
          <w:szCs w:val="24"/>
          <w:lang w:val="es-ES"/>
        </w:rPr>
      </w:pPr>
    </w:p>
    <w:p w:rsidR="00B264FB" w:rsidRDefault="00B264FB" w:rsidP="00B264FB">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Key words</w:t>
      </w:r>
      <w:proofErr w:type="gramStart"/>
      <w:r>
        <w:rPr>
          <w:rFonts w:ascii="Times New Roman" w:hAnsi="Times New Roman" w:cs="Times New Roman"/>
          <w:sz w:val="24"/>
          <w:szCs w:val="24"/>
          <w:lang w:val="es-ES"/>
        </w:rPr>
        <w:t>:  Peaches</w:t>
      </w:r>
      <w:proofErr w:type="gramEnd"/>
      <w:r>
        <w:rPr>
          <w:rFonts w:ascii="Times New Roman" w:hAnsi="Times New Roman" w:cs="Times New Roman"/>
          <w:sz w:val="24"/>
          <w:szCs w:val="24"/>
          <w:lang w:val="es-ES"/>
        </w:rPr>
        <w:t xml:space="preserve">, </w:t>
      </w:r>
      <w:r w:rsidRPr="003325E8">
        <w:rPr>
          <w:rFonts w:ascii="Times New Roman" w:hAnsi="Times New Roman" w:cs="Times New Roman"/>
          <w:sz w:val="24"/>
          <w:szCs w:val="24"/>
        </w:rPr>
        <w:t>α</w:t>
      </w:r>
      <w:r>
        <w:rPr>
          <w:rFonts w:ascii="Times New Roman" w:hAnsi="Times New Roman" w:cs="Times New Roman"/>
          <w:sz w:val="24"/>
          <w:szCs w:val="24"/>
        </w:rPr>
        <w:t>-</w:t>
      </w:r>
      <w:r>
        <w:rPr>
          <w:rFonts w:ascii="Times New Roman" w:hAnsi="Times New Roman" w:cs="Times New Roman"/>
          <w:sz w:val="24"/>
          <w:szCs w:val="24"/>
          <w:lang w:val="es-ES"/>
        </w:rPr>
        <w:t>glu</w:t>
      </w:r>
      <w:r w:rsidR="0046769F">
        <w:rPr>
          <w:rFonts w:ascii="Times New Roman" w:hAnsi="Times New Roman" w:cs="Times New Roman"/>
          <w:sz w:val="24"/>
          <w:szCs w:val="24"/>
          <w:lang w:val="es-ES"/>
        </w:rPr>
        <w:t>c</w:t>
      </w:r>
      <w:r>
        <w:rPr>
          <w:rFonts w:ascii="Times New Roman" w:hAnsi="Times New Roman" w:cs="Times New Roman"/>
          <w:sz w:val="24"/>
          <w:szCs w:val="24"/>
          <w:lang w:val="es-ES"/>
        </w:rPr>
        <w:t>osylrutin, Pycnogenol, ascorbic acid, ascorbyl-2-phosphate, non enzymatic browning</w:t>
      </w:r>
    </w:p>
    <w:p w:rsidR="00B264FB" w:rsidRDefault="00D50EC7" w:rsidP="00B264FB">
      <w:pPr>
        <w:spacing w:after="0" w:line="360" w:lineRule="auto"/>
        <w:jc w:val="center"/>
        <w:rPr>
          <w:rFonts w:ascii="Times New Roman" w:hAnsi="Times New Roman" w:cs="Times New Roman"/>
          <w:sz w:val="24"/>
          <w:szCs w:val="24"/>
          <w:lang w:val="es-ES"/>
        </w:rPr>
      </w:pPr>
      <w:r w:rsidRPr="00D50EC7">
        <w:rPr>
          <w:rFonts w:ascii="Times New Roman" w:hAnsi="Times New Roman" w:cs="Times New Roman"/>
          <w:noProof/>
          <w:sz w:val="24"/>
          <w:szCs w:val="24"/>
          <w:highlight w:val="yellow"/>
          <w:lang w:eastAsia="zh-TW"/>
        </w:rPr>
        <w:pict>
          <v:shapetype id="_x0000_t202" coordsize="21600,21600" o:spt="202" path="m,l,21600r21600,l21600,xe">
            <v:stroke joinstyle="miter"/>
            <v:path gradientshapeok="t" o:connecttype="rect"/>
          </v:shapetype>
          <v:shape id="_x0000_s1056" type="#_x0000_t202" style="position:absolute;left:0;text-align:left;margin-left:427.85pt;margin-top:2.35pt;width:89.15pt;height:60.8pt;z-index:251672064;mso-width-relative:margin;mso-height-relative:margin" fillcolor="white [3212]" stroked="f">
            <v:textbox>
              <w:txbxContent>
                <w:p w:rsidR="00CC7D02" w:rsidRDefault="00CC7D02"/>
              </w:txbxContent>
            </v:textbox>
          </v:shape>
        </w:pict>
      </w:r>
      <w:r w:rsidR="00B264FB">
        <w:rPr>
          <w:rFonts w:ascii="Times New Roman" w:hAnsi="Times New Roman" w:cs="Times New Roman"/>
          <w:sz w:val="24"/>
          <w:szCs w:val="24"/>
          <w:lang w:val="es-ES"/>
        </w:rPr>
        <w:t>Copyright 2010, Silvia E. Peralta</w:t>
      </w:r>
      <w:r w:rsidR="00D5789B">
        <w:rPr>
          <w:rFonts w:ascii="Times New Roman" w:hAnsi="Times New Roman" w:cs="Times New Roman"/>
          <w:sz w:val="24"/>
          <w:szCs w:val="24"/>
          <w:lang w:val="es-ES"/>
        </w:rPr>
        <w:t xml:space="preserve"> Arribasplata</w:t>
      </w:r>
    </w:p>
    <w:p w:rsidR="001A6311" w:rsidRDefault="001A6311" w:rsidP="001A6311">
      <w:pPr>
        <w:jc w:val="center"/>
        <w:rPr>
          <w:rFonts w:ascii="Times New Roman" w:hAnsi="Times New Roman" w:cs="Times New Roman"/>
          <w:b/>
          <w:bCs/>
          <w:sz w:val="24"/>
          <w:szCs w:val="24"/>
        </w:rPr>
      </w:pPr>
      <w:r>
        <w:rPr>
          <w:rFonts w:ascii="Times New Roman" w:hAnsi="Times New Roman" w:cs="Times New Roman"/>
          <w:b/>
          <w:bCs/>
          <w:sz w:val="24"/>
          <w:szCs w:val="24"/>
        </w:rPr>
        <w:br w:type="page"/>
      </w:r>
      <w:r>
        <w:rPr>
          <w:rFonts w:ascii="Times New Roman" w:hAnsi="Times New Roman" w:cs="Times New Roman"/>
          <w:b/>
          <w:bCs/>
          <w:sz w:val="24"/>
          <w:szCs w:val="24"/>
        </w:rPr>
        <w:lastRenderedPageBreak/>
        <w:t>ACKNOWLEDGEMENTS</w:t>
      </w:r>
    </w:p>
    <w:p w:rsidR="001A6311" w:rsidRDefault="001A6311" w:rsidP="001A6311">
      <w:pPr>
        <w:jc w:val="center"/>
        <w:rPr>
          <w:rFonts w:ascii="Times New Roman" w:hAnsi="Times New Roman" w:cs="Times New Roman"/>
          <w:b/>
          <w:bCs/>
          <w:sz w:val="24"/>
          <w:szCs w:val="24"/>
        </w:rPr>
      </w:pPr>
    </w:p>
    <w:p w:rsidR="001A6311" w:rsidRDefault="001A6311" w:rsidP="008F08E2">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I would like to thank you my major professor, Sean O’Keefe, </w:t>
      </w:r>
      <w:r w:rsidR="008F08E2">
        <w:rPr>
          <w:rFonts w:ascii="Times New Roman" w:hAnsi="Times New Roman" w:cs="Times New Roman"/>
          <w:bCs/>
          <w:sz w:val="24"/>
          <w:szCs w:val="24"/>
        </w:rPr>
        <w:t>for his guidance, patience and suggestions during the past two years of graduate study.</w:t>
      </w:r>
      <w:r w:rsidR="006D563B">
        <w:rPr>
          <w:rFonts w:ascii="Times New Roman" w:hAnsi="Times New Roman" w:cs="Times New Roman"/>
          <w:bCs/>
          <w:sz w:val="24"/>
          <w:szCs w:val="24"/>
        </w:rPr>
        <w:t xml:space="preserve"> </w:t>
      </w:r>
      <w:r w:rsidR="008F08E2">
        <w:rPr>
          <w:rFonts w:ascii="Times New Roman" w:hAnsi="Times New Roman" w:cs="Times New Roman"/>
          <w:bCs/>
          <w:sz w:val="24"/>
          <w:szCs w:val="24"/>
        </w:rPr>
        <w:t xml:space="preserve"> I would also like to thank my committee, Dr. Marcy and Dr. Eigel. </w:t>
      </w:r>
      <w:r w:rsidR="006D563B">
        <w:rPr>
          <w:rFonts w:ascii="Times New Roman" w:hAnsi="Times New Roman" w:cs="Times New Roman"/>
          <w:bCs/>
          <w:sz w:val="24"/>
          <w:szCs w:val="24"/>
        </w:rPr>
        <w:t xml:space="preserve"> </w:t>
      </w:r>
      <w:r w:rsidR="008F08E2">
        <w:rPr>
          <w:rFonts w:ascii="Times New Roman" w:hAnsi="Times New Roman" w:cs="Times New Roman"/>
          <w:bCs/>
          <w:sz w:val="24"/>
          <w:szCs w:val="24"/>
        </w:rPr>
        <w:t>Without their advice, this research would not have been finished.  I also would like to thank Harriet Williams</w:t>
      </w:r>
      <w:r w:rsidR="006D563B">
        <w:rPr>
          <w:rFonts w:ascii="Times New Roman" w:hAnsi="Times New Roman" w:cs="Times New Roman"/>
          <w:bCs/>
          <w:sz w:val="24"/>
          <w:szCs w:val="24"/>
        </w:rPr>
        <w:t>, Joell Eifert</w:t>
      </w:r>
      <w:r w:rsidR="008F08E2">
        <w:rPr>
          <w:rFonts w:ascii="Times New Roman" w:hAnsi="Times New Roman" w:cs="Times New Roman"/>
          <w:bCs/>
          <w:sz w:val="24"/>
          <w:szCs w:val="24"/>
        </w:rPr>
        <w:t xml:space="preserve"> and Walter Hartman for all the suggestions and help in this research work. </w:t>
      </w:r>
    </w:p>
    <w:p w:rsidR="008F08E2" w:rsidRDefault="008F08E2" w:rsidP="008F08E2">
      <w:pPr>
        <w:spacing w:after="0" w:line="360" w:lineRule="auto"/>
        <w:jc w:val="both"/>
        <w:rPr>
          <w:rFonts w:ascii="Times New Roman" w:hAnsi="Times New Roman" w:cs="Times New Roman"/>
          <w:bCs/>
          <w:sz w:val="24"/>
          <w:szCs w:val="24"/>
        </w:rPr>
      </w:pPr>
    </w:p>
    <w:p w:rsidR="006D563B" w:rsidRDefault="008F08E2" w:rsidP="008F08E2">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t>I would like to thank Dr.</w:t>
      </w:r>
      <w:r w:rsidR="006D563B">
        <w:rPr>
          <w:rFonts w:ascii="Times New Roman" w:hAnsi="Times New Roman" w:cs="Times New Roman"/>
          <w:bCs/>
          <w:sz w:val="24"/>
          <w:szCs w:val="24"/>
        </w:rPr>
        <w:t xml:space="preserve"> Magdy Hefnawy and Dr.</w:t>
      </w:r>
      <w:r>
        <w:rPr>
          <w:rFonts w:ascii="Times New Roman" w:hAnsi="Times New Roman" w:cs="Times New Roman"/>
          <w:bCs/>
          <w:sz w:val="24"/>
          <w:szCs w:val="24"/>
        </w:rPr>
        <w:t xml:space="preserve"> John Mounts </w:t>
      </w:r>
      <w:r w:rsidR="006D563B">
        <w:rPr>
          <w:rFonts w:ascii="Times New Roman" w:hAnsi="Times New Roman" w:cs="Times New Roman"/>
          <w:bCs/>
          <w:sz w:val="24"/>
          <w:szCs w:val="24"/>
        </w:rPr>
        <w:t xml:space="preserve">to </w:t>
      </w:r>
      <w:r>
        <w:rPr>
          <w:rFonts w:ascii="Times New Roman" w:hAnsi="Times New Roman" w:cs="Times New Roman"/>
          <w:bCs/>
          <w:sz w:val="24"/>
          <w:szCs w:val="24"/>
        </w:rPr>
        <w:t xml:space="preserve">who I met </w:t>
      </w:r>
      <w:r w:rsidR="006D563B">
        <w:rPr>
          <w:rFonts w:ascii="Times New Roman" w:hAnsi="Times New Roman" w:cs="Times New Roman"/>
          <w:bCs/>
          <w:sz w:val="24"/>
          <w:szCs w:val="24"/>
        </w:rPr>
        <w:t xml:space="preserve">during the production in McCall farms in South Carolina.  Their guidance and expertise helped me to understand all the steps involved in the processing of MRE’s.  Also, I would like to thank MacCall farms, SOPAKCO and their helpful employees. </w:t>
      </w:r>
    </w:p>
    <w:p w:rsidR="006D563B" w:rsidRDefault="006D563B" w:rsidP="008F08E2">
      <w:pPr>
        <w:spacing w:after="0" w:line="360" w:lineRule="auto"/>
        <w:jc w:val="both"/>
        <w:rPr>
          <w:rFonts w:ascii="Times New Roman" w:hAnsi="Times New Roman" w:cs="Times New Roman"/>
          <w:bCs/>
          <w:sz w:val="24"/>
          <w:szCs w:val="24"/>
        </w:rPr>
      </w:pPr>
    </w:p>
    <w:p w:rsidR="002C45E9" w:rsidRDefault="006D563B" w:rsidP="008F08E2">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t>I wish to offer thanks</w:t>
      </w:r>
      <w:r w:rsidR="00B0255C">
        <w:rPr>
          <w:rFonts w:ascii="Times New Roman" w:hAnsi="Times New Roman" w:cs="Times New Roman"/>
          <w:bCs/>
          <w:sz w:val="24"/>
          <w:szCs w:val="24"/>
        </w:rPr>
        <w:t xml:space="preserve"> to</w:t>
      </w:r>
      <w:r>
        <w:rPr>
          <w:rFonts w:ascii="Times New Roman" w:hAnsi="Times New Roman" w:cs="Times New Roman"/>
          <w:bCs/>
          <w:sz w:val="24"/>
          <w:szCs w:val="24"/>
        </w:rPr>
        <w:t xml:space="preserve"> Kevin Holland</w:t>
      </w:r>
      <w:r w:rsidR="002C45E9">
        <w:rPr>
          <w:rFonts w:ascii="Times New Roman" w:hAnsi="Times New Roman" w:cs="Times New Roman"/>
          <w:bCs/>
          <w:sz w:val="24"/>
          <w:szCs w:val="24"/>
        </w:rPr>
        <w:t xml:space="preserve"> and</w:t>
      </w:r>
      <w:r>
        <w:rPr>
          <w:rFonts w:ascii="Times New Roman" w:hAnsi="Times New Roman" w:cs="Times New Roman"/>
          <w:bCs/>
          <w:sz w:val="24"/>
          <w:szCs w:val="24"/>
        </w:rPr>
        <w:t xml:space="preserve"> Paul Sarnoski</w:t>
      </w:r>
      <w:r w:rsidR="002C45E9">
        <w:rPr>
          <w:rFonts w:ascii="Times New Roman" w:hAnsi="Times New Roman" w:cs="Times New Roman"/>
          <w:bCs/>
          <w:sz w:val="24"/>
          <w:szCs w:val="24"/>
        </w:rPr>
        <w:t xml:space="preserve"> for all the help with the HPLC</w:t>
      </w:r>
      <w:r w:rsidR="00B0255C">
        <w:rPr>
          <w:rFonts w:ascii="Times New Roman" w:hAnsi="Times New Roman" w:cs="Times New Roman"/>
          <w:bCs/>
          <w:sz w:val="24"/>
          <w:szCs w:val="24"/>
        </w:rPr>
        <w:t xml:space="preserve">, suggestions and help </w:t>
      </w:r>
      <w:r w:rsidR="002C45E9">
        <w:rPr>
          <w:rFonts w:ascii="Times New Roman" w:hAnsi="Times New Roman" w:cs="Times New Roman"/>
          <w:bCs/>
          <w:sz w:val="24"/>
          <w:szCs w:val="24"/>
        </w:rPr>
        <w:t xml:space="preserve">during the past year.  Also, I would like to thank to the rest of my FST graduate friends, especially to </w:t>
      </w:r>
      <w:r>
        <w:rPr>
          <w:rFonts w:ascii="Times New Roman" w:hAnsi="Times New Roman" w:cs="Times New Roman"/>
          <w:bCs/>
          <w:sz w:val="24"/>
          <w:szCs w:val="24"/>
        </w:rPr>
        <w:t>L</w:t>
      </w:r>
      <w:r w:rsidR="002C45E9">
        <w:rPr>
          <w:rFonts w:ascii="Times New Roman" w:hAnsi="Times New Roman" w:cs="Times New Roman"/>
          <w:bCs/>
          <w:sz w:val="24"/>
          <w:szCs w:val="24"/>
        </w:rPr>
        <w:t xml:space="preserve">iyun Ye, Katherine Witrick, Raul Saucedo and Anibal Concha-Meyer, for all the help in the production of my MRE’s in the processing plant. </w:t>
      </w:r>
      <w:r w:rsidR="00B0255C">
        <w:rPr>
          <w:rFonts w:ascii="Times New Roman" w:hAnsi="Times New Roman" w:cs="Times New Roman"/>
          <w:bCs/>
          <w:sz w:val="24"/>
          <w:szCs w:val="24"/>
        </w:rPr>
        <w:t xml:space="preserve"> </w:t>
      </w:r>
      <w:r w:rsidR="002C45E9">
        <w:rPr>
          <w:rFonts w:ascii="Times New Roman" w:hAnsi="Times New Roman" w:cs="Times New Roman"/>
          <w:bCs/>
          <w:sz w:val="24"/>
          <w:szCs w:val="24"/>
        </w:rPr>
        <w:t>I would like to thank my parents</w:t>
      </w:r>
      <w:r w:rsidR="00B0255C">
        <w:rPr>
          <w:rFonts w:ascii="Times New Roman" w:hAnsi="Times New Roman" w:cs="Times New Roman"/>
          <w:bCs/>
          <w:sz w:val="24"/>
          <w:szCs w:val="24"/>
        </w:rPr>
        <w:t>, brother, uncles and aunts for their spiritual support</w:t>
      </w:r>
      <w:r w:rsidR="002C45E9">
        <w:rPr>
          <w:rFonts w:ascii="Times New Roman" w:hAnsi="Times New Roman" w:cs="Times New Roman"/>
          <w:bCs/>
          <w:sz w:val="24"/>
          <w:szCs w:val="24"/>
        </w:rPr>
        <w:t>.</w:t>
      </w:r>
      <w:r w:rsidR="00B0255C">
        <w:rPr>
          <w:rFonts w:ascii="Times New Roman" w:hAnsi="Times New Roman" w:cs="Times New Roman"/>
          <w:bCs/>
          <w:sz w:val="24"/>
          <w:szCs w:val="24"/>
        </w:rPr>
        <w:t xml:space="preserve">  </w:t>
      </w:r>
    </w:p>
    <w:p w:rsidR="002C45E9" w:rsidRDefault="002C45E9" w:rsidP="008F08E2">
      <w:pPr>
        <w:spacing w:after="0" w:line="360" w:lineRule="auto"/>
        <w:jc w:val="both"/>
        <w:rPr>
          <w:rFonts w:ascii="Times New Roman" w:hAnsi="Times New Roman" w:cs="Times New Roman"/>
          <w:bCs/>
          <w:sz w:val="24"/>
          <w:szCs w:val="24"/>
        </w:rPr>
      </w:pPr>
    </w:p>
    <w:p w:rsidR="008F08E2" w:rsidRDefault="002C45E9" w:rsidP="008F08E2">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Finally, I would like to thank the Combat Rations Network (CORONET) for </w:t>
      </w:r>
      <w:r w:rsidR="00B0255C">
        <w:rPr>
          <w:rFonts w:ascii="Times New Roman" w:hAnsi="Times New Roman" w:cs="Times New Roman"/>
          <w:bCs/>
          <w:sz w:val="24"/>
          <w:szCs w:val="24"/>
        </w:rPr>
        <w:t xml:space="preserve">the </w:t>
      </w:r>
      <w:r>
        <w:rPr>
          <w:rFonts w:ascii="Times New Roman" w:hAnsi="Times New Roman" w:cs="Times New Roman"/>
          <w:bCs/>
          <w:sz w:val="24"/>
          <w:szCs w:val="24"/>
        </w:rPr>
        <w:t xml:space="preserve">financial support of this project. </w:t>
      </w:r>
    </w:p>
    <w:p w:rsidR="002C45E9" w:rsidRDefault="002C45E9" w:rsidP="008F08E2">
      <w:pPr>
        <w:spacing w:after="0" w:line="360" w:lineRule="auto"/>
        <w:jc w:val="both"/>
        <w:rPr>
          <w:rFonts w:ascii="Times New Roman" w:hAnsi="Times New Roman" w:cs="Times New Roman"/>
          <w:bCs/>
          <w:sz w:val="24"/>
          <w:szCs w:val="24"/>
        </w:rPr>
      </w:pPr>
    </w:p>
    <w:p w:rsidR="002C45E9" w:rsidRDefault="002C45E9" w:rsidP="008F08E2">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r>
    </w:p>
    <w:p w:rsidR="008F08E2" w:rsidRDefault="008F08E2" w:rsidP="008F08E2">
      <w:pPr>
        <w:spacing w:after="0" w:line="360" w:lineRule="auto"/>
        <w:jc w:val="both"/>
        <w:rPr>
          <w:rFonts w:ascii="Times New Roman" w:hAnsi="Times New Roman" w:cs="Times New Roman"/>
          <w:bCs/>
          <w:sz w:val="24"/>
          <w:szCs w:val="24"/>
        </w:rPr>
      </w:pPr>
    </w:p>
    <w:p w:rsidR="008F08E2" w:rsidRPr="001A6311" w:rsidRDefault="008F08E2" w:rsidP="008F08E2">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r>
    </w:p>
    <w:p w:rsidR="001A6311" w:rsidRDefault="001A6311" w:rsidP="001A6311">
      <w:pPr>
        <w:jc w:val="center"/>
        <w:rPr>
          <w:rFonts w:ascii="Times New Roman" w:hAnsi="Times New Roman" w:cs="Times New Roman"/>
          <w:b/>
          <w:bCs/>
          <w:sz w:val="24"/>
          <w:szCs w:val="24"/>
        </w:rPr>
      </w:pPr>
    </w:p>
    <w:p w:rsidR="001A6311" w:rsidRDefault="001A6311" w:rsidP="001A6311">
      <w:pPr>
        <w:jc w:val="both"/>
        <w:rPr>
          <w:rFonts w:ascii="Times New Roman" w:hAnsi="Times New Roman" w:cs="Times New Roman"/>
          <w:b/>
          <w:bCs/>
          <w:sz w:val="24"/>
          <w:szCs w:val="24"/>
        </w:rPr>
      </w:pPr>
    </w:p>
    <w:p w:rsidR="001A6311" w:rsidRDefault="001A6311" w:rsidP="001A6311">
      <w:pPr>
        <w:jc w:val="both"/>
        <w:rPr>
          <w:rFonts w:ascii="Times New Roman" w:hAnsi="Times New Roman" w:cs="Times New Roman"/>
          <w:b/>
          <w:bCs/>
          <w:sz w:val="24"/>
          <w:szCs w:val="24"/>
        </w:rPr>
      </w:pPr>
    </w:p>
    <w:p w:rsidR="00B0255C" w:rsidRDefault="00B0255C" w:rsidP="001A6311">
      <w:pPr>
        <w:jc w:val="both"/>
        <w:rPr>
          <w:rFonts w:ascii="Times New Roman" w:hAnsi="Times New Roman" w:cs="Times New Roman"/>
          <w:b/>
          <w:bCs/>
          <w:sz w:val="24"/>
          <w:szCs w:val="24"/>
        </w:rPr>
      </w:pPr>
    </w:p>
    <w:p w:rsidR="00C0365E" w:rsidRPr="00C0365E" w:rsidRDefault="00C0365E" w:rsidP="00C70534">
      <w:pPr>
        <w:spacing w:after="0" w:line="360" w:lineRule="auto"/>
        <w:jc w:val="center"/>
        <w:rPr>
          <w:rFonts w:ascii="Times New Roman" w:hAnsi="Times New Roman" w:cs="Times New Roman"/>
          <w:b/>
          <w:bCs/>
          <w:sz w:val="24"/>
          <w:szCs w:val="24"/>
        </w:rPr>
      </w:pPr>
      <w:r w:rsidRPr="00C0365E">
        <w:rPr>
          <w:rFonts w:ascii="Times New Roman" w:hAnsi="Times New Roman" w:cs="Times New Roman"/>
          <w:b/>
          <w:bCs/>
          <w:sz w:val="24"/>
          <w:szCs w:val="24"/>
        </w:rPr>
        <w:lastRenderedPageBreak/>
        <w:t>Effects of Flavonoids and Ascorbic Acid Derivatives on Non-enzymatic Browning in Peaches</w:t>
      </w:r>
    </w:p>
    <w:p w:rsidR="00C0365E" w:rsidRPr="00723557" w:rsidRDefault="00C0365E" w:rsidP="00C70534">
      <w:pPr>
        <w:spacing w:after="0" w:line="360" w:lineRule="auto"/>
        <w:jc w:val="center"/>
        <w:rPr>
          <w:rFonts w:ascii="Times New Roman" w:hAnsi="Times New Roman" w:cs="Times New Roman"/>
          <w:b/>
          <w:bCs/>
          <w:sz w:val="10"/>
          <w:szCs w:val="10"/>
        </w:rPr>
      </w:pPr>
    </w:p>
    <w:p w:rsidR="00C0365E" w:rsidRPr="00C0365E" w:rsidRDefault="00C0365E" w:rsidP="00C70534">
      <w:pPr>
        <w:spacing w:after="0" w:line="360" w:lineRule="auto"/>
        <w:jc w:val="center"/>
        <w:rPr>
          <w:rFonts w:ascii="Times New Roman" w:hAnsi="Times New Roman" w:cs="Times New Roman"/>
          <w:bCs/>
          <w:sz w:val="24"/>
          <w:szCs w:val="24"/>
        </w:rPr>
      </w:pPr>
      <w:r w:rsidRPr="00C0365E">
        <w:rPr>
          <w:rFonts w:ascii="Times New Roman" w:hAnsi="Times New Roman" w:cs="Times New Roman"/>
          <w:bCs/>
          <w:sz w:val="24"/>
          <w:szCs w:val="24"/>
        </w:rPr>
        <w:t>Silvia E. Peralta Arribasplata</w:t>
      </w:r>
    </w:p>
    <w:p w:rsidR="00C0365E" w:rsidRPr="00723557" w:rsidRDefault="00C0365E" w:rsidP="00C70534">
      <w:pPr>
        <w:spacing w:after="0" w:line="360" w:lineRule="auto"/>
        <w:jc w:val="center"/>
        <w:rPr>
          <w:rFonts w:ascii="Times New Roman" w:hAnsi="Times New Roman" w:cs="Times New Roman"/>
          <w:bCs/>
          <w:sz w:val="10"/>
          <w:szCs w:val="10"/>
        </w:rPr>
      </w:pPr>
    </w:p>
    <w:p w:rsidR="00C0365E" w:rsidRPr="00C0365E" w:rsidRDefault="00C0365E" w:rsidP="00C70534">
      <w:pPr>
        <w:spacing w:after="0" w:line="360" w:lineRule="auto"/>
        <w:rPr>
          <w:rFonts w:ascii="Times New Roman" w:hAnsi="Times New Roman" w:cs="Times New Roman"/>
          <w:b/>
          <w:sz w:val="24"/>
          <w:szCs w:val="24"/>
        </w:rPr>
      </w:pPr>
      <w:r w:rsidRPr="00C0365E">
        <w:rPr>
          <w:rFonts w:ascii="Times New Roman" w:hAnsi="Times New Roman" w:cs="Times New Roman"/>
          <w:b/>
          <w:sz w:val="24"/>
          <w:szCs w:val="24"/>
        </w:rPr>
        <w:t>ABSTRACT</w:t>
      </w:r>
      <w:r w:rsidRPr="00C0365E">
        <w:rPr>
          <w:rFonts w:ascii="Times New Roman" w:hAnsi="Times New Roman" w:cs="Times New Roman"/>
          <w:b/>
          <w:sz w:val="24"/>
          <w:szCs w:val="24"/>
        </w:rPr>
        <w:tab/>
      </w:r>
    </w:p>
    <w:p w:rsidR="00A144E5" w:rsidRDefault="00A144E5" w:rsidP="00A144E5">
      <w:pPr>
        <w:spacing w:after="0" w:line="360" w:lineRule="auto"/>
        <w:jc w:val="both"/>
        <w:rPr>
          <w:rFonts w:ascii="Times New Roman" w:hAnsi="Times New Roman"/>
          <w:sz w:val="24"/>
          <w:szCs w:val="24"/>
          <w:lang w:val="es-ES"/>
        </w:rPr>
      </w:pPr>
      <w:r>
        <w:rPr>
          <w:rFonts w:ascii="Times New Roman" w:hAnsi="Times New Roman"/>
          <w:sz w:val="24"/>
          <w:szCs w:val="24"/>
        </w:rPr>
        <w:tab/>
        <w:t>Non-enzymatic browning (</w:t>
      </w:r>
      <w:smartTag w:uri="urn:schemas-microsoft-com:office:smarttags" w:element="place">
        <w:smartTag w:uri="urn:schemas-microsoft-com:office:smarttags" w:element="State">
          <w:r>
            <w:rPr>
              <w:rFonts w:ascii="Times New Roman" w:hAnsi="Times New Roman"/>
              <w:sz w:val="24"/>
              <w:szCs w:val="24"/>
            </w:rPr>
            <w:t>NEB</w:t>
          </w:r>
        </w:smartTag>
      </w:smartTag>
      <w:r>
        <w:rPr>
          <w:rFonts w:ascii="Times New Roman" w:hAnsi="Times New Roman"/>
          <w:sz w:val="24"/>
          <w:szCs w:val="24"/>
        </w:rPr>
        <w:t xml:space="preserve">) due to ascorbic acid degradation is one of the most common reasons the shelf life of many processed foods is reduced.  </w:t>
      </w:r>
      <w:r w:rsidRPr="004050A5">
        <w:rPr>
          <w:rFonts w:ascii="Times New Roman" w:hAnsi="Times New Roman"/>
          <w:sz w:val="24"/>
          <w:szCs w:val="24"/>
        </w:rPr>
        <w:t>Different methods to minimize or retard the formation of</w:t>
      </w:r>
      <w:r>
        <w:rPr>
          <w:rFonts w:ascii="Times New Roman" w:hAnsi="Times New Roman"/>
          <w:sz w:val="24"/>
          <w:szCs w:val="24"/>
        </w:rPr>
        <w:t xml:space="preserve"> </w:t>
      </w:r>
      <w:r w:rsidRPr="004050A5">
        <w:rPr>
          <w:rFonts w:ascii="Times New Roman" w:hAnsi="Times New Roman"/>
          <w:sz w:val="24"/>
          <w:szCs w:val="24"/>
        </w:rPr>
        <w:t>br</w:t>
      </w:r>
      <w:r>
        <w:rPr>
          <w:rFonts w:ascii="Times New Roman" w:hAnsi="Times New Roman"/>
          <w:sz w:val="24"/>
          <w:szCs w:val="24"/>
        </w:rPr>
        <w:t xml:space="preserve">owning pigments have been studied; however, to date, refrigeration is still the most preferable. Unfortunately, the use of low temperatures to preserve food is not always available in many parts of the world.  Indeed, an area of concern due to </w:t>
      </w:r>
      <w:smartTag w:uri="urn:schemas-microsoft-com:office:smarttags" w:element="place">
        <w:smartTag w:uri="urn:schemas-microsoft-com:office:smarttags" w:element="State">
          <w:r>
            <w:rPr>
              <w:rFonts w:ascii="Times New Roman" w:hAnsi="Times New Roman"/>
              <w:sz w:val="24"/>
              <w:szCs w:val="24"/>
            </w:rPr>
            <w:t>NEB</w:t>
          </w:r>
        </w:smartTag>
      </w:smartTag>
      <w:r>
        <w:rPr>
          <w:rFonts w:ascii="Times New Roman" w:hAnsi="Times New Roman"/>
          <w:sz w:val="24"/>
          <w:szCs w:val="24"/>
        </w:rPr>
        <w:t xml:space="preserve"> has been identified in meal-ready-to-eat (MRE) individual military rations, specifically diced peaches with syrup. This product was once part of soldiers' menus; however, it was removed due to browning and textural deterioration that occurred when stored under field conditions.  We examined two general approaches to reduce </w:t>
      </w:r>
      <w:smartTag w:uri="urn:schemas-microsoft-com:office:smarttags" w:element="place">
        <w:smartTag w:uri="urn:schemas-microsoft-com:office:smarttags" w:element="State">
          <w:r>
            <w:rPr>
              <w:rFonts w:ascii="Times New Roman" w:hAnsi="Times New Roman"/>
              <w:sz w:val="24"/>
              <w:szCs w:val="24"/>
            </w:rPr>
            <w:t>NEB</w:t>
          </w:r>
        </w:smartTag>
      </w:smartTag>
      <w:r>
        <w:rPr>
          <w:rFonts w:ascii="Times New Roman" w:hAnsi="Times New Roman"/>
          <w:sz w:val="24"/>
          <w:szCs w:val="24"/>
        </w:rPr>
        <w:t xml:space="preserve">: the replacement of ascorbic acid by a more stable form and the use of flavonoids as antibrowning antioxidants in peach systems.  These approaches were studied in three objectives.  In our first objective, ascorbyl-2-phosphate showed better stability than ascorbic acid at 40°C in peach puree model systems, but not at 50 or 60°C.  In the second objective, after the evaluation of the </w:t>
      </w:r>
      <w:r w:rsidRPr="003325E8">
        <w:rPr>
          <w:rFonts w:ascii="Times New Roman" w:hAnsi="Times New Roman"/>
          <w:sz w:val="24"/>
          <w:szCs w:val="24"/>
        </w:rPr>
        <w:t xml:space="preserve">effect of two forms of vitamin C (ascorbic acid and ascorbyl-2-phosphate) </w:t>
      </w:r>
      <w:r>
        <w:rPr>
          <w:rFonts w:ascii="Times New Roman" w:hAnsi="Times New Roman"/>
          <w:sz w:val="24"/>
          <w:szCs w:val="24"/>
        </w:rPr>
        <w:t>and</w:t>
      </w:r>
      <w:r w:rsidRPr="003325E8">
        <w:rPr>
          <w:rFonts w:ascii="Times New Roman" w:hAnsi="Times New Roman"/>
          <w:sz w:val="24"/>
          <w:szCs w:val="24"/>
        </w:rPr>
        <w:t xml:space="preserve"> Pycnogenol (0%, 0.01%</w:t>
      </w:r>
      <w:r>
        <w:rPr>
          <w:rFonts w:ascii="Times New Roman" w:hAnsi="Times New Roman"/>
          <w:sz w:val="24"/>
          <w:szCs w:val="24"/>
        </w:rPr>
        <w:t xml:space="preserve"> and 1%) </w:t>
      </w:r>
      <w:r w:rsidRPr="003325E8">
        <w:rPr>
          <w:rFonts w:ascii="Times New Roman" w:hAnsi="Times New Roman"/>
          <w:sz w:val="24"/>
          <w:szCs w:val="24"/>
        </w:rPr>
        <w:t>on the quality of diced peaches in retortable pouches</w:t>
      </w:r>
      <w:r>
        <w:rPr>
          <w:rFonts w:ascii="Times New Roman" w:hAnsi="Times New Roman"/>
          <w:sz w:val="24"/>
          <w:szCs w:val="24"/>
        </w:rPr>
        <w:t xml:space="preserve">, we concluded that neither ascorbyl-2-phosphate nor pycnogenol resulted in improved color or ascorbic acid stability.  Finally, in our third objective, after the evaluation of </w:t>
      </w:r>
      <w:r w:rsidRPr="003325E8">
        <w:rPr>
          <w:rFonts w:ascii="Times New Roman" w:hAnsi="Times New Roman"/>
          <w:sz w:val="24"/>
          <w:szCs w:val="24"/>
        </w:rPr>
        <w:t>the effect of peach source (fresh, individually quick frozen and canned), addition of calcium chloride, and the addition of a water soluble flavonoid (α-glucosylrutin</w:t>
      </w:r>
      <w:r>
        <w:rPr>
          <w:rFonts w:ascii="Times New Roman" w:hAnsi="Times New Roman"/>
          <w:sz w:val="24"/>
          <w:szCs w:val="24"/>
        </w:rPr>
        <w:t xml:space="preserve">, </w:t>
      </w:r>
      <w:r w:rsidRPr="003325E8">
        <w:rPr>
          <w:rFonts w:ascii="Times New Roman" w:hAnsi="Times New Roman"/>
          <w:sz w:val="24"/>
          <w:szCs w:val="24"/>
        </w:rPr>
        <w:t>α-</w:t>
      </w:r>
      <w:r>
        <w:rPr>
          <w:rFonts w:ascii="Times New Roman" w:hAnsi="Times New Roman"/>
          <w:sz w:val="24"/>
          <w:szCs w:val="24"/>
        </w:rPr>
        <w:t>GR</w:t>
      </w:r>
      <w:r w:rsidRPr="003325E8">
        <w:rPr>
          <w:rFonts w:ascii="Times New Roman" w:hAnsi="Times New Roman"/>
          <w:sz w:val="24"/>
          <w:szCs w:val="24"/>
        </w:rPr>
        <w:t>) in diced peaches packaged in retortable pouches</w:t>
      </w:r>
      <w:r>
        <w:rPr>
          <w:rFonts w:ascii="Times New Roman" w:hAnsi="Times New Roman"/>
          <w:sz w:val="24"/>
          <w:szCs w:val="24"/>
        </w:rPr>
        <w:t xml:space="preserve"> stored at 24, 40 and 51</w:t>
      </w:r>
      <w:r>
        <w:rPr>
          <w:rFonts w:ascii="Times New Roman" w:hAnsi="Times New Roman"/>
          <w:sz w:val="24"/>
          <w:szCs w:val="24"/>
          <w:lang w:val="es-ES"/>
        </w:rPr>
        <w:t>°C, t</w:t>
      </w:r>
      <w:r w:rsidRPr="00835EF4">
        <w:rPr>
          <w:rFonts w:ascii="Times New Roman" w:hAnsi="Times New Roman"/>
          <w:sz w:val="24"/>
          <w:szCs w:val="24"/>
          <w:lang w:val="es-ES"/>
        </w:rPr>
        <w:t xml:space="preserve">here were no significant effects of </w:t>
      </w:r>
      <w:r w:rsidRPr="00835EF4">
        <w:rPr>
          <w:rFonts w:ascii="Times New Roman" w:hAnsi="Times New Roman"/>
          <w:sz w:val="24"/>
          <w:szCs w:val="24"/>
        </w:rPr>
        <w:t>α-GR on any of the peach sources at 51</w:t>
      </w:r>
      <w:r w:rsidRPr="00835EF4">
        <w:rPr>
          <w:rFonts w:ascii="Times New Roman" w:hAnsi="Times New Roman"/>
          <w:sz w:val="24"/>
          <w:szCs w:val="24"/>
          <w:lang w:val="es-ES"/>
        </w:rPr>
        <w:t>°C.  However,</w:t>
      </w:r>
      <w:r w:rsidRPr="00835EF4">
        <w:rPr>
          <w:rFonts w:ascii="Times New Roman" w:hAnsi="Times New Roman"/>
          <w:sz w:val="24"/>
          <w:szCs w:val="24"/>
        </w:rPr>
        <w:t xml:space="preserve"> </w:t>
      </w:r>
      <w:r>
        <w:rPr>
          <w:rFonts w:ascii="Times New Roman" w:hAnsi="Times New Roman"/>
          <w:sz w:val="24"/>
          <w:szCs w:val="24"/>
        </w:rPr>
        <w:t xml:space="preserve">at 40°C, </w:t>
      </w:r>
      <w:r w:rsidRPr="00835EF4">
        <w:rPr>
          <w:rFonts w:ascii="Times New Roman" w:hAnsi="Times New Roman"/>
          <w:sz w:val="24"/>
          <w:szCs w:val="24"/>
        </w:rPr>
        <w:t>α-GR</w:t>
      </w:r>
      <w:r w:rsidRPr="00835EF4">
        <w:rPr>
          <w:rFonts w:ascii="Times New Roman" w:hAnsi="Times New Roman"/>
          <w:sz w:val="24"/>
          <w:szCs w:val="24"/>
          <w:lang w:val="es-ES"/>
        </w:rPr>
        <w:t xml:space="preserve"> improved the quality of diced peaches in pouches made of individually </w:t>
      </w:r>
      <w:r>
        <w:rPr>
          <w:rFonts w:ascii="Times New Roman" w:hAnsi="Times New Roman"/>
          <w:sz w:val="24"/>
          <w:szCs w:val="24"/>
          <w:lang w:val="es-ES"/>
        </w:rPr>
        <w:t>quick frozen and canned peaches,</w:t>
      </w:r>
      <w:r w:rsidRPr="00835EF4">
        <w:rPr>
          <w:rFonts w:ascii="Times New Roman" w:hAnsi="Times New Roman"/>
          <w:sz w:val="24"/>
          <w:szCs w:val="24"/>
          <w:lang w:val="es-ES"/>
        </w:rPr>
        <w:t xml:space="preserve"> but not for fresh peaches.</w:t>
      </w:r>
      <w:r>
        <w:rPr>
          <w:rFonts w:ascii="Times New Roman" w:hAnsi="Times New Roman"/>
          <w:sz w:val="24"/>
          <w:szCs w:val="24"/>
          <w:lang w:val="es-ES"/>
        </w:rPr>
        <w:t xml:space="preserve">  Quality was assessed by color (CIELAB system), which was measured using a handheld colorimeter, and ascorbic acid levels of peaches, which was determined using high performance liquid chromatography</w:t>
      </w:r>
      <w:r w:rsidRPr="00835EF4">
        <w:rPr>
          <w:rFonts w:ascii="Times New Roman" w:hAnsi="Times New Roman"/>
          <w:sz w:val="24"/>
          <w:szCs w:val="24"/>
          <w:lang w:val="es-ES"/>
        </w:rPr>
        <w:t xml:space="preserve">.  </w:t>
      </w:r>
    </w:p>
    <w:p w:rsidR="00C0365E" w:rsidRPr="001D7252" w:rsidRDefault="001859C9" w:rsidP="007E11C1">
      <w:pPr>
        <w:spacing w:after="0" w:line="360" w:lineRule="auto"/>
        <w:rPr>
          <w:rFonts w:ascii="Times New Roman" w:hAnsi="Times New Roman" w:cs="Times New Roman"/>
          <w:b/>
          <w:sz w:val="24"/>
          <w:szCs w:val="24"/>
          <w:lang w:val="es-ES"/>
        </w:rPr>
      </w:pPr>
      <w:r>
        <w:rPr>
          <w:rFonts w:ascii="Times New Roman" w:hAnsi="Times New Roman" w:cs="Times New Roman"/>
          <w:b/>
          <w:sz w:val="24"/>
          <w:szCs w:val="24"/>
          <w:lang w:val="es-ES"/>
        </w:rPr>
        <w:br w:type="page"/>
      </w:r>
      <w:r w:rsidR="00FB5E34">
        <w:rPr>
          <w:rFonts w:ascii="Times New Roman" w:hAnsi="Times New Roman" w:cs="Times New Roman"/>
          <w:b/>
          <w:sz w:val="24"/>
          <w:szCs w:val="24"/>
          <w:lang w:val="es-ES"/>
        </w:rPr>
        <w:lastRenderedPageBreak/>
        <w:t>T</w:t>
      </w:r>
      <w:r w:rsidR="001D7252" w:rsidRPr="001D7252">
        <w:rPr>
          <w:rFonts w:ascii="Times New Roman" w:hAnsi="Times New Roman" w:cs="Times New Roman"/>
          <w:b/>
          <w:sz w:val="24"/>
          <w:szCs w:val="24"/>
          <w:lang w:val="es-ES"/>
        </w:rPr>
        <w:t>ABLE OF CONTENTS</w:t>
      </w:r>
    </w:p>
    <w:p w:rsidR="00055C52" w:rsidRDefault="00055C52" w:rsidP="00261D8C">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ACKNOWLEDGMENT……………………………………………………………………</w:t>
      </w:r>
      <w:r>
        <w:rPr>
          <w:rFonts w:ascii="Times New Roman" w:hAnsi="Times New Roman" w:cs="Times New Roman"/>
          <w:sz w:val="24"/>
          <w:szCs w:val="24"/>
          <w:lang w:val="es-ES"/>
        </w:rPr>
        <w:tab/>
        <w:t>ii</w:t>
      </w:r>
    </w:p>
    <w:p w:rsidR="001D7252" w:rsidRDefault="001D7252" w:rsidP="00261D8C">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ABSTRACT</w:t>
      </w:r>
      <w:r w:rsidR="007E11C1">
        <w:rPr>
          <w:rFonts w:ascii="Times New Roman" w:hAnsi="Times New Roman" w:cs="Times New Roman"/>
          <w:sz w:val="24"/>
          <w:szCs w:val="24"/>
          <w:lang w:val="es-ES"/>
        </w:rPr>
        <w:t>…………………………………………………………………………</w:t>
      </w:r>
      <w:r w:rsidR="00261D8C">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261D8C">
        <w:rPr>
          <w:rFonts w:ascii="Times New Roman" w:hAnsi="Times New Roman" w:cs="Times New Roman"/>
          <w:sz w:val="24"/>
          <w:szCs w:val="24"/>
          <w:lang w:val="es-ES"/>
        </w:rPr>
        <w:tab/>
      </w:r>
      <w:r w:rsidR="007E11C1">
        <w:rPr>
          <w:rFonts w:ascii="Times New Roman" w:hAnsi="Times New Roman" w:cs="Times New Roman"/>
          <w:sz w:val="24"/>
          <w:szCs w:val="24"/>
          <w:lang w:val="es-ES"/>
        </w:rPr>
        <w:t>ii</w:t>
      </w:r>
      <w:r w:rsidR="00055C52">
        <w:rPr>
          <w:rFonts w:ascii="Times New Roman" w:hAnsi="Times New Roman" w:cs="Times New Roman"/>
          <w:sz w:val="24"/>
          <w:szCs w:val="24"/>
          <w:lang w:val="es-ES"/>
        </w:rPr>
        <w:t>i</w:t>
      </w:r>
    </w:p>
    <w:p w:rsidR="001D7252" w:rsidRDefault="001D7252" w:rsidP="00261D8C">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TABLE OF CONTENTS</w:t>
      </w:r>
      <w:r w:rsidR="007E11C1">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261D8C">
        <w:rPr>
          <w:rFonts w:ascii="Times New Roman" w:hAnsi="Times New Roman" w:cs="Times New Roman"/>
          <w:sz w:val="24"/>
          <w:szCs w:val="24"/>
          <w:lang w:val="es-ES"/>
        </w:rPr>
        <w:tab/>
      </w:r>
      <w:r w:rsidR="007E11C1">
        <w:rPr>
          <w:rFonts w:ascii="Times New Roman" w:hAnsi="Times New Roman" w:cs="Times New Roman"/>
          <w:sz w:val="24"/>
          <w:szCs w:val="24"/>
          <w:lang w:val="es-ES"/>
        </w:rPr>
        <w:t>iii</w:t>
      </w:r>
    </w:p>
    <w:p w:rsidR="001D7252" w:rsidRDefault="001D7252" w:rsidP="00261D8C">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LIST OF </w:t>
      </w:r>
      <w:r w:rsidR="004D75FF">
        <w:rPr>
          <w:rFonts w:ascii="Times New Roman" w:hAnsi="Times New Roman" w:cs="Times New Roman"/>
          <w:sz w:val="24"/>
          <w:szCs w:val="24"/>
          <w:lang w:val="es-ES"/>
        </w:rPr>
        <w:t>FIGURES</w:t>
      </w:r>
      <w:r w:rsidR="007E11C1">
        <w:rPr>
          <w:rFonts w:ascii="Times New Roman" w:hAnsi="Times New Roman" w:cs="Times New Roman"/>
          <w:sz w:val="24"/>
          <w:szCs w:val="24"/>
          <w:lang w:val="es-ES"/>
        </w:rPr>
        <w:t>…………………………………………………………</w:t>
      </w:r>
      <w:r w:rsidR="000611FF">
        <w:rPr>
          <w:rFonts w:ascii="Times New Roman" w:hAnsi="Times New Roman" w:cs="Times New Roman"/>
          <w:sz w:val="24"/>
          <w:szCs w:val="24"/>
          <w:lang w:val="es-ES"/>
        </w:rPr>
        <w:t>...</w:t>
      </w:r>
      <w:r w:rsidR="00B849D7">
        <w:rPr>
          <w:rFonts w:ascii="Times New Roman" w:hAnsi="Times New Roman" w:cs="Times New Roman"/>
          <w:sz w:val="24"/>
          <w:szCs w:val="24"/>
          <w:lang w:val="es-ES"/>
        </w:rPr>
        <w:t>......</w:t>
      </w:r>
      <w:r w:rsidR="007E11C1">
        <w:rPr>
          <w:rFonts w:ascii="Times New Roman" w:hAnsi="Times New Roman" w:cs="Times New Roman"/>
          <w:sz w:val="24"/>
          <w:szCs w:val="24"/>
          <w:lang w:val="es-ES"/>
        </w:rPr>
        <w:t>……..</w:t>
      </w:r>
      <w:r w:rsidR="004D75FF">
        <w:rPr>
          <w:rFonts w:ascii="Times New Roman" w:hAnsi="Times New Roman" w:cs="Times New Roman"/>
          <w:sz w:val="24"/>
          <w:szCs w:val="24"/>
          <w:lang w:val="es-ES"/>
        </w:rPr>
        <w:t>..v</w:t>
      </w:r>
      <w:r w:rsidR="00055C52">
        <w:rPr>
          <w:rFonts w:ascii="Times New Roman" w:hAnsi="Times New Roman" w:cs="Times New Roman"/>
          <w:sz w:val="24"/>
          <w:szCs w:val="24"/>
          <w:lang w:val="es-ES"/>
        </w:rPr>
        <w:t>i</w:t>
      </w:r>
    </w:p>
    <w:p w:rsidR="001D7252" w:rsidRDefault="004D75FF" w:rsidP="00261D8C">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LIST OF TABLES…………………………………………………………………………</w:t>
      </w:r>
      <w:r w:rsidR="000611FF">
        <w:rPr>
          <w:rFonts w:ascii="Times New Roman" w:hAnsi="Times New Roman" w:cs="Times New Roman"/>
          <w:sz w:val="24"/>
          <w:szCs w:val="24"/>
          <w:lang w:val="es-ES"/>
        </w:rPr>
        <w:t>x</w:t>
      </w:r>
    </w:p>
    <w:p w:rsidR="001D7252" w:rsidRDefault="001D7252" w:rsidP="000611FF">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LIST OF ABBREVIATIONS AND TERMS</w:t>
      </w:r>
      <w:r w:rsidR="000611FF">
        <w:rPr>
          <w:rFonts w:ascii="Times New Roman" w:hAnsi="Times New Roman" w:cs="Times New Roman"/>
          <w:sz w:val="24"/>
          <w:szCs w:val="24"/>
          <w:lang w:val="es-ES"/>
        </w:rPr>
        <w:t>………………………………………</w:t>
      </w:r>
      <w:r w:rsidR="00B849D7">
        <w:rPr>
          <w:rFonts w:ascii="Times New Roman" w:hAnsi="Times New Roman" w:cs="Times New Roman"/>
          <w:sz w:val="24"/>
          <w:szCs w:val="24"/>
          <w:lang w:val="es-ES"/>
        </w:rPr>
        <w:t>………</w:t>
      </w:r>
      <w:r w:rsidR="000611FF">
        <w:rPr>
          <w:rFonts w:ascii="Times New Roman" w:hAnsi="Times New Roman" w:cs="Times New Roman"/>
          <w:sz w:val="24"/>
          <w:szCs w:val="24"/>
          <w:lang w:val="es-ES"/>
        </w:rPr>
        <w:tab/>
        <w:t>xii</w:t>
      </w:r>
    </w:p>
    <w:p w:rsidR="001D7252" w:rsidRDefault="001D7252" w:rsidP="00CA6C0D">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CHAPTER 1: INTRODUCTION</w:t>
      </w:r>
      <w:r w:rsidR="007E11C1">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7E11C1">
        <w:rPr>
          <w:rFonts w:ascii="Times New Roman" w:hAnsi="Times New Roman" w:cs="Times New Roman"/>
          <w:sz w:val="24"/>
          <w:szCs w:val="24"/>
          <w:lang w:val="es-ES"/>
        </w:rPr>
        <w:t>1</w:t>
      </w:r>
    </w:p>
    <w:p w:rsidR="001D7252" w:rsidRDefault="001D7252" w:rsidP="00CA6C0D">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CHAPTER 2: REVIEW OF LITERATURE</w:t>
      </w:r>
      <w:r w:rsidR="007E11C1">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7E11C1">
        <w:rPr>
          <w:rFonts w:ascii="Times New Roman" w:hAnsi="Times New Roman" w:cs="Times New Roman"/>
          <w:sz w:val="24"/>
          <w:szCs w:val="24"/>
          <w:lang w:val="es-ES"/>
        </w:rPr>
        <w:t>8</w:t>
      </w:r>
    </w:p>
    <w:p w:rsidR="007E11C1" w:rsidRDefault="00CA6C0D"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7E11C1">
        <w:rPr>
          <w:rFonts w:ascii="Times New Roman" w:hAnsi="Times New Roman" w:cs="Times New Roman"/>
          <w:sz w:val="24"/>
          <w:szCs w:val="24"/>
          <w:lang w:val="es-ES"/>
        </w:rPr>
        <w:t>L-</w:t>
      </w:r>
      <w:r w:rsidR="004C2F3F">
        <w:rPr>
          <w:rFonts w:ascii="Times New Roman" w:hAnsi="Times New Roman" w:cs="Times New Roman"/>
          <w:sz w:val="24"/>
          <w:szCs w:val="24"/>
          <w:lang w:val="es-ES"/>
        </w:rPr>
        <w:t>ASCORBIC ACID</w:t>
      </w:r>
      <w:r w:rsidR="007E11C1">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Pr>
          <w:rFonts w:ascii="Times New Roman" w:hAnsi="Times New Roman" w:cs="Times New Roman"/>
          <w:sz w:val="24"/>
          <w:szCs w:val="24"/>
          <w:lang w:val="es-ES"/>
        </w:rPr>
        <w:tab/>
      </w:r>
      <w:r w:rsidR="007E11C1">
        <w:rPr>
          <w:rFonts w:ascii="Times New Roman" w:hAnsi="Times New Roman" w:cs="Times New Roman"/>
          <w:sz w:val="24"/>
          <w:szCs w:val="24"/>
          <w:lang w:val="es-ES"/>
        </w:rPr>
        <w:t>8</w:t>
      </w:r>
    </w:p>
    <w:p w:rsidR="007E11C1" w:rsidRDefault="00CA6C0D"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7E11C1">
        <w:rPr>
          <w:rFonts w:ascii="Times New Roman" w:hAnsi="Times New Roman" w:cs="Times New Roman"/>
          <w:sz w:val="24"/>
          <w:szCs w:val="24"/>
          <w:lang w:val="es-ES"/>
        </w:rPr>
        <w:t>L</w:t>
      </w:r>
      <w:r w:rsidR="004C2F3F">
        <w:rPr>
          <w:rFonts w:ascii="Times New Roman" w:hAnsi="Times New Roman" w:cs="Times New Roman"/>
          <w:sz w:val="24"/>
          <w:szCs w:val="24"/>
          <w:lang w:val="es-ES"/>
        </w:rPr>
        <w:t>OSS OF L-ASCORBIC ACID</w:t>
      </w:r>
      <w:r w:rsidR="007E11C1">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Pr>
          <w:rFonts w:ascii="Times New Roman" w:hAnsi="Times New Roman" w:cs="Times New Roman"/>
          <w:sz w:val="24"/>
          <w:szCs w:val="24"/>
          <w:lang w:val="es-ES"/>
        </w:rPr>
        <w:tab/>
      </w:r>
      <w:r w:rsidR="007E11C1">
        <w:rPr>
          <w:rFonts w:ascii="Times New Roman" w:hAnsi="Times New Roman" w:cs="Times New Roman"/>
          <w:sz w:val="24"/>
          <w:szCs w:val="24"/>
          <w:lang w:val="es-ES"/>
        </w:rPr>
        <w:t>9</w:t>
      </w:r>
    </w:p>
    <w:p w:rsidR="007E11C1" w:rsidRDefault="007E11C1" w:rsidP="00CA6C0D">
      <w:pPr>
        <w:tabs>
          <w:tab w:val="left" w:pos="144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Types of degradation…………………………………………………</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Pr>
          <w:rFonts w:ascii="Times New Roman" w:hAnsi="Times New Roman" w:cs="Times New Roman"/>
          <w:sz w:val="24"/>
          <w:szCs w:val="24"/>
          <w:lang w:val="es-ES"/>
        </w:rPr>
        <w:t>9</w:t>
      </w:r>
    </w:p>
    <w:p w:rsidR="007E11C1" w:rsidRDefault="00CA6C0D" w:rsidP="00CA6C0D">
      <w:pPr>
        <w:tabs>
          <w:tab w:val="left" w:pos="144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7E11C1">
        <w:rPr>
          <w:rFonts w:ascii="Times New Roman" w:hAnsi="Times New Roman" w:cs="Times New Roman"/>
          <w:sz w:val="24"/>
          <w:szCs w:val="24"/>
          <w:lang w:val="es-ES"/>
        </w:rPr>
        <w:t>Factors that enhance degradation…………………………………</w:t>
      </w:r>
      <w:r w:rsidR="004D75FF">
        <w:rPr>
          <w:rFonts w:ascii="Times New Roman" w:hAnsi="Times New Roman" w:cs="Times New Roman"/>
          <w:sz w:val="24"/>
          <w:szCs w:val="24"/>
          <w:lang w:val="es-ES"/>
        </w:rPr>
        <w:t>………...</w:t>
      </w:r>
      <w:r w:rsidR="004D75FF">
        <w:rPr>
          <w:rFonts w:ascii="Times New Roman" w:hAnsi="Times New Roman" w:cs="Times New Roman"/>
          <w:sz w:val="24"/>
          <w:szCs w:val="24"/>
          <w:lang w:val="es-ES"/>
        </w:rPr>
        <w:tab/>
      </w:r>
      <w:r w:rsidR="007E11C1">
        <w:rPr>
          <w:rFonts w:ascii="Times New Roman" w:hAnsi="Times New Roman" w:cs="Times New Roman"/>
          <w:sz w:val="24"/>
          <w:szCs w:val="24"/>
          <w:lang w:val="es-ES"/>
        </w:rPr>
        <w:t>10</w:t>
      </w:r>
    </w:p>
    <w:p w:rsidR="007E11C1" w:rsidRDefault="007E11C1" w:rsidP="00CA6C0D">
      <w:pPr>
        <w:tabs>
          <w:tab w:val="left" w:pos="144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Product</w:t>
      </w:r>
      <w:r w:rsidR="00C57315">
        <w:rPr>
          <w:rFonts w:ascii="Times New Roman" w:hAnsi="Times New Roman" w:cs="Times New Roman"/>
          <w:sz w:val="24"/>
          <w:szCs w:val="24"/>
          <w:lang w:val="es-ES"/>
        </w:rPr>
        <w:t>s</w:t>
      </w:r>
      <w:r>
        <w:rPr>
          <w:rFonts w:ascii="Times New Roman" w:hAnsi="Times New Roman" w:cs="Times New Roman"/>
          <w:sz w:val="24"/>
          <w:szCs w:val="24"/>
          <w:lang w:val="es-ES"/>
        </w:rPr>
        <w:t xml:space="preserve"> of L-ascorbic acid degradation</w:t>
      </w:r>
      <w:r w:rsidR="004C2F3F">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4D75FF">
        <w:rPr>
          <w:rFonts w:ascii="Times New Roman" w:hAnsi="Times New Roman" w:cs="Times New Roman"/>
          <w:sz w:val="24"/>
          <w:szCs w:val="24"/>
          <w:lang w:val="es-ES"/>
        </w:rPr>
        <w:tab/>
      </w:r>
      <w:r w:rsidR="004C2F3F">
        <w:rPr>
          <w:rFonts w:ascii="Times New Roman" w:hAnsi="Times New Roman" w:cs="Times New Roman"/>
          <w:sz w:val="24"/>
          <w:szCs w:val="24"/>
          <w:lang w:val="es-ES"/>
        </w:rPr>
        <w:t>13</w:t>
      </w:r>
    </w:p>
    <w:p w:rsidR="007E11C1" w:rsidRDefault="00CA6C0D" w:rsidP="004D75FF">
      <w:pPr>
        <w:tabs>
          <w:tab w:val="left" w:pos="144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7E11C1">
        <w:rPr>
          <w:rFonts w:ascii="Times New Roman" w:hAnsi="Times New Roman" w:cs="Times New Roman"/>
          <w:sz w:val="24"/>
          <w:szCs w:val="24"/>
          <w:lang w:val="es-ES"/>
        </w:rPr>
        <w:t>Studies of L-ascorbic acid browning in food systems</w:t>
      </w:r>
      <w:r w:rsidR="004C2F3F">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4D75FF">
        <w:rPr>
          <w:rFonts w:ascii="Times New Roman" w:hAnsi="Times New Roman" w:cs="Times New Roman"/>
          <w:sz w:val="24"/>
          <w:szCs w:val="24"/>
          <w:lang w:val="es-ES"/>
        </w:rPr>
        <w:tab/>
      </w:r>
      <w:r w:rsidR="004C2F3F">
        <w:rPr>
          <w:rFonts w:ascii="Times New Roman" w:hAnsi="Times New Roman" w:cs="Times New Roman"/>
          <w:sz w:val="24"/>
          <w:szCs w:val="24"/>
          <w:lang w:val="es-ES"/>
        </w:rPr>
        <w:t>14</w:t>
      </w:r>
    </w:p>
    <w:p w:rsidR="007E11C1" w:rsidRDefault="004C2F3F"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CONTROL OF L-ASCORBIC ACID DEGRADATION……………………</w:t>
      </w:r>
      <w:r w:rsidR="004D75FF">
        <w:rPr>
          <w:rFonts w:ascii="Times New Roman" w:hAnsi="Times New Roman" w:cs="Times New Roman"/>
          <w:sz w:val="24"/>
          <w:szCs w:val="24"/>
          <w:lang w:val="es-ES"/>
        </w:rPr>
        <w:t>…….</w:t>
      </w:r>
      <w:r w:rsidR="004D75FF">
        <w:rPr>
          <w:rFonts w:ascii="Times New Roman" w:hAnsi="Times New Roman" w:cs="Times New Roman"/>
          <w:sz w:val="24"/>
          <w:szCs w:val="24"/>
          <w:lang w:val="es-ES"/>
        </w:rPr>
        <w:tab/>
      </w:r>
      <w:r>
        <w:rPr>
          <w:rFonts w:ascii="Times New Roman" w:hAnsi="Times New Roman" w:cs="Times New Roman"/>
          <w:sz w:val="24"/>
          <w:szCs w:val="24"/>
          <w:lang w:val="es-ES"/>
        </w:rPr>
        <w:t>16</w:t>
      </w:r>
    </w:p>
    <w:p w:rsidR="007E11C1" w:rsidRDefault="00CA6C0D" w:rsidP="00CA6C0D">
      <w:pPr>
        <w:tabs>
          <w:tab w:val="left" w:pos="720"/>
          <w:tab w:val="left" w:pos="144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Pr>
          <w:rFonts w:ascii="Times New Roman" w:hAnsi="Times New Roman" w:cs="Times New Roman"/>
          <w:sz w:val="24"/>
          <w:szCs w:val="24"/>
          <w:lang w:val="es-ES"/>
        </w:rPr>
        <w:tab/>
      </w:r>
      <w:r w:rsidR="007E11C1">
        <w:rPr>
          <w:rFonts w:ascii="Times New Roman" w:hAnsi="Times New Roman" w:cs="Times New Roman"/>
          <w:sz w:val="24"/>
          <w:szCs w:val="24"/>
          <w:lang w:val="es-ES"/>
        </w:rPr>
        <w:t>L-ascorbic acid derivatives</w:t>
      </w:r>
      <w:r w:rsidR="004C2F3F">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4D75FF">
        <w:rPr>
          <w:rFonts w:ascii="Times New Roman" w:hAnsi="Times New Roman" w:cs="Times New Roman"/>
          <w:sz w:val="24"/>
          <w:szCs w:val="24"/>
          <w:lang w:val="es-ES"/>
        </w:rPr>
        <w:tab/>
      </w:r>
      <w:r w:rsidR="004C2F3F">
        <w:rPr>
          <w:rFonts w:ascii="Times New Roman" w:hAnsi="Times New Roman" w:cs="Times New Roman"/>
          <w:sz w:val="24"/>
          <w:szCs w:val="24"/>
          <w:lang w:val="es-ES"/>
        </w:rPr>
        <w:t>16</w:t>
      </w:r>
    </w:p>
    <w:p w:rsidR="007E11C1" w:rsidRDefault="007E11C1" w:rsidP="00CA6C0D">
      <w:pPr>
        <w:tabs>
          <w:tab w:val="left" w:pos="144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Flavonoids</w:t>
      </w:r>
      <w:r w:rsidR="004C2F3F">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4C2F3F">
        <w:rPr>
          <w:rFonts w:ascii="Times New Roman" w:hAnsi="Times New Roman" w:cs="Times New Roman"/>
          <w:sz w:val="24"/>
          <w:szCs w:val="24"/>
          <w:lang w:val="es-ES"/>
        </w:rPr>
        <w:t>18</w:t>
      </w:r>
    </w:p>
    <w:p w:rsidR="007E11C1" w:rsidRDefault="00CA6C0D"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7E11C1">
        <w:rPr>
          <w:rFonts w:ascii="Times New Roman" w:hAnsi="Times New Roman" w:cs="Times New Roman"/>
          <w:sz w:val="24"/>
          <w:szCs w:val="24"/>
          <w:lang w:val="es-ES"/>
        </w:rPr>
        <w:t>L</w:t>
      </w:r>
      <w:r w:rsidR="004C2F3F">
        <w:rPr>
          <w:rFonts w:ascii="Times New Roman" w:hAnsi="Times New Roman" w:cs="Times New Roman"/>
          <w:sz w:val="24"/>
          <w:szCs w:val="24"/>
          <w:lang w:val="es-ES"/>
        </w:rPr>
        <w:t>ITERATURE CITED…………………………………………………</w:t>
      </w:r>
      <w:r w:rsidR="004D75FF">
        <w:rPr>
          <w:rFonts w:ascii="Times New Roman" w:hAnsi="Times New Roman" w:cs="Times New Roman"/>
          <w:sz w:val="24"/>
          <w:szCs w:val="24"/>
          <w:lang w:val="es-ES"/>
        </w:rPr>
        <w:t>…………..</w:t>
      </w:r>
      <w:r>
        <w:rPr>
          <w:rFonts w:ascii="Times New Roman" w:hAnsi="Times New Roman" w:cs="Times New Roman"/>
          <w:sz w:val="24"/>
          <w:szCs w:val="24"/>
          <w:lang w:val="es-ES"/>
        </w:rPr>
        <w:tab/>
      </w:r>
      <w:r w:rsidR="004C2F3F">
        <w:rPr>
          <w:rFonts w:ascii="Times New Roman" w:hAnsi="Times New Roman" w:cs="Times New Roman"/>
          <w:sz w:val="24"/>
          <w:szCs w:val="24"/>
          <w:lang w:val="es-ES"/>
        </w:rPr>
        <w:t>3</w:t>
      </w:r>
      <w:r w:rsidR="00055C52">
        <w:rPr>
          <w:rFonts w:ascii="Times New Roman" w:hAnsi="Times New Roman" w:cs="Times New Roman"/>
          <w:sz w:val="24"/>
          <w:szCs w:val="24"/>
          <w:lang w:val="es-ES"/>
        </w:rPr>
        <w:t>1</w:t>
      </w:r>
    </w:p>
    <w:p w:rsidR="00CA6C0D" w:rsidRDefault="007E11C1" w:rsidP="007E11C1">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CHAPTER 3</w:t>
      </w:r>
      <w:r w:rsidR="004C2F3F">
        <w:rPr>
          <w:rFonts w:ascii="Times New Roman" w:hAnsi="Times New Roman" w:cs="Times New Roman"/>
          <w:sz w:val="24"/>
          <w:szCs w:val="24"/>
          <w:lang w:val="es-ES"/>
        </w:rPr>
        <w:t xml:space="preserve">: KINETICS OF NONENZYMATIC BRONING IN PEACH PUREE </w:t>
      </w:r>
    </w:p>
    <w:p w:rsidR="007E11C1" w:rsidRDefault="00CA6C0D" w:rsidP="00CA6C0D">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DURING S</w:t>
      </w:r>
      <w:r w:rsidR="004C2F3F">
        <w:rPr>
          <w:rFonts w:ascii="Times New Roman" w:hAnsi="Times New Roman" w:cs="Times New Roman"/>
          <w:sz w:val="24"/>
          <w:szCs w:val="24"/>
          <w:lang w:val="es-ES"/>
        </w:rPr>
        <w:t>TORAGE…………………………………………………………………</w:t>
      </w:r>
      <w:r w:rsidR="004D75FF">
        <w:rPr>
          <w:rFonts w:ascii="Times New Roman" w:hAnsi="Times New Roman" w:cs="Times New Roman"/>
          <w:sz w:val="24"/>
          <w:szCs w:val="24"/>
          <w:lang w:val="es-ES"/>
        </w:rPr>
        <w:t>……</w:t>
      </w:r>
      <w:r>
        <w:rPr>
          <w:rFonts w:ascii="Times New Roman" w:hAnsi="Times New Roman" w:cs="Times New Roman"/>
          <w:sz w:val="24"/>
          <w:szCs w:val="24"/>
          <w:lang w:val="es-ES"/>
        </w:rPr>
        <w:tab/>
      </w:r>
      <w:r w:rsidR="004C2F3F">
        <w:rPr>
          <w:rFonts w:ascii="Times New Roman" w:hAnsi="Times New Roman" w:cs="Times New Roman"/>
          <w:sz w:val="24"/>
          <w:szCs w:val="24"/>
          <w:lang w:val="es-ES"/>
        </w:rPr>
        <w:t>3</w:t>
      </w:r>
      <w:r w:rsidR="00055C52">
        <w:rPr>
          <w:rFonts w:ascii="Times New Roman" w:hAnsi="Times New Roman" w:cs="Times New Roman"/>
          <w:sz w:val="24"/>
          <w:szCs w:val="24"/>
          <w:lang w:val="es-ES"/>
        </w:rPr>
        <w:t>6</w:t>
      </w:r>
    </w:p>
    <w:p w:rsidR="004C2F3F" w:rsidRDefault="004C2F3F" w:rsidP="00CA6C0D">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ABSTRACT</w:t>
      </w:r>
      <w:r w:rsidR="00F6000D">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55C52">
        <w:rPr>
          <w:rFonts w:ascii="Times New Roman" w:hAnsi="Times New Roman" w:cs="Times New Roman"/>
          <w:sz w:val="24"/>
          <w:szCs w:val="24"/>
          <w:lang w:val="es-ES"/>
        </w:rPr>
        <w:t>36</w:t>
      </w:r>
    </w:p>
    <w:p w:rsidR="004C2F3F" w:rsidRDefault="004C2F3F" w:rsidP="00CA6C0D">
      <w:pPr>
        <w:tabs>
          <w:tab w:val="left" w:pos="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INTRODUCTION</w:t>
      </w:r>
      <w:r w:rsidR="00F6000D">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55C52">
        <w:rPr>
          <w:rFonts w:ascii="Times New Roman" w:hAnsi="Times New Roman" w:cs="Times New Roman"/>
          <w:sz w:val="24"/>
          <w:szCs w:val="24"/>
          <w:lang w:val="es-ES"/>
        </w:rPr>
        <w:t>38</w:t>
      </w:r>
    </w:p>
    <w:p w:rsidR="004C2F3F" w:rsidRDefault="004C2F3F"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MATERIALS AND METHODS</w:t>
      </w:r>
      <w:r w:rsidR="00F6000D">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55C52">
        <w:rPr>
          <w:rFonts w:ascii="Times New Roman" w:hAnsi="Times New Roman" w:cs="Times New Roman"/>
          <w:sz w:val="24"/>
          <w:szCs w:val="24"/>
          <w:lang w:val="es-ES"/>
        </w:rPr>
        <w:t>39</w:t>
      </w:r>
    </w:p>
    <w:p w:rsidR="004C2F3F" w:rsidRDefault="004C2F3F"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RESULTS AND DISCUSSION</w:t>
      </w:r>
      <w:r w:rsidR="00F6000D">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8E2413">
        <w:rPr>
          <w:rFonts w:ascii="Times New Roman" w:hAnsi="Times New Roman" w:cs="Times New Roman"/>
          <w:sz w:val="24"/>
          <w:szCs w:val="24"/>
          <w:lang w:val="es-ES"/>
        </w:rPr>
        <w:t>42</w:t>
      </w:r>
    </w:p>
    <w:p w:rsidR="002E3B16" w:rsidRDefault="004C2F3F"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2E3B16">
        <w:rPr>
          <w:rFonts w:ascii="Times New Roman" w:hAnsi="Times New Roman" w:cs="Times New Roman"/>
          <w:sz w:val="24"/>
          <w:szCs w:val="24"/>
          <w:lang w:val="es-ES"/>
        </w:rPr>
        <w:t>CONCLUSIONS………………………………………………………………</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2E3B16">
        <w:rPr>
          <w:rFonts w:ascii="Times New Roman" w:hAnsi="Times New Roman" w:cs="Times New Roman"/>
          <w:sz w:val="24"/>
          <w:szCs w:val="24"/>
          <w:lang w:val="es-ES"/>
        </w:rPr>
        <w:t>5</w:t>
      </w:r>
      <w:r w:rsidR="008E2413">
        <w:rPr>
          <w:rFonts w:ascii="Times New Roman" w:hAnsi="Times New Roman" w:cs="Times New Roman"/>
          <w:sz w:val="24"/>
          <w:szCs w:val="24"/>
          <w:lang w:val="es-ES"/>
        </w:rPr>
        <w:t>3</w:t>
      </w:r>
    </w:p>
    <w:p w:rsidR="004C2F3F" w:rsidRDefault="004C2F3F" w:rsidP="00CA6C0D">
      <w:pPr>
        <w:tabs>
          <w:tab w:val="left" w:pos="810"/>
          <w:tab w:val="left" w:pos="8640"/>
        </w:tabs>
        <w:spacing w:after="0"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LITERATURE CITED</w:t>
      </w:r>
      <w:r w:rsidR="00F6000D">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8E2413">
        <w:rPr>
          <w:rFonts w:ascii="Times New Roman" w:hAnsi="Times New Roman" w:cs="Times New Roman"/>
          <w:sz w:val="24"/>
          <w:szCs w:val="24"/>
          <w:lang w:val="es-ES"/>
        </w:rPr>
        <w:t>64</w:t>
      </w:r>
    </w:p>
    <w:p w:rsidR="00CA6C0D" w:rsidRDefault="004C2F3F" w:rsidP="007E11C1">
      <w:pPr>
        <w:spacing w:after="0" w:line="360" w:lineRule="auto"/>
        <w:jc w:val="both"/>
        <w:rPr>
          <w:rFonts w:ascii="Times New Roman" w:hAnsi="Times New Roman"/>
          <w:sz w:val="24"/>
          <w:szCs w:val="24"/>
        </w:rPr>
      </w:pPr>
      <w:r>
        <w:rPr>
          <w:rFonts w:ascii="Times New Roman" w:hAnsi="Times New Roman" w:cs="Times New Roman"/>
          <w:sz w:val="24"/>
          <w:szCs w:val="24"/>
          <w:lang w:val="es-ES"/>
        </w:rPr>
        <w:t>CHAPTER 4:</w:t>
      </w:r>
      <w:r w:rsidR="00F6000D">
        <w:rPr>
          <w:rFonts w:ascii="Times New Roman" w:hAnsi="Times New Roman" w:cs="Times New Roman"/>
          <w:sz w:val="24"/>
          <w:szCs w:val="24"/>
          <w:lang w:val="es-ES"/>
        </w:rPr>
        <w:t xml:space="preserve"> </w:t>
      </w:r>
      <w:r w:rsidR="00F6000D" w:rsidRPr="00F6000D">
        <w:rPr>
          <w:rFonts w:ascii="Times New Roman" w:hAnsi="Times New Roman"/>
          <w:sz w:val="24"/>
          <w:szCs w:val="24"/>
        </w:rPr>
        <w:t xml:space="preserve">EFFECT OF L-ASCORBYL-2-PHOSPHATE AND PYCNOGENOL </w:t>
      </w:r>
      <w:r w:rsidR="00CA6C0D">
        <w:rPr>
          <w:rFonts w:ascii="Times New Roman" w:hAnsi="Times New Roman"/>
          <w:sz w:val="24"/>
          <w:szCs w:val="24"/>
        </w:rPr>
        <w:t>ON</w:t>
      </w:r>
    </w:p>
    <w:p w:rsidR="004C2F3F" w:rsidRDefault="00F6000D" w:rsidP="00CA6C0D">
      <w:pPr>
        <w:tabs>
          <w:tab w:val="left" w:pos="8640"/>
        </w:tabs>
        <w:spacing w:after="0" w:line="360" w:lineRule="auto"/>
        <w:jc w:val="both"/>
        <w:rPr>
          <w:rFonts w:ascii="Times New Roman" w:hAnsi="Times New Roman" w:cs="Times New Roman"/>
          <w:sz w:val="24"/>
          <w:szCs w:val="24"/>
          <w:lang w:val="es-ES"/>
        </w:rPr>
      </w:pPr>
      <w:r w:rsidRPr="00F6000D">
        <w:rPr>
          <w:rFonts w:ascii="Times New Roman" w:hAnsi="Times New Roman"/>
          <w:sz w:val="24"/>
          <w:szCs w:val="24"/>
        </w:rPr>
        <w:t>THE QUALITY OF DICED PEACHES IN FLEXIBLE RETORTABLE POUCHES</w:t>
      </w:r>
      <w:r>
        <w:rPr>
          <w:rFonts w:ascii="Times New Roman" w:hAnsi="Times New Roman"/>
          <w:sz w:val="24"/>
          <w:szCs w:val="24"/>
        </w:rPr>
        <w:t>……</w:t>
      </w:r>
      <w:r w:rsidR="00CA6C0D">
        <w:rPr>
          <w:rFonts w:ascii="Times New Roman" w:hAnsi="Times New Roman"/>
          <w:sz w:val="24"/>
          <w:szCs w:val="24"/>
        </w:rPr>
        <w:tab/>
      </w:r>
      <w:r w:rsidR="008E2413">
        <w:rPr>
          <w:rFonts w:ascii="Times New Roman" w:hAnsi="Times New Roman"/>
          <w:sz w:val="24"/>
          <w:szCs w:val="24"/>
        </w:rPr>
        <w:t>67</w:t>
      </w:r>
    </w:p>
    <w:p w:rsidR="004C2F3F" w:rsidRDefault="004C2F3F" w:rsidP="00CA6C0D">
      <w:pPr>
        <w:tabs>
          <w:tab w:val="left" w:pos="8640"/>
        </w:tabs>
        <w:spacing w:after="0"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ABSTRACT</w:t>
      </w:r>
      <w:r w:rsidR="002E3B16">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8E2413">
        <w:rPr>
          <w:rFonts w:ascii="Times New Roman" w:hAnsi="Times New Roman" w:cs="Times New Roman"/>
          <w:sz w:val="24"/>
          <w:szCs w:val="24"/>
          <w:lang w:val="es-ES"/>
        </w:rPr>
        <w:t>67</w:t>
      </w:r>
    </w:p>
    <w:p w:rsidR="004C2F3F" w:rsidRDefault="00CA6C0D"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4C2F3F">
        <w:rPr>
          <w:rFonts w:ascii="Times New Roman" w:hAnsi="Times New Roman" w:cs="Times New Roman"/>
          <w:sz w:val="24"/>
          <w:szCs w:val="24"/>
          <w:lang w:val="es-ES"/>
        </w:rPr>
        <w:t>INTRODUCTION</w:t>
      </w:r>
      <w:r w:rsidR="002E3B16">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8E2413">
        <w:rPr>
          <w:rFonts w:ascii="Times New Roman" w:hAnsi="Times New Roman" w:cs="Times New Roman"/>
          <w:sz w:val="24"/>
          <w:szCs w:val="24"/>
          <w:lang w:val="es-ES"/>
        </w:rPr>
        <w:tab/>
        <w:t>68</w:t>
      </w:r>
    </w:p>
    <w:p w:rsidR="004C2F3F" w:rsidRDefault="00CA6C0D" w:rsidP="00CA6C0D">
      <w:pPr>
        <w:tabs>
          <w:tab w:val="left" w:pos="630"/>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Pr>
          <w:rFonts w:ascii="Times New Roman" w:hAnsi="Times New Roman" w:cs="Times New Roman"/>
          <w:sz w:val="24"/>
          <w:szCs w:val="24"/>
          <w:lang w:val="es-ES"/>
        </w:rPr>
        <w:tab/>
      </w:r>
      <w:r w:rsidR="004C2F3F">
        <w:rPr>
          <w:rFonts w:ascii="Times New Roman" w:hAnsi="Times New Roman" w:cs="Times New Roman"/>
          <w:sz w:val="24"/>
          <w:szCs w:val="24"/>
          <w:lang w:val="es-ES"/>
        </w:rPr>
        <w:t>MATERIALS AND METHODS</w:t>
      </w:r>
      <w:r w:rsidR="002E3B16">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Pr>
          <w:rFonts w:ascii="Times New Roman" w:hAnsi="Times New Roman" w:cs="Times New Roman"/>
          <w:sz w:val="24"/>
          <w:szCs w:val="24"/>
          <w:lang w:val="es-ES"/>
        </w:rPr>
        <w:tab/>
      </w:r>
      <w:r w:rsidR="002E3B16">
        <w:rPr>
          <w:rFonts w:ascii="Times New Roman" w:hAnsi="Times New Roman" w:cs="Times New Roman"/>
          <w:sz w:val="24"/>
          <w:szCs w:val="24"/>
          <w:lang w:val="es-ES"/>
        </w:rPr>
        <w:t>7</w:t>
      </w:r>
      <w:r w:rsidR="00030B0E">
        <w:rPr>
          <w:rFonts w:ascii="Times New Roman" w:hAnsi="Times New Roman" w:cs="Times New Roman"/>
          <w:sz w:val="24"/>
          <w:szCs w:val="24"/>
          <w:lang w:val="es-ES"/>
        </w:rPr>
        <w:t>0</w:t>
      </w:r>
    </w:p>
    <w:p w:rsidR="004C2F3F" w:rsidRDefault="00CA6C0D"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4C2F3F">
        <w:rPr>
          <w:rFonts w:ascii="Times New Roman" w:hAnsi="Times New Roman" w:cs="Times New Roman"/>
          <w:sz w:val="24"/>
          <w:szCs w:val="24"/>
          <w:lang w:val="es-ES"/>
        </w:rPr>
        <w:t>RESULTS AND DISCUSSION</w:t>
      </w:r>
      <w:r w:rsidR="002E3B16">
        <w:rPr>
          <w:rFonts w:ascii="Times New Roman" w:hAnsi="Times New Roman" w:cs="Times New Roman"/>
          <w:sz w:val="24"/>
          <w:szCs w:val="24"/>
          <w:lang w:val="es-ES"/>
        </w:rPr>
        <w:t>………………………………………………</w:t>
      </w:r>
      <w:r>
        <w:rPr>
          <w:rFonts w:ascii="Times New Roman" w:hAnsi="Times New Roman" w:cs="Times New Roman"/>
          <w:sz w:val="24"/>
          <w:szCs w:val="24"/>
          <w:lang w:val="es-ES"/>
        </w:rPr>
        <w:t>……</w:t>
      </w:r>
      <w:r>
        <w:rPr>
          <w:rFonts w:ascii="Times New Roman" w:hAnsi="Times New Roman" w:cs="Times New Roman"/>
          <w:sz w:val="24"/>
          <w:szCs w:val="24"/>
          <w:lang w:val="es-ES"/>
        </w:rPr>
        <w:tab/>
      </w:r>
      <w:r w:rsidR="002E3B16">
        <w:rPr>
          <w:rFonts w:ascii="Times New Roman" w:hAnsi="Times New Roman" w:cs="Times New Roman"/>
          <w:sz w:val="24"/>
          <w:szCs w:val="24"/>
          <w:lang w:val="es-ES"/>
        </w:rPr>
        <w:t>7</w:t>
      </w:r>
      <w:r w:rsidR="00030B0E">
        <w:rPr>
          <w:rFonts w:ascii="Times New Roman" w:hAnsi="Times New Roman" w:cs="Times New Roman"/>
          <w:sz w:val="24"/>
          <w:szCs w:val="24"/>
          <w:lang w:val="es-ES"/>
        </w:rPr>
        <w:t>4</w:t>
      </w:r>
    </w:p>
    <w:p w:rsidR="002E3B16" w:rsidRDefault="004C2F3F"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2E3B16">
        <w:rPr>
          <w:rFonts w:ascii="Times New Roman" w:hAnsi="Times New Roman" w:cs="Times New Roman"/>
          <w:sz w:val="24"/>
          <w:szCs w:val="24"/>
          <w:lang w:val="es-ES"/>
        </w:rPr>
        <w:t>CONCLUSIONS………………………………………………………………….</w:t>
      </w:r>
      <w:r w:rsidR="00CA6C0D">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2E3B16">
        <w:rPr>
          <w:rFonts w:ascii="Times New Roman" w:hAnsi="Times New Roman" w:cs="Times New Roman"/>
          <w:sz w:val="24"/>
          <w:szCs w:val="24"/>
          <w:lang w:val="es-ES"/>
        </w:rPr>
        <w:t>8</w:t>
      </w:r>
      <w:r w:rsidR="00030B0E">
        <w:rPr>
          <w:rFonts w:ascii="Times New Roman" w:hAnsi="Times New Roman" w:cs="Times New Roman"/>
          <w:sz w:val="24"/>
          <w:szCs w:val="24"/>
          <w:lang w:val="es-ES"/>
        </w:rPr>
        <w:t>3</w:t>
      </w:r>
    </w:p>
    <w:p w:rsidR="004C2F3F" w:rsidRDefault="004C2F3F" w:rsidP="00CA6C0D">
      <w:pPr>
        <w:tabs>
          <w:tab w:val="left" w:pos="8640"/>
        </w:tabs>
        <w:spacing w:after="0"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LITERATURE CITED</w:t>
      </w:r>
      <w:r w:rsidR="002E3B16">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30B0E">
        <w:rPr>
          <w:rFonts w:ascii="Times New Roman" w:hAnsi="Times New Roman" w:cs="Times New Roman"/>
          <w:sz w:val="24"/>
          <w:szCs w:val="24"/>
          <w:lang w:val="es-ES"/>
        </w:rPr>
        <w:t>99</w:t>
      </w:r>
    </w:p>
    <w:p w:rsidR="00CA6C0D" w:rsidRDefault="004C2F3F" w:rsidP="002E3B16">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s-ES"/>
        </w:rPr>
        <w:t>CHAPTER 5</w:t>
      </w:r>
      <w:r w:rsidR="002E3B16">
        <w:rPr>
          <w:rFonts w:ascii="Times New Roman" w:hAnsi="Times New Roman" w:cs="Times New Roman"/>
          <w:sz w:val="24"/>
          <w:szCs w:val="24"/>
          <w:lang w:val="es-ES"/>
        </w:rPr>
        <w:t>:</w:t>
      </w:r>
      <w:r w:rsidR="002E3B16" w:rsidRPr="002E3B16">
        <w:rPr>
          <w:rFonts w:ascii="Times New Roman" w:hAnsi="Times New Roman" w:cs="Times New Roman"/>
          <w:sz w:val="24"/>
          <w:szCs w:val="24"/>
          <w:lang w:val="es-ES"/>
        </w:rPr>
        <w:t xml:space="preserve"> </w:t>
      </w:r>
      <w:r w:rsidR="002E3B16" w:rsidRPr="002E3B16">
        <w:rPr>
          <w:rFonts w:ascii="Times New Roman" w:hAnsi="Times New Roman" w:cs="Times New Roman"/>
          <w:sz w:val="24"/>
          <w:szCs w:val="24"/>
        </w:rPr>
        <w:t xml:space="preserve">EFFECT OF α-GLUCOSYL RUTIN, CALCIUM CHLORIDE AND </w:t>
      </w:r>
    </w:p>
    <w:p w:rsidR="00CA6C0D" w:rsidRDefault="002E3B16" w:rsidP="002E3B16">
      <w:pPr>
        <w:spacing w:after="0" w:line="360" w:lineRule="auto"/>
        <w:jc w:val="both"/>
        <w:rPr>
          <w:rFonts w:ascii="Times New Roman" w:hAnsi="Times New Roman" w:cs="Times New Roman"/>
          <w:sz w:val="24"/>
          <w:szCs w:val="24"/>
        </w:rPr>
      </w:pPr>
      <w:r w:rsidRPr="002E3B16">
        <w:rPr>
          <w:rFonts w:ascii="Times New Roman" w:hAnsi="Times New Roman" w:cs="Times New Roman"/>
          <w:sz w:val="24"/>
          <w:szCs w:val="24"/>
        </w:rPr>
        <w:t xml:space="preserve">FRUIT SOURCE ON THE QUALITY OF DICED PEACHES IN FLEXIBLE </w:t>
      </w:r>
    </w:p>
    <w:p w:rsidR="002E3B16" w:rsidRPr="00252E90" w:rsidRDefault="00CA6C0D" w:rsidP="00CA6C0D">
      <w:pPr>
        <w:tabs>
          <w:tab w:val="left" w:pos="8640"/>
        </w:tabs>
        <w:spacing w:after="0" w:line="360" w:lineRule="auto"/>
        <w:jc w:val="both"/>
        <w:rPr>
          <w:rFonts w:ascii="Times New Roman" w:hAnsi="Times New Roman" w:cs="Times New Roman"/>
          <w:i/>
          <w:sz w:val="24"/>
          <w:szCs w:val="24"/>
        </w:rPr>
      </w:pPr>
      <w:r>
        <w:rPr>
          <w:rFonts w:ascii="Times New Roman" w:hAnsi="Times New Roman" w:cs="Times New Roman"/>
          <w:sz w:val="24"/>
          <w:szCs w:val="24"/>
        </w:rPr>
        <w:t>RETORTABLE P</w:t>
      </w:r>
      <w:r w:rsidR="002E3B16" w:rsidRPr="002E3B16">
        <w:rPr>
          <w:rFonts w:ascii="Times New Roman" w:hAnsi="Times New Roman" w:cs="Times New Roman"/>
          <w:sz w:val="24"/>
          <w:szCs w:val="24"/>
        </w:rPr>
        <w:t>OUCHES</w:t>
      </w:r>
      <w:r w:rsidR="002E3B16">
        <w:rPr>
          <w:rFonts w:ascii="Times New Roman" w:hAnsi="Times New Roman" w:cs="Times New Roman"/>
          <w:sz w:val="24"/>
          <w:szCs w:val="24"/>
        </w:rPr>
        <w:t>…………………………………………………</w:t>
      </w:r>
      <w:r w:rsidR="004D75FF">
        <w:rPr>
          <w:rFonts w:ascii="Times New Roman" w:hAnsi="Times New Roman" w:cs="Times New Roman"/>
          <w:sz w:val="24"/>
          <w:szCs w:val="24"/>
        </w:rPr>
        <w:t>……………..</w:t>
      </w:r>
      <w:r>
        <w:rPr>
          <w:rFonts w:ascii="Times New Roman" w:hAnsi="Times New Roman" w:cs="Times New Roman"/>
          <w:sz w:val="24"/>
          <w:szCs w:val="24"/>
        </w:rPr>
        <w:tab/>
      </w:r>
      <w:r w:rsidR="002E3B16">
        <w:rPr>
          <w:rFonts w:ascii="Times New Roman" w:hAnsi="Times New Roman" w:cs="Times New Roman"/>
          <w:sz w:val="24"/>
          <w:szCs w:val="24"/>
        </w:rPr>
        <w:t>10</w:t>
      </w:r>
      <w:r w:rsidR="00030B0E">
        <w:rPr>
          <w:rFonts w:ascii="Times New Roman" w:hAnsi="Times New Roman" w:cs="Times New Roman"/>
          <w:sz w:val="24"/>
          <w:szCs w:val="24"/>
        </w:rPr>
        <w:t>3</w:t>
      </w:r>
    </w:p>
    <w:p w:rsidR="004C2F3F" w:rsidRDefault="004C2F3F" w:rsidP="00CA6C0D">
      <w:pPr>
        <w:tabs>
          <w:tab w:val="left" w:pos="8640"/>
        </w:tabs>
        <w:spacing w:after="0"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ABSTRACT</w:t>
      </w:r>
      <w:r w:rsidR="002E3B16">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30B0E">
        <w:rPr>
          <w:rFonts w:ascii="Times New Roman" w:hAnsi="Times New Roman" w:cs="Times New Roman"/>
          <w:sz w:val="24"/>
          <w:szCs w:val="24"/>
          <w:lang w:val="es-ES"/>
        </w:rPr>
        <w:t>103</w:t>
      </w:r>
    </w:p>
    <w:p w:rsidR="004C2F3F" w:rsidRDefault="004C2F3F"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INTRODUCTION</w:t>
      </w:r>
      <w:r w:rsidR="002E3B16">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30B0E">
        <w:rPr>
          <w:rFonts w:ascii="Times New Roman" w:hAnsi="Times New Roman" w:cs="Times New Roman"/>
          <w:sz w:val="24"/>
          <w:szCs w:val="24"/>
          <w:lang w:val="es-ES"/>
        </w:rPr>
        <w:t>104</w:t>
      </w:r>
    </w:p>
    <w:p w:rsidR="004C2F3F" w:rsidRDefault="004C2F3F"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MATERIALS AND METHODS</w:t>
      </w:r>
      <w:r w:rsidR="002E3B16">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5C7FD7">
        <w:rPr>
          <w:rFonts w:ascii="Times New Roman" w:hAnsi="Times New Roman" w:cs="Times New Roman"/>
          <w:sz w:val="24"/>
          <w:szCs w:val="24"/>
          <w:lang w:val="es-ES"/>
        </w:rPr>
        <w:tab/>
      </w:r>
      <w:r w:rsidR="00030B0E">
        <w:rPr>
          <w:rFonts w:ascii="Times New Roman" w:hAnsi="Times New Roman" w:cs="Times New Roman"/>
          <w:sz w:val="24"/>
          <w:szCs w:val="24"/>
          <w:lang w:val="es-ES"/>
        </w:rPr>
        <w:t>105</w:t>
      </w:r>
    </w:p>
    <w:p w:rsidR="004C2F3F" w:rsidRDefault="004C2F3F"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RESULTS AND DISCUSSION</w:t>
      </w:r>
      <w:r w:rsidR="002E3B16">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30B0E">
        <w:rPr>
          <w:rFonts w:ascii="Times New Roman" w:hAnsi="Times New Roman" w:cs="Times New Roman"/>
          <w:sz w:val="24"/>
          <w:szCs w:val="24"/>
          <w:lang w:val="es-ES"/>
        </w:rPr>
        <w:t>109</w:t>
      </w:r>
    </w:p>
    <w:p w:rsidR="002E3B16" w:rsidRDefault="004C2F3F" w:rsidP="00CA6C0D">
      <w:pPr>
        <w:tabs>
          <w:tab w:val="left" w:pos="720"/>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002E3B16">
        <w:rPr>
          <w:rFonts w:ascii="Times New Roman" w:hAnsi="Times New Roman" w:cs="Times New Roman"/>
          <w:sz w:val="24"/>
          <w:szCs w:val="24"/>
          <w:lang w:val="es-ES"/>
        </w:rPr>
        <w:t>CONCLUSIONS………………………………………………………………</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30B0E">
        <w:rPr>
          <w:rFonts w:ascii="Times New Roman" w:hAnsi="Times New Roman" w:cs="Times New Roman"/>
          <w:sz w:val="24"/>
          <w:szCs w:val="24"/>
          <w:lang w:val="es-ES"/>
        </w:rPr>
        <w:t>116</w:t>
      </w:r>
    </w:p>
    <w:p w:rsidR="004C2F3F" w:rsidRDefault="004C2F3F" w:rsidP="00CA6C0D">
      <w:pPr>
        <w:tabs>
          <w:tab w:val="left" w:pos="8640"/>
        </w:tabs>
        <w:spacing w:after="0"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LITERATURE CITED</w:t>
      </w:r>
      <w:r w:rsidR="002E3B16">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30B0E">
        <w:rPr>
          <w:rFonts w:ascii="Times New Roman" w:hAnsi="Times New Roman" w:cs="Times New Roman"/>
          <w:sz w:val="24"/>
          <w:szCs w:val="24"/>
          <w:lang w:val="es-ES"/>
        </w:rPr>
        <w:t>130</w:t>
      </w:r>
    </w:p>
    <w:p w:rsidR="004C2F3F" w:rsidRDefault="004C2F3F" w:rsidP="00CA6C0D">
      <w:pPr>
        <w:tabs>
          <w:tab w:val="left" w:pos="8640"/>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CHAPTER 6: CONCLUSION</w:t>
      </w:r>
      <w:r w:rsidR="00866AF6">
        <w:rPr>
          <w:rFonts w:ascii="Times New Roman" w:hAnsi="Times New Roman" w:cs="Times New Roman"/>
          <w:sz w:val="24"/>
          <w:szCs w:val="24"/>
          <w:lang w:val="es-ES"/>
        </w:rPr>
        <w:t>S</w:t>
      </w:r>
      <w:r w:rsidR="002E3B16">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CA6C0D">
        <w:rPr>
          <w:rFonts w:ascii="Times New Roman" w:hAnsi="Times New Roman" w:cs="Times New Roman"/>
          <w:sz w:val="24"/>
          <w:szCs w:val="24"/>
          <w:lang w:val="es-ES"/>
        </w:rPr>
        <w:tab/>
      </w:r>
      <w:r w:rsidR="00030B0E">
        <w:rPr>
          <w:rFonts w:ascii="Times New Roman" w:hAnsi="Times New Roman" w:cs="Times New Roman"/>
          <w:sz w:val="24"/>
          <w:szCs w:val="24"/>
          <w:lang w:val="es-ES"/>
        </w:rPr>
        <w:t>133</w:t>
      </w:r>
    </w:p>
    <w:p w:rsidR="004C2F3F" w:rsidRDefault="004C2F3F" w:rsidP="007E11C1">
      <w:pPr>
        <w:spacing w:after="0" w:line="360" w:lineRule="auto"/>
        <w:jc w:val="both"/>
        <w:rPr>
          <w:rFonts w:ascii="Times New Roman" w:hAnsi="Times New Roman" w:cs="Times New Roman"/>
          <w:sz w:val="24"/>
          <w:szCs w:val="24"/>
          <w:lang w:val="es-ES"/>
        </w:rPr>
      </w:pPr>
    </w:p>
    <w:p w:rsidR="004C2F3F" w:rsidRDefault="004C2F3F" w:rsidP="007E11C1">
      <w:pPr>
        <w:spacing w:after="0" w:line="360" w:lineRule="auto"/>
        <w:jc w:val="both"/>
        <w:rPr>
          <w:rFonts w:ascii="Times New Roman" w:hAnsi="Times New Roman" w:cs="Times New Roman"/>
          <w:sz w:val="24"/>
          <w:szCs w:val="24"/>
          <w:lang w:val="es-ES"/>
        </w:rPr>
      </w:pPr>
    </w:p>
    <w:p w:rsidR="001D7252" w:rsidRDefault="001D7252" w:rsidP="007E11C1">
      <w:pPr>
        <w:spacing w:after="0" w:line="360" w:lineRule="auto"/>
        <w:jc w:val="both"/>
        <w:rPr>
          <w:rFonts w:ascii="Times New Roman" w:hAnsi="Times New Roman" w:cs="Times New Roman"/>
          <w:sz w:val="24"/>
          <w:szCs w:val="24"/>
          <w:lang w:val="es-ES"/>
        </w:rPr>
      </w:pPr>
    </w:p>
    <w:p w:rsidR="00C0365E" w:rsidRPr="00C0365E" w:rsidRDefault="00C0365E" w:rsidP="007E11C1">
      <w:pPr>
        <w:spacing w:after="0" w:line="360" w:lineRule="auto"/>
        <w:jc w:val="center"/>
        <w:rPr>
          <w:rFonts w:ascii="Times New Roman" w:hAnsi="Times New Roman" w:cs="Times New Roman"/>
          <w:bCs/>
          <w:sz w:val="28"/>
          <w:szCs w:val="28"/>
        </w:rPr>
      </w:pPr>
    </w:p>
    <w:p w:rsidR="009724F8" w:rsidRDefault="009724F8" w:rsidP="007E11C1">
      <w:pPr>
        <w:spacing w:after="0" w:line="360" w:lineRule="auto"/>
        <w:rPr>
          <w:rFonts w:ascii="Times New Roman" w:hAnsi="Times New Roman" w:cs="Times New Roman"/>
          <w:sz w:val="28"/>
          <w:szCs w:val="28"/>
        </w:rPr>
      </w:pPr>
    </w:p>
    <w:p w:rsidR="001D7252" w:rsidRDefault="001D7252" w:rsidP="007E11C1">
      <w:pPr>
        <w:spacing w:after="0" w:line="360" w:lineRule="auto"/>
        <w:rPr>
          <w:rFonts w:ascii="Times New Roman" w:hAnsi="Times New Roman" w:cs="Times New Roman"/>
          <w:sz w:val="28"/>
          <w:szCs w:val="28"/>
        </w:rPr>
      </w:pPr>
    </w:p>
    <w:p w:rsidR="001D7252" w:rsidRDefault="001D7252" w:rsidP="007E11C1">
      <w:pPr>
        <w:spacing w:after="0" w:line="360" w:lineRule="auto"/>
        <w:rPr>
          <w:rFonts w:ascii="Times New Roman" w:hAnsi="Times New Roman" w:cs="Times New Roman"/>
          <w:sz w:val="28"/>
          <w:szCs w:val="28"/>
        </w:rPr>
      </w:pPr>
    </w:p>
    <w:p w:rsidR="001D7252" w:rsidRDefault="001D7252" w:rsidP="007E11C1">
      <w:pPr>
        <w:spacing w:after="0" w:line="360" w:lineRule="auto"/>
        <w:rPr>
          <w:rFonts w:ascii="Times New Roman" w:hAnsi="Times New Roman" w:cs="Times New Roman"/>
          <w:sz w:val="28"/>
          <w:szCs w:val="28"/>
        </w:rPr>
      </w:pPr>
    </w:p>
    <w:p w:rsidR="001D7252" w:rsidRDefault="001D7252" w:rsidP="007E11C1">
      <w:pPr>
        <w:spacing w:after="0" w:line="360" w:lineRule="auto"/>
        <w:rPr>
          <w:rFonts w:ascii="Times New Roman" w:hAnsi="Times New Roman" w:cs="Times New Roman"/>
          <w:sz w:val="28"/>
          <w:szCs w:val="28"/>
        </w:rPr>
      </w:pPr>
    </w:p>
    <w:p w:rsidR="001D7252" w:rsidRDefault="001D7252" w:rsidP="007E11C1">
      <w:pPr>
        <w:spacing w:after="0" w:line="360" w:lineRule="auto"/>
        <w:rPr>
          <w:rFonts w:ascii="Times New Roman" w:hAnsi="Times New Roman" w:cs="Times New Roman"/>
          <w:sz w:val="28"/>
          <w:szCs w:val="28"/>
        </w:rPr>
      </w:pPr>
    </w:p>
    <w:p w:rsidR="002E3B16" w:rsidRDefault="002E3B16" w:rsidP="007E11C1">
      <w:pPr>
        <w:spacing w:after="0" w:line="360" w:lineRule="auto"/>
        <w:rPr>
          <w:rFonts w:ascii="Times New Roman" w:hAnsi="Times New Roman" w:cs="Times New Roman"/>
          <w:b/>
          <w:sz w:val="28"/>
          <w:szCs w:val="28"/>
        </w:rPr>
      </w:pPr>
    </w:p>
    <w:p w:rsidR="002E3B16" w:rsidRDefault="002E3B16" w:rsidP="007E11C1">
      <w:pPr>
        <w:spacing w:after="0" w:line="360" w:lineRule="auto"/>
        <w:rPr>
          <w:rFonts w:ascii="Times New Roman" w:hAnsi="Times New Roman" w:cs="Times New Roman"/>
          <w:b/>
          <w:sz w:val="28"/>
          <w:szCs w:val="28"/>
        </w:rPr>
      </w:pPr>
    </w:p>
    <w:p w:rsidR="002E3B16" w:rsidRDefault="002E3B16" w:rsidP="007E11C1">
      <w:pPr>
        <w:spacing w:after="0" w:line="360" w:lineRule="auto"/>
        <w:rPr>
          <w:rFonts w:ascii="Times New Roman" w:hAnsi="Times New Roman" w:cs="Times New Roman"/>
          <w:b/>
          <w:sz w:val="28"/>
          <w:szCs w:val="28"/>
        </w:rPr>
      </w:pPr>
    </w:p>
    <w:p w:rsidR="002E3B16" w:rsidRDefault="002E3B16" w:rsidP="007E11C1">
      <w:pPr>
        <w:spacing w:after="0" w:line="360" w:lineRule="auto"/>
        <w:rPr>
          <w:rFonts w:ascii="Times New Roman" w:hAnsi="Times New Roman" w:cs="Times New Roman"/>
          <w:b/>
          <w:sz w:val="28"/>
          <w:szCs w:val="28"/>
        </w:rPr>
      </w:pPr>
    </w:p>
    <w:p w:rsidR="002E3B16" w:rsidRDefault="002E3B16" w:rsidP="007E11C1">
      <w:pPr>
        <w:spacing w:after="0" w:line="360" w:lineRule="auto"/>
        <w:rPr>
          <w:rFonts w:ascii="Times New Roman" w:hAnsi="Times New Roman" w:cs="Times New Roman"/>
          <w:b/>
          <w:sz w:val="28"/>
          <w:szCs w:val="28"/>
        </w:rPr>
      </w:pPr>
    </w:p>
    <w:p w:rsidR="001D7252" w:rsidRPr="001D7252" w:rsidRDefault="001D7252" w:rsidP="007E11C1">
      <w:pPr>
        <w:spacing w:after="0" w:line="360" w:lineRule="auto"/>
        <w:rPr>
          <w:rFonts w:ascii="Times New Roman" w:hAnsi="Times New Roman" w:cs="Times New Roman"/>
          <w:b/>
          <w:sz w:val="28"/>
          <w:szCs w:val="28"/>
        </w:rPr>
      </w:pPr>
      <w:r w:rsidRPr="001D7252">
        <w:rPr>
          <w:rFonts w:ascii="Times New Roman" w:hAnsi="Times New Roman" w:cs="Times New Roman"/>
          <w:b/>
          <w:sz w:val="28"/>
          <w:szCs w:val="28"/>
        </w:rPr>
        <w:lastRenderedPageBreak/>
        <w:t xml:space="preserve">LIST OF </w:t>
      </w:r>
      <w:r w:rsidR="002E3B16">
        <w:rPr>
          <w:rFonts w:ascii="Times New Roman" w:hAnsi="Times New Roman" w:cs="Times New Roman"/>
          <w:b/>
          <w:sz w:val="28"/>
          <w:szCs w:val="28"/>
        </w:rPr>
        <w:t>FIGURES</w:t>
      </w:r>
    </w:p>
    <w:p w:rsidR="001D7252" w:rsidRDefault="00F7692D" w:rsidP="007E11C1">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CHAPTER 2: REVIEW OF LITERATURE</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 L-</w:t>
      </w:r>
      <w:r w:rsidR="00055C52">
        <w:rPr>
          <w:rFonts w:ascii="Times New Roman" w:hAnsi="Times New Roman" w:cs="Times New Roman"/>
          <w:sz w:val="24"/>
          <w:szCs w:val="24"/>
          <w:lang w:val="es-ES"/>
        </w:rPr>
        <w:t>a</w:t>
      </w:r>
      <w:r>
        <w:rPr>
          <w:rFonts w:ascii="Times New Roman" w:hAnsi="Times New Roman" w:cs="Times New Roman"/>
          <w:sz w:val="24"/>
          <w:szCs w:val="24"/>
          <w:lang w:val="es-ES"/>
        </w:rPr>
        <w:t xml:space="preserve">scorbic </w:t>
      </w:r>
      <w:proofErr w:type="gramStart"/>
      <w:r>
        <w:rPr>
          <w:rFonts w:ascii="Times New Roman" w:hAnsi="Times New Roman" w:cs="Times New Roman"/>
          <w:sz w:val="24"/>
          <w:szCs w:val="24"/>
          <w:lang w:val="es-ES"/>
        </w:rPr>
        <w:t xml:space="preserve">acid </w:t>
      </w:r>
      <w:r w:rsidR="00055C52">
        <w:rPr>
          <w:rFonts w:ascii="Times New Roman" w:hAnsi="Times New Roman" w:cs="Times New Roman"/>
          <w:sz w:val="24"/>
          <w:szCs w:val="24"/>
          <w:lang w:val="es-ES"/>
        </w:rPr>
        <w:t>…</w:t>
      </w:r>
      <w:proofErr w:type="gramEnd"/>
      <w:r w:rsidR="00055C52">
        <w:rPr>
          <w:rFonts w:ascii="Times New Roman" w:hAnsi="Times New Roman" w:cs="Times New Roman"/>
          <w:sz w:val="24"/>
          <w:szCs w:val="24"/>
          <w:lang w:val="es-ES"/>
        </w:rPr>
        <w:t>……..</w:t>
      </w:r>
      <w:r w:rsidR="004D75FF">
        <w:rPr>
          <w:rFonts w:ascii="Times New Roman" w:hAnsi="Times New Roman" w:cs="Times New Roman"/>
          <w:sz w:val="24"/>
          <w:szCs w:val="24"/>
          <w:lang w:val="es-ES"/>
        </w:rPr>
        <w:t>…………………………………………………...</w:t>
      </w:r>
      <w:r w:rsidR="005C7FD7">
        <w:rPr>
          <w:rFonts w:ascii="Times New Roman" w:hAnsi="Times New Roman" w:cs="Times New Roman"/>
          <w:sz w:val="24"/>
          <w:szCs w:val="24"/>
          <w:lang w:val="es-ES"/>
        </w:rPr>
        <w:tab/>
      </w:r>
      <w:r w:rsidR="004D75FF">
        <w:rPr>
          <w:rFonts w:ascii="Times New Roman" w:hAnsi="Times New Roman" w:cs="Times New Roman"/>
          <w:sz w:val="24"/>
          <w:szCs w:val="24"/>
          <w:lang w:val="es-ES"/>
        </w:rPr>
        <w:t>26</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2: Aerobic degradation of L-ascorbic acid</w:t>
      </w:r>
      <w:r w:rsidR="004D75FF">
        <w:rPr>
          <w:rFonts w:ascii="Times New Roman" w:hAnsi="Times New Roman" w:cs="Times New Roman"/>
          <w:sz w:val="24"/>
          <w:szCs w:val="24"/>
          <w:lang w:val="es-ES"/>
        </w:rPr>
        <w:t>…………………………………….</w:t>
      </w:r>
      <w:r w:rsidR="004D75FF">
        <w:rPr>
          <w:rFonts w:ascii="Times New Roman" w:hAnsi="Times New Roman" w:cs="Times New Roman"/>
          <w:sz w:val="24"/>
          <w:szCs w:val="24"/>
          <w:lang w:val="es-ES"/>
        </w:rPr>
        <w:tab/>
        <w:t>27</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3: Anaerobic degradation of L-ascorbic acid</w:t>
      </w:r>
      <w:r w:rsidR="004D75FF">
        <w:rPr>
          <w:rFonts w:ascii="Times New Roman" w:hAnsi="Times New Roman" w:cs="Times New Roman"/>
          <w:sz w:val="24"/>
          <w:szCs w:val="24"/>
          <w:lang w:val="es-ES"/>
        </w:rPr>
        <w:t>………………………………….</w:t>
      </w:r>
      <w:r w:rsidR="004D75FF">
        <w:rPr>
          <w:rFonts w:ascii="Times New Roman" w:hAnsi="Times New Roman" w:cs="Times New Roman"/>
          <w:sz w:val="24"/>
          <w:szCs w:val="24"/>
          <w:lang w:val="es-ES"/>
        </w:rPr>
        <w:tab/>
        <w:t>28</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4: L-</w:t>
      </w:r>
      <w:r w:rsidR="00FA064E">
        <w:rPr>
          <w:rFonts w:ascii="Times New Roman" w:hAnsi="Times New Roman" w:cs="Times New Roman"/>
          <w:sz w:val="24"/>
          <w:szCs w:val="24"/>
          <w:lang w:val="es-ES"/>
        </w:rPr>
        <w:t>ascorbyl</w:t>
      </w:r>
      <w:r>
        <w:rPr>
          <w:rFonts w:ascii="Times New Roman" w:hAnsi="Times New Roman" w:cs="Times New Roman"/>
          <w:sz w:val="24"/>
          <w:szCs w:val="24"/>
          <w:lang w:val="es-ES"/>
        </w:rPr>
        <w:t>-2-phosphate</w:t>
      </w:r>
      <w:r w:rsidR="004D75FF">
        <w:rPr>
          <w:rFonts w:ascii="Times New Roman" w:hAnsi="Times New Roman" w:cs="Times New Roman"/>
          <w:sz w:val="24"/>
          <w:szCs w:val="24"/>
          <w:lang w:val="es-ES"/>
        </w:rPr>
        <w:t>………………………………</w:t>
      </w:r>
      <w:r w:rsidR="00055C52">
        <w:rPr>
          <w:rFonts w:ascii="Times New Roman" w:hAnsi="Times New Roman" w:cs="Times New Roman"/>
          <w:sz w:val="24"/>
          <w:szCs w:val="24"/>
          <w:lang w:val="es-ES"/>
        </w:rPr>
        <w:t>……………………..</w:t>
      </w:r>
      <w:r w:rsidR="004D75FF">
        <w:rPr>
          <w:rFonts w:ascii="Times New Roman" w:hAnsi="Times New Roman" w:cs="Times New Roman"/>
          <w:sz w:val="24"/>
          <w:szCs w:val="24"/>
          <w:lang w:val="es-ES"/>
        </w:rPr>
        <w:tab/>
        <w:t>29</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 xml:space="preserve">Fig. </w:t>
      </w:r>
      <w:r w:rsidR="00A6300F">
        <w:rPr>
          <w:rFonts w:ascii="Times New Roman" w:hAnsi="Times New Roman" w:cs="Times New Roman"/>
          <w:sz w:val="24"/>
          <w:szCs w:val="24"/>
          <w:lang w:val="es-ES"/>
        </w:rPr>
        <w:t>5</w:t>
      </w:r>
      <w:r>
        <w:rPr>
          <w:rFonts w:ascii="Times New Roman" w:hAnsi="Times New Roman" w:cs="Times New Roman"/>
          <w:sz w:val="24"/>
          <w:szCs w:val="24"/>
          <w:lang w:val="es-ES"/>
        </w:rPr>
        <w:t>: Chemical structure of α-Glucosylrutin</w:t>
      </w:r>
      <w:r w:rsidR="004D75FF">
        <w:rPr>
          <w:rFonts w:ascii="Times New Roman" w:hAnsi="Times New Roman" w:cs="Times New Roman"/>
          <w:sz w:val="24"/>
          <w:szCs w:val="24"/>
          <w:lang w:val="es-ES"/>
        </w:rPr>
        <w:t>……………………………………...</w:t>
      </w:r>
      <w:r w:rsidR="004D75FF">
        <w:rPr>
          <w:rFonts w:ascii="Times New Roman" w:hAnsi="Times New Roman" w:cs="Times New Roman"/>
          <w:sz w:val="24"/>
          <w:szCs w:val="24"/>
          <w:lang w:val="es-ES"/>
        </w:rPr>
        <w:tab/>
        <w:t>3</w:t>
      </w:r>
      <w:r w:rsidR="00055C52">
        <w:rPr>
          <w:rFonts w:ascii="Times New Roman" w:hAnsi="Times New Roman" w:cs="Times New Roman"/>
          <w:sz w:val="24"/>
          <w:szCs w:val="24"/>
          <w:lang w:val="es-ES"/>
        </w:rPr>
        <w:t>0</w:t>
      </w:r>
    </w:p>
    <w:p w:rsidR="00F7692D" w:rsidRDefault="00F7692D" w:rsidP="007E11C1">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CHAPTER 3: KINETICS OF NONENZYMATIC BRONING IN PEACH PUREE DURING STORAGE</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 xml:space="preserve">Fig. 1: </w:t>
      </w:r>
      <w:r w:rsidR="00D300B4">
        <w:rPr>
          <w:rFonts w:ascii="Times New Roman" w:hAnsi="Times New Roman" w:cs="Times New Roman"/>
          <w:sz w:val="24"/>
          <w:szCs w:val="24"/>
          <w:lang w:val="es-ES"/>
        </w:rPr>
        <w:t>Dissolved oxygen of peach purees during storage at 40°C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54</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2:</w:t>
      </w:r>
      <w:r w:rsidR="00D300B4" w:rsidRPr="00D300B4">
        <w:rPr>
          <w:rFonts w:ascii="Times New Roman" w:hAnsi="Times New Roman" w:cs="Times New Roman"/>
          <w:sz w:val="24"/>
          <w:szCs w:val="24"/>
          <w:lang w:val="es-ES"/>
        </w:rPr>
        <w:t xml:space="preserve"> </w:t>
      </w:r>
      <w:r w:rsidR="00D300B4">
        <w:rPr>
          <w:rFonts w:ascii="Times New Roman" w:hAnsi="Times New Roman" w:cs="Times New Roman"/>
          <w:sz w:val="24"/>
          <w:szCs w:val="24"/>
          <w:lang w:val="es-ES"/>
        </w:rPr>
        <w:t>Dissolved oxygen of peach purees during storage at 50°C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54</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3:</w:t>
      </w:r>
      <w:r w:rsidR="00D300B4" w:rsidRPr="00D300B4">
        <w:rPr>
          <w:rFonts w:ascii="Times New Roman" w:hAnsi="Times New Roman" w:cs="Times New Roman"/>
          <w:sz w:val="24"/>
          <w:szCs w:val="24"/>
          <w:lang w:val="es-ES"/>
        </w:rPr>
        <w:t xml:space="preserve"> </w:t>
      </w:r>
      <w:r w:rsidR="00D300B4">
        <w:rPr>
          <w:rFonts w:ascii="Times New Roman" w:hAnsi="Times New Roman" w:cs="Times New Roman"/>
          <w:sz w:val="24"/>
          <w:szCs w:val="24"/>
          <w:lang w:val="es-ES"/>
        </w:rPr>
        <w:t>Dissolved oxygen of peach purees during storage at 60°C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54</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4:</w:t>
      </w:r>
      <w:r w:rsidR="00D300B4">
        <w:rPr>
          <w:rFonts w:ascii="Times New Roman" w:hAnsi="Times New Roman" w:cs="Times New Roman"/>
          <w:sz w:val="24"/>
          <w:szCs w:val="24"/>
          <w:lang w:val="es-ES"/>
        </w:rPr>
        <w:t xml:space="preserve"> Variation of L* value during storage at 40°C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55</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5:</w:t>
      </w:r>
      <w:r w:rsidR="00D300B4">
        <w:rPr>
          <w:rFonts w:ascii="Times New Roman" w:hAnsi="Times New Roman" w:cs="Times New Roman"/>
          <w:sz w:val="24"/>
          <w:szCs w:val="24"/>
          <w:lang w:val="es-ES"/>
        </w:rPr>
        <w:t xml:space="preserve"> Variation of L* value during storage at 50°C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55</w:t>
      </w:r>
    </w:p>
    <w:p w:rsidR="00F7692D" w:rsidRDefault="00F7692D" w:rsidP="005C7FD7">
      <w:pPr>
        <w:tabs>
          <w:tab w:val="left" w:pos="720"/>
          <w:tab w:val="left" w:pos="8640"/>
        </w:tabs>
        <w:spacing w:after="0" w:line="360" w:lineRule="auto"/>
        <w:rPr>
          <w:rFonts w:ascii="Times New Roman" w:hAnsi="Times New Roman" w:cs="Times New Roman"/>
          <w:sz w:val="28"/>
          <w:szCs w:val="28"/>
        </w:rPr>
      </w:pPr>
      <w:r>
        <w:rPr>
          <w:rFonts w:ascii="Times New Roman" w:hAnsi="Times New Roman" w:cs="Times New Roman"/>
          <w:sz w:val="24"/>
          <w:szCs w:val="24"/>
          <w:lang w:val="es-ES"/>
        </w:rPr>
        <w:tab/>
        <w:t>Fig. 6:</w:t>
      </w:r>
      <w:r w:rsidR="00D300B4">
        <w:rPr>
          <w:rFonts w:ascii="Times New Roman" w:hAnsi="Times New Roman" w:cs="Times New Roman"/>
          <w:sz w:val="24"/>
          <w:szCs w:val="24"/>
          <w:lang w:val="es-ES"/>
        </w:rPr>
        <w:t xml:space="preserve"> Variation of L* value during storage at 60°C</w:t>
      </w:r>
      <w:r w:rsidR="00141975">
        <w:rPr>
          <w:rFonts w:ascii="Times New Roman" w:hAnsi="Times New Roman" w:cs="Times New Roman"/>
          <w:sz w:val="24"/>
          <w:szCs w:val="24"/>
          <w:lang w:val="es-ES"/>
        </w:rPr>
        <w:t>………………………………</w:t>
      </w:r>
      <w:r w:rsidR="001537A3">
        <w:rPr>
          <w:rFonts w:ascii="Times New Roman" w:hAnsi="Times New Roman" w:cs="Times New Roman"/>
          <w:sz w:val="24"/>
          <w:szCs w:val="24"/>
          <w:lang w:val="es-ES"/>
        </w:rPr>
        <w:tab/>
        <w:t>5</w:t>
      </w:r>
      <w:r w:rsidR="008E2413">
        <w:rPr>
          <w:rFonts w:ascii="Times New Roman" w:hAnsi="Times New Roman" w:cs="Times New Roman"/>
          <w:sz w:val="24"/>
          <w:szCs w:val="24"/>
          <w:lang w:val="es-ES"/>
        </w:rPr>
        <w:t>5</w:t>
      </w:r>
    </w:p>
    <w:p w:rsidR="00F7692D" w:rsidRDefault="00F7692D" w:rsidP="005C7FD7">
      <w:pPr>
        <w:tabs>
          <w:tab w:val="left" w:pos="720"/>
          <w:tab w:val="left" w:pos="8640"/>
        </w:tabs>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 xml:space="preserve">Fig. 7: </w:t>
      </w:r>
      <w:r w:rsidR="00D300B4">
        <w:rPr>
          <w:rFonts w:ascii="Times New Roman" w:hAnsi="Times New Roman" w:cs="Times New Roman"/>
          <w:sz w:val="24"/>
          <w:szCs w:val="24"/>
          <w:lang w:val="es-ES"/>
        </w:rPr>
        <w:t>Variation of a* value during storage at 40°C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56</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8:</w:t>
      </w:r>
      <w:r w:rsidR="00D300B4">
        <w:rPr>
          <w:rFonts w:ascii="Times New Roman" w:hAnsi="Times New Roman" w:cs="Times New Roman"/>
          <w:sz w:val="24"/>
          <w:szCs w:val="24"/>
          <w:lang w:val="es-ES"/>
        </w:rPr>
        <w:t xml:space="preserve"> Variation of a* value during storage at 50°C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56</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9:</w:t>
      </w:r>
      <w:r w:rsidR="00D300B4">
        <w:rPr>
          <w:rFonts w:ascii="Times New Roman" w:hAnsi="Times New Roman" w:cs="Times New Roman"/>
          <w:sz w:val="24"/>
          <w:szCs w:val="24"/>
          <w:lang w:val="es-ES"/>
        </w:rPr>
        <w:t xml:space="preserve"> Variation of a* value during storage at 60°C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56</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10:</w:t>
      </w:r>
      <w:r w:rsidR="00D300B4">
        <w:rPr>
          <w:rFonts w:ascii="Times New Roman" w:hAnsi="Times New Roman" w:cs="Times New Roman"/>
          <w:sz w:val="24"/>
          <w:szCs w:val="24"/>
          <w:lang w:val="es-ES"/>
        </w:rPr>
        <w:t xml:space="preserve"> Variation of b* value during storage at 40°C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57</w:t>
      </w:r>
    </w:p>
    <w:p w:rsidR="00F7692D" w:rsidRDefault="00F7692D" w:rsidP="005C7FD7">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11:</w:t>
      </w:r>
      <w:r w:rsidR="00D300B4" w:rsidRPr="00D300B4">
        <w:rPr>
          <w:rFonts w:ascii="Times New Roman" w:hAnsi="Times New Roman" w:cs="Times New Roman"/>
          <w:sz w:val="24"/>
          <w:szCs w:val="24"/>
          <w:lang w:val="es-ES"/>
        </w:rPr>
        <w:t xml:space="preserve"> </w:t>
      </w:r>
      <w:r w:rsidR="00D300B4">
        <w:rPr>
          <w:rFonts w:ascii="Times New Roman" w:hAnsi="Times New Roman" w:cs="Times New Roman"/>
          <w:sz w:val="24"/>
          <w:szCs w:val="24"/>
          <w:lang w:val="es-ES"/>
        </w:rPr>
        <w:t>Variation of b* value during storage at 50°C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57</w:t>
      </w:r>
    </w:p>
    <w:p w:rsidR="00F7692D" w:rsidRDefault="00F7692D" w:rsidP="001537A3">
      <w:pPr>
        <w:tabs>
          <w:tab w:val="left" w:pos="720"/>
          <w:tab w:val="left" w:pos="8640"/>
        </w:tabs>
        <w:spacing w:after="0" w:line="360" w:lineRule="auto"/>
        <w:rPr>
          <w:rFonts w:ascii="Times New Roman" w:hAnsi="Times New Roman" w:cs="Times New Roman"/>
          <w:sz w:val="28"/>
          <w:szCs w:val="28"/>
        </w:rPr>
      </w:pPr>
      <w:r>
        <w:rPr>
          <w:rFonts w:ascii="Times New Roman" w:hAnsi="Times New Roman" w:cs="Times New Roman"/>
          <w:sz w:val="24"/>
          <w:szCs w:val="24"/>
          <w:lang w:val="es-ES"/>
        </w:rPr>
        <w:tab/>
        <w:t>Fig. 12:</w:t>
      </w:r>
      <w:r w:rsidR="00D300B4" w:rsidRPr="00D300B4">
        <w:rPr>
          <w:rFonts w:ascii="Times New Roman" w:hAnsi="Times New Roman" w:cs="Times New Roman"/>
          <w:sz w:val="24"/>
          <w:szCs w:val="24"/>
          <w:lang w:val="es-ES"/>
        </w:rPr>
        <w:t xml:space="preserve"> </w:t>
      </w:r>
      <w:r w:rsidR="00D300B4">
        <w:rPr>
          <w:rFonts w:ascii="Times New Roman" w:hAnsi="Times New Roman" w:cs="Times New Roman"/>
          <w:sz w:val="24"/>
          <w:szCs w:val="24"/>
          <w:lang w:val="es-ES"/>
        </w:rPr>
        <w:t>Variation of b* value during storage at 60°C</w:t>
      </w:r>
      <w:r w:rsidR="00141975">
        <w:rPr>
          <w:rFonts w:ascii="Times New Roman" w:hAnsi="Times New Roman" w:cs="Times New Roman"/>
          <w:sz w:val="24"/>
          <w:szCs w:val="24"/>
          <w:lang w:val="es-ES"/>
        </w:rPr>
        <w:t>……………………………</w:t>
      </w:r>
      <w:r w:rsidR="001537A3">
        <w:rPr>
          <w:rFonts w:ascii="Times New Roman" w:hAnsi="Times New Roman" w:cs="Times New Roman"/>
          <w:sz w:val="24"/>
          <w:szCs w:val="24"/>
          <w:lang w:val="es-ES"/>
        </w:rPr>
        <w:tab/>
        <w:t>5</w:t>
      </w:r>
      <w:r w:rsidR="008E2413">
        <w:rPr>
          <w:rFonts w:ascii="Times New Roman" w:hAnsi="Times New Roman" w:cs="Times New Roman"/>
          <w:sz w:val="24"/>
          <w:szCs w:val="24"/>
          <w:lang w:val="es-ES"/>
        </w:rPr>
        <w:t>7</w:t>
      </w:r>
    </w:p>
    <w:p w:rsidR="00F7692D" w:rsidRDefault="00F7692D" w:rsidP="001537A3">
      <w:pPr>
        <w:tabs>
          <w:tab w:val="left" w:pos="720"/>
          <w:tab w:val="left" w:pos="8640"/>
        </w:tabs>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 xml:space="preserve">Fig. 13: </w:t>
      </w:r>
      <w:r w:rsidR="00D300B4">
        <w:rPr>
          <w:rFonts w:ascii="Times New Roman" w:hAnsi="Times New Roman" w:cs="Times New Roman"/>
          <w:sz w:val="24"/>
          <w:szCs w:val="24"/>
          <w:lang w:val="es-ES"/>
        </w:rPr>
        <w:t>Variation of ∆E* value during storage at 40°C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58</w:t>
      </w:r>
    </w:p>
    <w:p w:rsidR="00F7692D" w:rsidRDefault="00F7692D" w:rsidP="001537A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14:</w:t>
      </w:r>
      <w:r w:rsidR="00D300B4">
        <w:rPr>
          <w:rFonts w:ascii="Times New Roman" w:hAnsi="Times New Roman" w:cs="Times New Roman"/>
          <w:sz w:val="24"/>
          <w:szCs w:val="24"/>
          <w:lang w:val="es-ES"/>
        </w:rPr>
        <w:t xml:space="preserve"> Variation of ∆E* value during storage at 50°C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58</w:t>
      </w:r>
    </w:p>
    <w:p w:rsidR="00F7692D" w:rsidRDefault="00F7692D" w:rsidP="001537A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15:</w:t>
      </w:r>
      <w:r w:rsidR="00D300B4">
        <w:rPr>
          <w:rFonts w:ascii="Times New Roman" w:hAnsi="Times New Roman" w:cs="Times New Roman"/>
          <w:sz w:val="24"/>
          <w:szCs w:val="24"/>
          <w:lang w:val="es-ES"/>
        </w:rPr>
        <w:t xml:space="preserve"> Variation of ∆E* value during storage at 60°C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58</w:t>
      </w:r>
    </w:p>
    <w:p w:rsidR="001537A3" w:rsidRDefault="00F7692D" w:rsidP="001537A3">
      <w:pPr>
        <w:tabs>
          <w:tab w:val="left" w:pos="720"/>
          <w:tab w:val="left" w:pos="864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16:</w:t>
      </w:r>
      <w:r w:rsidR="00D300B4">
        <w:rPr>
          <w:rFonts w:ascii="Times New Roman" w:hAnsi="Times New Roman" w:cs="Times New Roman"/>
          <w:sz w:val="24"/>
          <w:szCs w:val="24"/>
          <w:lang w:val="es-ES"/>
        </w:rPr>
        <w:t xml:space="preserve"> Chromatogram of a peach puree fortified with ascorbyl</w:t>
      </w:r>
      <w:r w:rsidR="001537A3">
        <w:rPr>
          <w:rFonts w:ascii="Times New Roman" w:hAnsi="Times New Roman" w:cs="Times New Roman"/>
          <w:sz w:val="24"/>
          <w:szCs w:val="24"/>
          <w:lang w:val="es-ES"/>
        </w:rPr>
        <w:t>-</w:t>
      </w:r>
      <w:r w:rsidR="00D300B4">
        <w:rPr>
          <w:rFonts w:ascii="Times New Roman" w:hAnsi="Times New Roman" w:cs="Times New Roman"/>
          <w:sz w:val="24"/>
          <w:szCs w:val="24"/>
          <w:lang w:val="es-ES"/>
        </w:rPr>
        <w:t>2</w:t>
      </w:r>
      <w:r w:rsidR="001537A3">
        <w:rPr>
          <w:rFonts w:ascii="Times New Roman" w:hAnsi="Times New Roman" w:cs="Times New Roman"/>
          <w:sz w:val="24"/>
          <w:szCs w:val="24"/>
          <w:lang w:val="es-ES"/>
        </w:rPr>
        <w:t>-</w:t>
      </w:r>
      <w:r w:rsidR="00D300B4">
        <w:rPr>
          <w:rFonts w:ascii="Times New Roman" w:hAnsi="Times New Roman" w:cs="Times New Roman"/>
          <w:sz w:val="24"/>
          <w:szCs w:val="24"/>
          <w:lang w:val="es-ES"/>
        </w:rPr>
        <w:t>phosphate</w:t>
      </w:r>
      <w:r w:rsidR="001537A3">
        <w:rPr>
          <w:rFonts w:ascii="Times New Roman" w:hAnsi="Times New Roman" w:cs="Times New Roman"/>
          <w:sz w:val="24"/>
          <w:szCs w:val="24"/>
          <w:lang w:val="es-ES"/>
        </w:rPr>
        <w:tab/>
      </w:r>
    </w:p>
    <w:p w:rsidR="00F7692D" w:rsidRDefault="00D300B4" w:rsidP="001537A3">
      <w:pPr>
        <w:tabs>
          <w:tab w:val="left" w:pos="720"/>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at</w:t>
      </w:r>
      <w:proofErr w:type="gramEnd"/>
      <w:r>
        <w:rPr>
          <w:rFonts w:ascii="Times New Roman" w:hAnsi="Times New Roman" w:cs="Times New Roman"/>
          <w:sz w:val="24"/>
          <w:szCs w:val="24"/>
          <w:lang w:val="es-ES"/>
        </w:rPr>
        <w:t xml:space="preserve"> day 0</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59</w:t>
      </w:r>
    </w:p>
    <w:p w:rsidR="00F7692D" w:rsidRDefault="00F7692D" w:rsidP="001537A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17:</w:t>
      </w:r>
      <w:r w:rsidR="00D300B4">
        <w:rPr>
          <w:rFonts w:ascii="Times New Roman" w:hAnsi="Times New Roman" w:cs="Times New Roman"/>
          <w:sz w:val="24"/>
          <w:szCs w:val="24"/>
          <w:lang w:val="es-ES"/>
        </w:rPr>
        <w:t xml:space="preserve"> Absorption spectra of ascorbic acid (0.0025M</w:t>
      </w:r>
      <w:proofErr w:type="gramStart"/>
      <w:r w:rsidR="00D300B4">
        <w:rPr>
          <w:rFonts w:ascii="Times New Roman" w:hAnsi="Times New Roman" w:cs="Times New Roman"/>
          <w:sz w:val="24"/>
          <w:szCs w:val="24"/>
          <w:lang w:val="es-ES"/>
        </w:rPr>
        <w:t>)</w:t>
      </w:r>
      <w:r w:rsidR="00141975" w:rsidRPr="00141975">
        <w:rPr>
          <w:rFonts w:ascii="Times New Roman" w:hAnsi="Times New Roman" w:cs="Times New Roman"/>
          <w:sz w:val="24"/>
          <w:szCs w:val="24"/>
          <w:lang w:val="es-ES"/>
        </w:rPr>
        <w:t xml:space="preserve"> </w:t>
      </w:r>
      <w:r w:rsidR="00141975">
        <w:rPr>
          <w:rFonts w:ascii="Times New Roman" w:hAnsi="Times New Roman" w:cs="Times New Roman"/>
          <w:sz w:val="24"/>
          <w:szCs w:val="24"/>
          <w:lang w:val="es-ES"/>
        </w:rPr>
        <w:t>…</w:t>
      </w:r>
      <w:proofErr w:type="gramEnd"/>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59</w:t>
      </w:r>
    </w:p>
    <w:p w:rsidR="00F7692D" w:rsidRDefault="00F7692D" w:rsidP="001537A3">
      <w:pPr>
        <w:tabs>
          <w:tab w:val="left" w:pos="720"/>
          <w:tab w:val="left" w:pos="8640"/>
        </w:tabs>
        <w:spacing w:after="0" w:line="360" w:lineRule="auto"/>
        <w:rPr>
          <w:rFonts w:ascii="Times New Roman" w:hAnsi="Times New Roman" w:cs="Times New Roman"/>
          <w:sz w:val="28"/>
          <w:szCs w:val="28"/>
        </w:rPr>
      </w:pPr>
      <w:r>
        <w:rPr>
          <w:rFonts w:ascii="Times New Roman" w:hAnsi="Times New Roman" w:cs="Times New Roman"/>
          <w:sz w:val="24"/>
          <w:szCs w:val="24"/>
          <w:lang w:val="es-ES"/>
        </w:rPr>
        <w:tab/>
        <w:t>Fig. 18:</w:t>
      </w:r>
      <w:r w:rsidR="00D300B4">
        <w:rPr>
          <w:rFonts w:ascii="Times New Roman" w:hAnsi="Times New Roman" w:cs="Times New Roman"/>
          <w:sz w:val="24"/>
          <w:szCs w:val="24"/>
          <w:lang w:val="es-ES"/>
        </w:rPr>
        <w:t xml:space="preserve"> Absorption spectra of ascorbyl-2-phosphate (0.0025M</w:t>
      </w:r>
      <w:proofErr w:type="gramStart"/>
      <w:r w:rsidR="00D300B4">
        <w:rPr>
          <w:rFonts w:ascii="Times New Roman" w:hAnsi="Times New Roman" w:cs="Times New Roman"/>
          <w:sz w:val="24"/>
          <w:szCs w:val="24"/>
          <w:lang w:val="es-ES"/>
        </w:rPr>
        <w:t>)</w:t>
      </w:r>
      <w:r w:rsidR="00141975" w:rsidRPr="00141975">
        <w:rPr>
          <w:rFonts w:ascii="Times New Roman" w:hAnsi="Times New Roman" w:cs="Times New Roman"/>
          <w:sz w:val="24"/>
          <w:szCs w:val="24"/>
          <w:lang w:val="es-ES"/>
        </w:rPr>
        <w:t xml:space="preserve"> </w:t>
      </w:r>
      <w:r w:rsidR="00141975">
        <w:rPr>
          <w:rFonts w:ascii="Times New Roman" w:hAnsi="Times New Roman" w:cs="Times New Roman"/>
          <w:sz w:val="24"/>
          <w:szCs w:val="24"/>
          <w:lang w:val="es-ES"/>
        </w:rPr>
        <w:t>…</w:t>
      </w:r>
      <w:proofErr w:type="gramEnd"/>
      <w:r w:rsidR="00141975">
        <w:rPr>
          <w:rFonts w:ascii="Times New Roman" w:hAnsi="Times New Roman" w:cs="Times New Roman"/>
          <w:sz w:val="24"/>
          <w:szCs w:val="24"/>
          <w:lang w:val="es-ES"/>
        </w:rPr>
        <w:t>………………</w:t>
      </w:r>
      <w:r w:rsidR="001537A3">
        <w:rPr>
          <w:rFonts w:ascii="Times New Roman" w:hAnsi="Times New Roman" w:cs="Times New Roman"/>
          <w:sz w:val="24"/>
          <w:szCs w:val="24"/>
          <w:lang w:val="es-ES"/>
        </w:rPr>
        <w:tab/>
      </w:r>
      <w:r w:rsidR="008E2413">
        <w:rPr>
          <w:rFonts w:ascii="Times New Roman" w:hAnsi="Times New Roman" w:cs="Times New Roman"/>
          <w:sz w:val="24"/>
          <w:szCs w:val="24"/>
          <w:lang w:val="es-ES"/>
        </w:rPr>
        <w:t>59</w:t>
      </w:r>
    </w:p>
    <w:p w:rsidR="001537A3" w:rsidRDefault="00F7692D" w:rsidP="00AD7D9F">
      <w:pPr>
        <w:tabs>
          <w:tab w:val="left" w:pos="72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 xml:space="preserve">Fig. 19: </w:t>
      </w:r>
      <w:r w:rsidR="00D300B4">
        <w:rPr>
          <w:rFonts w:ascii="Times New Roman" w:hAnsi="Times New Roman" w:cs="Times New Roman"/>
          <w:sz w:val="24"/>
          <w:szCs w:val="24"/>
          <w:lang w:val="es-ES"/>
        </w:rPr>
        <w:t xml:space="preserve">Relative ascorbyl-2-phosphate and ascorbic acid concentrations (%) </w:t>
      </w:r>
    </w:p>
    <w:p w:rsidR="00F7692D" w:rsidRDefault="00D300B4" w:rsidP="001537A3">
      <w:pPr>
        <w:tabs>
          <w:tab w:val="left" w:pos="720"/>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in</w:t>
      </w:r>
      <w:proofErr w:type="gramEnd"/>
      <w:r>
        <w:rPr>
          <w:rFonts w:ascii="Times New Roman" w:hAnsi="Times New Roman" w:cs="Times New Roman"/>
          <w:sz w:val="24"/>
          <w:szCs w:val="24"/>
          <w:lang w:val="es-ES"/>
        </w:rPr>
        <w:t xml:space="preserve"> the fortified ascorbyl-2-phosphate treatment during storage at 40°C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60</w:t>
      </w:r>
    </w:p>
    <w:p w:rsidR="001537A3" w:rsidRDefault="00F7692D" w:rsidP="00AD7D9F">
      <w:pPr>
        <w:tabs>
          <w:tab w:val="left" w:pos="72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20:</w:t>
      </w:r>
      <w:r w:rsidR="00AD7D9F">
        <w:rPr>
          <w:rFonts w:ascii="Times New Roman" w:hAnsi="Times New Roman" w:cs="Times New Roman"/>
          <w:sz w:val="24"/>
          <w:szCs w:val="24"/>
          <w:lang w:val="es-ES"/>
        </w:rPr>
        <w:t xml:space="preserve"> Relative ascorbyl-2-phosphate and ascorbic acid concentrations (%) </w:t>
      </w:r>
    </w:p>
    <w:p w:rsidR="00F7692D" w:rsidRDefault="00AD7D9F" w:rsidP="001537A3">
      <w:pPr>
        <w:tabs>
          <w:tab w:val="left" w:pos="720"/>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lastRenderedPageBreak/>
        <w:t>in</w:t>
      </w:r>
      <w:proofErr w:type="gramEnd"/>
      <w:r>
        <w:rPr>
          <w:rFonts w:ascii="Times New Roman" w:hAnsi="Times New Roman" w:cs="Times New Roman"/>
          <w:sz w:val="24"/>
          <w:szCs w:val="24"/>
          <w:lang w:val="es-ES"/>
        </w:rPr>
        <w:t xml:space="preserve"> the fortified ascorbyl-2-phosphate treatment during storage at 50°C</w:t>
      </w:r>
      <w:r w:rsidR="00141975">
        <w:rPr>
          <w:rFonts w:ascii="Times New Roman" w:hAnsi="Times New Roman" w:cs="Times New Roman"/>
          <w:sz w:val="24"/>
          <w:szCs w:val="24"/>
          <w:lang w:val="es-ES"/>
        </w:rPr>
        <w:t>……………</w:t>
      </w:r>
      <w:r w:rsidR="001537A3">
        <w:rPr>
          <w:rFonts w:ascii="Times New Roman" w:hAnsi="Times New Roman" w:cs="Times New Roman"/>
          <w:sz w:val="24"/>
          <w:szCs w:val="24"/>
          <w:lang w:val="es-ES"/>
        </w:rPr>
        <w:tab/>
        <w:t>6</w:t>
      </w:r>
      <w:r w:rsidR="008E2413">
        <w:rPr>
          <w:rFonts w:ascii="Times New Roman" w:hAnsi="Times New Roman" w:cs="Times New Roman"/>
          <w:sz w:val="24"/>
          <w:szCs w:val="24"/>
          <w:lang w:val="es-ES"/>
        </w:rPr>
        <w:t>0</w:t>
      </w:r>
    </w:p>
    <w:p w:rsidR="001537A3" w:rsidRDefault="00F7692D" w:rsidP="00AD7D9F">
      <w:pPr>
        <w:tabs>
          <w:tab w:val="left" w:pos="72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21:</w:t>
      </w:r>
      <w:r w:rsidR="00AD7D9F">
        <w:rPr>
          <w:rFonts w:ascii="Times New Roman" w:hAnsi="Times New Roman" w:cs="Times New Roman"/>
          <w:sz w:val="24"/>
          <w:szCs w:val="24"/>
          <w:lang w:val="es-ES"/>
        </w:rPr>
        <w:t xml:space="preserve"> Relative ascorbyl-2-phosphate and ascorbic acid concentrations (%) </w:t>
      </w:r>
    </w:p>
    <w:p w:rsidR="00F7692D" w:rsidRDefault="00AD7D9F" w:rsidP="001537A3">
      <w:pPr>
        <w:tabs>
          <w:tab w:val="left" w:pos="720"/>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in</w:t>
      </w:r>
      <w:proofErr w:type="gramEnd"/>
      <w:r>
        <w:rPr>
          <w:rFonts w:ascii="Times New Roman" w:hAnsi="Times New Roman" w:cs="Times New Roman"/>
          <w:sz w:val="24"/>
          <w:szCs w:val="24"/>
          <w:lang w:val="es-ES"/>
        </w:rPr>
        <w:t xml:space="preserve"> the fortified ascorbyl-2-phosphate treatment during storage at 60°C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60</w:t>
      </w:r>
    </w:p>
    <w:p w:rsidR="00F7692D" w:rsidRDefault="00F7692D" w:rsidP="001537A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22:</w:t>
      </w:r>
      <w:r w:rsidR="00AD7D9F">
        <w:rPr>
          <w:rFonts w:ascii="Times New Roman" w:hAnsi="Times New Roman" w:cs="Times New Roman"/>
          <w:sz w:val="24"/>
          <w:szCs w:val="24"/>
          <w:lang w:val="es-ES"/>
        </w:rPr>
        <w:t xml:space="preserve"> Ascorbic acid concentration in peach puree during storage at 40°C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61</w:t>
      </w:r>
    </w:p>
    <w:p w:rsidR="00AD7D9F" w:rsidRDefault="00F7692D" w:rsidP="001537A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23:</w:t>
      </w:r>
      <w:r w:rsidR="00AD7D9F" w:rsidRPr="00AD7D9F">
        <w:rPr>
          <w:rFonts w:ascii="Times New Roman" w:hAnsi="Times New Roman" w:cs="Times New Roman"/>
          <w:sz w:val="24"/>
          <w:szCs w:val="24"/>
          <w:lang w:val="es-ES"/>
        </w:rPr>
        <w:t xml:space="preserve"> </w:t>
      </w:r>
      <w:r w:rsidR="00AD7D9F">
        <w:rPr>
          <w:rFonts w:ascii="Times New Roman" w:hAnsi="Times New Roman" w:cs="Times New Roman"/>
          <w:sz w:val="24"/>
          <w:szCs w:val="24"/>
          <w:lang w:val="es-ES"/>
        </w:rPr>
        <w:t>Ascorbic acid concentration in peach puree during storage at 50°C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61</w:t>
      </w:r>
    </w:p>
    <w:p w:rsidR="00AD7D9F" w:rsidRDefault="00F7692D" w:rsidP="001537A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24:</w:t>
      </w:r>
      <w:r w:rsidR="00AD7D9F">
        <w:rPr>
          <w:rFonts w:ascii="Times New Roman" w:hAnsi="Times New Roman" w:cs="Times New Roman"/>
          <w:sz w:val="24"/>
          <w:szCs w:val="24"/>
          <w:lang w:val="es-ES"/>
        </w:rPr>
        <w:t xml:space="preserve"> Ascorbic acid concentration in peach puree during storage at 60°C</w:t>
      </w:r>
      <w:r w:rsidR="00141975">
        <w:rPr>
          <w:rFonts w:ascii="Times New Roman" w:hAnsi="Times New Roman" w:cs="Times New Roman"/>
          <w:sz w:val="24"/>
          <w:szCs w:val="24"/>
          <w:lang w:val="es-ES"/>
        </w:rPr>
        <w:t>………</w:t>
      </w:r>
      <w:r w:rsidR="008E2413">
        <w:rPr>
          <w:rFonts w:ascii="Times New Roman" w:hAnsi="Times New Roman" w:cs="Times New Roman"/>
          <w:sz w:val="24"/>
          <w:szCs w:val="24"/>
          <w:lang w:val="es-ES"/>
        </w:rPr>
        <w:tab/>
        <w:t>61</w:t>
      </w:r>
    </w:p>
    <w:p w:rsidR="00E81D2A" w:rsidRDefault="00F7692D" w:rsidP="007E11C1">
      <w:pPr>
        <w:spacing w:after="0" w:line="360" w:lineRule="auto"/>
        <w:rPr>
          <w:rFonts w:ascii="Times New Roman" w:hAnsi="Times New Roman"/>
          <w:sz w:val="24"/>
          <w:szCs w:val="24"/>
        </w:rPr>
      </w:pPr>
      <w:r>
        <w:rPr>
          <w:rFonts w:ascii="Times New Roman" w:hAnsi="Times New Roman" w:cs="Times New Roman"/>
          <w:sz w:val="24"/>
          <w:szCs w:val="24"/>
          <w:lang w:val="es-ES"/>
        </w:rPr>
        <w:t xml:space="preserve">CHAPTER 4: </w:t>
      </w:r>
      <w:r w:rsidRPr="00F6000D">
        <w:rPr>
          <w:rFonts w:ascii="Times New Roman" w:hAnsi="Times New Roman"/>
          <w:sz w:val="24"/>
          <w:szCs w:val="24"/>
        </w:rPr>
        <w:t>EFFECT OF L-ASCORBYL-2-PHOSPHATE AND PYCNOGENOL ON</w:t>
      </w:r>
    </w:p>
    <w:p w:rsidR="00F7692D" w:rsidRDefault="00F7692D" w:rsidP="00E81D2A">
      <w:pPr>
        <w:tabs>
          <w:tab w:val="left" w:pos="8640"/>
        </w:tabs>
        <w:spacing w:after="0" w:line="360" w:lineRule="auto"/>
        <w:rPr>
          <w:rFonts w:ascii="Times New Roman" w:hAnsi="Times New Roman" w:cs="Times New Roman"/>
          <w:sz w:val="28"/>
          <w:szCs w:val="28"/>
        </w:rPr>
      </w:pPr>
      <w:r w:rsidRPr="00F6000D">
        <w:rPr>
          <w:rFonts w:ascii="Times New Roman" w:hAnsi="Times New Roman"/>
          <w:sz w:val="24"/>
          <w:szCs w:val="24"/>
        </w:rPr>
        <w:t>THE QUALITY OF DICED PEACHES IN FLEXIBLE RETORTABLE POUCHES</w:t>
      </w:r>
      <w:r>
        <w:rPr>
          <w:rFonts w:ascii="Times New Roman" w:hAnsi="Times New Roman" w:cs="Times New Roman"/>
          <w:sz w:val="28"/>
          <w:szCs w:val="28"/>
        </w:rPr>
        <w:t xml:space="preserve"> </w:t>
      </w:r>
    </w:p>
    <w:p w:rsidR="00F7692D"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8"/>
          <w:szCs w:val="28"/>
        </w:rPr>
        <w:tab/>
      </w:r>
      <w:r>
        <w:rPr>
          <w:rFonts w:ascii="Times New Roman" w:hAnsi="Times New Roman" w:cs="Times New Roman"/>
          <w:sz w:val="24"/>
          <w:szCs w:val="24"/>
          <w:lang w:val="es-ES"/>
        </w:rPr>
        <w:t xml:space="preserve">Fig. 1: </w:t>
      </w:r>
      <w:r w:rsidR="00AD7D9F">
        <w:rPr>
          <w:rFonts w:ascii="Times New Roman" w:hAnsi="Times New Roman" w:cs="Times New Roman"/>
          <w:sz w:val="24"/>
          <w:szCs w:val="24"/>
          <w:lang w:val="es-ES"/>
        </w:rPr>
        <w:t>L-ascorbic acid and 2-phospho-L-ascorbic acid trisodium salt</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84</w:t>
      </w:r>
    </w:p>
    <w:p w:rsidR="00F7692D"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2:</w:t>
      </w:r>
      <w:r w:rsidR="00AD7D9F">
        <w:rPr>
          <w:rFonts w:ascii="Times New Roman" w:hAnsi="Times New Roman" w:cs="Times New Roman"/>
          <w:sz w:val="24"/>
          <w:szCs w:val="24"/>
          <w:lang w:val="es-ES"/>
        </w:rPr>
        <w:t xml:space="preserve"> Influence of </w:t>
      </w:r>
      <w:r w:rsidR="00141975">
        <w:rPr>
          <w:rFonts w:ascii="Times New Roman" w:hAnsi="Times New Roman" w:cs="Times New Roman"/>
          <w:sz w:val="24"/>
          <w:szCs w:val="24"/>
          <w:lang w:val="es-ES"/>
        </w:rPr>
        <w:t>CaCl</w:t>
      </w:r>
      <w:r w:rsidR="00141975" w:rsidRPr="00141975">
        <w:rPr>
          <w:rFonts w:ascii="Times New Roman" w:hAnsi="Times New Roman" w:cs="Times New Roman"/>
          <w:sz w:val="24"/>
          <w:szCs w:val="24"/>
          <w:vertAlign w:val="subscript"/>
          <w:lang w:val="es-ES"/>
        </w:rPr>
        <w:t>2</w:t>
      </w:r>
      <w:r w:rsidR="00AD7D9F">
        <w:rPr>
          <w:rFonts w:ascii="Times New Roman" w:hAnsi="Times New Roman" w:cs="Times New Roman"/>
          <w:sz w:val="24"/>
          <w:szCs w:val="24"/>
          <w:lang w:val="es-ES"/>
        </w:rPr>
        <w:t xml:space="preserve"> in the gel formation in syrups at neutral pH</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84</w:t>
      </w:r>
    </w:p>
    <w:p w:rsidR="00F7692D"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3:</w:t>
      </w:r>
      <w:r w:rsidR="001927D1">
        <w:rPr>
          <w:rFonts w:ascii="Times New Roman" w:hAnsi="Times New Roman" w:cs="Times New Roman"/>
          <w:sz w:val="24"/>
          <w:szCs w:val="24"/>
          <w:lang w:val="es-ES"/>
        </w:rPr>
        <w:t xml:space="preserve"> Variation of L* value during storage at 51°C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85</w:t>
      </w:r>
    </w:p>
    <w:p w:rsidR="00F7692D" w:rsidRDefault="00E81D2A"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r>
      <w:r w:rsidR="00F7692D">
        <w:rPr>
          <w:rFonts w:ascii="Times New Roman" w:hAnsi="Times New Roman" w:cs="Times New Roman"/>
          <w:sz w:val="24"/>
          <w:szCs w:val="24"/>
          <w:lang w:val="es-ES"/>
        </w:rPr>
        <w:t>Fig. 4:</w:t>
      </w:r>
      <w:r w:rsidR="001927D1">
        <w:rPr>
          <w:rFonts w:ascii="Times New Roman" w:hAnsi="Times New Roman" w:cs="Times New Roman"/>
          <w:sz w:val="24"/>
          <w:szCs w:val="24"/>
          <w:lang w:val="es-ES"/>
        </w:rPr>
        <w:t xml:space="preserve"> Variation of L* value during storage at 40°C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85</w:t>
      </w:r>
    </w:p>
    <w:p w:rsidR="00F7692D"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5:</w:t>
      </w:r>
      <w:r w:rsidR="001927D1">
        <w:rPr>
          <w:rFonts w:ascii="Times New Roman" w:hAnsi="Times New Roman" w:cs="Times New Roman"/>
          <w:sz w:val="24"/>
          <w:szCs w:val="24"/>
          <w:lang w:val="es-ES"/>
        </w:rPr>
        <w:t xml:space="preserve"> Variation of a* value during storage at 51°C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86</w:t>
      </w:r>
    </w:p>
    <w:p w:rsidR="00F7692D" w:rsidRDefault="00F7692D" w:rsidP="00E81D2A">
      <w:pPr>
        <w:tabs>
          <w:tab w:val="left" w:pos="720"/>
          <w:tab w:val="left" w:pos="8640"/>
        </w:tabs>
        <w:spacing w:after="0" w:line="360" w:lineRule="auto"/>
        <w:rPr>
          <w:rFonts w:ascii="Times New Roman" w:hAnsi="Times New Roman" w:cs="Times New Roman"/>
          <w:sz w:val="28"/>
          <w:szCs w:val="28"/>
        </w:rPr>
      </w:pPr>
      <w:r>
        <w:rPr>
          <w:rFonts w:ascii="Times New Roman" w:hAnsi="Times New Roman" w:cs="Times New Roman"/>
          <w:sz w:val="24"/>
          <w:szCs w:val="24"/>
          <w:lang w:val="es-ES"/>
        </w:rPr>
        <w:tab/>
        <w:t>Fig. 6:</w:t>
      </w:r>
      <w:r w:rsidR="001927D1" w:rsidRPr="001927D1">
        <w:rPr>
          <w:rFonts w:ascii="Times New Roman" w:hAnsi="Times New Roman" w:cs="Times New Roman"/>
          <w:sz w:val="24"/>
          <w:szCs w:val="24"/>
          <w:lang w:val="es-ES"/>
        </w:rPr>
        <w:t xml:space="preserve"> </w:t>
      </w:r>
      <w:r w:rsidR="001927D1">
        <w:rPr>
          <w:rFonts w:ascii="Times New Roman" w:hAnsi="Times New Roman" w:cs="Times New Roman"/>
          <w:sz w:val="24"/>
          <w:szCs w:val="24"/>
          <w:lang w:val="es-ES"/>
        </w:rPr>
        <w:t>Variation of a* value during storage at 40°C</w:t>
      </w:r>
      <w:r w:rsidR="00141975">
        <w:rPr>
          <w:rFonts w:ascii="Times New Roman" w:hAnsi="Times New Roman" w:cs="Times New Roman"/>
          <w:sz w:val="24"/>
          <w:szCs w:val="24"/>
          <w:lang w:val="es-ES"/>
        </w:rPr>
        <w:t>……………………………….</w:t>
      </w:r>
      <w:r w:rsidR="00E81D2A">
        <w:rPr>
          <w:rFonts w:ascii="Times New Roman" w:hAnsi="Times New Roman" w:cs="Times New Roman"/>
          <w:sz w:val="24"/>
          <w:szCs w:val="24"/>
          <w:lang w:val="es-ES"/>
        </w:rPr>
        <w:tab/>
        <w:t>8</w:t>
      </w:r>
      <w:r w:rsidR="00030B0E">
        <w:rPr>
          <w:rFonts w:ascii="Times New Roman" w:hAnsi="Times New Roman" w:cs="Times New Roman"/>
          <w:sz w:val="24"/>
          <w:szCs w:val="24"/>
          <w:lang w:val="es-ES"/>
        </w:rPr>
        <w:t>6</w:t>
      </w:r>
    </w:p>
    <w:p w:rsidR="00F7692D" w:rsidRDefault="00F7692D" w:rsidP="00E81D2A">
      <w:pPr>
        <w:tabs>
          <w:tab w:val="left" w:pos="8640"/>
        </w:tabs>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 xml:space="preserve">Fig. 7: </w:t>
      </w:r>
      <w:r w:rsidR="001927D1">
        <w:rPr>
          <w:rFonts w:ascii="Times New Roman" w:hAnsi="Times New Roman" w:cs="Times New Roman"/>
          <w:sz w:val="24"/>
          <w:szCs w:val="24"/>
          <w:lang w:val="es-ES"/>
        </w:rPr>
        <w:t>Variation of b* value during storage at 51°C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87</w:t>
      </w:r>
    </w:p>
    <w:p w:rsidR="00F7692D"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8:</w:t>
      </w:r>
      <w:r w:rsidR="001927D1" w:rsidRPr="001927D1">
        <w:rPr>
          <w:rFonts w:ascii="Times New Roman" w:hAnsi="Times New Roman" w:cs="Times New Roman"/>
          <w:sz w:val="24"/>
          <w:szCs w:val="24"/>
          <w:lang w:val="es-ES"/>
        </w:rPr>
        <w:t xml:space="preserve"> </w:t>
      </w:r>
      <w:r w:rsidR="001927D1">
        <w:rPr>
          <w:rFonts w:ascii="Times New Roman" w:hAnsi="Times New Roman" w:cs="Times New Roman"/>
          <w:sz w:val="24"/>
          <w:szCs w:val="24"/>
          <w:lang w:val="es-ES"/>
        </w:rPr>
        <w:t>Variation of b* value during storage at 40°C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87</w:t>
      </w:r>
    </w:p>
    <w:p w:rsidR="00F7692D"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9:</w:t>
      </w:r>
      <w:r w:rsidR="001927D1">
        <w:rPr>
          <w:rFonts w:ascii="Times New Roman" w:hAnsi="Times New Roman" w:cs="Times New Roman"/>
          <w:sz w:val="24"/>
          <w:szCs w:val="24"/>
          <w:lang w:val="es-ES"/>
        </w:rPr>
        <w:t xml:space="preserve"> Variation of ∆E* value during storage at 51°C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88</w:t>
      </w:r>
    </w:p>
    <w:p w:rsidR="001927D1"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10:</w:t>
      </w:r>
      <w:r w:rsidR="001927D1" w:rsidRPr="001927D1">
        <w:rPr>
          <w:rFonts w:ascii="Times New Roman" w:hAnsi="Times New Roman" w:cs="Times New Roman"/>
          <w:sz w:val="24"/>
          <w:szCs w:val="24"/>
          <w:lang w:val="es-ES"/>
        </w:rPr>
        <w:t xml:space="preserve"> </w:t>
      </w:r>
      <w:r w:rsidR="001927D1">
        <w:rPr>
          <w:rFonts w:ascii="Times New Roman" w:hAnsi="Times New Roman" w:cs="Times New Roman"/>
          <w:sz w:val="24"/>
          <w:szCs w:val="24"/>
          <w:lang w:val="es-ES"/>
        </w:rPr>
        <w:t>Variation of ∆E* value during storage at 40°C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88</w:t>
      </w:r>
    </w:p>
    <w:p w:rsidR="00F7692D"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11:</w:t>
      </w:r>
      <w:r w:rsidR="001927D1">
        <w:rPr>
          <w:rFonts w:ascii="Times New Roman" w:hAnsi="Times New Roman" w:cs="Times New Roman"/>
          <w:sz w:val="24"/>
          <w:szCs w:val="24"/>
          <w:lang w:val="es-ES"/>
        </w:rPr>
        <w:t xml:space="preserve"> Variation of browning index during storage at 51°C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89</w:t>
      </w:r>
    </w:p>
    <w:p w:rsidR="00F7692D" w:rsidRDefault="00E81D2A" w:rsidP="00E81D2A">
      <w:pPr>
        <w:tabs>
          <w:tab w:val="left" w:pos="720"/>
          <w:tab w:val="left" w:pos="8640"/>
        </w:tabs>
        <w:spacing w:after="0" w:line="360" w:lineRule="auto"/>
        <w:rPr>
          <w:rFonts w:ascii="Times New Roman" w:hAnsi="Times New Roman" w:cs="Times New Roman"/>
          <w:sz w:val="28"/>
          <w:szCs w:val="28"/>
        </w:rPr>
      </w:pPr>
      <w:r>
        <w:rPr>
          <w:rFonts w:ascii="Times New Roman" w:hAnsi="Times New Roman" w:cs="Times New Roman"/>
          <w:sz w:val="24"/>
          <w:szCs w:val="24"/>
          <w:lang w:val="es-ES"/>
        </w:rPr>
        <w:tab/>
      </w:r>
      <w:r w:rsidR="00F7692D">
        <w:rPr>
          <w:rFonts w:ascii="Times New Roman" w:hAnsi="Times New Roman" w:cs="Times New Roman"/>
          <w:sz w:val="24"/>
          <w:szCs w:val="24"/>
          <w:lang w:val="es-ES"/>
        </w:rPr>
        <w:t>Fig. 12:</w:t>
      </w:r>
      <w:r w:rsidR="00ED6BBE" w:rsidRPr="00ED6BBE">
        <w:rPr>
          <w:rFonts w:ascii="Times New Roman" w:hAnsi="Times New Roman" w:cs="Times New Roman"/>
          <w:sz w:val="24"/>
          <w:szCs w:val="24"/>
          <w:lang w:val="es-ES"/>
        </w:rPr>
        <w:t xml:space="preserve"> </w:t>
      </w:r>
      <w:r w:rsidR="00ED6BBE">
        <w:rPr>
          <w:rFonts w:ascii="Times New Roman" w:hAnsi="Times New Roman" w:cs="Times New Roman"/>
          <w:sz w:val="24"/>
          <w:szCs w:val="24"/>
          <w:lang w:val="es-ES"/>
        </w:rPr>
        <w:t>Variation of browning index during storage at 40°C</w:t>
      </w:r>
      <w:r w:rsidR="00141975">
        <w:rPr>
          <w:rFonts w:ascii="Times New Roman" w:hAnsi="Times New Roman" w:cs="Times New Roman"/>
          <w:sz w:val="24"/>
          <w:szCs w:val="24"/>
          <w:lang w:val="es-ES"/>
        </w:rPr>
        <w:t>……………………...</w:t>
      </w:r>
      <w:r>
        <w:rPr>
          <w:rFonts w:ascii="Times New Roman" w:hAnsi="Times New Roman" w:cs="Times New Roman"/>
          <w:sz w:val="24"/>
          <w:szCs w:val="24"/>
          <w:lang w:val="es-ES"/>
        </w:rPr>
        <w:tab/>
      </w:r>
      <w:r w:rsidR="00030B0E">
        <w:rPr>
          <w:rFonts w:ascii="Times New Roman" w:hAnsi="Times New Roman" w:cs="Times New Roman"/>
          <w:sz w:val="24"/>
          <w:szCs w:val="24"/>
          <w:lang w:val="es-ES"/>
        </w:rPr>
        <w:t>89</w:t>
      </w:r>
    </w:p>
    <w:p w:rsidR="00E81D2A" w:rsidRDefault="00F7692D" w:rsidP="00026280">
      <w:pPr>
        <w:tabs>
          <w:tab w:val="left" w:pos="72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 xml:space="preserve">Fig. 13: </w:t>
      </w:r>
      <w:r w:rsidR="00026280">
        <w:rPr>
          <w:rFonts w:ascii="Times New Roman" w:hAnsi="Times New Roman" w:cs="Times New Roman"/>
          <w:sz w:val="24"/>
          <w:szCs w:val="24"/>
          <w:lang w:val="es-ES"/>
        </w:rPr>
        <w:t>Chromatogram of a peach puree simple fortified with ascorbyl</w:t>
      </w:r>
      <w:r w:rsidR="00E81D2A">
        <w:rPr>
          <w:rFonts w:ascii="Times New Roman" w:hAnsi="Times New Roman" w:cs="Times New Roman"/>
          <w:sz w:val="24"/>
          <w:szCs w:val="24"/>
          <w:lang w:val="es-ES"/>
        </w:rPr>
        <w:t>-</w:t>
      </w:r>
      <w:r w:rsidR="00026280">
        <w:rPr>
          <w:rFonts w:ascii="Times New Roman" w:hAnsi="Times New Roman" w:cs="Times New Roman"/>
          <w:sz w:val="24"/>
          <w:szCs w:val="24"/>
          <w:lang w:val="es-ES"/>
        </w:rPr>
        <w:t>2</w:t>
      </w:r>
      <w:r w:rsidR="00E81D2A">
        <w:rPr>
          <w:rFonts w:ascii="Times New Roman" w:hAnsi="Times New Roman" w:cs="Times New Roman"/>
          <w:sz w:val="24"/>
          <w:szCs w:val="24"/>
          <w:lang w:val="es-ES"/>
        </w:rPr>
        <w:t>-</w:t>
      </w:r>
      <w:r w:rsidR="00026280">
        <w:rPr>
          <w:rFonts w:ascii="Times New Roman" w:hAnsi="Times New Roman" w:cs="Times New Roman"/>
          <w:sz w:val="24"/>
          <w:szCs w:val="24"/>
          <w:lang w:val="es-ES"/>
        </w:rPr>
        <w:t>phosphate</w:t>
      </w:r>
    </w:p>
    <w:p w:rsidR="00026280" w:rsidRDefault="00026280" w:rsidP="00E81D2A">
      <w:pPr>
        <w:tabs>
          <w:tab w:val="left" w:pos="720"/>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at</w:t>
      </w:r>
      <w:proofErr w:type="gramEnd"/>
      <w:r>
        <w:rPr>
          <w:rFonts w:ascii="Times New Roman" w:hAnsi="Times New Roman" w:cs="Times New Roman"/>
          <w:sz w:val="24"/>
          <w:szCs w:val="24"/>
          <w:lang w:val="es-ES"/>
        </w:rPr>
        <w:t xml:space="preserve"> day 0</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90</w:t>
      </w:r>
    </w:p>
    <w:p w:rsidR="00026280"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14:</w:t>
      </w:r>
      <w:r w:rsidR="00026280" w:rsidRPr="00026280">
        <w:rPr>
          <w:rFonts w:ascii="Times New Roman" w:hAnsi="Times New Roman" w:cs="Times New Roman"/>
          <w:sz w:val="24"/>
          <w:szCs w:val="24"/>
          <w:lang w:val="es-ES"/>
        </w:rPr>
        <w:t xml:space="preserve"> </w:t>
      </w:r>
      <w:r w:rsidR="00026280">
        <w:rPr>
          <w:rFonts w:ascii="Times New Roman" w:hAnsi="Times New Roman" w:cs="Times New Roman"/>
          <w:sz w:val="24"/>
          <w:szCs w:val="24"/>
          <w:lang w:val="es-ES"/>
        </w:rPr>
        <w:t>Absorption spectra of ascorbic acid (0.0025M)</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90</w:t>
      </w:r>
    </w:p>
    <w:p w:rsidR="00026280"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15:</w:t>
      </w:r>
      <w:r w:rsidR="00026280" w:rsidRPr="00026280">
        <w:rPr>
          <w:rFonts w:ascii="Times New Roman" w:hAnsi="Times New Roman" w:cs="Times New Roman"/>
          <w:sz w:val="24"/>
          <w:szCs w:val="24"/>
          <w:lang w:val="es-ES"/>
        </w:rPr>
        <w:t xml:space="preserve"> </w:t>
      </w:r>
      <w:r w:rsidR="00026280">
        <w:rPr>
          <w:rFonts w:ascii="Times New Roman" w:hAnsi="Times New Roman" w:cs="Times New Roman"/>
          <w:sz w:val="24"/>
          <w:szCs w:val="24"/>
          <w:lang w:val="es-ES"/>
        </w:rPr>
        <w:t>Absorption spectra of ascorbyl-2-phosphate (0.0025M)</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90</w:t>
      </w:r>
    </w:p>
    <w:p w:rsidR="00E81D2A" w:rsidRDefault="00F7692D" w:rsidP="00026280">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16:</w:t>
      </w:r>
      <w:r w:rsidR="00026280">
        <w:rPr>
          <w:rFonts w:ascii="Times New Roman" w:hAnsi="Times New Roman" w:cs="Times New Roman"/>
          <w:sz w:val="24"/>
          <w:szCs w:val="24"/>
          <w:lang w:val="es-ES"/>
        </w:rPr>
        <w:t xml:space="preserve"> Relative ascorbyl-2-phosphate and ascorbic acid concentrations (%) in </w:t>
      </w:r>
    </w:p>
    <w:p w:rsidR="00F7692D" w:rsidRDefault="00026280" w:rsidP="00E81D2A">
      <w:pPr>
        <w:tabs>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the</w:t>
      </w:r>
      <w:proofErr w:type="gramEnd"/>
      <w:r>
        <w:rPr>
          <w:rFonts w:ascii="Times New Roman" w:hAnsi="Times New Roman" w:cs="Times New Roman"/>
          <w:sz w:val="24"/>
          <w:szCs w:val="24"/>
          <w:lang w:val="es-ES"/>
        </w:rPr>
        <w:t xml:space="preserve"> A2P-Control treatment during storage at 51°C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91</w:t>
      </w:r>
    </w:p>
    <w:p w:rsidR="00E81D2A" w:rsidRDefault="00F7692D" w:rsidP="00026280">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17:</w:t>
      </w:r>
      <w:r w:rsidR="00026280">
        <w:rPr>
          <w:rFonts w:ascii="Times New Roman" w:hAnsi="Times New Roman" w:cs="Times New Roman"/>
          <w:sz w:val="24"/>
          <w:szCs w:val="24"/>
          <w:lang w:val="es-ES"/>
        </w:rPr>
        <w:t xml:space="preserve"> Relative ascorbyl-2-phosphate and ascorbic acid concentrations (%) in </w:t>
      </w:r>
    </w:p>
    <w:p w:rsidR="00F7692D" w:rsidRDefault="00026280" w:rsidP="00E81D2A">
      <w:pPr>
        <w:tabs>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the</w:t>
      </w:r>
      <w:proofErr w:type="gramEnd"/>
      <w:r>
        <w:rPr>
          <w:rFonts w:ascii="Times New Roman" w:hAnsi="Times New Roman" w:cs="Times New Roman"/>
          <w:sz w:val="24"/>
          <w:szCs w:val="24"/>
          <w:lang w:val="es-ES"/>
        </w:rPr>
        <w:t xml:space="preserve"> A2P-0.01% Pycnogenol during storage at 51°C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91</w:t>
      </w:r>
    </w:p>
    <w:p w:rsidR="00E81D2A" w:rsidRDefault="00F7692D" w:rsidP="00026280">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18:</w:t>
      </w:r>
      <w:r w:rsidR="00026280">
        <w:rPr>
          <w:rFonts w:ascii="Times New Roman" w:hAnsi="Times New Roman" w:cs="Times New Roman"/>
          <w:sz w:val="24"/>
          <w:szCs w:val="24"/>
          <w:lang w:val="es-ES"/>
        </w:rPr>
        <w:t xml:space="preserve"> Relative ascorbyl-2-phosphate and ascorbic acid concentrations (%) in</w:t>
      </w:r>
    </w:p>
    <w:p w:rsidR="00F7692D" w:rsidRDefault="00026280" w:rsidP="00E81D2A">
      <w:pPr>
        <w:tabs>
          <w:tab w:val="left" w:pos="8640"/>
        </w:tabs>
        <w:spacing w:after="0" w:line="360" w:lineRule="auto"/>
        <w:ind w:left="720"/>
        <w:rPr>
          <w:rFonts w:ascii="Times New Roman" w:hAnsi="Times New Roman" w:cs="Times New Roman"/>
          <w:sz w:val="28"/>
          <w:szCs w:val="28"/>
        </w:rPr>
      </w:pPr>
      <w:proofErr w:type="gramStart"/>
      <w:r>
        <w:rPr>
          <w:rFonts w:ascii="Times New Roman" w:hAnsi="Times New Roman" w:cs="Times New Roman"/>
          <w:sz w:val="24"/>
          <w:szCs w:val="24"/>
          <w:lang w:val="es-ES"/>
        </w:rPr>
        <w:t>the</w:t>
      </w:r>
      <w:proofErr w:type="gramEnd"/>
      <w:r>
        <w:rPr>
          <w:rFonts w:ascii="Times New Roman" w:hAnsi="Times New Roman" w:cs="Times New Roman"/>
          <w:sz w:val="24"/>
          <w:szCs w:val="24"/>
          <w:lang w:val="es-ES"/>
        </w:rPr>
        <w:t xml:space="preserve"> A2P-0.1% Pycnogenol during storage at 51°C</w:t>
      </w:r>
      <w:r w:rsidR="00141975">
        <w:rPr>
          <w:rFonts w:ascii="Times New Roman" w:hAnsi="Times New Roman" w:cs="Times New Roman"/>
          <w:sz w:val="24"/>
          <w:szCs w:val="24"/>
          <w:lang w:val="es-ES"/>
        </w:rPr>
        <w:t>…………………………………</w:t>
      </w:r>
      <w:r w:rsidR="00E81D2A">
        <w:rPr>
          <w:rFonts w:ascii="Times New Roman" w:hAnsi="Times New Roman" w:cs="Times New Roman"/>
          <w:sz w:val="24"/>
          <w:szCs w:val="24"/>
          <w:lang w:val="es-ES"/>
        </w:rPr>
        <w:tab/>
        <w:t>9</w:t>
      </w:r>
      <w:r w:rsidR="00030B0E">
        <w:rPr>
          <w:rFonts w:ascii="Times New Roman" w:hAnsi="Times New Roman" w:cs="Times New Roman"/>
          <w:sz w:val="24"/>
          <w:szCs w:val="24"/>
          <w:lang w:val="es-ES"/>
        </w:rPr>
        <w:t>1</w:t>
      </w:r>
    </w:p>
    <w:p w:rsidR="00E81D2A" w:rsidRDefault="00F7692D" w:rsidP="00026280">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 xml:space="preserve">Fig. 19: </w:t>
      </w:r>
      <w:r w:rsidR="00026280">
        <w:rPr>
          <w:rFonts w:ascii="Times New Roman" w:hAnsi="Times New Roman" w:cs="Times New Roman"/>
          <w:sz w:val="24"/>
          <w:szCs w:val="24"/>
          <w:lang w:val="es-ES"/>
        </w:rPr>
        <w:t xml:space="preserve">Relative ascorbyl-2-phosphate and ascorbic acid concentrations (%) in </w:t>
      </w:r>
    </w:p>
    <w:p w:rsidR="00F7692D" w:rsidRDefault="00026280" w:rsidP="00E81D2A">
      <w:pPr>
        <w:tabs>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lastRenderedPageBreak/>
        <w:t>the</w:t>
      </w:r>
      <w:proofErr w:type="gramEnd"/>
      <w:r>
        <w:rPr>
          <w:rFonts w:ascii="Times New Roman" w:hAnsi="Times New Roman" w:cs="Times New Roman"/>
          <w:sz w:val="24"/>
          <w:szCs w:val="24"/>
          <w:lang w:val="es-ES"/>
        </w:rPr>
        <w:t xml:space="preserve"> A2P-Control treatment during storage at 40C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92</w:t>
      </w:r>
    </w:p>
    <w:p w:rsidR="00E81D2A" w:rsidRDefault="00F7692D" w:rsidP="00026280">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20:</w:t>
      </w:r>
      <w:r w:rsidR="00026280" w:rsidRPr="00026280">
        <w:rPr>
          <w:rFonts w:ascii="Times New Roman" w:hAnsi="Times New Roman" w:cs="Times New Roman"/>
          <w:sz w:val="24"/>
          <w:szCs w:val="24"/>
          <w:lang w:val="es-ES"/>
        </w:rPr>
        <w:t xml:space="preserve"> </w:t>
      </w:r>
      <w:r w:rsidR="00026280">
        <w:rPr>
          <w:rFonts w:ascii="Times New Roman" w:hAnsi="Times New Roman" w:cs="Times New Roman"/>
          <w:sz w:val="24"/>
          <w:szCs w:val="24"/>
          <w:lang w:val="es-ES"/>
        </w:rPr>
        <w:t xml:space="preserve">Relative ascorbyl-2-phosphate and ascorbic acid concentrations (%) in </w:t>
      </w:r>
    </w:p>
    <w:p w:rsidR="00F7692D" w:rsidRDefault="00026280" w:rsidP="00E81D2A">
      <w:pPr>
        <w:tabs>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the</w:t>
      </w:r>
      <w:proofErr w:type="gramEnd"/>
      <w:r>
        <w:rPr>
          <w:rFonts w:ascii="Times New Roman" w:hAnsi="Times New Roman" w:cs="Times New Roman"/>
          <w:sz w:val="24"/>
          <w:szCs w:val="24"/>
          <w:lang w:val="es-ES"/>
        </w:rPr>
        <w:t xml:space="preserve"> A2P-0.01% Pycnogenol during storage at 40°C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92</w:t>
      </w:r>
    </w:p>
    <w:p w:rsidR="00E81D2A" w:rsidRDefault="00F7692D" w:rsidP="00026280">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21:</w:t>
      </w:r>
      <w:r w:rsidR="00026280" w:rsidRPr="00026280">
        <w:rPr>
          <w:rFonts w:ascii="Times New Roman" w:hAnsi="Times New Roman" w:cs="Times New Roman"/>
          <w:sz w:val="24"/>
          <w:szCs w:val="24"/>
          <w:lang w:val="es-ES"/>
        </w:rPr>
        <w:t xml:space="preserve"> </w:t>
      </w:r>
      <w:r w:rsidR="00026280">
        <w:rPr>
          <w:rFonts w:ascii="Times New Roman" w:hAnsi="Times New Roman" w:cs="Times New Roman"/>
          <w:sz w:val="24"/>
          <w:szCs w:val="24"/>
          <w:lang w:val="es-ES"/>
        </w:rPr>
        <w:t xml:space="preserve">Relative ascorbyl-2-phosphate and ascorbic acid concentrations (%) in </w:t>
      </w:r>
    </w:p>
    <w:p w:rsidR="00F7692D" w:rsidRDefault="00026280" w:rsidP="00E81D2A">
      <w:pPr>
        <w:tabs>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the</w:t>
      </w:r>
      <w:proofErr w:type="gramEnd"/>
      <w:r>
        <w:rPr>
          <w:rFonts w:ascii="Times New Roman" w:hAnsi="Times New Roman" w:cs="Times New Roman"/>
          <w:sz w:val="24"/>
          <w:szCs w:val="24"/>
          <w:lang w:val="es-ES"/>
        </w:rPr>
        <w:t xml:space="preserve"> A2P-0.1% Pycnogenol during storage at 40°C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92</w:t>
      </w:r>
    </w:p>
    <w:p w:rsidR="00F7692D"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22:</w:t>
      </w:r>
      <w:r w:rsidR="00026280">
        <w:rPr>
          <w:rFonts w:ascii="Times New Roman" w:hAnsi="Times New Roman" w:cs="Times New Roman"/>
          <w:sz w:val="24"/>
          <w:szCs w:val="24"/>
          <w:lang w:val="es-ES"/>
        </w:rPr>
        <w:t xml:space="preserve"> Variation of ascorbic acid concentration during storage at 51°C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93</w:t>
      </w:r>
    </w:p>
    <w:p w:rsidR="00F7692D" w:rsidRDefault="00F7692D" w:rsidP="00E81D2A">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23:</w:t>
      </w:r>
      <w:r w:rsidR="00026280">
        <w:rPr>
          <w:rFonts w:ascii="Times New Roman" w:hAnsi="Times New Roman" w:cs="Times New Roman"/>
          <w:sz w:val="24"/>
          <w:szCs w:val="24"/>
          <w:lang w:val="es-ES"/>
        </w:rPr>
        <w:t xml:space="preserve"> Variation of ascorbic acid concentration during storage at 40°C</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93</w:t>
      </w:r>
    </w:p>
    <w:p w:rsidR="00F7692D" w:rsidRDefault="00F7692D" w:rsidP="00F7692D">
      <w:pPr>
        <w:spacing w:after="0" w:line="360" w:lineRule="auto"/>
        <w:rPr>
          <w:rFonts w:ascii="Times New Roman" w:hAnsi="Times New Roman" w:cs="Times New Roman"/>
          <w:sz w:val="28"/>
          <w:szCs w:val="28"/>
        </w:rPr>
      </w:pPr>
      <w:r>
        <w:rPr>
          <w:rFonts w:ascii="Times New Roman" w:hAnsi="Times New Roman" w:cs="Times New Roman"/>
          <w:sz w:val="24"/>
          <w:szCs w:val="24"/>
          <w:lang w:val="es-ES"/>
        </w:rPr>
        <w:t>CHAPTER 5:</w:t>
      </w:r>
      <w:r w:rsidRPr="002E3B16">
        <w:rPr>
          <w:rFonts w:ascii="Times New Roman" w:hAnsi="Times New Roman" w:cs="Times New Roman"/>
          <w:sz w:val="24"/>
          <w:szCs w:val="24"/>
          <w:lang w:val="es-ES"/>
        </w:rPr>
        <w:t xml:space="preserve"> </w:t>
      </w:r>
      <w:r w:rsidRPr="002E3B16">
        <w:rPr>
          <w:rFonts w:ascii="Times New Roman" w:hAnsi="Times New Roman" w:cs="Times New Roman"/>
          <w:sz w:val="24"/>
          <w:szCs w:val="24"/>
        </w:rPr>
        <w:t>EFFECT OF α-GLUCOSYL RUTIN, CALCIUM CHLORIDE AND FRUIT SOURCE ON THE QUALITY OF DICED PEACHES IN FLEXIBLE RETORTABLE POUCHES</w:t>
      </w:r>
    </w:p>
    <w:p w:rsidR="00E81D2A" w:rsidRDefault="00F7692D" w:rsidP="00E81D2A">
      <w:pPr>
        <w:tabs>
          <w:tab w:val="left" w:pos="891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 xml:space="preserve">Fig. 1: </w:t>
      </w:r>
      <w:r w:rsidR="00BD6B89">
        <w:rPr>
          <w:rFonts w:ascii="Times New Roman" w:hAnsi="Times New Roman" w:cs="Times New Roman"/>
          <w:sz w:val="24"/>
          <w:szCs w:val="24"/>
          <w:lang w:val="es-ES"/>
        </w:rPr>
        <w:t xml:space="preserve">Effect of treatment on L* value during storage at 51°C. A: Pouches </w:t>
      </w:r>
    </w:p>
    <w:p w:rsidR="00E81D2A" w:rsidRDefault="00BD6B89" w:rsidP="00E81D2A">
      <w:pPr>
        <w:tabs>
          <w:tab w:val="left" w:pos="891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made</w:t>
      </w:r>
      <w:proofErr w:type="gramEnd"/>
      <w:r w:rsidR="00E81D2A">
        <w:rPr>
          <w:rFonts w:ascii="Times New Roman" w:hAnsi="Times New Roman" w:cs="Times New Roman"/>
          <w:sz w:val="24"/>
          <w:szCs w:val="24"/>
          <w:lang w:val="es-ES"/>
        </w:rPr>
        <w:t xml:space="preserve"> </w:t>
      </w:r>
      <w:r>
        <w:rPr>
          <w:rFonts w:ascii="Times New Roman" w:hAnsi="Times New Roman" w:cs="Times New Roman"/>
          <w:sz w:val="24"/>
          <w:szCs w:val="24"/>
          <w:lang w:val="es-ES"/>
        </w:rPr>
        <w:t>of</w:t>
      </w:r>
      <w:r w:rsidR="00E81D2A">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 IQF peaches; B: Pouches made of IQF peaches; C: Pouches made </w:t>
      </w:r>
    </w:p>
    <w:p w:rsidR="00F7692D" w:rsidRDefault="00BD6B89" w:rsidP="00BC2E1F">
      <w:pPr>
        <w:tabs>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of</w:t>
      </w:r>
      <w:proofErr w:type="gramEnd"/>
      <w:r>
        <w:rPr>
          <w:rFonts w:ascii="Times New Roman" w:hAnsi="Times New Roman" w:cs="Times New Roman"/>
          <w:sz w:val="24"/>
          <w:szCs w:val="24"/>
          <w:lang w:val="es-ES"/>
        </w:rPr>
        <w:t xml:space="preserve"> canned peaches</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117</w:t>
      </w:r>
    </w:p>
    <w:p w:rsidR="00E81D2A" w:rsidRDefault="00F7692D" w:rsidP="00E81D2A">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2:</w:t>
      </w:r>
      <w:r w:rsidR="00BD6B89">
        <w:rPr>
          <w:rFonts w:ascii="Times New Roman" w:hAnsi="Times New Roman" w:cs="Times New Roman"/>
          <w:sz w:val="24"/>
          <w:szCs w:val="24"/>
          <w:lang w:val="es-ES"/>
        </w:rPr>
        <w:t xml:space="preserve"> Effect of treatment on L* value during storage at 40°C. A: Pouches </w:t>
      </w:r>
    </w:p>
    <w:p w:rsidR="00E81D2A" w:rsidRDefault="00BD6B89" w:rsidP="00E81D2A">
      <w:pPr>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made</w:t>
      </w:r>
      <w:proofErr w:type="gramEnd"/>
      <w:r>
        <w:rPr>
          <w:rFonts w:ascii="Times New Roman" w:hAnsi="Times New Roman" w:cs="Times New Roman"/>
          <w:sz w:val="24"/>
          <w:szCs w:val="24"/>
          <w:lang w:val="es-ES"/>
        </w:rPr>
        <w:t xml:space="preserve"> of IQF peaches; B: Pouches made of IQF peaches; C: Pouches made</w:t>
      </w:r>
    </w:p>
    <w:p w:rsidR="00F7692D" w:rsidRDefault="00BD6B89" w:rsidP="00BC2E1F">
      <w:pPr>
        <w:tabs>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of</w:t>
      </w:r>
      <w:proofErr w:type="gramEnd"/>
      <w:r>
        <w:rPr>
          <w:rFonts w:ascii="Times New Roman" w:hAnsi="Times New Roman" w:cs="Times New Roman"/>
          <w:sz w:val="24"/>
          <w:szCs w:val="24"/>
          <w:lang w:val="es-ES"/>
        </w:rPr>
        <w:t xml:space="preserve"> canned peaches</w:t>
      </w:r>
      <w:r w:rsidR="00141975">
        <w:rPr>
          <w:rFonts w:ascii="Times New Roman" w:hAnsi="Times New Roman" w:cs="Times New Roman"/>
          <w:sz w:val="24"/>
          <w:szCs w:val="24"/>
          <w:lang w:val="es-ES"/>
        </w:rPr>
        <w:t>…………………………………………………………………..</w:t>
      </w:r>
      <w:r w:rsidR="00BC2E1F">
        <w:rPr>
          <w:rFonts w:ascii="Times New Roman" w:hAnsi="Times New Roman" w:cs="Times New Roman"/>
          <w:sz w:val="24"/>
          <w:szCs w:val="24"/>
          <w:lang w:val="es-ES"/>
        </w:rPr>
        <w:tab/>
        <w:t>1</w:t>
      </w:r>
      <w:r w:rsidR="00030B0E">
        <w:rPr>
          <w:rFonts w:ascii="Times New Roman" w:hAnsi="Times New Roman" w:cs="Times New Roman"/>
          <w:sz w:val="24"/>
          <w:szCs w:val="24"/>
          <w:lang w:val="es-ES"/>
        </w:rPr>
        <w:t>18</w:t>
      </w:r>
    </w:p>
    <w:p w:rsidR="00E81D2A" w:rsidRDefault="00F7692D" w:rsidP="00F7692D">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3:</w:t>
      </w:r>
      <w:r w:rsidR="00BD6B89">
        <w:rPr>
          <w:rFonts w:ascii="Times New Roman" w:hAnsi="Times New Roman" w:cs="Times New Roman"/>
          <w:sz w:val="24"/>
          <w:szCs w:val="24"/>
          <w:lang w:val="es-ES"/>
        </w:rPr>
        <w:t xml:space="preserve"> Effect of treatment on a* value during storage at 51°C. A: Pouches </w:t>
      </w:r>
    </w:p>
    <w:p w:rsidR="00E81D2A" w:rsidRDefault="00BD6B89" w:rsidP="00E81D2A">
      <w:pPr>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made</w:t>
      </w:r>
      <w:proofErr w:type="gramEnd"/>
      <w:r>
        <w:rPr>
          <w:rFonts w:ascii="Times New Roman" w:hAnsi="Times New Roman" w:cs="Times New Roman"/>
          <w:sz w:val="24"/>
          <w:szCs w:val="24"/>
          <w:lang w:val="es-ES"/>
        </w:rPr>
        <w:t xml:space="preserve"> of IQF peaches; B: Pouches made of IQF peaches; C: Pouches made </w:t>
      </w:r>
    </w:p>
    <w:p w:rsidR="00F7692D" w:rsidRDefault="00BD6B89" w:rsidP="00BC2E1F">
      <w:pPr>
        <w:tabs>
          <w:tab w:val="left" w:pos="8640"/>
        </w:tabs>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of</w:t>
      </w:r>
      <w:proofErr w:type="gramEnd"/>
      <w:r>
        <w:rPr>
          <w:rFonts w:ascii="Times New Roman" w:hAnsi="Times New Roman" w:cs="Times New Roman"/>
          <w:sz w:val="24"/>
          <w:szCs w:val="24"/>
          <w:lang w:val="es-ES"/>
        </w:rPr>
        <w:t xml:space="preserve"> canned peaches</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119</w:t>
      </w:r>
    </w:p>
    <w:p w:rsidR="00E81D2A" w:rsidRDefault="00F7692D" w:rsidP="00F7692D">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4:</w:t>
      </w:r>
      <w:r w:rsidR="00BD6B89">
        <w:rPr>
          <w:rFonts w:ascii="Times New Roman" w:hAnsi="Times New Roman" w:cs="Times New Roman"/>
          <w:sz w:val="24"/>
          <w:szCs w:val="24"/>
          <w:lang w:val="es-ES"/>
        </w:rPr>
        <w:t xml:space="preserve"> Effect of treatment on a* value during storage at 40°C. A: Pouches</w:t>
      </w:r>
    </w:p>
    <w:p w:rsidR="00E81D2A" w:rsidRDefault="00BD6B89" w:rsidP="00E81D2A">
      <w:pPr>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 xml:space="preserve"> </w:t>
      </w:r>
      <w:proofErr w:type="gramStart"/>
      <w:r>
        <w:rPr>
          <w:rFonts w:ascii="Times New Roman" w:hAnsi="Times New Roman" w:cs="Times New Roman"/>
          <w:sz w:val="24"/>
          <w:szCs w:val="24"/>
          <w:lang w:val="es-ES"/>
        </w:rPr>
        <w:t>made</w:t>
      </w:r>
      <w:proofErr w:type="gramEnd"/>
      <w:r>
        <w:rPr>
          <w:rFonts w:ascii="Times New Roman" w:hAnsi="Times New Roman" w:cs="Times New Roman"/>
          <w:sz w:val="24"/>
          <w:szCs w:val="24"/>
          <w:lang w:val="es-ES"/>
        </w:rPr>
        <w:t xml:space="preserve"> of IQF peaches; B: Pouches made of IQF peaches; C: Pouches made </w:t>
      </w:r>
    </w:p>
    <w:p w:rsidR="00F7692D" w:rsidRDefault="00BD6B89" w:rsidP="00BC2E1F">
      <w:pPr>
        <w:tabs>
          <w:tab w:val="left" w:pos="8640"/>
        </w:tabs>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of</w:t>
      </w:r>
      <w:proofErr w:type="gramEnd"/>
      <w:r>
        <w:rPr>
          <w:rFonts w:ascii="Times New Roman" w:hAnsi="Times New Roman" w:cs="Times New Roman"/>
          <w:sz w:val="24"/>
          <w:szCs w:val="24"/>
          <w:lang w:val="es-ES"/>
        </w:rPr>
        <w:t xml:space="preserve"> canned peaches</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120</w:t>
      </w:r>
    </w:p>
    <w:p w:rsidR="00E81D2A" w:rsidRDefault="00F7692D" w:rsidP="00F7692D">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5:</w:t>
      </w:r>
      <w:r w:rsidR="00BD6B89">
        <w:rPr>
          <w:rFonts w:ascii="Times New Roman" w:hAnsi="Times New Roman" w:cs="Times New Roman"/>
          <w:sz w:val="24"/>
          <w:szCs w:val="24"/>
          <w:lang w:val="es-ES"/>
        </w:rPr>
        <w:t xml:space="preserve"> Effect of treatment on b* value during storage at 51°C. A: Pouches</w:t>
      </w:r>
    </w:p>
    <w:p w:rsidR="00E81D2A" w:rsidRDefault="00BD6B89" w:rsidP="00E81D2A">
      <w:pPr>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 xml:space="preserve"> </w:t>
      </w:r>
      <w:proofErr w:type="gramStart"/>
      <w:r>
        <w:rPr>
          <w:rFonts w:ascii="Times New Roman" w:hAnsi="Times New Roman" w:cs="Times New Roman"/>
          <w:sz w:val="24"/>
          <w:szCs w:val="24"/>
          <w:lang w:val="es-ES"/>
        </w:rPr>
        <w:t>made</w:t>
      </w:r>
      <w:proofErr w:type="gramEnd"/>
      <w:r>
        <w:rPr>
          <w:rFonts w:ascii="Times New Roman" w:hAnsi="Times New Roman" w:cs="Times New Roman"/>
          <w:sz w:val="24"/>
          <w:szCs w:val="24"/>
          <w:lang w:val="es-ES"/>
        </w:rPr>
        <w:t xml:space="preserve"> of IQF peaches; B: Pouches made of IQF peaches; C: Pouches made </w:t>
      </w:r>
    </w:p>
    <w:p w:rsidR="00F7692D" w:rsidRDefault="00BD6B89" w:rsidP="00BC2E1F">
      <w:pPr>
        <w:tabs>
          <w:tab w:val="left" w:pos="8640"/>
        </w:tabs>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of</w:t>
      </w:r>
      <w:proofErr w:type="gramEnd"/>
      <w:r>
        <w:rPr>
          <w:rFonts w:ascii="Times New Roman" w:hAnsi="Times New Roman" w:cs="Times New Roman"/>
          <w:sz w:val="24"/>
          <w:szCs w:val="24"/>
          <w:lang w:val="es-ES"/>
        </w:rPr>
        <w:t xml:space="preserve"> canned peaches</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121</w:t>
      </w:r>
    </w:p>
    <w:p w:rsidR="00886D24" w:rsidRDefault="00F7692D" w:rsidP="00BD6B89">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Fig. 6:</w:t>
      </w:r>
      <w:r w:rsidR="00BD6B89">
        <w:rPr>
          <w:rFonts w:ascii="Times New Roman" w:hAnsi="Times New Roman" w:cs="Times New Roman"/>
          <w:sz w:val="24"/>
          <w:szCs w:val="24"/>
          <w:lang w:val="es-ES"/>
        </w:rPr>
        <w:t xml:space="preserve"> Effect of treatment on </w:t>
      </w:r>
      <w:r w:rsidR="001537A3">
        <w:rPr>
          <w:rFonts w:ascii="Times New Roman" w:hAnsi="Times New Roman" w:cs="Times New Roman"/>
          <w:sz w:val="24"/>
          <w:szCs w:val="24"/>
          <w:lang w:val="es-ES"/>
        </w:rPr>
        <w:t>b</w:t>
      </w:r>
      <w:r w:rsidR="00BD6B89">
        <w:rPr>
          <w:rFonts w:ascii="Times New Roman" w:hAnsi="Times New Roman" w:cs="Times New Roman"/>
          <w:sz w:val="24"/>
          <w:szCs w:val="24"/>
          <w:lang w:val="es-ES"/>
        </w:rPr>
        <w:t xml:space="preserve">* value during storage at </w:t>
      </w:r>
      <w:r w:rsidR="001537A3">
        <w:rPr>
          <w:rFonts w:ascii="Times New Roman" w:hAnsi="Times New Roman" w:cs="Times New Roman"/>
          <w:sz w:val="24"/>
          <w:szCs w:val="24"/>
          <w:lang w:val="es-ES"/>
        </w:rPr>
        <w:t>4</w:t>
      </w:r>
      <w:r w:rsidR="00BD6B89">
        <w:rPr>
          <w:rFonts w:ascii="Times New Roman" w:hAnsi="Times New Roman" w:cs="Times New Roman"/>
          <w:sz w:val="24"/>
          <w:szCs w:val="24"/>
          <w:lang w:val="es-ES"/>
        </w:rPr>
        <w:t xml:space="preserve">0°C. A: Pouches </w:t>
      </w:r>
    </w:p>
    <w:p w:rsidR="00886D24" w:rsidRDefault="00886D24" w:rsidP="00E81D2A">
      <w:pPr>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m</w:t>
      </w:r>
      <w:r w:rsidR="00BD6B89">
        <w:rPr>
          <w:rFonts w:ascii="Times New Roman" w:hAnsi="Times New Roman" w:cs="Times New Roman"/>
          <w:sz w:val="24"/>
          <w:szCs w:val="24"/>
          <w:lang w:val="es-ES"/>
        </w:rPr>
        <w:t>ade</w:t>
      </w:r>
      <w:proofErr w:type="gramEnd"/>
      <w:r>
        <w:rPr>
          <w:rFonts w:ascii="Times New Roman" w:hAnsi="Times New Roman" w:cs="Times New Roman"/>
          <w:sz w:val="24"/>
          <w:szCs w:val="24"/>
          <w:lang w:val="es-ES"/>
        </w:rPr>
        <w:t xml:space="preserve"> </w:t>
      </w:r>
      <w:r w:rsidR="00BD6B89">
        <w:rPr>
          <w:rFonts w:ascii="Times New Roman" w:hAnsi="Times New Roman" w:cs="Times New Roman"/>
          <w:sz w:val="24"/>
          <w:szCs w:val="24"/>
          <w:lang w:val="es-ES"/>
        </w:rPr>
        <w:t>of IQF peaches; B: Pouches made of IQF peaches; C: Pouches made</w:t>
      </w:r>
    </w:p>
    <w:p w:rsidR="00BD6B89" w:rsidRDefault="00BD6B89" w:rsidP="00BC2E1F">
      <w:pPr>
        <w:tabs>
          <w:tab w:val="left" w:pos="8640"/>
        </w:tabs>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of</w:t>
      </w:r>
      <w:proofErr w:type="gramEnd"/>
      <w:r>
        <w:rPr>
          <w:rFonts w:ascii="Times New Roman" w:hAnsi="Times New Roman" w:cs="Times New Roman"/>
          <w:sz w:val="24"/>
          <w:szCs w:val="24"/>
          <w:lang w:val="es-ES"/>
        </w:rPr>
        <w:t xml:space="preserve"> canned peaches</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122</w:t>
      </w:r>
    </w:p>
    <w:p w:rsidR="00886D24" w:rsidRDefault="00F7692D" w:rsidP="00F7692D">
      <w:pPr>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 xml:space="preserve">Fig. 7: </w:t>
      </w:r>
      <w:r w:rsidR="00BD6B89">
        <w:rPr>
          <w:rFonts w:ascii="Times New Roman" w:hAnsi="Times New Roman" w:cs="Times New Roman"/>
          <w:sz w:val="24"/>
          <w:szCs w:val="24"/>
          <w:lang w:val="es-ES"/>
        </w:rPr>
        <w:t xml:space="preserve">Effect of treatment on ∆E* value during storage at </w:t>
      </w:r>
      <w:r w:rsidR="001537A3">
        <w:rPr>
          <w:rFonts w:ascii="Times New Roman" w:hAnsi="Times New Roman" w:cs="Times New Roman"/>
          <w:sz w:val="24"/>
          <w:szCs w:val="24"/>
          <w:lang w:val="es-ES"/>
        </w:rPr>
        <w:t>51</w:t>
      </w:r>
      <w:r w:rsidR="00BD6B89">
        <w:rPr>
          <w:rFonts w:ascii="Times New Roman" w:hAnsi="Times New Roman" w:cs="Times New Roman"/>
          <w:sz w:val="24"/>
          <w:szCs w:val="24"/>
          <w:lang w:val="es-ES"/>
        </w:rPr>
        <w:t xml:space="preserve">°C. A: Pouches </w:t>
      </w:r>
    </w:p>
    <w:p w:rsidR="00886D24" w:rsidRDefault="00BD6B89" w:rsidP="00F7692D">
      <w:pPr>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made</w:t>
      </w:r>
      <w:proofErr w:type="gramEnd"/>
      <w:r>
        <w:rPr>
          <w:rFonts w:ascii="Times New Roman" w:hAnsi="Times New Roman" w:cs="Times New Roman"/>
          <w:sz w:val="24"/>
          <w:szCs w:val="24"/>
          <w:lang w:val="es-ES"/>
        </w:rPr>
        <w:t xml:space="preserve"> of</w:t>
      </w:r>
      <w:r w:rsidR="00886D24">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IQF peaches; B: Pouches made of IQF peaches; C: Pouches </w:t>
      </w:r>
    </w:p>
    <w:p w:rsidR="00F7692D" w:rsidRDefault="00BD6B89" w:rsidP="00BC2E1F">
      <w:pPr>
        <w:tabs>
          <w:tab w:val="left" w:pos="8640"/>
        </w:tabs>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made</w:t>
      </w:r>
      <w:proofErr w:type="gramEnd"/>
      <w:r>
        <w:rPr>
          <w:rFonts w:ascii="Times New Roman" w:hAnsi="Times New Roman" w:cs="Times New Roman"/>
          <w:sz w:val="24"/>
          <w:szCs w:val="24"/>
          <w:lang w:val="es-ES"/>
        </w:rPr>
        <w:t xml:space="preserve"> of canned peaches</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123</w:t>
      </w:r>
    </w:p>
    <w:p w:rsidR="00886D24" w:rsidRDefault="00F7692D" w:rsidP="00F7692D">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lastRenderedPageBreak/>
        <w:tab/>
        <w:t>Fig. 8:</w:t>
      </w:r>
      <w:r w:rsidR="001537A3" w:rsidRPr="001537A3">
        <w:rPr>
          <w:rFonts w:ascii="Times New Roman" w:hAnsi="Times New Roman" w:cs="Times New Roman"/>
          <w:sz w:val="24"/>
          <w:szCs w:val="24"/>
          <w:lang w:val="es-ES"/>
        </w:rPr>
        <w:t xml:space="preserve"> </w:t>
      </w:r>
      <w:r w:rsidR="001537A3">
        <w:rPr>
          <w:rFonts w:ascii="Times New Roman" w:hAnsi="Times New Roman" w:cs="Times New Roman"/>
          <w:sz w:val="24"/>
          <w:szCs w:val="24"/>
          <w:lang w:val="es-ES"/>
        </w:rPr>
        <w:t>Effect of treatment on ∆E* value during storage at 40°C. A: Pouches</w:t>
      </w:r>
    </w:p>
    <w:p w:rsidR="00886D24" w:rsidRDefault="001537A3" w:rsidP="00E81D2A">
      <w:pPr>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 xml:space="preserve"> </w:t>
      </w:r>
      <w:proofErr w:type="gramStart"/>
      <w:r>
        <w:rPr>
          <w:rFonts w:ascii="Times New Roman" w:hAnsi="Times New Roman" w:cs="Times New Roman"/>
          <w:sz w:val="24"/>
          <w:szCs w:val="24"/>
          <w:lang w:val="es-ES"/>
        </w:rPr>
        <w:t>made</w:t>
      </w:r>
      <w:proofErr w:type="gramEnd"/>
      <w:r>
        <w:rPr>
          <w:rFonts w:ascii="Times New Roman" w:hAnsi="Times New Roman" w:cs="Times New Roman"/>
          <w:sz w:val="24"/>
          <w:szCs w:val="24"/>
          <w:lang w:val="es-ES"/>
        </w:rPr>
        <w:t xml:space="preserve"> of IQF peaches; B: Pouches made of IQF peaches; C: Pouches made </w:t>
      </w:r>
    </w:p>
    <w:p w:rsidR="00F7692D" w:rsidRDefault="001537A3" w:rsidP="00BC2E1F">
      <w:pPr>
        <w:tabs>
          <w:tab w:val="left" w:pos="8640"/>
        </w:tabs>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of</w:t>
      </w:r>
      <w:proofErr w:type="gramEnd"/>
      <w:r>
        <w:rPr>
          <w:rFonts w:ascii="Times New Roman" w:hAnsi="Times New Roman" w:cs="Times New Roman"/>
          <w:sz w:val="24"/>
          <w:szCs w:val="24"/>
          <w:lang w:val="es-ES"/>
        </w:rPr>
        <w:t xml:space="preserve"> canned peaches</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124</w:t>
      </w:r>
    </w:p>
    <w:p w:rsidR="00886D24" w:rsidRDefault="00F7692D" w:rsidP="00E81D2A">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9:</w:t>
      </w:r>
      <w:r w:rsidR="001537A3">
        <w:rPr>
          <w:rFonts w:ascii="Times New Roman" w:hAnsi="Times New Roman" w:cs="Times New Roman"/>
          <w:sz w:val="24"/>
          <w:szCs w:val="24"/>
          <w:lang w:val="es-ES"/>
        </w:rPr>
        <w:t xml:space="preserve"> Effect of treatment on ascorbic acid concentration during storage at </w:t>
      </w:r>
    </w:p>
    <w:p w:rsidR="00886D24" w:rsidRDefault="001537A3" w:rsidP="00E81D2A">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 xml:space="preserve">51°C. A: Pouches made of IQF peaches; B: Pouches made of IQF peaches; </w:t>
      </w:r>
    </w:p>
    <w:p w:rsidR="00F7692D" w:rsidRDefault="001537A3" w:rsidP="00BC2E1F">
      <w:pPr>
        <w:tabs>
          <w:tab w:val="left" w:pos="864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C: Pouches made of canned peaches</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125</w:t>
      </w:r>
    </w:p>
    <w:p w:rsidR="00886D24" w:rsidRDefault="00F7692D" w:rsidP="00E81D2A">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Fig. 10</w:t>
      </w:r>
      <w:proofErr w:type="gramStart"/>
      <w:r>
        <w:rPr>
          <w:rFonts w:ascii="Times New Roman" w:hAnsi="Times New Roman" w:cs="Times New Roman"/>
          <w:sz w:val="24"/>
          <w:szCs w:val="24"/>
          <w:lang w:val="es-ES"/>
        </w:rPr>
        <w:t>:</w:t>
      </w:r>
      <w:r w:rsidR="001537A3">
        <w:rPr>
          <w:rFonts w:ascii="Times New Roman" w:hAnsi="Times New Roman" w:cs="Times New Roman"/>
          <w:sz w:val="24"/>
          <w:szCs w:val="24"/>
          <w:lang w:val="es-ES"/>
        </w:rPr>
        <w:t xml:space="preserve"> :</w:t>
      </w:r>
      <w:proofErr w:type="gramEnd"/>
      <w:r w:rsidR="001537A3">
        <w:rPr>
          <w:rFonts w:ascii="Times New Roman" w:hAnsi="Times New Roman" w:cs="Times New Roman"/>
          <w:sz w:val="24"/>
          <w:szCs w:val="24"/>
          <w:lang w:val="es-ES"/>
        </w:rPr>
        <w:t xml:space="preserve"> Effect of treatment on ascorbic acid concentration during storage at</w:t>
      </w:r>
    </w:p>
    <w:p w:rsidR="00886D24" w:rsidRDefault="001537A3" w:rsidP="00E81D2A">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 xml:space="preserve"> 40°C. A: Pouches made of IQF peaches; B: Pouches made of IQF peaches; </w:t>
      </w:r>
    </w:p>
    <w:p w:rsidR="001537A3" w:rsidRDefault="001537A3" w:rsidP="00BC2E1F">
      <w:pPr>
        <w:tabs>
          <w:tab w:val="left" w:pos="864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C: Pouches made of canned peaches</w:t>
      </w:r>
      <w:r w:rsidR="00141975">
        <w:rPr>
          <w:rFonts w:ascii="Times New Roman" w:hAnsi="Times New Roman" w:cs="Times New Roman"/>
          <w:sz w:val="24"/>
          <w:szCs w:val="24"/>
          <w:lang w:val="es-ES"/>
        </w:rPr>
        <w:t>……………………………………………….</w:t>
      </w:r>
      <w:r w:rsidR="00030B0E">
        <w:rPr>
          <w:rFonts w:ascii="Times New Roman" w:hAnsi="Times New Roman" w:cs="Times New Roman"/>
          <w:sz w:val="24"/>
          <w:szCs w:val="24"/>
          <w:lang w:val="es-ES"/>
        </w:rPr>
        <w:tab/>
        <w:t>126</w:t>
      </w:r>
    </w:p>
    <w:p w:rsidR="00F7692D" w:rsidRDefault="00F7692D" w:rsidP="00F7692D">
      <w:pPr>
        <w:spacing w:after="0" w:line="360" w:lineRule="auto"/>
        <w:rPr>
          <w:rFonts w:ascii="Times New Roman" w:hAnsi="Times New Roman" w:cs="Times New Roman"/>
          <w:sz w:val="24"/>
          <w:szCs w:val="24"/>
          <w:lang w:val="es-ES"/>
        </w:rPr>
      </w:pPr>
    </w:p>
    <w:p w:rsidR="001D7252" w:rsidRDefault="001D7252" w:rsidP="007E11C1">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rsidR="001D7252" w:rsidRDefault="00141975" w:rsidP="00141975">
      <w:pPr>
        <w:rPr>
          <w:rFonts w:ascii="Times New Roman" w:hAnsi="Times New Roman" w:cs="Times New Roman"/>
          <w:b/>
          <w:sz w:val="28"/>
          <w:szCs w:val="28"/>
        </w:rPr>
      </w:pPr>
      <w:r>
        <w:rPr>
          <w:rFonts w:ascii="Times New Roman" w:hAnsi="Times New Roman" w:cs="Times New Roman"/>
          <w:b/>
          <w:sz w:val="28"/>
          <w:szCs w:val="28"/>
        </w:rPr>
        <w:lastRenderedPageBreak/>
        <w:t>L</w:t>
      </w:r>
      <w:r w:rsidR="001D7252" w:rsidRPr="001D7252">
        <w:rPr>
          <w:rFonts w:ascii="Times New Roman" w:hAnsi="Times New Roman" w:cs="Times New Roman"/>
          <w:b/>
          <w:sz w:val="28"/>
          <w:szCs w:val="28"/>
        </w:rPr>
        <w:t xml:space="preserve">IST OF </w:t>
      </w:r>
      <w:r w:rsidR="002E3B16">
        <w:rPr>
          <w:rFonts w:ascii="Times New Roman" w:hAnsi="Times New Roman" w:cs="Times New Roman"/>
          <w:b/>
          <w:sz w:val="28"/>
          <w:szCs w:val="28"/>
        </w:rPr>
        <w:t>TABLES</w:t>
      </w:r>
    </w:p>
    <w:p w:rsidR="00327008" w:rsidRDefault="00327008" w:rsidP="00327008">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CHAPTER 3: KINETICS OF NONENZYMATIC BRONING IN PEACH PUREE DURING STORAGE</w:t>
      </w:r>
    </w:p>
    <w:p w:rsidR="00327008" w:rsidRDefault="00327008" w:rsidP="00BC2E1F">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 xml:space="preserve">Table 1: </w:t>
      </w:r>
      <w:r w:rsidR="00BC2E1F">
        <w:rPr>
          <w:rFonts w:ascii="Times New Roman" w:hAnsi="Times New Roman" w:cs="Times New Roman"/>
          <w:sz w:val="24"/>
          <w:szCs w:val="24"/>
          <w:lang w:val="es-ES"/>
        </w:rPr>
        <w:t>pH and °Brix values at the beginning and at the end of the storage</w:t>
      </w:r>
      <w:r w:rsidR="00B849D7">
        <w:rPr>
          <w:rFonts w:ascii="Times New Roman" w:hAnsi="Times New Roman" w:cs="Times New Roman"/>
          <w:sz w:val="24"/>
          <w:szCs w:val="24"/>
          <w:lang w:val="es-ES"/>
        </w:rPr>
        <w:t>……...</w:t>
      </w:r>
      <w:r w:rsidR="008E2413">
        <w:rPr>
          <w:rFonts w:ascii="Times New Roman" w:hAnsi="Times New Roman" w:cs="Times New Roman"/>
          <w:sz w:val="24"/>
          <w:szCs w:val="24"/>
          <w:lang w:val="es-ES"/>
        </w:rPr>
        <w:tab/>
        <w:t>62</w:t>
      </w:r>
      <w:r w:rsidR="00D75C33">
        <w:rPr>
          <w:rFonts w:ascii="Times New Roman" w:hAnsi="Times New Roman" w:cs="Times New Roman"/>
          <w:sz w:val="24"/>
          <w:szCs w:val="24"/>
          <w:lang w:val="es-ES"/>
        </w:rPr>
        <w:tab/>
      </w:r>
    </w:p>
    <w:p w:rsidR="00327008" w:rsidRDefault="00327008" w:rsidP="00D75C3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2:</w:t>
      </w:r>
      <w:r w:rsidR="00BC2E1F">
        <w:rPr>
          <w:rFonts w:ascii="Times New Roman" w:hAnsi="Times New Roman" w:cs="Times New Roman"/>
          <w:sz w:val="24"/>
          <w:szCs w:val="24"/>
          <w:lang w:val="es-ES"/>
        </w:rPr>
        <w:t xml:space="preserve"> Rate constants of a* value</w:t>
      </w:r>
      <w:r w:rsidR="00B849D7">
        <w:rPr>
          <w:rFonts w:ascii="Times New Roman" w:hAnsi="Times New Roman" w:cs="Times New Roman"/>
          <w:sz w:val="24"/>
          <w:szCs w:val="24"/>
          <w:lang w:val="es-ES"/>
        </w:rPr>
        <w:t>………………………………………………..</w:t>
      </w:r>
      <w:r w:rsidR="008E2413">
        <w:rPr>
          <w:rFonts w:ascii="Times New Roman" w:hAnsi="Times New Roman" w:cs="Times New Roman"/>
          <w:sz w:val="24"/>
          <w:szCs w:val="24"/>
          <w:lang w:val="es-ES"/>
        </w:rPr>
        <w:tab/>
        <w:t>62</w:t>
      </w:r>
    </w:p>
    <w:p w:rsidR="00327008" w:rsidRDefault="00327008" w:rsidP="00D75C3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3:</w:t>
      </w:r>
      <w:r w:rsidR="00BC2E1F">
        <w:rPr>
          <w:rFonts w:ascii="Times New Roman" w:hAnsi="Times New Roman" w:cs="Times New Roman"/>
          <w:sz w:val="24"/>
          <w:szCs w:val="24"/>
          <w:lang w:val="es-ES"/>
        </w:rPr>
        <w:t xml:space="preserve"> Rate constants of ∆E* value</w:t>
      </w:r>
      <w:r w:rsidR="00B849D7">
        <w:rPr>
          <w:rFonts w:ascii="Times New Roman" w:hAnsi="Times New Roman" w:cs="Times New Roman"/>
          <w:sz w:val="24"/>
          <w:szCs w:val="24"/>
          <w:lang w:val="es-ES"/>
        </w:rPr>
        <w:t>……………………………………………..</w:t>
      </w:r>
      <w:r w:rsidR="008E2413">
        <w:rPr>
          <w:rFonts w:ascii="Times New Roman" w:hAnsi="Times New Roman" w:cs="Times New Roman"/>
          <w:sz w:val="24"/>
          <w:szCs w:val="24"/>
          <w:lang w:val="es-ES"/>
        </w:rPr>
        <w:tab/>
        <w:t>62</w:t>
      </w:r>
    </w:p>
    <w:p w:rsidR="00BC2E1F" w:rsidRDefault="00327008" w:rsidP="00327008">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4:</w:t>
      </w:r>
      <w:r w:rsidR="00BC2E1F">
        <w:rPr>
          <w:rFonts w:ascii="Times New Roman" w:hAnsi="Times New Roman" w:cs="Times New Roman"/>
          <w:sz w:val="24"/>
          <w:szCs w:val="24"/>
          <w:lang w:val="es-ES"/>
        </w:rPr>
        <w:t xml:space="preserve"> Rate constants of the ascorbic acid and ascorbyl-2-phoshate at the </w:t>
      </w:r>
    </w:p>
    <w:p w:rsidR="00327008" w:rsidRDefault="00BC2E1F" w:rsidP="00D75C33">
      <w:pPr>
        <w:tabs>
          <w:tab w:val="left" w:pos="8640"/>
        </w:tabs>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different</w:t>
      </w:r>
      <w:proofErr w:type="gramEnd"/>
      <w:r>
        <w:rPr>
          <w:rFonts w:ascii="Times New Roman" w:hAnsi="Times New Roman" w:cs="Times New Roman"/>
          <w:sz w:val="24"/>
          <w:szCs w:val="24"/>
          <w:lang w:val="es-ES"/>
        </w:rPr>
        <w:t xml:space="preserve"> studied </w:t>
      </w:r>
      <w:r w:rsidR="006C6E54">
        <w:rPr>
          <w:rFonts w:ascii="Times New Roman" w:hAnsi="Times New Roman" w:cs="Times New Roman"/>
          <w:sz w:val="24"/>
          <w:szCs w:val="24"/>
          <w:lang w:val="es-ES"/>
        </w:rPr>
        <w:t>temperaturas</w:t>
      </w:r>
      <w:r w:rsidR="00B849D7">
        <w:rPr>
          <w:rFonts w:ascii="Times New Roman" w:hAnsi="Times New Roman" w:cs="Times New Roman"/>
          <w:sz w:val="24"/>
          <w:szCs w:val="24"/>
          <w:lang w:val="es-ES"/>
        </w:rPr>
        <w:t>………………………………………………………</w:t>
      </w:r>
      <w:r w:rsidR="008E2413">
        <w:rPr>
          <w:rFonts w:ascii="Times New Roman" w:hAnsi="Times New Roman" w:cs="Times New Roman"/>
          <w:sz w:val="24"/>
          <w:szCs w:val="24"/>
          <w:lang w:val="es-ES"/>
        </w:rPr>
        <w:tab/>
        <w:t>63</w:t>
      </w:r>
    </w:p>
    <w:p w:rsidR="00327008" w:rsidRDefault="00327008" w:rsidP="00327008">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5:</w:t>
      </w:r>
      <w:r w:rsidR="00BC2E1F">
        <w:rPr>
          <w:rFonts w:ascii="Times New Roman" w:hAnsi="Times New Roman" w:cs="Times New Roman"/>
          <w:sz w:val="24"/>
          <w:szCs w:val="24"/>
          <w:lang w:val="es-ES"/>
        </w:rPr>
        <w:t xml:space="preserve"> Correlation coefficients (R) between each color parameter and type of </w:t>
      </w:r>
    </w:p>
    <w:p w:rsidR="00BC2E1F" w:rsidRDefault="00BC2E1F" w:rsidP="00D75C3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r>
      <w:proofErr w:type="gramStart"/>
      <w:r>
        <w:rPr>
          <w:rFonts w:ascii="Times New Roman" w:hAnsi="Times New Roman" w:cs="Times New Roman"/>
          <w:sz w:val="24"/>
          <w:szCs w:val="24"/>
          <w:lang w:val="es-ES"/>
        </w:rPr>
        <w:t>ascorbic</w:t>
      </w:r>
      <w:proofErr w:type="gramEnd"/>
      <w:r>
        <w:rPr>
          <w:rFonts w:ascii="Times New Roman" w:hAnsi="Times New Roman" w:cs="Times New Roman"/>
          <w:sz w:val="24"/>
          <w:szCs w:val="24"/>
          <w:lang w:val="es-ES"/>
        </w:rPr>
        <w:t xml:space="preserve"> acid</w:t>
      </w:r>
      <w:r w:rsidR="00B849D7">
        <w:rPr>
          <w:rFonts w:ascii="Times New Roman" w:hAnsi="Times New Roman" w:cs="Times New Roman"/>
          <w:sz w:val="24"/>
          <w:szCs w:val="24"/>
          <w:lang w:val="es-ES"/>
        </w:rPr>
        <w:t>………………………………………………………………………..</w:t>
      </w:r>
      <w:r w:rsidR="008E2413">
        <w:rPr>
          <w:rFonts w:ascii="Times New Roman" w:hAnsi="Times New Roman" w:cs="Times New Roman"/>
          <w:sz w:val="24"/>
          <w:szCs w:val="24"/>
          <w:lang w:val="es-ES"/>
        </w:rPr>
        <w:tab/>
        <w:t>63</w:t>
      </w:r>
    </w:p>
    <w:p w:rsidR="00327008" w:rsidRDefault="00327008" w:rsidP="00327008">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6:</w:t>
      </w:r>
      <w:r w:rsidR="00BC2E1F">
        <w:rPr>
          <w:rFonts w:ascii="Times New Roman" w:hAnsi="Times New Roman" w:cs="Times New Roman"/>
          <w:sz w:val="24"/>
          <w:szCs w:val="24"/>
          <w:lang w:val="es-ES"/>
        </w:rPr>
        <w:t xml:space="preserve"> Energy of activation of ascorbic acid and ascorbyl-2-phosphate destruction </w:t>
      </w:r>
    </w:p>
    <w:p w:rsidR="00BC2E1F" w:rsidRDefault="00BC2E1F" w:rsidP="00D75C33">
      <w:pPr>
        <w:tabs>
          <w:tab w:val="left" w:pos="720"/>
          <w:tab w:val="left" w:pos="8640"/>
        </w:tabs>
        <w:spacing w:after="0" w:line="360" w:lineRule="auto"/>
        <w:rPr>
          <w:rFonts w:ascii="Times New Roman" w:hAnsi="Times New Roman" w:cs="Times New Roman"/>
          <w:sz w:val="28"/>
          <w:szCs w:val="28"/>
        </w:rPr>
      </w:pPr>
      <w:r>
        <w:rPr>
          <w:rFonts w:ascii="Times New Roman" w:hAnsi="Times New Roman" w:cs="Times New Roman"/>
          <w:sz w:val="24"/>
          <w:szCs w:val="24"/>
          <w:lang w:val="es-ES"/>
        </w:rPr>
        <w:tab/>
      </w:r>
      <w:proofErr w:type="gramStart"/>
      <w:r>
        <w:rPr>
          <w:rFonts w:ascii="Times New Roman" w:hAnsi="Times New Roman" w:cs="Times New Roman"/>
          <w:sz w:val="24"/>
          <w:szCs w:val="24"/>
          <w:lang w:val="es-ES"/>
        </w:rPr>
        <w:t>in</w:t>
      </w:r>
      <w:proofErr w:type="gramEnd"/>
      <w:r>
        <w:rPr>
          <w:rFonts w:ascii="Times New Roman" w:hAnsi="Times New Roman" w:cs="Times New Roman"/>
          <w:sz w:val="24"/>
          <w:szCs w:val="24"/>
          <w:lang w:val="es-ES"/>
        </w:rPr>
        <w:t xml:space="preserve"> peach puree</w:t>
      </w:r>
      <w:r w:rsidR="00B849D7">
        <w:rPr>
          <w:rFonts w:ascii="Times New Roman" w:hAnsi="Times New Roman" w:cs="Times New Roman"/>
          <w:sz w:val="24"/>
          <w:szCs w:val="24"/>
          <w:lang w:val="es-ES"/>
        </w:rPr>
        <w:t>………………………………………………………………………</w:t>
      </w:r>
      <w:r w:rsidR="006C6E54">
        <w:rPr>
          <w:rFonts w:ascii="Times New Roman" w:hAnsi="Times New Roman" w:cs="Times New Roman"/>
          <w:sz w:val="24"/>
          <w:szCs w:val="24"/>
          <w:lang w:val="es-ES"/>
        </w:rPr>
        <w:tab/>
        <w:t>6</w:t>
      </w:r>
      <w:r w:rsidR="008E2413">
        <w:rPr>
          <w:rFonts w:ascii="Times New Roman" w:hAnsi="Times New Roman" w:cs="Times New Roman"/>
          <w:sz w:val="24"/>
          <w:szCs w:val="24"/>
          <w:lang w:val="es-ES"/>
        </w:rPr>
        <w:t>3</w:t>
      </w:r>
    </w:p>
    <w:p w:rsidR="00327008" w:rsidRDefault="00327008" w:rsidP="00327008">
      <w:pPr>
        <w:spacing w:after="0" w:line="360" w:lineRule="auto"/>
        <w:rPr>
          <w:rFonts w:ascii="Times New Roman" w:hAnsi="Times New Roman" w:cs="Times New Roman"/>
          <w:sz w:val="28"/>
          <w:szCs w:val="28"/>
        </w:rPr>
      </w:pPr>
      <w:r>
        <w:rPr>
          <w:rFonts w:ascii="Times New Roman" w:hAnsi="Times New Roman" w:cs="Times New Roman"/>
          <w:sz w:val="24"/>
          <w:szCs w:val="24"/>
          <w:lang w:val="es-ES"/>
        </w:rPr>
        <w:t xml:space="preserve">CHAPTER 4: </w:t>
      </w:r>
      <w:r w:rsidRPr="00F6000D">
        <w:rPr>
          <w:rFonts w:ascii="Times New Roman" w:hAnsi="Times New Roman"/>
          <w:sz w:val="24"/>
          <w:szCs w:val="24"/>
        </w:rPr>
        <w:t>EFFECT OF L-ASCORBYL-2-PHOSPHATE AND PYCNOGENOL ON THE QUALITY OF DICED PEACHES IN FLEXIBLE RETORTABLE POUCHES</w:t>
      </w:r>
      <w:r>
        <w:rPr>
          <w:rFonts w:ascii="Times New Roman" w:hAnsi="Times New Roman" w:cs="Times New Roman"/>
          <w:sz w:val="28"/>
          <w:szCs w:val="28"/>
        </w:rPr>
        <w:t xml:space="preserve"> </w:t>
      </w:r>
    </w:p>
    <w:p w:rsidR="00327008" w:rsidRDefault="00327008" w:rsidP="00D75C3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8"/>
          <w:szCs w:val="28"/>
        </w:rPr>
        <w:tab/>
      </w:r>
      <w:r>
        <w:rPr>
          <w:rFonts w:ascii="Times New Roman" w:hAnsi="Times New Roman" w:cs="Times New Roman"/>
          <w:sz w:val="24"/>
          <w:szCs w:val="24"/>
          <w:lang w:val="es-ES"/>
        </w:rPr>
        <w:t xml:space="preserve">Table 1: </w:t>
      </w:r>
      <w:r w:rsidR="00BC2E1F">
        <w:rPr>
          <w:rFonts w:ascii="Times New Roman" w:hAnsi="Times New Roman" w:cs="Times New Roman"/>
          <w:sz w:val="24"/>
          <w:szCs w:val="24"/>
          <w:lang w:val="es-ES"/>
        </w:rPr>
        <w:t>Characteristics of syrups</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94</w:t>
      </w:r>
    </w:p>
    <w:p w:rsidR="00327008" w:rsidRDefault="00327008" w:rsidP="00D75C3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2:</w:t>
      </w:r>
      <w:r w:rsidR="00BC2E1F">
        <w:rPr>
          <w:rFonts w:ascii="Times New Roman" w:hAnsi="Times New Roman" w:cs="Times New Roman"/>
          <w:sz w:val="24"/>
          <w:szCs w:val="24"/>
          <w:lang w:val="es-ES"/>
        </w:rPr>
        <w:t xml:space="preserve"> Changes of pH during storage at 51°C </w:t>
      </w:r>
      <w:r w:rsidR="00494EA2">
        <w:rPr>
          <w:rFonts w:ascii="Times New Roman" w:hAnsi="Times New Roman" w:cs="Times New Roman"/>
          <w:sz w:val="24"/>
          <w:szCs w:val="24"/>
          <w:lang w:val="es-ES"/>
        </w:rPr>
        <w:t>and 40°C in retortable pouches</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94</w:t>
      </w:r>
    </w:p>
    <w:p w:rsidR="00327008" w:rsidRDefault="00327008" w:rsidP="00D75C3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3:</w:t>
      </w:r>
      <w:r w:rsidR="00494EA2">
        <w:rPr>
          <w:rFonts w:ascii="Times New Roman" w:hAnsi="Times New Roman" w:cs="Times New Roman"/>
          <w:sz w:val="24"/>
          <w:szCs w:val="24"/>
          <w:lang w:val="es-ES"/>
        </w:rPr>
        <w:t xml:space="preserve"> Changes of °Brix during storage at 51°C and 40°C in retortabe pouches</w:t>
      </w:r>
      <w:proofErr w:type="gramStart"/>
      <w:r w:rsidR="00B849D7">
        <w:rPr>
          <w:rFonts w:ascii="Times New Roman" w:hAnsi="Times New Roman" w:cs="Times New Roman"/>
          <w:sz w:val="24"/>
          <w:szCs w:val="24"/>
          <w:lang w:val="es-ES"/>
        </w:rPr>
        <w:t>..</w:t>
      </w:r>
      <w:proofErr w:type="gramEnd"/>
      <w:r w:rsidR="004F5396">
        <w:rPr>
          <w:rFonts w:ascii="Times New Roman" w:hAnsi="Times New Roman" w:cs="Times New Roman"/>
          <w:sz w:val="24"/>
          <w:szCs w:val="24"/>
          <w:lang w:val="es-ES"/>
        </w:rPr>
        <w:tab/>
        <w:t>94</w:t>
      </w:r>
    </w:p>
    <w:p w:rsidR="00D44D28" w:rsidRDefault="00327008" w:rsidP="00D75C3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4:</w:t>
      </w:r>
      <w:r w:rsidR="00494EA2">
        <w:rPr>
          <w:rFonts w:ascii="Times New Roman" w:hAnsi="Times New Roman" w:cs="Times New Roman"/>
          <w:sz w:val="24"/>
          <w:szCs w:val="24"/>
          <w:lang w:val="es-ES"/>
        </w:rPr>
        <w:t xml:space="preserve"> Vitamin C and Pycnogenol concentration</w:t>
      </w:r>
      <w:r w:rsidR="00D44D28">
        <w:rPr>
          <w:rFonts w:ascii="Times New Roman" w:hAnsi="Times New Roman" w:cs="Times New Roman"/>
          <w:sz w:val="24"/>
          <w:szCs w:val="24"/>
          <w:lang w:val="es-ES"/>
        </w:rPr>
        <w:t xml:space="preserve"> effect on L* values at the </w:t>
      </w:r>
    </w:p>
    <w:p w:rsidR="00327008" w:rsidRDefault="00D44D28" w:rsidP="00D75C33">
      <w:pPr>
        <w:tabs>
          <w:tab w:val="left" w:pos="720"/>
          <w:tab w:val="left" w:pos="8640"/>
        </w:tabs>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beginning</w:t>
      </w:r>
      <w:proofErr w:type="gramEnd"/>
      <w:r>
        <w:rPr>
          <w:rFonts w:ascii="Times New Roman" w:hAnsi="Times New Roman" w:cs="Times New Roman"/>
          <w:sz w:val="24"/>
          <w:szCs w:val="24"/>
          <w:lang w:val="es-ES"/>
        </w:rPr>
        <w:t xml:space="preserve"> and at the end of the storage</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95</w:t>
      </w:r>
    </w:p>
    <w:p w:rsidR="00D75C33" w:rsidRDefault="00327008" w:rsidP="00D75C33">
      <w:pPr>
        <w:tabs>
          <w:tab w:val="left" w:pos="720"/>
          <w:tab w:val="left" w:pos="864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Table 5:</w:t>
      </w:r>
      <w:r w:rsidR="00D44D28">
        <w:rPr>
          <w:rFonts w:ascii="Times New Roman" w:hAnsi="Times New Roman" w:cs="Times New Roman"/>
          <w:sz w:val="24"/>
          <w:szCs w:val="24"/>
          <w:lang w:val="es-ES"/>
        </w:rPr>
        <w:t xml:space="preserve"> Vitamin C and Pycnogenol concentra</w:t>
      </w:r>
      <w:r w:rsidR="004F5396">
        <w:rPr>
          <w:rFonts w:ascii="Times New Roman" w:hAnsi="Times New Roman" w:cs="Times New Roman"/>
          <w:sz w:val="24"/>
          <w:szCs w:val="24"/>
          <w:lang w:val="es-ES"/>
        </w:rPr>
        <w:t>tion effect on a* values at the</w:t>
      </w:r>
    </w:p>
    <w:p w:rsidR="00327008" w:rsidRDefault="00D44D28" w:rsidP="00D75C33">
      <w:pPr>
        <w:tabs>
          <w:tab w:val="left" w:pos="720"/>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beginning</w:t>
      </w:r>
      <w:proofErr w:type="gramEnd"/>
      <w:r>
        <w:rPr>
          <w:rFonts w:ascii="Times New Roman" w:hAnsi="Times New Roman" w:cs="Times New Roman"/>
          <w:sz w:val="24"/>
          <w:szCs w:val="24"/>
          <w:lang w:val="es-ES"/>
        </w:rPr>
        <w:t xml:space="preserve"> and at the end of the storage</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95</w:t>
      </w:r>
    </w:p>
    <w:p w:rsidR="00D75C33" w:rsidRDefault="00327008" w:rsidP="00327008">
      <w:pPr>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6:</w:t>
      </w:r>
      <w:r w:rsidR="00D44D28">
        <w:rPr>
          <w:rFonts w:ascii="Times New Roman" w:hAnsi="Times New Roman" w:cs="Times New Roman"/>
          <w:sz w:val="24"/>
          <w:szCs w:val="24"/>
          <w:lang w:val="es-ES"/>
        </w:rPr>
        <w:t xml:space="preserve"> Vitamin C and Pycnogenol concentration effect on b* values at the </w:t>
      </w:r>
    </w:p>
    <w:p w:rsidR="00327008" w:rsidRDefault="00D75C33" w:rsidP="00D75C33">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r>
      <w:proofErr w:type="gramStart"/>
      <w:r w:rsidR="00D44D28">
        <w:rPr>
          <w:rFonts w:ascii="Times New Roman" w:hAnsi="Times New Roman" w:cs="Times New Roman"/>
          <w:sz w:val="24"/>
          <w:szCs w:val="24"/>
          <w:lang w:val="es-ES"/>
        </w:rPr>
        <w:t>beginning</w:t>
      </w:r>
      <w:proofErr w:type="gramEnd"/>
      <w:r w:rsidR="00D44D28">
        <w:rPr>
          <w:rFonts w:ascii="Times New Roman" w:hAnsi="Times New Roman" w:cs="Times New Roman"/>
          <w:sz w:val="24"/>
          <w:szCs w:val="24"/>
          <w:lang w:val="es-ES"/>
        </w:rPr>
        <w:t xml:space="preserve"> and end of the storage</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95</w:t>
      </w:r>
    </w:p>
    <w:p w:rsidR="006C6E54" w:rsidRDefault="00327008" w:rsidP="00D75C33">
      <w:pPr>
        <w:tabs>
          <w:tab w:val="left" w:pos="72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Table 7:</w:t>
      </w:r>
      <w:r w:rsidR="00D44D28">
        <w:rPr>
          <w:rFonts w:ascii="Times New Roman" w:hAnsi="Times New Roman" w:cs="Times New Roman"/>
          <w:sz w:val="24"/>
          <w:szCs w:val="24"/>
          <w:lang w:val="es-ES"/>
        </w:rPr>
        <w:t xml:space="preserve"> Vitamin C and Pycnogenol concentration effect on ∆E* values at the</w:t>
      </w:r>
    </w:p>
    <w:p w:rsidR="00327008" w:rsidRDefault="00D44D28" w:rsidP="006C6E54">
      <w:pPr>
        <w:tabs>
          <w:tab w:val="left" w:pos="720"/>
          <w:tab w:val="left" w:pos="864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 xml:space="preserve"> </w:t>
      </w:r>
      <w:proofErr w:type="gramStart"/>
      <w:r>
        <w:rPr>
          <w:rFonts w:ascii="Times New Roman" w:hAnsi="Times New Roman" w:cs="Times New Roman"/>
          <w:sz w:val="24"/>
          <w:szCs w:val="24"/>
          <w:lang w:val="es-ES"/>
        </w:rPr>
        <w:t>beginning</w:t>
      </w:r>
      <w:proofErr w:type="gramEnd"/>
      <w:r>
        <w:rPr>
          <w:rFonts w:ascii="Times New Roman" w:hAnsi="Times New Roman" w:cs="Times New Roman"/>
          <w:sz w:val="24"/>
          <w:szCs w:val="24"/>
          <w:lang w:val="es-ES"/>
        </w:rPr>
        <w:t xml:space="preserve"> and end of the storage</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95</w:t>
      </w:r>
    </w:p>
    <w:p w:rsidR="00327008" w:rsidRDefault="00327008" w:rsidP="006C6E54">
      <w:pPr>
        <w:tabs>
          <w:tab w:val="left" w:pos="8640"/>
        </w:tabs>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Table 8:</w:t>
      </w:r>
      <w:r w:rsidR="00D44D28">
        <w:rPr>
          <w:rFonts w:ascii="Times New Roman" w:hAnsi="Times New Roman" w:cs="Times New Roman"/>
          <w:sz w:val="24"/>
          <w:szCs w:val="24"/>
          <w:lang w:val="es-ES"/>
        </w:rPr>
        <w:t xml:space="preserve"> Rate constants of L*, a* and ∆E* parameters</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96</w:t>
      </w:r>
    </w:p>
    <w:p w:rsidR="006C6E54" w:rsidRDefault="00327008" w:rsidP="00327008">
      <w:pPr>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Table 9:</w:t>
      </w:r>
      <w:r w:rsidR="00D44D28">
        <w:rPr>
          <w:rFonts w:ascii="Times New Roman" w:hAnsi="Times New Roman" w:cs="Times New Roman"/>
          <w:sz w:val="24"/>
          <w:szCs w:val="24"/>
          <w:lang w:val="es-ES"/>
        </w:rPr>
        <w:t xml:space="preserve"> Vitamin C and Pycnogenol concentration effect on browning index </w:t>
      </w:r>
    </w:p>
    <w:p w:rsidR="00327008" w:rsidRDefault="006C6E54" w:rsidP="006C6E54">
      <w:pPr>
        <w:tabs>
          <w:tab w:val="left" w:pos="8640"/>
        </w:tabs>
        <w:spacing w:after="0" w:line="360" w:lineRule="auto"/>
        <w:ind w:firstLine="720"/>
        <w:rPr>
          <w:rFonts w:ascii="Times New Roman" w:hAnsi="Times New Roman" w:cs="Times New Roman"/>
          <w:sz w:val="24"/>
          <w:szCs w:val="24"/>
          <w:lang w:val="es-ES"/>
        </w:rPr>
      </w:pPr>
      <w:proofErr w:type="gramStart"/>
      <w:r>
        <w:rPr>
          <w:rFonts w:ascii="Times New Roman" w:hAnsi="Times New Roman" w:cs="Times New Roman"/>
          <w:sz w:val="24"/>
          <w:szCs w:val="24"/>
          <w:lang w:val="es-ES"/>
        </w:rPr>
        <w:t>v</w:t>
      </w:r>
      <w:r w:rsidR="00D44D28">
        <w:rPr>
          <w:rFonts w:ascii="Times New Roman" w:hAnsi="Times New Roman" w:cs="Times New Roman"/>
          <w:sz w:val="24"/>
          <w:szCs w:val="24"/>
          <w:lang w:val="es-ES"/>
        </w:rPr>
        <w:t>alues</w:t>
      </w:r>
      <w:proofErr w:type="gramEnd"/>
      <w:r>
        <w:rPr>
          <w:rFonts w:ascii="Times New Roman" w:hAnsi="Times New Roman" w:cs="Times New Roman"/>
          <w:sz w:val="24"/>
          <w:szCs w:val="24"/>
          <w:lang w:val="es-ES"/>
        </w:rPr>
        <w:t xml:space="preserve"> </w:t>
      </w:r>
      <w:r w:rsidR="00D44D28">
        <w:rPr>
          <w:rFonts w:ascii="Times New Roman" w:hAnsi="Times New Roman" w:cs="Times New Roman"/>
          <w:sz w:val="24"/>
          <w:szCs w:val="24"/>
          <w:lang w:val="es-ES"/>
        </w:rPr>
        <w:t>at the beginning and end of the storage</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97</w:t>
      </w:r>
    </w:p>
    <w:p w:rsidR="00327008" w:rsidRDefault="00327008" w:rsidP="006C6E54">
      <w:pPr>
        <w:tabs>
          <w:tab w:val="left" w:pos="8640"/>
        </w:tabs>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Table 10:</w:t>
      </w:r>
      <w:r w:rsidR="00D44D28">
        <w:rPr>
          <w:rFonts w:ascii="Times New Roman" w:hAnsi="Times New Roman" w:cs="Times New Roman"/>
          <w:sz w:val="24"/>
          <w:szCs w:val="24"/>
          <w:lang w:val="es-ES"/>
        </w:rPr>
        <w:t xml:space="preserve"> Rate constants of browning index</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97</w:t>
      </w:r>
    </w:p>
    <w:p w:rsidR="006C6E54" w:rsidRDefault="00327008" w:rsidP="006C6E54">
      <w:pPr>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Table 11:</w:t>
      </w:r>
      <w:r w:rsidR="00D44D28">
        <w:rPr>
          <w:rFonts w:ascii="Times New Roman" w:hAnsi="Times New Roman" w:cs="Times New Roman"/>
          <w:sz w:val="24"/>
          <w:szCs w:val="24"/>
          <w:lang w:val="es-ES"/>
        </w:rPr>
        <w:t xml:space="preserve"> </w:t>
      </w:r>
      <w:r w:rsidR="00D75C33">
        <w:rPr>
          <w:rFonts w:ascii="Times New Roman" w:hAnsi="Times New Roman" w:cs="Times New Roman"/>
          <w:sz w:val="24"/>
          <w:szCs w:val="24"/>
          <w:lang w:val="es-ES"/>
        </w:rPr>
        <w:t xml:space="preserve">Vitamin C and Pycnogenol concentration effect on vitamin C </w:t>
      </w:r>
    </w:p>
    <w:p w:rsidR="00327008" w:rsidRDefault="00D75C33" w:rsidP="006C6E54">
      <w:pPr>
        <w:tabs>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concentration</w:t>
      </w:r>
      <w:proofErr w:type="gramEnd"/>
      <w:r>
        <w:rPr>
          <w:rFonts w:ascii="Times New Roman" w:hAnsi="Times New Roman" w:cs="Times New Roman"/>
          <w:sz w:val="24"/>
          <w:szCs w:val="24"/>
          <w:lang w:val="es-ES"/>
        </w:rPr>
        <w:t xml:space="preserve"> at the beginning and end of the storage</w:t>
      </w:r>
      <w:r w:rsidR="00B849D7">
        <w:rPr>
          <w:rFonts w:ascii="Times New Roman" w:hAnsi="Times New Roman" w:cs="Times New Roman"/>
          <w:sz w:val="24"/>
          <w:szCs w:val="24"/>
          <w:lang w:val="es-ES"/>
        </w:rPr>
        <w:t>……………………………...</w:t>
      </w:r>
      <w:r w:rsidR="004F5396">
        <w:rPr>
          <w:rFonts w:ascii="Times New Roman" w:hAnsi="Times New Roman" w:cs="Times New Roman"/>
          <w:sz w:val="24"/>
          <w:szCs w:val="24"/>
          <w:lang w:val="es-ES"/>
        </w:rPr>
        <w:tab/>
        <w:t>98</w:t>
      </w:r>
    </w:p>
    <w:p w:rsidR="00BC2E1F" w:rsidRDefault="00BC2E1F" w:rsidP="006C6E54">
      <w:pPr>
        <w:tabs>
          <w:tab w:val="left" w:pos="8640"/>
        </w:tabs>
        <w:spacing w:after="0" w:line="360" w:lineRule="auto"/>
        <w:ind w:firstLine="720"/>
        <w:rPr>
          <w:rFonts w:ascii="Times New Roman" w:hAnsi="Times New Roman" w:cs="Times New Roman"/>
          <w:sz w:val="28"/>
          <w:szCs w:val="28"/>
        </w:rPr>
      </w:pPr>
      <w:r>
        <w:rPr>
          <w:rFonts w:ascii="Times New Roman" w:hAnsi="Times New Roman" w:cs="Times New Roman"/>
          <w:sz w:val="24"/>
          <w:szCs w:val="24"/>
          <w:lang w:val="es-ES"/>
        </w:rPr>
        <w:lastRenderedPageBreak/>
        <w:t>Table 12:</w:t>
      </w:r>
      <w:r w:rsidR="00D75C33">
        <w:rPr>
          <w:rFonts w:ascii="Times New Roman" w:hAnsi="Times New Roman" w:cs="Times New Roman"/>
          <w:sz w:val="24"/>
          <w:szCs w:val="24"/>
          <w:lang w:val="es-ES"/>
        </w:rPr>
        <w:t xml:space="preserve"> Rate constants of vitamin C</w:t>
      </w:r>
      <w:r w:rsidR="00B849D7">
        <w:rPr>
          <w:rFonts w:ascii="Times New Roman" w:hAnsi="Times New Roman" w:cs="Times New Roman"/>
          <w:sz w:val="24"/>
          <w:szCs w:val="24"/>
          <w:lang w:val="es-ES"/>
        </w:rPr>
        <w:t>……………………………………………...</w:t>
      </w:r>
      <w:r w:rsidR="006C6E54">
        <w:rPr>
          <w:rFonts w:ascii="Times New Roman" w:hAnsi="Times New Roman" w:cs="Times New Roman"/>
          <w:sz w:val="24"/>
          <w:szCs w:val="24"/>
          <w:lang w:val="es-ES"/>
        </w:rPr>
        <w:tab/>
      </w:r>
      <w:r w:rsidR="004F5396">
        <w:rPr>
          <w:rFonts w:ascii="Times New Roman" w:hAnsi="Times New Roman" w:cs="Times New Roman"/>
          <w:sz w:val="24"/>
          <w:szCs w:val="24"/>
          <w:lang w:val="es-ES"/>
        </w:rPr>
        <w:t>98</w:t>
      </w:r>
    </w:p>
    <w:p w:rsidR="00327008" w:rsidRDefault="00327008" w:rsidP="00327008">
      <w:pPr>
        <w:spacing w:after="0" w:line="360" w:lineRule="auto"/>
        <w:rPr>
          <w:rFonts w:ascii="Times New Roman" w:hAnsi="Times New Roman" w:cs="Times New Roman"/>
          <w:sz w:val="28"/>
          <w:szCs w:val="28"/>
        </w:rPr>
      </w:pPr>
      <w:r>
        <w:rPr>
          <w:rFonts w:ascii="Times New Roman" w:hAnsi="Times New Roman" w:cs="Times New Roman"/>
          <w:sz w:val="24"/>
          <w:szCs w:val="24"/>
          <w:lang w:val="es-ES"/>
        </w:rPr>
        <w:t>CHAPTER 5:</w:t>
      </w:r>
      <w:r w:rsidRPr="002E3B16">
        <w:rPr>
          <w:rFonts w:ascii="Times New Roman" w:hAnsi="Times New Roman" w:cs="Times New Roman"/>
          <w:sz w:val="24"/>
          <w:szCs w:val="24"/>
          <w:lang w:val="es-ES"/>
        </w:rPr>
        <w:t xml:space="preserve"> </w:t>
      </w:r>
      <w:r w:rsidRPr="002E3B16">
        <w:rPr>
          <w:rFonts w:ascii="Times New Roman" w:hAnsi="Times New Roman" w:cs="Times New Roman"/>
          <w:sz w:val="24"/>
          <w:szCs w:val="24"/>
        </w:rPr>
        <w:t>EFFECT OF α-GLUCOSYL RUTIN, CALCIUM CHLORIDE AND FRUIT SOURCE ON THE QUALITY OF DICED PEACHES IN FLEXIBLE RETORTABLE POUCHES</w:t>
      </w:r>
    </w:p>
    <w:p w:rsidR="00327008" w:rsidRDefault="00327008" w:rsidP="006C6E54">
      <w:pPr>
        <w:tabs>
          <w:tab w:val="left" w:pos="8640"/>
        </w:tabs>
        <w:spacing w:after="0"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 xml:space="preserve">Table 1: </w:t>
      </w:r>
      <w:r w:rsidR="00D75C33">
        <w:rPr>
          <w:rFonts w:ascii="Times New Roman" w:hAnsi="Times New Roman" w:cs="Times New Roman"/>
          <w:sz w:val="24"/>
          <w:szCs w:val="24"/>
          <w:lang w:val="es-ES"/>
        </w:rPr>
        <w:t>pH and °Brix values at the beginning and at the end of the storage</w:t>
      </w:r>
      <w:r w:rsidR="00B849D7">
        <w:rPr>
          <w:rFonts w:ascii="Times New Roman" w:hAnsi="Times New Roman" w:cs="Times New Roman"/>
          <w:sz w:val="24"/>
          <w:szCs w:val="24"/>
          <w:lang w:val="es-ES"/>
        </w:rPr>
        <w:t>……...</w:t>
      </w:r>
      <w:r w:rsidR="00030B0E">
        <w:rPr>
          <w:rFonts w:ascii="Times New Roman" w:hAnsi="Times New Roman" w:cs="Times New Roman"/>
          <w:sz w:val="24"/>
          <w:szCs w:val="24"/>
          <w:lang w:val="es-ES"/>
        </w:rPr>
        <w:tab/>
        <w:t>127</w:t>
      </w:r>
    </w:p>
    <w:p w:rsidR="00141975" w:rsidRDefault="00327008" w:rsidP="006C6E54">
      <w:pPr>
        <w:tabs>
          <w:tab w:val="left" w:pos="8640"/>
        </w:tabs>
        <w:spacing w:after="0" w:line="360" w:lineRule="auto"/>
        <w:ind w:left="720"/>
        <w:rPr>
          <w:rFonts w:ascii="Times New Roman" w:hAnsi="Times New Roman" w:cs="Times New Roman"/>
          <w:sz w:val="24"/>
          <w:szCs w:val="24"/>
          <w:lang w:val="es-ES"/>
        </w:rPr>
      </w:pPr>
      <w:r>
        <w:rPr>
          <w:rFonts w:ascii="Times New Roman" w:hAnsi="Times New Roman" w:cs="Times New Roman"/>
          <w:sz w:val="24"/>
          <w:szCs w:val="24"/>
          <w:lang w:val="es-ES"/>
        </w:rPr>
        <w:t>Table 2:</w:t>
      </w:r>
      <w:r w:rsidR="00D75C33">
        <w:rPr>
          <w:rFonts w:ascii="Times New Roman" w:hAnsi="Times New Roman" w:cs="Times New Roman"/>
          <w:sz w:val="24"/>
          <w:szCs w:val="24"/>
          <w:lang w:val="es-ES"/>
        </w:rPr>
        <w:t xml:space="preserve"> CaCl</w:t>
      </w:r>
      <w:r w:rsidR="00D75C33" w:rsidRPr="00E64286">
        <w:rPr>
          <w:rFonts w:ascii="Times New Roman" w:hAnsi="Times New Roman" w:cs="Times New Roman"/>
          <w:sz w:val="24"/>
          <w:szCs w:val="24"/>
          <w:vertAlign w:val="subscript"/>
          <w:lang w:val="es-ES"/>
        </w:rPr>
        <w:t>2</w:t>
      </w:r>
      <w:r w:rsidR="00D75C33">
        <w:rPr>
          <w:rFonts w:ascii="Times New Roman" w:hAnsi="Times New Roman" w:cs="Times New Roman"/>
          <w:sz w:val="24"/>
          <w:szCs w:val="24"/>
          <w:lang w:val="es-ES"/>
        </w:rPr>
        <w:t xml:space="preserve"> and α-GR effects on the color parameters and ascorbic acid </w:t>
      </w:r>
    </w:p>
    <w:p w:rsidR="00327008" w:rsidRDefault="00D75C33" w:rsidP="006C6E54">
      <w:pPr>
        <w:tabs>
          <w:tab w:val="left" w:pos="8640"/>
        </w:tabs>
        <w:spacing w:after="0" w:line="360" w:lineRule="auto"/>
        <w:ind w:left="720"/>
        <w:rPr>
          <w:rFonts w:ascii="Times New Roman" w:hAnsi="Times New Roman" w:cs="Times New Roman"/>
          <w:sz w:val="24"/>
          <w:szCs w:val="24"/>
          <w:lang w:val="es-ES"/>
        </w:rPr>
      </w:pPr>
      <w:proofErr w:type="gramStart"/>
      <w:r>
        <w:rPr>
          <w:rFonts w:ascii="Times New Roman" w:hAnsi="Times New Roman" w:cs="Times New Roman"/>
          <w:sz w:val="24"/>
          <w:szCs w:val="24"/>
          <w:lang w:val="es-ES"/>
        </w:rPr>
        <w:t>concentration</w:t>
      </w:r>
      <w:proofErr w:type="gramEnd"/>
      <w:r>
        <w:rPr>
          <w:rFonts w:ascii="Times New Roman" w:hAnsi="Times New Roman" w:cs="Times New Roman"/>
          <w:sz w:val="24"/>
          <w:szCs w:val="24"/>
          <w:lang w:val="es-ES"/>
        </w:rPr>
        <w:t xml:space="preserve"> at the beginning and end of storages</w:t>
      </w:r>
      <w:r w:rsidR="00B849D7">
        <w:rPr>
          <w:rFonts w:ascii="Times New Roman" w:hAnsi="Times New Roman" w:cs="Times New Roman"/>
          <w:sz w:val="24"/>
          <w:szCs w:val="24"/>
          <w:lang w:val="es-ES"/>
        </w:rPr>
        <w:t>………………………………...</w:t>
      </w:r>
      <w:r w:rsidR="00030B0E">
        <w:rPr>
          <w:rFonts w:ascii="Times New Roman" w:hAnsi="Times New Roman" w:cs="Times New Roman"/>
          <w:sz w:val="24"/>
          <w:szCs w:val="24"/>
          <w:lang w:val="es-ES"/>
        </w:rPr>
        <w:tab/>
        <w:t>128</w:t>
      </w:r>
    </w:p>
    <w:p w:rsidR="00327008" w:rsidRDefault="00327008" w:rsidP="006C6E54">
      <w:pPr>
        <w:tabs>
          <w:tab w:val="left" w:pos="720"/>
          <w:tab w:val="left" w:pos="8640"/>
        </w:tabs>
        <w:spacing w:after="0" w:line="360" w:lineRule="auto"/>
        <w:rPr>
          <w:rFonts w:ascii="Times New Roman" w:hAnsi="Times New Roman" w:cs="Times New Roman"/>
          <w:sz w:val="24"/>
          <w:szCs w:val="24"/>
          <w:lang w:val="es-ES"/>
        </w:rPr>
      </w:pPr>
      <w:r>
        <w:rPr>
          <w:rFonts w:ascii="Times New Roman" w:hAnsi="Times New Roman" w:cs="Times New Roman"/>
          <w:sz w:val="24"/>
          <w:szCs w:val="24"/>
          <w:lang w:val="es-ES"/>
        </w:rPr>
        <w:tab/>
        <w:t>Table 3:</w:t>
      </w:r>
      <w:r w:rsidR="00D75C33">
        <w:rPr>
          <w:rFonts w:ascii="Times New Roman" w:hAnsi="Times New Roman" w:cs="Times New Roman"/>
          <w:sz w:val="24"/>
          <w:szCs w:val="24"/>
          <w:lang w:val="es-ES"/>
        </w:rPr>
        <w:t xml:space="preserve"> Rate constants of L*, a*, ∆E* and ascorbic acid</w:t>
      </w:r>
      <w:r w:rsidR="00B849D7">
        <w:rPr>
          <w:rFonts w:ascii="Times New Roman" w:hAnsi="Times New Roman" w:cs="Times New Roman"/>
          <w:sz w:val="24"/>
          <w:szCs w:val="24"/>
          <w:lang w:val="es-ES"/>
        </w:rPr>
        <w:t>…………………………</w:t>
      </w:r>
      <w:r w:rsidR="00030B0E">
        <w:rPr>
          <w:rFonts w:ascii="Times New Roman" w:hAnsi="Times New Roman" w:cs="Times New Roman"/>
          <w:sz w:val="24"/>
          <w:szCs w:val="24"/>
          <w:lang w:val="es-ES"/>
        </w:rPr>
        <w:tab/>
        <w:t>129</w:t>
      </w:r>
    </w:p>
    <w:p w:rsidR="001D7252" w:rsidRDefault="001D7252" w:rsidP="00327008">
      <w:pPr>
        <w:spacing w:after="0" w:line="360" w:lineRule="auto"/>
        <w:rPr>
          <w:rFonts w:ascii="Times New Roman" w:hAnsi="Times New Roman" w:cs="Times New Roman"/>
          <w:b/>
          <w:sz w:val="28"/>
          <w:szCs w:val="28"/>
        </w:rPr>
      </w:pPr>
      <w:r>
        <w:rPr>
          <w:rFonts w:ascii="Times New Roman" w:hAnsi="Times New Roman" w:cs="Times New Roman"/>
          <w:b/>
          <w:sz w:val="28"/>
          <w:szCs w:val="28"/>
        </w:rPr>
        <w:br w:type="page"/>
      </w:r>
    </w:p>
    <w:p w:rsidR="001D7252" w:rsidRPr="00A4184A" w:rsidRDefault="001D7252" w:rsidP="00A4184A">
      <w:pPr>
        <w:spacing w:after="0" w:line="360" w:lineRule="auto"/>
        <w:rPr>
          <w:rFonts w:ascii="Times New Roman" w:hAnsi="Times New Roman" w:cs="Times New Roman"/>
          <w:b/>
          <w:sz w:val="24"/>
          <w:szCs w:val="24"/>
        </w:rPr>
      </w:pPr>
      <w:r w:rsidRPr="00A4184A">
        <w:rPr>
          <w:rFonts w:ascii="Times New Roman" w:hAnsi="Times New Roman" w:cs="Times New Roman"/>
          <w:b/>
          <w:sz w:val="24"/>
          <w:szCs w:val="24"/>
        </w:rPr>
        <w:lastRenderedPageBreak/>
        <w:t>LIST OF ABBREVIATIONS AND TERMS</w:t>
      </w:r>
    </w:p>
    <w:p w:rsidR="00141975" w:rsidRPr="00A4184A" w:rsidRDefault="00141975" w:rsidP="00A4184A">
      <w:pPr>
        <w:spacing w:after="0" w:line="360" w:lineRule="auto"/>
        <w:rPr>
          <w:rFonts w:ascii="Times New Roman" w:hAnsi="Times New Roman" w:cs="Times New Roman"/>
          <w:b/>
          <w:sz w:val="24"/>
          <w:szCs w:val="24"/>
        </w:rPr>
      </w:pPr>
    </w:p>
    <w:p w:rsidR="00A4184A" w:rsidRPr="00A4184A" w:rsidRDefault="00A4184A" w:rsidP="00DB5818">
      <w:pPr>
        <w:tabs>
          <w:tab w:val="left" w:pos="810"/>
        </w:tabs>
        <w:spacing w:after="0" w:line="360" w:lineRule="auto"/>
        <w:rPr>
          <w:rFonts w:ascii="Times New Roman" w:hAnsi="Times New Roman" w:cs="Times New Roman"/>
          <w:sz w:val="24"/>
          <w:szCs w:val="24"/>
        </w:rPr>
      </w:pPr>
      <w:r w:rsidRPr="00A4184A">
        <w:rPr>
          <w:rFonts w:ascii="Times New Roman" w:hAnsi="Times New Roman" w:cs="Times New Roman"/>
          <w:sz w:val="24"/>
          <w:szCs w:val="24"/>
        </w:rPr>
        <w:t>A2P</w:t>
      </w:r>
      <w:r w:rsidRPr="00A4184A">
        <w:rPr>
          <w:rFonts w:ascii="Times New Roman" w:hAnsi="Times New Roman" w:cs="Times New Roman"/>
          <w:sz w:val="24"/>
          <w:szCs w:val="24"/>
        </w:rPr>
        <w:tab/>
      </w:r>
      <w:r w:rsidR="00AF34BB">
        <w:rPr>
          <w:rFonts w:ascii="Times New Roman" w:hAnsi="Times New Roman" w:cs="Times New Roman"/>
          <w:sz w:val="24"/>
          <w:szCs w:val="24"/>
        </w:rPr>
        <w:t>A</w:t>
      </w:r>
      <w:r w:rsidRPr="00A4184A">
        <w:rPr>
          <w:rFonts w:ascii="Times New Roman" w:hAnsi="Times New Roman" w:cs="Times New Roman"/>
          <w:sz w:val="24"/>
          <w:szCs w:val="24"/>
        </w:rPr>
        <w:t>scorb</w:t>
      </w:r>
      <w:r w:rsidR="00AF34BB">
        <w:rPr>
          <w:rFonts w:ascii="Times New Roman" w:hAnsi="Times New Roman" w:cs="Times New Roman"/>
          <w:sz w:val="24"/>
          <w:szCs w:val="24"/>
        </w:rPr>
        <w:t>yl</w:t>
      </w:r>
      <w:r w:rsidRPr="00A4184A">
        <w:rPr>
          <w:rFonts w:ascii="Times New Roman" w:hAnsi="Times New Roman" w:cs="Times New Roman"/>
          <w:sz w:val="24"/>
          <w:szCs w:val="24"/>
        </w:rPr>
        <w:t>-2-phosphate</w:t>
      </w:r>
    </w:p>
    <w:p w:rsidR="00A4184A" w:rsidRDefault="00A4184A" w:rsidP="00DB5818">
      <w:pPr>
        <w:tabs>
          <w:tab w:val="left" w:pos="810"/>
        </w:tabs>
        <w:spacing w:after="0" w:line="360" w:lineRule="auto"/>
        <w:rPr>
          <w:rFonts w:ascii="Times New Roman" w:hAnsi="Times New Roman" w:cs="Times New Roman"/>
          <w:sz w:val="24"/>
          <w:szCs w:val="24"/>
        </w:rPr>
      </w:pPr>
      <w:r w:rsidRPr="00A4184A">
        <w:rPr>
          <w:rFonts w:ascii="Times New Roman" w:hAnsi="Times New Roman" w:cs="Times New Roman"/>
          <w:sz w:val="24"/>
          <w:szCs w:val="24"/>
        </w:rPr>
        <w:t>AA</w:t>
      </w:r>
      <w:r w:rsidRPr="00A4184A">
        <w:rPr>
          <w:rFonts w:ascii="Times New Roman" w:hAnsi="Times New Roman" w:cs="Times New Roman"/>
          <w:sz w:val="24"/>
          <w:szCs w:val="24"/>
        </w:rPr>
        <w:tab/>
      </w:r>
      <w:r w:rsidR="00AF34BB">
        <w:rPr>
          <w:rFonts w:ascii="Times New Roman" w:hAnsi="Times New Roman" w:cs="Times New Roman"/>
          <w:sz w:val="24"/>
          <w:szCs w:val="24"/>
        </w:rPr>
        <w:t>A</w:t>
      </w:r>
      <w:r w:rsidRPr="00A4184A">
        <w:rPr>
          <w:rFonts w:ascii="Times New Roman" w:hAnsi="Times New Roman" w:cs="Times New Roman"/>
          <w:sz w:val="24"/>
          <w:szCs w:val="24"/>
        </w:rPr>
        <w:t>scorbic acid</w:t>
      </w:r>
    </w:p>
    <w:p w:rsidR="00AF34BB" w:rsidRPr="00A4184A" w:rsidRDefault="00AF34BB" w:rsidP="00DB5818">
      <w:pPr>
        <w:tabs>
          <w:tab w:val="left" w:pos="810"/>
        </w:tabs>
        <w:spacing w:after="0" w:line="360" w:lineRule="auto"/>
        <w:rPr>
          <w:rFonts w:ascii="Times New Roman" w:hAnsi="Times New Roman" w:cs="Times New Roman"/>
          <w:sz w:val="24"/>
          <w:szCs w:val="24"/>
        </w:rPr>
      </w:pPr>
      <w:r>
        <w:rPr>
          <w:rFonts w:ascii="Times New Roman" w:hAnsi="Times New Roman" w:cs="Times New Roman"/>
          <w:sz w:val="24"/>
          <w:szCs w:val="24"/>
        </w:rPr>
        <w:t>BI</w:t>
      </w:r>
      <w:r>
        <w:rPr>
          <w:rFonts w:ascii="Times New Roman" w:hAnsi="Times New Roman" w:cs="Times New Roman"/>
          <w:sz w:val="24"/>
          <w:szCs w:val="24"/>
        </w:rPr>
        <w:tab/>
        <w:t>Browning index</w:t>
      </w:r>
    </w:p>
    <w:p w:rsidR="00A4184A" w:rsidRPr="00A4184A" w:rsidRDefault="00A4184A" w:rsidP="00DB5818">
      <w:pPr>
        <w:pStyle w:val="ListParagraph"/>
        <w:tabs>
          <w:tab w:val="left" w:pos="810"/>
        </w:tabs>
        <w:spacing w:after="0" w:line="360" w:lineRule="auto"/>
        <w:ind w:left="0"/>
        <w:jc w:val="both"/>
        <w:rPr>
          <w:rFonts w:ascii="Times New Roman" w:hAnsi="Times New Roman"/>
          <w:sz w:val="24"/>
          <w:szCs w:val="24"/>
        </w:rPr>
      </w:pPr>
      <w:r w:rsidRPr="00A4184A">
        <w:rPr>
          <w:rFonts w:ascii="Times New Roman" w:hAnsi="Times New Roman"/>
          <w:i/>
          <w:sz w:val="24"/>
          <w:szCs w:val="24"/>
        </w:rPr>
        <w:t xml:space="preserve">C  </w:t>
      </w:r>
      <w:r>
        <w:rPr>
          <w:rFonts w:ascii="Times New Roman" w:hAnsi="Times New Roman"/>
          <w:sz w:val="24"/>
          <w:szCs w:val="24"/>
        </w:rPr>
        <w:tab/>
      </w:r>
      <w:r w:rsidRPr="00A4184A">
        <w:rPr>
          <w:rFonts w:ascii="Times New Roman" w:hAnsi="Times New Roman"/>
          <w:sz w:val="24"/>
          <w:szCs w:val="24"/>
        </w:rPr>
        <w:t xml:space="preserve">Variable content studied at time </w:t>
      </w:r>
      <w:r w:rsidRPr="00A4184A">
        <w:rPr>
          <w:rFonts w:ascii="Times New Roman" w:hAnsi="Times New Roman"/>
          <w:i/>
          <w:sz w:val="24"/>
          <w:szCs w:val="24"/>
        </w:rPr>
        <w:t>t</w:t>
      </w:r>
    </w:p>
    <w:p w:rsidR="00A4184A" w:rsidRDefault="00A4184A" w:rsidP="00DB5818">
      <w:pPr>
        <w:pStyle w:val="ListParagraph"/>
        <w:tabs>
          <w:tab w:val="left" w:pos="810"/>
        </w:tabs>
        <w:spacing w:after="0" w:line="360" w:lineRule="auto"/>
        <w:ind w:left="0"/>
        <w:jc w:val="both"/>
        <w:rPr>
          <w:rFonts w:ascii="Times New Roman" w:hAnsi="Times New Roman"/>
          <w:sz w:val="24"/>
          <w:szCs w:val="24"/>
        </w:rPr>
      </w:pPr>
      <w:r w:rsidRPr="00A4184A">
        <w:rPr>
          <w:rFonts w:ascii="Times New Roman" w:hAnsi="Times New Roman"/>
          <w:i/>
          <w:sz w:val="24"/>
          <w:szCs w:val="24"/>
        </w:rPr>
        <w:t>C</w:t>
      </w:r>
      <w:r w:rsidRPr="00A4184A">
        <w:rPr>
          <w:rFonts w:ascii="Times New Roman" w:hAnsi="Times New Roman"/>
          <w:i/>
          <w:sz w:val="24"/>
          <w:szCs w:val="24"/>
          <w:vertAlign w:val="subscript"/>
        </w:rPr>
        <w:t>0</w:t>
      </w:r>
      <w:r w:rsidRPr="00A4184A">
        <w:rPr>
          <w:rFonts w:ascii="Times New Roman" w:hAnsi="Times New Roman"/>
          <w:sz w:val="24"/>
          <w:szCs w:val="24"/>
          <w:vertAlign w:val="subscript"/>
        </w:rPr>
        <w:t xml:space="preserve"> </w:t>
      </w:r>
      <w:r>
        <w:rPr>
          <w:rFonts w:ascii="Times New Roman" w:hAnsi="Times New Roman"/>
          <w:sz w:val="24"/>
          <w:szCs w:val="24"/>
          <w:vertAlign w:val="subscript"/>
        </w:rPr>
        <w:tab/>
      </w:r>
      <w:r w:rsidRPr="00A4184A">
        <w:rPr>
          <w:rFonts w:ascii="Times New Roman" w:hAnsi="Times New Roman"/>
          <w:sz w:val="24"/>
          <w:szCs w:val="24"/>
        </w:rPr>
        <w:t>Variable content at time zero</w:t>
      </w:r>
    </w:p>
    <w:p w:rsidR="00DB5818" w:rsidRPr="00A4184A" w:rsidRDefault="00DB5818" w:rsidP="00DB5818">
      <w:pPr>
        <w:pStyle w:val="ListParagraph"/>
        <w:tabs>
          <w:tab w:val="left" w:pos="810"/>
        </w:tabs>
        <w:spacing w:after="0" w:line="360" w:lineRule="auto"/>
        <w:ind w:left="0"/>
        <w:jc w:val="both"/>
        <w:rPr>
          <w:rFonts w:ascii="Times New Roman" w:hAnsi="Times New Roman"/>
          <w:sz w:val="24"/>
          <w:szCs w:val="24"/>
        </w:rPr>
      </w:pPr>
      <w:r>
        <w:rPr>
          <w:rFonts w:ascii="Times New Roman" w:hAnsi="Times New Roman"/>
          <w:sz w:val="24"/>
          <w:szCs w:val="24"/>
        </w:rPr>
        <w:t>DHAA</w:t>
      </w:r>
      <w:r>
        <w:rPr>
          <w:rFonts w:ascii="Times New Roman" w:hAnsi="Times New Roman"/>
          <w:sz w:val="24"/>
          <w:szCs w:val="24"/>
        </w:rPr>
        <w:tab/>
        <w:t>dehydroascorbic acid</w:t>
      </w:r>
    </w:p>
    <w:p w:rsidR="00A4184A" w:rsidRPr="00A4184A" w:rsidRDefault="00A4184A" w:rsidP="00DB5818">
      <w:pPr>
        <w:tabs>
          <w:tab w:val="left" w:pos="810"/>
        </w:tabs>
        <w:spacing w:after="0" w:line="360" w:lineRule="auto"/>
        <w:rPr>
          <w:rFonts w:ascii="Times New Roman" w:hAnsi="Times New Roman" w:cs="Times New Roman"/>
          <w:sz w:val="24"/>
          <w:szCs w:val="24"/>
        </w:rPr>
      </w:pPr>
      <w:r w:rsidRPr="00A4184A">
        <w:rPr>
          <w:rFonts w:ascii="Times New Roman" w:hAnsi="Times New Roman" w:cs="Times New Roman"/>
          <w:sz w:val="24"/>
          <w:szCs w:val="24"/>
        </w:rPr>
        <w:t>E</w:t>
      </w:r>
      <w:r w:rsidRPr="00A4184A">
        <w:rPr>
          <w:rFonts w:ascii="Times New Roman" w:hAnsi="Times New Roman" w:cs="Times New Roman"/>
          <w:sz w:val="24"/>
          <w:szCs w:val="24"/>
          <w:vertAlign w:val="subscript"/>
        </w:rPr>
        <w:t>a</w:t>
      </w:r>
      <w:r w:rsidRPr="00A4184A">
        <w:rPr>
          <w:rFonts w:ascii="Times New Roman" w:hAnsi="Times New Roman" w:cs="Times New Roman"/>
          <w:sz w:val="24"/>
          <w:szCs w:val="24"/>
          <w:vertAlign w:val="subscript"/>
        </w:rPr>
        <w:tab/>
      </w:r>
      <w:r w:rsidRPr="00A4184A">
        <w:rPr>
          <w:rFonts w:ascii="Times New Roman" w:hAnsi="Times New Roman" w:cs="Times New Roman"/>
          <w:sz w:val="24"/>
          <w:szCs w:val="24"/>
        </w:rPr>
        <w:t>Energy of activation</w:t>
      </w:r>
    </w:p>
    <w:p w:rsidR="00A4184A" w:rsidRPr="00A4184A" w:rsidRDefault="00A4184A" w:rsidP="00DB5818">
      <w:pPr>
        <w:tabs>
          <w:tab w:val="left" w:pos="810"/>
        </w:tabs>
        <w:spacing w:after="0" w:line="360" w:lineRule="auto"/>
        <w:rPr>
          <w:rFonts w:ascii="Times New Roman" w:hAnsi="Times New Roman" w:cs="Times New Roman"/>
          <w:sz w:val="24"/>
          <w:szCs w:val="24"/>
        </w:rPr>
      </w:pPr>
      <w:proofErr w:type="gramStart"/>
      <w:r w:rsidRPr="00A4184A">
        <w:rPr>
          <w:rFonts w:ascii="Times New Roman" w:hAnsi="Times New Roman" w:cs="Times New Roman"/>
          <w:i/>
          <w:sz w:val="24"/>
          <w:szCs w:val="24"/>
        </w:rPr>
        <w:t>k</w:t>
      </w:r>
      <w:proofErr w:type="gramEnd"/>
      <w:r w:rsidRPr="00A4184A">
        <w:rPr>
          <w:rFonts w:ascii="Times New Roman" w:hAnsi="Times New Roman" w:cs="Times New Roman"/>
          <w:i/>
          <w:sz w:val="24"/>
          <w:szCs w:val="24"/>
        </w:rPr>
        <w:tab/>
      </w:r>
      <w:r w:rsidRPr="00A4184A">
        <w:rPr>
          <w:rFonts w:ascii="Times New Roman" w:hAnsi="Times New Roman" w:cs="Times New Roman"/>
          <w:sz w:val="24"/>
          <w:szCs w:val="24"/>
        </w:rPr>
        <w:t>Rate constant</w:t>
      </w:r>
    </w:p>
    <w:p w:rsidR="00A4184A" w:rsidRPr="00A4184A" w:rsidRDefault="00A4184A" w:rsidP="00DB5818">
      <w:pPr>
        <w:pStyle w:val="ListParagraph"/>
        <w:tabs>
          <w:tab w:val="left" w:pos="810"/>
        </w:tabs>
        <w:spacing w:after="0" w:line="360" w:lineRule="auto"/>
        <w:ind w:left="0"/>
        <w:jc w:val="both"/>
        <w:rPr>
          <w:rFonts w:ascii="Times New Roman" w:hAnsi="Times New Roman"/>
          <w:sz w:val="24"/>
          <w:szCs w:val="24"/>
          <w:vertAlign w:val="subscript"/>
        </w:rPr>
      </w:pPr>
      <w:proofErr w:type="gramStart"/>
      <w:r w:rsidRPr="00A4184A">
        <w:rPr>
          <w:rFonts w:ascii="Times New Roman" w:hAnsi="Times New Roman"/>
          <w:i/>
          <w:sz w:val="24"/>
          <w:szCs w:val="24"/>
        </w:rPr>
        <w:t>k</w:t>
      </w:r>
      <w:r w:rsidRPr="00A4184A">
        <w:rPr>
          <w:rFonts w:ascii="Times New Roman" w:hAnsi="Times New Roman"/>
          <w:i/>
          <w:sz w:val="24"/>
          <w:szCs w:val="24"/>
          <w:vertAlign w:val="subscript"/>
        </w:rPr>
        <w:t>0</w:t>
      </w:r>
      <w:proofErr w:type="gramEnd"/>
      <w:r w:rsidRPr="00A4184A">
        <w:rPr>
          <w:rFonts w:ascii="Times New Roman" w:hAnsi="Times New Roman"/>
          <w:sz w:val="24"/>
          <w:szCs w:val="24"/>
          <w:vertAlign w:val="subscript"/>
        </w:rPr>
        <w:t xml:space="preserve"> </w:t>
      </w:r>
      <w:r>
        <w:rPr>
          <w:rFonts w:ascii="Times New Roman" w:hAnsi="Times New Roman"/>
          <w:sz w:val="24"/>
          <w:szCs w:val="24"/>
          <w:vertAlign w:val="subscript"/>
        </w:rPr>
        <w:tab/>
      </w:r>
      <w:r w:rsidRPr="00A4184A">
        <w:rPr>
          <w:rFonts w:ascii="Times New Roman" w:hAnsi="Times New Roman"/>
          <w:sz w:val="24"/>
          <w:szCs w:val="24"/>
        </w:rPr>
        <w:t>Zero order kinetic constant</w:t>
      </w:r>
    </w:p>
    <w:p w:rsidR="00A4184A" w:rsidRPr="00A4184A" w:rsidRDefault="00A4184A" w:rsidP="00DB5818">
      <w:pPr>
        <w:pStyle w:val="ListParagraph"/>
        <w:tabs>
          <w:tab w:val="left" w:pos="810"/>
        </w:tabs>
        <w:spacing w:after="0" w:line="360" w:lineRule="auto"/>
        <w:ind w:left="0"/>
        <w:jc w:val="both"/>
        <w:rPr>
          <w:rFonts w:ascii="Times New Roman" w:hAnsi="Times New Roman"/>
          <w:sz w:val="24"/>
          <w:szCs w:val="24"/>
        </w:rPr>
      </w:pPr>
      <w:proofErr w:type="gramStart"/>
      <w:r w:rsidRPr="00A4184A">
        <w:rPr>
          <w:rFonts w:ascii="Times New Roman" w:hAnsi="Times New Roman"/>
          <w:i/>
          <w:sz w:val="24"/>
          <w:szCs w:val="24"/>
        </w:rPr>
        <w:t>k</w:t>
      </w:r>
      <w:r w:rsidRPr="00A4184A">
        <w:rPr>
          <w:rFonts w:ascii="Times New Roman" w:hAnsi="Times New Roman"/>
          <w:i/>
          <w:sz w:val="24"/>
          <w:szCs w:val="24"/>
          <w:vertAlign w:val="subscript"/>
        </w:rPr>
        <w:t>1</w:t>
      </w:r>
      <w:proofErr w:type="gramEnd"/>
      <w:r>
        <w:rPr>
          <w:rFonts w:ascii="Times New Roman" w:hAnsi="Times New Roman"/>
          <w:sz w:val="24"/>
          <w:szCs w:val="24"/>
        </w:rPr>
        <w:t xml:space="preserve"> </w:t>
      </w:r>
      <w:r>
        <w:rPr>
          <w:rFonts w:ascii="Times New Roman" w:hAnsi="Times New Roman"/>
          <w:sz w:val="24"/>
          <w:szCs w:val="24"/>
        </w:rPr>
        <w:tab/>
      </w:r>
      <w:r w:rsidRPr="00A4184A">
        <w:rPr>
          <w:rFonts w:ascii="Times New Roman" w:hAnsi="Times New Roman"/>
          <w:sz w:val="24"/>
          <w:szCs w:val="24"/>
        </w:rPr>
        <w:t>First order kinetic constant</w:t>
      </w:r>
    </w:p>
    <w:p w:rsidR="00A4184A" w:rsidRPr="00A4184A" w:rsidRDefault="00A4184A" w:rsidP="00DB5818">
      <w:pPr>
        <w:pStyle w:val="ListParagraph"/>
        <w:tabs>
          <w:tab w:val="left" w:pos="810"/>
        </w:tabs>
        <w:spacing w:after="0" w:line="360" w:lineRule="auto"/>
        <w:ind w:left="0"/>
        <w:jc w:val="both"/>
        <w:rPr>
          <w:rFonts w:ascii="Times New Roman" w:hAnsi="Times New Roman"/>
          <w:sz w:val="24"/>
          <w:szCs w:val="24"/>
        </w:rPr>
      </w:pPr>
      <w:proofErr w:type="gramStart"/>
      <w:r w:rsidRPr="00A4184A">
        <w:rPr>
          <w:rFonts w:ascii="Times New Roman" w:hAnsi="Times New Roman"/>
          <w:i/>
          <w:sz w:val="24"/>
          <w:szCs w:val="24"/>
        </w:rPr>
        <w:t>k</w:t>
      </w:r>
      <w:r w:rsidRPr="00A4184A">
        <w:rPr>
          <w:rFonts w:ascii="Times New Roman" w:hAnsi="Times New Roman"/>
          <w:i/>
          <w:sz w:val="24"/>
          <w:szCs w:val="24"/>
          <w:vertAlign w:val="subscript"/>
        </w:rPr>
        <w:t>2</w:t>
      </w:r>
      <w:proofErr w:type="gramEnd"/>
      <w:r w:rsidRPr="00A4184A">
        <w:rPr>
          <w:rFonts w:ascii="Times New Roman" w:hAnsi="Times New Roman"/>
          <w:sz w:val="24"/>
          <w:szCs w:val="24"/>
          <w:vertAlign w:val="subscript"/>
        </w:rPr>
        <w:t xml:space="preserve"> </w:t>
      </w:r>
      <w:r>
        <w:rPr>
          <w:rFonts w:ascii="Times New Roman" w:hAnsi="Times New Roman"/>
          <w:sz w:val="24"/>
          <w:szCs w:val="24"/>
        </w:rPr>
        <w:tab/>
      </w:r>
      <w:r w:rsidRPr="00A4184A">
        <w:rPr>
          <w:rFonts w:ascii="Times New Roman" w:hAnsi="Times New Roman"/>
          <w:sz w:val="24"/>
          <w:szCs w:val="24"/>
        </w:rPr>
        <w:t>Second order kinetic constant</w:t>
      </w:r>
    </w:p>
    <w:p w:rsidR="00A4184A" w:rsidRDefault="00A4184A" w:rsidP="00DB5818">
      <w:pPr>
        <w:pStyle w:val="ListParagraph"/>
        <w:tabs>
          <w:tab w:val="left" w:pos="810"/>
        </w:tabs>
        <w:spacing w:after="0" w:line="360" w:lineRule="auto"/>
        <w:ind w:left="0"/>
        <w:jc w:val="both"/>
        <w:rPr>
          <w:rFonts w:ascii="Times New Roman" w:hAnsi="Times New Roman"/>
          <w:sz w:val="24"/>
          <w:szCs w:val="24"/>
        </w:rPr>
      </w:pPr>
      <w:r w:rsidRPr="002E776E">
        <w:rPr>
          <w:rFonts w:ascii="Times New Roman" w:hAnsi="Times New Roman"/>
          <w:sz w:val="24"/>
          <w:szCs w:val="24"/>
        </w:rPr>
        <w:t>R</w:t>
      </w:r>
      <w:r>
        <w:rPr>
          <w:rFonts w:ascii="Times New Roman" w:hAnsi="Times New Roman"/>
          <w:sz w:val="24"/>
          <w:szCs w:val="24"/>
        </w:rPr>
        <w:tab/>
      </w:r>
      <w:r w:rsidRPr="002E776E">
        <w:rPr>
          <w:rFonts w:ascii="Times New Roman" w:hAnsi="Times New Roman"/>
          <w:sz w:val="24"/>
          <w:szCs w:val="24"/>
        </w:rPr>
        <w:t>Universal gas constant (8.314J/molK)</w:t>
      </w:r>
    </w:p>
    <w:p w:rsidR="00E43636" w:rsidRDefault="00E43636" w:rsidP="00DB5818">
      <w:pPr>
        <w:pStyle w:val="ListParagraph"/>
        <w:tabs>
          <w:tab w:val="left" w:pos="810"/>
        </w:tabs>
        <w:spacing w:after="0" w:line="360" w:lineRule="auto"/>
        <w:ind w:left="0"/>
        <w:jc w:val="both"/>
        <w:rPr>
          <w:rFonts w:ascii="Times New Roman" w:hAnsi="Times New Roman"/>
          <w:sz w:val="24"/>
          <w:szCs w:val="24"/>
        </w:rPr>
      </w:pPr>
      <w:r>
        <w:rPr>
          <w:rFonts w:ascii="Times New Roman" w:hAnsi="Times New Roman"/>
          <w:sz w:val="24"/>
          <w:szCs w:val="24"/>
        </w:rPr>
        <w:t>RMSE</w:t>
      </w:r>
      <w:r>
        <w:rPr>
          <w:rFonts w:ascii="Times New Roman" w:hAnsi="Times New Roman"/>
          <w:sz w:val="24"/>
          <w:szCs w:val="24"/>
        </w:rPr>
        <w:tab/>
        <w:t>Root mean square error</w:t>
      </w:r>
    </w:p>
    <w:p w:rsidR="00A4184A" w:rsidRPr="00A4184A" w:rsidRDefault="00A4184A" w:rsidP="00DB5818">
      <w:pPr>
        <w:pStyle w:val="ListParagraph"/>
        <w:tabs>
          <w:tab w:val="left" w:pos="810"/>
        </w:tabs>
        <w:spacing w:after="0" w:line="360" w:lineRule="auto"/>
        <w:ind w:left="0"/>
        <w:jc w:val="both"/>
        <w:rPr>
          <w:rFonts w:ascii="Times New Roman" w:hAnsi="Times New Roman"/>
          <w:sz w:val="24"/>
          <w:szCs w:val="24"/>
        </w:rPr>
      </w:pPr>
      <w:proofErr w:type="gramStart"/>
      <w:r w:rsidRPr="00A4184A">
        <w:rPr>
          <w:rFonts w:ascii="Times New Roman" w:hAnsi="Times New Roman"/>
          <w:i/>
          <w:sz w:val="24"/>
          <w:szCs w:val="24"/>
        </w:rPr>
        <w:t>t</w:t>
      </w:r>
      <w:proofErr w:type="gramEnd"/>
      <w:r w:rsidRPr="00A4184A">
        <w:rPr>
          <w:rFonts w:ascii="Times New Roman" w:hAnsi="Times New Roman"/>
          <w:i/>
          <w:sz w:val="24"/>
          <w:szCs w:val="24"/>
        </w:rPr>
        <w:t xml:space="preserve"> </w:t>
      </w:r>
      <w:r>
        <w:rPr>
          <w:rFonts w:ascii="Times New Roman" w:hAnsi="Times New Roman"/>
          <w:sz w:val="24"/>
          <w:szCs w:val="24"/>
        </w:rPr>
        <w:t xml:space="preserve"> </w:t>
      </w:r>
      <w:r>
        <w:rPr>
          <w:rFonts w:ascii="Times New Roman" w:hAnsi="Times New Roman"/>
          <w:sz w:val="24"/>
          <w:szCs w:val="24"/>
        </w:rPr>
        <w:tab/>
      </w:r>
      <w:r w:rsidRPr="00A4184A">
        <w:rPr>
          <w:rFonts w:ascii="Times New Roman" w:hAnsi="Times New Roman"/>
          <w:sz w:val="24"/>
          <w:szCs w:val="24"/>
        </w:rPr>
        <w:t>time</w:t>
      </w:r>
    </w:p>
    <w:p w:rsidR="00A4184A" w:rsidRPr="00A4184A" w:rsidRDefault="00A4184A" w:rsidP="00DB5818">
      <w:pPr>
        <w:pStyle w:val="ListParagraph"/>
        <w:tabs>
          <w:tab w:val="left" w:pos="810"/>
        </w:tabs>
        <w:spacing w:after="0" w:line="360" w:lineRule="auto"/>
        <w:ind w:left="0"/>
        <w:jc w:val="both"/>
        <w:rPr>
          <w:rFonts w:ascii="Times New Roman" w:hAnsi="Times New Roman"/>
          <w:sz w:val="24"/>
          <w:szCs w:val="24"/>
        </w:rPr>
      </w:pPr>
      <w:r>
        <w:rPr>
          <w:rFonts w:ascii="Times New Roman" w:hAnsi="Times New Roman"/>
          <w:sz w:val="24"/>
          <w:szCs w:val="24"/>
        </w:rPr>
        <w:t xml:space="preserve">T </w:t>
      </w:r>
      <w:r>
        <w:rPr>
          <w:rFonts w:ascii="Times New Roman" w:hAnsi="Times New Roman"/>
          <w:sz w:val="24"/>
          <w:szCs w:val="24"/>
        </w:rPr>
        <w:tab/>
      </w:r>
      <w:r w:rsidRPr="00A4184A">
        <w:rPr>
          <w:rFonts w:ascii="Times New Roman" w:hAnsi="Times New Roman"/>
          <w:sz w:val="24"/>
          <w:szCs w:val="24"/>
        </w:rPr>
        <w:t>Temperature (°Kelvin)</w:t>
      </w:r>
    </w:p>
    <w:p w:rsidR="00A4184A" w:rsidRPr="00A4184A" w:rsidRDefault="00A4184A" w:rsidP="00DB5818">
      <w:pPr>
        <w:tabs>
          <w:tab w:val="left" w:pos="810"/>
        </w:tabs>
        <w:spacing w:after="0" w:line="360" w:lineRule="auto"/>
        <w:rPr>
          <w:rFonts w:ascii="Times New Roman" w:hAnsi="Times New Roman" w:cs="Times New Roman"/>
          <w:sz w:val="24"/>
          <w:szCs w:val="24"/>
        </w:rPr>
      </w:pPr>
      <w:proofErr w:type="gramStart"/>
      <w:r w:rsidRPr="00A4184A">
        <w:rPr>
          <w:rFonts w:ascii="Times New Roman" w:hAnsi="Times New Roman" w:cs="Times New Roman"/>
          <w:sz w:val="24"/>
          <w:szCs w:val="24"/>
        </w:rPr>
        <w:t>αGR</w:t>
      </w:r>
      <w:proofErr w:type="gramEnd"/>
      <w:r w:rsidRPr="00A4184A">
        <w:rPr>
          <w:rFonts w:ascii="Times New Roman" w:hAnsi="Times New Roman" w:cs="Times New Roman"/>
          <w:sz w:val="24"/>
          <w:szCs w:val="24"/>
        </w:rPr>
        <w:tab/>
        <w:t>α-Glucosylrutin</w:t>
      </w:r>
    </w:p>
    <w:p w:rsidR="00A4184A" w:rsidRPr="00A4184A" w:rsidRDefault="00A4184A" w:rsidP="00DB5818">
      <w:pPr>
        <w:pStyle w:val="ListParagraph"/>
        <w:tabs>
          <w:tab w:val="left" w:pos="810"/>
        </w:tabs>
        <w:spacing w:after="0" w:line="360" w:lineRule="auto"/>
        <w:ind w:left="0"/>
        <w:jc w:val="both"/>
        <w:rPr>
          <w:rFonts w:ascii="Times New Roman" w:hAnsi="Times New Roman"/>
          <w:sz w:val="24"/>
          <w:szCs w:val="24"/>
        </w:rPr>
      </w:pPr>
      <w:proofErr w:type="gramStart"/>
      <w:r>
        <w:rPr>
          <w:rFonts w:ascii="Times New Roman" w:hAnsi="Times New Roman"/>
          <w:sz w:val="24"/>
          <w:szCs w:val="24"/>
        </w:rPr>
        <w:t>β</w:t>
      </w:r>
      <w:proofErr w:type="gramEnd"/>
      <w:r>
        <w:rPr>
          <w:rFonts w:ascii="Times New Roman" w:hAnsi="Times New Roman"/>
          <w:sz w:val="24"/>
          <w:szCs w:val="24"/>
        </w:rPr>
        <w:t xml:space="preserve"> </w:t>
      </w:r>
      <w:r>
        <w:rPr>
          <w:rFonts w:ascii="Times New Roman" w:hAnsi="Times New Roman"/>
          <w:sz w:val="24"/>
          <w:szCs w:val="24"/>
        </w:rPr>
        <w:tab/>
      </w:r>
      <w:r w:rsidRPr="00A4184A">
        <w:rPr>
          <w:rFonts w:ascii="Times New Roman" w:hAnsi="Times New Roman"/>
          <w:sz w:val="24"/>
          <w:szCs w:val="24"/>
        </w:rPr>
        <w:t>Shape parameter</w:t>
      </w:r>
    </w:p>
    <w:p w:rsidR="00A4184A" w:rsidRDefault="00A4184A" w:rsidP="007E11C1">
      <w:pPr>
        <w:spacing w:after="0" w:line="360" w:lineRule="auto"/>
        <w:rPr>
          <w:rFonts w:ascii="Times New Roman" w:hAnsi="Times New Roman" w:cs="Times New Roman"/>
          <w:b/>
          <w:sz w:val="28"/>
          <w:szCs w:val="28"/>
        </w:rPr>
        <w:sectPr w:rsidR="00A4184A" w:rsidSect="00865F2A">
          <w:footerReference w:type="default" r:id="rId7"/>
          <w:footerReference w:type="first" r:id="rId8"/>
          <w:type w:val="continuous"/>
          <w:pgSz w:w="12240" w:h="15840"/>
          <w:pgMar w:top="1440" w:right="1440" w:bottom="1440" w:left="1440" w:header="720" w:footer="720" w:gutter="0"/>
          <w:pgNumType w:fmt="lowerRoman" w:start="1"/>
          <w:cols w:space="720"/>
          <w:docGrid w:linePitch="360"/>
        </w:sectPr>
      </w:pPr>
    </w:p>
    <w:p w:rsidR="001A4B2F" w:rsidRPr="00460F54" w:rsidRDefault="001A4B2F" w:rsidP="001A4B2F">
      <w:pPr>
        <w:spacing w:after="0" w:line="360" w:lineRule="auto"/>
        <w:rPr>
          <w:rFonts w:ascii="Times New Roman" w:hAnsi="Times New Roman" w:cs="Times New Roman"/>
          <w:b/>
          <w:sz w:val="24"/>
          <w:szCs w:val="24"/>
        </w:rPr>
      </w:pPr>
      <w:r w:rsidRPr="00460F54">
        <w:rPr>
          <w:rFonts w:ascii="Times New Roman" w:hAnsi="Times New Roman" w:cs="Times New Roman"/>
          <w:b/>
          <w:sz w:val="24"/>
          <w:szCs w:val="24"/>
        </w:rPr>
        <w:lastRenderedPageBreak/>
        <w:t>CHAPTER 1: INTRODUCTION</w:t>
      </w:r>
    </w:p>
    <w:p w:rsidR="001A4B2F" w:rsidRDefault="001A4B2F" w:rsidP="001A4B2F">
      <w:pPr>
        <w:spacing w:after="0" w:line="360" w:lineRule="auto"/>
        <w:ind w:firstLine="720"/>
        <w:jc w:val="both"/>
        <w:rPr>
          <w:rFonts w:ascii="Times New Roman" w:hAnsi="Times New Roman"/>
          <w:sz w:val="24"/>
          <w:szCs w:val="24"/>
        </w:rPr>
      </w:pPr>
      <w:r w:rsidRPr="00460F54">
        <w:rPr>
          <w:rFonts w:ascii="Times New Roman" w:hAnsi="Times New Roman"/>
          <w:sz w:val="24"/>
          <w:szCs w:val="24"/>
        </w:rPr>
        <w:t>Ascorbic acid (AA) is frequently added to food products because of the importance of this vitamin in human health</w:t>
      </w:r>
      <w:r>
        <w:rPr>
          <w:rFonts w:ascii="Times New Roman" w:hAnsi="Times New Roman"/>
          <w:sz w:val="24"/>
          <w:szCs w:val="24"/>
        </w:rPr>
        <w:t xml:space="preserve"> and its utility in food processing</w:t>
      </w:r>
      <w:r w:rsidRPr="00460F54">
        <w:rPr>
          <w:rFonts w:ascii="Times New Roman" w:hAnsi="Times New Roman"/>
          <w:sz w:val="24"/>
          <w:szCs w:val="24"/>
        </w:rPr>
        <w:t xml:space="preserve">. </w:t>
      </w:r>
      <w:r>
        <w:rPr>
          <w:rFonts w:ascii="Times New Roman" w:hAnsi="Times New Roman"/>
          <w:sz w:val="24"/>
          <w:szCs w:val="24"/>
        </w:rPr>
        <w:t xml:space="preserve"> AA is added during the manufacture of many food products due to its properties as a reducing agent.  For example, this vitamin is used in the prevention of browning in fruit and vegetables, for stabilization of meat color, and inhibition of oxidation in beer, wine, milk and other products </w:t>
      </w:r>
      <w:r>
        <w:rPr>
          <w:rFonts w:ascii="Times New Roman" w:hAnsi="Times New Roman"/>
          <w:noProof/>
          <w:sz w:val="24"/>
          <w:szCs w:val="24"/>
        </w:rPr>
        <w:t>(Wong 1989)</w:t>
      </w:r>
      <w:r>
        <w:rPr>
          <w:rFonts w:ascii="Times New Roman" w:hAnsi="Times New Roman"/>
          <w:sz w:val="24"/>
          <w:szCs w:val="24"/>
        </w:rPr>
        <w:t xml:space="preserve">. Unfortunately, </w:t>
      </w:r>
      <w:r w:rsidRPr="00460F54">
        <w:rPr>
          <w:rFonts w:ascii="Times New Roman" w:hAnsi="Times New Roman"/>
          <w:sz w:val="24"/>
          <w:szCs w:val="24"/>
        </w:rPr>
        <w:t xml:space="preserve">due to the low stability of this compound, its lifetime is short. </w:t>
      </w:r>
      <w:r>
        <w:rPr>
          <w:rFonts w:ascii="Times New Roman" w:hAnsi="Times New Roman"/>
          <w:sz w:val="24"/>
          <w:szCs w:val="24"/>
        </w:rPr>
        <w:t xml:space="preserve"> This degradation causes not only </w:t>
      </w:r>
      <w:r w:rsidRPr="00460F54">
        <w:rPr>
          <w:rFonts w:ascii="Times New Roman" w:hAnsi="Times New Roman"/>
          <w:sz w:val="24"/>
          <w:szCs w:val="24"/>
        </w:rPr>
        <w:t xml:space="preserve">loss of nutrients, but also </w:t>
      </w:r>
      <w:r>
        <w:rPr>
          <w:rFonts w:ascii="Times New Roman" w:hAnsi="Times New Roman"/>
          <w:sz w:val="24"/>
          <w:szCs w:val="24"/>
        </w:rPr>
        <w:t>the app</w:t>
      </w:r>
      <w:r w:rsidRPr="00460F54">
        <w:rPr>
          <w:rFonts w:ascii="Times New Roman" w:hAnsi="Times New Roman"/>
          <w:sz w:val="24"/>
          <w:szCs w:val="24"/>
        </w:rPr>
        <w:t>earance</w:t>
      </w:r>
      <w:r>
        <w:rPr>
          <w:rFonts w:ascii="Times New Roman" w:hAnsi="Times New Roman"/>
          <w:sz w:val="24"/>
          <w:szCs w:val="24"/>
        </w:rPr>
        <w:t xml:space="preserve"> of </w:t>
      </w:r>
      <w:r w:rsidRPr="00460F54">
        <w:rPr>
          <w:rFonts w:ascii="Times New Roman" w:hAnsi="Times New Roman"/>
          <w:sz w:val="24"/>
          <w:szCs w:val="24"/>
        </w:rPr>
        <w:t>brown pigments.</w:t>
      </w:r>
      <w:r>
        <w:rPr>
          <w:rFonts w:ascii="Times New Roman" w:hAnsi="Times New Roman"/>
          <w:sz w:val="24"/>
          <w:szCs w:val="24"/>
        </w:rPr>
        <w:t xml:space="preserve">  The rise of these undesirable characteristics reduces shelf life of many food products. </w:t>
      </w:r>
    </w:p>
    <w:p w:rsidR="001A4B2F" w:rsidRDefault="001A4B2F" w:rsidP="001A4B2F">
      <w:pPr>
        <w:spacing w:after="0" w:line="360" w:lineRule="auto"/>
        <w:ind w:firstLine="720"/>
        <w:jc w:val="both"/>
        <w:rPr>
          <w:rFonts w:ascii="Times New Roman" w:hAnsi="Times New Roman"/>
          <w:sz w:val="24"/>
          <w:szCs w:val="24"/>
        </w:rPr>
      </w:pPr>
    </w:p>
    <w:p w:rsidR="001A4B2F" w:rsidRPr="0079107F" w:rsidRDefault="001A4B2F" w:rsidP="001A4B2F">
      <w:pPr>
        <w:spacing w:after="0" w:line="360" w:lineRule="auto"/>
        <w:ind w:firstLine="720"/>
        <w:jc w:val="both"/>
        <w:rPr>
          <w:rFonts w:ascii="Times New Roman" w:hAnsi="Times New Roman"/>
          <w:sz w:val="24"/>
          <w:szCs w:val="24"/>
        </w:rPr>
      </w:pPr>
      <w:r>
        <w:rPr>
          <w:rFonts w:ascii="Times New Roman" w:hAnsi="Times New Roman"/>
          <w:sz w:val="24"/>
          <w:szCs w:val="24"/>
        </w:rPr>
        <w:t xml:space="preserve">Many studies have been conducted to identify the reactants, pathways and conditions by which AA is degraded </w:t>
      </w:r>
      <w:r>
        <w:rPr>
          <w:rFonts w:ascii="Times New Roman" w:hAnsi="Times New Roman"/>
          <w:noProof/>
          <w:sz w:val="24"/>
          <w:szCs w:val="24"/>
        </w:rPr>
        <w:t>(Sawamura and others 1991; Shinoda and others 2004; Roig and others 2000; Yuan and Chen 1998)</w:t>
      </w:r>
      <w:hyperlink w:anchor="_ENREF_63" w:tooltip="Yuan, 1998 #34" w:history="1"/>
      <w:r w:rsidRPr="008D261C">
        <w:rPr>
          <w:rFonts w:ascii="Times New Roman" w:hAnsi="Times New Roman"/>
          <w:sz w:val="24"/>
          <w:szCs w:val="24"/>
        </w:rPr>
        <w:t>.</w:t>
      </w:r>
      <w:r>
        <w:rPr>
          <w:rFonts w:ascii="Times New Roman" w:hAnsi="Times New Roman"/>
          <w:sz w:val="24"/>
          <w:szCs w:val="24"/>
        </w:rPr>
        <w:t xml:space="preserve">  However, scientists still do not fully understand all of the mechanisms involved since they are highly sensitive to environmental conditions, such as concentration of oxygen, metals, amino acids</w:t>
      </w:r>
      <w:r w:rsidR="00D51265">
        <w:rPr>
          <w:rFonts w:ascii="Times New Roman" w:hAnsi="Times New Roman"/>
          <w:sz w:val="24"/>
          <w:szCs w:val="24"/>
        </w:rPr>
        <w:t xml:space="preserve"> and</w:t>
      </w:r>
      <w:r>
        <w:rPr>
          <w:rFonts w:ascii="Times New Roman" w:hAnsi="Times New Roman"/>
          <w:sz w:val="24"/>
          <w:szCs w:val="24"/>
        </w:rPr>
        <w:t xml:space="preserve"> pH. </w:t>
      </w:r>
      <w:r>
        <w:rPr>
          <w:rFonts w:ascii="Times New Roman" w:hAnsi="Times New Roman"/>
          <w:noProof/>
          <w:sz w:val="24"/>
          <w:szCs w:val="24"/>
        </w:rPr>
        <w:t>(Hui 2006; Fennema 1996)</w:t>
      </w:r>
      <w:r>
        <w:rPr>
          <w:rFonts w:ascii="Times New Roman" w:hAnsi="Times New Roman"/>
          <w:sz w:val="24"/>
          <w:szCs w:val="24"/>
        </w:rPr>
        <w:t xml:space="preserve">.  Currently, most of the literature classifies AA loss into aerobic and anaerobic degradation pathways </w:t>
      </w:r>
      <w:r>
        <w:rPr>
          <w:rFonts w:ascii="Times New Roman" w:hAnsi="Times New Roman"/>
          <w:noProof/>
          <w:sz w:val="24"/>
          <w:szCs w:val="24"/>
        </w:rPr>
        <w:t>(Wong 1989; Fennema 1996; Hui 2006)</w:t>
      </w:r>
      <w:r>
        <w:rPr>
          <w:rFonts w:ascii="Times New Roman" w:hAnsi="Times New Roman"/>
          <w:sz w:val="24"/>
          <w:szCs w:val="24"/>
        </w:rPr>
        <w:t xml:space="preserve">.  It is known that aerobic loss occurs at rates much higher than anaerobic degradations; however, the study of the latter is of great importance since many shelf-stable food products follow this deterioration route after all dissolved oxygen is </w:t>
      </w:r>
      <w:r w:rsidRPr="0079107F">
        <w:rPr>
          <w:rFonts w:ascii="Times New Roman" w:hAnsi="Times New Roman"/>
          <w:sz w:val="24"/>
          <w:szCs w:val="24"/>
        </w:rPr>
        <w:t>consumed</w:t>
      </w:r>
      <w:r>
        <w:rPr>
          <w:rFonts w:ascii="Times New Roman" w:hAnsi="Times New Roman"/>
          <w:sz w:val="24"/>
          <w:szCs w:val="24"/>
        </w:rPr>
        <w:t xml:space="preserve"> </w:t>
      </w:r>
      <w:r>
        <w:rPr>
          <w:rFonts w:ascii="Times New Roman" w:hAnsi="Times New Roman"/>
          <w:noProof/>
          <w:sz w:val="24"/>
          <w:szCs w:val="24"/>
        </w:rPr>
        <w:t>(Fennema 1996</w:t>
      </w:r>
      <w:proofErr w:type="gramStart"/>
      <w:r>
        <w:rPr>
          <w:rFonts w:ascii="Times New Roman" w:hAnsi="Times New Roman"/>
          <w:noProof/>
          <w:sz w:val="24"/>
          <w:szCs w:val="24"/>
        </w:rPr>
        <w:t>)</w:t>
      </w:r>
      <w:r>
        <w:rPr>
          <w:rFonts w:ascii="Times New Roman" w:hAnsi="Times New Roman"/>
          <w:sz w:val="24"/>
          <w:szCs w:val="24"/>
        </w:rPr>
        <w:t xml:space="preserve"> </w:t>
      </w:r>
      <w:r w:rsidRPr="0079107F">
        <w:rPr>
          <w:rFonts w:ascii="Times New Roman" w:hAnsi="Times New Roman"/>
          <w:sz w:val="24"/>
          <w:szCs w:val="24"/>
        </w:rPr>
        <w:t>.</w:t>
      </w:r>
      <w:proofErr w:type="gramEnd"/>
      <w:r w:rsidRPr="0079107F">
        <w:rPr>
          <w:rFonts w:ascii="Times New Roman" w:hAnsi="Times New Roman"/>
          <w:sz w:val="24"/>
          <w:szCs w:val="24"/>
        </w:rPr>
        <w:t xml:space="preserve"> </w:t>
      </w:r>
    </w:p>
    <w:p w:rsidR="001A4B2F" w:rsidRPr="00055994" w:rsidRDefault="001A4B2F" w:rsidP="001A4B2F">
      <w:pPr>
        <w:spacing w:after="0" w:line="360" w:lineRule="auto"/>
        <w:ind w:firstLine="720"/>
        <w:jc w:val="both"/>
        <w:rPr>
          <w:rFonts w:ascii="Times New Roman" w:hAnsi="Times New Roman"/>
          <w:sz w:val="24"/>
          <w:szCs w:val="24"/>
        </w:rPr>
      </w:pPr>
    </w:p>
    <w:p w:rsidR="001A4B2F" w:rsidRPr="0079107F" w:rsidRDefault="001A4B2F" w:rsidP="001A4B2F">
      <w:pPr>
        <w:pStyle w:val="ListParagraph"/>
        <w:spacing w:after="0" w:line="360" w:lineRule="auto"/>
        <w:ind w:left="0" w:firstLine="720"/>
        <w:jc w:val="both"/>
        <w:rPr>
          <w:rFonts w:ascii="Times New Roman" w:hAnsi="Times New Roman"/>
          <w:sz w:val="24"/>
          <w:szCs w:val="24"/>
        </w:rPr>
      </w:pPr>
      <w:r w:rsidRPr="00055994">
        <w:rPr>
          <w:rFonts w:ascii="Times New Roman" w:hAnsi="Times New Roman"/>
          <w:sz w:val="24"/>
          <w:szCs w:val="24"/>
        </w:rPr>
        <w:t>Rese</w:t>
      </w:r>
      <w:r>
        <w:rPr>
          <w:rFonts w:ascii="Times New Roman" w:hAnsi="Times New Roman"/>
          <w:sz w:val="24"/>
          <w:szCs w:val="24"/>
        </w:rPr>
        <w:t>arch</w:t>
      </w:r>
      <w:r w:rsidRPr="00055994">
        <w:rPr>
          <w:rFonts w:ascii="Times New Roman" w:hAnsi="Times New Roman"/>
          <w:sz w:val="24"/>
          <w:szCs w:val="24"/>
        </w:rPr>
        <w:t xml:space="preserve"> on non-enzymatic browning has been conducted on many </w:t>
      </w:r>
      <w:proofErr w:type="gramStart"/>
      <w:r w:rsidRPr="00055994">
        <w:rPr>
          <w:rFonts w:ascii="Times New Roman" w:hAnsi="Times New Roman"/>
          <w:sz w:val="24"/>
          <w:szCs w:val="24"/>
        </w:rPr>
        <w:t>food  systems</w:t>
      </w:r>
      <w:proofErr w:type="gramEnd"/>
      <w:r w:rsidRPr="00055994">
        <w:rPr>
          <w:rFonts w:ascii="Times New Roman" w:hAnsi="Times New Roman"/>
          <w:sz w:val="24"/>
          <w:szCs w:val="24"/>
        </w:rPr>
        <w:t xml:space="preserve"> such as citrus juices, pears, fruit puree, fruit pulps, among others </w:t>
      </w:r>
      <w:r>
        <w:rPr>
          <w:rFonts w:ascii="Times New Roman" w:hAnsi="Times New Roman"/>
          <w:noProof/>
          <w:sz w:val="24"/>
          <w:szCs w:val="24"/>
        </w:rPr>
        <w:t>(Roig and others 2000; Chutintrasri and Noomhorm 200</w:t>
      </w:r>
      <w:r w:rsidR="00CC7D02">
        <w:rPr>
          <w:rFonts w:ascii="Times New Roman" w:hAnsi="Times New Roman"/>
          <w:noProof/>
          <w:sz w:val="24"/>
          <w:szCs w:val="24"/>
        </w:rPr>
        <w:t>7</w:t>
      </w:r>
      <w:r>
        <w:rPr>
          <w:rFonts w:ascii="Times New Roman" w:hAnsi="Times New Roman"/>
          <w:noProof/>
          <w:sz w:val="24"/>
          <w:szCs w:val="24"/>
        </w:rPr>
        <w:t>; Ibarz and others 1999; Garza and others 1999; Lozano and Ibarz 1996; Buglione and Lozano 2002)</w:t>
      </w:r>
      <w:r w:rsidRPr="00055994">
        <w:rPr>
          <w:rFonts w:ascii="Times New Roman" w:hAnsi="Times New Roman"/>
          <w:sz w:val="24"/>
          <w:szCs w:val="24"/>
        </w:rPr>
        <w:t xml:space="preserve">. </w:t>
      </w:r>
      <w:r>
        <w:rPr>
          <w:rFonts w:ascii="Times New Roman" w:hAnsi="Times New Roman"/>
          <w:sz w:val="24"/>
          <w:szCs w:val="24"/>
        </w:rPr>
        <w:t xml:space="preserve"> In addition to</w:t>
      </w:r>
      <w:r w:rsidRPr="00055994">
        <w:rPr>
          <w:rFonts w:ascii="Times New Roman" w:hAnsi="Times New Roman"/>
          <w:sz w:val="24"/>
          <w:szCs w:val="24"/>
        </w:rPr>
        <w:t xml:space="preserve"> these products,</w:t>
      </w:r>
      <w:r>
        <w:rPr>
          <w:rFonts w:ascii="Times New Roman" w:hAnsi="Times New Roman"/>
          <w:sz w:val="24"/>
          <w:szCs w:val="24"/>
        </w:rPr>
        <w:t xml:space="preserve"> </w:t>
      </w:r>
      <w:r w:rsidRPr="00055994">
        <w:rPr>
          <w:rFonts w:ascii="Times New Roman" w:hAnsi="Times New Roman"/>
          <w:sz w:val="24"/>
          <w:szCs w:val="24"/>
        </w:rPr>
        <w:t xml:space="preserve">diced peaches in syrup </w:t>
      </w:r>
      <w:r>
        <w:rPr>
          <w:rFonts w:ascii="Times New Roman" w:hAnsi="Times New Roman"/>
          <w:sz w:val="24"/>
          <w:szCs w:val="24"/>
        </w:rPr>
        <w:t xml:space="preserve">and </w:t>
      </w:r>
      <w:r w:rsidRPr="00055994">
        <w:rPr>
          <w:rFonts w:ascii="Times New Roman" w:hAnsi="Times New Roman"/>
          <w:sz w:val="24"/>
          <w:szCs w:val="24"/>
        </w:rPr>
        <w:t>packaged in retortable pouches</w:t>
      </w:r>
      <w:r>
        <w:rPr>
          <w:rFonts w:ascii="Times New Roman" w:hAnsi="Times New Roman"/>
          <w:sz w:val="24"/>
          <w:szCs w:val="24"/>
        </w:rPr>
        <w:t xml:space="preserve"> has been </w:t>
      </w:r>
      <w:r w:rsidR="004646BA">
        <w:rPr>
          <w:rFonts w:ascii="Times New Roman" w:hAnsi="Times New Roman"/>
          <w:sz w:val="24"/>
          <w:szCs w:val="24"/>
        </w:rPr>
        <w:t>identified as an area of concern</w:t>
      </w:r>
      <w:r w:rsidRPr="00055994">
        <w:rPr>
          <w:rFonts w:ascii="Times New Roman" w:hAnsi="Times New Roman"/>
          <w:sz w:val="24"/>
          <w:szCs w:val="24"/>
        </w:rPr>
        <w:t xml:space="preserve">. </w:t>
      </w:r>
      <w:r>
        <w:rPr>
          <w:rFonts w:ascii="Times New Roman" w:hAnsi="Times New Roman"/>
          <w:sz w:val="24"/>
          <w:szCs w:val="24"/>
        </w:rPr>
        <w:t xml:space="preserve"> </w:t>
      </w:r>
      <w:r w:rsidRPr="00055994">
        <w:rPr>
          <w:rFonts w:ascii="Times New Roman" w:hAnsi="Times New Roman"/>
          <w:sz w:val="24"/>
          <w:szCs w:val="24"/>
        </w:rPr>
        <w:t>The retort pouch package was invented and introduced by the US Army Natick Laboratory as a replacement for</w:t>
      </w:r>
      <w:r w:rsidRPr="0079107F">
        <w:rPr>
          <w:rFonts w:ascii="Times New Roman" w:hAnsi="Times New Roman"/>
          <w:sz w:val="24"/>
          <w:szCs w:val="24"/>
        </w:rPr>
        <w:t xml:space="preserve"> the metal can due to the advantages that pouches offer</w:t>
      </w:r>
      <w:r>
        <w:rPr>
          <w:rFonts w:ascii="Times New Roman" w:hAnsi="Times New Roman"/>
          <w:sz w:val="24"/>
          <w:szCs w:val="24"/>
        </w:rPr>
        <w:t xml:space="preserve"> (lighter weight, lower cost, lower total heat processing required, etc)</w:t>
      </w:r>
      <w:r w:rsidRPr="0079107F">
        <w:rPr>
          <w:rFonts w:ascii="Times New Roman" w:hAnsi="Times New Roman"/>
          <w:sz w:val="24"/>
          <w:szCs w:val="24"/>
        </w:rPr>
        <w:t xml:space="preserve">. </w:t>
      </w:r>
      <w:r>
        <w:rPr>
          <w:rFonts w:ascii="Times New Roman" w:hAnsi="Times New Roman"/>
          <w:sz w:val="24"/>
          <w:szCs w:val="24"/>
        </w:rPr>
        <w:t xml:space="preserve"> </w:t>
      </w:r>
      <w:r w:rsidRPr="0079107F">
        <w:rPr>
          <w:rFonts w:ascii="Times New Roman" w:hAnsi="Times New Roman"/>
          <w:sz w:val="24"/>
          <w:szCs w:val="24"/>
        </w:rPr>
        <w:t>Retort pouches are soft containers which do not injure soldiers when the food is carried in pockets</w:t>
      </w:r>
      <w:r>
        <w:rPr>
          <w:rFonts w:ascii="Times New Roman" w:hAnsi="Times New Roman"/>
          <w:sz w:val="24"/>
          <w:szCs w:val="24"/>
        </w:rPr>
        <w:t>; also, the sensory quality is higher than in metal cans due to fact that the l</w:t>
      </w:r>
      <w:r w:rsidRPr="0079107F">
        <w:rPr>
          <w:rFonts w:ascii="Times New Roman" w:hAnsi="Times New Roman"/>
          <w:sz w:val="24"/>
          <w:szCs w:val="24"/>
        </w:rPr>
        <w:t xml:space="preserve">ength of heat treatment is reduced </w:t>
      </w:r>
      <w:r w:rsidRPr="0079107F">
        <w:rPr>
          <w:rFonts w:ascii="Times New Roman" w:hAnsi="Times New Roman"/>
          <w:noProof/>
          <w:sz w:val="24"/>
          <w:szCs w:val="24"/>
        </w:rPr>
        <w:t>(Clark 2009)</w:t>
      </w:r>
      <w:r w:rsidRPr="0079107F">
        <w:rPr>
          <w:rFonts w:ascii="Times New Roman" w:hAnsi="Times New Roman"/>
          <w:sz w:val="24"/>
          <w:szCs w:val="24"/>
        </w:rPr>
        <w:t xml:space="preserve">. </w:t>
      </w:r>
      <w:r>
        <w:rPr>
          <w:rFonts w:ascii="Times New Roman" w:hAnsi="Times New Roman"/>
          <w:sz w:val="24"/>
          <w:szCs w:val="24"/>
        </w:rPr>
        <w:t xml:space="preserve"> Unfortunately, the stability of some of the products </w:t>
      </w:r>
      <w:r>
        <w:rPr>
          <w:rFonts w:ascii="Times New Roman" w:hAnsi="Times New Roman"/>
          <w:sz w:val="24"/>
          <w:szCs w:val="24"/>
        </w:rPr>
        <w:lastRenderedPageBreak/>
        <w:t xml:space="preserve">packaged in this type of container due to AA loss is still a challenge for food scientists.  </w:t>
      </w:r>
      <w:r w:rsidRPr="0079107F">
        <w:rPr>
          <w:rFonts w:ascii="Times New Roman" w:hAnsi="Times New Roman"/>
          <w:sz w:val="24"/>
          <w:szCs w:val="24"/>
        </w:rPr>
        <w:t xml:space="preserve">In fact, diced peaches in syrup </w:t>
      </w:r>
      <w:r>
        <w:rPr>
          <w:rFonts w:ascii="Times New Roman" w:hAnsi="Times New Roman"/>
          <w:sz w:val="24"/>
          <w:szCs w:val="24"/>
        </w:rPr>
        <w:t xml:space="preserve">in retortable pouches </w:t>
      </w:r>
      <w:r w:rsidRPr="0079107F">
        <w:rPr>
          <w:rFonts w:ascii="Times New Roman" w:hAnsi="Times New Roman"/>
          <w:sz w:val="24"/>
          <w:szCs w:val="24"/>
        </w:rPr>
        <w:t xml:space="preserve">used to be part of the soldier menus; however, due to the AA browning </w:t>
      </w:r>
      <w:r>
        <w:rPr>
          <w:rFonts w:ascii="Times New Roman" w:hAnsi="Times New Roman"/>
          <w:sz w:val="24"/>
          <w:szCs w:val="24"/>
        </w:rPr>
        <w:t xml:space="preserve">that </w:t>
      </w:r>
      <w:r w:rsidRPr="0079107F">
        <w:rPr>
          <w:rFonts w:ascii="Times New Roman" w:hAnsi="Times New Roman"/>
          <w:sz w:val="24"/>
          <w:szCs w:val="24"/>
        </w:rPr>
        <w:t>developed during storage</w:t>
      </w:r>
      <w:r>
        <w:rPr>
          <w:rFonts w:ascii="Times New Roman" w:hAnsi="Times New Roman"/>
          <w:sz w:val="24"/>
          <w:szCs w:val="24"/>
        </w:rPr>
        <w:t>, especially when refrigeration is not available</w:t>
      </w:r>
      <w:r w:rsidRPr="0079107F">
        <w:rPr>
          <w:rFonts w:ascii="Times New Roman" w:hAnsi="Times New Roman"/>
          <w:sz w:val="24"/>
          <w:szCs w:val="24"/>
        </w:rPr>
        <w:t xml:space="preserve">, </w:t>
      </w:r>
      <w:r>
        <w:rPr>
          <w:rFonts w:ascii="Times New Roman" w:hAnsi="Times New Roman"/>
          <w:sz w:val="24"/>
          <w:szCs w:val="24"/>
        </w:rPr>
        <w:t>it was</w:t>
      </w:r>
      <w:r w:rsidRPr="0079107F">
        <w:rPr>
          <w:rFonts w:ascii="Times New Roman" w:hAnsi="Times New Roman"/>
          <w:sz w:val="24"/>
          <w:szCs w:val="24"/>
        </w:rPr>
        <w:t xml:space="preserve"> removed. </w:t>
      </w:r>
      <w:r>
        <w:rPr>
          <w:rFonts w:ascii="Times New Roman" w:hAnsi="Times New Roman"/>
          <w:sz w:val="24"/>
          <w:szCs w:val="24"/>
        </w:rPr>
        <w:t xml:space="preserve"> Just a few studies examining</w:t>
      </w:r>
      <w:r w:rsidRPr="0079107F">
        <w:rPr>
          <w:rFonts w:ascii="Times New Roman" w:hAnsi="Times New Roman"/>
          <w:sz w:val="24"/>
          <w:szCs w:val="24"/>
        </w:rPr>
        <w:t xml:space="preserve"> non-enzymatic browning of food products manufactured in retort pouch</w:t>
      </w:r>
      <w:r>
        <w:rPr>
          <w:rFonts w:ascii="Times New Roman" w:hAnsi="Times New Roman"/>
          <w:sz w:val="24"/>
          <w:szCs w:val="24"/>
        </w:rPr>
        <w:t>es have been published to date</w:t>
      </w:r>
      <w:r w:rsidRPr="0079107F">
        <w:rPr>
          <w:rFonts w:ascii="Times New Roman" w:hAnsi="Times New Roman"/>
          <w:sz w:val="24"/>
          <w:szCs w:val="24"/>
        </w:rPr>
        <w:t xml:space="preserve"> </w:t>
      </w:r>
      <w:r w:rsidRPr="0079107F">
        <w:rPr>
          <w:rFonts w:ascii="Times New Roman" w:hAnsi="Times New Roman"/>
          <w:noProof/>
          <w:sz w:val="24"/>
          <w:szCs w:val="24"/>
        </w:rPr>
        <w:t>(Clark and others 2002; Kluter and others 1996; Kluter and others 1994; Olivas and others 2002; Rodriguez and others 2003)</w:t>
      </w:r>
      <w:r w:rsidRPr="0079107F">
        <w:rPr>
          <w:rFonts w:ascii="Times New Roman" w:hAnsi="Times New Roman"/>
          <w:sz w:val="24"/>
          <w:szCs w:val="24"/>
        </w:rPr>
        <w:t xml:space="preserve">. </w:t>
      </w:r>
    </w:p>
    <w:p w:rsidR="001A4B2F" w:rsidRPr="007C2E06" w:rsidRDefault="001A4B2F" w:rsidP="001A4B2F">
      <w:pPr>
        <w:pStyle w:val="ListParagraph"/>
        <w:spacing w:after="0" w:line="360" w:lineRule="auto"/>
        <w:ind w:left="0" w:firstLine="720"/>
        <w:jc w:val="both"/>
        <w:rPr>
          <w:rFonts w:ascii="Times New Roman" w:hAnsi="Times New Roman"/>
          <w:sz w:val="24"/>
          <w:szCs w:val="24"/>
        </w:rPr>
      </w:pPr>
    </w:p>
    <w:p w:rsidR="001A4B2F" w:rsidRDefault="001A4B2F" w:rsidP="001A4B2F">
      <w:pPr>
        <w:spacing w:after="0" w:line="360" w:lineRule="auto"/>
        <w:ind w:firstLine="708"/>
        <w:jc w:val="both"/>
        <w:rPr>
          <w:rFonts w:ascii="Times New Roman" w:hAnsi="Times New Roman"/>
          <w:sz w:val="24"/>
          <w:szCs w:val="24"/>
        </w:rPr>
      </w:pPr>
      <w:r w:rsidRPr="0040216C">
        <w:rPr>
          <w:rFonts w:ascii="Times New Roman" w:hAnsi="Times New Roman"/>
          <w:sz w:val="24"/>
          <w:szCs w:val="24"/>
        </w:rPr>
        <w:t>Different methods to minimize or retard the formation of browning pigments due to non-enzymatic re</w:t>
      </w:r>
      <w:r>
        <w:rPr>
          <w:rFonts w:ascii="Times New Roman" w:hAnsi="Times New Roman"/>
          <w:sz w:val="24"/>
          <w:szCs w:val="24"/>
        </w:rPr>
        <w:t>actions have been studied</w:t>
      </w:r>
      <w:r w:rsidRPr="0040216C">
        <w:rPr>
          <w:rFonts w:ascii="Times New Roman" w:hAnsi="Times New Roman"/>
          <w:sz w:val="24"/>
          <w:szCs w:val="24"/>
        </w:rPr>
        <w:t xml:space="preserve">. </w:t>
      </w:r>
      <w:r>
        <w:rPr>
          <w:rFonts w:ascii="Times New Roman" w:hAnsi="Times New Roman"/>
          <w:sz w:val="24"/>
          <w:szCs w:val="24"/>
        </w:rPr>
        <w:t xml:space="preserve"> </w:t>
      </w:r>
      <w:r w:rsidRPr="0040216C">
        <w:rPr>
          <w:rFonts w:ascii="Times New Roman" w:hAnsi="Times New Roman"/>
          <w:sz w:val="24"/>
          <w:szCs w:val="24"/>
        </w:rPr>
        <w:t>Some of these techniques involve the use of chemicals such as thiol compounds, sulfites and maltitol</w:t>
      </w:r>
      <w:r>
        <w:rPr>
          <w:rFonts w:ascii="Times New Roman" w:hAnsi="Times New Roman"/>
          <w:sz w:val="24"/>
          <w:szCs w:val="24"/>
        </w:rPr>
        <w:t xml:space="preserve"> </w:t>
      </w:r>
      <w:r>
        <w:rPr>
          <w:rFonts w:ascii="Times New Roman" w:hAnsi="Times New Roman"/>
          <w:noProof/>
          <w:sz w:val="24"/>
          <w:szCs w:val="24"/>
        </w:rPr>
        <w:t>(Roig and others 1996; Naim and others 1997; Naim and others 1993; Davies and Wedzicha 1992; Koseki and others 2001)</w:t>
      </w:r>
      <w:r w:rsidRPr="007C2E06">
        <w:rPr>
          <w:rFonts w:ascii="Times New Roman" w:hAnsi="Times New Roman"/>
          <w:sz w:val="24"/>
          <w:szCs w:val="24"/>
        </w:rPr>
        <w:t>.  Physical methods such a</w:t>
      </w:r>
      <w:r>
        <w:rPr>
          <w:rFonts w:ascii="Times New Roman" w:hAnsi="Times New Roman"/>
          <w:sz w:val="24"/>
          <w:szCs w:val="24"/>
        </w:rPr>
        <w:t xml:space="preserve">s modified-atmosphere packaging, </w:t>
      </w:r>
      <w:r w:rsidRPr="007C2E06">
        <w:rPr>
          <w:rFonts w:ascii="Times New Roman" w:hAnsi="Times New Roman"/>
          <w:sz w:val="24"/>
          <w:szCs w:val="24"/>
        </w:rPr>
        <w:t>microwave heating</w:t>
      </w:r>
      <w:r>
        <w:rPr>
          <w:rFonts w:ascii="Times New Roman" w:hAnsi="Times New Roman"/>
          <w:sz w:val="24"/>
          <w:szCs w:val="24"/>
        </w:rPr>
        <w:t xml:space="preserve"> and</w:t>
      </w:r>
      <w:r w:rsidRPr="007C2E06">
        <w:rPr>
          <w:rFonts w:ascii="Times New Roman" w:hAnsi="Times New Roman"/>
          <w:sz w:val="24"/>
          <w:szCs w:val="24"/>
        </w:rPr>
        <w:t xml:space="preserve"> ultrasound-assisting thermal processing </w:t>
      </w:r>
      <w:r>
        <w:rPr>
          <w:rFonts w:ascii="Times New Roman" w:hAnsi="Times New Roman"/>
          <w:sz w:val="24"/>
          <w:szCs w:val="24"/>
        </w:rPr>
        <w:t xml:space="preserve">have been also examined </w:t>
      </w:r>
      <w:r w:rsidRPr="007C2E06">
        <w:rPr>
          <w:rFonts w:ascii="Times New Roman" w:hAnsi="Times New Roman"/>
          <w:sz w:val="24"/>
          <w:szCs w:val="24"/>
        </w:rPr>
        <w:t>for the stabilization of ascorbic acids in foods</w:t>
      </w:r>
      <w:r>
        <w:rPr>
          <w:rFonts w:ascii="Times New Roman" w:hAnsi="Times New Roman"/>
          <w:sz w:val="24"/>
          <w:szCs w:val="24"/>
        </w:rPr>
        <w:t xml:space="preserve"> </w:t>
      </w:r>
      <w:r>
        <w:rPr>
          <w:rFonts w:ascii="Times New Roman" w:hAnsi="Times New Roman"/>
          <w:noProof/>
          <w:sz w:val="24"/>
          <w:szCs w:val="24"/>
        </w:rPr>
        <w:t>(Howard and Hernandez-Brenes 1998; Villamiel and others 1998; Zenker and others 2003)</w:t>
      </w:r>
      <w:r w:rsidRPr="007C2E06">
        <w:rPr>
          <w:rFonts w:ascii="Times New Roman" w:hAnsi="Times New Roman"/>
          <w:sz w:val="24"/>
          <w:szCs w:val="24"/>
        </w:rPr>
        <w:t xml:space="preserve">. </w:t>
      </w:r>
      <w:r>
        <w:rPr>
          <w:rFonts w:ascii="Times New Roman" w:hAnsi="Times New Roman"/>
          <w:sz w:val="24"/>
          <w:szCs w:val="24"/>
        </w:rPr>
        <w:t xml:space="preserve"> Based on literature reports, </w:t>
      </w:r>
      <w:r w:rsidRPr="007C2E06">
        <w:rPr>
          <w:rFonts w:ascii="Times New Roman" w:hAnsi="Times New Roman"/>
          <w:sz w:val="24"/>
          <w:szCs w:val="24"/>
        </w:rPr>
        <w:t xml:space="preserve">two methods </w:t>
      </w:r>
      <w:r>
        <w:rPr>
          <w:rFonts w:ascii="Times New Roman" w:hAnsi="Times New Roman"/>
          <w:sz w:val="24"/>
          <w:szCs w:val="24"/>
        </w:rPr>
        <w:t>appear promising for the delay</w:t>
      </w:r>
      <w:r w:rsidRPr="007C2E06">
        <w:rPr>
          <w:rFonts w:ascii="Times New Roman" w:hAnsi="Times New Roman"/>
          <w:sz w:val="24"/>
          <w:szCs w:val="24"/>
        </w:rPr>
        <w:t xml:space="preserve"> </w:t>
      </w:r>
      <w:r>
        <w:rPr>
          <w:rFonts w:ascii="Times New Roman" w:hAnsi="Times New Roman"/>
          <w:sz w:val="24"/>
          <w:szCs w:val="24"/>
        </w:rPr>
        <w:t xml:space="preserve">of </w:t>
      </w:r>
      <w:r w:rsidRPr="007C2E06">
        <w:rPr>
          <w:rFonts w:ascii="Times New Roman" w:hAnsi="Times New Roman"/>
          <w:sz w:val="24"/>
          <w:szCs w:val="24"/>
        </w:rPr>
        <w:t>AA lo</w:t>
      </w:r>
      <w:r>
        <w:rPr>
          <w:rFonts w:ascii="Times New Roman" w:hAnsi="Times New Roman"/>
          <w:sz w:val="24"/>
          <w:szCs w:val="24"/>
        </w:rPr>
        <w:t xml:space="preserve">ss in shelf-stable food products:  the use of more stable AA derivatives and the addition of flavonoids. </w:t>
      </w:r>
    </w:p>
    <w:p w:rsidR="001A4B2F" w:rsidRPr="007C2E06" w:rsidRDefault="001A4B2F" w:rsidP="001A4B2F">
      <w:pPr>
        <w:spacing w:after="0" w:line="360" w:lineRule="auto"/>
        <w:ind w:firstLine="708"/>
        <w:jc w:val="both"/>
        <w:rPr>
          <w:rFonts w:ascii="Times New Roman" w:hAnsi="Times New Roman"/>
          <w:sz w:val="24"/>
          <w:szCs w:val="24"/>
        </w:rPr>
      </w:pPr>
    </w:p>
    <w:p w:rsidR="001A4B2F" w:rsidRPr="006B2A33" w:rsidRDefault="001A4B2F" w:rsidP="001A4B2F">
      <w:pPr>
        <w:spacing w:after="0" w:line="360" w:lineRule="auto"/>
        <w:ind w:firstLine="708"/>
        <w:jc w:val="both"/>
        <w:rPr>
          <w:rFonts w:ascii="Times New Roman" w:hAnsi="Times New Roman"/>
          <w:sz w:val="24"/>
          <w:szCs w:val="24"/>
        </w:rPr>
      </w:pPr>
      <w:r>
        <w:rPr>
          <w:rFonts w:ascii="Times New Roman" w:hAnsi="Times New Roman"/>
          <w:sz w:val="24"/>
          <w:szCs w:val="24"/>
        </w:rPr>
        <w:t>T</w:t>
      </w:r>
      <w:r w:rsidRPr="006B2A33">
        <w:rPr>
          <w:rFonts w:ascii="Times New Roman" w:hAnsi="Times New Roman"/>
          <w:sz w:val="24"/>
          <w:szCs w:val="24"/>
        </w:rPr>
        <w:t xml:space="preserve">he use of other forms of AA which have substituted groups at carbons 2 and 3 has been proposed as </w:t>
      </w:r>
      <w:r>
        <w:rPr>
          <w:rFonts w:ascii="Times New Roman" w:hAnsi="Times New Roman"/>
          <w:sz w:val="24"/>
          <w:szCs w:val="24"/>
        </w:rPr>
        <w:t xml:space="preserve">a </w:t>
      </w:r>
      <w:r w:rsidRPr="006B2A33">
        <w:rPr>
          <w:rFonts w:ascii="Times New Roman" w:hAnsi="Times New Roman"/>
          <w:sz w:val="24"/>
          <w:szCs w:val="24"/>
        </w:rPr>
        <w:t xml:space="preserve">replacement </w:t>
      </w:r>
      <w:r>
        <w:rPr>
          <w:rFonts w:ascii="Times New Roman" w:hAnsi="Times New Roman"/>
          <w:sz w:val="24"/>
          <w:szCs w:val="24"/>
        </w:rPr>
        <w:t>for AA, due to</w:t>
      </w:r>
      <w:r w:rsidRPr="006B2A33">
        <w:rPr>
          <w:rFonts w:ascii="Times New Roman" w:hAnsi="Times New Roman"/>
          <w:sz w:val="24"/>
          <w:szCs w:val="24"/>
        </w:rPr>
        <w:t xml:space="preserve"> improved </w:t>
      </w:r>
      <w:r>
        <w:rPr>
          <w:rFonts w:ascii="Times New Roman" w:hAnsi="Times New Roman"/>
          <w:sz w:val="24"/>
          <w:szCs w:val="24"/>
        </w:rPr>
        <w:t xml:space="preserve">chemical </w:t>
      </w:r>
      <w:r w:rsidRPr="006B2A33">
        <w:rPr>
          <w:rFonts w:ascii="Times New Roman" w:hAnsi="Times New Roman"/>
          <w:sz w:val="24"/>
          <w:szCs w:val="24"/>
        </w:rPr>
        <w:t xml:space="preserve">stability </w:t>
      </w:r>
      <w:r w:rsidRPr="006B2A33">
        <w:rPr>
          <w:rFonts w:ascii="Times New Roman" w:hAnsi="Times New Roman"/>
          <w:noProof/>
          <w:sz w:val="24"/>
          <w:szCs w:val="24"/>
        </w:rPr>
        <w:t>(Iacobucci and Sweeny 1980)</w:t>
      </w:r>
      <w:r w:rsidRPr="006B2A33">
        <w:rPr>
          <w:rFonts w:ascii="Times New Roman" w:hAnsi="Times New Roman"/>
          <w:sz w:val="24"/>
          <w:szCs w:val="24"/>
        </w:rPr>
        <w:t xml:space="preserve">.  </w:t>
      </w:r>
      <w:r>
        <w:rPr>
          <w:rFonts w:ascii="Times New Roman" w:hAnsi="Times New Roman"/>
          <w:sz w:val="24"/>
          <w:szCs w:val="24"/>
        </w:rPr>
        <w:t>Indeed, o</w:t>
      </w:r>
      <w:r w:rsidRPr="006B2A33">
        <w:rPr>
          <w:rFonts w:ascii="Times New Roman" w:hAnsi="Times New Roman"/>
          <w:sz w:val="24"/>
          <w:szCs w:val="24"/>
        </w:rPr>
        <w:t xml:space="preserve">ne of the ascorbic acid derivatives that </w:t>
      </w:r>
      <w:proofErr w:type="gramStart"/>
      <w:r w:rsidRPr="006B2A33">
        <w:rPr>
          <w:rFonts w:ascii="Times New Roman" w:hAnsi="Times New Roman"/>
          <w:sz w:val="24"/>
          <w:szCs w:val="24"/>
        </w:rPr>
        <w:t>has</w:t>
      </w:r>
      <w:proofErr w:type="gramEnd"/>
      <w:r w:rsidRPr="006B2A33">
        <w:rPr>
          <w:rFonts w:ascii="Times New Roman" w:hAnsi="Times New Roman"/>
          <w:sz w:val="24"/>
          <w:szCs w:val="24"/>
        </w:rPr>
        <w:t xml:space="preserve"> been shown to have promising results is ascorbyl-2-phosphate (A2P</w:t>
      </w:r>
      <w:r>
        <w:rPr>
          <w:rFonts w:ascii="Times New Roman" w:hAnsi="Times New Roman"/>
          <w:sz w:val="24"/>
          <w:szCs w:val="24"/>
        </w:rPr>
        <w:t>)</w:t>
      </w:r>
      <w:r w:rsidRPr="006B2A33">
        <w:rPr>
          <w:rFonts w:ascii="Times New Roman" w:hAnsi="Times New Roman"/>
          <w:sz w:val="24"/>
          <w:szCs w:val="24"/>
        </w:rPr>
        <w:t xml:space="preserve"> </w:t>
      </w:r>
      <w:r w:rsidRPr="006B2A33">
        <w:rPr>
          <w:rFonts w:ascii="Times New Roman" w:hAnsi="Times New Roman"/>
          <w:noProof/>
          <w:sz w:val="24"/>
          <w:szCs w:val="24"/>
        </w:rPr>
        <w:t>(O'Keefe 2001)</w:t>
      </w:r>
      <w:r w:rsidRPr="006B2A33">
        <w:rPr>
          <w:rFonts w:ascii="Times New Roman" w:hAnsi="Times New Roman"/>
          <w:sz w:val="24"/>
          <w:szCs w:val="24"/>
        </w:rPr>
        <w:t xml:space="preserve">.  For example, ascorbyl-2-monophosphate and ascorbyl-2-polyphosphate had better stability </w:t>
      </w:r>
      <w:r>
        <w:rPr>
          <w:rFonts w:ascii="Times New Roman" w:hAnsi="Times New Roman"/>
          <w:sz w:val="24"/>
          <w:szCs w:val="24"/>
        </w:rPr>
        <w:t xml:space="preserve">than AA </w:t>
      </w:r>
      <w:r w:rsidRPr="006B2A33">
        <w:rPr>
          <w:rFonts w:ascii="Times New Roman" w:hAnsi="Times New Roman"/>
          <w:sz w:val="24"/>
          <w:szCs w:val="24"/>
        </w:rPr>
        <w:t xml:space="preserve">in carbonated beverages at 15°C, 25°C and 35°C </w:t>
      </w:r>
      <w:r w:rsidRPr="006B2A33">
        <w:rPr>
          <w:rFonts w:ascii="Times New Roman" w:hAnsi="Times New Roman"/>
          <w:noProof/>
          <w:sz w:val="24"/>
          <w:szCs w:val="24"/>
        </w:rPr>
        <w:t>(Wang and others 1992)</w:t>
      </w:r>
      <w:r w:rsidRPr="006B2A33">
        <w:rPr>
          <w:rFonts w:ascii="Times New Roman" w:hAnsi="Times New Roman"/>
          <w:sz w:val="24"/>
          <w:szCs w:val="24"/>
        </w:rPr>
        <w:t xml:space="preserve">.  In mashed potatoes after processing and storage, the losses of AA and A2P were 50% and 20%, respectively </w:t>
      </w:r>
      <w:r w:rsidRPr="006B2A33">
        <w:rPr>
          <w:rFonts w:ascii="Times New Roman" w:hAnsi="Times New Roman"/>
          <w:noProof/>
          <w:sz w:val="24"/>
          <w:szCs w:val="24"/>
        </w:rPr>
        <w:t>(Wang and others 1995)</w:t>
      </w:r>
      <w:r w:rsidRPr="006B2A33">
        <w:rPr>
          <w:rFonts w:ascii="Times New Roman" w:hAnsi="Times New Roman"/>
          <w:sz w:val="24"/>
          <w:szCs w:val="24"/>
        </w:rPr>
        <w:t xml:space="preserve">. </w:t>
      </w:r>
      <w:r>
        <w:rPr>
          <w:rFonts w:ascii="Times New Roman" w:hAnsi="Times New Roman"/>
          <w:sz w:val="24"/>
          <w:szCs w:val="24"/>
        </w:rPr>
        <w:t xml:space="preserve"> </w:t>
      </w:r>
      <w:r w:rsidRPr="006B2A33">
        <w:rPr>
          <w:rFonts w:ascii="Times New Roman" w:hAnsi="Times New Roman"/>
          <w:sz w:val="24"/>
          <w:szCs w:val="24"/>
        </w:rPr>
        <w:t xml:space="preserve">In addition, higher stability of A2P has been shown in cosmetics and aquatic feeds </w:t>
      </w:r>
      <w:r w:rsidRPr="006B2A33">
        <w:rPr>
          <w:rFonts w:ascii="Times New Roman" w:hAnsi="Times New Roman"/>
          <w:noProof/>
          <w:sz w:val="24"/>
          <w:szCs w:val="24"/>
        </w:rPr>
        <w:t>(O'Keefe 2001; Austria and others 1997)</w:t>
      </w:r>
      <w:r w:rsidRPr="006B2A33">
        <w:rPr>
          <w:rFonts w:ascii="Times New Roman" w:hAnsi="Times New Roman"/>
          <w:sz w:val="24"/>
          <w:szCs w:val="24"/>
        </w:rPr>
        <w:t xml:space="preserve">.  Even though A2P still does not have approval for use in foods, additional study is warranted because of its reported higher stability in different food systems. </w:t>
      </w:r>
    </w:p>
    <w:p w:rsidR="001A4B2F" w:rsidRDefault="001A4B2F" w:rsidP="001A4B2F">
      <w:pPr>
        <w:spacing w:after="0" w:line="360" w:lineRule="auto"/>
        <w:ind w:firstLine="720"/>
        <w:jc w:val="both"/>
        <w:rPr>
          <w:rFonts w:ascii="Times New Roman" w:hAnsi="Times New Roman"/>
          <w:sz w:val="24"/>
          <w:szCs w:val="24"/>
        </w:rPr>
      </w:pPr>
    </w:p>
    <w:p w:rsidR="001A4B2F" w:rsidRDefault="001A4B2F" w:rsidP="001A4B2F">
      <w:pPr>
        <w:spacing w:after="0" w:line="360" w:lineRule="auto"/>
        <w:ind w:firstLine="720"/>
        <w:jc w:val="both"/>
        <w:rPr>
          <w:rFonts w:ascii="Times New Roman" w:hAnsi="Times New Roman"/>
          <w:sz w:val="24"/>
          <w:szCs w:val="24"/>
        </w:rPr>
      </w:pPr>
      <w:r>
        <w:rPr>
          <w:rFonts w:ascii="Times New Roman" w:hAnsi="Times New Roman"/>
          <w:sz w:val="24"/>
          <w:szCs w:val="24"/>
        </w:rPr>
        <w:t>T</w:t>
      </w:r>
      <w:r w:rsidRPr="006B2A33">
        <w:rPr>
          <w:rFonts w:ascii="Times New Roman" w:hAnsi="Times New Roman"/>
          <w:sz w:val="24"/>
          <w:szCs w:val="24"/>
        </w:rPr>
        <w:t xml:space="preserve">he </w:t>
      </w:r>
      <w:r>
        <w:rPr>
          <w:rFonts w:ascii="Times New Roman" w:hAnsi="Times New Roman"/>
          <w:sz w:val="24"/>
          <w:szCs w:val="24"/>
        </w:rPr>
        <w:t xml:space="preserve">addition </w:t>
      </w:r>
      <w:r w:rsidRPr="006B2A33">
        <w:rPr>
          <w:rFonts w:ascii="Times New Roman" w:hAnsi="Times New Roman"/>
          <w:sz w:val="24"/>
          <w:szCs w:val="24"/>
        </w:rPr>
        <w:t xml:space="preserve">of flavonoids in food systems in order to delay the AA browning has not been studied yet. </w:t>
      </w:r>
      <w:r>
        <w:rPr>
          <w:rFonts w:ascii="Times New Roman" w:hAnsi="Times New Roman"/>
          <w:sz w:val="24"/>
          <w:szCs w:val="24"/>
        </w:rPr>
        <w:t xml:space="preserve"> </w:t>
      </w:r>
      <w:r w:rsidRPr="006B2A33">
        <w:rPr>
          <w:rFonts w:ascii="Times New Roman" w:hAnsi="Times New Roman"/>
          <w:sz w:val="24"/>
          <w:szCs w:val="24"/>
        </w:rPr>
        <w:t>These compounds are s</w:t>
      </w:r>
      <w:r>
        <w:rPr>
          <w:rFonts w:ascii="Times New Roman" w:hAnsi="Times New Roman"/>
          <w:sz w:val="24"/>
          <w:szCs w:val="24"/>
        </w:rPr>
        <w:t>econdary plant metabolites that</w:t>
      </w:r>
      <w:r w:rsidRPr="006B2A33">
        <w:rPr>
          <w:rFonts w:ascii="Times New Roman" w:hAnsi="Times New Roman"/>
          <w:sz w:val="24"/>
          <w:szCs w:val="24"/>
        </w:rPr>
        <w:t xml:space="preserve"> have been shown to have good antioxidant properties, due to their free radical scavenging and metal chelation </w:t>
      </w:r>
      <w:r w:rsidRPr="006B2A33">
        <w:rPr>
          <w:rFonts w:ascii="Times New Roman" w:hAnsi="Times New Roman"/>
          <w:sz w:val="24"/>
          <w:szCs w:val="24"/>
        </w:rPr>
        <w:lastRenderedPageBreak/>
        <w:t>activities</w:t>
      </w:r>
      <w:r>
        <w:rPr>
          <w:rFonts w:ascii="Times New Roman" w:hAnsi="Times New Roman"/>
          <w:sz w:val="24"/>
          <w:szCs w:val="24"/>
        </w:rPr>
        <w:t>.</w:t>
      </w:r>
      <w:r w:rsidRPr="006B2A33">
        <w:rPr>
          <w:rFonts w:ascii="Times New Roman" w:hAnsi="Times New Roman"/>
          <w:sz w:val="24"/>
          <w:szCs w:val="24"/>
        </w:rPr>
        <w:t xml:space="preserve"> </w:t>
      </w:r>
      <w:r>
        <w:rPr>
          <w:rFonts w:ascii="Times New Roman" w:hAnsi="Times New Roman"/>
          <w:sz w:val="24"/>
          <w:szCs w:val="24"/>
        </w:rPr>
        <w:t xml:space="preserve"> </w:t>
      </w:r>
      <w:r w:rsidRPr="006B2A33">
        <w:rPr>
          <w:rFonts w:ascii="Times New Roman" w:hAnsi="Times New Roman"/>
          <w:sz w:val="24"/>
          <w:szCs w:val="24"/>
        </w:rPr>
        <w:t xml:space="preserve">In fact, their protective role against ascorbic acid degradation has been known since 1936, when Szent-Gyorgyi and coworkers found that flavonoids, at that time called Vitamin P, had an ascorbate protective role </w:t>
      </w:r>
      <w:r w:rsidRPr="006B2A33">
        <w:rPr>
          <w:rFonts w:ascii="Times New Roman" w:hAnsi="Times New Roman"/>
          <w:noProof/>
          <w:sz w:val="24"/>
          <w:szCs w:val="24"/>
        </w:rPr>
        <w:t>(Rice-Evans and Packer 1998)</w:t>
      </w:r>
      <w:r w:rsidRPr="006B2A33">
        <w:rPr>
          <w:rFonts w:ascii="Times New Roman" w:hAnsi="Times New Roman"/>
          <w:sz w:val="24"/>
          <w:szCs w:val="24"/>
        </w:rPr>
        <w:t xml:space="preserve">.  Subsequently, research </w:t>
      </w:r>
      <w:r w:rsidRPr="006B2A33">
        <w:rPr>
          <w:rFonts w:ascii="Times New Roman" w:hAnsi="Times New Roman"/>
          <w:i/>
          <w:sz w:val="24"/>
          <w:szCs w:val="24"/>
        </w:rPr>
        <w:t>in-vitro</w:t>
      </w:r>
      <w:r w:rsidRPr="006B2A33">
        <w:rPr>
          <w:rFonts w:ascii="Times New Roman" w:hAnsi="Times New Roman"/>
          <w:sz w:val="24"/>
          <w:szCs w:val="24"/>
        </w:rPr>
        <w:t xml:space="preserve"> has confirmed this protective role </w:t>
      </w:r>
      <w:r w:rsidRPr="006B2A33">
        <w:rPr>
          <w:rFonts w:ascii="Times New Roman" w:hAnsi="Times New Roman"/>
          <w:noProof/>
          <w:sz w:val="24"/>
          <w:szCs w:val="24"/>
        </w:rPr>
        <w:t>(Bors and others 1995; Rice-Evans and Packer 1998; Sivonova and others 2006; Cossins and others 1998)</w:t>
      </w:r>
      <w:r w:rsidRPr="006B2A33">
        <w:rPr>
          <w:rFonts w:ascii="Times New Roman" w:hAnsi="Times New Roman"/>
          <w:sz w:val="24"/>
          <w:szCs w:val="24"/>
        </w:rPr>
        <w:t xml:space="preserve">. </w:t>
      </w:r>
      <w:r>
        <w:rPr>
          <w:rFonts w:ascii="Times New Roman" w:hAnsi="Times New Roman"/>
          <w:sz w:val="24"/>
          <w:szCs w:val="24"/>
        </w:rPr>
        <w:t xml:space="preserve"> T</w:t>
      </w:r>
      <w:r w:rsidRPr="006B2A33">
        <w:rPr>
          <w:rFonts w:ascii="Times New Roman" w:hAnsi="Times New Roman"/>
          <w:sz w:val="24"/>
          <w:szCs w:val="24"/>
        </w:rPr>
        <w:t xml:space="preserve">here is </w:t>
      </w:r>
      <w:r>
        <w:rPr>
          <w:rFonts w:ascii="Times New Roman" w:hAnsi="Times New Roman"/>
          <w:sz w:val="24"/>
          <w:szCs w:val="24"/>
        </w:rPr>
        <w:t xml:space="preserve">also </w:t>
      </w:r>
      <w:r w:rsidRPr="006B2A33">
        <w:rPr>
          <w:rFonts w:ascii="Times New Roman" w:hAnsi="Times New Roman"/>
          <w:sz w:val="24"/>
          <w:szCs w:val="24"/>
        </w:rPr>
        <w:t>evidence that shows that juices with high content</w:t>
      </w:r>
      <w:r>
        <w:rPr>
          <w:rFonts w:ascii="Times New Roman" w:hAnsi="Times New Roman"/>
          <w:sz w:val="24"/>
          <w:szCs w:val="24"/>
        </w:rPr>
        <w:t xml:space="preserve"> of phenolic compounds exhibit</w:t>
      </w:r>
      <w:r w:rsidRPr="006B2A33">
        <w:rPr>
          <w:rFonts w:ascii="Times New Roman" w:hAnsi="Times New Roman"/>
          <w:sz w:val="24"/>
          <w:szCs w:val="24"/>
        </w:rPr>
        <w:t xml:space="preserve"> good AA stability </w:t>
      </w:r>
      <w:r w:rsidRPr="006B2A33">
        <w:rPr>
          <w:rFonts w:ascii="Times New Roman" w:hAnsi="Times New Roman"/>
          <w:noProof/>
          <w:sz w:val="24"/>
          <w:szCs w:val="24"/>
        </w:rPr>
        <w:t>(Clegg and Morton 1968; Rice-Evans and Packer 1998)</w:t>
      </w:r>
      <w:r w:rsidRPr="006B2A33">
        <w:rPr>
          <w:rFonts w:ascii="Times New Roman" w:hAnsi="Times New Roman"/>
          <w:sz w:val="24"/>
          <w:szCs w:val="24"/>
        </w:rPr>
        <w:t xml:space="preserve">. </w:t>
      </w:r>
    </w:p>
    <w:p w:rsidR="001A4B2F" w:rsidRDefault="001A4B2F" w:rsidP="001A4B2F">
      <w:pPr>
        <w:spacing w:after="0" w:line="360" w:lineRule="auto"/>
        <w:ind w:firstLine="720"/>
        <w:jc w:val="both"/>
        <w:rPr>
          <w:rFonts w:ascii="Times New Roman" w:hAnsi="Times New Roman"/>
          <w:sz w:val="24"/>
          <w:szCs w:val="24"/>
        </w:rPr>
      </w:pPr>
    </w:p>
    <w:p w:rsidR="001A4B2F" w:rsidRPr="00990BDE" w:rsidRDefault="001A4B2F" w:rsidP="001A4B2F">
      <w:pPr>
        <w:pStyle w:val="ListParagraph"/>
        <w:spacing w:after="0" w:line="360" w:lineRule="auto"/>
        <w:ind w:left="0" w:firstLine="720"/>
        <w:jc w:val="both"/>
        <w:rPr>
          <w:rFonts w:ascii="Times New Roman" w:hAnsi="Times New Roman"/>
          <w:sz w:val="24"/>
          <w:szCs w:val="24"/>
        </w:rPr>
      </w:pPr>
      <w:r>
        <w:rPr>
          <w:rFonts w:ascii="Times New Roman" w:hAnsi="Times New Roman"/>
          <w:sz w:val="24"/>
          <w:szCs w:val="24"/>
        </w:rPr>
        <w:t xml:space="preserve">Among </w:t>
      </w:r>
      <w:r w:rsidRPr="00990BDE">
        <w:rPr>
          <w:rFonts w:ascii="Times New Roman" w:hAnsi="Times New Roman"/>
          <w:sz w:val="24"/>
          <w:szCs w:val="24"/>
        </w:rPr>
        <w:t xml:space="preserve">flavonoids, a blend of procyanidns and phenolic acid glycosylation products, which is sold under the name of Pycnogenol, has </w:t>
      </w:r>
      <w:r>
        <w:rPr>
          <w:rFonts w:ascii="Times New Roman" w:hAnsi="Times New Roman"/>
          <w:sz w:val="24"/>
          <w:szCs w:val="24"/>
        </w:rPr>
        <w:t xml:space="preserve">been </w:t>
      </w:r>
      <w:r w:rsidRPr="00990BDE">
        <w:rPr>
          <w:rFonts w:ascii="Times New Roman" w:hAnsi="Times New Roman"/>
          <w:sz w:val="24"/>
          <w:szCs w:val="24"/>
        </w:rPr>
        <w:t>demonstrated to have a better ascorbate protective activity than other compounds</w:t>
      </w:r>
      <w:r>
        <w:rPr>
          <w:rFonts w:ascii="Times New Roman" w:hAnsi="Times New Roman"/>
          <w:sz w:val="24"/>
          <w:szCs w:val="24"/>
        </w:rPr>
        <w:t xml:space="preserve"> </w:t>
      </w:r>
      <w:r>
        <w:rPr>
          <w:rFonts w:ascii="Times New Roman" w:hAnsi="Times New Roman"/>
          <w:noProof/>
          <w:sz w:val="24"/>
          <w:szCs w:val="24"/>
        </w:rPr>
        <w:t>(Cossins and others 1998)</w:t>
      </w:r>
      <w:r w:rsidRPr="00990BDE">
        <w:rPr>
          <w:rFonts w:ascii="Times New Roman" w:hAnsi="Times New Roman"/>
          <w:sz w:val="24"/>
          <w:szCs w:val="24"/>
        </w:rPr>
        <w:t xml:space="preserve">. </w:t>
      </w:r>
      <w:r>
        <w:rPr>
          <w:rFonts w:ascii="Times New Roman" w:hAnsi="Times New Roman"/>
          <w:sz w:val="24"/>
          <w:szCs w:val="24"/>
        </w:rPr>
        <w:t xml:space="preserve"> </w:t>
      </w:r>
      <w:r w:rsidRPr="00990BDE">
        <w:rPr>
          <w:rFonts w:ascii="Times New Roman" w:hAnsi="Times New Roman"/>
          <w:sz w:val="24"/>
          <w:szCs w:val="24"/>
        </w:rPr>
        <w:t xml:space="preserve">Pycnogenol is a tradename for an extract of pine bark developed originally by </w:t>
      </w:r>
      <w:r>
        <w:rPr>
          <w:rFonts w:ascii="Times New Roman" w:hAnsi="Times New Roman"/>
          <w:sz w:val="24"/>
          <w:szCs w:val="24"/>
        </w:rPr>
        <w:t>French scientist, Jack Masqueli</w:t>
      </w:r>
      <w:r w:rsidRPr="00990BDE">
        <w:rPr>
          <w:rFonts w:ascii="Times New Roman" w:hAnsi="Times New Roman"/>
          <w:sz w:val="24"/>
          <w:szCs w:val="24"/>
        </w:rPr>
        <w:t xml:space="preserve">er </w:t>
      </w:r>
      <w:r>
        <w:rPr>
          <w:rFonts w:ascii="Times New Roman" w:hAnsi="Times New Roman"/>
          <w:noProof/>
          <w:sz w:val="24"/>
          <w:szCs w:val="24"/>
        </w:rPr>
        <w:t>(Masquelier 1987)</w:t>
      </w:r>
      <w:r w:rsidRPr="00990BDE">
        <w:rPr>
          <w:rFonts w:ascii="Times New Roman" w:hAnsi="Times New Roman"/>
          <w:sz w:val="24"/>
          <w:szCs w:val="24"/>
        </w:rPr>
        <w:t xml:space="preserve">. </w:t>
      </w:r>
      <w:r>
        <w:rPr>
          <w:rFonts w:ascii="Times New Roman" w:hAnsi="Times New Roman"/>
          <w:sz w:val="24"/>
          <w:szCs w:val="24"/>
        </w:rPr>
        <w:t xml:space="preserve"> </w:t>
      </w:r>
      <w:r w:rsidRPr="00990BDE">
        <w:rPr>
          <w:rFonts w:ascii="Times New Roman" w:hAnsi="Times New Roman"/>
          <w:sz w:val="24"/>
          <w:szCs w:val="24"/>
        </w:rPr>
        <w:t xml:space="preserve">Most research on Pycnogenol has focused on its antimicrobial and antioxidant properties </w:t>
      </w:r>
      <w:r w:rsidRPr="00990BDE">
        <w:rPr>
          <w:rFonts w:ascii="Times New Roman" w:hAnsi="Times New Roman"/>
          <w:noProof/>
          <w:sz w:val="24"/>
          <w:szCs w:val="24"/>
        </w:rPr>
        <w:t>(Ahn and others 2006; Torras and others 2005)</w:t>
      </w:r>
      <w:r w:rsidRPr="00990BDE">
        <w:rPr>
          <w:rFonts w:ascii="Times New Roman" w:hAnsi="Times New Roman"/>
          <w:sz w:val="24"/>
          <w:szCs w:val="24"/>
        </w:rPr>
        <w:t xml:space="preserve">.  One study in yogurt demonstrated the stability of Pycnogenol during storage in this acid product </w:t>
      </w:r>
      <w:r w:rsidRPr="00990BDE">
        <w:rPr>
          <w:rFonts w:ascii="Times New Roman" w:hAnsi="Times New Roman"/>
          <w:noProof/>
          <w:sz w:val="24"/>
          <w:szCs w:val="24"/>
        </w:rPr>
        <w:t>(Ruggeri and others 2008)</w:t>
      </w:r>
      <w:r w:rsidRPr="00990BDE">
        <w:rPr>
          <w:rFonts w:ascii="Times New Roman" w:hAnsi="Times New Roman"/>
          <w:sz w:val="24"/>
          <w:szCs w:val="24"/>
        </w:rPr>
        <w:t xml:space="preserve">.  Even though the ascorbate protective role of Pycnogenol was noted more than one decade ago </w:t>
      </w:r>
      <w:r w:rsidRPr="00990BDE">
        <w:rPr>
          <w:rFonts w:ascii="Times New Roman" w:hAnsi="Times New Roman"/>
          <w:noProof/>
          <w:sz w:val="24"/>
          <w:szCs w:val="24"/>
        </w:rPr>
        <w:t xml:space="preserve">(Cossins </w:t>
      </w:r>
      <w:r>
        <w:rPr>
          <w:rFonts w:ascii="Times New Roman" w:hAnsi="Times New Roman"/>
          <w:noProof/>
          <w:sz w:val="24"/>
          <w:szCs w:val="24"/>
        </w:rPr>
        <w:t>and others</w:t>
      </w:r>
      <w:r w:rsidRPr="00990BDE">
        <w:rPr>
          <w:rFonts w:ascii="Times New Roman" w:hAnsi="Times New Roman"/>
          <w:noProof/>
          <w:sz w:val="24"/>
          <w:szCs w:val="24"/>
        </w:rPr>
        <w:t xml:space="preserve"> 1998)</w:t>
      </w:r>
      <w:r w:rsidRPr="00990BDE">
        <w:rPr>
          <w:rFonts w:ascii="Times New Roman" w:hAnsi="Times New Roman"/>
          <w:sz w:val="24"/>
          <w:szCs w:val="24"/>
        </w:rPr>
        <w:t xml:space="preserve">, Pycnogenol has not been evaluated </w:t>
      </w:r>
      <w:r>
        <w:rPr>
          <w:rFonts w:ascii="Times New Roman" w:hAnsi="Times New Roman"/>
          <w:sz w:val="24"/>
          <w:szCs w:val="24"/>
        </w:rPr>
        <w:t>as a potential additive to attenuate</w:t>
      </w:r>
      <w:r w:rsidRPr="00990BDE">
        <w:rPr>
          <w:rFonts w:ascii="Times New Roman" w:hAnsi="Times New Roman"/>
          <w:sz w:val="24"/>
          <w:szCs w:val="24"/>
        </w:rPr>
        <w:t xml:space="preserve"> ascorbic acid degradation in food products. </w:t>
      </w:r>
    </w:p>
    <w:p w:rsidR="001A4B2F" w:rsidRDefault="001A4B2F" w:rsidP="001A4B2F">
      <w:pPr>
        <w:spacing w:after="0" w:line="360" w:lineRule="auto"/>
        <w:ind w:firstLine="720"/>
        <w:jc w:val="both"/>
        <w:rPr>
          <w:rFonts w:ascii="Times New Roman" w:hAnsi="Times New Roman"/>
          <w:sz w:val="24"/>
          <w:szCs w:val="24"/>
        </w:rPr>
      </w:pPr>
    </w:p>
    <w:p w:rsidR="001A4B2F" w:rsidRDefault="001A4B2F" w:rsidP="001A4B2F">
      <w:pPr>
        <w:spacing w:after="0" w:line="360" w:lineRule="auto"/>
        <w:ind w:firstLine="720"/>
        <w:jc w:val="both"/>
        <w:rPr>
          <w:rFonts w:ascii="Times New Roman" w:hAnsi="Times New Roman"/>
          <w:sz w:val="24"/>
          <w:szCs w:val="24"/>
          <w:lang w:val="es-ES_tradnl"/>
        </w:rPr>
      </w:pPr>
      <w:r>
        <w:rPr>
          <w:rFonts w:ascii="Times New Roman" w:hAnsi="Times New Roman"/>
          <w:sz w:val="24"/>
          <w:szCs w:val="24"/>
        </w:rPr>
        <w:t xml:space="preserve">In addition to Pycnogenol, flavonoids that have been modified by the addition of glucose groups are of interest.  These new types of phenolic compounds allow the study of flavonoids in food systems due to their greatly improved solubility </w:t>
      </w:r>
      <w:r>
        <w:rPr>
          <w:rFonts w:ascii="Times New Roman" w:hAnsi="Times New Roman"/>
          <w:noProof/>
          <w:sz w:val="24"/>
          <w:szCs w:val="24"/>
        </w:rPr>
        <w:t>(Anonymous 2006; Schonrock and Kruse 2004)</w:t>
      </w:r>
      <w:r>
        <w:rPr>
          <w:rFonts w:ascii="Times New Roman" w:hAnsi="Times New Roman"/>
          <w:sz w:val="24"/>
          <w:szCs w:val="24"/>
        </w:rPr>
        <w:t xml:space="preserve">.  One of the modified flavonoids that </w:t>
      </w:r>
      <w:proofErr w:type="gramStart"/>
      <w:r>
        <w:rPr>
          <w:rFonts w:ascii="Times New Roman" w:hAnsi="Times New Roman"/>
          <w:sz w:val="24"/>
          <w:szCs w:val="24"/>
        </w:rPr>
        <w:t>is</w:t>
      </w:r>
      <w:proofErr w:type="gramEnd"/>
      <w:r>
        <w:rPr>
          <w:rFonts w:ascii="Times New Roman" w:hAnsi="Times New Roman"/>
          <w:sz w:val="24"/>
          <w:szCs w:val="24"/>
        </w:rPr>
        <w:t xml:space="preserve"> currently commercially available is </w:t>
      </w:r>
      <w:r>
        <w:rPr>
          <w:rFonts w:ascii="Times New Roman" w:hAnsi="Times New Roman" w:cs="Times New Roman"/>
          <w:sz w:val="24"/>
          <w:szCs w:val="24"/>
        </w:rPr>
        <w:t xml:space="preserve">α-glucosylrutin </w:t>
      </w:r>
      <w:r>
        <w:rPr>
          <w:rFonts w:ascii="Times New Roman" w:hAnsi="Times New Roman" w:cs="Times New Roman"/>
          <w:noProof/>
          <w:sz w:val="24"/>
          <w:szCs w:val="24"/>
        </w:rPr>
        <w:t>(Anonymous 2006)</w:t>
      </w:r>
      <w:r>
        <w:rPr>
          <w:rFonts w:ascii="Times New Roman" w:hAnsi="Times New Roman" w:cs="Times New Roman"/>
          <w:sz w:val="24"/>
          <w:szCs w:val="24"/>
        </w:rPr>
        <w:t xml:space="preserve">.  </w:t>
      </w:r>
      <w:r w:rsidRPr="008D261C">
        <w:rPr>
          <w:rFonts w:ascii="Times New Roman" w:hAnsi="Times New Roman"/>
          <w:sz w:val="24"/>
          <w:szCs w:val="24"/>
          <w:lang w:val="es-ES_tradnl"/>
        </w:rPr>
        <w:t xml:space="preserve">The antioxidant activity of α-glucosylrutin </w:t>
      </w:r>
      <w:r>
        <w:rPr>
          <w:rFonts w:ascii="Times New Roman" w:hAnsi="Times New Roman"/>
          <w:sz w:val="24"/>
          <w:szCs w:val="24"/>
          <w:lang w:val="es-ES_tradnl"/>
        </w:rPr>
        <w:t>(</w:t>
      </w:r>
      <w:r w:rsidRPr="008D261C">
        <w:rPr>
          <w:rFonts w:ascii="Times New Roman" w:hAnsi="Times New Roman"/>
          <w:sz w:val="24"/>
          <w:szCs w:val="24"/>
          <w:lang w:val="es-ES_tradnl"/>
        </w:rPr>
        <w:t>α-</w:t>
      </w:r>
      <w:r>
        <w:rPr>
          <w:rFonts w:ascii="Times New Roman" w:hAnsi="Times New Roman"/>
          <w:sz w:val="24"/>
          <w:szCs w:val="24"/>
          <w:lang w:val="es-ES_tradnl"/>
        </w:rPr>
        <w:t xml:space="preserve">GR) </w:t>
      </w:r>
      <w:r w:rsidRPr="008D261C">
        <w:rPr>
          <w:rFonts w:ascii="Times New Roman" w:hAnsi="Times New Roman"/>
          <w:sz w:val="24"/>
          <w:szCs w:val="24"/>
          <w:lang w:val="es-ES_tradnl"/>
        </w:rPr>
        <w:t>has been demonstrated in skin care</w:t>
      </w:r>
      <w:r>
        <w:rPr>
          <w:rFonts w:ascii="Times New Roman" w:hAnsi="Times New Roman"/>
          <w:sz w:val="24"/>
          <w:szCs w:val="24"/>
          <w:lang w:val="es-ES_tradnl"/>
        </w:rPr>
        <w:t xml:space="preserve"> products</w:t>
      </w:r>
      <w:r w:rsidRPr="008D261C">
        <w:rPr>
          <w:rFonts w:ascii="Times New Roman" w:hAnsi="Times New Roman"/>
          <w:sz w:val="24"/>
          <w:szCs w:val="24"/>
          <w:lang w:val="es-ES_tradnl"/>
        </w:rPr>
        <w:t>.</w:t>
      </w:r>
      <w:r>
        <w:rPr>
          <w:rFonts w:ascii="Times New Roman" w:hAnsi="Times New Roman"/>
          <w:sz w:val="24"/>
          <w:szCs w:val="24"/>
          <w:lang w:val="es-ES_tradnl"/>
        </w:rPr>
        <w:t xml:space="preserve">  Indeed</w:t>
      </w:r>
      <w:r w:rsidRPr="008D261C">
        <w:rPr>
          <w:rFonts w:ascii="Times New Roman" w:hAnsi="Times New Roman"/>
          <w:sz w:val="24"/>
          <w:szCs w:val="24"/>
          <w:lang w:val="es-ES_tradnl"/>
        </w:rPr>
        <w:t xml:space="preserve">, some properties of this glucosylated flavonoid are the inhibition of the initial formation of free radicals and the scavenging of intermediates </w:t>
      </w:r>
      <w:r>
        <w:rPr>
          <w:rFonts w:ascii="Times New Roman" w:hAnsi="Times New Roman"/>
          <w:sz w:val="24"/>
          <w:szCs w:val="24"/>
          <w:lang w:val="es-ES_tradnl"/>
        </w:rPr>
        <w:t xml:space="preserve">that occur </w:t>
      </w:r>
      <w:r w:rsidRPr="008D261C">
        <w:rPr>
          <w:rFonts w:ascii="Times New Roman" w:hAnsi="Times New Roman"/>
          <w:sz w:val="24"/>
          <w:szCs w:val="24"/>
          <w:lang w:val="es-ES_tradnl"/>
        </w:rPr>
        <w:t xml:space="preserve">in the skin aging process </w:t>
      </w:r>
      <w:r>
        <w:rPr>
          <w:rFonts w:ascii="Times New Roman" w:hAnsi="Times New Roman"/>
          <w:noProof/>
          <w:sz w:val="24"/>
          <w:szCs w:val="24"/>
          <w:lang w:val="es-ES_tradnl"/>
        </w:rPr>
        <w:t>(Anonymous 2006)</w:t>
      </w:r>
      <w:r w:rsidRPr="008D261C">
        <w:rPr>
          <w:rFonts w:ascii="Times New Roman" w:hAnsi="Times New Roman"/>
          <w:sz w:val="24"/>
          <w:szCs w:val="24"/>
          <w:lang w:val="es-ES_tradnl"/>
        </w:rPr>
        <w:t xml:space="preserve">. </w:t>
      </w:r>
      <w:r>
        <w:rPr>
          <w:rFonts w:ascii="Times New Roman" w:hAnsi="Times New Roman"/>
          <w:sz w:val="24"/>
          <w:szCs w:val="24"/>
          <w:lang w:val="es-ES_tradnl"/>
        </w:rPr>
        <w:t xml:space="preserve"> </w:t>
      </w:r>
      <w:r w:rsidRPr="008D261C">
        <w:rPr>
          <w:rFonts w:ascii="Times New Roman" w:hAnsi="Times New Roman"/>
          <w:sz w:val="24"/>
          <w:szCs w:val="24"/>
          <w:lang w:val="es-ES_tradnl"/>
        </w:rPr>
        <w:t>Also, the use of α-</w:t>
      </w:r>
      <w:r>
        <w:rPr>
          <w:rFonts w:ascii="Times New Roman" w:hAnsi="Times New Roman"/>
          <w:sz w:val="24"/>
          <w:szCs w:val="24"/>
          <w:lang w:val="es-ES_tradnl"/>
        </w:rPr>
        <w:t>GR</w:t>
      </w:r>
      <w:r w:rsidRPr="008D261C">
        <w:rPr>
          <w:rFonts w:ascii="Times New Roman" w:hAnsi="Times New Roman"/>
          <w:sz w:val="24"/>
          <w:szCs w:val="24"/>
          <w:lang w:val="es-ES_tradnl"/>
        </w:rPr>
        <w:t xml:space="preserve"> in cosmetics has been </w:t>
      </w:r>
      <w:r>
        <w:rPr>
          <w:rFonts w:ascii="Times New Roman" w:hAnsi="Times New Roman"/>
          <w:sz w:val="24"/>
          <w:szCs w:val="24"/>
          <w:lang w:val="es-ES_tradnl"/>
        </w:rPr>
        <w:t xml:space="preserve">proposed due to the protective role </w:t>
      </w:r>
      <w:r w:rsidRPr="008D261C">
        <w:rPr>
          <w:rFonts w:ascii="Times New Roman" w:hAnsi="Times New Roman"/>
          <w:sz w:val="24"/>
          <w:szCs w:val="24"/>
          <w:lang w:val="es-ES_tradnl"/>
        </w:rPr>
        <w:t xml:space="preserve">this compound </w:t>
      </w:r>
      <w:r>
        <w:rPr>
          <w:rFonts w:ascii="Times New Roman" w:hAnsi="Times New Roman"/>
          <w:sz w:val="24"/>
          <w:szCs w:val="24"/>
          <w:lang w:val="es-ES_tradnl"/>
        </w:rPr>
        <w:t xml:space="preserve">has </w:t>
      </w:r>
      <w:r w:rsidRPr="008D261C">
        <w:rPr>
          <w:rFonts w:ascii="Times New Roman" w:hAnsi="Times New Roman"/>
          <w:sz w:val="24"/>
          <w:szCs w:val="24"/>
          <w:lang w:val="es-ES_tradnl"/>
        </w:rPr>
        <w:t xml:space="preserve">against </w:t>
      </w:r>
      <w:r>
        <w:rPr>
          <w:rFonts w:ascii="Times New Roman" w:hAnsi="Times New Roman"/>
          <w:sz w:val="24"/>
          <w:szCs w:val="24"/>
          <w:lang w:val="es-ES_tradnl"/>
        </w:rPr>
        <w:t>AA</w:t>
      </w:r>
      <w:r w:rsidRPr="008D261C">
        <w:rPr>
          <w:rFonts w:ascii="Times New Roman" w:hAnsi="Times New Roman"/>
          <w:sz w:val="24"/>
          <w:szCs w:val="24"/>
          <w:lang w:val="es-ES_tradnl"/>
        </w:rPr>
        <w:t xml:space="preserve"> oxidation</w:t>
      </w:r>
      <w:r>
        <w:rPr>
          <w:rFonts w:ascii="Times New Roman" w:hAnsi="Times New Roman"/>
          <w:sz w:val="24"/>
          <w:szCs w:val="24"/>
          <w:lang w:val="es-ES_tradnl"/>
        </w:rPr>
        <w:t>,</w:t>
      </w:r>
      <w:r w:rsidRPr="008D261C">
        <w:rPr>
          <w:rFonts w:ascii="Times New Roman" w:hAnsi="Times New Roman"/>
          <w:sz w:val="24"/>
          <w:szCs w:val="24"/>
          <w:lang w:val="es-ES_tradnl"/>
        </w:rPr>
        <w:t xml:space="preserve"> which can occur during storage of cosmetics and dermatological preparations </w:t>
      </w:r>
      <w:r>
        <w:rPr>
          <w:rFonts w:ascii="Times New Roman" w:hAnsi="Times New Roman"/>
          <w:noProof/>
          <w:sz w:val="24"/>
          <w:szCs w:val="24"/>
          <w:lang w:val="es-ES_tradnl"/>
        </w:rPr>
        <w:t>(Schonrock and Kruse 2004)</w:t>
      </w:r>
      <w:r w:rsidRPr="008D261C">
        <w:rPr>
          <w:rFonts w:ascii="Times New Roman" w:hAnsi="Times New Roman"/>
          <w:sz w:val="24"/>
          <w:szCs w:val="24"/>
          <w:lang w:val="es-ES_tradnl"/>
        </w:rPr>
        <w:t xml:space="preserve">. </w:t>
      </w:r>
      <w:r>
        <w:rPr>
          <w:rFonts w:ascii="Times New Roman" w:hAnsi="Times New Roman"/>
          <w:sz w:val="24"/>
          <w:szCs w:val="24"/>
          <w:lang w:val="es-ES_tradnl"/>
        </w:rPr>
        <w:t xml:space="preserve"> Even though there is no information on the use of </w:t>
      </w:r>
      <w:r w:rsidRPr="008D261C">
        <w:rPr>
          <w:rFonts w:ascii="Times New Roman" w:hAnsi="Times New Roman"/>
          <w:sz w:val="24"/>
          <w:szCs w:val="24"/>
          <w:lang w:val="es-ES_tradnl"/>
        </w:rPr>
        <w:t>α-</w:t>
      </w:r>
      <w:r>
        <w:rPr>
          <w:rFonts w:ascii="Times New Roman" w:hAnsi="Times New Roman"/>
          <w:sz w:val="24"/>
          <w:szCs w:val="24"/>
          <w:lang w:val="es-ES_tradnl"/>
        </w:rPr>
        <w:t xml:space="preserve">GR in food products, there is evidence related on rutin that suggests that this flavonoid can exert an ascorbate protective role.  In fact, in a model </w:t>
      </w:r>
      <w:r>
        <w:rPr>
          <w:rFonts w:ascii="Times New Roman" w:hAnsi="Times New Roman"/>
          <w:sz w:val="24"/>
          <w:szCs w:val="24"/>
          <w:lang w:val="es-ES_tradnl"/>
        </w:rPr>
        <w:lastRenderedPageBreak/>
        <w:t xml:space="preserve">system composed of AA and ascorbate oxidase, rutin was the compound which best extended the ascorbate radical lifetime after Pycnogenol and an extract of green tea </w:t>
      </w:r>
      <w:r>
        <w:rPr>
          <w:rFonts w:ascii="Times New Roman" w:hAnsi="Times New Roman"/>
          <w:noProof/>
          <w:sz w:val="24"/>
          <w:szCs w:val="24"/>
          <w:lang w:val="es-ES_tradnl"/>
        </w:rPr>
        <w:t>(Cossins and others 1998)</w:t>
      </w:r>
    </w:p>
    <w:p w:rsidR="001A4B2F" w:rsidRDefault="001A4B2F" w:rsidP="001A4B2F">
      <w:pPr>
        <w:spacing w:after="0" w:line="360" w:lineRule="auto"/>
        <w:ind w:firstLine="708"/>
        <w:jc w:val="both"/>
        <w:rPr>
          <w:rFonts w:ascii="Times New Roman" w:hAnsi="Times New Roman"/>
          <w:sz w:val="24"/>
          <w:szCs w:val="24"/>
        </w:rPr>
      </w:pPr>
    </w:p>
    <w:p w:rsidR="001A4B2F" w:rsidRPr="009853F4" w:rsidRDefault="001A4B2F" w:rsidP="001A4B2F">
      <w:pPr>
        <w:spacing w:after="0" w:line="360" w:lineRule="auto"/>
        <w:jc w:val="both"/>
        <w:rPr>
          <w:rFonts w:ascii="Times New Roman" w:hAnsi="Times New Roman"/>
          <w:b/>
          <w:sz w:val="24"/>
          <w:szCs w:val="24"/>
        </w:rPr>
      </w:pPr>
      <w:r w:rsidRPr="009853F4">
        <w:rPr>
          <w:rFonts w:ascii="Times New Roman" w:hAnsi="Times New Roman"/>
          <w:b/>
          <w:sz w:val="24"/>
          <w:szCs w:val="24"/>
        </w:rPr>
        <w:t>Research objectives</w:t>
      </w:r>
    </w:p>
    <w:p w:rsidR="001A4B2F" w:rsidRDefault="001A4B2F" w:rsidP="001A4B2F">
      <w:pPr>
        <w:autoSpaceDE w:val="0"/>
        <w:autoSpaceDN w:val="0"/>
        <w:adjustRightInd w:val="0"/>
        <w:spacing w:after="0" w:line="360" w:lineRule="auto"/>
        <w:ind w:firstLine="720"/>
        <w:jc w:val="both"/>
        <w:rPr>
          <w:rFonts w:ascii="TimesNewRoman" w:hAnsi="TimesNewRoman" w:cs="TimesNewRoman"/>
          <w:sz w:val="24"/>
          <w:szCs w:val="24"/>
        </w:rPr>
      </w:pPr>
      <w:r>
        <w:rPr>
          <w:rFonts w:ascii="TimesNewRoman" w:hAnsi="TimesNewRoman" w:cs="TimesNewRoman"/>
          <w:sz w:val="24"/>
          <w:szCs w:val="24"/>
        </w:rPr>
        <w:t xml:space="preserve">The main goal of this study was to investigate the effectiveness of two possible methods of delaying AA loss in food systems.  In addition, since diced peaches packaged in retortable pouches stored at high temperature is an area of concerned for the US army, this study will also permit a better understand the kinetics involved in the development of browning compounds and loss of ascorbic acid in this food product. </w:t>
      </w:r>
    </w:p>
    <w:p w:rsidR="001A4B2F" w:rsidRDefault="001A4B2F" w:rsidP="001A4B2F">
      <w:pPr>
        <w:autoSpaceDE w:val="0"/>
        <w:autoSpaceDN w:val="0"/>
        <w:adjustRightInd w:val="0"/>
        <w:spacing w:after="0" w:line="360" w:lineRule="auto"/>
        <w:ind w:firstLine="720"/>
        <w:rPr>
          <w:rFonts w:ascii="TimesNewRoman" w:hAnsi="TimesNewRoman" w:cs="TimesNewRoman"/>
          <w:sz w:val="24"/>
          <w:szCs w:val="24"/>
        </w:rPr>
      </w:pPr>
    </w:p>
    <w:p w:rsidR="001A4B2F" w:rsidRDefault="001A4B2F" w:rsidP="001A4B2F">
      <w:pPr>
        <w:spacing w:after="0" w:line="360" w:lineRule="auto"/>
        <w:jc w:val="both"/>
        <w:rPr>
          <w:rFonts w:ascii="Times New Roman" w:hAnsi="Times New Roman"/>
          <w:sz w:val="24"/>
          <w:szCs w:val="24"/>
        </w:rPr>
      </w:pPr>
      <w:r w:rsidRPr="00B44629">
        <w:rPr>
          <w:rFonts w:ascii="Times New Roman" w:hAnsi="Times New Roman"/>
          <w:sz w:val="24"/>
          <w:szCs w:val="24"/>
        </w:rPr>
        <w:t>Objective 1:</w:t>
      </w:r>
      <w:r>
        <w:rPr>
          <w:rFonts w:ascii="Times New Roman" w:hAnsi="Times New Roman"/>
          <w:sz w:val="24"/>
          <w:szCs w:val="24"/>
        </w:rPr>
        <w:t xml:space="preserve">  C</w:t>
      </w:r>
      <w:r w:rsidRPr="00B44629">
        <w:rPr>
          <w:rFonts w:ascii="Times New Roman" w:hAnsi="Times New Roman"/>
          <w:sz w:val="24"/>
          <w:szCs w:val="24"/>
        </w:rPr>
        <w:t>o</w:t>
      </w:r>
      <w:r>
        <w:rPr>
          <w:rFonts w:ascii="Times New Roman" w:hAnsi="Times New Roman"/>
          <w:sz w:val="24"/>
          <w:szCs w:val="24"/>
        </w:rPr>
        <w:t>mpare the stability of ascorbyl-2-</w:t>
      </w:r>
      <w:r w:rsidRPr="00B44629">
        <w:rPr>
          <w:rFonts w:ascii="Times New Roman" w:hAnsi="Times New Roman"/>
          <w:sz w:val="24"/>
          <w:szCs w:val="24"/>
        </w:rPr>
        <w:t>phosphate and ascorbic acid during high storage temperatures (40°C, 50°C and 60°C) in a peach puree model system.</w:t>
      </w:r>
    </w:p>
    <w:p w:rsidR="001A4B2F" w:rsidRPr="00B44629" w:rsidRDefault="001A4B2F" w:rsidP="001A4B2F">
      <w:pPr>
        <w:spacing w:after="0" w:line="360" w:lineRule="auto"/>
        <w:jc w:val="both"/>
        <w:rPr>
          <w:rFonts w:ascii="Times New Roman" w:hAnsi="Times New Roman"/>
          <w:sz w:val="24"/>
          <w:szCs w:val="24"/>
        </w:rPr>
      </w:pPr>
    </w:p>
    <w:p w:rsidR="001A4B2F" w:rsidRDefault="001A4B2F" w:rsidP="001A4B2F">
      <w:pPr>
        <w:spacing w:after="0" w:line="360" w:lineRule="auto"/>
        <w:jc w:val="both"/>
        <w:rPr>
          <w:rFonts w:ascii="Times New Roman" w:hAnsi="Times New Roman"/>
          <w:sz w:val="24"/>
          <w:szCs w:val="24"/>
        </w:rPr>
      </w:pPr>
      <w:r w:rsidRPr="00B44629">
        <w:rPr>
          <w:rFonts w:ascii="Times New Roman" w:hAnsi="Times New Roman"/>
          <w:sz w:val="24"/>
          <w:szCs w:val="24"/>
        </w:rPr>
        <w:t>Objective 2: Evaluate the effect of two forms of v</w:t>
      </w:r>
      <w:r>
        <w:rPr>
          <w:rFonts w:ascii="Times New Roman" w:hAnsi="Times New Roman"/>
          <w:sz w:val="24"/>
          <w:szCs w:val="24"/>
        </w:rPr>
        <w:t>itamin C (ascorbic acid and ascorbyl-</w:t>
      </w:r>
      <w:r w:rsidRPr="00B44629">
        <w:rPr>
          <w:rFonts w:ascii="Times New Roman" w:hAnsi="Times New Roman"/>
          <w:sz w:val="24"/>
          <w:szCs w:val="24"/>
        </w:rPr>
        <w:t>2-phosphate), the concentration of Pycnogenol (0%, 0.01% and 1%) and their interactions on the quality of diced peaches in retort</w:t>
      </w:r>
      <w:r>
        <w:rPr>
          <w:rFonts w:ascii="Times New Roman" w:hAnsi="Times New Roman"/>
          <w:sz w:val="24"/>
          <w:szCs w:val="24"/>
        </w:rPr>
        <w:t>able</w:t>
      </w:r>
      <w:r w:rsidRPr="00B44629">
        <w:rPr>
          <w:rFonts w:ascii="Times New Roman" w:hAnsi="Times New Roman"/>
          <w:sz w:val="24"/>
          <w:szCs w:val="24"/>
        </w:rPr>
        <w:t xml:space="preserve"> pouches.</w:t>
      </w:r>
    </w:p>
    <w:p w:rsidR="001A4B2F" w:rsidRPr="00B44629" w:rsidRDefault="001A4B2F" w:rsidP="001A4B2F">
      <w:pPr>
        <w:spacing w:after="0" w:line="360" w:lineRule="auto"/>
        <w:jc w:val="both"/>
        <w:rPr>
          <w:rFonts w:ascii="Times New Roman" w:hAnsi="Times New Roman"/>
          <w:sz w:val="24"/>
          <w:szCs w:val="24"/>
        </w:rPr>
      </w:pPr>
    </w:p>
    <w:p w:rsidR="001A4B2F" w:rsidRDefault="001A4B2F" w:rsidP="001A4B2F">
      <w:pPr>
        <w:spacing w:after="0" w:line="360" w:lineRule="auto"/>
        <w:jc w:val="both"/>
        <w:rPr>
          <w:rFonts w:ascii="Times New Roman" w:hAnsi="Times New Roman" w:cs="Times New Roman"/>
          <w:sz w:val="24"/>
          <w:szCs w:val="24"/>
          <w:lang w:val="es-ES"/>
        </w:rPr>
      </w:pPr>
      <w:r w:rsidRPr="00B44629">
        <w:rPr>
          <w:rFonts w:ascii="Times New Roman" w:hAnsi="Times New Roman"/>
          <w:sz w:val="24"/>
          <w:szCs w:val="24"/>
        </w:rPr>
        <w:t xml:space="preserve">Objective 3: </w:t>
      </w:r>
      <w:r w:rsidRPr="00B44629">
        <w:rPr>
          <w:rFonts w:ascii="Times New Roman" w:hAnsi="Times New Roman" w:cs="Times New Roman"/>
          <w:sz w:val="24"/>
          <w:szCs w:val="24"/>
        </w:rPr>
        <w:t xml:space="preserve">Evaluate the effect of </w:t>
      </w:r>
      <w:r>
        <w:rPr>
          <w:rFonts w:ascii="Times New Roman" w:hAnsi="Times New Roman" w:cs="Times New Roman"/>
          <w:sz w:val="24"/>
          <w:szCs w:val="24"/>
        </w:rPr>
        <w:t xml:space="preserve">peach source (fresh, individually quick frozen and canned), addition of calcium chloride, and the addition of </w:t>
      </w:r>
      <w:r w:rsidRPr="00B44629">
        <w:rPr>
          <w:rFonts w:ascii="Times New Roman" w:hAnsi="Times New Roman" w:cs="Times New Roman"/>
          <w:sz w:val="24"/>
          <w:szCs w:val="24"/>
        </w:rPr>
        <w:t>a water soluble flavonoid</w:t>
      </w:r>
      <w:r>
        <w:rPr>
          <w:rFonts w:ascii="Times New Roman" w:hAnsi="Times New Roman" w:cs="Times New Roman"/>
          <w:sz w:val="24"/>
          <w:szCs w:val="24"/>
        </w:rPr>
        <w:t xml:space="preserve"> (α-glucosylrutin) </w:t>
      </w:r>
      <w:r w:rsidRPr="00B44629">
        <w:rPr>
          <w:rFonts w:ascii="Times New Roman" w:hAnsi="Times New Roman" w:cs="Times New Roman"/>
          <w:sz w:val="24"/>
          <w:szCs w:val="24"/>
        </w:rPr>
        <w:t>in diced peaches packaged in retortable pouches.</w:t>
      </w:r>
      <w:r w:rsidRPr="00B44629">
        <w:rPr>
          <w:rFonts w:ascii="Times New Roman" w:hAnsi="Times New Roman" w:cs="Times New Roman"/>
          <w:sz w:val="24"/>
          <w:szCs w:val="24"/>
          <w:lang w:val="es-ES"/>
        </w:rPr>
        <w:t xml:space="preserve"> </w:t>
      </w:r>
    </w:p>
    <w:p w:rsidR="001A4B2F" w:rsidRDefault="001A4B2F" w:rsidP="001A4B2F">
      <w:pPr>
        <w:spacing w:after="0" w:line="360" w:lineRule="auto"/>
        <w:jc w:val="both"/>
        <w:rPr>
          <w:rFonts w:ascii="Times New Roman" w:hAnsi="Times New Roman" w:cs="Times New Roman"/>
          <w:sz w:val="24"/>
          <w:szCs w:val="24"/>
          <w:lang w:val="es-ES"/>
        </w:rPr>
      </w:pPr>
    </w:p>
    <w:p w:rsidR="001A4B2F" w:rsidRDefault="001A4B2F" w:rsidP="001A4B2F">
      <w:pPr>
        <w:spacing w:after="0" w:line="360" w:lineRule="auto"/>
        <w:jc w:val="both"/>
        <w:rPr>
          <w:rFonts w:ascii="Times New Roman" w:hAnsi="Times New Roman" w:cs="Times New Roman"/>
          <w:sz w:val="24"/>
          <w:szCs w:val="24"/>
          <w:lang w:val="es-ES"/>
        </w:rPr>
      </w:pPr>
    </w:p>
    <w:p w:rsidR="001A4B2F" w:rsidRDefault="001A4B2F" w:rsidP="001A4B2F">
      <w:pPr>
        <w:spacing w:after="0" w:line="360" w:lineRule="auto"/>
        <w:jc w:val="both"/>
        <w:rPr>
          <w:rFonts w:ascii="Times New Roman" w:hAnsi="Times New Roman" w:cs="Times New Roman"/>
          <w:sz w:val="24"/>
          <w:szCs w:val="24"/>
          <w:lang w:val="es-ES"/>
        </w:rPr>
      </w:pPr>
    </w:p>
    <w:p w:rsidR="001A4B2F" w:rsidRDefault="001A4B2F" w:rsidP="001A4B2F">
      <w:pPr>
        <w:spacing w:after="0" w:line="360" w:lineRule="auto"/>
        <w:jc w:val="both"/>
        <w:rPr>
          <w:rFonts w:ascii="Times New Roman" w:hAnsi="Times New Roman" w:cs="Times New Roman"/>
          <w:sz w:val="24"/>
          <w:szCs w:val="24"/>
          <w:lang w:val="es-ES"/>
        </w:rPr>
      </w:pPr>
    </w:p>
    <w:p w:rsidR="001A4B2F" w:rsidRDefault="001A4B2F" w:rsidP="001A4B2F">
      <w:pPr>
        <w:spacing w:after="0" w:line="360" w:lineRule="auto"/>
        <w:jc w:val="both"/>
        <w:rPr>
          <w:rFonts w:ascii="Times New Roman" w:hAnsi="Times New Roman" w:cs="Times New Roman"/>
          <w:sz w:val="24"/>
          <w:szCs w:val="24"/>
          <w:lang w:val="es-ES"/>
        </w:rPr>
      </w:pPr>
    </w:p>
    <w:p w:rsidR="001A4B2F" w:rsidRDefault="001A4B2F" w:rsidP="001A4B2F">
      <w:pPr>
        <w:rPr>
          <w:rFonts w:ascii="Times New Roman" w:hAnsi="Times New Roman" w:cs="Times New Roman"/>
          <w:b/>
          <w:sz w:val="24"/>
          <w:szCs w:val="24"/>
          <w:lang w:val="es-ES"/>
        </w:rPr>
      </w:pPr>
      <w:r>
        <w:rPr>
          <w:rFonts w:ascii="Times New Roman" w:hAnsi="Times New Roman" w:cs="Times New Roman"/>
          <w:b/>
          <w:sz w:val="24"/>
          <w:szCs w:val="24"/>
          <w:lang w:val="es-ES"/>
        </w:rPr>
        <w:br w:type="page"/>
      </w:r>
    </w:p>
    <w:p w:rsidR="001A4B2F" w:rsidRPr="00646C07" w:rsidRDefault="00C70534" w:rsidP="001A4B2F">
      <w:pPr>
        <w:spacing w:after="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lastRenderedPageBreak/>
        <w:t>LITERATURE CITED</w:t>
      </w:r>
    </w:p>
    <w:p w:rsidR="001A4B2F" w:rsidRDefault="001A4B2F" w:rsidP="00521C39">
      <w:pPr>
        <w:spacing w:after="0" w:line="240" w:lineRule="auto"/>
        <w:jc w:val="both"/>
        <w:rPr>
          <w:rFonts w:ascii="Times New Roman" w:hAnsi="Times New Roman"/>
          <w:noProof/>
          <w:sz w:val="24"/>
          <w:szCs w:val="24"/>
          <w:lang w:val="es-ES"/>
        </w:rPr>
      </w:pPr>
      <w:bookmarkStart w:id="0" w:name="_ENREF_1"/>
      <w:r w:rsidRPr="00521C39">
        <w:rPr>
          <w:rFonts w:ascii="Times New Roman" w:hAnsi="Times New Roman"/>
          <w:noProof/>
          <w:sz w:val="24"/>
          <w:szCs w:val="24"/>
          <w:lang w:val="es-ES"/>
        </w:rPr>
        <w:t>Ahn J, Gruen IU &amp; Mustapha A. 2006. Effects of plant extracts on microbial growth, color change, and lipid oxidation in cooked beef. Food Microbiology 24(1):7-14.</w:t>
      </w:r>
      <w:bookmarkEnd w:id="0"/>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1" w:name="_ENREF_2"/>
      <w:r w:rsidRPr="00521C39">
        <w:rPr>
          <w:rFonts w:ascii="Times New Roman" w:hAnsi="Times New Roman"/>
          <w:noProof/>
          <w:sz w:val="24"/>
          <w:szCs w:val="24"/>
          <w:lang w:val="es-ES"/>
        </w:rPr>
        <w:t>Anonymous. 2006. α G Rutin. Glucosyl rutin. In: Hayashibara Biochemical Laboratories.</w:t>
      </w:r>
      <w:bookmarkEnd w:id="1"/>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2" w:name="_ENREF_3"/>
      <w:r w:rsidRPr="00521C39">
        <w:rPr>
          <w:rFonts w:ascii="Times New Roman" w:hAnsi="Times New Roman"/>
          <w:noProof/>
          <w:sz w:val="24"/>
          <w:szCs w:val="24"/>
          <w:lang w:val="es-ES"/>
        </w:rPr>
        <w:t>Austria R, Semenzato A &amp; Bettero A. 1997. Stability of vitamin C derivatives in solution and topical formulations. Journal of Pharmaceutical and Biomedical Analysis 15(6):795-801.</w:t>
      </w:r>
      <w:bookmarkEnd w:id="2"/>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3" w:name="_ENREF_4"/>
      <w:r w:rsidRPr="00521C39">
        <w:rPr>
          <w:rFonts w:ascii="Times New Roman" w:hAnsi="Times New Roman"/>
          <w:noProof/>
          <w:sz w:val="24"/>
          <w:szCs w:val="24"/>
          <w:lang w:val="es-ES"/>
        </w:rPr>
        <w:t>Bors W, Michel C &amp; Schikora S. 1995. Interaction of flavonoids with ascorbate and determination of their univalent redox potentials: a pulse radiolysis study. Free Radical Biology &amp; Medicine 19(1):45-52.</w:t>
      </w:r>
      <w:bookmarkEnd w:id="3"/>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4" w:name="_ENREF_5"/>
      <w:r w:rsidRPr="00521C39">
        <w:rPr>
          <w:rFonts w:ascii="Times New Roman" w:hAnsi="Times New Roman"/>
          <w:noProof/>
          <w:sz w:val="24"/>
          <w:szCs w:val="24"/>
          <w:lang w:val="es-ES"/>
        </w:rPr>
        <w:t>Buglione M &amp; Lozano J. 2002. Nonenzymatic browning and chemical changes during grape juice storage. Journal of Food Science 67(4):1538-1543.</w:t>
      </w:r>
      <w:bookmarkEnd w:id="4"/>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5" w:name="_ENREF_6"/>
      <w:r w:rsidRPr="00521C39">
        <w:rPr>
          <w:rFonts w:ascii="Times New Roman" w:hAnsi="Times New Roman"/>
          <w:noProof/>
          <w:sz w:val="24"/>
          <w:szCs w:val="24"/>
          <w:lang w:val="es-ES"/>
        </w:rPr>
        <w:t>Chutintrasri B &amp; Noomhorm A. 200</w:t>
      </w:r>
      <w:r w:rsidR="00CC7D02">
        <w:rPr>
          <w:rFonts w:ascii="Times New Roman" w:hAnsi="Times New Roman"/>
          <w:noProof/>
          <w:sz w:val="24"/>
          <w:szCs w:val="24"/>
          <w:lang w:val="es-ES"/>
        </w:rPr>
        <w:t>7</w:t>
      </w:r>
      <w:r w:rsidRPr="00521C39">
        <w:rPr>
          <w:rFonts w:ascii="Times New Roman" w:hAnsi="Times New Roman"/>
          <w:noProof/>
          <w:sz w:val="24"/>
          <w:szCs w:val="24"/>
          <w:lang w:val="es-ES"/>
        </w:rPr>
        <w:t>. Color degradation kinetics of pineapple puree during thermal processing. LWT--Food Science and Technology 40(2):300-306.</w:t>
      </w:r>
      <w:bookmarkEnd w:id="5"/>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6" w:name="_ENREF_7"/>
      <w:r w:rsidRPr="00521C39">
        <w:rPr>
          <w:rFonts w:ascii="Times New Roman" w:hAnsi="Times New Roman"/>
          <w:noProof/>
          <w:sz w:val="24"/>
          <w:szCs w:val="24"/>
          <w:lang w:val="es-ES"/>
        </w:rPr>
        <w:t>Clark P. 2009. Retort Pouch Foods. Case Studies in Food Engineering: Learning from Experience</w:t>
      </w:r>
      <w:r w:rsidRPr="00521C39">
        <w:rPr>
          <w:rFonts w:ascii="Times New Roman" w:hAnsi="Times New Roman"/>
          <w:i/>
          <w:noProof/>
          <w:sz w:val="24"/>
          <w:szCs w:val="24"/>
          <w:lang w:val="es-ES"/>
        </w:rPr>
        <w:t>.</w:t>
      </w:r>
      <w:r w:rsidRPr="00521C39">
        <w:rPr>
          <w:rFonts w:ascii="Times New Roman" w:hAnsi="Times New Roman"/>
          <w:noProof/>
          <w:sz w:val="24"/>
          <w:szCs w:val="24"/>
          <w:lang w:val="es-ES"/>
        </w:rPr>
        <w:t xml:space="preserve"> Oak Park, IL.: Springer.</w:t>
      </w:r>
      <w:bookmarkEnd w:id="6"/>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7" w:name="_ENREF_8"/>
      <w:r w:rsidRPr="00521C39">
        <w:rPr>
          <w:rFonts w:ascii="Times New Roman" w:hAnsi="Times New Roman"/>
          <w:noProof/>
          <w:sz w:val="24"/>
          <w:szCs w:val="24"/>
          <w:lang w:val="es-ES"/>
        </w:rPr>
        <w:t>Clark S, Warner H, Rodriguez JJ, Olivas GI, Sepulveda D, Bruins R &amp; Barbosa-Canovas G. 2002. Residual gas and storage conditions affect sensory quality of diced pears in flexible retortable pouches. Food Quality and Preference 13:153-162.</w:t>
      </w:r>
      <w:bookmarkEnd w:id="7"/>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8" w:name="_ENREF_9"/>
      <w:r w:rsidRPr="00521C39">
        <w:rPr>
          <w:rFonts w:ascii="Times New Roman" w:hAnsi="Times New Roman"/>
          <w:noProof/>
          <w:sz w:val="24"/>
          <w:szCs w:val="24"/>
          <w:lang w:val="es-ES"/>
        </w:rPr>
        <w:t>Clegg KM &amp; Morton AD. 1968. The phenolic compounds of blackurrant juice and their protective effect on ascorbic acid. Journal of Food Technology 3:277-284.</w:t>
      </w:r>
      <w:bookmarkEnd w:id="8"/>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9" w:name="_ENREF_10"/>
      <w:r w:rsidRPr="00521C39">
        <w:rPr>
          <w:rFonts w:ascii="Times New Roman" w:hAnsi="Times New Roman"/>
          <w:noProof/>
          <w:sz w:val="24"/>
          <w:szCs w:val="24"/>
          <w:lang w:val="es-ES"/>
        </w:rPr>
        <w:t>Cossins E, Lee R &amp; Packer L. 1998. ESR studies of vitamin C regeneration, order of reactivity of natural source phytochemical preparations. Biochemistry and Molecular Biology International 45(3):583-597.</w:t>
      </w:r>
      <w:bookmarkEnd w:id="9"/>
    </w:p>
    <w:p w:rsidR="00521C39" w:rsidRPr="00521C39" w:rsidRDefault="00521C39"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10" w:name="_ENREF_11"/>
      <w:r w:rsidRPr="00521C39">
        <w:rPr>
          <w:rFonts w:ascii="Times New Roman" w:hAnsi="Times New Roman"/>
          <w:noProof/>
          <w:sz w:val="24"/>
          <w:szCs w:val="24"/>
          <w:lang w:val="es-ES"/>
        </w:rPr>
        <w:t>Davies CGA &amp; Wedzicha BL. 1992. Kinetics of the inhibition of ascorbic acid browning by sulfite. Food Additives and Contaminants 9(5):471-477.</w:t>
      </w:r>
      <w:bookmarkEnd w:id="10"/>
    </w:p>
    <w:p w:rsidR="00521C39" w:rsidRPr="00521C39" w:rsidRDefault="00521C39" w:rsidP="00521C39">
      <w:pPr>
        <w:spacing w:after="0" w:line="240" w:lineRule="auto"/>
        <w:jc w:val="both"/>
        <w:rPr>
          <w:rFonts w:ascii="Times New Roman" w:hAnsi="Times New Roman"/>
          <w:noProof/>
          <w:sz w:val="24"/>
          <w:szCs w:val="24"/>
          <w:lang w:val="es-ES"/>
        </w:rPr>
      </w:pPr>
    </w:p>
    <w:p w:rsidR="001A4B2F" w:rsidRPr="00521C39" w:rsidRDefault="00C8722B" w:rsidP="00521C39">
      <w:pPr>
        <w:spacing w:after="0" w:line="240" w:lineRule="auto"/>
        <w:jc w:val="both"/>
        <w:rPr>
          <w:rFonts w:ascii="Times New Roman" w:hAnsi="Times New Roman"/>
          <w:noProof/>
          <w:sz w:val="24"/>
          <w:szCs w:val="24"/>
          <w:lang w:val="es-ES"/>
        </w:rPr>
      </w:pPr>
      <w:bookmarkStart w:id="11" w:name="_ENREF_12"/>
      <w:r>
        <w:rPr>
          <w:rFonts w:ascii="Times New Roman" w:hAnsi="Times New Roman"/>
          <w:noProof/>
          <w:sz w:val="24"/>
          <w:szCs w:val="24"/>
          <w:lang w:val="es-ES"/>
        </w:rPr>
        <w:t>Fennema OR. 1996. Foo</w:t>
      </w:r>
      <w:r w:rsidR="001A4B2F" w:rsidRPr="00521C39">
        <w:rPr>
          <w:rFonts w:ascii="Times New Roman" w:hAnsi="Times New Roman"/>
          <w:noProof/>
          <w:sz w:val="24"/>
          <w:szCs w:val="24"/>
          <w:lang w:val="es-ES"/>
        </w:rPr>
        <w:t xml:space="preserve">d </w:t>
      </w:r>
      <w:r>
        <w:rPr>
          <w:rFonts w:ascii="Times New Roman" w:hAnsi="Times New Roman"/>
          <w:noProof/>
          <w:sz w:val="24"/>
          <w:szCs w:val="24"/>
          <w:lang w:val="es-ES"/>
        </w:rPr>
        <w:t>C</w:t>
      </w:r>
      <w:r w:rsidR="001A4B2F" w:rsidRPr="00521C39">
        <w:rPr>
          <w:rFonts w:ascii="Times New Roman" w:hAnsi="Times New Roman"/>
          <w:noProof/>
          <w:sz w:val="24"/>
          <w:szCs w:val="24"/>
          <w:lang w:val="es-ES"/>
        </w:rPr>
        <w:t>hemistry.</w:t>
      </w:r>
      <w:r w:rsidR="001A4B2F" w:rsidRPr="00521C39">
        <w:rPr>
          <w:rFonts w:ascii="Times New Roman" w:hAnsi="Times New Roman"/>
          <w:i/>
          <w:noProof/>
          <w:sz w:val="24"/>
          <w:szCs w:val="24"/>
          <w:lang w:val="es-ES"/>
        </w:rPr>
        <w:t xml:space="preserve"> </w:t>
      </w:r>
      <w:r w:rsidR="001A4B2F" w:rsidRPr="00521C39">
        <w:rPr>
          <w:rFonts w:ascii="Times New Roman" w:hAnsi="Times New Roman"/>
          <w:noProof/>
          <w:sz w:val="24"/>
          <w:szCs w:val="24"/>
          <w:lang w:val="es-ES"/>
        </w:rPr>
        <w:t>New York: Marcel Dekker, Inc.</w:t>
      </w:r>
      <w:bookmarkEnd w:id="11"/>
    </w:p>
    <w:p w:rsidR="00521C39" w:rsidRDefault="00521C39" w:rsidP="00521C39">
      <w:pPr>
        <w:spacing w:after="0" w:line="240" w:lineRule="auto"/>
        <w:jc w:val="both"/>
        <w:rPr>
          <w:rFonts w:ascii="Times New Roman" w:hAnsi="Times New Roman"/>
          <w:noProof/>
          <w:sz w:val="24"/>
          <w:szCs w:val="24"/>
          <w:lang w:val="es-ES"/>
        </w:rPr>
      </w:pPr>
      <w:bookmarkStart w:id="12" w:name="_ENREF_13"/>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Garza S, Ibarz A, Pagan J &amp; Giner J. 1999. Non-enzymatic browning in peach puree during heating. Food Research International 32(5):335-343.</w:t>
      </w:r>
      <w:bookmarkEnd w:id="12"/>
    </w:p>
    <w:p w:rsidR="00521C39" w:rsidRPr="00521C39" w:rsidRDefault="00521C39" w:rsidP="00521C39">
      <w:pPr>
        <w:spacing w:after="0" w:line="240" w:lineRule="auto"/>
        <w:jc w:val="both"/>
        <w:rPr>
          <w:rFonts w:ascii="Times New Roman" w:hAnsi="Times New Roman"/>
          <w:noProof/>
          <w:sz w:val="24"/>
          <w:szCs w:val="24"/>
          <w:lang w:val="es-ES"/>
        </w:rPr>
      </w:pPr>
      <w:bookmarkStart w:id="13" w:name="_ENREF_14"/>
    </w:p>
    <w:p w:rsidR="001A4B2F"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 xml:space="preserve">Howard LR &amp; Hernandez-Brenes C. 1998. Antioxidant content and market quality of jalapeno pepper rings as affected by minimal processing and </w:t>
      </w:r>
      <w:r w:rsidR="00E570C0">
        <w:rPr>
          <w:rFonts w:ascii="Times New Roman" w:hAnsi="Times New Roman"/>
          <w:noProof/>
          <w:sz w:val="24"/>
          <w:szCs w:val="24"/>
          <w:lang w:val="es-ES"/>
        </w:rPr>
        <w:t>modified atmosphere packaging. Journal of Food Quality</w:t>
      </w:r>
      <w:r w:rsidRPr="00521C39">
        <w:rPr>
          <w:rFonts w:ascii="Times New Roman" w:hAnsi="Times New Roman"/>
          <w:noProof/>
          <w:sz w:val="24"/>
          <w:szCs w:val="24"/>
          <w:lang w:val="es-ES"/>
        </w:rPr>
        <w:t xml:space="preserve"> 21(4):317-327.</w:t>
      </w:r>
      <w:bookmarkEnd w:id="13"/>
    </w:p>
    <w:p w:rsidR="00C8722B" w:rsidRPr="00521C39" w:rsidRDefault="00C8722B" w:rsidP="00521C39">
      <w:pPr>
        <w:spacing w:after="0" w:line="240" w:lineRule="auto"/>
        <w:jc w:val="both"/>
        <w:rPr>
          <w:rFonts w:ascii="Times New Roman" w:hAnsi="Times New Roman"/>
          <w:noProof/>
          <w:sz w:val="24"/>
          <w:szCs w:val="24"/>
          <w:lang w:val="es-ES"/>
        </w:rPr>
      </w:pPr>
    </w:p>
    <w:p w:rsidR="001A4B2F" w:rsidRDefault="001A4B2F" w:rsidP="00521C39">
      <w:pPr>
        <w:spacing w:after="0" w:line="240" w:lineRule="auto"/>
        <w:jc w:val="both"/>
        <w:rPr>
          <w:rFonts w:ascii="Times New Roman" w:hAnsi="Times New Roman"/>
          <w:noProof/>
          <w:sz w:val="24"/>
          <w:szCs w:val="24"/>
          <w:lang w:val="es-ES"/>
        </w:rPr>
      </w:pPr>
      <w:bookmarkStart w:id="14" w:name="_ENREF_15"/>
      <w:r w:rsidRPr="00521C39">
        <w:rPr>
          <w:rFonts w:ascii="Times New Roman" w:hAnsi="Times New Roman"/>
          <w:noProof/>
          <w:sz w:val="24"/>
          <w:szCs w:val="24"/>
          <w:lang w:val="es-ES"/>
        </w:rPr>
        <w:lastRenderedPageBreak/>
        <w:t>Hui YH. 2006. Food biochemistry and food processing.</w:t>
      </w:r>
      <w:r w:rsidRPr="00521C39">
        <w:rPr>
          <w:rFonts w:ascii="Times New Roman" w:hAnsi="Times New Roman"/>
          <w:i/>
          <w:noProof/>
          <w:sz w:val="24"/>
          <w:szCs w:val="24"/>
          <w:lang w:val="es-ES"/>
        </w:rPr>
        <w:t xml:space="preserve"> </w:t>
      </w:r>
      <w:r w:rsidRPr="00521C39">
        <w:rPr>
          <w:rFonts w:ascii="Times New Roman" w:hAnsi="Times New Roman"/>
          <w:noProof/>
          <w:sz w:val="24"/>
          <w:szCs w:val="24"/>
          <w:lang w:val="es-ES"/>
        </w:rPr>
        <w:t>Ames, Iowa: Blackwell Pub. Professional.</w:t>
      </w:r>
      <w:bookmarkEnd w:id="14"/>
    </w:p>
    <w:p w:rsidR="00521C39" w:rsidRPr="005E56CF" w:rsidRDefault="00521C39" w:rsidP="00521C39">
      <w:pPr>
        <w:spacing w:after="0" w:line="240" w:lineRule="auto"/>
        <w:jc w:val="both"/>
        <w:rPr>
          <w:rFonts w:ascii="Times New Roman" w:hAnsi="Times New Roman"/>
          <w:noProof/>
          <w:lang w:val="es-ES"/>
        </w:rPr>
      </w:pPr>
    </w:p>
    <w:p w:rsidR="001A4B2F" w:rsidRPr="00521C39" w:rsidRDefault="001A4B2F" w:rsidP="00521C39">
      <w:pPr>
        <w:spacing w:after="0" w:line="240" w:lineRule="auto"/>
        <w:jc w:val="both"/>
        <w:rPr>
          <w:rFonts w:ascii="Times New Roman" w:hAnsi="Times New Roman"/>
          <w:noProof/>
          <w:sz w:val="24"/>
          <w:szCs w:val="24"/>
          <w:lang w:val="es-ES"/>
        </w:rPr>
      </w:pPr>
      <w:bookmarkStart w:id="15" w:name="_ENREF_16"/>
      <w:r w:rsidRPr="00521C39">
        <w:rPr>
          <w:rFonts w:ascii="Times New Roman" w:hAnsi="Times New Roman"/>
          <w:noProof/>
          <w:sz w:val="24"/>
          <w:szCs w:val="24"/>
          <w:lang w:val="es-ES"/>
        </w:rPr>
        <w:t>Iacobucci G &amp; Sweeny J, inventors; The Coca-Cola Company, assignee. 1980. Color stable food containing anthocyanic pigments and bio-available vitamin C and process of its production. United States patent 4,208,434.</w:t>
      </w:r>
      <w:bookmarkEnd w:id="15"/>
    </w:p>
    <w:p w:rsidR="00521C39" w:rsidRPr="005E56CF" w:rsidRDefault="00521C39" w:rsidP="00521C39">
      <w:pPr>
        <w:spacing w:after="0" w:line="240" w:lineRule="auto"/>
        <w:jc w:val="both"/>
        <w:rPr>
          <w:rFonts w:ascii="Times New Roman" w:hAnsi="Times New Roman"/>
          <w:noProof/>
          <w:lang w:val="es-ES"/>
        </w:rPr>
      </w:pPr>
      <w:bookmarkStart w:id="16" w:name="_ENREF_17"/>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Ibarz A, Pagan J &amp; Garza S. 1999. Kinetic models for colour changes in pear puree during heating at relatively high temperatures. Journal of Food Engineering 39:415-422.</w:t>
      </w:r>
      <w:bookmarkEnd w:id="16"/>
    </w:p>
    <w:p w:rsidR="00521C39" w:rsidRPr="005E56CF" w:rsidRDefault="00521C39" w:rsidP="00521C39">
      <w:pPr>
        <w:spacing w:after="0" w:line="240" w:lineRule="auto"/>
        <w:jc w:val="both"/>
        <w:rPr>
          <w:rFonts w:ascii="Times New Roman" w:hAnsi="Times New Roman"/>
          <w:noProof/>
          <w:lang w:val="es-ES"/>
        </w:rPr>
      </w:pPr>
      <w:bookmarkStart w:id="17" w:name="_ENREF_18"/>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Kluter RA, Nattress DT, Dunne CP &amp; Popper RD. 1994. Shelf life evaluation of cling peaches in retort pouches. Journal of Food Science 59(4):849-854, 865.</w:t>
      </w:r>
      <w:bookmarkEnd w:id="17"/>
    </w:p>
    <w:p w:rsidR="00521C39" w:rsidRPr="005E56CF" w:rsidRDefault="00521C39" w:rsidP="00521C39">
      <w:pPr>
        <w:spacing w:after="0" w:line="240" w:lineRule="auto"/>
        <w:jc w:val="both"/>
        <w:rPr>
          <w:rFonts w:ascii="Times New Roman" w:hAnsi="Times New Roman"/>
          <w:noProof/>
          <w:lang w:val="es-ES"/>
        </w:rPr>
      </w:pPr>
      <w:bookmarkStart w:id="18" w:name="_ENREF_19"/>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Kluter RA, Nattress DT, Dunne CP &amp; Popper RD. 1996. Shelf life evaluation of Bartlett pears in retort pouches. Journal of food science 61(6):1297-1302.</w:t>
      </w:r>
      <w:bookmarkEnd w:id="18"/>
    </w:p>
    <w:p w:rsidR="00521C39" w:rsidRPr="005E56CF" w:rsidRDefault="00521C39" w:rsidP="00521C39">
      <w:pPr>
        <w:spacing w:after="0" w:line="240" w:lineRule="auto"/>
        <w:jc w:val="both"/>
        <w:rPr>
          <w:rFonts w:ascii="Times New Roman" w:hAnsi="Times New Roman"/>
          <w:noProof/>
          <w:lang w:val="es-ES"/>
        </w:rPr>
      </w:pPr>
      <w:bookmarkStart w:id="19" w:name="_ENREF_20"/>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Koseki H, Akima C, Ohasi K &amp; Sakai T. 2001. Effect of sugars on decomposition and browning of vitamin C during heating storage. Nippon Shokuhin Kagaku Kogaku Kaishi 48(4):268-276.</w:t>
      </w:r>
      <w:bookmarkEnd w:id="19"/>
    </w:p>
    <w:p w:rsidR="00521C39" w:rsidRPr="005E56CF" w:rsidRDefault="00521C39" w:rsidP="00521C39">
      <w:pPr>
        <w:spacing w:after="0" w:line="240" w:lineRule="auto"/>
        <w:jc w:val="both"/>
        <w:rPr>
          <w:rFonts w:ascii="Times New Roman" w:hAnsi="Times New Roman"/>
          <w:noProof/>
          <w:lang w:val="es-ES"/>
        </w:rPr>
      </w:pPr>
      <w:bookmarkStart w:id="20" w:name="_ENREF_21"/>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Lozano JE &amp; Ibarz A. 1996. Color changes in concentrated fruit pulp during heating at high temperatures. Journal of Food Engineering 31:365-373.</w:t>
      </w:r>
      <w:bookmarkEnd w:id="20"/>
    </w:p>
    <w:p w:rsidR="00521C39" w:rsidRPr="005E56CF" w:rsidRDefault="00521C39" w:rsidP="00521C39">
      <w:pPr>
        <w:spacing w:after="0" w:line="240" w:lineRule="auto"/>
        <w:jc w:val="both"/>
        <w:rPr>
          <w:rFonts w:ascii="Times New Roman" w:hAnsi="Times New Roman"/>
          <w:noProof/>
          <w:lang w:val="es-ES"/>
        </w:rPr>
      </w:pPr>
      <w:bookmarkStart w:id="21" w:name="_ENREF_22"/>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Masquelier J, inventor; Societe Civile d'Investigations Pharmacologiques d'Aquitaine, assignee. 1987. Plant extract with a proanthocyanidins content as therapeutic agent having radical scavenger effect and use thereof</w:t>
      </w:r>
      <w:r w:rsidR="00C8722B">
        <w:rPr>
          <w:rFonts w:ascii="Times New Roman" w:hAnsi="Times New Roman"/>
          <w:noProof/>
          <w:sz w:val="24"/>
          <w:szCs w:val="24"/>
          <w:lang w:val="es-ES"/>
        </w:rPr>
        <w:t xml:space="preserve">. </w:t>
      </w:r>
      <w:r w:rsidRPr="00521C39">
        <w:rPr>
          <w:rFonts w:ascii="Times New Roman" w:hAnsi="Times New Roman"/>
          <w:noProof/>
          <w:sz w:val="24"/>
          <w:szCs w:val="24"/>
          <w:lang w:val="es-ES"/>
        </w:rPr>
        <w:t>United States patent</w:t>
      </w:r>
      <w:r w:rsidR="00C8722B">
        <w:rPr>
          <w:rFonts w:ascii="Times New Roman" w:hAnsi="Times New Roman"/>
          <w:noProof/>
          <w:sz w:val="24"/>
          <w:szCs w:val="24"/>
          <w:lang w:val="es-ES"/>
        </w:rPr>
        <w:t xml:space="preserve"> 4,698,360</w:t>
      </w:r>
      <w:r w:rsidRPr="00521C39">
        <w:rPr>
          <w:rFonts w:ascii="Times New Roman" w:hAnsi="Times New Roman"/>
          <w:noProof/>
          <w:sz w:val="24"/>
          <w:szCs w:val="24"/>
          <w:lang w:val="es-ES"/>
        </w:rPr>
        <w:t>.</w:t>
      </w:r>
      <w:bookmarkEnd w:id="21"/>
    </w:p>
    <w:p w:rsidR="00521C39" w:rsidRPr="005E56CF" w:rsidRDefault="00521C39" w:rsidP="00521C39">
      <w:pPr>
        <w:spacing w:after="0" w:line="240" w:lineRule="auto"/>
        <w:jc w:val="both"/>
        <w:rPr>
          <w:rFonts w:ascii="Times New Roman" w:hAnsi="Times New Roman"/>
          <w:noProof/>
          <w:lang w:val="es-ES"/>
        </w:rPr>
      </w:pPr>
      <w:bookmarkStart w:id="22" w:name="_ENREF_24"/>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Naim M, Schutz O, Zehavi U, Rouseff RL &amp; Haleva-Toledo E. 1997. Effects of orange juice fortification with thiols on p-vinylguaiacol formation, ascorbic-acid degradation, browning, and acceptance during pasteurization and storage under moderate conditions. J</w:t>
      </w:r>
      <w:r w:rsidR="00E570C0">
        <w:rPr>
          <w:rFonts w:ascii="Times New Roman" w:hAnsi="Times New Roman"/>
          <w:noProof/>
          <w:sz w:val="24"/>
          <w:szCs w:val="24"/>
          <w:lang w:val="es-ES"/>
        </w:rPr>
        <w:t>ournal of</w:t>
      </w:r>
      <w:r w:rsidRPr="00521C39">
        <w:rPr>
          <w:rFonts w:ascii="Times New Roman" w:hAnsi="Times New Roman"/>
          <w:noProof/>
          <w:sz w:val="24"/>
          <w:szCs w:val="24"/>
          <w:lang w:val="es-ES"/>
        </w:rPr>
        <w:t xml:space="preserve"> Agric</w:t>
      </w:r>
      <w:r w:rsidR="00E570C0">
        <w:rPr>
          <w:rFonts w:ascii="Times New Roman" w:hAnsi="Times New Roman"/>
          <w:noProof/>
          <w:sz w:val="24"/>
          <w:szCs w:val="24"/>
          <w:lang w:val="es-ES"/>
        </w:rPr>
        <w:t xml:space="preserve">ultural and </w:t>
      </w:r>
      <w:r w:rsidRPr="00521C39">
        <w:rPr>
          <w:rFonts w:ascii="Times New Roman" w:hAnsi="Times New Roman"/>
          <w:noProof/>
          <w:sz w:val="24"/>
          <w:szCs w:val="24"/>
          <w:lang w:val="es-ES"/>
        </w:rPr>
        <w:t xml:space="preserve"> Food Chem</w:t>
      </w:r>
      <w:r w:rsidR="00E570C0">
        <w:rPr>
          <w:rFonts w:ascii="Times New Roman" w:hAnsi="Times New Roman"/>
          <w:noProof/>
          <w:sz w:val="24"/>
          <w:szCs w:val="24"/>
          <w:lang w:val="es-ES"/>
        </w:rPr>
        <w:t>istry</w:t>
      </w:r>
      <w:r w:rsidRPr="00521C39">
        <w:rPr>
          <w:rFonts w:ascii="Times New Roman" w:hAnsi="Times New Roman"/>
          <w:noProof/>
          <w:sz w:val="24"/>
          <w:szCs w:val="24"/>
          <w:lang w:val="es-ES"/>
        </w:rPr>
        <w:t xml:space="preserve"> 45(5):1861-1867.</w:t>
      </w:r>
      <w:bookmarkEnd w:id="22"/>
    </w:p>
    <w:p w:rsidR="00521C39" w:rsidRPr="005E56CF" w:rsidRDefault="00521C39" w:rsidP="00521C39">
      <w:pPr>
        <w:spacing w:after="0" w:line="240" w:lineRule="auto"/>
        <w:jc w:val="both"/>
        <w:rPr>
          <w:rFonts w:ascii="Times New Roman" w:hAnsi="Times New Roman"/>
          <w:noProof/>
          <w:lang w:val="es-ES"/>
        </w:rPr>
      </w:pPr>
      <w:bookmarkStart w:id="23" w:name="_ENREF_25"/>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 xml:space="preserve">Naim M, Zuker I, Zehavi U &amp; Rouseff RL. 1993. Inhibition by thiol compounds of off-flavor formation in stored orange juice. 2. Effect of L-cysteine and N-acetyl-L-cysteine on p-vinylguaiacol formation. </w:t>
      </w:r>
      <w:r w:rsidR="00E570C0" w:rsidRPr="00521C39">
        <w:rPr>
          <w:rFonts w:ascii="Times New Roman" w:hAnsi="Times New Roman"/>
          <w:noProof/>
          <w:sz w:val="24"/>
          <w:szCs w:val="24"/>
          <w:lang w:val="es-ES"/>
        </w:rPr>
        <w:t>J</w:t>
      </w:r>
      <w:r w:rsidR="00E570C0">
        <w:rPr>
          <w:rFonts w:ascii="Times New Roman" w:hAnsi="Times New Roman"/>
          <w:noProof/>
          <w:sz w:val="24"/>
          <w:szCs w:val="24"/>
          <w:lang w:val="es-ES"/>
        </w:rPr>
        <w:t>ournal of</w:t>
      </w:r>
      <w:r w:rsidR="00E570C0" w:rsidRPr="00521C39">
        <w:rPr>
          <w:rFonts w:ascii="Times New Roman" w:hAnsi="Times New Roman"/>
          <w:noProof/>
          <w:sz w:val="24"/>
          <w:szCs w:val="24"/>
          <w:lang w:val="es-ES"/>
        </w:rPr>
        <w:t xml:space="preserve"> Agric</w:t>
      </w:r>
      <w:r w:rsidR="00E570C0">
        <w:rPr>
          <w:rFonts w:ascii="Times New Roman" w:hAnsi="Times New Roman"/>
          <w:noProof/>
          <w:sz w:val="24"/>
          <w:szCs w:val="24"/>
          <w:lang w:val="es-ES"/>
        </w:rPr>
        <w:t xml:space="preserve">ultural and </w:t>
      </w:r>
      <w:r w:rsidR="00E570C0" w:rsidRPr="00521C39">
        <w:rPr>
          <w:rFonts w:ascii="Times New Roman" w:hAnsi="Times New Roman"/>
          <w:noProof/>
          <w:sz w:val="24"/>
          <w:szCs w:val="24"/>
          <w:lang w:val="es-ES"/>
        </w:rPr>
        <w:t xml:space="preserve"> Food Chem</w:t>
      </w:r>
      <w:r w:rsidR="00E570C0">
        <w:rPr>
          <w:rFonts w:ascii="Times New Roman" w:hAnsi="Times New Roman"/>
          <w:noProof/>
          <w:sz w:val="24"/>
          <w:szCs w:val="24"/>
          <w:lang w:val="es-ES"/>
        </w:rPr>
        <w:t>istry</w:t>
      </w:r>
      <w:r w:rsidRPr="00521C39">
        <w:rPr>
          <w:rFonts w:ascii="Times New Roman" w:hAnsi="Times New Roman"/>
          <w:noProof/>
          <w:sz w:val="24"/>
          <w:szCs w:val="24"/>
          <w:lang w:val="es-ES"/>
        </w:rPr>
        <w:t xml:space="preserve"> 41(9):1359-1361.</w:t>
      </w:r>
      <w:bookmarkEnd w:id="23"/>
    </w:p>
    <w:p w:rsidR="00521C39" w:rsidRPr="005E56CF" w:rsidRDefault="00521C39" w:rsidP="00521C39">
      <w:pPr>
        <w:spacing w:after="0" w:line="240" w:lineRule="auto"/>
        <w:jc w:val="both"/>
        <w:rPr>
          <w:rFonts w:ascii="Times New Roman" w:hAnsi="Times New Roman"/>
          <w:noProof/>
          <w:lang w:val="es-ES"/>
        </w:rPr>
      </w:pPr>
      <w:bookmarkStart w:id="24" w:name="_ENREF_26"/>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O'Keefe T. 2001. Ascorbic acid and stable ascorbate esters as sources of vitamin C in aquaculture feeds. American Soybean Association (ASA).</w:t>
      </w:r>
      <w:bookmarkEnd w:id="24"/>
    </w:p>
    <w:p w:rsidR="00521C39" w:rsidRPr="005E56CF" w:rsidRDefault="00521C39" w:rsidP="00521C39">
      <w:pPr>
        <w:spacing w:after="0" w:line="240" w:lineRule="auto"/>
        <w:jc w:val="both"/>
        <w:rPr>
          <w:rFonts w:ascii="Times New Roman" w:hAnsi="Times New Roman"/>
          <w:noProof/>
          <w:lang w:val="es-ES"/>
        </w:rPr>
      </w:pPr>
      <w:bookmarkStart w:id="25" w:name="_ENREF_27"/>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Olivas GI, Rodriguez JJ, Sepulveda DR, Warner H, Clark S &amp; Barbosa-Canovas GV. 2002. Residual gas volume effect on quality of retort pouch wet-pack pears. Journal of Food Process Engineering 25:233-249.</w:t>
      </w:r>
      <w:bookmarkEnd w:id="25"/>
    </w:p>
    <w:p w:rsidR="00521C39" w:rsidRPr="00521C39" w:rsidRDefault="00521C39" w:rsidP="00521C39">
      <w:pPr>
        <w:spacing w:after="0" w:line="240" w:lineRule="auto"/>
        <w:jc w:val="both"/>
        <w:rPr>
          <w:rFonts w:ascii="Times New Roman" w:hAnsi="Times New Roman"/>
          <w:noProof/>
          <w:lang w:val="es-ES"/>
        </w:rPr>
      </w:pPr>
      <w:bookmarkStart w:id="26" w:name="_ENREF_28"/>
    </w:p>
    <w:p w:rsidR="001A4B2F"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Rice-Evans CA &amp; Packer L. 1998. Flavonoids in health and disease.</w:t>
      </w:r>
      <w:r w:rsidRPr="00521C39">
        <w:rPr>
          <w:rFonts w:ascii="Times New Roman" w:hAnsi="Times New Roman"/>
          <w:i/>
          <w:noProof/>
          <w:sz w:val="24"/>
          <w:szCs w:val="24"/>
          <w:lang w:val="es-ES"/>
        </w:rPr>
        <w:t xml:space="preserve"> </w:t>
      </w:r>
      <w:r w:rsidRPr="00521C39">
        <w:rPr>
          <w:rFonts w:ascii="Times New Roman" w:hAnsi="Times New Roman"/>
          <w:noProof/>
          <w:sz w:val="24"/>
          <w:szCs w:val="24"/>
          <w:lang w:val="es-ES"/>
        </w:rPr>
        <w:t>New York, N.Y.: Marcel Dekker.</w:t>
      </w:r>
      <w:bookmarkEnd w:id="26"/>
    </w:p>
    <w:p w:rsidR="005E56CF" w:rsidRPr="005E56CF" w:rsidRDefault="005E56CF" w:rsidP="00521C39">
      <w:pPr>
        <w:spacing w:after="0" w:line="240" w:lineRule="auto"/>
        <w:jc w:val="both"/>
        <w:rPr>
          <w:rFonts w:ascii="Times New Roman" w:hAnsi="Times New Roman"/>
          <w:noProof/>
          <w:lang w:val="es-ES"/>
        </w:rPr>
      </w:pPr>
      <w:bookmarkStart w:id="27" w:name="_ENREF_29"/>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Rodriguez JJ, Olivas GI, Sepulveda DR, Warner H, Clark S &amp; Barbosa-Canovas GV. 2003. Shelf-life study of retort pouch black bean and rice burrito combat rations packaged at selected resiudal gas levels. Journal of food quality 26:409-424.</w:t>
      </w:r>
      <w:bookmarkEnd w:id="27"/>
    </w:p>
    <w:p w:rsidR="001A4B2F" w:rsidRPr="00521C39" w:rsidRDefault="001A4B2F" w:rsidP="00521C39">
      <w:pPr>
        <w:spacing w:after="0" w:line="240" w:lineRule="auto"/>
        <w:jc w:val="both"/>
        <w:rPr>
          <w:rFonts w:ascii="Times New Roman" w:hAnsi="Times New Roman"/>
          <w:noProof/>
          <w:sz w:val="24"/>
          <w:szCs w:val="24"/>
          <w:lang w:val="es-ES"/>
        </w:rPr>
      </w:pPr>
      <w:bookmarkStart w:id="28" w:name="_ENREF_30"/>
      <w:r w:rsidRPr="00521C39">
        <w:rPr>
          <w:rFonts w:ascii="Times New Roman" w:hAnsi="Times New Roman"/>
          <w:noProof/>
          <w:sz w:val="24"/>
          <w:szCs w:val="24"/>
          <w:lang w:val="es-ES"/>
        </w:rPr>
        <w:lastRenderedPageBreak/>
        <w:t>Roig MG, Bello JF, Rivera ZS &amp; Kennedy JF. 1996. Non-enzymic Browning in Single-Strength Reconstituted Citrus Juice in TetraBrik Cartons. Biotechnology Progress 12(2):281-285.</w:t>
      </w:r>
      <w:bookmarkEnd w:id="28"/>
    </w:p>
    <w:p w:rsidR="00521C39" w:rsidRDefault="00521C39" w:rsidP="00521C39">
      <w:pPr>
        <w:spacing w:after="0" w:line="240" w:lineRule="auto"/>
        <w:jc w:val="both"/>
        <w:rPr>
          <w:rFonts w:ascii="Times New Roman" w:hAnsi="Times New Roman"/>
          <w:noProof/>
          <w:sz w:val="24"/>
          <w:szCs w:val="24"/>
          <w:lang w:val="es-ES"/>
        </w:rPr>
      </w:pPr>
      <w:bookmarkStart w:id="29" w:name="_ENREF_31"/>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Roig MG, Bello JF, Rivera ZS &amp; Kennedy JF. 2000. Studies on the occurrence of non-enzymic browning during storage of citrus juice. Food Research International 32(9):609-619.</w:t>
      </w:r>
      <w:bookmarkEnd w:id="29"/>
    </w:p>
    <w:p w:rsidR="00521C39" w:rsidRDefault="00521C39" w:rsidP="00521C39">
      <w:pPr>
        <w:spacing w:after="0" w:line="240" w:lineRule="auto"/>
        <w:jc w:val="both"/>
        <w:rPr>
          <w:rFonts w:ascii="Times New Roman" w:hAnsi="Times New Roman"/>
          <w:noProof/>
          <w:sz w:val="24"/>
          <w:szCs w:val="24"/>
          <w:lang w:val="es-ES"/>
        </w:rPr>
      </w:pPr>
      <w:bookmarkStart w:id="30" w:name="_ENREF_32"/>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Ruggeri S, Straniero R, Pacifico S, Aguzzi A &amp; Virgili F. 2008. French marine bark extract pycnogenol as a possible enrichment ingredient for yogurt. Journal of Dairy Science 91(12):4484-4491.</w:t>
      </w:r>
      <w:bookmarkEnd w:id="30"/>
    </w:p>
    <w:p w:rsidR="00521C39" w:rsidRDefault="00521C39" w:rsidP="00521C39">
      <w:pPr>
        <w:spacing w:after="0" w:line="240" w:lineRule="auto"/>
        <w:jc w:val="both"/>
        <w:rPr>
          <w:rFonts w:ascii="Times New Roman" w:hAnsi="Times New Roman"/>
          <w:noProof/>
          <w:sz w:val="24"/>
          <w:szCs w:val="24"/>
          <w:lang w:val="es-ES"/>
        </w:rPr>
      </w:pPr>
      <w:bookmarkStart w:id="31" w:name="_ENREF_33"/>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 xml:space="preserve">Sawamura M, Takemoto K &amp; Li ZF. 1991. Carbon-14 studies on browning of dehydroascorbic acid in an aqueous solution. </w:t>
      </w:r>
      <w:r w:rsidR="00E570C0" w:rsidRPr="00521C39">
        <w:rPr>
          <w:rFonts w:ascii="Times New Roman" w:hAnsi="Times New Roman"/>
          <w:noProof/>
          <w:sz w:val="24"/>
          <w:szCs w:val="24"/>
          <w:lang w:val="es-ES"/>
        </w:rPr>
        <w:t>J</w:t>
      </w:r>
      <w:r w:rsidR="00E570C0">
        <w:rPr>
          <w:rFonts w:ascii="Times New Roman" w:hAnsi="Times New Roman"/>
          <w:noProof/>
          <w:sz w:val="24"/>
          <w:szCs w:val="24"/>
          <w:lang w:val="es-ES"/>
        </w:rPr>
        <w:t>ournal of</w:t>
      </w:r>
      <w:r w:rsidR="00E570C0" w:rsidRPr="00521C39">
        <w:rPr>
          <w:rFonts w:ascii="Times New Roman" w:hAnsi="Times New Roman"/>
          <w:noProof/>
          <w:sz w:val="24"/>
          <w:szCs w:val="24"/>
          <w:lang w:val="es-ES"/>
        </w:rPr>
        <w:t xml:space="preserve"> Agric</w:t>
      </w:r>
      <w:r w:rsidR="00E570C0">
        <w:rPr>
          <w:rFonts w:ascii="Times New Roman" w:hAnsi="Times New Roman"/>
          <w:noProof/>
          <w:sz w:val="24"/>
          <w:szCs w:val="24"/>
          <w:lang w:val="es-ES"/>
        </w:rPr>
        <w:t xml:space="preserve">ultural and </w:t>
      </w:r>
      <w:r w:rsidR="00E570C0" w:rsidRPr="00521C39">
        <w:rPr>
          <w:rFonts w:ascii="Times New Roman" w:hAnsi="Times New Roman"/>
          <w:noProof/>
          <w:sz w:val="24"/>
          <w:szCs w:val="24"/>
          <w:lang w:val="es-ES"/>
        </w:rPr>
        <w:t xml:space="preserve"> Food Chem</w:t>
      </w:r>
      <w:r w:rsidR="00E570C0">
        <w:rPr>
          <w:rFonts w:ascii="Times New Roman" w:hAnsi="Times New Roman"/>
          <w:noProof/>
          <w:sz w:val="24"/>
          <w:szCs w:val="24"/>
          <w:lang w:val="es-ES"/>
        </w:rPr>
        <w:t>istry</w:t>
      </w:r>
      <w:r w:rsidRPr="00521C39">
        <w:rPr>
          <w:rFonts w:ascii="Times New Roman" w:hAnsi="Times New Roman"/>
          <w:noProof/>
          <w:sz w:val="24"/>
          <w:szCs w:val="24"/>
          <w:lang w:val="es-ES"/>
        </w:rPr>
        <w:t xml:space="preserve"> 39(10):1735-1737.</w:t>
      </w:r>
      <w:bookmarkEnd w:id="31"/>
    </w:p>
    <w:p w:rsidR="00521C39" w:rsidRDefault="00521C39" w:rsidP="00521C39">
      <w:pPr>
        <w:spacing w:after="0" w:line="240" w:lineRule="auto"/>
        <w:jc w:val="both"/>
        <w:rPr>
          <w:rFonts w:ascii="Times New Roman" w:hAnsi="Times New Roman"/>
          <w:noProof/>
          <w:sz w:val="24"/>
          <w:szCs w:val="24"/>
          <w:lang w:val="es-ES"/>
        </w:rPr>
      </w:pPr>
      <w:bookmarkStart w:id="32" w:name="_ENREF_34"/>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Schonrock U &amp; Kruse I, inventors. 2004. Use of flavones, flavanones and flavonoids for protecting ascorbic acid and/or ascorbyl compounds from oxidation. United States patent</w:t>
      </w:r>
      <w:r w:rsidR="00E570C0">
        <w:rPr>
          <w:rFonts w:ascii="Times New Roman" w:hAnsi="Times New Roman"/>
          <w:noProof/>
          <w:sz w:val="24"/>
          <w:szCs w:val="24"/>
          <w:lang w:val="es-ES"/>
        </w:rPr>
        <w:t xml:space="preserve"> 2002/0013481A</w:t>
      </w:r>
      <w:r w:rsidRPr="00521C39">
        <w:rPr>
          <w:rFonts w:ascii="Times New Roman" w:hAnsi="Times New Roman"/>
          <w:noProof/>
          <w:sz w:val="24"/>
          <w:szCs w:val="24"/>
          <w:lang w:val="es-ES"/>
        </w:rPr>
        <w:t>.</w:t>
      </w:r>
      <w:bookmarkEnd w:id="32"/>
    </w:p>
    <w:p w:rsidR="00521C39" w:rsidRPr="005E56CF" w:rsidRDefault="00521C39" w:rsidP="00521C39">
      <w:pPr>
        <w:spacing w:after="0" w:line="240" w:lineRule="auto"/>
        <w:jc w:val="both"/>
        <w:rPr>
          <w:rFonts w:ascii="Times New Roman" w:hAnsi="Times New Roman"/>
          <w:noProof/>
          <w:lang w:val="es-ES"/>
        </w:rPr>
      </w:pPr>
      <w:bookmarkStart w:id="33" w:name="_ENREF_35"/>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Shinoda Y, Murata M, Homma S &amp; Komura H. 2004. Browning and decomposed products of model orange juice. Bioscience, Biotechnology, and Biochemistry 68(3):529-536.</w:t>
      </w:r>
      <w:bookmarkEnd w:id="33"/>
    </w:p>
    <w:p w:rsidR="00521C39" w:rsidRPr="00521C39" w:rsidRDefault="00521C39" w:rsidP="00521C39">
      <w:pPr>
        <w:spacing w:after="0" w:line="240" w:lineRule="auto"/>
        <w:jc w:val="both"/>
        <w:rPr>
          <w:rFonts w:ascii="Times New Roman" w:hAnsi="Times New Roman"/>
          <w:noProof/>
          <w:lang w:val="es-ES"/>
        </w:rPr>
      </w:pPr>
      <w:bookmarkStart w:id="34" w:name="_ENREF_36"/>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Sivonova M, Zitnanova I, Horakova L, Strosova M, Muchova J, Balgavy P, Dobrota D &amp; Durackova Z. 2006. The combined effect of Pycnogenol with ascorbic acid and trolox on the oxidation of lipids and proteins. General Physiology and Biophysics 25(4):379-396.</w:t>
      </w:r>
      <w:bookmarkEnd w:id="34"/>
    </w:p>
    <w:p w:rsidR="00521C39" w:rsidRDefault="00521C39" w:rsidP="00521C39">
      <w:pPr>
        <w:spacing w:after="0" w:line="240" w:lineRule="auto"/>
        <w:jc w:val="both"/>
        <w:rPr>
          <w:rFonts w:ascii="Times New Roman" w:hAnsi="Times New Roman"/>
          <w:noProof/>
          <w:sz w:val="24"/>
          <w:szCs w:val="24"/>
          <w:lang w:val="es-ES"/>
        </w:rPr>
      </w:pPr>
      <w:bookmarkStart w:id="35" w:name="_ENREF_37"/>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Torras MAC, Faura CA, Schonlau F &amp; Rohdewald P. 2005. Antimicrobial activity of pycnogenol. Phytotherapy Research 19(7):647-648.</w:t>
      </w:r>
      <w:bookmarkEnd w:id="35"/>
    </w:p>
    <w:p w:rsidR="00521C39" w:rsidRPr="00521C39" w:rsidRDefault="00521C39" w:rsidP="00521C39">
      <w:pPr>
        <w:spacing w:after="0" w:line="240" w:lineRule="auto"/>
        <w:jc w:val="both"/>
        <w:rPr>
          <w:rFonts w:ascii="Times New Roman" w:hAnsi="Times New Roman"/>
          <w:noProof/>
          <w:lang w:val="es-ES"/>
        </w:rPr>
      </w:pPr>
      <w:bookmarkStart w:id="36" w:name="_ENREF_38"/>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Villamiel M, Del Castillo MD, San Martin C &amp; Corzo N. 1998. Assessment of the thermal treatment of orange juice during continuous microwave and conventional heating. Journal of the Science of Food and Agriculture 78(2):196-200.</w:t>
      </w:r>
      <w:bookmarkEnd w:id="36"/>
    </w:p>
    <w:p w:rsidR="00521C39" w:rsidRPr="00521C39" w:rsidRDefault="00521C39" w:rsidP="00521C39">
      <w:pPr>
        <w:spacing w:after="0" w:line="240" w:lineRule="auto"/>
        <w:jc w:val="both"/>
        <w:rPr>
          <w:rFonts w:ascii="Times New Roman" w:hAnsi="Times New Roman"/>
          <w:noProof/>
          <w:lang w:val="es-ES"/>
        </w:rPr>
      </w:pPr>
      <w:bookmarkStart w:id="37" w:name="_ENREF_39"/>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Wang XY, Kozempel MG, Hicks KB &amp; Seib PA. 1992. Vitamin C stability during preparation and storage of potato flakes and reconstituted mashed potatoes. Journal of Food Science 57(5):1136-1139.</w:t>
      </w:r>
      <w:bookmarkEnd w:id="37"/>
    </w:p>
    <w:p w:rsidR="00521C39" w:rsidRPr="00521C39" w:rsidRDefault="00521C39" w:rsidP="00521C39">
      <w:pPr>
        <w:spacing w:after="0" w:line="240" w:lineRule="auto"/>
        <w:jc w:val="both"/>
        <w:rPr>
          <w:rFonts w:ascii="Times New Roman" w:hAnsi="Times New Roman"/>
          <w:noProof/>
          <w:lang w:val="es-ES"/>
        </w:rPr>
      </w:pPr>
      <w:bookmarkStart w:id="38" w:name="_ENREF_40"/>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Wang XY, Seib PA &amp; Ra KS. 1995. L-Ascorbic acid and its 2-phosphorylated derivatives in selected foods: vitamin C fortification and antioxidant properties. Journal of Food Science 60(6):1295-1300.</w:t>
      </w:r>
      <w:bookmarkEnd w:id="38"/>
    </w:p>
    <w:p w:rsidR="00521C39" w:rsidRPr="00521C39" w:rsidRDefault="00521C39" w:rsidP="00521C39">
      <w:pPr>
        <w:spacing w:after="0" w:line="240" w:lineRule="auto"/>
        <w:jc w:val="both"/>
        <w:rPr>
          <w:rFonts w:ascii="Times New Roman" w:hAnsi="Times New Roman"/>
          <w:noProof/>
          <w:lang w:val="es-ES"/>
        </w:rPr>
      </w:pPr>
      <w:bookmarkStart w:id="39" w:name="_ENREF_41"/>
    </w:p>
    <w:p w:rsidR="001A4B2F" w:rsidRPr="00521C39"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Wong D. 1989. Mechanism and theory in food chemistry.</w:t>
      </w:r>
      <w:r w:rsidRPr="00521C39">
        <w:rPr>
          <w:rFonts w:ascii="Times New Roman" w:hAnsi="Times New Roman"/>
          <w:i/>
          <w:noProof/>
          <w:sz w:val="24"/>
          <w:szCs w:val="24"/>
          <w:lang w:val="es-ES"/>
        </w:rPr>
        <w:t xml:space="preserve"> </w:t>
      </w:r>
      <w:r w:rsidRPr="00521C39">
        <w:rPr>
          <w:rFonts w:ascii="Times New Roman" w:hAnsi="Times New Roman"/>
          <w:noProof/>
          <w:sz w:val="24"/>
          <w:szCs w:val="24"/>
          <w:lang w:val="es-ES"/>
        </w:rPr>
        <w:t>New York: Van Nostrand Reinhold.</w:t>
      </w:r>
      <w:bookmarkEnd w:id="39"/>
    </w:p>
    <w:p w:rsidR="00521C39" w:rsidRPr="00521C39" w:rsidRDefault="00521C39" w:rsidP="00521C39">
      <w:pPr>
        <w:spacing w:after="0" w:line="240" w:lineRule="auto"/>
        <w:jc w:val="both"/>
        <w:rPr>
          <w:rFonts w:ascii="Times New Roman" w:hAnsi="Times New Roman"/>
          <w:noProof/>
          <w:lang w:val="es-ES"/>
        </w:rPr>
      </w:pPr>
      <w:bookmarkStart w:id="40" w:name="_ENREF_42"/>
    </w:p>
    <w:p w:rsidR="001A4B2F" w:rsidRDefault="001A4B2F" w:rsidP="00521C39">
      <w:pPr>
        <w:spacing w:after="0" w:line="240" w:lineRule="auto"/>
        <w:jc w:val="both"/>
        <w:rPr>
          <w:rFonts w:ascii="Times New Roman" w:hAnsi="Times New Roman"/>
          <w:noProof/>
          <w:sz w:val="24"/>
          <w:szCs w:val="24"/>
          <w:lang w:val="es-ES"/>
        </w:rPr>
      </w:pPr>
      <w:r w:rsidRPr="00521C39">
        <w:rPr>
          <w:rFonts w:ascii="Times New Roman" w:hAnsi="Times New Roman"/>
          <w:noProof/>
          <w:sz w:val="24"/>
          <w:szCs w:val="24"/>
          <w:lang w:val="es-ES"/>
        </w:rPr>
        <w:t xml:space="preserve">Yuan J-P &amp; Chen F. 1998. Degradation of Ascorbic Acid in Aqueous Solution. </w:t>
      </w:r>
      <w:r w:rsidR="00E570C0" w:rsidRPr="00521C39">
        <w:rPr>
          <w:rFonts w:ascii="Times New Roman" w:hAnsi="Times New Roman"/>
          <w:noProof/>
          <w:sz w:val="24"/>
          <w:szCs w:val="24"/>
          <w:lang w:val="es-ES"/>
        </w:rPr>
        <w:t>J</w:t>
      </w:r>
      <w:r w:rsidR="00E570C0">
        <w:rPr>
          <w:rFonts w:ascii="Times New Roman" w:hAnsi="Times New Roman"/>
          <w:noProof/>
          <w:sz w:val="24"/>
          <w:szCs w:val="24"/>
          <w:lang w:val="es-ES"/>
        </w:rPr>
        <w:t>ournal of</w:t>
      </w:r>
      <w:r w:rsidR="00E570C0" w:rsidRPr="00521C39">
        <w:rPr>
          <w:rFonts w:ascii="Times New Roman" w:hAnsi="Times New Roman"/>
          <w:noProof/>
          <w:sz w:val="24"/>
          <w:szCs w:val="24"/>
          <w:lang w:val="es-ES"/>
        </w:rPr>
        <w:t xml:space="preserve"> Agric</w:t>
      </w:r>
      <w:r w:rsidR="00E570C0">
        <w:rPr>
          <w:rFonts w:ascii="Times New Roman" w:hAnsi="Times New Roman"/>
          <w:noProof/>
          <w:sz w:val="24"/>
          <w:szCs w:val="24"/>
          <w:lang w:val="es-ES"/>
        </w:rPr>
        <w:t xml:space="preserve">ultural and </w:t>
      </w:r>
      <w:r w:rsidR="00E570C0" w:rsidRPr="00521C39">
        <w:rPr>
          <w:rFonts w:ascii="Times New Roman" w:hAnsi="Times New Roman"/>
          <w:noProof/>
          <w:sz w:val="24"/>
          <w:szCs w:val="24"/>
          <w:lang w:val="es-ES"/>
        </w:rPr>
        <w:t xml:space="preserve"> Food Chem</w:t>
      </w:r>
      <w:r w:rsidR="00E570C0">
        <w:rPr>
          <w:rFonts w:ascii="Times New Roman" w:hAnsi="Times New Roman"/>
          <w:noProof/>
          <w:sz w:val="24"/>
          <w:szCs w:val="24"/>
          <w:lang w:val="es-ES"/>
        </w:rPr>
        <w:t>istry</w:t>
      </w:r>
      <w:r w:rsidRPr="00521C39">
        <w:rPr>
          <w:rFonts w:ascii="Times New Roman" w:hAnsi="Times New Roman"/>
          <w:noProof/>
          <w:sz w:val="24"/>
          <w:szCs w:val="24"/>
          <w:lang w:val="es-ES"/>
        </w:rPr>
        <w:t xml:space="preserve"> 46(12):5078-5082.</w:t>
      </w:r>
      <w:bookmarkEnd w:id="40"/>
    </w:p>
    <w:p w:rsidR="005E56CF" w:rsidRPr="00521C39" w:rsidRDefault="005E56CF" w:rsidP="00521C39">
      <w:pPr>
        <w:spacing w:after="0" w:line="240" w:lineRule="auto"/>
        <w:jc w:val="both"/>
        <w:rPr>
          <w:rFonts w:ascii="Times New Roman" w:hAnsi="Times New Roman"/>
          <w:noProof/>
          <w:sz w:val="24"/>
          <w:szCs w:val="24"/>
          <w:lang w:val="es-ES"/>
        </w:rPr>
      </w:pPr>
    </w:p>
    <w:p w:rsidR="001A4B2F" w:rsidRPr="00521C39" w:rsidRDefault="001A4B2F" w:rsidP="00521C39">
      <w:pPr>
        <w:spacing w:line="240" w:lineRule="auto"/>
        <w:jc w:val="both"/>
        <w:rPr>
          <w:rFonts w:ascii="Times New Roman" w:hAnsi="Times New Roman"/>
          <w:noProof/>
          <w:sz w:val="24"/>
          <w:szCs w:val="24"/>
          <w:lang w:val="es-ES"/>
        </w:rPr>
      </w:pPr>
      <w:bookmarkStart w:id="41" w:name="_ENREF_43"/>
      <w:r w:rsidRPr="00521C39">
        <w:rPr>
          <w:rFonts w:ascii="Times New Roman" w:hAnsi="Times New Roman"/>
          <w:noProof/>
          <w:sz w:val="24"/>
          <w:szCs w:val="24"/>
          <w:lang w:val="es-ES"/>
        </w:rPr>
        <w:t>Zenker M, Heinz V &amp; Knorr D. 2003. Application of ultrasound-assisted thermal processing for preservation and quality retention of liquid foods. Journal of food protection 66(9):1642-1649.</w:t>
      </w:r>
      <w:bookmarkEnd w:id="41"/>
    </w:p>
    <w:p w:rsidR="00D54621" w:rsidRPr="004341B9" w:rsidRDefault="001A4B2F" w:rsidP="004341B9">
      <w:pPr>
        <w:pStyle w:val="ListParagraph"/>
        <w:spacing w:after="0" w:line="360" w:lineRule="auto"/>
        <w:ind w:left="0"/>
        <w:jc w:val="both"/>
        <w:rPr>
          <w:rFonts w:ascii="Times New Roman" w:hAnsi="Times New Roman"/>
          <w:b/>
          <w:sz w:val="24"/>
          <w:szCs w:val="24"/>
        </w:rPr>
      </w:pPr>
      <w:r w:rsidRPr="001A4B2F">
        <w:rPr>
          <w:rFonts w:ascii="Times New Roman" w:hAnsi="Times New Roman"/>
          <w:noProof/>
          <w:sz w:val="24"/>
          <w:szCs w:val="24"/>
          <w:lang w:val="es-ES"/>
        </w:rPr>
        <w:br w:type="page"/>
      </w:r>
      <w:r w:rsidR="00D54621" w:rsidRPr="004341B9">
        <w:rPr>
          <w:rFonts w:ascii="Times New Roman" w:hAnsi="Times New Roman"/>
          <w:b/>
          <w:sz w:val="24"/>
          <w:szCs w:val="24"/>
        </w:rPr>
        <w:lastRenderedPageBreak/>
        <w:t>CHAPTER 2: REVIEW OF LITERATURE</w:t>
      </w:r>
    </w:p>
    <w:p w:rsidR="00D54621" w:rsidRPr="004341B9" w:rsidRDefault="00D54621" w:rsidP="004341B9">
      <w:pPr>
        <w:pStyle w:val="ListParagraph"/>
        <w:spacing w:after="0" w:line="360" w:lineRule="auto"/>
        <w:ind w:left="0"/>
        <w:rPr>
          <w:rFonts w:ascii="Times New Roman" w:hAnsi="Times New Roman"/>
          <w:sz w:val="24"/>
          <w:szCs w:val="24"/>
        </w:rPr>
      </w:pPr>
    </w:p>
    <w:p w:rsidR="00D54621" w:rsidRPr="004341B9" w:rsidRDefault="00D54621" w:rsidP="004341B9">
      <w:pPr>
        <w:spacing w:after="0" w:line="360" w:lineRule="auto"/>
        <w:rPr>
          <w:rFonts w:ascii="Times New Roman" w:hAnsi="Times New Roman" w:cs="Times New Roman"/>
          <w:b/>
          <w:sz w:val="24"/>
          <w:szCs w:val="24"/>
        </w:rPr>
      </w:pPr>
      <w:r w:rsidRPr="004341B9">
        <w:rPr>
          <w:rFonts w:ascii="Times New Roman" w:hAnsi="Times New Roman" w:cs="Times New Roman"/>
          <w:b/>
          <w:sz w:val="24"/>
          <w:szCs w:val="24"/>
        </w:rPr>
        <w:t>L-</w:t>
      </w:r>
      <w:r w:rsidR="004C2F3F">
        <w:rPr>
          <w:rFonts w:ascii="Times New Roman" w:hAnsi="Times New Roman" w:cs="Times New Roman"/>
          <w:b/>
          <w:sz w:val="24"/>
          <w:szCs w:val="24"/>
        </w:rPr>
        <w:t>ASCORBIC ACID</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L-Ascorbic acid (AA) is a carbohydrate-like vitamin with two enol groups built into a 5 membered heterocyclic lactone (Fig. 1) </w:t>
      </w:r>
      <w:r w:rsidRPr="004341B9">
        <w:rPr>
          <w:rFonts w:ascii="Times New Roman" w:hAnsi="Times New Roman"/>
          <w:noProof/>
          <w:sz w:val="24"/>
          <w:szCs w:val="24"/>
        </w:rPr>
        <w:t>(Kall 2003)</w:t>
      </w:r>
      <w:r w:rsidRPr="004341B9">
        <w:rPr>
          <w:rFonts w:ascii="Times New Roman" w:hAnsi="Times New Roman"/>
          <w:sz w:val="24"/>
          <w:szCs w:val="24"/>
        </w:rPr>
        <w:t xml:space="preserve">.  The </w:t>
      </w:r>
      <w:r w:rsidR="00E653ED">
        <w:rPr>
          <w:rFonts w:ascii="Times New Roman" w:hAnsi="Times New Roman"/>
          <w:sz w:val="24"/>
          <w:szCs w:val="24"/>
        </w:rPr>
        <w:t>enediol</w:t>
      </w:r>
      <w:r w:rsidRPr="004341B9">
        <w:rPr>
          <w:rFonts w:ascii="Times New Roman" w:hAnsi="Times New Roman"/>
          <w:sz w:val="24"/>
          <w:szCs w:val="24"/>
        </w:rPr>
        <w:t xml:space="preserve"> group is responsible for the strong reducing activity of this compound.  AA is characterized by its high solubility in water due to its high polarity; in addition, as a consequence of the ionization of the carbon 3 hydroxyl group (Pk</w:t>
      </w:r>
      <w:r w:rsidRPr="004341B9">
        <w:rPr>
          <w:rFonts w:ascii="Times New Roman" w:hAnsi="Times New Roman"/>
          <w:sz w:val="24"/>
          <w:szCs w:val="24"/>
          <w:vertAlign w:val="subscript"/>
        </w:rPr>
        <w:t>a1</w:t>
      </w:r>
      <w:r w:rsidRPr="004341B9">
        <w:rPr>
          <w:rFonts w:ascii="Times New Roman" w:hAnsi="Times New Roman"/>
          <w:sz w:val="24"/>
          <w:szCs w:val="24"/>
        </w:rPr>
        <w:t>= 4.04 at 25°C), AA is acidic.  A second dissociation of the carbon 2 hydroxyl group is not favorable because of the high pK (Pk</w:t>
      </w:r>
      <w:r w:rsidRPr="004341B9">
        <w:rPr>
          <w:rFonts w:ascii="Times New Roman" w:hAnsi="Times New Roman"/>
          <w:sz w:val="24"/>
          <w:szCs w:val="24"/>
          <w:vertAlign w:val="subscript"/>
        </w:rPr>
        <w:t>a2</w:t>
      </w:r>
      <w:r w:rsidRPr="004341B9">
        <w:rPr>
          <w:rFonts w:ascii="Times New Roman" w:hAnsi="Times New Roman"/>
          <w:sz w:val="24"/>
          <w:szCs w:val="24"/>
        </w:rPr>
        <w:t xml:space="preserve">=11.4) </w:t>
      </w:r>
      <w:r w:rsidRPr="004341B9">
        <w:rPr>
          <w:rFonts w:ascii="Times New Roman" w:hAnsi="Times New Roman"/>
          <w:noProof/>
          <w:sz w:val="24"/>
          <w:szCs w:val="24"/>
        </w:rPr>
        <w:t>(Fennema 1996)</w:t>
      </w:r>
      <w:r w:rsidRPr="004341B9">
        <w:rPr>
          <w:rFonts w:ascii="Times New Roman" w:hAnsi="Times New Roman"/>
          <w:sz w:val="24"/>
          <w:szCs w:val="24"/>
        </w:rPr>
        <w:t>.</w:t>
      </w:r>
    </w:p>
    <w:p w:rsidR="00D54621" w:rsidRPr="004341B9" w:rsidRDefault="00D54621" w:rsidP="004341B9">
      <w:pPr>
        <w:pStyle w:val="ListParagraph"/>
        <w:spacing w:after="0" w:line="360" w:lineRule="auto"/>
        <w:ind w:left="0"/>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Since AA has two chiral carbon atoms, carbons 4 and 5, it can also exist in any of its four stereoisomer forms: L-AA, D-ascorbic acid, D-isoascorbic acid and L-isoascorbic acid </w:t>
      </w:r>
      <w:r w:rsidRPr="004341B9">
        <w:rPr>
          <w:rFonts w:ascii="Times New Roman" w:hAnsi="Times New Roman"/>
          <w:noProof/>
          <w:sz w:val="24"/>
          <w:szCs w:val="24"/>
        </w:rPr>
        <w:t>(Kall 2003)</w:t>
      </w:r>
      <w:r w:rsidRPr="004341B9">
        <w:rPr>
          <w:rFonts w:ascii="Times New Roman" w:hAnsi="Times New Roman"/>
          <w:sz w:val="24"/>
          <w:szCs w:val="24"/>
        </w:rPr>
        <w:t xml:space="preserve">.  However, L-AA is the only form that occurs almost exclusively in nature and has nutritional value </w:t>
      </w:r>
      <w:r w:rsidRPr="004341B9">
        <w:rPr>
          <w:rFonts w:ascii="Times New Roman" w:hAnsi="Times New Roman"/>
          <w:noProof/>
          <w:sz w:val="24"/>
          <w:szCs w:val="24"/>
        </w:rPr>
        <w:t>(Fennema 1996)</w:t>
      </w:r>
      <w:r w:rsidRPr="004341B9">
        <w:rPr>
          <w:rFonts w:ascii="Times New Roman" w:hAnsi="Times New Roman"/>
          <w:sz w:val="24"/>
          <w:szCs w:val="24"/>
        </w:rPr>
        <w:t xml:space="preserve">.  Because of the reducing and antioxidant activity of L-isoascorbic acid, D-ascorbic acid </w:t>
      </w:r>
      <w:r w:rsidRPr="004341B9">
        <w:rPr>
          <w:rFonts w:ascii="Times New Roman" w:hAnsi="Times New Roman"/>
          <w:noProof/>
          <w:sz w:val="24"/>
          <w:szCs w:val="24"/>
        </w:rPr>
        <w:t>(Fennema 1996)</w:t>
      </w:r>
      <w:r w:rsidRPr="004341B9">
        <w:rPr>
          <w:rFonts w:ascii="Times New Roman" w:hAnsi="Times New Roman"/>
          <w:sz w:val="24"/>
          <w:szCs w:val="24"/>
        </w:rPr>
        <w:t xml:space="preserve"> and D-isoascorbic acid </w:t>
      </w:r>
      <w:r w:rsidRPr="004341B9">
        <w:rPr>
          <w:rFonts w:ascii="Times New Roman" w:hAnsi="Times New Roman"/>
          <w:noProof/>
          <w:sz w:val="24"/>
          <w:szCs w:val="24"/>
        </w:rPr>
        <w:t>(Liao and Seib 1988)</w:t>
      </w:r>
      <w:r w:rsidRPr="004341B9">
        <w:rPr>
          <w:rFonts w:ascii="Times New Roman" w:hAnsi="Times New Roman"/>
          <w:sz w:val="24"/>
          <w:szCs w:val="24"/>
        </w:rPr>
        <w:t xml:space="preserve">, these compounds are used as food ingredients, and are good substitutes for AA from a functional, non-nutritive standpoint.  However, AA has some properties that are not present </w:t>
      </w:r>
      <w:proofErr w:type="gramStart"/>
      <w:r w:rsidRPr="004341B9">
        <w:rPr>
          <w:rFonts w:ascii="Times New Roman" w:hAnsi="Times New Roman"/>
          <w:sz w:val="24"/>
          <w:szCs w:val="24"/>
        </w:rPr>
        <w:t>in  its</w:t>
      </w:r>
      <w:proofErr w:type="gramEnd"/>
      <w:r w:rsidRPr="004341B9">
        <w:rPr>
          <w:rFonts w:ascii="Times New Roman" w:hAnsi="Times New Roman"/>
          <w:sz w:val="24"/>
          <w:szCs w:val="24"/>
        </w:rPr>
        <w:t xml:space="preserve"> stereoisomers, including bread-improving action and vitamin C activity.  In fact, the use of D-isoascorbic acid in foods can interfere with the bioavailability of AA </w:t>
      </w:r>
      <w:r w:rsidRPr="004341B9">
        <w:rPr>
          <w:rFonts w:ascii="Times New Roman" w:hAnsi="Times New Roman"/>
          <w:noProof/>
          <w:sz w:val="24"/>
          <w:szCs w:val="24"/>
        </w:rPr>
        <w:t>(Liao and Seib 1988)</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AA is found in many fruits and vegetables.  It has also been reported in animal tissues and animal-derived products, but to a lesser extent </w:t>
      </w:r>
      <w:r w:rsidRPr="004341B9">
        <w:rPr>
          <w:rFonts w:ascii="Times New Roman" w:hAnsi="Times New Roman"/>
          <w:noProof/>
          <w:sz w:val="24"/>
          <w:szCs w:val="24"/>
        </w:rPr>
        <w:t>(Fennema 1996)</w:t>
      </w:r>
      <w:r w:rsidRPr="004341B9">
        <w:rPr>
          <w:rFonts w:ascii="Times New Roman" w:hAnsi="Times New Roman"/>
          <w:sz w:val="24"/>
          <w:szCs w:val="24"/>
        </w:rPr>
        <w:t>.  The importance of AA consumption is based on the fact that humans are not able to synthesize it.  AA participates in several important reactions in our bodies, such as collagen synthesis, conversion of 3</w:t>
      </w:r>
      <w:proofErr w:type="gramStart"/>
      <w:r w:rsidRPr="004341B9">
        <w:rPr>
          <w:rFonts w:ascii="Times New Roman" w:hAnsi="Times New Roman"/>
          <w:sz w:val="24"/>
          <w:szCs w:val="24"/>
        </w:rPr>
        <w:t>,4</w:t>
      </w:r>
      <w:proofErr w:type="gramEnd"/>
      <w:r w:rsidRPr="004341B9">
        <w:rPr>
          <w:rFonts w:ascii="Times New Roman" w:hAnsi="Times New Roman"/>
          <w:sz w:val="24"/>
          <w:szCs w:val="24"/>
        </w:rPr>
        <w:t xml:space="preserve">-dihydroxyphenylethylamine to noradrenaline, and protection against free-radical damage </w:t>
      </w:r>
      <w:r w:rsidRPr="004341B9">
        <w:rPr>
          <w:rFonts w:ascii="Times New Roman" w:hAnsi="Times New Roman"/>
          <w:noProof/>
          <w:sz w:val="24"/>
          <w:szCs w:val="24"/>
        </w:rPr>
        <w:t>(Wong 1989)</w:t>
      </w:r>
      <w:r w:rsidRPr="004341B9">
        <w:rPr>
          <w:rFonts w:ascii="Times New Roman" w:hAnsi="Times New Roman"/>
          <w:sz w:val="24"/>
          <w:szCs w:val="24"/>
        </w:rPr>
        <w:t xml:space="preserve">.  A deficiency of AA in the human diet can cause scurvy </w:t>
      </w:r>
      <w:r w:rsidRPr="004341B9">
        <w:rPr>
          <w:rFonts w:ascii="Times New Roman" w:hAnsi="Times New Roman"/>
          <w:noProof/>
          <w:sz w:val="24"/>
          <w:szCs w:val="24"/>
        </w:rPr>
        <w:t>(Belitz and others 2004)</w:t>
      </w:r>
      <w:r w:rsidRPr="004341B9">
        <w:rPr>
          <w:rFonts w:ascii="Times New Roman" w:hAnsi="Times New Roman"/>
          <w:sz w:val="24"/>
          <w:szCs w:val="24"/>
        </w:rPr>
        <w:t xml:space="preserve">.  Ranges of human requirements are not well defined, nevertheless a range of 45-75 mg/day has been reported </w:t>
      </w:r>
      <w:r w:rsidRPr="004341B9">
        <w:rPr>
          <w:rFonts w:ascii="Times New Roman" w:hAnsi="Times New Roman"/>
          <w:noProof/>
          <w:sz w:val="24"/>
          <w:szCs w:val="24"/>
        </w:rPr>
        <w:t>(deMan 1999)</w:t>
      </w:r>
      <w:r w:rsidRPr="004341B9">
        <w:rPr>
          <w:rFonts w:ascii="Times New Roman" w:hAnsi="Times New Roman"/>
          <w:sz w:val="24"/>
          <w:szCs w:val="24"/>
        </w:rPr>
        <w:t xml:space="preserve">.  The recommended daily intake (RDI) for adults is 60 mg. </w:t>
      </w:r>
    </w:p>
    <w:p w:rsidR="00D54621" w:rsidRPr="004341B9" w:rsidRDefault="00D54621" w:rsidP="004341B9">
      <w:pPr>
        <w:pStyle w:val="ListParagraph"/>
        <w:spacing w:after="0" w:line="360" w:lineRule="auto"/>
        <w:ind w:left="0"/>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In food processing, AA is used because it has reducing and antioxidant activities.</w:t>
      </w:r>
      <w:r w:rsidRPr="004341B9">
        <w:rPr>
          <w:rFonts w:ascii="Times New Roman" w:hAnsi="Times New Roman"/>
          <w:color w:val="FF0000"/>
          <w:sz w:val="24"/>
          <w:szCs w:val="24"/>
        </w:rPr>
        <w:t xml:space="preserve"> </w:t>
      </w:r>
      <w:r w:rsidRPr="004341B9">
        <w:rPr>
          <w:rFonts w:ascii="Times New Roman" w:hAnsi="Times New Roman"/>
          <w:sz w:val="24"/>
          <w:szCs w:val="24"/>
        </w:rPr>
        <w:t xml:space="preserve">As an antioxidant, AA is able to donate electrons, eliminating free radicals such as those formed during </w:t>
      </w:r>
      <w:r w:rsidRPr="004341B9">
        <w:rPr>
          <w:rFonts w:ascii="Times New Roman" w:hAnsi="Times New Roman"/>
          <w:sz w:val="24"/>
          <w:szCs w:val="24"/>
        </w:rPr>
        <w:lastRenderedPageBreak/>
        <w:t xml:space="preserve">the damage of lipids.  The oxidation products are semidehydroascorbic acid and dehydroascorbic acid (DHAA) </w:t>
      </w:r>
      <w:r w:rsidRPr="004341B9">
        <w:rPr>
          <w:rFonts w:ascii="Times New Roman" w:hAnsi="Times New Roman"/>
          <w:noProof/>
          <w:sz w:val="24"/>
          <w:szCs w:val="24"/>
        </w:rPr>
        <w:t>(Kall 2003)</w:t>
      </w:r>
      <w:r w:rsidRPr="004341B9">
        <w:rPr>
          <w:rFonts w:ascii="Times New Roman" w:hAnsi="Times New Roman"/>
          <w:sz w:val="24"/>
          <w:szCs w:val="24"/>
        </w:rPr>
        <w:t xml:space="preserve">.  The principal uses of vitamin C in the food industry include: (1) prevention of browning in fruit and vegetables, (2) inhibition of oxidation in beer, wine, vegetable oil, milk and dairy products, (3) stabilization of meat color and (4) improvement of bread dough.  AA may be added to foods either as its undissociated acid or as the neutralized sodium salt (sodium ascorbate) </w:t>
      </w:r>
      <w:r w:rsidRPr="004341B9">
        <w:rPr>
          <w:rFonts w:ascii="Times New Roman" w:hAnsi="Times New Roman"/>
          <w:noProof/>
          <w:sz w:val="24"/>
          <w:szCs w:val="24"/>
        </w:rPr>
        <w:t>(Wong 1989)</w:t>
      </w:r>
      <w:r w:rsidRPr="004341B9">
        <w:rPr>
          <w:rFonts w:ascii="Times New Roman" w:hAnsi="Times New Roman"/>
          <w:sz w:val="24"/>
          <w:szCs w:val="24"/>
        </w:rPr>
        <w:t xml:space="preserve">.  When AA is conjugated with hydrophobic compounds, it acquires lipid solubility.  For example, fatty acid esters such as ascorbyl palmitate and ascorbic acid acetals are lipid soluble; consequently, they can be used as antioxidant agents in lipid environments </w:t>
      </w:r>
      <w:r w:rsidRPr="004341B9">
        <w:rPr>
          <w:rFonts w:ascii="Times New Roman" w:hAnsi="Times New Roman"/>
          <w:noProof/>
          <w:sz w:val="24"/>
          <w:szCs w:val="24"/>
        </w:rPr>
        <w:t>(Fennema 1996)</w:t>
      </w:r>
      <w:r w:rsidRPr="004341B9">
        <w:rPr>
          <w:rFonts w:ascii="Times New Roman" w:hAnsi="Times New Roman"/>
          <w:sz w:val="24"/>
          <w:szCs w:val="24"/>
        </w:rPr>
        <w:t>.</w:t>
      </w:r>
    </w:p>
    <w:p w:rsidR="00D54621" w:rsidRPr="004341B9" w:rsidRDefault="00D54621" w:rsidP="004341B9">
      <w:pPr>
        <w:pStyle w:val="ListParagraph"/>
        <w:spacing w:after="0" w:line="360" w:lineRule="auto"/>
        <w:ind w:left="0"/>
        <w:jc w:val="both"/>
        <w:rPr>
          <w:rFonts w:ascii="Times New Roman" w:hAnsi="Times New Roman"/>
          <w:sz w:val="24"/>
          <w:szCs w:val="24"/>
        </w:rPr>
      </w:pPr>
    </w:p>
    <w:p w:rsidR="00D54621" w:rsidRPr="004341B9" w:rsidRDefault="004C2F3F" w:rsidP="004341B9">
      <w:pPr>
        <w:pStyle w:val="ListParagraph"/>
        <w:spacing w:after="0" w:line="360" w:lineRule="auto"/>
        <w:ind w:left="0"/>
        <w:rPr>
          <w:rFonts w:ascii="Times New Roman" w:hAnsi="Times New Roman"/>
          <w:b/>
          <w:sz w:val="24"/>
          <w:szCs w:val="24"/>
        </w:rPr>
      </w:pPr>
      <w:r>
        <w:rPr>
          <w:rFonts w:ascii="Times New Roman" w:hAnsi="Times New Roman"/>
          <w:b/>
          <w:sz w:val="24"/>
          <w:szCs w:val="24"/>
        </w:rPr>
        <w:t>LOSS OF L-ASCORBIC ACID</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proofErr w:type="gramStart"/>
      <w:r w:rsidRPr="004341B9">
        <w:rPr>
          <w:rFonts w:ascii="Times New Roman" w:hAnsi="Times New Roman"/>
          <w:sz w:val="24"/>
          <w:szCs w:val="24"/>
        </w:rPr>
        <w:t xml:space="preserve">AA browning result from the decomposition of vitamin C under both aerobic and anaerobic conditions and the presence or absence of amino compounds </w:t>
      </w:r>
      <w:r w:rsidRPr="004341B9">
        <w:rPr>
          <w:rFonts w:ascii="Times New Roman" w:hAnsi="Times New Roman"/>
          <w:noProof/>
          <w:sz w:val="24"/>
          <w:szCs w:val="24"/>
        </w:rPr>
        <w:t>(Hui 2006)</w:t>
      </w:r>
      <w:r w:rsidRPr="004341B9">
        <w:rPr>
          <w:rFonts w:ascii="Times New Roman" w:hAnsi="Times New Roman"/>
          <w:sz w:val="24"/>
          <w:szCs w:val="24"/>
        </w:rPr>
        <w:t>.</w:t>
      </w:r>
      <w:proofErr w:type="gramEnd"/>
      <w:r w:rsidRPr="004341B9">
        <w:rPr>
          <w:rFonts w:ascii="Times New Roman" w:hAnsi="Times New Roman"/>
          <w:sz w:val="24"/>
          <w:szCs w:val="24"/>
        </w:rPr>
        <w:t xml:space="preserve">  Even though the route of AA browning depends on factors such as temperature, pH, and oxygen level, the types of reactions are usually divided into aerobic and anaerobic pathways </w:t>
      </w:r>
      <w:r w:rsidRPr="004341B9">
        <w:rPr>
          <w:rFonts w:ascii="Times New Roman" w:hAnsi="Times New Roman"/>
          <w:noProof/>
          <w:sz w:val="24"/>
          <w:szCs w:val="24"/>
        </w:rPr>
        <w:t>(Wong 1989)</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jc w:val="both"/>
        <w:rPr>
          <w:rFonts w:ascii="Times New Roman" w:hAnsi="Times New Roman"/>
          <w:b/>
          <w:sz w:val="24"/>
          <w:szCs w:val="24"/>
        </w:rPr>
      </w:pPr>
    </w:p>
    <w:p w:rsidR="00D54621" w:rsidRPr="004341B9" w:rsidRDefault="00D54621" w:rsidP="004341B9">
      <w:pPr>
        <w:pStyle w:val="ListParagraph"/>
        <w:spacing w:after="0" w:line="360" w:lineRule="auto"/>
        <w:ind w:left="0"/>
        <w:rPr>
          <w:rFonts w:ascii="Times New Roman" w:hAnsi="Times New Roman"/>
          <w:b/>
          <w:i/>
          <w:sz w:val="24"/>
          <w:szCs w:val="24"/>
        </w:rPr>
      </w:pPr>
      <w:r w:rsidRPr="004341B9">
        <w:rPr>
          <w:rFonts w:ascii="Times New Roman" w:hAnsi="Times New Roman"/>
          <w:b/>
          <w:i/>
          <w:sz w:val="24"/>
          <w:szCs w:val="24"/>
        </w:rPr>
        <w:t>Types of degradation</w:t>
      </w:r>
    </w:p>
    <w:p w:rsidR="00D54621" w:rsidRPr="004341B9" w:rsidRDefault="00D54621" w:rsidP="004341B9">
      <w:pPr>
        <w:pStyle w:val="ListParagraph"/>
        <w:spacing w:after="0" w:line="360" w:lineRule="auto"/>
        <w:ind w:left="0"/>
        <w:rPr>
          <w:rFonts w:ascii="Times New Roman" w:hAnsi="Times New Roman"/>
          <w:i/>
          <w:sz w:val="24"/>
          <w:szCs w:val="24"/>
        </w:rPr>
      </w:pPr>
      <w:r w:rsidRPr="004341B9">
        <w:rPr>
          <w:rFonts w:ascii="Times New Roman" w:hAnsi="Times New Roman"/>
          <w:i/>
          <w:sz w:val="24"/>
          <w:szCs w:val="24"/>
        </w:rPr>
        <w:t>Aerobic degradation</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Fig. 2 shows a proposed pathway for the degradation of AA under aerobic, acidic conditions </w:t>
      </w:r>
      <w:r w:rsidRPr="004341B9">
        <w:rPr>
          <w:rFonts w:ascii="Times New Roman" w:hAnsi="Times New Roman"/>
          <w:noProof/>
          <w:sz w:val="24"/>
          <w:szCs w:val="24"/>
        </w:rPr>
        <w:t>(Wong 1989)</w:t>
      </w:r>
      <w:r w:rsidRPr="004341B9">
        <w:rPr>
          <w:rFonts w:ascii="Times New Roman" w:hAnsi="Times New Roman"/>
          <w:sz w:val="24"/>
          <w:szCs w:val="24"/>
        </w:rPr>
        <w:t>.  First, AA is oxidized to DHAA.  This reaction can happen either by two one-electron transfer processes (2-1-e</w:t>
      </w:r>
      <w:r w:rsidRPr="004341B9">
        <w:rPr>
          <w:rFonts w:ascii="Times New Roman" w:hAnsi="Times New Roman"/>
          <w:sz w:val="24"/>
          <w:szCs w:val="24"/>
          <w:vertAlign w:val="superscript"/>
        </w:rPr>
        <w:t>-</w:t>
      </w:r>
      <w:r w:rsidRPr="004341B9">
        <w:rPr>
          <w:rFonts w:ascii="Times New Roman" w:hAnsi="Times New Roman"/>
          <w:sz w:val="24"/>
          <w:szCs w:val="24"/>
        </w:rPr>
        <w:t>) or a single two-electron reaction (1-2-e</w:t>
      </w:r>
      <w:r w:rsidRPr="004341B9">
        <w:rPr>
          <w:rFonts w:ascii="Times New Roman" w:hAnsi="Times New Roman"/>
          <w:sz w:val="24"/>
          <w:szCs w:val="24"/>
          <w:vertAlign w:val="superscript"/>
        </w:rPr>
        <w:t>-</w:t>
      </w:r>
      <w:r w:rsidRPr="004341B9">
        <w:rPr>
          <w:rFonts w:ascii="Times New Roman" w:hAnsi="Times New Roman"/>
          <w:sz w:val="24"/>
          <w:szCs w:val="24"/>
        </w:rPr>
        <w:t>).  In the 2-1-e</w:t>
      </w:r>
      <w:r w:rsidRPr="004341B9">
        <w:rPr>
          <w:rFonts w:ascii="Times New Roman" w:hAnsi="Times New Roman"/>
          <w:sz w:val="24"/>
          <w:szCs w:val="24"/>
          <w:vertAlign w:val="superscript"/>
        </w:rPr>
        <w:t>-</w:t>
      </w:r>
      <w:r w:rsidRPr="004341B9">
        <w:rPr>
          <w:rFonts w:ascii="Times New Roman" w:hAnsi="Times New Roman"/>
          <w:sz w:val="24"/>
          <w:szCs w:val="24"/>
        </w:rPr>
        <w:t xml:space="preserve"> transfer, the first product formed is semi-dehydroascrobic acid (AH</w:t>
      </w:r>
      <w:r w:rsidRPr="004341B9">
        <w:rPr>
          <w:rFonts w:ascii="Times New Roman" w:hAnsi="Times New Roman"/>
          <w:b/>
          <w:sz w:val="24"/>
          <w:szCs w:val="24"/>
        </w:rPr>
        <w:t>˙)</w:t>
      </w:r>
      <w:r w:rsidRPr="004341B9">
        <w:rPr>
          <w:rFonts w:ascii="Times New Roman" w:hAnsi="Times New Roman"/>
          <w:sz w:val="24"/>
          <w:szCs w:val="24"/>
        </w:rPr>
        <w:t xml:space="preserve">.  Subsequent loss of a second electron yields DHAA.  </w:t>
      </w:r>
      <w:proofErr w:type="gramStart"/>
      <w:r w:rsidRPr="004341B9">
        <w:rPr>
          <w:rFonts w:ascii="Times New Roman" w:hAnsi="Times New Roman"/>
          <w:sz w:val="24"/>
          <w:szCs w:val="24"/>
        </w:rPr>
        <w:t>The 1-2-e</w:t>
      </w:r>
      <w:r w:rsidRPr="004341B9">
        <w:rPr>
          <w:rFonts w:ascii="Times New Roman" w:hAnsi="Times New Roman"/>
          <w:sz w:val="24"/>
          <w:szCs w:val="24"/>
          <w:vertAlign w:val="superscript"/>
        </w:rPr>
        <w:t>-</w:t>
      </w:r>
      <w:r w:rsidRPr="004341B9">
        <w:rPr>
          <w:rFonts w:ascii="Times New Roman" w:hAnsi="Times New Roman"/>
          <w:sz w:val="24"/>
          <w:szCs w:val="24"/>
        </w:rPr>
        <w:t xml:space="preserve"> reaction results in the formation of an ascorbate-oxygen-metal catalyst complex.</w:t>
      </w:r>
      <w:proofErr w:type="gramEnd"/>
      <w:r w:rsidRPr="004341B9">
        <w:rPr>
          <w:rFonts w:ascii="Times New Roman" w:hAnsi="Times New Roman"/>
          <w:sz w:val="24"/>
          <w:szCs w:val="24"/>
        </w:rPr>
        <w:t xml:space="preserve">  The formation of DHAA is direct with a two-electron process </w:t>
      </w:r>
      <w:r w:rsidRPr="004341B9">
        <w:rPr>
          <w:rFonts w:ascii="Times New Roman" w:hAnsi="Times New Roman"/>
          <w:noProof/>
          <w:sz w:val="24"/>
          <w:szCs w:val="24"/>
        </w:rPr>
        <w:t>(Fennema 1996)</w:t>
      </w:r>
      <w:r w:rsidRPr="004341B9">
        <w:rPr>
          <w:rFonts w:ascii="Times New Roman" w:hAnsi="Times New Roman"/>
          <w:sz w:val="24"/>
          <w:szCs w:val="24"/>
        </w:rPr>
        <w:t xml:space="preserve">.  This last reaction increases when acidity is decreased (i.e., pH increased) from pH 1.5 to 3.5 </w:t>
      </w:r>
      <w:r w:rsidRPr="004341B9">
        <w:rPr>
          <w:rFonts w:ascii="Times New Roman" w:hAnsi="Times New Roman"/>
          <w:noProof/>
          <w:sz w:val="24"/>
          <w:szCs w:val="24"/>
        </w:rPr>
        <w:t>(Liao and Seib 1988)</w:t>
      </w:r>
      <w:r w:rsidRPr="004341B9">
        <w:rPr>
          <w:rFonts w:ascii="Times New Roman" w:hAnsi="Times New Roman"/>
          <w:sz w:val="24"/>
          <w:szCs w:val="24"/>
        </w:rPr>
        <w:t xml:space="preserve">.    </w:t>
      </w:r>
    </w:p>
    <w:p w:rsidR="00D54621" w:rsidRPr="00C70534" w:rsidRDefault="00D54621" w:rsidP="004341B9">
      <w:pPr>
        <w:pStyle w:val="ListParagraph"/>
        <w:spacing w:after="0" w:line="360" w:lineRule="auto"/>
        <w:ind w:left="0"/>
        <w:jc w:val="both"/>
        <w:rPr>
          <w:rFonts w:ascii="Times New Roman" w:hAnsi="Times New Roman"/>
          <w:sz w:val="28"/>
          <w:szCs w:val="28"/>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 DHAA is not stable and its lactone ring is easily cleaved to 2</w:t>
      </w:r>
      <w:proofErr w:type="gramStart"/>
      <w:r w:rsidRPr="004341B9">
        <w:rPr>
          <w:rFonts w:ascii="Times New Roman" w:hAnsi="Times New Roman"/>
          <w:sz w:val="24"/>
          <w:szCs w:val="24"/>
        </w:rPr>
        <w:t>,3</w:t>
      </w:r>
      <w:proofErr w:type="gramEnd"/>
      <w:r w:rsidRPr="004341B9">
        <w:rPr>
          <w:rFonts w:ascii="Times New Roman" w:hAnsi="Times New Roman"/>
          <w:sz w:val="24"/>
          <w:szCs w:val="24"/>
        </w:rPr>
        <w:t xml:space="preserve">-diketogulonic acid </w:t>
      </w:r>
      <w:r w:rsidRPr="004341B9">
        <w:rPr>
          <w:rFonts w:ascii="Times New Roman" w:hAnsi="Times New Roman"/>
          <w:noProof/>
          <w:sz w:val="24"/>
          <w:szCs w:val="24"/>
        </w:rPr>
        <w:t>(Wong 1989)</w:t>
      </w:r>
      <w:r w:rsidRPr="004341B9">
        <w:rPr>
          <w:rFonts w:ascii="Times New Roman" w:hAnsi="Times New Roman"/>
          <w:sz w:val="24"/>
          <w:szCs w:val="24"/>
        </w:rPr>
        <w:t>.  This hydrolysis to 2</w:t>
      </w:r>
      <w:proofErr w:type="gramStart"/>
      <w:r w:rsidRPr="004341B9">
        <w:rPr>
          <w:rFonts w:ascii="Times New Roman" w:hAnsi="Times New Roman"/>
          <w:sz w:val="24"/>
          <w:szCs w:val="24"/>
        </w:rPr>
        <w:t>,3</w:t>
      </w:r>
      <w:proofErr w:type="gramEnd"/>
      <w:r w:rsidRPr="004341B9">
        <w:rPr>
          <w:rFonts w:ascii="Times New Roman" w:hAnsi="Times New Roman"/>
          <w:sz w:val="24"/>
          <w:szCs w:val="24"/>
        </w:rPr>
        <w:t xml:space="preserve">-diketogulonic acid, which is irreversible, is responsible for loss of vitamin C activity.  In fact, DHAA presents approximately the same vitamin activity as AA due to its reduction to AA by enzymes in some tissues.  It has been shown that this </w:t>
      </w:r>
      <w:r w:rsidRPr="004341B9">
        <w:rPr>
          <w:rFonts w:ascii="Times New Roman" w:hAnsi="Times New Roman"/>
          <w:sz w:val="24"/>
          <w:szCs w:val="24"/>
        </w:rPr>
        <w:lastRenderedPageBreak/>
        <w:t xml:space="preserve">hydrolysis is favored by alkaline conditions.  Indeed, at pH 2.5-5.5, DHAA has its maximum stability.  At pH&gt;5.5, the stability of DHAA is very poor.  In addition, there are results that demonstrate that this reaction is not affected by the presence of oxygen, but it is affected by an increase in temperature.  Because of the facile formation of DHAA, this reaction represents an important and, frequently, rate-limiting aspect of the aerobic degradation of AA </w:t>
      </w:r>
      <w:r w:rsidRPr="004341B9">
        <w:rPr>
          <w:rFonts w:ascii="Times New Roman" w:hAnsi="Times New Roman"/>
          <w:noProof/>
          <w:sz w:val="24"/>
          <w:szCs w:val="24"/>
        </w:rPr>
        <w:t>(Fennema 1996)</w:t>
      </w:r>
      <w:r w:rsidRPr="004341B9">
        <w:rPr>
          <w:rFonts w:ascii="Times New Roman" w:hAnsi="Times New Roman"/>
          <w:sz w:val="24"/>
          <w:szCs w:val="24"/>
        </w:rPr>
        <w:t>.</w:t>
      </w:r>
    </w:p>
    <w:p w:rsidR="00D54621" w:rsidRPr="00C70534" w:rsidRDefault="00D54621" w:rsidP="004341B9">
      <w:pPr>
        <w:pStyle w:val="ListParagraph"/>
        <w:spacing w:after="0" w:line="360" w:lineRule="auto"/>
        <w:ind w:left="0"/>
        <w:jc w:val="both"/>
        <w:rPr>
          <w:rFonts w:ascii="Times New Roman" w:hAnsi="Times New Roman"/>
          <w:sz w:val="30"/>
          <w:szCs w:val="30"/>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L-xylosone is formed after the decarboxylation of 2</w:t>
      </w:r>
      <w:proofErr w:type="gramStart"/>
      <w:r w:rsidRPr="004341B9">
        <w:rPr>
          <w:rFonts w:ascii="Times New Roman" w:hAnsi="Times New Roman"/>
          <w:sz w:val="24"/>
          <w:szCs w:val="24"/>
        </w:rPr>
        <w:t>,3</w:t>
      </w:r>
      <w:proofErr w:type="gramEnd"/>
      <w:r w:rsidRPr="004341B9">
        <w:rPr>
          <w:rFonts w:ascii="Times New Roman" w:hAnsi="Times New Roman"/>
          <w:sz w:val="24"/>
          <w:szCs w:val="24"/>
        </w:rPr>
        <w:t>-diketogulonic acid.  After a 2</w:t>
      </w:r>
      <w:proofErr w:type="gramStart"/>
      <w:r w:rsidRPr="004341B9">
        <w:rPr>
          <w:rFonts w:ascii="Times New Roman" w:hAnsi="Times New Roman"/>
          <w:sz w:val="24"/>
          <w:szCs w:val="24"/>
        </w:rPr>
        <w:t>,3</w:t>
      </w:r>
      <w:proofErr w:type="gramEnd"/>
      <w:r w:rsidRPr="004341B9">
        <w:rPr>
          <w:rFonts w:ascii="Times New Roman" w:hAnsi="Times New Roman"/>
          <w:sz w:val="24"/>
          <w:szCs w:val="24"/>
        </w:rPr>
        <w:t>-enolization and dehydration, a tricarbonyl compound, 3-keto-4-deoxypentosulose is produced.  This same compound can be obtained from a 3</w:t>
      </w:r>
      <w:proofErr w:type="gramStart"/>
      <w:r w:rsidRPr="004341B9">
        <w:rPr>
          <w:rFonts w:ascii="Times New Roman" w:hAnsi="Times New Roman"/>
          <w:sz w:val="24"/>
          <w:szCs w:val="24"/>
        </w:rPr>
        <w:t>,4</w:t>
      </w:r>
      <w:proofErr w:type="gramEnd"/>
      <w:r w:rsidRPr="004341B9">
        <w:rPr>
          <w:rFonts w:ascii="Times New Roman" w:hAnsi="Times New Roman"/>
          <w:sz w:val="24"/>
          <w:szCs w:val="24"/>
        </w:rPr>
        <w:t xml:space="preserve">-enolization of the 2,3- diketogulonic acid.  This last route seems to be the major pathway (Fig. 2) </w:t>
      </w:r>
      <w:r w:rsidRPr="004341B9">
        <w:rPr>
          <w:rFonts w:ascii="Times New Roman" w:hAnsi="Times New Roman"/>
          <w:noProof/>
          <w:sz w:val="24"/>
          <w:szCs w:val="24"/>
        </w:rPr>
        <w:t>(Wong 1989)</w:t>
      </w:r>
      <w:r w:rsidRPr="004341B9">
        <w:rPr>
          <w:rFonts w:ascii="Times New Roman" w:hAnsi="Times New Roman"/>
          <w:sz w:val="24"/>
          <w:szCs w:val="24"/>
        </w:rPr>
        <w:t>.</w:t>
      </w:r>
    </w:p>
    <w:p w:rsidR="00D54621" w:rsidRPr="00C70534" w:rsidRDefault="00D54621" w:rsidP="004341B9">
      <w:pPr>
        <w:pStyle w:val="ListParagraph"/>
        <w:spacing w:after="0" w:line="360" w:lineRule="auto"/>
        <w:ind w:left="0" w:firstLine="708"/>
        <w:jc w:val="both"/>
        <w:rPr>
          <w:rFonts w:ascii="Times New Roman" w:hAnsi="Times New Roman"/>
          <w:sz w:val="30"/>
          <w:szCs w:val="30"/>
        </w:rPr>
      </w:pPr>
    </w:p>
    <w:p w:rsidR="00D54621" w:rsidRPr="004341B9" w:rsidRDefault="00D54621" w:rsidP="004341B9">
      <w:pPr>
        <w:pStyle w:val="ListParagraph"/>
        <w:spacing w:after="0" w:line="360" w:lineRule="auto"/>
        <w:ind w:left="0"/>
        <w:rPr>
          <w:rFonts w:ascii="Times New Roman" w:hAnsi="Times New Roman"/>
          <w:i/>
          <w:sz w:val="24"/>
          <w:szCs w:val="24"/>
        </w:rPr>
      </w:pPr>
      <w:r w:rsidRPr="004341B9">
        <w:rPr>
          <w:rFonts w:ascii="Times New Roman" w:hAnsi="Times New Roman"/>
          <w:i/>
          <w:sz w:val="24"/>
          <w:szCs w:val="24"/>
        </w:rPr>
        <w:t>Anaerobic degradation</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Under anaerobic conditions, the reactions involved are slow compared with oxidative degradation; however, they can be accelerated by lowering the pH.  In fact, the maximum rate of anaerobic degradation occurs in the pH range of 3-4.  This mildly acidic environment indicates the importance of the pH on the opening of the lactone ring </w:t>
      </w:r>
      <w:r w:rsidRPr="004341B9">
        <w:rPr>
          <w:rFonts w:ascii="Times New Roman" w:hAnsi="Times New Roman"/>
          <w:noProof/>
          <w:sz w:val="24"/>
          <w:szCs w:val="24"/>
        </w:rPr>
        <w:t>(Fennema 1996)</w:t>
      </w:r>
      <w:r w:rsidRPr="004341B9">
        <w:rPr>
          <w:rFonts w:ascii="Times New Roman" w:hAnsi="Times New Roman"/>
          <w:sz w:val="24"/>
          <w:szCs w:val="24"/>
        </w:rPr>
        <w:t>.  In the initial step, the lactone ring is cleaved to form a 2</w:t>
      </w:r>
      <w:proofErr w:type="gramStart"/>
      <w:r w:rsidRPr="004341B9">
        <w:rPr>
          <w:rFonts w:ascii="Times New Roman" w:hAnsi="Times New Roman"/>
          <w:sz w:val="24"/>
          <w:szCs w:val="24"/>
        </w:rPr>
        <w:t>,3</w:t>
      </w:r>
      <w:proofErr w:type="gramEnd"/>
      <w:r w:rsidRPr="004341B9">
        <w:rPr>
          <w:rFonts w:ascii="Times New Roman" w:hAnsi="Times New Roman"/>
          <w:sz w:val="24"/>
          <w:szCs w:val="24"/>
        </w:rPr>
        <w:t>-</w:t>
      </w:r>
      <w:r w:rsidR="00E653ED">
        <w:rPr>
          <w:rFonts w:ascii="Times New Roman" w:hAnsi="Times New Roman"/>
          <w:sz w:val="24"/>
          <w:szCs w:val="24"/>
        </w:rPr>
        <w:t>enediol</w:t>
      </w:r>
      <w:r w:rsidRPr="004341B9">
        <w:rPr>
          <w:rFonts w:ascii="Times New Roman" w:hAnsi="Times New Roman"/>
          <w:sz w:val="24"/>
          <w:szCs w:val="24"/>
        </w:rPr>
        <w:t>.  After dehydration and rearrangement, this compound produces a 2</w:t>
      </w:r>
      <w:proofErr w:type="gramStart"/>
      <w:r w:rsidRPr="004341B9">
        <w:rPr>
          <w:rFonts w:ascii="Times New Roman" w:hAnsi="Times New Roman"/>
          <w:sz w:val="24"/>
          <w:szCs w:val="24"/>
        </w:rPr>
        <w:t>,3</w:t>
      </w:r>
      <w:proofErr w:type="gramEnd"/>
      <w:r w:rsidRPr="004341B9">
        <w:rPr>
          <w:rFonts w:ascii="Times New Roman" w:hAnsi="Times New Roman"/>
          <w:sz w:val="24"/>
          <w:szCs w:val="24"/>
        </w:rPr>
        <w:t xml:space="preserve">-diketo acid.  Decarboxylation of the diketo acid produces the 3-deoxy-L-pentosulose, which corresponds to the 3-deoxyglycosulose in the maillard reaction.  As we can see in Figure 3, furfural is formed after dehydration of the 3-deoxyglycosulose </w:t>
      </w:r>
      <w:r w:rsidRPr="004341B9">
        <w:rPr>
          <w:rFonts w:ascii="Times New Roman" w:hAnsi="Times New Roman"/>
          <w:noProof/>
          <w:sz w:val="24"/>
          <w:szCs w:val="24"/>
        </w:rPr>
        <w:t>(Wong 1989)</w:t>
      </w:r>
      <w:r w:rsidRPr="004341B9">
        <w:rPr>
          <w:rFonts w:ascii="Times New Roman" w:hAnsi="Times New Roman"/>
          <w:sz w:val="24"/>
          <w:szCs w:val="24"/>
        </w:rPr>
        <w:t>.</w:t>
      </w:r>
    </w:p>
    <w:p w:rsidR="00D54621" w:rsidRPr="00C70534" w:rsidRDefault="00D54621" w:rsidP="004341B9">
      <w:pPr>
        <w:pStyle w:val="ListParagraph"/>
        <w:spacing w:after="0" w:line="360" w:lineRule="auto"/>
        <w:ind w:left="0"/>
        <w:rPr>
          <w:rFonts w:ascii="Times New Roman" w:hAnsi="Times New Roman"/>
          <w:sz w:val="30"/>
          <w:szCs w:val="30"/>
        </w:rPr>
      </w:pPr>
    </w:p>
    <w:p w:rsidR="00D54621" w:rsidRPr="004341B9" w:rsidRDefault="00D54621" w:rsidP="004341B9">
      <w:pPr>
        <w:pStyle w:val="ListParagraph"/>
        <w:spacing w:after="0" w:line="360" w:lineRule="auto"/>
        <w:ind w:left="0"/>
        <w:rPr>
          <w:rFonts w:ascii="Times New Roman" w:hAnsi="Times New Roman"/>
          <w:b/>
          <w:i/>
          <w:sz w:val="24"/>
          <w:szCs w:val="24"/>
        </w:rPr>
      </w:pPr>
      <w:r w:rsidRPr="004341B9">
        <w:rPr>
          <w:rFonts w:ascii="Times New Roman" w:hAnsi="Times New Roman"/>
          <w:b/>
          <w:i/>
          <w:sz w:val="24"/>
          <w:szCs w:val="24"/>
        </w:rPr>
        <w:t>Factors that enhance the degradation of the L-ascorbic acid</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Several factors can affect the rate, mechanism and qualitative nature of AA browning; however, pH, oxygen concentration and the presence of metal catalysts have the most influence </w:t>
      </w:r>
      <w:r w:rsidRPr="004341B9">
        <w:rPr>
          <w:rFonts w:ascii="Times New Roman" w:hAnsi="Times New Roman"/>
          <w:noProof/>
          <w:sz w:val="24"/>
          <w:szCs w:val="24"/>
        </w:rPr>
        <w:t>(Fennema 1996)</w:t>
      </w:r>
      <w:r w:rsidRPr="004341B9">
        <w:rPr>
          <w:rFonts w:ascii="Times New Roman" w:hAnsi="Times New Roman"/>
          <w:sz w:val="24"/>
          <w:szCs w:val="24"/>
        </w:rPr>
        <w:t xml:space="preserve">. </w:t>
      </w:r>
    </w:p>
    <w:p w:rsidR="00D54621" w:rsidRPr="00C70534" w:rsidRDefault="00D54621" w:rsidP="004341B9">
      <w:pPr>
        <w:pStyle w:val="ListParagraph"/>
        <w:spacing w:after="0" w:line="360" w:lineRule="auto"/>
        <w:ind w:left="0"/>
        <w:jc w:val="both"/>
        <w:rPr>
          <w:rFonts w:ascii="Times New Roman" w:hAnsi="Times New Roman"/>
          <w:sz w:val="30"/>
          <w:szCs w:val="30"/>
        </w:rPr>
      </w:pPr>
    </w:p>
    <w:p w:rsidR="00D54621" w:rsidRPr="004341B9" w:rsidRDefault="00D54621" w:rsidP="004341B9">
      <w:pPr>
        <w:pStyle w:val="ListParagraph"/>
        <w:spacing w:after="0" w:line="360" w:lineRule="auto"/>
        <w:ind w:left="0"/>
        <w:rPr>
          <w:rFonts w:ascii="Times New Roman" w:hAnsi="Times New Roman"/>
          <w:i/>
          <w:sz w:val="24"/>
          <w:szCs w:val="24"/>
        </w:rPr>
      </w:pPr>
      <w:r w:rsidRPr="004341B9">
        <w:rPr>
          <w:rFonts w:ascii="Times New Roman" w:hAnsi="Times New Roman"/>
          <w:i/>
          <w:sz w:val="24"/>
          <w:szCs w:val="24"/>
        </w:rPr>
        <w:t>Metal ions</w:t>
      </w:r>
    </w:p>
    <w:p w:rsidR="00D54621" w:rsidRPr="004341B9" w:rsidRDefault="00D54621" w:rsidP="004341B9">
      <w:pPr>
        <w:pStyle w:val="ListParagraph"/>
        <w:spacing w:after="0" w:line="360" w:lineRule="auto"/>
        <w:ind w:left="0" w:firstLine="706"/>
        <w:jc w:val="both"/>
        <w:rPr>
          <w:rFonts w:ascii="Times New Roman" w:hAnsi="Times New Roman"/>
          <w:sz w:val="24"/>
          <w:szCs w:val="24"/>
        </w:rPr>
      </w:pPr>
      <w:r w:rsidRPr="004341B9">
        <w:rPr>
          <w:rFonts w:ascii="Times New Roman" w:hAnsi="Times New Roman"/>
          <w:sz w:val="24"/>
          <w:szCs w:val="24"/>
        </w:rPr>
        <w:t xml:space="preserve">As mentioned earlier, DHAA is formed either by a two sequential one-electron transfer mechanism or by a single two-electron reaction </w:t>
      </w:r>
      <w:r w:rsidRPr="004341B9">
        <w:rPr>
          <w:rFonts w:ascii="Times New Roman" w:hAnsi="Times New Roman"/>
          <w:noProof/>
          <w:sz w:val="24"/>
          <w:szCs w:val="24"/>
        </w:rPr>
        <w:t>(Fennema 1996)</w:t>
      </w:r>
      <w:r w:rsidRPr="004341B9">
        <w:rPr>
          <w:rFonts w:ascii="Times New Roman" w:hAnsi="Times New Roman"/>
          <w:sz w:val="24"/>
          <w:szCs w:val="24"/>
        </w:rPr>
        <w:t xml:space="preserve">.  Metal ions can participate in </w:t>
      </w:r>
      <w:r w:rsidRPr="004341B9">
        <w:rPr>
          <w:rFonts w:ascii="Times New Roman" w:hAnsi="Times New Roman"/>
          <w:sz w:val="24"/>
          <w:szCs w:val="24"/>
        </w:rPr>
        <w:lastRenderedPageBreak/>
        <w:t xml:space="preserve">either of these two mechanisms </w:t>
      </w:r>
      <w:r w:rsidRPr="004341B9">
        <w:rPr>
          <w:rFonts w:ascii="Times New Roman" w:hAnsi="Times New Roman"/>
          <w:noProof/>
          <w:sz w:val="24"/>
          <w:szCs w:val="24"/>
        </w:rPr>
        <w:t>(Wong 1989)</w:t>
      </w:r>
      <w:r w:rsidRPr="004341B9">
        <w:rPr>
          <w:rFonts w:ascii="Times New Roman" w:hAnsi="Times New Roman"/>
          <w:sz w:val="24"/>
          <w:szCs w:val="24"/>
        </w:rPr>
        <w:t xml:space="preserve">.  In the first type of reaction, the metal ion acts as the oxidizing agent while in the second type, it acts as a catalyst of the formation of the ascorbate-metal-dioxygen complex.  In this last reaction, hydrogen peroxide and DHAA are formed </w:t>
      </w:r>
      <w:r w:rsidRPr="004341B9">
        <w:rPr>
          <w:rFonts w:ascii="Times New Roman" w:hAnsi="Times New Roman"/>
          <w:noProof/>
          <w:sz w:val="24"/>
          <w:szCs w:val="24"/>
        </w:rPr>
        <w:t>(Wong 1989)</w:t>
      </w:r>
      <w:r w:rsidRPr="004341B9">
        <w:rPr>
          <w:rFonts w:ascii="Times New Roman" w:hAnsi="Times New Roman"/>
          <w:sz w:val="24"/>
          <w:szCs w:val="24"/>
        </w:rPr>
        <w:t>.</w:t>
      </w:r>
    </w:p>
    <w:p w:rsidR="00D54621" w:rsidRPr="00C70534" w:rsidRDefault="00D54621" w:rsidP="004341B9">
      <w:pPr>
        <w:pStyle w:val="ListParagraph"/>
        <w:spacing w:after="0" w:line="360" w:lineRule="auto"/>
        <w:ind w:left="0" w:firstLine="706"/>
        <w:jc w:val="both"/>
        <w:rPr>
          <w:rFonts w:ascii="Times New Roman" w:hAnsi="Times New Roman"/>
          <w:sz w:val="28"/>
          <w:szCs w:val="28"/>
        </w:rPr>
      </w:pPr>
      <w:r w:rsidRPr="004341B9">
        <w:rPr>
          <w:rFonts w:ascii="Times New Roman" w:hAnsi="Times New Roman"/>
          <w:sz w:val="24"/>
          <w:szCs w:val="24"/>
        </w:rPr>
        <w:t xml:space="preserve"> </w:t>
      </w:r>
    </w:p>
    <w:p w:rsidR="00D54621" w:rsidRPr="004341B9" w:rsidRDefault="00D54621" w:rsidP="00653C53">
      <w:pPr>
        <w:pStyle w:val="ListParagraph"/>
        <w:spacing w:after="0" w:line="360" w:lineRule="auto"/>
        <w:ind w:left="0" w:firstLine="706"/>
        <w:jc w:val="both"/>
        <w:rPr>
          <w:rFonts w:ascii="Times New Roman" w:hAnsi="Times New Roman"/>
          <w:sz w:val="24"/>
          <w:szCs w:val="24"/>
        </w:rPr>
      </w:pPr>
      <w:r w:rsidRPr="004341B9">
        <w:rPr>
          <w:rFonts w:ascii="Times New Roman" w:hAnsi="Times New Roman"/>
          <w:sz w:val="24"/>
          <w:szCs w:val="24"/>
        </w:rPr>
        <w:t xml:space="preserve">Evidence indicates that oxidation uncatalysed by metals is not significant, and that the oxidative degradation is mostly via pathways involving trace metals </w:t>
      </w:r>
      <w:r w:rsidRPr="004341B9">
        <w:rPr>
          <w:rFonts w:ascii="Times New Roman" w:hAnsi="Times New Roman"/>
          <w:noProof/>
          <w:sz w:val="24"/>
          <w:szCs w:val="24"/>
        </w:rPr>
        <w:t>(Fennema 1996)</w:t>
      </w:r>
      <w:r w:rsidRPr="004341B9">
        <w:rPr>
          <w:rFonts w:ascii="Times New Roman" w:hAnsi="Times New Roman"/>
          <w:sz w:val="24"/>
          <w:szCs w:val="24"/>
        </w:rPr>
        <w:t>.  In fact, it has been reported that degradation of AA is observed to be first order with respect to the concentration of metals, and the rate constant is 6x10</w:t>
      </w:r>
      <w:r w:rsidRPr="004341B9">
        <w:rPr>
          <w:rFonts w:ascii="Times New Roman" w:hAnsi="Times New Roman"/>
          <w:sz w:val="24"/>
          <w:szCs w:val="24"/>
          <w:vertAlign w:val="superscript"/>
        </w:rPr>
        <w:t>-7</w:t>
      </w:r>
      <w:r w:rsidRPr="004341B9">
        <w:rPr>
          <w:rFonts w:ascii="Times New Roman" w:hAnsi="Times New Roman"/>
          <w:sz w:val="24"/>
          <w:szCs w:val="24"/>
        </w:rPr>
        <w:t xml:space="preserve"> sec</w:t>
      </w:r>
      <w:r w:rsidRPr="004341B9">
        <w:rPr>
          <w:rFonts w:ascii="Times New Roman" w:hAnsi="Times New Roman"/>
          <w:sz w:val="24"/>
          <w:szCs w:val="24"/>
          <w:vertAlign w:val="superscript"/>
        </w:rPr>
        <w:t>-1</w:t>
      </w:r>
      <w:r w:rsidRPr="004341B9">
        <w:rPr>
          <w:rFonts w:ascii="Times New Roman" w:hAnsi="Times New Roman"/>
          <w:sz w:val="24"/>
          <w:szCs w:val="24"/>
        </w:rPr>
        <w:t xml:space="preserve"> in an air-saturated solution at pH 7.0 </w:t>
      </w:r>
      <w:r w:rsidRPr="004341B9">
        <w:rPr>
          <w:rFonts w:ascii="Times New Roman" w:hAnsi="Times New Roman"/>
          <w:noProof/>
          <w:sz w:val="24"/>
          <w:szCs w:val="24"/>
        </w:rPr>
        <w:t>(Buettner 1988)</w:t>
      </w:r>
      <w:r w:rsidRPr="004341B9">
        <w:rPr>
          <w:rFonts w:ascii="Times New Roman" w:hAnsi="Times New Roman"/>
          <w:sz w:val="24"/>
          <w:szCs w:val="24"/>
        </w:rPr>
        <w:t>.  Among metal ions, Cu</w:t>
      </w:r>
      <w:r w:rsidRPr="004341B9">
        <w:rPr>
          <w:rFonts w:ascii="Times New Roman" w:hAnsi="Times New Roman"/>
          <w:sz w:val="24"/>
          <w:szCs w:val="24"/>
          <w:vertAlign w:val="superscript"/>
        </w:rPr>
        <w:t>2+</w:t>
      </w:r>
      <w:r w:rsidRPr="004341B9">
        <w:rPr>
          <w:rFonts w:ascii="Times New Roman" w:hAnsi="Times New Roman"/>
          <w:sz w:val="24"/>
          <w:szCs w:val="24"/>
        </w:rPr>
        <w:t xml:space="preserve"> and Fe</w:t>
      </w:r>
      <w:r w:rsidRPr="004341B9">
        <w:rPr>
          <w:rFonts w:ascii="Times New Roman" w:hAnsi="Times New Roman"/>
          <w:sz w:val="24"/>
          <w:szCs w:val="24"/>
          <w:vertAlign w:val="superscript"/>
        </w:rPr>
        <w:t>3+</w:t>
      </w:r>
      <w:r w:rsidRPr="004341B9">
        <w:rPr>
          <w:rFonts w:ascii="Times New Roman" w:hAnsi="Times New Roman"/>
          <w:sz w:val="24"/>
          <w:szCs w:val="24"/>
        </w:rPr>
        <w:t xml:space="preserve"> are the most important participants </w:t>
      </w:r>
      <w:r w:rsidRPr="004341B9">
        <w:rPr>
          <w:rFonts w:ascii="Times New Roman" w:hAnsi="Times New Roman"/>
          <w:noProof/>
          <w:sz w:val="24"/>
          <w:szCs w:val="24"/>
        </w:rPr>
        <w:t>(Belitz and others 2004)</w:t>
      </w:r>
      <w:r w:rsidRPr="004341B9">
        <w:rPr>
          <w:rFonts w:ascii="Times New Roman" w:hAnsi="Times New Roman"/>
          <w:sz w:val="24"/>
          <w:szCs w:val="24"/>
        </w:rPr>
        <w:t xml:space="preserve">. </w:t>
      </w:r>
    </w:p>
    <w:p w:rsidR="00D54621" w:rsidRPr="004341B9" w:rsidRDefault="00D54621" w:rsidP="00653C53">
      <w:pPr>
        <w:pStyle w:val="ListParagraph"/>
        <w:spacing w:after="0" w:line="360" w:lineRule="auto"/>
        <w:ind w:left="0"/>
        <w:jc w:val="both"/>
        <w:rPr>
          <w:rFonts w:ascii="Times New Roman" w:hAnsi="Times New Roman"/>
          <w:sz w:val="28"/>
          <w:szCs w:val="28"/>
        </w:rPr>
      </w:pPr>
    </w:p>
    <w:p w:rsidR="00D54621" w:rsidRPr="004341B9" w:rsidRDefault="00D54621" w:rsidP="00653C53">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The potency of the reactions depends on the metal involved, its oxidation state and the presence of chelators.  In reference to the chelators, their role is not predictable, since Fe</w:t>
      </w:r>
      <w:r w:rsidRPr="004341B9">
        <w:rPr>
          <w:rFonts w:ascii="Times New Roman" w:hAnsi="Times New Roman"/>
          <w:sz w:val="24"/>
          <w:szCs w:val="24"/>
          <w:vertAlign w:val="superscript"/>
        </w:rPr>
        <w:t>3+</w:t>
      </w:r>
      <w:r w:rsidRPr="004341B9">
        <w:rPr>
          <w:rFonts w:ascii="Times New Roman" w:hAnsi="Times New Roman"/>
          <w:sz w:val="24"/>
          <w:szCs w:val="24"/>
        </w:rPr>
        <w:t xml:space="preserve"> shows an enhanced catalytic activity when it is chelated by EDTA while Cu</w:t>
      </w:r>
      <w:r w:rsidRPr="004341B9">
        <w:rPr>
          <w:rFonts w:ascii="Times New Roman" w:hAnsi="Times New Roman"/>
          <w:sz w:val="24"/>
          <w:szCs w:val="24"/>
          <w:vertAlign w:val="superscript"/>
        </w:rPr>
        <w:t>2+</w:t>
      </w:r>
      <w:r w:rsidRPr="004341B9">
        <w:rPr>
          <w:rFonts w:ascii="Times New Roman" w:hAnsi="Times New Roman"/>
          <w:sz w:val="24"/>
          <w:szCs w:val="24"/>
        </w:rPr>
        <w:t xml:space="preserve"> is inhibited under the same conditions </w:t>
      </w:r>
      <w:r w:rsidRPr="004341B9">
        <w:rPr>
          <w:rFonts w:ascii="Times New Roman" w:hAnsi="Times New Roman"/>
          <w:noProof/>
          <w:sz w:val="24"/>
          <w:szCs w:val="24"/>
        </w:rPr>
        <w:t>(Fennema 1996)</w:t>
      </w:r>
      <w:r w:rsidRPr="004341B9">
        <w:rPr>
          <w:rFonts w:ascii="Times New Roman" w:hAnsi="Times New Roman"/>
          <w:sz w:val="24"/>
          <w:szCs w:val="24"/>
        </w:rPr>
        <w:t xml:space="preserve">.  Also, it has been noted that browning is enhanced and retarded by the </w:t>
      </w:r>
      <w:proofErr w:type="gramStart"/>
      <w:r w:rsidRPr="004341B9">
        <w:rPr>
          <w:rFonts w:ascii="Times New Roman" w:hAnsi="Times New Roman"/>
          <w:sz w:val="24"/>
          <w:szCs w:val="24"/>
        </w:rPr>
        <w:t>chelators</w:t>
      </w:r>
      <w:proofErr w:type="gramEnd"/>
      <w:r w:rsidRPr="004341B9">
        <w:rPr>
          <w:rFonts w:ascii="Times New Roman" w:hAnsi="Times New Roman"/>
          <w:sz w:val="24"/>
          <w:szCs w:val="24"/>
        </w:rPr>
        <w:t xml:space="preserve"> nitriltriacetic acid (NTA) and diethylenetriamine pentaacetic acid (DTPA) respectively.  Finally, another metal chelator that has been shown to enhance AA degradation is citric acid </w:t>
      </w:r>
      <w:r w:rsidRPr="004341B9">
        <w:rPr>
          <w:rFonts w:ascii="Times New Roman" w:hAnsi="Times New Roman"/>
          <w:noProof/>
          <w:sz w:val="24"/>
          <w:szCs w:val="24"/>
        </w:rPr>
        <w:t>(Shinoda and others 2004; Clegg 1964)</w:t>
      </w:r>
      <w:r w:rsidRPr="004341B9">
        <w:rPr>
          <w:rFonts w:ascii="Times New Roman" w:hAnsi="Times New Roman"/>
          <w:sz w:val="24"/>
          <w:szCs w:val="24"/>
        </w:rPr>
        <w:t>.</w:t>
      </w:r>
    </w:p>
    <w:p w:rsidR="00D54621" w:rsidRPr="004341B9" w:rsidRDefault="00D54621" w:rsidP="004341B9">
      <w:pPr>
        <w:pStyle w:val="ListParagraph"/>
        <w:spacing w:after="0" w:line="360" w:lineRule="auto"/>
        <w:ind w:left="0"/>
        <w:jc w:val="both"/>
        <w:rPr>
          <w:rFonts w:ascii="Times New Roman" w:hAnsi="Times New Roman"/>
          <w:sz w:val="28"/>
          <w:szCs w:val="28"/>
        </w:rPr>
      </w:pPr>
    </w:p>
    <w:p w:rsidR="00D54621" w:rsidRPr="004341B9" w:rsidRDefault="00D54621" w:rsidP="004341B9">
      <w:pPr>
        <w:pStyle w:val="ListParagraph"/>
        <w:spacing w:after="0" w:line="360" w:lineRule="auto"/>
        <w:ind w:left="0"/>
        <w:rPr>
          <w:rFonts w:ascii="Times New Roman" w:hAnsi="Times New Roman"/>
          <w:i/>
          <w:sz w:val="24"/>
          <w:szCs w:val="24"/>
        </w:rPr>
      </w:pPr>
      <w:proofErr w:type="gramStart"/>
      <w:r w:rsidRPr="004341B9">
        <w:rPr>
          <w:rFonts w:ascii="Times New Roman" w:hAnsi="Times New Roman"/>
          <w:i/>
          <w:sz w:val="24"/>
          <w:szCs w:val="24"/>
        </w:rPr>
        <w:t>pH</w:t>
      </w:r>
      <w:proofErr w:type="gramEnd"/>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AA has different ionic forms that exhibit different susceptibilities to oxidation.  The ascorbate dianion (A</w:t>
      </w:r>
      <w:r w:rsidRPr="004341B9">
        <w:rPr>
          <w:rFonts w:ascii="Times New Roman" w:hAnsi="Times New Roman"/>
          <w:sz w:val="24"/>
          <w:szCs w:val="24"/>
          <w:vertAlign w:val="superscript"/>
        </w:rPr>
        <w:t>2-</w:t>
      </w:r>
      <w:r w:rsidRPr="004341B9">
        <w:rPr>
          <w:rFonts w:ascii="Times New Roman" w:hAnsi="Times New Roman"/>
          <w:sz w:val="24"/>
          <w:szCs w:val="24"/>
        </w:rPr>
        <w:t>) has the greatest susceptibility to oxidation, followed by the ascorbate monoanion (AA</w:t>
      </w:r>
      <w:r w:rsidRPr="004341B9">
        <w:rPr>
          <w:rFonts w:ascii="Times New Roman" w:hAnsi="Times New Roman"/>
          <w:sz w:val="24"/>
          <w:szCs w:val="24"/>
          <w:vertAlign w:val="superscript"/>
        </w:rPr>
        <w:t>-</w:t>
      </w:r>
      <w:r w:rsidRPr="004341B9">
        <w:rPr>
          <w:rFonts w:ascii="Times New Roman" w:hAnsi="Times New Roman"/>
          <w:sz w:val="24"/>
          <w:szCs w:val="24"/>
        </w:rPr>
        <w:t>), and subsequently AA.  The concentrations of the different ionic forms depend on environmental pH.  Since most foods containing ascorbic acid are acidic (AA is unstable under neutral or alkaline conditions), AA oxidation is mostly governed by the concentrations of AA and AA</w:t>
      </w:r>
      <w:r w:rsidRPr="004341B9">
        <w:rPr>
          <w:rFonts w:ascii="Times New Roman" w:hAnsi="Times New Roman"/>
          <w:sz w:val="24"/>
          <w:szCs w:val="24"/>
          <w:vertAlign w:val="superscript"/>
        </w:rPr>
        <w:t>-</w:t>
      </w:r>
      <w:r w:rsidRPr="004341B9">
        <w:rPr>
          <w:rFonts w:ascii="Times New Roman" w:hAnsi="Times New Roman"/>
          <w:sz w:val="24"/>
          <w:szCs w:val="24"/>
        </w:rPr>
        <w:t xml:space="preserve"> (pK</w:t>
      </w:r>
      <w:r w:rsidRPr="004341B9">
        <w:rPr>
          <w:rFonts w:ascii="Times New Roman" w:hAnsi="Times New Roman"/>
          <w:sz w:val="24"/>
          <w:szCs w:val="24"/>
          <w:vertAlign w:val="subscript"/>
        </w:rPr>
        <w:t>a1</w:t>
      </w:r>
      <w:r w:rsidRPr="004341B9">
        <w:rPr>
          <w:rFonts w:ascii="Times New Roman" w:hAnsi="Times New Roman"/>
          <w:sz w:val="24"/>
          <w:szCs w:val="24"/>
        </w:rPr>
        <w:t>= 4.04).  At pH 8, the rate of oxidation increases, since there are significant concentrations of DHAA (pK</w:t>
      </w:r>
      <w:r w:rsidRPr="004341B9">
        <w:rPr>
          <w:rFonts w:ascii="Times New Roman" w:hAnsi="Times New Roman"/>
          <w:sz w:val="24"/>
          <w:szCs w:val="24"/>
          <w:vertAlign w:val="subscript"/>
        </w:rPr>
        <w:t>a2</w:t>
      </w:r>
      <w:r w:rsidRPr="004341B9">
        <w:rPr>
          <w:rFonts w:ascii="Times New Roman" w:hAnsi="Times New Roman"/>
          <w:sz w:val="24"/>
          <w:szCs w:val="24"/>
        </w:rPr>
        <w:t xml:space="preserve">= 11.4); in fact, at pH&gt;5.5 the stability of DHAA is very poor </w:t>
      </w:r>
      <w:r w:rsidRPr="004341B9">
        <w:rPr>
          <w:rFonts w:ascii="Times New Roman" w:hAnsi="Times New Roman"/>
          <w:noProof/>
          <w:sz w:val="24"/>
          <w:szCs w:val="24"/>
        </w:rPr>
        <w:t>(Fennema 1996)</w:t>
      </w:r>
      <w:r w:rsidRPr="004341B9">
        <w:rPr>
          <w:rFonts w:ascii="Times New Roman" w:hAnsi="Times New Roman"/>
          <w:sz w:val="24"/>
          <w:szCs w:val="24"/>
        </w:rPr>
        <w:t xml:space="preserve">.  Under anaerobic conditions, the rate of oxidation is maximal at pH 4 and minimal at pH 2 </w:t>
      </w:r>
      <w:r w:rsidRPr="004341B9">
        <w:rPr>
          <w:rFonts w:ascii="Times New Roman" w:hAnsi="Times New Roman"/>
          <w:noProof/>
          <w:sz w:val="24"/>
          <w:szCs w:val="24"/>
        </w:rPr>
        <w:t>(Belitz and others 2004)</w:t>
      </w:r>
      <w:r w:rsidRPr="004341B9">
        <w:rPr>
          <w:rFonts w:ascii="Times New Roman" w:hAnsi="Times New Roman"/>
          <w:sz w:val="24"/>
          <w:szCs w:val="24"/>
        </w:rPr>
        <w:t xml:space="preserve">. </w:t>
      </w:r>
    </w:p>
    <w:p w:rsidR="00F82E9A" w:rsidRDefault="00F82E9A" w:rsidP="004341B9">
      <w:pPr>
        <w:pStyle w:val="ListParagraph"/>
        <w:spacing w:after="0" w:line="360" w:lineRule="auto"/>
        <w:ind w:left="0"/>
        <w:rPr>
          <w:rFonts w:ascii="Times New Roman" w:hAnsi="Times New Roman"/>
          <w:i/>
          <w:sz w:val="24"/>
          <w:szCs w:val="24"/>
        </w:rPr>
      </w:pPr>
    </w:p>
    <w:p w:rsidR="00D54621" w:rsidRPr="004341B9" w:rsidRDefault="00D54621" w:rsidP="004341B9">
      <w:pPr>
        <w:pStyle w:val="ListParagraph"/>
        <w:spacing w:after="0" w:line="360" w:lineRule="auto"/>
        <w:ind w:left="0"/>
        <w:rPr>
          <w:rFonts w:ascii="Times New Roman" w:hAnsi="Times New Roman"/>
          <w:i/>
          <w:sz w:val="24"/>
          <w:szCs w:val="24"/>
        </w:rPr>
      </w:pPr>
      <w:r w:rsidRPr="004341B9">
        <w:rPr>
          <w:rFonts w:ascii="Times New Roman" w:hAnsi="Times New Roman"/>
          <w:i/>
          <w:sz w:val="24"/>
          <w:szCs w:val="24"/>
        </w:rPr>
        <w:lastRenderedPageBreak/>
        <w:t>Oxygen</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Over the range of 1.0-0.4 atm O</w:t>
      </w:r>
      <w:r w:rsidRPr="004341B9">
        <w:rPr>
          <w:rFonts w:ascii="Times New Roman" w:hAnsi="Times New Roman"/>
          <w:sz w:val="24"/>
          <w:szCs w:val="24"/>
          <w:vertAlign w:val="subscript"/>
        </w:rPr>
        <w:t>2</w:t>
      </w:r>
      <w:r w:rsidRPr="004341B9">
        <w:rPr>
          <w:rFonts w:ascii="Times New Roman" w:hAnsi="Times New Roman"/>
          <w:sz w:val="24"/>
          <w:szCs w:val="24"/>
        </w:rPr>
        <w:t xml:space="preserve">, the rate of metal-catalyzed oxidation is proportional to the partial pressure of dissolved oxygen.  Nevertheless, at partial pressures &lt; 0.2 atm, the rate of oxidation is independent of the oxygen concentration. Reactions involving metal chelators are also independent of oxygen concentration </w:t>
      </w:r>
      <w:r w:rsidRPr="004341B9">
        <w:rPr>
          <w:rFonts w:ascii="Times New Roman" w:hAnsi="Times New Roman"/>
          <w:noProof/>
          <w:sz w:val="24"/>
          <w:szCs w:val="24"/>
        </w:rPr>
        <w:t>(Fennema 1996)</w:t>
      </w:r>
      <w:r w:rsidRPr="004341B9">
        <w:rPr>
          <w:rFonts w:ascii="Times New Roman" w:hAnsi="Times New Roman"/>
          <w:sz w:val="24"/>
          <w:szCs w:val="24"/>
        </w:rPr>
        <w:t>.</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Contradictory results on the acceleration of the AA degradation due to oxygen concentration have been reported.  Reportedly, when bottles of model orange juice were degassed using nitrogen or had no headspace left, the degree of browning was greater compared to bottles that had 25 ml of oxygen; the reasons for these results are not clear </w:t>
      </w:r>
      <w:r w:rsidRPr="004341B9">
        <w:rPr>
          <w:rFonts w:ascii="Times New Roman" w:hAnsi="Times New Roman"/>
          <w:noProof/>
          <w:sz w:val="24"/>
          <w:szCs w:val="24"/>
        </w:rPr>
        <w:t>(Shinoda and others 2004)</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rPr>
          <w:rFonts w:ascii="Times New Roman" w:hAnsi="Times New Roman"/>
          <w:color w:val="FF0000"/>
          <w:sz w:val="24"/>
          <w:szCs w:val="24"/>
        </w:rPr>
      </w:pPr>
    </w:p>
    <w:p w:rsidR="00D54621" w:rsidRPr="004341B9" w:rsidRDefault="00D54621" w:rsidP="004341B9">
      <w:pPr>
        <w:pStyle w:val="ListParagraph"/>
        <w:spacing w:after="0" w:line="360" w:lineRule="auto"/>
        <w:ind w:left="0"/>
        <w:rPr>
          <w:rFonts w:ascii="Times New Roman" w:hAnsi="Times New Roman"/>
          <w:i/>
          <w:sz w:val="24"/>
          <w:szCs w:val="24"/>
        </w:rPr>
      </w:pPr>
      <w:r w:rsidRPr="004341B9">
        <w:rPr>
          <w:rFonts w:ascii="Times New Roman" w:hAnsi="Times New Roman"/>
          <w:i/>
          <w:sz w:val="24"/>
          <w:szCs w:val="24"/>
        </w:rPr>
        <w:t>Other environmental conditions</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In general, enzymes that have copper or iron in their prosthetic groups catalyze AA degradation.  Among the most important are ascorbic acid oxidase, phenolase, cytochrome oxidase and peroxidase </w:t>
      </w:r>
      <w:r w:rsidRPr="004341B9">
        <w:rPr>
          <w:rFonts w:ascii="Times New Roman" w:hAnsi="Times New Roman"/>
          <w:noProof/>
          <w:sz w:val="24"/>
          <w:szCs w:val="24"/>
        </w:rPr>
        <w:t>(deMan 1999)</w:t>
      </w:r>
      <w:r w:rsidRPr="004341B9">
        <w:rPr>
          <w:rFonts w:ascii="Times New Roman" w:hAnsi="Times New Roman"/>
          <w:sz w:val="24"/>
          <w:szCs w:val="24"/>
        </w:rPr>
        <w:t xml:space="preserve">.  However, the importance of these enzymes in food processing is minimal </w:t>
      </w:r>
      <w:r w:rsidRPr="004341B9">
        <w:rPr>
          <w:rFonts w:ascii="Times New Roman" w:hAnsi="Times New Roman"/>
          <w:noProof/>
          <w:sz w:val="24"/>
          <w:szCs w:val="24"/>
        </w:rPr>
        <w:t>(Wong 1989)</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Water activity also influences the rate of AA degradation.  For example, it has been reported that over the range of 0.10-0.65 water activity, the rate of oxidation increases as water activity increases.  This behavior is apparently due to water acting as a solvent for reactants and catalysts </w:t>
      </w:r>
      <w:r w:rsidRPr="004341B9">
        <w:rPr>
          <w:rFonts w:ascii="Times New Roman" w:hAnsi="Times New Roman"/>
          <w:noProof/>
          <w:sz w:val="24"/>
          <w:szCs w:val="24"/>
        </w:rPr>
        <w:t>(Fennema 1996)</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jc w:val="both"/>
        <w:rPr>
          <w:rFonts w:ascii="Times New Roman" w:hAnsi="Times New Roman"/>
          <w:sz w:val="24"/>
          <w:szCs w:val="24"/>
        </w:rPr>
      </w:pPr>
      <w:r w:rsidRPr="004341B9">
        <w:rPr>
          <w:rFonts w:ascii="Times New Roman" w:hAnsi="Times New Roman"/>
          <w:sz w:val="24"/>
          <w:szCs w:val="24"/>
        </w:rPr>
        <w:tab/>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Temperature is another factor that affects the rate of AA degradation.  In fact, there is a study which reports that lower temperatures inhibited AA degradation and limited the accumulation of various degradation products </w:t>
      </w:r>
      <w:r w:rsidRPr="004341B9">
        <w:rPr>
          <w:rFonts w:ascii="Times New Roman" w:hAnsi="Times New Roman"/>
          <w:noProof/>
          <w:sz w:val="24"/>
          <w:szCs w:val="24"/>
        </w:rPr>
        <w:t>(Yuan and Chen 1998)</w:t>
      </w:r>
      <w:r w:rsidRPr="004341B9">
        <w:rPr>
          <w:rFonts w:ascii="Times New Roman" w:hAnsi="Times New Roman"/>
          <w:sz w:val="24"/>
          <w:szCs w:val="24"/>
        </w:rPr>
        <w:t xml:space="preserve">.  Light irradiation is also reported to accelerate the process </w:t>
      </w:r>
      <w:r w:rsidRPr="004341B9">
        <w:rPr>
          <w:rFonts w:ascii="Times New Roman" w:hAnsi="Times New Roman"/>
          <w:noProof/>
          <w:sz w:val="24"/>
          <w:szCs w:val="24"/>
        </w:rPr>
        <w:t>(Fennema 1996)</w:t>
      </w:r>
      <w:r w:rsidRPr="004341B9">
        <w:rPr>
          <w:rFonts w:ascii="Times New Roman" w:hAnsi="Times New Roman"/>
          <w:sz w:val="24"/>
          <w:szCs w:val="24"/>
        </w:rPr>
        <w:t>.</w:t>
      </w:r>
    </w:p>
    <w:p w:rsidR="00D54621" w:rsidRPr="004341B9" w:rsidRDefault="00D54621" w:rsidP="004341B9">
      <w:pPr>
        <w:pStyle w:val="ListParagraph"/>
        <w:spacing w:after="0" w:line="360" w:lineRule="auto"/>
        <w:ind w:left="0"/>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The type of sugar that is present also influences the rate of oxidation.  For example, ketoses can increase the rate of anaerobic degradation while other sugars and sugar alcohols show a protective effect in oxidative degradation </w:t>
      </w:r>
      <w:r w:rsidRPr="004341B9">
        <w:rPr>
          <w:rFonts w:ascii="Times New Roman" w:hAnsi="Times New Roman"/>
          <w:noProof/>
          <w:sz w:val="24"/>
          <w:szCs w:val="24"/>
        </w:rPr>
        <w:t>(Fennema 1996)</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lastRenderedPageBreak/>
        <w:t xml:space="preserve">Citric acid has also been suggested as a contributor to browning in acidic products containing AA.  However, the role of citric acid is still under investigation </w:t>
      </w:r>
      <w:r w:rsidRPr="004341B9">
        <w:rPr>
          <w:rFonts w:ascii="Times New Roman" w:hAnsi="Times New Roman"/>
          <w:noProof/>
          <w:sz w:val="24"/>
          <w:szCs w:val="24"/>
        </w:rPr>
        <w:t>(Roig and others 2000; Clegg 1964)</w:t>
      </w:r>
      <w:r w:rsidRPr="004341B9">
        <w:rPr>
          <w:rFonts w:ascii="Times New Roman" w:hAnsi="Times New Roman"/>
          <w:sz w:val="24"/>
          <w:szCs w:val="24"/>
        </w:rPr>
        <w:t xml:space="preserve">.  In a model solution of orange juice, the degree of browning was reduced between 40 to 60% when citric acid was removed </w:t>
      </w:r>
      <w:r w:rsidRPr="004341B9">
        <w:rPr>
          <w:rFonts w:ascii="Times New Roman" w:hAnsi="Times New Roman"/>
          <w:noProof/>
          <w:sz w:val="24"/>
          <w:szCs w:val="24"/>
        </w:rPr>
        <w:t>(Shinoda and others 2004)</w:t>
      </w:r>
      <w:r w:rsidRPr="004341B9">
        <w:rPr>
          <w:rFonts w:ascii="Times New Roman" w:hAnsi="Times New Roman"/>
          <w:sz w:val="24"/>
          <w:szCs w:val="24"/>
        </w:rPr>
        <w:t xml:space="preserve">.  Other compounds such as sugars, amino acids and increasing concentration of AA have been reported to enhance browning in orange juice </w:t>
      </w:r>
      <w:r w:rsidRPr="004341B9">
        <w:rPr>
          <w:rFonts w:ascii="Times New Roman" w:hAnsi="Times New Roman"/>
          <w:noProof/>
          <w:sz w:val="24"/>
          <w:szCs w:val="24"/>
        </w:rPr>
        <w:t>(Kacem and others 1987)</w:t>
      </w:r>
      <w:r w:rsidRPr="004341B9">
        <w:rPr>
          <w:rFonts w:ascii="Times New Roman" w:hAnsi="Times New Roman"/>
          <w:sz w:val="24"/>
          <w:szCs w:val="24"/>
        </w:rPr>
        <w:t xml:space="preserve">.  How these compounds interact with AA degradation products is still unclear. </w:t>
      </w:r>
    </w:p>
    <w:p w:rsidR="00D54621" w:rsidRPr="004341B9" w:rsidRDefault="00D54621" w:rsidP="004341B9">
      <w:pPr>
        <w:pStyle w:val="ListParagraph"/>
        <w:spacing w:after="0" w:line="360" w:lineRule="auto"/>
        <w:ind w:left="0" w:firstLine="708"/>
        <w:rPr>
          <w:rFonts w:ascii="Times New Roman" w:hAnsi="Times New Roman"/>
          <w:sz w:val="24"/>
          <w:szCs w:val="24"/>
        </w:rPr>
      </w:pPr>
    </w:p>
    <w:p w:rsidR="00D54621" w:rsidRPr="004341B9" w:rsidRDefault="00D54621" w:rsidP="004341B9">
      <w:pPr>
        <w:pStyle w:val="ListParagraph"/>
        <w:spacing w:after="0" w:line="360" w:lineRule="auto"/>
        <w:ind w:left="0"/>
        <w:rPr>
          <w:rFonts w:ascii="Times New Roman" w:hAnsi="Times New Roman"/>
          <w:b/>
          <w:i/>
          <w:sz w:val="24"/>
          <w:szCs w:val="24"/>
          <w:lang w:val="es-ES"/>
        </w:rPr>
      </w:pPr>
      <w:r w:rsidRPr="004341B9">
        <w:rPr>
          <w:rFonts w:ascii="Times New Roman" w:hAnsi="Times New Roman"/>
          <w:b/>
          <w:i/>
          <w:sz w:val="24"/>
          <w:szCs w:val="24"/>
          <w:lang w:val="es-ES"/>
        </w:rPr>
        <w:t>Products of</w:t>
      </w:r>
      <w:r w:rsidR="00865F2A">
        <w:rPr>
          <w:rFonts w:ascii="Times New Roman" w:hAnsi="Times New Roman"/>
          <w:b/>
          <w:i/>
          <w:sz w:val="24"/>
          <w:szCs w:val="24"/>
          <w:lang w:val="es-ES"/>
        </w:rPr>
        <w:t xml:space="preserve"> L-ascorbic acid </w:t>
      </w:r>
      <w:r w:rsidRPr="004341B9">
        <w:rPr>
          <w:rFonts w:ascii="Times New Roman" w:hAnsi="Times New Roman"/>
          <w:b/>
          <w:i/>
          <w:sz w:val="24"/>
          <w:szCs w:val="24"/>
          <w:lang w:val="es-ES"/>
        </w:rPr>
        <w:t>Degradation</w:t>
      </w:r>
    </w:p>
    <w:p w:rsidR="00D54621" w:rsidRPr="004341B9" w:rsidRDefault="00D54621" w:rsidP="004341B9">
      <w:pPr>
        <w:spacing w:after="0" w:line="360" w:lineRule="auto"/>
        <w:ind w:firstLine="706"/>
        <w:jc w:val="both"/>
        <w:rPr>
          <w:rFonts w:ascii="Times New Roman" w:hAnsi="Times New Roman" w:cs="Times New Roman"/>
          <w:sz w:val="24"/>
          <w:szCs w:val="24"/>
        </w:rPr>
      </w:pPr>
      <w:proofErr w:type="gramStart"/>
      <w:r w:rsidRPr="004341B9">
        <w:rPr>
          <w:rFonts w:ascii="Times New Roman" w:hAnsi="Times New Roman" w:cs="Times New Roman"/>
          <w:sz w:val="24"/>
          <w:szCs w:val="24"/>
        </w:rPr>
        <w:t>Polymerized intermediates, unsaturated carboxylic acids of five- and six-carbon chain length, and fragmentation products having five or fewer carbons have been identified as AA degradation products.</w:t>
      </w:r>
      <w:proofErr w:type="gramEnd"/>
      <w:r w:rsidRPr="004341B9">
        <w:rPr>
          <w:rFonts w:ascii="Times New Roman" w:hAnsi="Times New Roman" w:cs="Times New Roman"/>
          <w:sz w:val="24"/>
          <w:szCs w:val="24"/>
        </w:rPr>
        <w:t xml:space="preserve">  These new compounds are responsible for the changes in flavor and odor in citrus juices during storage or processing </w:t>
      </w:r>
      <w:r w:rsidRPr="004341B9">
        <w:rPr>
          <w:rFonts w:ascii="Times New Roman" w:hAnsi="Times New Roman" w:cs="Times New Roman"/>
          <w:noProof/>
          <w:sz w:val="24"/>
          <w:szCs w:val="24"/>
        </w:rPr>
        <w:t>(Fennema 1996)</w:t>
      </w:r>
      <w:r w:rsidRPr="004341B9">
        <w:rPr>
          <w:rFonts w:ascii="Times New Roman" w:hAnsi="Times New Roman" w:cs="Times New Roman"/>
          <w:sz w:val="24"/>
          <w:szCs w:val="24"/>
        </w:rPr>
        <w:t xml:space="preserve">.  Also, there is evidence that suggests pigmented materials are formed when the degradation products and/or sugars or other carbonyl compounds, polymerize or react with amino acids to produce browning materials </w:t>
      </w:r>
      <w:r w:rsidRPr="004341B9">
        <w:rPr>
          <w:rFonts w:ascii="Times New Roman" w:hAnsi="Times New Roman" w:cs="Times New Roman"/>
          <w:noProof/>
          <w:sz w:val="24"/>
          <w:szCs w:val="24"/>
        </w:rPr>
        <w:t>(Sawamura and others 1991)</w:t>
      </w:r>
      <w:r w:rsidRPr="004341B9">
        <w:rPr>
          <w:rFonts w:ascii="Times New Roman" w:hAnsi="Times New Roman" w:cs="Times New Roman"/>
          <w:sz w:val="24"/>
          <w:szCs w:val="24"/>
        </w:rPr>
        <w:t xml:space="preserve">.  The types and concentrations of the compounds and the reactions involved are influenced by several factors such as temperature, pH, </w:t>
      </w:r>
      <w:proofErr w:type="gramStart"/>
      <w:r w:rsidRPr="004341B9">
        <w:rPr>
          <w:rFonts w:ascii="Times New Roman" w:hAnsi="Times New Roman" w:cs="Times New Roman"/>
          <w:sz w:val="24"/>
          <w:szCs w:val="24"/>
        </w:rPr>
        <w:t>water</w:t>
      </w:r>
      <w:proofErr w:type="gramEnd"/>
      <w:r w:rsidRPr="004341B9">
        <w:rPr>
          <w:rFonts w:ascii="Times New Roman" w:hAnsi="Times New Roman" w:cs="Times New Roman"/>
          <w:sz w:val="24"/>
          <w:szCs w:val="24"/>
        </w:rPr>
        <w:t xml:space="preserve"> activity, concentrations of oxygen and metal catalysts, and presence of active oxygen species </w:t>
      </w:r>
      <w:r w:rsidRPr="004341B9">
        <w:rPr>
          <w:rFonts w:ascii="Times New Roman" w:hAnsi="Times New Roman" w:cs="Times New Roman"/>
          <w:noProof/>
          <w:sz w:val="24"/>
          <w:szCs w:val="24"/>
        </w:rPr>
        <w:t>(Fennema 1996)</w:t>
      </w:r>
      <w:r w:rsidRPr="004341B9">
        <w:rPr>
          <w:rFonts w:ascii="Times New Roman" w:hAnsi="Times New Roman" w:cs="Times New Roman"/>
          <w:sz w:val="24"/>
          <w:szCs w:val="24"/>
        </w:rPr>
        <w:t>.</w:t>
      </w:r>
    </w:p>
    <w:p w:rsidR="00D54621" w:rsidRPr="004341B9" w:rsidRDefault="00D54621" w:rsidP="004341B9">
      <w:pPr>
        <w:spacing w:after="0" w:line="360" w:lineRule="auto"/>
        <w:ind w:firstLine="706"/>
        <w:jc w:val="both"/>
        <w:rPr>
          <w:rFonts w:ascii="Times New Roman" w:hAnsi="Times New Roman" w:cs="Times New Roman"/>
          <w:sz w:val="24"/>
          <w:szCs w:val="24"/>
        </w:rPr>
      </w:pPr>
    </w:p>
    <w:p w:rsidR="00D54621" w:rsidRPr="004341B9" w:rsidRDefault="00D54621" w:rsidP="004341B9">
      <w:pPr>
        <w:spacing w:after="0" w:line="360" w:lineRule="auto"/>
        <w:ind w:firstLine="706"/>
        <w:jc w:val="both"/>
        <w:rPr>
          <w:rFonts w:ascii="Times New Roman" w:hAnsi="Times New Roman" w:cs="Times New Roman"/>
          <w:sz w:val="24"/>
          <w:szCs w:val="24"/>
        </w:rPr>
      </w:pPr>
      <w:r w:rsidRPr="004341B9">
        <w:rPr>
          <w:rFonts w:ascii="Times New Roman" w:hAnsi="Times New Roman" w:cs="Times New Roman"/>
          <w:sz w:val="24"/>
          <w:szCs w:val="24"/>
        </w:rPr>
        <w:t xml:space="preserve">As illustrated in Fig. 2, the intermediates and products of AA degradation under aerobic conditions include DHAA, carbonyls and dicarbonyl compounds </w:t>
      </w:r>
      <w:r w:rsidRPr="004341B9">
        <w:rPr>
          <w:rFonts w:ascii="Times New Roman" w:hAnsi="Times New Roman" w:cs="Times New Roman"/>
          <w:noProof/>
          <w:sz w:val="24"/>
          <w:szCs w:val="24"/>
        </w:rPr>
        <w:t>(Wong 1989)</w:t>
      </w:r>
      <w:r w:rsidRPr="004341B9">
        <w:rPr>
          <w:rFonts w:ascii="Times New Roman" w:hAnsi="Times New Roman" w:cs="Times New Roman"/>
          <w:sz w:val="24"/>
          <w:szCs w:val="24"/>
        </w:rPr>
        <w:t xml:space="preserve">.  DHAA can form browning products in </w:t>
      </w:r>
      <w:proofErr w:type="gramStart"/>
      <w:r w:rsidRPr="004341B9">
        <w:rPr>
          <w:rFonts w:ascii="Times New Roman" w:hAnsi="Times New Roman" w:cs="Times New Roman"/>
          <w:sz w:val="24"/>
          <w:szCs w:val="24"/>
        </w:rPr>
        <w:t>both the presence or</w:t>
      </w:r>
      <w:proofErr w:type="gramEnd"/>
      <w:r w:rsidRPr="004341B9">
        <w:rPr>
          <w:rFonts w:ascii="Times New Roman" w:hAnsi="Times New Roman" w:cs="Times New Roman"/>
          <w:sz w:val="24"/>
          <w:szCs w:val="24"/>
        </w:rPr>
        <w:t xml:space="preserve"> absence of amino acids </w:t>
      </w:r>
      <w:r w:rsidRPr="004341B9">
        <w:rPr>
          <w:rFonts w:ascii="Times New Roman" w:hAnsi="Times New Roman" w:cs="Times New Roman"/>
          <w:noProof/>
          <w:sz w:val="24"/>
          <w:szCs w:val="24"/>
        </w:rPr>
        <w:t>(Liao and Seib 1988)</w:t>
      </w:r>
      <w:r w:rsidRPr="004341B9">
        <w:rPr>
          <w:rFonts w:ascii="Times New Roman" w:hAnsi="Times New Roman" w:cs="Times New Roman"/>
          <w:sz w:val="24"/>
          <w:szCs w:val="24"/>
        </w:rPr>
        <w:t xml:space="preserve">.  In the presence of amino acids, DHAA can produce L-scorbamic acid, which is an important intermediate in the browning reaction.  In fact, scorbamic acid can react with other molecule of DHAA to produce a red pigment, which undergoes further reactions with more molecules of scorbamic acid, resulting in brown reaction products </w:t>
      </w:r>
      <w:r w:rsidRPr="004341B9">
        <w:rPr>
          <w:rFonts w:ascii="Times New Roman" w:hAnsi="Times New Roman" w:cs="Times New Roman"/>
          <w:noProof/>
          <w:sz w:val="24"/>
          <w:szCs w:val="24"/>
        </w:rPr>
        <w:t>(Liao and Seib 1988)</w:t>
      </w:r>
      <w:r w:rsidRPr="004341B9">
        <w:rPr>
          <w:rFonts w:ascii="Times New Roman" w:hAnsi="Times New Roman" w:cs="Times New Roman"/>
          <w:sz w:val="24"/>
          <w:szCs w:val="24"/>
        </w:rPr>
        <w:t xml:space="preserve">.  In addition, it has been reported that the three browning fractions of low molecular weight (lower than DHAA) are probably products of the reaction of amino acids with DHAA.  Furthermore, in the absence of amino acids, in a model system composed just of DHAA, at least four different brown pigments and three colorless products were identified.  The four brown pigments identified had molecular weights lower than DHAA </w:t>
      </w:r>
      <w:r w:rsidRPr="004341B9">
        <w:rPr>
          <w:rFonts w:ascii="Times New Roman" w:hAnsi="Times New Roman" w:cs="Times New Roman"/>
          <w:noProof/>
          <w:sz w:val="24"/>
          <w:szCs w:val="24"/>
        </w:rPr>
        <w:t>(Sawamura and others 1991)</w:t>
      </w:r>
      <w:r w:rsidRPr="004341B9">
        <w:rPr>
          <w:rFonts w:ascii="Times New Roman" w:hAnsi="Times New Roman" w:cs="Times New Roman"/>
          <w:sz w:val="24"/>
          <w:szCs w:val="24"/>
        </w:rPr>
        <w:t xml:space="preserve">.  In more recent work, it was reported </w:t>
      </w:r>
      <w:r w:rsidRPr="004341B9">
        <w:rPr>
          <w:rFonts w:ascii="Times New Roman" w:hAnsi="Times New Roman" w:cs="Times New Roman"/>
          <w:sz w:val="24"/>
          <w:szCs w:val="24"/>
        </w:rPr>
        <w:lastRenderedPageBreak/>
        <w:t>that one of the brown compounds was 3</w:t>
      </w:r>
      <w:proofErr w:type="gramStart"/>
      <w:r w:rsidRPr="004341B9">
        <w:rPr>
          <w:rFonts w:ascii="Times New Roman" w:hAnsi="Times New Roman" w:cs="Times New Roman"/>
          <w:sz w:val="24"/>
          <w:szCs w:val="24"/>
        </w:rPr>
        <w:t>,4</w:t>
      </w:r>
      <w:proofErr w:type="gramEnd"/>
      <w:r w:rsidRPr="004341B9">
        <w:rPr>
          <w:rFonts w:ascii="Times New Roman" w:hAnsi="Times New Roman" w:cs="Times New Roman"/>
          <w:sz w:val="24"/>
          <w:szCs w:val="24"/>
        </w:rPr>
        <w:t xml:space="preserve">-dihydroxy-5-methyl-2(5H)-furanone (molecular weight of 130) and one of the colorless compounds was identified as 2-furoic acid.  This research noted an earlier publication that showed that browning developed in a DHAA aqueous solution faster under nonoxidative than oxidative conditions.  Consequently, the authors of this paper suggest that if the DHAA products follow oxidative reaction, the development of brown pigments is suppressed </w:t>
      </w:r>
      <w:r w:rsidRPr="004341B9">
        <w:rPr>
          <w:rFonts w:ascii="Times New Roman" w:hAnsi="Times New Roman" w:cs="Times New Roman"/>
          <w:noProof/>
          <w:sz w:val="24"/>
          <w:szCs w:val="24"/>
        </w:rPr>
        <w:t>(Sawamura and others 1994)</w:t>
      </w:r>
      <w:r w:rsidRPr="004341B9">
        <w:rPr>
          <w:rFonts w:ascii="Times New Roman" w:hAnsi="Times New Roman" w:cs="Times New Roman"/>
          <w:sz w:val="24"/>
          <w:szCs w:val="24"/>
        </w:rPr>
        <w:t xml:space="preserve">.  3-Hydroxy-2-pyrone was also identified as an aerobic degradation product of AA </w:t>
      </w:r>
      <w:r w:rsidRPr="004341B9">
        <w:rPr>
          <w:rFonts w:ascii="Times New Roman" w:hAnsi="Times New Roman" w:cs="Times New Roman"/>
          <w:noProof/>
          <w:sz w:val="24"/>
          <w:szCs w:val="24"/>
        </w:rPr>
        <w:t>(Yuan and Chen 1998)</w:t>
      </w:r>
      <w:r w:rsidRPr="004341B9">
        <w:rPr>
          <w:rFonts w:ascii="Times New Roman" w:hAnsi="Times New Roman" w:cs="Times New Roman"/>
          <w:sz w:val="24"/>
          <w:szCs w:val="24"/>
        </w:rPr>
        <w:t xml:space="preserve"> and furfural was identified as a degradation compound of AA via DHAA </w:t>
      </w:r>
      <w:r w:rsidRPr="004341B9">
        <w:rPr>
          <w:rFonts w:ascii="Times New Roman" w:hAnsi="Times New Roman" w:cs="Times New Roman"/>
          <w:noProof/>
          <w:sz w:val="24"/>
          <w:szCs w:val="24"/>
        </w:rPr>
        <w:t>(Shinoda and others 2004)</w:t>
      </w:r>
      <w:r w:rsidRPr="004341B9">
        <w:rPr>
          <w:rFonts w:ascii="Times New Roman" w:hAnsi="Times New Roman" w:cs="Times New Roman"/>
          <w:sz w:val="24"/>
          <w:szCs w:val="24"/>
        </w:rPr>
        <w:t xml:space="preserve">. </w:t>
      </w:r>
    </w:p>
    <w:p w:rsidR="00D54621" w:rsidRPr="004341B9" w:rsidRDefault="00D54621" w:rsidP="004341B9">
      <w:pPr>
        <w:spacing w:after="0" w:line="360" w:lineRule="auto"/>
        <w:ind w:firstLine="706"/>
        <w:jc w:val="both"/>
        <w:rPr>
          <w:rFonts w:ascii="Times New Roman" w:hAnsi="Times New Roman" w:cs="Times New Roman"/>
          <w:sz w:val="24"/>
          <w:szCs w:val="24"/>
        </w:rPr>
      </w:pPr>
    </w:p>
    <w:p w:rsidR="00D54621" w:rsidRDefault="00D54621" w:rsidP="004341B9">
      <w:pPr>
        <w:spacing w:after="0" w:line="360" w:lineRule="auto"/>
        <w:ind w:firstLine="708"/>
        <w:jc w:val="both"/>
        <w:rPr>
          <w:rFonts w:ascii="Times New Roman" w:hAnsi="Times New Roman" w:cs="Times New Roman"/>
          <w:sz w:val="24"/>
          <w:szCs w:val="24"/>
        </w:rPr>
      </w:pPr>
      <w:r w:rsidRPr="004341B9">
        <w:rPr>
          <w:rFonts w:ascii="Times New Roman" w:hAnsi="Times New Roman" w:cs="Times New Roman"/>
          <w:sz w:val="24"/>
          <w:szCs w:val="24"/>
        </w:rPr>
        <w:t>Furfural is an AA degradation product under a</w:t>
      </w:r>
      <w:r w:rsidR="00D51265">
        <w:rPr>
          <w:rFonts w:ascii="Times New Roman" w:hAnsi="Times New Roman" w:cs="Times New Roman"/>
          <w:sz w:val="24"/>
          <w:szCs w:val="24"/>
        </w:rPr>
        <w:t>n</w:t>
      </w:r>
      <w:r w:rsidRPr="004341B9">
        <w:rPr>
          <w:rFonts w:ascii="Times New Roman" w:hAnsi="Times New Roman" w:cs="Times New Roman"/>
          <w:sz w:val="24"/>
          <w:szCs w:val="24"/>
        </w:rPr>
        <w:t xml:space="preserve">erobic conditions </w:t>
      </w:r>
      <w:r w:rsidRPr="004341B9">
        <w:rPr>
          <w:rFonts w:ascii="Times New Roman" w:hAnsi="Times New Roman" w:cs="Times New Roman"/>
          <w:noProof/>
          <w:sz w:val="24"/>
          <w:szCs w:val="24"/>
        </w:rPr>
        <w:t>(Wong 1989)</w:t>
      </w:r>
      <w:r w:rsidRPr="004341B9">
        <w:rPr>
          <w:rFonts w:ascii="Times New Roman" w:hAnsi="Times New Roman" w:cs="Times New Roman"/>
          <w:sz w:val="24"/>
          <w:szCs w:val="24"/>
        </w:rPr>
        <w:t>.  As shown in Fig 3, 3-deoxy-L-pentosulose is also produced.  This compound corresponds to the 3-deoxyglycosulose in the maillard reaction; consequently, it can further react producing brown pigments.  Finally, there is evidence that under anaerobic conditions, the products are carbon dioxide, furfural, and 2</w:t>
      </w:r>
      <w:proofErr w:type="gramStart"/>
      <w:r w:rsidRPr="004341B9">
        <w:rPr>
          <w:rFonts w:ascii="Times New Roman" w:hAnsi="Times New Roman" w:cs="Times New Roman"/>
          <w:sz w:val="24"/>
          <w:szCs w:val="24"/>
        </w:rPr>
        <w:t>,5</w:t>
      </w:r>
      <w:proofErr w:type="gramEnd"/>
      <w:r w:rsidRPr="004341B9">
        <w:rPr>
          <w:rFonts w:ascii="Times New Roman" w:hAnsi="Times New Roman" w:cs="Times New Roman"/>
          <w:sz w:val="24"/>
          <w:szCs w:val="24"/>
        </w:rPr>
        <w:t xml:space="preserve">-dihydro-2-furoic acid </w:t>
      </w:r>
      <w:r w:rsidRPr="004341B9">
        <w:rPr>
          <w:rFonts w:ascii="Times New Roman" w:hAnsi="Times New Roman" w:cs="Times New Roman"/>
          <w:noProof/>
          <w:sz w:val="24"/>
          <w:szCs w:val="24"/>
        </w:rPr>
        <w:t>(Wedzicha 1984)</w:t>
      </w:r>
      <w:r w:rsidRPr="004341B9">
        <w:rPr>
          <w:rFonts w:ascii="Times New Roman" w:hAnsi="Times New Roman" w:cs="Times New Roman"/>
          <w:sz w:val="24"/>
          <w:szCs w:val="24"/>
        </w:rPr>
        <w:t>.</w:t>
      </w:r>
    </w:p>
    <w:p w:rsidR="004341B9" w:rsidRPr="004341B9" w:rsidRDefault="004341B9" w:rsidP="004341B9">
      <w:pPr>
        <w:spacing w:after="0" w:line="360" w:lineRule="auto"/>
        <w:ind w:firstLine="708"/>
        <w:jc w:val="both"/>
        <w:rPr>
          <w:rFonts w:ascii="Times New Roman" w:hAnsi="Times New Roman" w:cs="Times New Roman"/>
          <w:color w:val="FF0000"/>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lang w:val="es-ES"/>
        </w:rPr>
      </w:pPr>
      <w:r w:rsidRPr="004341B9">
        <w:rPr>
          <w:rFonts w:ascii="Times New Roman" w:hAnsi="Times New Roman"/>
          <w:sz w:val="24"/>
          <w:szCs w:val="24"/>
          <w:lang w:val="es-ES"/>
        </w:rPr>
        <w:t xml:space="preserve">In a model solution of orange juice stored at 50°C, 3-hydroxy-2-pyrone, 5-furfural, 2-furoic acid, hydroxymethylfurfural and 5-hydroxymaltol were identified.  The first three compounds were produced from DHAA, while the last two were derived from fructose </w:t>
      </w:r>
      <w:r w:rsidRPr="004341B9">
        <w:rPr>
          <w:rFonts w:ascii="Times New Roman" w:hAnsi="Times New Roman"/>
          <w:noProof/>
          <w:sz w:val="24"/>
          <w:szCs w:val="24"/>
          <w:lang w:val="es-ES"/>
        </w:rPr>
        <w:t>(Shinoda and others 2004)</w:t>
      </w:r>
      <w:r w:rsidRPr="004341B9">
        <w:rPr>
          <w:rFonts w:ascii="Times New Roman" w:hAnsi="Times New Roman"/>
          <w:sz w:val="24"/>
          <w:szCs w:val="24"/>
          <w:lang w:val="es-ES"/>
        </w:rPr>
        <w:t xml:space="preserve">.  In the same study, but in retail orange juice samples stored at 50°C, the production of the same five compounds was also observed.  In order to study the relationship of these five compounds with brown pigments, these compounds were stored under the presence and absence of amino acids.  3-Hydroxy-2-pyrone produced brown pigments with and without amino acids.  Furfural required amino acids for browning.  5-Hydroxymaltol, hydroxymethylfurfural, and 2-furoic acid did not brown in any of the model systems.  Other studies also note that hydroxymethylfurfural cannot be used as an index of browning since it is not a precursor of browning pigments </w:t>
      </w:r>
      <w:r w:rsidRPr="004341B9">
        <w:rPr>
          <w:rFonts w:ascii="Times New Roman" w:hAnsi="Times New Roman"/>
          <w:noProof/>
          <w:sz w:val="24"/>
          <w:szCs w:val="24"/>
          <w:lang w:val="es-ES"/>
        </w:rPr>
        <w:t>(Roig and others 2000)</w:t>
      </w:r>
      <w:r w:rsidRPr="004341B9">
        <w:rPr>
          <w:rFonts w:ascii="Times New Roman" w:hAnsi="Times New Roman"/>
          <w:sz w:val="24"/>
          <w:szCs w:val="24"/>
          <w:lang w:val="es-ES"/>
        </w:rPr>
        <w:t>.</w:t>
      </w:r>
    </w:p>
    <w:p w:rsidR="00D54621" w:rsidRPr="004341B9" w:rsidRDefault="00D54621" w:rsidP="004341B9">
      <w:pPr>
        <w:spacing w:after="0" w:line="360" w:lineRule="auto"/>
        <w:rPr>
          <w:rFonts w:ascii="Times New Roman" w:hAnsi="Times New Roman" w:cs="Times New Roman"/>
          <w:b/>
          <w:sz w:val="24"/>
          <w:szCs w:val="24"/>
        </w:rPr>
      </w:pPr>
    </w:p>
    <w:p w:rsidR="00D54621" w:rsidRPr="004341B9" w:rsidRDefault="00D54621" w:rsidP="004341B9">
      <w:pPr>
        <w:spacing w:after="0" w:line="360" w:lineRule="auto"/>
        <w:rPr>
          <w:rFonts w:ascii="Times New Roman" w:hAnsi="Times New Roman" w:cs="Times New Roman"/>
          <w:b/>
          <w:i/>
          <w:sz w:val="24"/>
          <w:szCs w:val="24"/>
        </w:rPr>
      </w:pPr>
      <w:r w:rsidRPr="004341B9">
        <w:rPr>
          <w:rFonts w:ascii="Times New Roman" w:hAnsi="Times New Roman" w:cs="Times New Roman"/>
          <w:b/>
          <w:i/>
          <w:sz w:val="24"/>
          <w:szCs w:val="24"/>
        </w:rPr>
        <w:t>Studies of L-ascorbic acid browning in food products</w:t>
      </w:r>
    </w:p>
    <w:p w:rsidR="00D54621" w:rsidRPr="004341B9" w:rsidRDefault="00D54621" w:rsidP="004341B9">
      <w:pPr>
        <w:spacing w:after="0" w:line="360" w:lineRule="auto"/>
        <w:ind w:firstLine="708"/>
        <w:jc w:val="both"/>
        <w:rPr>
          <w:rFonts w:ascii="Times New Roman" w:hAnsi="Times New Roman" w:cs="Times New Roman"/>
          <w:sz w:val="24"/>
          <w:szCs w:val="24"/>
        </w:rPr>
      </w:pPr>
      <w:r w:rsidRPr="004341B9">
        <w:rPr>
          <w:rFonts w:ascii="Times New Roman" w:hAnsi="Times New Roman" w:cs="Times New Roman"/>
          <w:sz w:val="24"/>
          <w:szCs w:val="24"/>
        </w:rPr>
        <w:t xml:space="preserve">In food products, anaerobic degradation of AA is not significant compared to the aerobic degradation.  In fact, evidence shows that anaerobic loss occurs at 2 or 3 orders of magnitude less than oxidative degradation.  However, anaerobic degradation is a concern in canned food </w:t>
      </w:r>
      <w:r w:rsidRPr="004341B9">
        <w:rPr>
          <w:rFonts w:ascii="Times New Roman" w:hAnsi="Times New Roman" w:cs="Times New Roman"/>
          <w:sz w:val="24"/>
          <w:szCs w:val="24"/>
        </w:rPr>
        <w:lastRenderedPageBreak/>
        <w:t xml:space="preserve">products after depletion of the residual oxygen </w:t>
      </w:r>
      <w:r w:rsidRPr="004341B9">
        <w:rPr>
          <w:rFonts w:ascii="Times New Roman" w:hAnsi="Times New Roman" w:cs="Times New Roman"/>
          <w:noProof/>
          <w:sz w:val="24"/>
          <w:szCs w:val="24"/>
        </w:rPr>
        <w:t>(Fennema 1996)</w:t>
      </w:r>
      <w:r w:rsidRPr="004341B9">
        <w:rPr>
          <w:rFonts w:ascii="Times New Roman" w:hAnsi="Times New Roman" w:cs="Times New Roman"/>
          <w:sz w:val="24"/>
          <w:szCs w:val="24"/>
        </w:rPr>
        <w:t xml:space="preserve">.  For example, in citrus juice packed in tetrabrick cartons, ascorbic acid loss mainly occurred during the first few days due to the presence of residual oxygen.  After the oxygen was depleted, the rate of degradation decreased </w:t>
      </w:r>
      <w:r w:rsidRPr="004341B9">
        <w:rPr>
          <w:rFonts w:ascii="Times New Roman" w:hAnsi="Times New Roman" w:cs="Times New Roman"/>
          <w:noProof/>
          <w:sz w:val="24"/>
          <w:szCs w:val="24"/>
        </w:rPr>
        <w:t>(Roig and others 2000)</w:t>
      </w:r>
      <w:r w:rsidRPr="004341B9">
        <w:rPr>
          <w:rFonts w:ascii="Times New Roman" w:hAnsi="Times New Roman" w:cs="Times New Roman"/>
          <w:sz w:val="24"/>
          <w:szCs w:val="24"/>
        </w:rPr>
        <w:t>.</w:t>
      </w:r>
    </w:p>
    <w:p w:rsidR="00D54621" w:rsidRPr="004341B9" w:rsidRDefault="00D54621" w:rsidP="004341B9">
      <w:pPr>
        <w:spacing w:after="0" w:line="360" w:lineRule="auto"/>
        <w:ind w:firstLine="708"/>
        <w:jc w:val="both"/>
        <w:rPr>
          <w:rFonts w:ascii="Times New Roman" w:hAnsi="Times New Roman" w:cs="Times New Roman"/>
          <w:sz w:val="24"/>
          <w:szCs w:val="24"/>
        </w:rPr>
      </w:pPr>
    </w:p>
    <w:p w:rsidR="00D54621" w:rsidRPr="004341B9" w:rsidRDefault="00D54621" w:rsidP="004341B9">
      <w:pPr>
        <w:spacing w:after="0" w:line="360" w:lineRule="auto"/>
        <w:ind w:firstLine="706"/>
        <w:jc w:val="both"/>
        <w:rPr>
          <w:rFonts w:ascii="Times New Roman" w:hAnsi="Times New Roman" w:cs="Times New Roman"/>
          <w:sz w:val="24"/>
          <w:szCs w:val="24"/>
        </w:rPr>
      </w:pPr>
      <w:r w:rsidRPr="004341B9">
        <w:rPr>
          <w:rFonts w:ascii="Times New Roman" w:hAnsi="Times New Roman" w:cs="Times New Roman"/>
          <w:sz w:val="24"/>
          <w:szCs w:val="24"/>
        </w:rPr>
        <w:t xml:space="preserve">Many studies examining non-enzymatic browning due to AA have been published </w:t>
      </w:r>
      <w:r w:rsidRPr="004341B9">
        <w:rPr>
          <w:rFonts w:ascii="Times New Roman" w:hAnsi="Times New Roman" w:cs="Times New Roman"/>
          <w:noProof/>
          <w:sz w:val="24"/>
          <w:szCs w:val="24"/>
        </w:rPr>
        <w:t>(Burdurlu and others 2006; Buedo and others 2000; Roig and others 2000; Chutintrasri and Noomhorm 200</w:t>
      </w:r>
      <w:r w:rsidR="00CC7D02">
        <w:rPr>
          <w:rFonts w:ascii="Times New Roman" w:hAnsi="Times New Roman" w:cs="Times New Roman"/>
          <w:noProof/>
          <w:sz w:val="24"/>
          <w:szCs w:val="24"/>
        </w:rPr>
        <w:t>7</w:t>
      </w:r>
      <w:r w:rsidRPr="004341B9">
        <w:rPr>
          <w:rFonts w:ascii="Times New Roman" w:hAnsi="Times New Roman" w:cs="Times New Roman"/>
          <w:noProof/>
          <w:sz w:val="24"/>
          <w:szCs w:val="24"/>
        </w:rPr>
        <w:t>; Rattanathanalerk and others 2005)</w:t>
      </w:r>
      <w:r w:rsidRPr="004341B9">
        <w:rPr>
          <w:rFonts w:ascii="Times New Roman" w:hAnsi="Times New Roman" w:cs="Times New Roman"/>
          <w:sz w:val="24"/>
          <w:szCs w:val="24"/>
        </w:rPr>
        <w:t xml:space="preserve">.  Most of these studies have applied kinetic models to make predictions and to understand how different storage conditions impact browning.  For example, in citrus juices stored at 28, 37 and 45°C, AA loss followed first-order kinetics </w:t>
      </w:r>
      <w:r w:rsidRPr="004341B9">
        <w:rPr>
          <w:rFonts w:ascii="Times New Roman" w:hAnsi="Times New Roman" w:cs="Times New Roman"/>
          <w:noProof/>
          <w:sz w:val="24"/>
          <w:szCs w:val="24"/>
        </w:rPr>
        <w:t>(Burdurlu and others 2006)</w:t>
      </w:r>
      <w:r w:rsidRPr="004341B9">
        <w:rPr>
          <w:rFonts w:ascii="Times New Roman" w:hAnsi="Times New Roman" w:cs="Times New Roman"/>
          <w:sz w:val="24"/>
          <w:szCs w:val="24"/>
        </w:rPr>
        <w:t xml:space="preserve">.  In citrus juice stored at a wide range of temperatures (4-105°C), at lower temperatures (4-37°C) AA loss followed zero order models, while at higher temperatures of 76°C and 105°C, the loss followed first and second order models, respectively </w:t>
      </w:r>
      <w:r w:rsidRPr="004341B9">
        <w:rPr>
          <w:rFonts w:ascii="Times New Roman" w:hAnsi="Times New Roman" w:cs="Times New Roman"/>
          <w:noProof/>
          <w:sz w:val="24"/>
          <w:szCs w:val="24"/>
        </w:rPr>
        <w:t>(Roig and others 2000)</w:t>
      </w:r>
      <w:r w:rsidRPr="004341B9">
        <w:rPr>
          <w:rFonts w:ascii="Times New Roman" w:hAnsi="Times New Roman" w:cs="Times New Roman"/>
          <w:sz w:val="24"/>
          <w:szCs w:val="24"/>
        </w:rPr>
        <w:t xml:space="preserve">.  During storage of peach juice concentrate at 3, 15, 30 and 37°C, the absorbance values (indicative of browning) throughout storage fit a parabolic model </w:t>
      </w:r>
      <w:r w:rsidRPr="004341B9">
        <w:rPr>
          <w:rFonts w:ascii="Times New Roman" w:hAnsi="Times New Roman" w:cs="Times New Roman"/>
          <w:noProof/>
          <w:sz w:val="24"/>
          <w:szCs w:val="24"/>
        </w:rPr>
        <w:t>(Buedo and others 2000)</w:t>
      </w:r>
      <w:r w:rsidRPr="004341B9">
        <w:rPr>
          <w:rFonts w:ascii="Times New Roman" w:hAnsi="Times New Roman" w:cs="Times New Roman"/>
          <w:sz w:val="24"/>
          <w:szCs w:val="24"/>
        </w:rPr>
        <w:t xml:space="preserve">.  In addition, non-enzymatic browning developing during thermal treatments has also been reported.  For instance, during heating of pineapple puree at 70-110°C, it was reported that L and b values followed first order models while ∆E*, and browning index fitted zero order models </w:t>
      </w:r>
      <w:r w:rsidRPr="004341B9">
        <w:rPr>
          <w:rFonts w:ascii="Times New Roman" w:hAnsi="Times New Roman" w:cs="Times New Roman"/>
          <w:noProof/>
          <w:sz w:val="24"/>
          <w:szCs w:val="24"/>
        </w:rPr>
        <w:t>(Chutintrasri and Noomhorm 200</w:t>
      </w:r>
      <w:r w:rsidR="00CC7D02">
        <w:rPr>
          <w:rFonts w:ascii="Times New Roman" w:hAnsi="Times New Roman" w:cs="Times New Roman"/>
          <w:noProof/>
          <w:sz w:val="24"/>
          <w:szCs w:val="24"/>
        </w:rPr>
        <w:t>7</w:t>
      </w:r>
      <w:r w:rsidRPr="004341B9">
        <w:rPr>
          <w:rFonts w:ascii="Times New Roman" w:hAnsi="Times New Roman" w:cs="Times New Roman"/>
          <w:noProof/>
          <w:sz w:val="24"/>
          <w:szCs w:val="24"/>
        </w:rPr>
        <w:t>)</w:t>
      </w:r>
      <w:r w:rsidRPr="004341B9">
        <w:rPr>
          <w:rFonts w:ascii="Times New Roman" w:hAnsi="Times New Roman" w:cs="Times New Roman"/>
          <w:sz w:val="24"/>
          <w:szCs w:val="24"/>
        </w:rPr>
        <w:t xml:space="preserve">.  In a similar study but heating pineapple juice at 55-95°C, it was observed that </w:t>
      </w:r>
      <w:proofErr w:type="gramStart"/>
      <w:r w:rsidRPr="004341B9">
        <w:rPr>
          <w:rFonts w:ascii="Times New Roman" w:hAnsi="Times New Roman" w:cs="Times New Roman"/>
          <w:sz w:val="24"/>
          <w:szCs w:val="24"/>
        </w:rPr>
        <w:t>a and</w:t>
      </w:r>
      <w:proofErr w:type="gramEnd"/>
      <w:r w:rsidRPr="004341B9">
        <w:rPr>
          <w:rFonts w:ascii="Times New Roman" w:hAnsi="Times New Roman" w:cs="Times New Roman"/>
          <w:sz w:val="24"/>
          <w:szCs w:val="24"/>
        </w:rPr>
        <w:t xml:space="preserve"> b values fit first order models, and browning indexes and hydroxymethylfurfural followed zero order models </w:t>
      </w:r>
      <w:r w:rsidRPr="004341B9">
        <w:rPr>
          <w:rFonts w:ascii="Times New Roman" w:hAnsi="Times New Roman" w:cs="Times New Roman"/>
          <w:noProof/>
          <w:sz w:val="24"/>
          <w:szCs w:val="24"/>
        </w:rPr>
        <w:t>(Rattanathanalerk and others 2005)</w:t>
      </w:r>
      <w:r w:rsidRPr="004341B9">
        <w:rPr>
          <w:rFonts w:ascii="Times New Roman" w:hAnsi="Times New Roman" w:cs="Times New Roman"/>
          <w:sz w:val="24"/>
          <w:szCs w:val="24"/>
        </w:rPr>
        <w:t>.</w:t>
      </w:r>
    </w:p>
    <w:p w:rsidR="00D54621" w:rsidRPr="004341B9" w:rsidRDefault="00D54621" w:rsidP="004341B9">
      <w:pPr>
        <w:spacing w:after="0" w:line="360" w:lineRule="auto"/>
        <w:ind w:firstLine="706"/>
        <w:jc w:val="both"/>
        <w:rPr>
          <w:rFonts w:ascii="Times New Roman" w:hAnsi="Times New Roman" w:cs="Times New Roman"/>
          <w:sz w:val="24"/>
          <w:szCs w:val="24"/>
        </w:rPr>
      </w:pPr>
    </w:p>
    <w:p w:rsidR="00D54621" w:rsidRPr="004341B9" w:rsidRDefault="00D54621" w:rsidP="004341B9">
      <w:pPr>
        <w:spacing w:after="0" w:line="360" w:lineRule="auto"/>
        <w:ind w:firstLine="706"/>
        <w:jc w:val="both"/>
        <w:rPr>
          <w:rFonts w:ascii="Times New Roman" w:hAnsi="Times New Roman" w:cs="Times New Roman"/>
          <w:sz w:val="24"/>
          <w:szCs w:val="24"/>
        </w:rPr>
      </w:pPr>
      <w:r w:rsidRPr="004341B9">
        <w:rPr>
          <w:rFonts w:ascii="Times New Roman" w:hAnsi="Times New Roman" w:cs="Times New Roman"/>
          <w:sz w:val="24"/>
          <w:szCs w:val="24"/>
        </w:rPr>
        <w:t xml:space="preserve">In addition to the simple kinetic models (zero, first and second orders), there are studies that recommend the application of other equations, since these new models more accurately describe AA degradation.  For example, the Weibull model fit AA degradation data better than zero, first or second order models in fresh cut watermelon and citrus juice heated under aerobic conditions </w:t>
      </w:r>
      <w:r w:rsidRPr="004341B9">
        <w:rPr>
          <w:rFonts w:ascii="Times New Roman" w:hAnsi="Times New Roman" w:cs="Times New Roman"/>
          <w:noProof/>
          <w:sz w:val="24"/>
          <w:szCs w:val="24"/>
        </w:rPr>
        <w:t>(Oms-Oliu and others 2009; Manso and others 2001)</w:t>
      </w:r>
      <w:r w:rsidRPr="004341B9">
        <w:rPr>
          <w:rFonts w:ascii="Times New Roman" w:hAnsi="Times New Roman" w:cs="Times New Roman"/>
          <w:sz w:val="24"/>
          <w:szCs w:val="24"/>
        </w:rPr>
        <w:t xml:space="preserve">.  The Weibull model considers a scale parameter (α) as a time constant (inverse of the rate constant), and a shape parameter (β) as a behavior index </w:t>
      </w:r>
      <w:r w:rsidRPr="004341B9">
        <w:rPr>
          <w:rFonts w:ascii="Times New Roman" w:hAnsi="Times New Roman" w:cs="Times New Roman"/>
          <w:noProof/>
          <w:sz w:val="24"/>
          <w:szCs w:val="24"/>
        </w:rPr>
        <w:t>(Hui 2005)</w:t>
      </w:r>
      <w:r w:rsidRPr="004341B9">
        <w:rPr>
          <w:rFonts w:ascii="Times New Roman" w:hAnsi="Times New Roman" w:cs="Times New Roman"/>
          <w:sz w:val="24"/>
          <w:szCs w:val="24"/>
        </w:rPr>
        <w:t xml:space="preserve">.  Due to the use of α and β parameters, this model is extremely flexible </w:t>
      </w:r>
      <w:r w:rsidRPr="004341B9">
        <w:rPr>
          <w:rFonts w:ascii="Times New Roman" w:hAnsi="Times New Roman" w:cs="Times New Roman"/>
          <w:noProof/>
          <w:sz w:val="24"/>
          <w:szCs w:val="24"/>
        </w:rPr>
        <w:t>(Manso and others 2001)</w:t>
      </w:r>
      <w:r w:rsidRPr="004341B9">
        <w:rPr>
          <w:rFonts w:ascii="Times New Roman" w:hAnsi="Times New Roman" w:cs="Times New Roman"/>
          <w:sz w:val="24"/>
          <w:szCs w:val="24"/>
        </w:rPr>
        <w:t xml:space="preserve">.  Furthermore, in reference to color characteristics, the combined model has been applied successfully in several studies </w:t>
      </w:r>
      <w:r w:rsidRPr="004341B9">
        <w:rPr>
          <w:rFonts w:ascii="Times New Roman" w:hAnsi="Times New Roman" w:cs="Times New Roman"/>
          <w:noProof/>
          <w:sz w:val="24"/>
          <w:szCs w:val="24"/>
        </w:rPr>
        <w:t xml:space="preserve">(Lozano and Ibarz 1996; Ibarz </w:t>
      </w:r>
      <w:r w:rsidRPr="004341B9">
        <w:rPr>
          <w:rFonts w:ascii="Times New Roman" w:hAnsi="Times New Roman" w:cs="Times New Roman"/>
          <w:noProof/>
          <w:sz w:val="24"/>
          <w:szCs w:val="24"/>
        </w:rPr>
        <w:lastRenderedPageBreak/>
        <w:t>and others 1999; Garza and others 1999; Rattanathanalerk and others 2005)</w:t>
      </w:r>
      <w:r w:rsidRPr="004341B9">
        <w:rPr>
          <w:rFonts w:ascii="Times New Roman" w:hAnsi="Times New Roman" w:cs="Times New Roman"/>
          <w:sz w:val="24"/>
          <w:szCs w:val="24"/>
        </w:rPr>
        <w:t xml:space="preserve">.  This model is based on the theory that there are two stages associated with color changes.  The first stage is a color formation which follows a zero order kinetic model and the second stage is a color degradation which follows a first </w:t>
      </w:r>
      <w:r w:rsidR="002426CC">
        <w:rPr>
          <w:rFonts w:ascii="Times New Roman" w:hAnsi="Times New Roman" w:cs="Times New Roman"/>
          <w:sz w:val="24"/>
          <w:szCs w:val="24"/>
        </w:rPr>
        <w:t xml:space="preserve">order </w:t>
      </w:r>
      <w:r w:rsidRPr="004341B9">
        <w:rPr>
          <w:rFonts w:ascii="Times New Roman" w:hAnsi="Times New Roman" w:cs="Times New Roman"/>
          <w:sz w:val="24"/>
          <w:szCs w:val="24"/>
        </w:rPr>
        <w:t xml:space="preserve">kinetic model </w:t>
      </w:r>
      <w:r w:rsidRPr="004341B9">
        <w:rPr>
          <w:rFonts w:ascii="Times New Roman" w:hAnsi="Times New Roman" w:cs="Times New Roman"/>
          <w:noProof/>
          <w:sz w:val="24"/>
          <w:szCs w:val="24"/>
        </w:rPr>
        <w:t>(Ibarz and others 1999)</w:t>
      </w:r>
      <w:r w:rsidRPr="004341B9">
        <w:rPr>
          <w:rFonts w:ascii="Times New Roman" w:hAnsi="Times New Roman" w:cs="Times New Roman"/>
          <w:sz w:val="24"/>
          <w:szCs w:val="24"/>
        </w:rPr>
        <w:t xml:space="preserve">.  Even though reaction 1 is intended to describe color changes due to the maillard reaction, it is possible that that color change due to AA-related browning can also be explained using the same equation.  In fact, it is known that some intermediates of AA degradation enter the maillard reactions </w:t>
      </w:r>
      <w:r w:rsidRPr="004341B9">
        <w:rPr>
          <w:rFonts w:ascii="Times New Roman" w:hAnsi="Times New Roman" w:cs="Times New Roman"/>
          <w:noProof/>
          <w:sz w:val="24"/>
          <w:szCs w:val="24"/>
        </w:rPr>
        <w:t>(Wong 1989)</w:t>
      </w:r>
      <w:r w:rsidRPr="004341B9">
        <w:rPr>
          <w:rFonts w:ascii="Times New Roman" w:hAnsi="Times New Roman" w:cs="Times New Roman"/>
          <w:sz w:val="24"/>
          <w:szCs w:val="24"/>
        </w:rPr>
        <w:t>.</w:t>
      </w:r>
    </w:p>
    <w:p w:rsidR="00D54621" w:rsidRPr="004341B9" w:rsidRDefault="00D54621" w:rsidP="004341B9">
      <w:pPr>
        <w:pStyle w:val="ListParagraph"/>
        <w:spacing w:after="0" w:line="360" w:lineRule="auto"/>
        <w:ind w:left="708"/>
        <w:rPr>
          <w:rFonts w:ascii="Times New Roman" w:hAnsi="Times New Roman"/>
          <w:color w:val="FF0000"/>
          <w:sz w:val="24"/>
          <w:szCs w:val="24"/>
        </w:rPr>
      </w:pPr>
    </w:p>
    <w:p w:rsidR="00D54621" w:rsidRPr="004341B9" w:rsidRDefault="004C2F3F" w:rsidP="004341B9">
      <w:pPr>
        <w:pStyle w:val="ListParagraph"/>
        <w:spacing w:after="0" w:line="360" w:lineRule="auto"/>
        <w:ind w:left="0"/>
        <w:jc w:val="both"/>
        <w:rPr>
          <w:rFonts w:ascii="Times New Roman" w:hAnsi="Times New Roman"/>
          <w:b/>
          <w:sz w:val="24"/>
          <w:szCs w:val="24"/>
        </w:rPr>
      </w:pPr>
      <w:r>
        <w:rPr>
          <w:rFonts w:ascii="Times New Roman" w:hAnsi="Times New Roman"/>
          <w:b/>
          <w:sz w:val="24"/>
          <w:szCs w:val="24"/>
        </w:rPr>
        <w:t>CONTROL OF L-ASCORBIC ACID DEGRADATION</w:t>
      </w:r>
    </w:p>
    <w:p w:rsidR="00D54621" w:rsidRPr="004341B9" w:rsidRDefault="00D54621" w:rsidP="004341B9">
      <w:pPr>
        <w:spacing w:after="0" w:line="360" w:lineRule="auto"/>
        <w:ind w:left="720" w:hanging="630"/>
        <w:rPr>
          <w:rFonts w:ascii="Times New Roman" w:hAnsi="Times New Roman" w:cs="Times New Roman"/>
          <w:b/>
          <w:i/>
          <w:sz w:val="24"/>
          <w:szCs w:val="24"/>
        </w:rPr>
      </w:pPr>
      <w:r w:rsidRPr="004341B9">
        <w:rPr>
          <w:rFonts w:ascii="Times New Roman" w:hAnsi="Times New Roman" w:cs="Times New Roman"/>
          <w:b/>
          <w:i/>
          <w:sz w:val="24"/>
          <w:szCs w:val="24"/>
        </w:rPr>
        <w:t xml:space="preserve"> L-Ascorbic acid derivatives</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AA derivatives have been produced commercially since this vitamin has several reactive positions </w:t>
      </w:r>
      <w:r w:rsidRPr="004341B9">
        <w:rPr>
          <w:rFonts w:ascii="Times New Roman" w:hAnsi="Times New Roman"/>
          <w:noProof/>
          <w:sz w:val="24"/>
          <w:szCs w:val="24"/>
        </w:rPr>
        <w:t>(Packer and Fuchs 1997)</w:t>
      </w:r>
      <w:r w:rsidRPr="004341B9">
        <w:rPr>
          <w:rFonts w:ascii="Times New Roman" w:hAnsi="Times New Roman"/>
          <w:sz w:val="24"/>
          <w:szCs w:val="24"/>
        </w:rPr>
        <w:t xml:space="preserve">.  The esterification of AA at one of its hydroxyl groups has overcome solubility problems in pharmaceutical and food industries </w:t>
      </w:r>
      <w:r w:rsidRPr="004341B9">
        <w:rPr>
          <w:rFonts w:ascii="Times New Roman" w:hAnsi="Times New Roman"/>
          <w:noProof/>
          <w:sz w:val="24"/>
          <w:szCs w:val="24"/>
        </w:rPr>
        <w:t>(Austria and others 1997; O'Keefe 2001)</w:t>
      </w:r>
      <w:r w:rsidRPr="004341B9">
        <w:rPr>
          <w:rFonts w:ascii="Times New Roman" w:hAnsi="Times New Roman"/>
          <w:sz w:val="24"/>
          <w:szCs w:val="24"/>
        </w:rPr>
        <w:t xml:space="preserve">.  For example, when AA is conjugated with fatty acids such as palmitate or acetate, vitamin C acquires lipid solubility and can be used as an antioxidant in lipid environments </w:t>
      </w:r>
      <w:r w:rsidRPr="004341B9">
        <w:rPr>
          <w:rFonts w:ascii="Times New Roman" w:hAnsi="Times New Roman"/>
          <w:noProof/>
          <w:sz w:val="24"/>
          <w:szCs w:val="24"/>
        </w:rPr>
        <w:t>(Fennema 1996)</w:t>
      </w:r>
      <w:r w:rsidRPr="004341B9">
        <w:rPr>
          <w:rFonts w:ascii="Times New Roman" w:hAnsi="Times New Roman"/>
          <w:sz w:val="24"/>
          <w:szCs w:val="24"/>
        </w:rPr>
        <w:t xml:space="preserve">.  </w:t>
      </w:r>
      <w:proofErr w:type="gramStart"/>
      <w:r w:rsidRPr="004341B9">
        <w:rPr>
          <w:rFonts w:ascii="Times New Roman" w:hAnsi="Times New Roman"/>
          <w:sz w:val="24"/>
          <w:szCs w:val="24"/>
        </w:rPr>
        <w:t xml:space="preserve">Also, when derivatives have substituted groups at carbons 2 and 3, the vitamin become more stable against oxidative reactions </w:t>
      </w:r>
      <w:r w:rsidRPr="004341B9">
        <w:rPr>
          <w:rFonts w:ascii="Times New Roman" w:hAnsi="Times New Roman"/>
          <w:noProof/>
          <w:sz w:val="24"/>
          <w:szCs w:val="24"/>
        </w:rPr>
        <w:t>(Iacobucci and Sweeny 1980)</w:t>
      </w:r>
      <w:r w:rsidRPr="004341B9">
        <w:rPr>
          <w:rFonts w:ascii="Times New Roman" w:hAnsi="Times New Roman"/>
          <w:sz w:val="24"/>
          <w:szCs w:val="24"/>
        </w:rPr>
        <w:t>.</w:t>
      </w:r>
      <w:proofErr w:type="gramEnd"/>
    </w:p>
    <w:p w:rsidR="00D54621" w:rsidRPr="004341B9" w:rsidRDefault="00D54621" w:rsidP="004341B9">
      <w:pPr>
        <w:pStyle w:val="ListParagraph"/>
        <w:spacing w:after="0" w:line="360" w:lineRule="auto"/>
        <w:ind w:left="0" w:firstLine="708"/>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The use of AA derivatives with substituted groups at carbons 2 and 3 is appealing because it can attenuate the loss of vitamin C during the production or storage of food products </w:t>
      </w:r>
      <w:r w:rsidRPr="004341B9">
        <w:rPr>
          <w:rFonts w:ascii="Times New Roman" w:hAnsi="Times New Roman"/>
          <w:noProof/>
          <w:sz w:val="24"/>
          <w:szCs w:val="24"/>
        </w:rPr>
        <w:t>(Wong 1989; Liao and Seib 1988)</w:t>
      </w:r>
      <w:r w:rsidRPr="004341B9">
        <w:rPr>
          <w:rFonts w:ascii="Times New Roman" w:hAnsi="Times New Roman"/>
          <w:sz w:val="24"/>
          <w:szCs w:val="24"/>
        </w:rPr>
        <w:t>.  To date, the most effective derivatives developed are ascorbyl-2-sulfate and ascorbyl-2-phosphate esters (Fig</w:t>
      </w:r>
      <w:r w:rsidR="00FA064E">
        <w:rPr>
          <w:rFonts w:ascii="Times New Roman" w:hAnsi="Times New Roman"/>
          <w:sz w:val="24"/>
          <w:szCs w:val="24"/>
        </w:rPr>
        <w:t>.</w:t>
      </w:r>
      <w:r w:rsidRPr="004341B9">
        <w:rPr>
          <w:rFonts w:ascii="Times New Roman" w:hAnsi="Times New Roman"/>
          <w:sz w:val="24"/>
          <w:szCs w:val="24"/>
        </w:rPr>
        <w:t xml:space="preserve"> 4) </w:t>
      </w:r>
      <w:r w:rsidRPr="004341B9">
        <w:rPr>
          <w:rFonts w:ascii="Times New Roman" w:hAnsi="Times New Roman"/>
          <w:noProof/>
          <w:sz w:val="24"/>
          <w:szCs w:val="24"/>
        </w:rPr>
        <w:t>(O'Keefe 2001)</w:t>
      </w:r>
      <w:r w:rsidRPr="004341B9">
        <w:rPr>
          <w:rFonts w:ascii="Times New Roman" w:hAnsi="Times New Roman"/>
          <w:sz w:val="24"/>
          <w:szCs w:val="24"/>
        </w:rPr>
        <w:t xml:space="preserve">.  The esterification of vitamin C at other carbons also results in improved stability; however, the stability is not as high as with the esterification of the enediol group </w:t>
      </w:r>
      <w:r w:rsidRPr="004341B9">
        <w:rPr>
          <w:rFonts w:ascii="Times New Roman" w:hAnsi="Times New Roman"/>
          <w:noProof/>
          <w:sz w:val="24"/>
          <w:szCs w:val="24"/>
        </w:rPr>
        <w:t>(Austria and others 1997; Schonrock and Kruse 2004)</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Currently, most applications of ascorbyl-2-phoshphate and ascorbyl-2-sulphate are in cosmetics, pharmaceuticals and aquaculture feeds </w:t>
      </w:r>
      <w:r w:rsidRPr="004341B9">
        <w:rPr>
          <w:rFonts w:ascii="Times New Roman" w:hAnsi="Times New Roman"/>
          <w:noProof/>
          <w:sz w:val="24"/>
          <w:szCs w:val="24"/>
        </w:rPr>
        <w:t>(Austria and others 1997; O'Keefe 2001; Fermann and Gripp 2004)</w:t>
      </w:r>
      <w:r w:rsidRPr="004341B9">
        <w:rPr>
          <w:rFonts w:ascii="Times New Roman" w:hAnsi="Times New Roman"/>
          <w:sz w:val="24"/>
          <w:szCs w:val="24"/>
        </w:rPr>
        <w:t xml:space="preserve">.  For cosmetics, a more stable form of AA is advantageous, since this vitamin is used as an antioxidant in skin formulations; AA is easily depleted during skin exposure to the sun </w:t>
      </w:r>
      <w:r w:rsidRPr="004341B9">
        <w:rPr>
          <w:rFonts w:ascii="Times New Roman" w:hAnsi="Times New Roman"/>
          <w:noProof/>
          <w:sz w:val="24"/>
          <w:szCs w:val="24"/>
        </w:rPr>
        <w:t>(Fermann and Gripp 2004)</w:t>
      </w:r>
      <w:r w:rsidRPr="004341B9">
        <w:rPr>
          <w:rFonts w:ascii="Times New Roman" w:hAnsi="Times New Roman"/>
          <w:sz w:val="24"/>
          <w:szCs w:val="24"/>
        </w:rPr>
        <w:t xml:space="preserve">.  Currently, sodium ascorbyl phosphate is </w:t>
      </w:r>
      <w:r w:rsidRPr="004341B9">
        <w:rPr>
          <w:rFonts w:ascii="Times New Roman" w:hAnsi="Times New Roman"/>
          <w:sz w:val="24"/>
          <w:szCs w:val="24"/>
        </w:rPr>
        <w:lastRenderedPageBreak/>
        <w:t xml:space="preserve">distributed under the name of Stay-C 50 for use in skin formulations.  There is evidence showing that this compound is highly stable at 43°C at pH 7 or higher.  In a study conducted at pH 4 with solutions and topical formulations, it has been demonstrated that ascorbyl palmitate and magnesium ascorbyl phosphate were more stable than AA.  In fact, between ascorbyl esters, the ascorbyl phosphate was more stable.  Here it was reported that ascorbyl phosphate </w:t>
      </w:r>
      <w:proofErr w:type="gramStart"/>
      <w:r w:rsidRPr="004341B9">
        <w:rPr>
          <w:rFonts w:ascii="Times New Roman" w:hAnsi="Times New Roman"/>
          <w:sz w:val="24"/>
          <w:szCs w:val="24"/>
        </w:rPr>
        <w:t>had  95</w:t>
      </w:r>
      <w:proofErr w:type="gramEnd"/>
      <w:r w:rsidRPr="004341B9">
        <w:rPr>
          <w:rFonts w:ascii="Times New Roman" w:hAnsi="Times New Roman"/>
          <w:sz w:val="24"/>
          <w:szCs w:val="24"/>
        </w:rPr>
        <w:t xml:space="preserve">% retention after 60 days at 42°C in darkness; while after 2 months at room temperature and at darkness, ascorbyl palmitate had 27% retention </w:t>
      </w:r>
      <w:r w:rsidRPr="004341B9">
        <w:rPr>
          <w:rFonts w:ascii="Times New Roman" w:hAnsi="Times New Roman"/>
          <w:noProof/>
          <w:sz w:val="24"/>
          <w:szCs w:val="24"/>
        </w:rPr>
        <w:t>(Austria and others 1997)</w:t>
      </w:r>
      <w:r w:rsidRPr="004341B9">
        <w:rPr>
          <w:rFonts w:ascii="Times New Roman" w:hAnsi="Times New Roman"/>
          <w:sz w:val="24"/>
          <w:szCs w:val="24"/>
        </w:rPr>
        <w:t xml:space="preserve">.  In addition to the application of these AA derivatives in cosmetics, there are several published papers which emphasize the advantages of these compounds over AA in aquaculture.  In fact, this industry requires methods to preserve AA in feeds, since many fish species can develop scurvy and, consequently, produce serious economic losses.  For example, it has been reported that after diet processing and storage of shrimps, magnesium ascorbyl-2-phosphate was more stable than AA </w:t>
      </w:r>
      <w:r w:rsidRPr="004341B9">
        <w:rPr>
          <w:rFonts w:ascii="Times New Roman" w:hAnsi="Times New Roman"/>
          <w:noProof/>
          <w:sz w:val="24"/>
          <w:szCs w:val="24"/>
        </w:rPr>
        <w:t>(Shigueno and Itoh 1988)</w:t>
      </w:r>
      <w:r w:rsidRPr="004341B9">
        <w:rPr>
          <w:rFonts w:ascii="Times New Roman" w:hAnsi="Times New Roman"/>
          <w:sz w:val="24"/>
          <w:szCs w:val="24"/>
        </w:rPr>
        <w:t xml:space="preserve">.  Similar studies are reported elsewhere </w:t>
      </w:r>
      <w:r w:rsidRPr="004341B9">
        <w:rPr>
          <w:rFonts w:ascii="Times New Roman" w:hAnsi="Times New Roman"/>
          <w:noProof/>
          <w:sz w:val="24"/>
          <w:szCs w:val="24"/>
        </w:rPr>
        <w:t>(O'Keefe 2001)</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Even though neither ascorbyl-2-phosphate nor ascorbyl-2-sulphate are currently Generally Recognized as Safe (GRAS) by the FDA, some research in food systems has been conducted.  For example, in a study on white bread, after 3 days the samples fortified with L-ascorbate-2-polyphosphate and L-ascorbate-2-monophosphte retained 10-15% more vitamin C than samples which were fortified with AA </w:t>
      </w:r>
      <w:r w:rsidRPr="004341B9">
        <w:rPr>
          <w:rFonts w:ascii="Times New Roman" w:hAnsi="Times New Roman"/>
          <w:noProof/>
          <w:sz w:val="24"/>
          <w:szCs w:val="24"/>
        </w:rPr>
        <w:t>(Park and others 1994)</w:t>
      </w:r>
      <w:r w:rsidRPr="004341B9">
        <w:rPr>
          <w:rFonts w:ascii="Times New Roman" w:hAnsi="Times New Roman"/>
          <w:sz w:val="24"/>
          <w:szCs w:val="24"/>
        </w:rPr>
        <w:t xml:space="preserve">.  In another study in bread, samples fortified with ascorbyl-2-monophosphate and AA </w:t>
      </w:r>
      <w:proofErr w:type="gramStart"/>
      <w:r w:rsidRPr="004341B9">
        <w:rPr>
          <w:rFonts w:ascii="Times New Roman" w:hAnsi="Times New Roman"/>
          <w:sz w:val="24"/>
          <w:szCs w:val="24"/>
        </w:rPr>
        <w:t>were</w:t>
      </w:r>
      <w:proofErr w:type="gramEnd"/>
      <w:r w:rsidRPr="004341B9">
        <w:rPr>
          <w:rFonts w:ascii="Times New Roman" w:hAnsi="Times New Roman"/>
          <w:sz w:val="24"/>
          <w:szCs w:val="24"/>
        </w:rPr>
        <w:t xml:space="preserve"> retained at 40% and 5%, respectively, after 6 days at 25°C </w:t>
      </w:r>
      <w:r w:rsidRPr="004341B9">
        <w:rPr>
          <w:rFonts w:ascii="Times New Roman" w:hAnsi="Times New Roman"/>
          <w:noProof/>
          <w:sz w:val="24"/>
          <w:szCs w:val="24"/>
        </w:rPr>
        <w:t>(Wang and others 1995)</w:t>
      </w:r>
      <w:r w:rsidRPr="004341B9">
        <w:rPr>
          <w:rFonts w:ascii="Times New Roman" w:hAnsi="Times New Roman"/>
          <w:sz w:val="24"/>
          <w:szCs w:val="24"/>
        </w:rPr>
        <w:t xml:space="preserve">.  In addition, solutions of ascorbyl-2-monophosphate and ascorbyl-2-polyphosphate (0.3%) injected into ground turkey and ground beef were more effective than AA or sodium ascorbate for the preservation of flavor and aroma of cooked ground turkey and beef after 3 days storage at 4°C </w:t>
      </w:r>
      <w:r w:rsidRPr="004341B9">
        <w:rPr>
          <w:rFonts w:ascii="Times New Roman" w:hAnsi="Times New Roman"/>
          <w:noProof/>
          <w:sz w:val="24"/>
          <w:szCs w:val="24"/>
        </w:rPr>
        <w:t>(Craig and others 1991)</w:t>
      </w:r>
      <w:r w:rsidRPr="004341B9">
        <w:rPr>
          <w:rFonts w:ascii="Times New Roman" w:hAnsi="Times New Roman"/>
          <w:sz w:val="24"/>
          <w:szCs w:val="24"/>
        </w:rPr>
        <w:t xml:space="preserve">.  In the production of mashed potatoes, in samples fortified with AA, 96% was lost during preparation and storage of potato flakes and during holding of the reconstituted product on the steam table.  On the other hand, samples with ascorbyl-2-monophosphate and ascorbyl-2-polyphosphate were retained around 68% at the point of consumption </w:t>
      </w:r>
      <w:r w:rsidRPr="004341B9">
        <w:rPr>
          <w:rFonts w:ascii="Times New Roman" w:hAnsi="Times New Roman"/>
          <w:noProof/>
          <w:sz w:val="24"/>
          <w:szCs w:val="24"/>
        </w:rPr>
        <w:t>(Wang and others 1992)</w:t>
      </w:r>
      <w:r w:rsidRPr="004341B9">
        <w:rPr>
          <w:rFonts w:ascii="Times New Roman" w:hAnsi="Times New Roman"/>
          <w:sz w:val="24"/>
          <w:szCs w:val="24"/>
        </w:rPr>
        <w:t xml:space="preserve">.  In carbonated beverages, samples fortified with ascorbyl-2-monophosphate lost about 8% of vitamin C after 28 days of storage at 15°C-35°C while samples fortified with AA lost 18-36%.  Under these conditions, ascorbyl-2-polyphosphate also had greater stability than AA at 15°C and 25°C </w:t>
      </w:r>
      <w:r w:rsidRPr="004341B9">
        <w:rPr>
          <w:rFonts w:ascii="Times New Roman" w:hAnsi="Times New Roman"/>
          <w:sz w:val="24"/>
          <w:szCs w:val="24"/>
        </w:rPr>
        <w:lastRenderedPageBreak/>
        <w:t xml:space="preserve">storage.  At 35°C, there was no difference between ascorbyl-2-phosphate and AA.  After 25°C storage at 40% moisture for 7 months, bran flakes fortified with AA, ascorbyl-2-monophosphate and ascorbyl-2-polyphosphate lost 5%, 0% and 11% of vitamin C, respectively </w:t>
      </w:r>
      <w:r w:rsidRPr="004341B9">
        <w:rPr>
          <w:rFonts w:ascii="Times New Roman" w:hAnsi="Times New Roman"/>
          <w:noProof/>
          <w:sz w:val="24"/>
          <w:szCs w:val="24"/>
        </w:rPr>
        <w:t>(Wang and others 1995)</w:t>
      </w:r>
      <w:r w:rsidRPr="004341B9">
        <w:rPr>
          <w:rFonts w:ascii="Times New Roman" w:hAnsi="Times New Roman"/>
          <w:sz w:val="24"/>
          <w:szCs w:val="24"/>
        </w:rPr>
        <w:t xml:space="preserve">.  Finally, in acidic model systems with an anthocyanin and different AA derivatives, after 50 hours of storage, the systems that had AA had a color loss of over 23% while the systems that contained ascorbyl-2-phosphate and ascorbyl-2-sulfate showed less than 7% color loss </w:t>
      </w:r>
      <w:r w:rsidRPr="004341B9">
        <w:rPr>
          <w:rFonts w:ascii="Times New Roman" w:hAnsi="Times New Roman"/>
          <w:noProof/>
          <w:sz w:val="24"/>
          <w:szCs w:val="24"/>
        </w:rPr>
        <w:t>(Iacobucci and Sweeny 1980)</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Research comparing bioavailability of ascorbyl esters with AA has been reported </w:t>
      </w:r>
      <w:r w:rsidRPr="004341B9">
        <w:rPr>
          <w:rFonts w:ascii="Times New Roman" w:hAnsi="Times New Roman"/>
          <w:noProof/>
          <w:sz w:val="24"/>
          <w:szCs w:val="24"/>
        </w:rPr>
        <w:t>(Iacobucci and Sweeny 1980)</w:t>
      </w:r>
      <w:r w:rsidRPr="004341B9">
        <w:rPr>
          <w:rFonts w:ascii="Times New Roman" w:hAnsi="Times New Roman"/>
          <w:sz w:val="24"/>
          <w:szCs w:val="24"/>
        </w:rPr>
        <w:t xml:space="preserve">.  Ascorbyl-2-sulfate has been shown to have the same antiscorbutic activity as AA in rainbow trout; however, in studies done in catfish, vitamin C activities in blood and liver tissues were higher in those fed with AA than with acorbyl-2-sulfate. Phosphate esters of AA appear to have better bioavailability than ascorbyl-2-sulfate according to investigations in guinea pigs, rhesus monkey, shrimp, among other species </w:t>
      </w:r>
      <w:r w:rsidRPr="004341B9">
        <w:rPr>
          <w:rFonts w:ascii="Times New Roman" w:hAnsi="Times New Roman"/>
          <w:noProof/>
          <w:sz w:val="24"/>
          <w:szCs w:val="24"/>
        </w:rPr>
        <w:t>(O'Keefe 2001)</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rPr>
          <w:rFonts w:ascii="Times New Roman" w:hAnsi="Times New Roman"/>
          <w:b/>
          <w:i/>
          <w:sz w:val="24"/>
          <w:szCs w:val="24"/>
        </w:rPr>
      </w:pPr>
    </w:p>
    <w:p w:rsidR="00D54621" w:rsidRPr="004341B9" w:rsidRDefault="00D54621" w:rsidP="004341B9">
      <w:pPr>
        <w:pStyle w:val="ListParagraph"/>
        <w:spacing w:after="0" w:line="360" w:lineRule="auto"/>
        <w:ind w:left="0"/>
        <w:rPr>
          <w:rFonts w:ascii="Times New Roman" w:hAnsi="Times New Roman"/>
          <w:b/>
          <w:i/>
          <w:sz w:val="24"/>
          <w:szCs w:val="24"/>
        </w:rPr>
      </w:pPr>
      <w:r w:rsidRPr="004341B9">
        <w:rPr>
          <w:rFonts w:ascii="Times New Roman" w:hAnsi="Times New Roman"/>
          <w:b/>
          <w:i/>
          <w:sz w:val="24"/>
          <w:szCs w:val="24"/>
        </w:rPr>
        <w:t>Flavonoids</w:t>
      </w:r>
    </w:p>
    <w:p w:rsidR="00D54621" w:rsidRPr="004341B9" w:rsidRDefault="00D54621" w:rsidP="004341B9">
      <w:pPr>
        <w:pStyle w:val="ListParagraph"/>
        <w:spacing w:after="0" w:line="360" w:lineRule="auto"/>
        <w:ind w:left="0"/>
        <w:jc w:val="both"/>
        <w:rPr>
          <w:rFonts w:ascii="Times New Roman" w:hAnsi="Times New Roman"/>
          <w:sz w:val="24"/>
          <w:szCs w:val="24"/>
        </w:rPr>
      </w:pPr>
      <w:r w:rsidRPr="004341B9">
        <w:rPr>
          <w:rFonts w:ascii="Times New Roman" w:hAnsi="Times New Roman"/>
          <w:b/>
          <w:sz w:val="24"/>
          <w:szCs w:val="24"/>
        </w:rPr>
        <w:tab/>
      </w:r>
      <w:r w:rsidRPr="004341B9">
        <w:rPr>
          <w:rFonts w:ascii="Times New Roman" w:hAnsi="Times New Roman"/>
          <w:sz w:val="24"/>
          <w:szCs w:val="24"/>
        </w:rPr>
        <w:t xml:space="preserve">Flavonoids are secondary plant metabolites that have potential benefits for human health.  All flavonoids contain the same backbone structure, differing in the hydroxylation, methoxylation, or glycosylation patterns.  To date, there are approximately 3000 known flavonoids; however, only few are widely present in plants. The major classes of flavonoids are the flavonols, catechins, anthocyanidins and dihydroflavonols </w:t>
      </w:r>
      <w:r w:rsidRPr="004341B9">
        <w:rPr>
          <w:rFonts w:ascii="Times New Roman" w:hAnsi="Times New Roman"/>
          <w:noProof/>
          <w:sz w:val="24"/>
          <w:szCs w:val="24"/>
        </w:rPr>
        <w:t>(Rice-Evans and Packer 1998)</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jc w:val="both"/>
        <w:rPr>
          <w:rFonts w:ascii="Times New Roman" w:hAnsi="Times New Roman"/>
          <w:sz w:val="24"/>
          <w:szCs w:val="24"/>
        </w:rPr>
      </w:pPr>
    </w:p>
    <w:p w:rsidR="00D54621" w:rsidRPr="004341B9" w:rsidRDefault="00D54621" w:rsidP="004341B9">
      <w:pPr>
        <w:pStyle w:val="ListParagraph"/>
        <w:spacing w:after="0" w:line="360" w:lineRule="auto"/>
        <w:ind w:left="0"/>
        <w:jc w:val="both"/>
        <w:rPr>
          <w:rFonts w:ascii="Times New Roman" w:hAnsi="Times New Roman"/>
          <w:sz w:val="24"/>
          <w:szCs w:val="24"/>
        </w:rPr>
      </w:pPr>
      <w:r w:rsidRPr="004341B9">
        <w:rPr>
          <w:rFonts w:ascii="Times New Roman" w:hAnsi="Times New Roman"/>
          <w:sz w:val="24"/>
          <w:szCs w:val="24"/>
        </w:rPr>
        <w:tab/>
        <w:t xml:space="preserve">To date, scientists have concluded that the antioxidant properties of flavonoids are due to their capacity to reduce radicals and to chelate metals </w:t>
      </w:r>
      <w:r w:rsidRPr="004341B9">
        <w:rPr>
          <w:rFonts w:ascii="Times New Roman" w:hAnsi="Times New Roman"/>
          <w:noProof/>
          <w:sz w:val="24"/>
          <w:szCs w:val="24"/>
        </w:rPr>
        <w:t>(Pietta 2000; Rice-Evans and Packer 1998; Perez 2003)</w:t>
      </w:r>
      <w:r w:rsidRPr="004341B9">
        <w:rPr>
          <w:rFonts w:ascii="Times New Roman" w:hAnsi="Times New Roman"/>
          <w:sz w:val="24"/>
          <w:szCs w:val="24"/>
        </w:rPr>
        <w:t xml:space="preserve">.  In addition, it has been reported that flavonoids inhibit oxidase enzymes </w:t>
      </w:r>
      <w:r w:rsidRPr="004341B9">
        <w:rPr>
          <w:rFonts w:ascii="Times New Roman" w:hAnsi="Times New Roman"/>
          <w:noProof/>
          <w:sz w:val="24"/>
          <w:szCs w:val="24"/>
        </w:rPr>
        <w:t>(Perez 2003)</w:t>
      </w:r>
      <w:r w:rsidRPr="004341B9">
        <w:rPr>
          <w:rFonts w:ascii="Times New Roman" w:hAnsi="Times New Roman"/>
          <w:sz w:val="24"/>
          <w:szCs w:val="24"/>
        </w:rPr>
        <w:t xml:space="preserve">.  In order to predict antioxidant activities of flavonoids, studies have focused on the determination of pK values, scavenging and decay rates of radicals, and redox potentials </w:t>
      </w:r>
      <w:r w:rsidRPr="004341B9">
        <w:rPr>
          <w:rFonts w:ascii="Times New Roman" w:hAnsi="Times New Roman"/>
          <w:noProof/>
          <w:sz w:val="24"/>
          <w:szCs w:val="24"/>
        </w:rPr>
        <w:t>(Bors and others 1995; Cossins and others 1998; Jovanovic and others 1996)</w:t>
      </w:r>
      <w:r w:rsidRPr="004341B9">
        <w:rPr>
          <w:rFonts w:ascii="Times New Roman" w:hAnsi="Times New Roman"/>
          <w:sz w:val="24"/>
          <w:szCs w:val="24"/>
        </w:rPr>
        <w:t>.  A study that identified the decay constants of different radicals (˙OH, N</w:t>
      </w:r>
      <w:r w:rsidRPr="004341B9">
        <w:rPr>
          <w:rFonts w:ascii="Times New Roman" w:hAnsi="Times New Roman"/>
          <w:sz w:val="24"/>
          <w:szCs w:val="24"/>
          <w:vertAlign w:val="subscript"/>
        </w:rPr>
        <w:t>3</w:t>
      </w:r>
      <w:r w:rsidRPr="004341B9">
        <w:rPr>
          <w:rFonts w:ascii="Times New Roman" w:hAnsi="Times New Roman"/>
          <w:sz w:val="24"/>
          <w:szCs w:val="24"/>
        </w:rPr>
        <w:t>˙, O</w:t>
      </w:r>
      <w:r w:rsidRPr="004341B9">
        <w:rPr>
          <w:rFonts w:ascii="Times New Roman" w:hAnsi="Times New Roman"/>
          <w:sz w:val="24"/>
          <w:szCs w:val="24"/>
          <w:vertAlign w:val="subscript"/>
        </w:rPr>
        <w:t>2</w:t>
      </w:r>
      <w:r w:rsidRPr="004341B9">
        <w:rPr>
          <w:rFonts w:ascii="Times New Roman" w:hAnsi="Times New Roman"/>
          <w:sz w:val="24"/>
          <w:szCs w:val="24"/>
        </w:rPr>
        <w:t>˙</w:t>
      </w:r>
      <w:r w:rsidRPr="004341B9">
        <w:rPr>
          <w:rFonts w:ascii="Times New Roman" w:hAnsi="Times New Roman"/>
          <w:sz w:val="24"/>
          <w:szCs w:val="24"/>
          <w:vertAlign w:val="superscript"/>
        </w:rPr>
        <w:t>-</w:t>
      </w:r>
      <w:r w:rsidRPr="004341B9">
        <w:rPr>
          <w:rFonts w:ascii="Times New Roman" w:hAnsi="Times New Roman"/>
          <w:sz w:val="24"/>
          <w:szCs w:val="24"/>
        </w:rPr>
        <w:t xml:space="preserve">, LOO˙, tBuO˙, and sulphite) and the stability of the antioxidant radicals reported that three criteria were important for effective radical scavenging in flavonoids </w:t>
      </w:r>
      <w:r w:rsidRPr="004341B9">
        <w:rPr>
          <w:rFonts w:ascii="Times New Roman" w:hAnsi="Times New Roman"/>
          <w:noProof/>
          <w:sz w:val="24"/>
          <w:szCs w:val="24"/>
        </w:rPr>
        <w:t>(Bors and others 1990)</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jc w:val="both"/>
        <w:rPr>
          <w:rFonts w:ascii="Times New Roman" w:hAnsi="Times New Roman"/>
          <w:sz w:val="24"/>
          <w:szCs w:val="24"/>
        </w:rPr>
      </w:pPr>
    </w:p>
    <w:p w:rsidR="00D54621" w:rsidRPr="004341B9" w:rsidRDefault="00D54621" w:rsidP="004341B9">
      <w:pPr>
        <w:pStyle w:val="ListParagraph"/>
        <w:numPr>
          <w:ilvl w:val="0"/>
          <w:numId w:val="8"/>
        </w:numPr>
        <w:spacing w:after="0" w:line="360" w:lineRule="auto"/>
        <w:ind w:left="450"/>
        <w:jc w:val="both"/>
        <w:rPr>
          <w:rFonts w:ascii="Times New Roman" w:hAnsi="Times New Roman"/>
          <w:sz w:val="24"/>
          <w:szCs w:val="24"/>
        </w:rPr>
      </w:pPr>
      <w:r w:rsidRPr="004341B9">
        <w:rPr>
          <w:rFonts w:ascii="Times New Roman" w:hAnsi="Times New Roman"/>
          <w:sz w:val="24"/>
          <w:szCs w:val="24"/>
        </w:rPr>
        <w:t xml:space="preserve">The o-dihydroxy structure in the B ring, which confers higher stability to the radical form and participates in electron delocalization. </w:t>
      </w:r>
    </w:p>
    <w:p w:rsidR="00D54621" w:rsidRPr="004341B9" w:rsidRDefault="00D54621" w:rsidP="004341B9">
      <w:pPr>
        <w:pStyle w:val="ListParagraph"/>
        <w:numPr>
          <w:ilvl w:val="0"/>
          <w:numId w:val="8"/>
        </w:numPr>
        <w:spacing w:after="0" w:line="360" w:lineRule="auto"/>
        <w:ind w:left="450"/>
        <w:jc w:val="both"/>
        <w:rPr>
          <w:rFonts w:ascii="Times New Roman" w:hAnsi="Times New Roman"/>
          <w:sz w:val="24"/>
          <w:szCs w:val="24"/>
        </w:rPr>
      </w:pPr>
      <w:r w:rsidRPr="004341B9">
        <w:rPr>
          <w:rFonts w:ascii="Times New Roman" w:hAnsi="Times New Roman"/>
          <w:sz w:val="24"/>
          <w:szCs w:val="24"/>
        </w:rPr>
        <w:t xml:space="preserve">The 2, 3 double bond in conjunction with a 4-oxo function in the C ring, responsible for electron delocalization from the B ring (phenoxyl radicals produced are stabilized by the resonance effect of the aromatic nucleus). </w:t>
      </w:r>
    </w:p>
    <w:p w:rsidR="00D54621" w:rsidRPr="004341B9" w:rsidRDefault="00D54621" w:rsidP="004341B9">
      <w:pPr>
        <w:pStyle w:val="ListParagraph"/>
        <w:numPr>
          <w:ilvl w:val="0"/>
          <w:numId w:val="8"/>
        </w:numPr>
        <w:spacing w:after="0" w:line="360" w:lineRule="auto"/>
        <w:ind w:left="450"/>
        <w:jc w:val="both"/>
        <w:rPr>
          <w:rFonts w:ascii="Times New Roman" w:hAnsi="Times New Roman"/>
          <w:sz w:val="24"/>
          <w:szCs w:val="24"/>
        </w:rPr>
      </w:pPr>
      <w:r w:rsidRPr="004341B9">
        <w:rPr>
          <w:rFonts w:ascii="Times New Roman" w:hAnsi="Times New Roman"/>
          <w:sz w:val="24"/>
          <w:szCs w:val="24"/>
        </w:rPr>
        <w:t xml:space="preserve">The 3- and 5-OH groups with the 4-oxo function in A and C rings result in maximum scavenging potential. </w:t>
      </w:r>
    </w:p>
    <w:p w:rsidR="00D54621" w:rsidRPr="004341B9" w:rsidRDefault="00D54621" w:rsidP="004341B9">
      <w:pPr>
        <w:pStyle w:val="ListParagraph"/>
        <w:spacing w:after="0" w:line="360" w:lineRule="auto"/>
        <w:ind w:left="0"/>
        <w:rPr>
          <w:rFonts w:ascii="Times New Roman" w:hAnsi="Times New Roman"/>
          <w:sz w:val="24"/>
          <w:szCs w:val="24"/>
        </w:rPr>
      </w:pPr>
    </w:p>
    <w:p w:rsidR="00D54621" w:rsidRPr="004341B9" w:rsidRDefault="00D54621" w:rsidP="004341B9">
      <w:pPr>
        <w:spacing w:after="0" w:line="360" w:lineRule="auto"/>
        <w:ind w:firstLine="450"/>
        <w:jc w:val="both"/>
        <w:rPr>
          <w:rFonts w:ascii="Times New Roman" w:hAnsi="Times New Roman" w:cs="Times New Roman"/>
          <w:sz w:val="24"/>
          <w:szCs w:val="24"/>
        </w:rPr>
      </w:pPr>
      <w:r w:rsidRPr="004341B9">
        <w:rPr>
          <w:rFonts w:ascii="Times New Roman" w:hAnsi="Times New Roman" w:cs="Times New Roman"/>
          <w:sz w:val="24"/>
          <w:szCs w:val="24"/>
        </w:rPr>
        <w:t xml:space="preserve">According to these criteria, quercetin is the flavonoid that should have the best antioxidant properties.  In addition to the research noted above, these criteria have been confirmed by another study where antioxidant properties of several flavonoids using the Trolox equivalent antioxidant activity (TEAC) assay were compared </w:t>
      </w:r>
      <w:r w:rsidRPr="004341B9">
        <w:rPr>
          <w:rFonts w:ascii="Times New Roman" w:hAnsi="Times New Roman" w:cs="Times New Roman"/>
          <w:noProof/>
          <w:sz w:val="24"/>
          <w:szCs w:val="24"/>
        </w:rPr>
        <w:t xml:space="preserve">(Rice-Evans and </w:t>
      </w:r>
      <w:r w:rsidR="00020F05">
        <w:rPr>
          <w:rFonts w:ascii="Times New Roman" w:hAnsi="Times New Roman" w:cs="Times New Roman"/>
          <w:noProof/>
          <w:sz w:val="24"/>
          <w:szCs w:val="24"/>
        </w:rPr>
        <w:t>Packer</w:t>
      </w:r>
      <w:r w:rsidRPr="004341B9">
        <w:rPr>
          <w:rFonts w:ascii="Times New Roman" w:hAnsi="Times New Roman" w:cs="Times New Roman"/>
          <w:noProof/>
          <w:sz w:val="24"/>
          <w:szCs w:val="24"/>
        </w:rPr>
        <w:t xml:space="preserve"> 1998)</w:t>
      </w:r>
      <w:r w:rsidRPr="004341B9">
        <w:rPr>
          <w:rFonts w:ascii="Times New Roman" w:hAnsi="Times New Roman" w:cs="Times New Roman"/>
          <w:sz w:val="24"/>
          <w:szCs w:val="24"/>
        </w:rPr>
        <w:t xml:space="preserve">.  Studies conducted to determine optimal inhibition of lipid peroxidation using flavonoids also confirmed these characteristics </w:t>
      </w:r>
      <w:r w:rsidRPr="004341B9">
        <w:rPr>
          <w:rFonts w:ascii="Times New Roman" w:hAnsi="Times New Roman" w:cs="Times New Roman"/>
          <w:noProof/>
          <w:sz w:val="24"/>
          <w:szCs w:val="24"/>
        </w:rPr>
        <w:t>(Rice-Evans and Packer 1998)</w:t>
      </w:r>
      <w:r w:rsidRPr="004341B9">
        <w:rPr>
          <w:rFonts w:ascii="Times New Roman" w:hAnsi="Times New Roman" w:cs="Times New Roman"/>
          <w:sz w:val="24"/>
          <w:szCs w:val="24"/>
        </w:rPr>
        <w:t>.  Furthermore, in a pulse radiolysis study, quercetin was identified as the best electron donor (measured as E</w:t>
      </w:r>
      <w:r w:rsidRPr="004341B9">
        <w:rPr>
          <w:rFonts w:ascii="Times New Roman" w:hAnsi="Times New Roman" w:cs="Times New Roman"/>
          <w:sz w:val="24"/>
          <w:szCs w:val="24"/>
          <w:vertAlign w:val="subscript"/>
        </w:rPr>
        <w:t>10</w:t>
      </w:r>
      <w:proofErr w:type="gramStart"/>
      <w:r w:rsidRPr="004341B9">
        <w:rPr>
          <w:rFonts w:ascii="Times New Roman" w:hAnsi="Times New Roman" w:cs="Times New Roman"/>
          <w:sz w:val="24"/>
          <w:szCs w:val="24"/>
          <w:vertAlign w:val="subscript"/>
        </w:rPr>
        <w:t>,8</w:t>
      </w:r>
      <w:proofErr w:type="gramEnd"/>
      <w:r w:rsidRPr="004341B9">
        <w:rPr>
          <w:rFonts w:ascii="Times New Roman" w:hAnsi="Times New Roman" w:cs="Times New Roman"/>
          <w:sz w:val="24"/>
          <w:szCs w:val="24"/>
        </w:rPr>
        <w:t>= 0.09V and E</w:t>
      </w:r>
      <w:r w:rsidRPr="004341B9">
        <w:rPr>
          <w:rFonts w:ascii="Times New Roman" w:hAnsi="Times New Roman" w:cs="Times New Roman"/>
          <w:sz w:val="24"/>
          <w:szCs w:val="24"/>
          <w:vertAlign w:val="subscript"/>
        </w:rPr>
        <w:t>7</w:t>
      </w:r>
      <w:r w:rsidRPr="004341B9">
        <w:rPr>
          <w:rFonts w:ascii="Times New Roman" w:hAnsi="Times New Roman" w:cs="Times New Roman"/>
          <w:sz w:val="24"/>
          <w:szCs w:val="24"/>
        </w:rPr>
        <w:t>= 0.33V) of all of the investigated flavonoids.  In this study, it was reported that this favorable electron-donating property is originated in the 3-hydroxyl group in the C ring, which conjugates to the catechol (B ring) radical through the 2</w:t>
      </w:r>
      <w:proofErr w:type="gramStart"/>
      <w:r w:rsidRPr="004341B9">
        <w:rPr>
          <w:rFonts w:ascii="Times New Roman" w:hAnsi="Times New Roman" w:cs="Times New Roman"/>
          <w:sz w:val="24"/>
          <w:szCs w:val="24"/>
        </w:rPr>
        <w:t>,3</w:t>
      </w:r>
      <w:proofErr w:type="gramEnd"/>
      <w:r w:rsidRPr="004341B9">
        <w:rPr>
          <w:rFonts w:ascii="Times New Roman" w:hAnsi="Times New Roman" w:cs="Times New Roman"/>
          <w:sz w:val="24"/>
          <w:szCs w:val="24"/>
        </w:rPr>
        <w:t xml:space="preserve"> double bond </w:t>
      </w:r>
      <w:r w:rsidRPr="004341B9">
        <w:rPr>
          <w:rFonts w:ascii="Times New Roman" w:hAnsi="Times New Roman" w:cs="Times New Roman"/>
          <w:noProof/>
          <w:sz w:val="24"/>
          <w:szCs w:val="24"/>
        </w:rPr>
        <w:t>(Jovanovic and others 1996)</w:t>
      </w:r>
      <w:r w:rsidRPr="004341B9">
        <w:rPr>
          <w:rFonts w:ascii="Times New Roman" w:hAnsi="Times New Roman" w:cs="Times New Roman"/>
          <w:sz w:val="24"/>
          <w:szCs w:val="24"/>
        </w:rPr>
        <w:t xml:space="preserve">.  On the other hand, in an oxygen radical absorbance capacity (ORAC) study, quercetin had a lower antioxidant capacity than other flavonoids such as rutin (quercetin rutinoside), catechin, </w:t>
      </w:r>
      <w:proofErr w:type="gramStart"/>
      <w:r w:rsidRPr="004341B9">
        <w:rPr>
          <w:rFonts w:ascii="Times New Roman" w:hAnsi="Times New Roman" w:cs="Times New Roman"/>
          <w:sz w:val="24"/>
          <w:szCs w:val="24"/>
        </w:rPr>
        <w:t>epicatechin</w:t>
      </w:r>
      <w:proofErr w:type="gramEnd"/>
      <w:r w:rsidRPr="004341B9">
        <w:rPr>
          <w:rFonts w:ascii="Times New Roman" w:hAnsi="Times New Roman" w:cs="Times New Roman"/>
          <w:sz w:val="24"/>
          <w:szCs w:val="24"/>
        </w:rPr>
        <w:t xml:space="preserve">, among others.  This study reported differences in the antioxidant activity values obtained from different methods.  Also, it is seen that the ORAC values show lower correlations with electrochemical responses </w:t>
      </w:r>
      <w:r w:rsidRPr="004341B9">
        <w:rPr>
          <w:rFonts w:ascii="Times New Roman" w:hAnsi="Times New Roman" w:cs="Times New Roman"/>
          <w:noProof/>
          <w:sz w:val="24"/>
          <w:szCs w:val="24"/>
        </w:rPr>
        <w:t>(Aaby and others 2004)</w:t>
      </w:r>
      <w:r w:rsidRPr="004341B9">
        <w:rPr>
          <w:rFonts w:ascii="Times New Roman" w:hAnsi="Times New Roman" w:cs="Times New Roman"/>
          <w:sz w:val="24"/>
          <w:szCs w:val="24"/>
        </w:rPr>
        <w:t xml:space="preserve">.  Solubility of quercetin is low, and may explain the better antioxidant capacity of rutin, which is a quercetin-sugar compound. </w:t>
      </w:r>
    </w:p>
    <w:p w:rsidR="00D54621" w:rsidRPr="004341B9" w:rsidRDefault="00D54621" w:rsidP="004341B9">
      <w:pPr>
        <w:spacing w:after="0" w:line="360" w:lineRule="auto"/>
        <w:ind w:firstLine="450"/>
        <w:jc w:val="both"/>
        <w:rPr>
          <w:rFonts w:ascii="Times New Roman" w:hAnsi="Times New Roman" w:cs="Times New Roman"/>
          <w:sz w:val="24"/>
          <w:szCs w:val="24"/>
        </w:rPr>
      </w:pPr>
    </w:p>
    <w:p w:rsidR="00D54621" w:rsidRPr="004341B9" w:rsidRDefault="00D54621" w:rsidP="004341B9">
      <w:pPr>
        <w:pStyle w:val="ListParagraph"/>
        <w:spacing w:after="0" w:line="360" w:lineRule="auto"/>
        <w:ind w:left="0"/>
        <w:rPr>
          <w:rFonts w:ascii="Times New Roman" w:hAnsi="Times New Roman"/>
          <w:i/>
          <w:sz w:val="24"/>
          <w:szCs w:val="24"/>
        </w:rPr>
      </w:pPr>
      <w:r w:rsidRPr="004341B9">
        <w:rPr>
          <w:rFonts w:ascii="Times New Roman" w:hAnsi="Times New Roman"/>
          <w:i/>
          <w:sz w:val="24"/>
          <w:szCs w:val="24"/>
        </w:rPr>
        <w:t>Interaction of flavonoids with ascorbate radicals</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The protective role of flavonoids against the degradation of AA has been noted since 1936, when Szent-Gy</w:t>
      </w:r>
      <w:r w:rsidRPr="004341B9">
        <w:rPr>
          <w:rFonts w:ascii="Times New Roman" w:hAnsi="Times New Roman"/>
          <w:color w:val="000000"/>
          <w:sz w:val="24"/>
          <w:szCs w:val="24"/>
        </w:rPr>
        <w:t>ö</w:t>
      </w:r>
      <w:r w:rsidRPr="004341B9">
        <w:rPr>
          <w:rFonts w:ascii="Times New Roman" w:hAnsi="Times New Roman"/>
          <w:sz w:val="24"/>
          <w:szCs w:val="24"/>
        </w:rPr>
        <w:t xml:space="preserve">rgyi and coworkers found a compound, called vitamin P at that time, with an ascorbate protective role.  Research conducted in the 1930s showed that only flavanones had this protective role </w:t>
      </w:r>
      <w:r w:rsidRPr="004341B9">
        <w:rPr>
          <w:rFonts w:ascii="Times New Roman" w:hAnsi="Times New Roman"/>
          <w:noProof/>
          <w:sz w:val="24"/>
          <w:szCs w:val="24"/>
        </w:rPr>
        <w:t>(Rice-Evans and Packer 1998)</w:t>
      </w:r>
      <w:r w:rsidRPr="004341B9">
        <w:rPr>
          <w:rFonts w:ascii="Times New Roman" w:hAnsi="Times New Roman"/>
          <w:sz w:val="24"/>
          <w:szCs w:val="24"/>
        </w:rPr>
        <w:t xml:space="preserve">.  Years later, studies conducted with different </w:t>
      </w:r>
      <w:r w:rsidRPr="004341B9">
        <w:rPr>
          <w:rFonts w:ascii="Times New Roman" w:hAnsi="Times New Roman"/>
          <w:sz w:val="24"/>
          <w:szCs w:val="24"/>
        </w:rPr>
        <w:lastRenderedPageBreak/>
        <w:t xml:space="preserve">flavonoids in model systems at pH of 2.9 demonstrated that flavones and flavonols also protect AA from oxidation; in fact, these studies demonstrated that quercetin was a better antioxidant than kaempferol and rutin under the conditions used </w:t>
      </w:r>
      <w:r w:rsidRPr="004341B9">
        <w:rPr>
          <w:rFonts w:ascii="Times New Roman" w:hAnsi="Times New Roman"/>
          <w:noProof/>
          <w:sz w:val="24"/>
          <w:szCs w:val="24"/>
        </w:rPr>
        <w:t>(Harper and others 1969; Clegg and Morton 1968)</w:t>
      </w:r>
      <w:r w:rsidRPr="004341B9">
        <w:rPr>
          <w:rFonts w:ascii="Times New Roman" w:hAnsi="Times New Roman"/>
          <w:sz w:val="24"/>
          <w:szCs w:val="24"/>
        </w:rPr>
        <w:t xml:space="preserve">.  Anthocyanins, such as cyanidin-3-rhamnoglucoside and delphinidin-3-glucoside, have been reported to accelerate AA degradation </w:t>
      </w:r>
      <w:r w:rsidRPr="004341B9">
        <w:rPr>
          <w:rFonts w:ascii="Times New Roman" w:hAnsi="Times New Roman"/>
          <w:noProof/>
          <w:sz w:val="24"/>
          <w:szCs w:val="24"/>
        </w:rPr>
        <w:t>(Clegg and Morton 1968)</w:t>
      </w:r>
      <w:r w:rsidRPr="004341B9">
        <w:rPr>
          <w:rFonts w:ascii="Times New Roman" w:hAnsi="Times New Roman"/>
          <w:sz w:val="24"/>
          <w:szCs w:val="24"/>
        </w:rPr>
        <w:t xml:space="preserve">.  Similar results were obtained in a study at pH of 2.8, where cranberry anthocyanins accelerated the oxidation of AA, and quercetin and </w:t>
      </w:r>
      <w:proofErr w:type="gramStart"/>
      <w:r w:rsidRPr="004341B9">
        <w:rPr>
          <w:rFonts w:ascii="Times New Roman" w:hAnsi="Times New Roman"/>
          <w:sz w:val="24"/>
          <w:szCs w:val="24"/>
        </w:rPr>
        <w:t>quercitrin  had</w:t>
      </w:r>
      <w:proofErr w:type="gramEnd"/>
      <w:r w:rsidRPr="004341B9">
        <w:rPr>
          <w:rFonts w:ascii="Times New Roman" w:hAnsi="Times New Roman"/>
          <w:sz w:val="24"/>
          <w:szCs w:val="24"/>
        </w:rPr>
        <w:t xml:space="preserve"> protective effects on both anthocyanin and AA degradation </w:t>
      </w:r>
      <w:r w:rsidRPr="004341B9">
        <w:rPr>
          <w:rFonts w:ascii="Times New Roman" w:hAnsi="Times New Roman"/>
          <w:noProof/>
          <w:sz w:val="24"/>
          <w:szCs w:val="24"/>
        </w:rPr>
        <w:t>(Shrikhande and Francis 1974)</w:t>
      </w:r>
      <w:r w:rsidRPr="004341B9">
        <w:rPr>
          <w:rFonts w:ascii="Times New Roman" w:hAnsi="Times New Roman"/>
          <w:sz w:val="24"/>
          <w:szCs w:val="24"/>
        </w:rPr>
        <w:t xml:space="preserve">.  At pH of 3.8, catechin slowed AA oxidation but not anthocyanin degradation </w:t>
      </w:r>
      <w:r w:rsidRPr="004341B9">
        <w:rPr>
          <w:rFonts w:ascii="Times New Roman" w:hAnsi="Times New Roman"/>
          <w:noProof/>
          <w:sz w:val="24"/>
          <w:szCs w:val="24"/>
        </w:rPr>
        <w:t>(Poei-Langston and Wrolstad 1981)</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The protective </w:t>
      </w:r>
      <w:proofErr w:type="gramStart"/>
      <w:r w:rsidRPr="004341B9">
        <w:rPr>
          <w:rFonts w:ascii="Times New Roman" w:hAnsi="Times New Roman"/>
          <w:sz w:val="24"/>
          <w:szCs w:val="24"/>
        </w:rPr>
        <w:t>role of phenolic compounds against AA degradation has also been suggested from fruit juices and extract</w:t>
      </w:r>
      <w:proofErr w:type="gramEnd"/>
      <w:r w:rsidRPr="004341B9">
        <w:rPr>
          <w:rFonts w:ascii="Times New Roman" w:hAnsi="Times New Roman"/>
          <w:sz w:val="24"/>
          <w:szCs w:val="24"/>
        </w:rPr>
        <w:t xml:space="preserve"> studies.  For example, in a study where AA degradation in juices was compared, it was observed that the juice containing blackcurrant had higher AA stability than the one made with lemon.  It is known that blackcurrant juice is rich in phenolic compounds with antioxidant properties </w:t>
      </w:r>
      <w:r w:rsidRPr="004341B9">
        <w:rPr>
          <w:rFonts w:ascii="Times New Roman" w:hAnsi="Times New Roman"/>
          <w:noProof/>
          <w:sz w:val="24"/>
          <w:szCs w:val="24"/>
        </w:rPr>
        <w:t>(Clegg and Morton 1968)</w:t>
      </w:r>
      <w:r w:rsidRPr="004341B9">
        <w:rPr>
          <w:rFonts w:ascii="Times New Roman" w:hAnsi="Times New Roman"/>
          <w:sz w:val="24"/>
          <w:szCs w:val="24"/>
        </w:rPr>
        <w:t xml:space="preserve">.  In a later research, in order to identify which phenolic compounds exert these antioxidant properties, model systems with ascorbic acid at pH of 2.9 were prepared.  The treatments were composed of different phenolic compounds that occur in blackcurrant juice.  In this study it was observed that quercetin, dihydroquercetin, kaempferol and rutin presented antioxidant activity while cyanidin-3-rhamno-glucoside and delphinidin-3-glucoside accelerated oxidation </w:t>
      </w:r>
      <w:r w:rsidRPr="004341B9">
        <w:rPr>
          <w:rFonts w:ascii="Times New Roman" w:hAnsi="Times New Roman"/>
          <w:noProof/>
          <w:sz w:val="24"/>
          <w:szCs w:val="24"/>
        </w:rPr>
        <w:t>(Harper and others 1969)</w:t>
      </w:r>
      <w:r w:rsidRPr="004341B9">
        <w:rPr>
          <w:rFonts w:ascii="Times New Roman" w:hAnsi="Times New Roman"/>
          <w:sz w:val="24"/>
          <w:szCs w:val="24"/>
        </w:rPr>
        <w:t xml:space="preserve">.  Other reports note that, in juices fortified with AA, the ascorbate protective role was in the order of black currant&gt;orange&gt;apple </w:t>
      </w:r>
      <w:r w:rsidRPr="004341B9">
        <w:rPr>
          <w:rFonts w:ascii="Times New Roman" w:hAnsi="Times New Roman"/>
          <w:noProof/>
          <w:sz w:val="24"/>
          <w:szCs w:val="24"/>
        </w:rPr>
        <w:t>(Rice-Evans and Packer 1998)</w:t>
      </w:r>
      <w:r w:rsidRPr="004341B9">
        <w:rPr>
          <w:rFonts w:ascii="Times New Roman" w:hAnsi="Times New Roman"/>
          <w:sz w:val="24"/>
          <w:szCs w:val="24"/>
        </w:rPr>
        <w:t xml:space="preserve">.  It has been reported that acai anthocyanins fortified with AA had higher AA stability than a similar system composed of acerola extract </w:t>
      </w:r>
      <w:r w:rsidRPr="004341B9">
        <w:rPr>
          <w:rFonts w:ascii="Times New Roman" w:hAnsi="Times New Roman"/>
          <w:noProof/>
          <w:sz w:val="24"/>
          <w:szCs w:val="24"/>
        </w:rPr>
        <w:t>(De Rosso and Mercadante 2007)</w:t>
      </w:r>
      <w:r w:rsidRPr="004341B9">
        <w:rPr>
          <w:rFonts w:ascii="Times New Roman" w:hAnsi="Times New Roman"/>
          <w:sz w:val="24"/>
          <w:szCs w:val="24"/>
        </w:rPr>
        <w:t>.  In this study, the researchers attributed this result to the 10 times higher flavonoid content in the acai extract.</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In more recent and specific studies using pulse radiolysis, it was concluded that flavonoids containing the B-ring catechol group and the 2,3 double bond had a higher redox potential than ascorbate, while flavanones such as dihydro-quercetin were able to reduce the ascorbyl radical at pH 8.5 </w:t>
      </w:r>
      <w:r w:rsidRPr="004341B9">
        <w:rPr>
          <w:rFonts w:ascii="Times New Roman" w:hAnsi="Times New Roman"/>
          <w:noProof/>
          <w:sz w:val="24"/>
          <w:szCs w:val="24"/>
        </w:rPr>
        <w:t>(Bors and others 1995)</w:t>
      </w:r>
      <w:r w:rsidRPr="004341B9">
        <w:rPr>
          <w:rFonts w:ascii="Times New Roman" w:hAnsi="Times New Roman"/>
          <w:sz w:val="24"/>
          <w:szCs w:val="24"/>
        </w:rPr>
        <w:t xml:space="preserve">.  According to these results, flavonoids such as quercetin, rutin and kaempferol would not be able to protect the ascorbate radical, contradicting </w:t>
      </w:r>
      <w:r w:rsidRPr="004341B9">
        <w:rPr>
          <w:rFonts w:ascii="Times New Roman" w:hAnsi="Times New Roman"/>
          <w:sz w:val="24"/>
          <w:szCs w:val="24"/>
        </w:rPr>
        <w:lastRenderedPageBreak/>
        <w:t xml:space="preserve">previous studies.  Subsequent research confirmed that the results of Bors and others (1995) were erroneous, since the kinetics </w:t>
      </w:r>
      <w:proofErr w:type="gramStart"/>
      <w:r w:rsidRPr="004341B9">
        <w:rPr>
          <w:rFonts w:ascii="Times New Roman" w:hAnsi="Times New Roman"/>
          <w:sz w:val="24"/>
          <w:szCs w:val="24"/>
        </w:rPr>
        <w:t>were</w:t>
      </w:r>
      <w:proofErr w:type="gramEnd"/>
      <w:r w:rsidRPr="004341B9">
        <w:rPr>
          <w:rFonts w:ascii="Times New Roman" w:hAnsi="Times New Roman"/>
          <w:sz w:val="24"/>
          <w:szCs w:val="24"/>
        </w:rPr>
        <w:t xml:space="preserve"> obtained at a very high doses, and there were nonequilibrium experimental conditions </w:t>
      </w:r>
      <w:r w:rsidRPr="004341B9">
        <w:rPr>
          <w:rFonts w:ascii="Times New Roman" w:hAnsi="Times New Roman"/>
          <w:noProof/>
          <w:sz w:val="24"/>
          <w:szCs w:val="24"/>
        </w:rPr>
        <w:t>(Jovanovic and others 1996)</w:t>
      </w:r>
      <w:r w:rsidRPr="004341B9">
        <w:rPr>
          <w:rFonts w:ascii="Times New Roman" w:hAnsi="Times New Roman"/>
          <w:sz w:val="24"/>
          <w:szCs w:val="24"/>
        </w:rPr>
        <w:t xml:space="preserve">.  Flavonoids such as rutin, catechin and epigallocatechin have higher reduction potentials than ascorbate in the pH range of 0-14.  This study also noted that the quercetin radical had the lowest reduction potential of the flavonoids studied (rutin, catechin, epigallocatechin, hesperidin and galangin); however, reduction potential was still higher than ascorbate between pH 7-14 </w:t>
      </w:r>
      <w:r w:rsidRPr="004341B9">
        <w:rPr>
          <w:rFonts w:ascii="Times New Roman" w:hAnsi="Times New Roman"/>
          <w:noProof/>
          <w:sz w:val="24"/>
          <w:szCs w:val="24"/>
        </w:rPr>
        <w:t>(Jovanovic and others 1996)</w:t>
      </w:r>
      <w:r w:rsidRPr="004341B9">
        <w:rPr>
          <w:rFonts w:ascii="Times New Roman" w:hAnsi="Times New Roman"/>
          <w:sz w:val="24"/>
          <w:szCs w:val="24"/>
        </w:rPr>
        <w:t xml:space="preserve">.  Finally, pure flavonoids (rutin, quercetin, kaempferol, among others) and blends of flavonoids (Pycnogenol and green tea extract) were able to increase the ascorbate radical life time when they were incubated with an AA-ascorbate oxidase model system at pH of 7.4 </w:t>
      </w:r>
      <w:r w:rsidRPr="004341B9">
        <w:rPr>
          <w:rFonts w:ascii="Times New Roman" w:hAnsi="Times New Roman"/>
          <w:noProof/>
          <w:sz w:val="24"/>
          <w:szCs w:val="24"/>
        </w:rPr>
        <w:t>(Cossins and others 1998)</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From the studies noted above, we can observe that even though flavonoids have higher redox potential than ascorbate, they are still able to protect vitamin C in both food systems and buffer solutions.  In an attempt to explain this, it has been proposed that the recovery process of radicals due to flavonoid activity is not driven by reduction potential of the compounds involved </w:t>
      </w:r>
      <w:r w:rsidRPr="004341B9">
        <w:rPr>
          <w:rFonts w:ascii="Times New Roman" w:hAnsi="Times New Roman"/>
          <w:noProof/>
          <w:sz w:val="24"/>
          <w:szCs w:val="24"/>
        </w:rPr>
        <w:t>(Packer and others 1999)</w:t>
      </w:r>
      <w:r w:rsidRPr="004341B9">
        <w:rPr>
          <w:rFonts w:ascii="Times New Roman" w:hAnsi="Times New Roman"/>
          <w:sz w:val="24"/>
          <w:szCs w:val="24"/>
        </w:rPr>
        <w:t>.  Consequently, it is clear that more research is needed in order to clarify the mechanisms of the protective role of flavonoids against AA degradation.</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A study to determine if flavonoids are able to recycle AA from DHAA consisted of adding three different flavonoids (polyphenon, theafavin and Pycnogenol) to a system where </w:t>
      </w:r>
      <w:proofErr w:type="gramStart"/>
      <w:r w:rsidRPr="004341B9">
        <w:rPr>
          <w:rFonts w:ascii="Times New Roman" w:hAnsi="Times New Roman"/>
          <w:sz w:val="24"/>
          <w:szCs w:val="24"/>
        </w:rPr>
        <w:t>all of the</w:t>
      </w:r>
      <w:proofErr w:type="gramEnd"/>
      <w:r w:rsidRPr="004341B9">
        <w:rPr>
          <w:rFonts w:ascii="Times New Roman" w:hAnsi="Times New Roman"/>
          <w:sz w:val="24"/>
          <w:szCs w:val="24"/>
        </w:rPr>
        <w:t xml:space="preserve"> AA had been consumed by ascorbate oxidase at pH of 7.4.  The results obtained showed the generation of ascorbate radical signal.  Consequently, this study proposed that the mechanism by which flavonoids exert their protective role is as follows:</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p>
    <w:p w:rsidR="00D54621" w:rsidRPr="004341B9" w:rsidRDefault="00D54621" w:rsidP="004341B9">
      <w:pPr>
        <w:pStyle w:val="ListParagraph"/>
        <w:spacing w:after="0" w:line="360" w:lineRule="auto"/>
        <w:ind w:left="0"/>
        <w:jc w:val="center"/>
        <w:rPr>
          <w:rFonts w:ascii="Times New Roman" w:hAnsi="Times New Roman"/>
          <w:sz w:val="24"/>
          <w:szCs w:val="24"/>
        </w:rPr>
      </w:pPr>
      <m:oMathPara>
        <m:oMath>
          <m:r>
            <w:rPr>
              <w:rFonts w:ascii="Cambria Math" w:hAnsi="Cambria Math"/>
              <w:sz w:val="24"/>
              <w:szCs w:val="24"/>
            </w:rPr>
            <m:t>FlOH</m:t>
          </m:r>
          <m:r>
            <w:rPr>
              <w:rFonts w:ascii="Cambria Math" w:hAnsi="Times New Roman"/>
              <w:sz w:val="24"/>
              <w:szCs w:val="24"/>
            </w:rPr>
            <m:t>+</m:t>
          </m:r>
          <m:r>
            <w:rPr>
              <w:rFonts w:ascii="Cambria Math" w:hAnsi="Cambria Math"/>
              <w:sz w:val="24"/>
              <w:szCs w:val="24"/>
            </w:rPr>
            <m:t>DHA</m:t>
          </m:r>
          <m:r>
            <w:rPr>
              <w:rFonts w:ascii="Cambria Math" w:hAnsi="Times New Roman"/>
              <w:sz w:val="24"/>
              <w:szCs w:val="24"/>
            </w:rPr>
            <m:t>↔</m:t>
          </m:r>
          <m:r>
            <w:rPr>
              <w:rFonts w:ascii="Cambria Math" w:hAnsi="Cambria Math"/>
              <w:sz w:val="24"/>
              <w:szCs w:val="24"/>
            </w:rPr>
            <m:t>FlO</m:t>
          </m:r>
          <m:r>
            <w:rPr>
              <w:rFonts w:ascii="Cambria Math" w:hAnsi="Times New Roman"/>
              <w:sz w:val="24"/>
              <w:szCs w:val="24"/>
            </w:rPr>
            <m:t>˙ˉ</m:t>
          </m:r>
          <m:r>
            <w:rPr>
              <w:rFonts w:ascii="Cambria Math" w:hAnsi="Times New Roman"/>
              <w:sz w:val="24"/>
              <w:szCs w:val="24"/>
            </w:rPr>
            <m:t>+</m:t>
          </m:r>
          <m:r>
            <w:rPr>
              <w:rFonts w:ascii="Cambria Math" w:hAnsi="Cambria Math"/>
              <w:sz w:val="24"/>
              <w:szCs w:val="24"/>
            </w:rPr>
            <m:t>Asc</m:t>
          </m:r>
          <m:r>
            <w:rPr>
              <w:rFonts w:ascii="Cambria Math" w:hAnsi="Times New Roman"/>
              <w:sz w:val="24"/>
              <w:szCs w:val="24"/>
            </w:rPr>
            <m:t>˙ˉ</m:t>
          </m:r>
          <m:r>
            <w:rPr>
              <w:rFonts w:ascii="Cambria Math" w:hAnsi="Times New Roman"/>
              <w:sz w:val="24"/>
              <w:szCs w:val="24"/>
            </w:rPr>
            <m:t>+2</m:t>
          </m:r>
          <m:r>
            <w:rPr>
              <w:rFonts w:ascii="Cambria Math" w:hAnsi="Cambria Math"/>
              <w:sz w:val="24"/>
              <w:szCs w:val="24"/>
            </w:rPr>
            <m:t>H</m:t>
          </m:r>
          <m:r>
            <w:rPr>
              <w:rFonts w:ascii="Times New Roman" w:hAnsi="Cambria Math"/>
              <w:sz w:val="24"/>
              <w:szCs w:val="24"/>
            </w:rPr>
            <m:t>⁺</m:t>
          </m:r>
        </m:oMath>
      </m:oMathPara>
    </w:p>
    <w:p w:rsidR="00D54621" w:rsidRPr="004341B9" w:rsidRDefault="00D54621" w:rsidP="004341B9">
      <w:pPr>
        <w:spacing w:after="0" w:line="360" w:lineRule="auto"/>
        <w:jc w:val="both"/>
        <w:rPr>
          <w:rFonts w:ascii="Times New Roman" w:hAnsi="Times New Roman" w:cs="Times New Roman"/>
          <w:sz w:val="24"/>
          <w:szCs w:val="24"/>
        </w:rPr>
      </w:pPr>
    </w:p>
    <w:p w:rsidR="00D54621" w:rsidRPr="004341B9" w:rsidRDefault="00D54621" w:rsidP="004341B9">
      <w:pPr>
        <w:spacing w:after="0" w:line="360" w:lineRule="auto"/>
        <w:jc w:val="both"/>
        <w:rPr>
          <w:rFonts w:ascii="Times New Roman" w:hAnsi="Times New Roman" w:cs="Times New Roman"/>
          <w:sz w:val="24"/>
          <w:szCs w:val="24"/>
        </w:rPr>
      </w:pPr>
      <w:r w:rsidRPr="004341B9">
        <w:rPr>
          <w:rFonts w:ascii="Times New Roman" w:hAnsi="Times New Roman" w:cs="Times New Roman"/>
          <w:sz w:val="24"/>
          <w:szCs w:val="24"/>
        </w:rPr>
        <w:tab/>
        <w:t xml:space="preserve">Also, in the same research paper it was reported that myricetin exerts an ascorbate protective role by competing with AA for ascorbate oxidase.  In fact, the myricetin radical was detected, confirming a reaction between the enzyme and the flavonoid.  Finally, the metal chelating properties of flavonoids has also been proposed as the reason for the ascorbate protective role </w:t>
      </w:r>
      <w:r w:rsidRPr="004341B9">
        <w:rPr>
          <w:rFonts w:ascii="Times New Roman" w:hAnsi="Times New Roman" w:cs="Times New Roman"/>
          <w:noProof/>
          <w:sz w:val="24"/>
          <w:szCs w:val="24"/>
        </w:rPr>
        <w:t>(Cossins and others 1998; Harper and others 1969; Clegg and Morton 1968)</w:t>
      </w:r>
      <w:r w:rsidRPr="004341B9">
        <w:rPr>
          <w:rFonts w:ascii="Times New Roman" w:hAnsi="Times New Roman" w:cs="Times New Roman"/>
          <w:sz w:val="24"/>
          <w:szCs w:val="24"/>
        </w:rPr>
        <w:t xml:space="preserve">. </w:t>
      </w:r>
    </w:p>
    <w:p w:rsidR="00D54621" w:rsidRPr="004341B9" w:rsidRDefault="00D54621" w:rsidP="004341B9">
      <w:pPr>
        <w:pStyle w:val="ListParagraph"/>
        <w:spacing w:after="0" w:line="360" w:lineRule="auto"/>
        <w:ind w:left="0"/>
        <w:jc w:val="both"/>
        <w:rPr>
          <w:rFonts w:ascii="Times New Roman" w:hAnsi="Times New Roman"/>
          <w:i/>
          <w:sz w:val="24"/>
          <w:szCs w:val="24"/>
        </w:rPr>
      </w:pPr>
      <w:proofErr w:type="gramStart"/>
      <w:r w:rsidRPr="004341B9">
        <w:rPr>
          <w:rFonts w:ascii="Times New Roman" w:hAnsi="Times New Roman"/>
          <w:i/>
          <w:sz w:val="24"/>
          <w:szCs w:val="24"/>
        </w:rPr>
        <w:lastRenderedPageBreak/>
        <w:t>α-Glucosylrutin</w:t>
      </w:r>
      <w:proofErr w:type="gramEnd"/>
    </w:p>
    <w:p w:rsidR="00D54621" w:rsidRPr="004341B9" w:rsidRDefault="00D54621" w:rsidP="004341B9">
      <w:pPr>
        <w:pStyle w:val="ListParagraph"/>
        <w:spacing w:after="0" w:line="360" w:lineRule="auto"/>
        <w:ind w:left="0" w:firstLine="708"/>
        <w:jc w:val="both"/>
        <w:rPr>
          <w:rFonts w:ascii="Times New Roman" w:hAnsi="Times New Roman"/>
          <w:sz w:val="24"/>
          <w:szCs w:val="24"/>
          <w:lang w:val="es-ES_tradnl"/>
        </w:rPr>
      </w:pPr>
      <w:r w:rsidRPr="004341B9">
        <w:rPr>
          <w:rFonts w:ascii="Times New Roman" w:hAnsi="Times New Roman"/>
          <w:sz w:val="24"/>
          <w:szCs w:val="24"/>
        </w:rPr>
        <w:t xml:space="preserve">The use of flavonoids is often hampered by their low solubility in water </w:t>
      </w:r>
      <w:r w:rsidRPr="004341B9">
        <w:rPr>
          <w:rFonts w:ascii="Times New Roman" w:hAnsi="Times New Roman"/>
          <w:noProof/>
          <w:sz w:val="24"/>
          <w:szCs w:val="24"/>
        </w:rPr>
        <w:t>(Shrikhande and Francis 1974; Clegg and Morton 1968)</w:t>
      </w:r>
      <w:r w:rsidRPr="004341B9">
        <w:rPr>
          <w:rFonts w:ascii="Times New Roman" w:hAnsi="Times New Roman"/>
          <w:sz w:val="24"/>
          <w:szCs w:val="24"/>
        </w:rPr>
        <w:t xml:space="preserve">.  This characteristic restricts the commercial use of these compounds.  In order to counteract this disadvantage, some flavonoids, such as rutin, have been modified by the addition of glucose groups </w:t>
      </w:r>
      <w:r w:rsidRPr="004341B9">
        <w:rPr>
          <w:rFonts w:ascii="Times New Roman" w:hAnsi="Times New Roman"/>
          <w:noProof/>
          <w:sz w:val="24"/>
          <w:szCs w:val="24"/>
        </w:rPr>
        <w:t>(Schonrock and Kruse 2004; Anonymous 2006)</w:t>
      </w:r>
      <w:r w:rsidRPr="004341B9">
        <w:rPr>
          <w:rFonts w:ascii="Times New Roman" w:hAnsi="Times New Roman"/>
          <w:sz w:val="24"/>
          <w:szCs w:val="24"/>
          <w:lang w:val="es-ES_tradnl"/>
        </w:rPr>
        <w:t xml:space="preserve">.  Indeed, a new molecule called α-glucosylrutin (Fig. </w:t>
      </w:r>
      <w:r w:rsidR="00FA064E">
        <w:rPr>
          <w:rFonts w:ascii="Times New Roman" w:hAnsi="Times New Roman"/>
          <w:sz w:val="24"/>
          <w:szCs w:val="24"/>
          <w:lang w:val="es-ES_tradnl"/>
        </w:rPr>
        <w:t>5</w:t>
      </w:r>
      <w:r w:rsidRPr="004341B9">
        <w:rPr>
          <w:rFonts w:ascii="Times New Roman" w:hAnsi="Times New Roman"/>
          <w:sz w:val="24"/>
          <w:szCs w:val="24"/>
          <w:lang w:val="es-ES_tradnl"/>
        </w:rPr>
        <w:t xml:space="preserve">) is obtained by using a microbial enzyme that transfers a molecule of glucose to rutin.  As a result, the solubility is increased from 0.01 g/100 g water to 120g/100 g water </w:t>
      </w:r>
      <w:r w:rsidRPr="004341B9">
        <w:rPr>
          <w:rFonts w:ascii="Times New Roman" w:hAnsi="Times New Roman"/>
          <w:noProof/>
          <w:sz w:val="24"/>
          <w:szCs w:val="24"/>
          <w:lang w:val="es-ES_tradnl"/>
        </w:rPr>
        <w:t>(Anonymous 2006)</w:t>
      </w:r>
      <w:r w:rsidRPr="004341B9">
        <w:rPr>
          <w:rFonts w:ascii="Times New Roman" w:hAnsi="Times New Roman"/>
          <w:sz w:val="24"/>
          <w:szCs w:val="24"/>
          <w:lang w:val="es-ES_tradnl"/>
        </w:rPr>
        <w:t>.</w:t>
      </w:r>
    </w:p>
    <w:p w:rsidR="00D54621" w:rsidRPr="004341B9" w:rsidRDefault="00D54621" w:rsidP="004341B9">
      <w:pPr>
        <w:pStyle w:val="ListParagraph"/>
        <w:spacing w:after="0" w:line="360" w:lineRule="auto"/>
        <w:ind w:left="0"/>
        <w:jc w:val="both"/>
        <w:rPr>
          <w:rFonts w:ascii="Times New Roman" w:hAnsi="Times New Roman"/>
          <w:sz w:val="24"/>
          <w:szCs w:val="24"/>
          <w:lang w:val="es-ES_tradnl"/>
        </w:rPr>
      </w:pPr>
    </w:p>
    <w:p w:rsidR="00D54621" w:rsidRPr="004341B9" w:rsidRDefault="00D54621" w:rsidP="004341B9">
      <w:pPr>
        <w:pStyle w:val="ListParagraph"/>
        <w:spacing w:after="0" w:line="360" w:lineRule="auto"/>
        <w:ind w:left="0" w:firstLine="708"/>
        <w:jc w:val="both"/>
        <w:rPr>
          <w:rFonts w:ascii="Times New Roman" w:hAnsi="Times New Roman"/>
          <w:sz w:val="24"/>
          <w:szCs w:val="24"/>
          <w:lang w:val="es-ES_tradnl"/>
        </w:rPr>
      </w:pPr>
      <w:r w:rsidRPr="004341B9">
        <w:rPr>
          <w:rFonts w:ascii="Times New Roman" w:hAnsi="Times New Roman"/>
          <w:sz w:val="24"/>
          <w:szCs w:val="24"/>
          <w:lang w:val="es-ES_tradnl"/>
        </w:rPr>
        <w:t xml:space="preserve">The antioxidant activity of α-glucosylrutin has been demonstrated in skin care products.  In fact, some properties of this glucosylated flavonoid are the inhibition of the initial formation of free radicals and the scavenging of intermediates that occur in the skin aging process </w:t>
      </w:r>
      <w:r w:rsidRPr="004341B9">
        <w:rPr>
          <w:rFonts w:ascii="Times New Roman" w:hAnsi="Times New Roman"/>
          <w:noProof/>
          <w:sz w:val="24"/>
          <w:szCs w:val="24"/>
          <w:lang w:val="es-ES_tradnl"/>
        </w:rPr>
        <w:t>(Anonymous 2006)</w:t>
      </w:r>
      <w:r w:rsidRPr="004341B9">
        <w:rPr>
          <w:rFonts w:ascii="Times New Roman" w:hAnsi="Times New Roman"/>
          <w:sz w:val="24"/>
          <w:szCs w:val="24"/>
          <w:lang w:val="es-ES_tradnl"/>
        </w:rPr>
        <w:t xml:space="preserve">.  Also, the use of α-glucosylrutin in cosmetics has been proposed due to the protective role this compound has against AA oxidation, which can occur during storage of cosmetics and dermatological preparations </w:t>
      </w:r>
      <w:r w:rsidRPr="004341B9">
        <w:rPr>
          <w:rFonts w:ascii="Times New Roman" w:hAnsi="Times New Roman"/>
          <w:noProof/>
          <w:sz w:val="24"/>
          <w:szCs w:val="24"/>
          <w:lang w:val="es-ES_tradnl"/>
        </w:rPr>
        <w:t>(Schonrock and Kruse 2004)</w:t>
      </w:r>
      <w:r w:rsidRPr="004341B9">
        <w:rPr>
          <w:rFonts w:ascii="Times New Roman" w:hAnsi="Times New Roman"/>
          <w:sz w:val="24"/>
          <w:szCs w:val="24"/>
          <w:lang w:val="es-ES_tradnl"/>
        </w:rPr>
        <w:t xml:space="preserve">. </w:t>
      </w:r>
    </w:p>
    <w:p w:rsidR="00D54621" w:rsidRPr="004341B9" w:rsidRDefault="00D54621" w:rsidP="004341B9">
      <w:pPr>
        <w:pStyle w:val="ListParagraph"/>
        <w:spacing w:after="0" w:line="360" w:lineRule="auto"/>
        <w:ind w:left="0" w:firstLine="708"/>
        <w:jc w:val="both"/>
        <w:rPr>
          <w:rFonts w:ascii="Times New Roman" w:hAnsi="Times New Roman"/>
          <w:sz w:val="24"/>
          <w:szCs w:val="24"/>
          <w:lang w:val="es-ES_tradnl"/>
        </w:rPr>
      </w:pPr>
    </w:p>
    <w:p w:rsidR="00D54621" w:rsidRPr="004341B9" w:rsidRDefault="00D54621" w:rsidP="004341B9">
      <w:pPr>
        <w:pStyle w:val="ListParagraph"/>
        <w:spacing w:after="0" w:line="360" w:lineRule="auto"/>
        <w:ind w:left="0" w:firstLine="708"/>
        <w:jc w:val="both"/>
        <w:rPr>
          <w:rFonts w:ascii="Times New Roman" w:hAnsi="Times New Roman"/>
          <w:sz w:val="24"/>
          <w:szCs w:val="24"/>
          <w:lang w:val="es-ES_tradnl"/>
        </w:rPr>
      </w:pPr>
      <w:r w:rsidRPr="004341B9">
        <w:rPr>
          <w:rFonts w:ascii="Times New Roman" w:hAnsi="Times New Roman"/>
          <w:sz w:val="24"/>
          <w:szCs w:val="24"/>
          <w:lang w:val="es-ES_tradnl"/>
        </w:rPr>
        <w:t xml:space="preserve">Even though there is no information related to the use of α-glucosylrutin in food products, there is evidence related to rutin, which suggests that this flavonoid can exert an ascorbate protective role.  In fact, in a model system composed of AA and ascorbate oxidase, rutin was the compound which best extended the ascorbate radical lifetime, after Pycnogenol and an extract of green tea </w:t>
      </w:r>
      <w:r w:rsidRPr="004341B9">
        <w:rPr>
          <w:rFonts w:ascii="Times New Roman" w:hAnsi="Times New Roman"/>
          <w:noProof/>
          <w:sz w:val="24"/>
          <w:szCs w:val="24"/>
          <w:lang w:val="es-ES_tradnl"/>
        </w:rPr>
        <w:t>(Cossins and others 1998)</w:t>
      </w:r>
    </w:p>
    <w:p w:rsidR="00D54621" w:rsidRPr="004341B9" w:rsidRDefault="00D54621" w:rsidP="004341B9">
      <w:pPr>
        <w:pStyle w:val="ListParagraph"/>
        <w:spacing w:after="0" w:line="360" w:lineRule="auto"/>
        <w:ind w:left="0" w:firstLine="708"/>
        <w:jc w:val="both"/>
        <w:rPr>
          <w:rFonts w:ascii="Times New Roman" w:hAnsi="Times New Roman"/>
          <w:sz w:val="24"/>
          <w:szCs w:val="24"/>
          <w:lang w:val="es-ES_tradnl"/>
        </w:rPr>
      </w:pPr>
    </w:p>
    <w:p w:rsidR="00D54621" w:rsidRPr="004341B9" w:rsidRDefault="00D54621" w:rsidP="004341B9">
      <w:pPr>
        <w:spacing w:after="0" w:line="360" w:lineRule="auto"/>
        <w:jc w:val="both"/>
        <w:rPr>
          <w:rFonts w:ascii="Times New Roman" w:hAnsi="Times New Roman" w:cs="Times New Roman"/>
          <w:i/>
          <w:sz w:val="24"/>
          <w:szCs w:val="24"/>
        </w:rPr>
      </w:pPr>
      <w:r w:rsidRPr="004341B9">
        <w:rPr>
          <w:rFonts w:ascii="Times New Roman" w:hAnsi="Times New Roman" w:cs="Times New Roman"/>
          <w:i/>
          <w:sz w:val="24"/>
          <w:szCs w:val="24"/>
        </w:rPr>
        <w:t>Pycnogenol</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Pycnogenol is a tradename for an extract of pine bark developed originally by the French scientist, Jack Masquelier </w:t>
      </w:r>
      <w:r w:rsidRPr="004341B9">
        <w:rPr>
          <w:rFonts w:ascii="Times New Roman" w:hAnsi="Times New Roman"/>
          <w:noProof/>
          <w:sz w:val="24"/>
          <w:szCs w:val="24"/>
        </w:rPr>
        <w:t>(Masquelier 1987)</w:t>
      </w:r>
      <w:r w:rsidRPr="004341B9">
        <w:rPr>
          <w:rFonts w:ascii="Times New Roman" w:hAnsi="Times New Roman"/>
          <w:sz w:val="24"/>
          <w:szCs w:val="24"/>
        </w:rPr>
        <w:t xml:space="preserve">.  This substance is a blend of procyanidins extracted from the bark of the French maritime pine, </w:t>
      </w:r>
      <w:r w:rsidRPr="004341B9">
        <w:rPr>
          <w:rFonts w:ascii="Times New Roman" w:hAnsi="Times New Roman"/>
          <w:i/>
          <w:sz w:val="24"/>
          <w:szCs w:val="24"/>
        </w:rPr>
        <w:t>Pinus maritime</w:t>
      </w:r>
      <w:r w:rsidRPr="004341B9">
        <w:rPr>
          <w:rFonts w:ascii="Times New Roman" w:hAnsi="Times New Roman"/>
          <w:sz w:val="24"/>
          <w:szCs w:val="24"/>
        </w:rPr>
        <w:t xml:space="preserve">.  The components of this blend have not been completely characterized; however, it is known that phenolic compounds divided into monomers (catechin, epicatechin and taxifolin) and condensed flavonoids (classified as procyanidins/ proanthocyanidins) are the main components.  Also, in lower amounts, pine bark extract contains phenolic acids (for example, caffeic, ferulic and p-hydroxybenzoic acids) and glycosylation products </w:t>
      </w:r>
      <w:r w:rsidRPr="004341B9">
        <w:rPr>
          <w:rFonts w:ascii="Times New Roman" w:hAnsi="Times New Roman"/>
          <w:noProof/>
          <w:sz w:val="24"/>
          <w:szCs w:val="24"/>
        </w:rPr>
        <w:t>(Packer and others 1999)</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firstLine="720"/>
        <w:jc w:val="both"/>
        <w:rPr>
          <w:rFonts w:ascii="Times New Roman" w:hAnsi="Times New Roman"/>
          <w:sz w:val="24"/>
          <w:szCs w:val="24"/>
        </w:rPr>
      </w:pPr>
      <w:r w:rsidRPr="004341B9">
        <w:rPr>
          <w:rFonts w:ascii="Times New Roman" w:hAnsi="Times New Roman"/>
          <w:sz w:val="24"/>
          <w:szCs w:val="24"/>
        </w:rPr>
        <w:lastRenderedPageBreak/>
        <w:t xml:space="preserve">Studies have shown that Pycnogenol has strong free radical-scavenging activity against reactive oxygen and nitrogen species.  In fact, in comparison with flavonoids, the antioxidant activities are superior, due to the higher number of target sites for free radicals in the oligomeric compounds </w:t>
      </w:r>
      <w:r w:rsidRPr="004341B9">
        <w:rPr>
          <w:rFonts w:ascii="Times New Roman" w:hAnsi="Times New Roman"/>
          <w:noProof/>
          <w:sz w:val="24"/>
          <w:szCs w:val="24"/>
        </w:rPr>
        <w:t>(Rohdewald 2002)</w:t>
      </w:r>
      <w:r w:rsidRPr="004341B9">
        <w:rPr>
          <w:rFonts w:ascii="Times New Roman" w:hAnsi="Times New Roman"/>
          <w:sz w:val="24"/>
          <w:szCs w:val="24"/>
        </w:rPr>
        <w:t xml:space="preserve">.  Pycnogenol has been shown to have better AA protecting properties than other flavonoids such as quercetin, rutin and kaempferol.  Also, it was demonstrated that Pycnogenol is able to regenerate ascorbate radical from DHAA in model systems </w:t>
      </w:r>
      <w:r w:rsidRPr="004341B9">
        <w:rPr>
          <w:rFonts w:ascii="Times New Roman" w:hAnsi="Times New Roman"/>
          <w:noProof/>
          <w:sz w:val="24"/>
          <w:szCs w:val="24"/>
        </w:rPr>
        <w:t>(Cossins and others 1998)</w:t>
      </w:r>
      <w:r w:rsidRPr="004341B9">
        <w:rPr>
          <w:rFonts w:ascii="Times New Roman" w:hAnsi="Times New Roman"/>
          <w:sz w:val="24"/>
          <w:szCs w:val="24"/>
        </w:rPr>
        <w:t xml:space="preserve">. </w:t>
      </w:r>
    </w:p>
    <w:p w:rsidR="00D54621" w:rsidRPr="004341B9" w:rsidRDefault="00D54621" w:rsidP="004341B9">
      <w:pPr>
        <w:pStyle w:val="ListParagraph"/>
        <w:spacing w:after="0" w:line="360" w:lineRule="auto"/>
        <w:ind w:left="0" w:firstLine="720"/>
        <w:jc w:val="both"/>
        <w:rPr>
          <w:rFonts w:ascii="Times New Roman" w:hAnsi="Times New Roman"/>
          <w:sz w:val="24"/>
          <w:szCs w:val="24"/>
        </w:rPr>
      </w:pPr>
    </w:p>
    <w:p w:rsidR="00D54621" w:rsidRPr="004341B9" w:rsidRDefault="00D54621" w:rsidP="004341B9">
      <w:pPr>
        <w:pStyle w:val="ListParagraph"/>
        <w:spacing w:after="0" w:line="360" w:lineRule="auto"/>
        <w:ind w:left="0" w:firstLine="720"/>
        <w:jc w:val="both"/>
        <w:rPr>
          <w:rFonts w:ascii="Times New Roman" w:hAnsi="Times New Roman"/>
          <w:sz w:val="24"/>
          <w:szCs w:val="24"/>
        </w:rPr>
      </w:pPr>
      <w:r w:rsidRPr="004341B9">
        <w:rPr>
          <w:rFonts w:ascii="Times New Roman" w:hAnsi="Times New Roman"/>
          <w:sz w:val="24"/>
          <w:szCs w:val="24"/>
        </w:rPr>
        <w:t xml:space="preserve">In food systems, studies have shown the antioxidant and antimicrobial properties of Pycnogenol </w:t>
      </w:r>
      <w:r w:rsidRPr="004341B9">
        <w:rPr>
          <w:rFonts w:ascii="Times New Roman" w:hAnsi="Times New Roman"/>
          <w:noProof/>
          <w:sz w:val="24"/>
          <w:szCs w:val="24"/>
        </w:rPr>
        <w:t>(Ahn and others 2006; Ruggeri and others 2008; Torras and others 2005)</w:t>
      </w:r>
      <w:r w:rsidRPr="004341B9">
        <w:rPr>
          <w:rFonts w:ascii="Times New Roman" w:hAnsi="Times New Roman"/>
          <w:sz w:val="24"/>
          <w:szCs w:val="24"/>
        </w:rPr>
        <w:t xml:space="preserve">.  For example, in a study of lipid oxidation in cooked meat, it was demonstrated that Pycnogenol reduced the amount of </w:t>
      </w:r>
      <w:r w:rsidRPr="004341B9">
        <w:rPr>
          <w:rFonts w:ascii="Times New Roman" w:hAnsi="Times New Roman"/>
          <w:i/>
          <w:sz w:val="24"/>
          <w:szCs w:val="24"/>
        </w:rPr>
        <w:t>E. coli</w:t>
      </w:r>
      <w:r w:rsidRPr="004341B9">
        <w:rPr>
          <w:rFonts w:ascii="Times New Roman" w:hAnsi="Times New Roman"/>
          <w:sz w:val="24"/>
          <w:szCs w:val="24"/>
        </w:rPr>
        <w:t xml:space="preserve"> 0157:H7 and </w:t>
      </w:r>
      <w:r w:rsidRPr="004341B9">
        <w:rPr>
          <w:rFonts w:ascii="Times New Roman" w:hAnsi="Times New Roman"/>
          <w:i/>
          <w:sz w:val="24"/>
          <w:szCs w:val="24"/>
        </w:rPr>
        <w:t>Salmonella typhimuriun</w:t>
      </w:r>
      <w:r w:rsidRPr="004341B9">
        <w:rPr>
          <w:rFonts w:ascii="Times New Roman" w:hAnsi="Times New Roman"/>
          <w:sz w:val="24"/>
          <w:szCs w:val="24"/>
        </w:rPr>
        <w:t xml:space="preserve">, and slowed the growth of </w:t>
      </w:r>
      <w:r w:rsidRPr="004341B9">
        <w:rPr>
          <w:rFonts w:ascii="Times New Roman" w:hAnsi="Times New Roman"/>
          <w:i/>
          <w:sz w:val="24"/>
          <w:szCs w:val="24"/>
        </w:rPr>
        <w:t>Listeria monocytogenes</w:t>
      </w:r>
      <w:r w:rsidRPr="004341B9">
        <w:rPr>
          <w:rFonts w:ascii="Times New Roman" w:hAnsi="Times New Roman"/>
          <w:sz w:val="24"/>
          <w:szCs w:val="24"/>
        </w:rPr>
        <w:t xml:space="preserve"> and </w:t>
      </w:r>
      <w:r w:rsidRPr="004341B9">
        <w:rPr>
          <w:rFonts w:ascii="Times New Roman" w:hAnsi="Times New Roman"/>
          <w:i/>
          <w:sz w:val="24"/>
          <w:szCs w:val="24"/>
        </w:rPr>
        <w:t>Aeromonas hydrophila</w:t>
      </w:r>
      <w:r w:rsidRPr="004341B9">
        <w:rPr>
          <w:rFonts w:ascii="Times New Roman" w:hAnsi="Times New Roman"/>
          <w:sz w:val="24"/>
          <w:szCs w:val="24"/>
        </w:rPr>
        <w:t xml:space="preserve">.  Pycnogenol helped retain the red color in cooked beef during storage.  Also, this mixture of phenolic compounds reduced the production of hexanal and thiobarbituric acid-reactive substances in the cooked meat sample </w:t>
      </w:r>
      <w:r w:rsidRPr="004341B9">
        <w:rPr>
          <w:rFonts w:ascii="Times New Roman" w:hAnsi="Times New Roman"/>
          <w:noProof/>
          <w:sz w:val="24"/>
          <w:szCs w:val="24"/>
        </w:rPr>
        <w:t>(Ahn and others 2006)</w:t>
      </w:r>
      <w:r w:rsidRPr="004341B9">
        <w:rPr>
          <w:rFonts w:ascii="Times New Roman" w:hAnsi="Times New Roman"/>
          <w:sz w:val="24"/>
          <w:szCs w:val="24"/>
        </w:rPr>
        <w:t xml:space="preserve">.  One study in yogurt demonstrated the stability of Pycnogenol during storage in this acidic product </w:t>
      </w:r>
      <w:r w:rsidRPr="004341B9">
        <w:rPr>
          <w:rFonts w:ascii="Times New Roman" w:hAnsi="Times New Roman"/>
          <w:noProof/>
          <w:sz w:val="24"/>
          <w:szCs w:val="24"/>
        </w:rPr>
        <w:t>(Ruggeri and others 2008)</w:t>
      </w:r>
      <w:r w:rsidRPr="004341B9">
        <w:rPr>
          <w:rFonts w:ascii="Times New Roman" w:hAnsi="Times New Roman"/>
          <w:sz w:val="24"/>
          <w:szCs w:val="24"/>
        </w:rPr>
        <w:t xml:space="preserve">.  Even though the ascorbate protective role of Pycnogenol was noted more than one decade ago </w:t>
      </w:r>
      <w:r w:rsidRPr="004341B9">
        <w:rPr>
          <w:rFonts w:ascii="Times New Roman" w:hAnsi="Times New Roman"/>
          <w:noProof/>
          <w:sz w:val="24"/>
          <w:szCs w:val="24"/>
        </w:rPr>
        <w:t>(Cossins and others 1998)</w:t>
      </w:r>
      <w:r w:rsidRPr="004341B9">
        <w:rPr>
          <w:rFonts w:ascii="Times New Roman" w:hAnsi="Times New Roman"/>
          <w:sz w:val="24"/>
          <w:szCs w:val="24"/>
        </w:rPr>
        <w:t xml:space="preserve">, Pycnogenol has not been evaluated as a potential additive to avoid ascorbic acid degradation in food products. </w:t>
      </w:r>
    </w:p>
    <w:p w:rsidR="00D54621" w:rsidRPr="004341B9" w:rsidRDefault="00D54621" w:rsidP="004341B9">
      <w:pPr>
        <w:pStyle w:val="ListParagraph"/>
        <w:spacing w:after="0" w:line="360" w:lineRule="auto"/>
        <w:ind w:left="0"/>
        <w:jc w:val="both"/>
        <w:rPr>
          <w:rFonts w:ascii="Times New Roman" w:hAnsi="Times New Roman"/>
          <w:i/>
          <w:sz w:val="24"/>
          <w:szCs w:val="24"/>
        </w:rPr>
      </w:pPr>
    </w:p>
    <w:p w:rsidR="00D54621" w:rsidRPr="004341B9" w:rsidRDefault="00D54621" w:rsidP="004341B9">
      <w:pPr>
        <w:pStyle w:val="ListParagraph"/>
        <w:spacing w:after="0" w:line="360" w:lineRule="auto"/>
        <w:ind w:left="0"/>
        <w:jc w:val="both"/>
        <w:rPr>
          <w:rFonts w:ascii="Times New Roman" w:hAnsi="Times New Roman"/>
          <w:i/>
          <w:sz w:val="24"/>
          <w:szCs w:val="24"/>
        </w:rPr>
      </w:pPr>
      <w:r w:rsidRPr="004341B9">
        <w:rPr>
          <w:rFonts w:ascii="Times New Roman" w:hAnsi="Times New Roman"/>
          <w:i/>
          <w:sz w:val="24"/>
          <w:szCs w:val="24"/>
        </w:rPr>
        <w:t xml:space="preserve">Sulfites </w:t>
      </w:r>
    </w:p>
    <w:p w:rsidR="00D54621" w:rsidRPr="004341B9" w:rsidRDefault="00D54621" w:rsidP="004341B9">
      <w:pPr>
        <w:pStyle w:val="ListParagraph"/>
        <w:spacing w:after="0" w:line="360" w:lineRule="auto"/>
        <w:ind w:left="0" w:firstLine="708"/>
        <w:jc w:val="both"/>
        <w:rPr>
          <w:rFonts w:ascii="Times New Roman" w:hAnsi="Times New Roman"/>
          <w:sz w:val="24"/>
          <w:szCs w:val="24"/>
        </w:rPr>
      </w:pPr>
      <w:r w:rsidRPr="004341B9">
        <w:rPr>
          <w:rFonts w:ascii="Times New Roman" w:hAnsi="Times New Roman"/>
          <w:sz w:val="24"/>
          <w:szCs w:val="24"/>
        </w:rPr>
        <w:t xml:space="preserve">Sulfites are the compounds with the longest history of use for the prevention of enzymatic and non-enzymatic </w:t>
      </w:r>
      <w:proofErr w:type="gramStart"/>
      <w:r w:rsidRPr="004341B9">
        <w:rPr>
          <w:rFonts w:ascii="Times New Roman" w:hAnsi="Times New Roman"/>
          <w:sz w:val="24"/>
          <w:szCs w:val="24"/>
        </w:rPr>
        <w:t xml:space="preserve">browning  </w:t>
      </w:r>
      <w:r w:rsidRPr="004341B9">
        <w:rPr>
          <w:rFonts w:ascii="Times New Roman" w:hAnsi="Times New Roman"/>
          <w:noProof/>
          <w:sz w:val="24"/>
          <w:szCs w:val="24"/>
        </w:rPr>
        <w:t>(</w:t>
      </w:r>
      <w:proofErr w:type="gramEnd"/>
      <w:r w:rsidRPr="004341B9">
        <w:rPr>
          <w:rFonts w:ascii="Times New Roman" w:hAnsi="Times New Roman"/>
          <w:noProof/>
          <w:sz w:val="24"/>
          <w:szCs w:val="24"/>
        </w:rPr>
        <w:t>Roig and others 1996)</w:t>
      </w:r>
      <w:r w:rsidRPr="004341B9">
        <w:rPr>
          <w:rFonts w:ascii="Times New Roman" w:hAnsi="Times New Roman"/>
          <w:sz w:val="24"/>
          <w:szCs w:val="24"/>
        </w:rPr>
        <w:t xml:space="preserve">.  It is known that browning due to anaerobic and aerobic degradation of AA is inhibited by sulfite species </w:t>
      </w:r>
      <w:r w:rsidRPr="004341B9">
        <w:rPr>
          <w:rFonts w:ascii="Times New Roman" w:hAnsi="Times New Roman"/>
          <w:noProof/>
          <w:sz w:val="24"/>
          <w:szCs w:val="24"/>
        </w:rPr>
        <w:t>(Wedzicha 1984)</w:t>
      </w:r>
      <w:r w:rsidRPr="004341B9">
        <w:rPr>
          <w:rFonts w:ascii="Times New Roman" w:hAnsi="Times New Roman"/>
          <w:sz w:val="24"/>
          <w:szCs w:val="24"/>
        </w:rPr>
        <w:t xml:space="preserve">.  Under anaerobic environments, the reactions involved in the inhibition of maillard and AA browning by sulfite agents </w:t>
      </w:r>
      <w:proofErr w:type="gramStart"/>
      <w:r w:rsidRPr="004341B9">
        <w:rPr>
          <w:rFonts w:ascii="Times New Roman" w:hAnsi="Times New Roman"/>
          <w:sz w:val="24"/>
          <w:szCs w:val="24"/>
        </w:rPr>
        <w:t>are</w:t>
      </w:r>
      <w:proofErr w:type="gramEnd"/>
      <w:r w:rsidRPr="004341B9">
        <w:rPr>
          <w:rFonts w:ascii="Times New Roman" w:hAnsi="Times New Roman"/>
          <w:sz w:val="24"/>
          <w:szCs w:val="24"/>
        </w:rPr>
        <w:t xml:space="preserve"> similar.  In both systems, 3-deoxyosuloses seems to participate in the inhibition.  In reference to AA browning, studies have shown that sulfites do not react sufficiently with reactants, and the loss of sulfites seems to be consequence of the reaction with an AA degradation intermediate called 3</w:t>
      </w:r>
      <w:proofErr w:type="gramStart"/>
      <w:r w:rsidRPr="004341B9">
        <w:rPr>
          <w:rFonts w:ascii="Times New Roman" w:hAnsi="Times New Roman"/>
          <w:sz w:val="24"/>
          <w:szCs w:val="24"/>
        </w:rPr>
        <w:t>,4</w:t>
      </w:r>
      <w:proofErr w:type="gramEnd"/>
      <w:r w:rsidRPr="004341B9">
        <w:rPr>
          <w:rFonts w:ascii="Times New Roman" w:hAnsi="Times New Roman"/>
          <w:sz w:val="24"/>
          <w:szCs w:val="24"/>
        </w:rPr>
        <w:t>-dideoxypentosulos-3-ene.  The product formed after this reaction has been identified as 3</w:t>
      </w:r>
      <w:proofErr w:type="gramStart"/>
      <w:r w:rsidRPr="004341B9">
        <w:rPr>
          <w:rFonts w:ascii="Times New Roman" w:hAnsi="Times New Roman"/>
          <w:sz w:val="24"/>
          <w:szCs w:val="24"/>
        </w:rPr>
        <w:t>,4</w:t>
      </w:r>
      <w:proofErr w:type="gramEnd"/>
      <w:r w:rsidRPr="004341B9">
        <w:rPr>
          <w:rFonts w:ascii="Times New Roman" w:hAnsi="Times New Roman"/>
          <w:sz w:val="24"/>
          <w:szCs w:val="24"/>
        </w:rPr>
        <w:t xml:space="preserve">-dideoxy-4-sulphopentosulose </w:t>
      </w:r>
      <w:r w:rsidRPr="004341B9">
        <w:rPr>
          <w:rFonts w:ascii="Times New Roman" w:hAnsi="Times New Roman"/>
          <w:noProof/>
          <w:sz w:val="24"/>
          <w:szCs w:val="24"/>
        </w:rPr>
        <w:t>(Wedzicha 1984)</w:t>
      </w:r>
      <w:r w:rsidRPr="004341B9">
        <w:rPr>
          <w:rFonts w:ascii="Times New Roman" w:hAnsi="Times New Roman"/>
          <w:sz w:val="24"/>
          <w:szCs w:val="24"/>
        </w:rPr>
        <w:t xml:space="preserve">.  In more recent studies, results suggest that sulfite is able to react directly with AA; in fact, there is </w:t>
      </w:r>
      <w:r w:rsidRPr="004341B9">
        <w:rPr>
          <w:rFonts w:ascii="Times New Roman" w:hAnsi="Times New Roman"/>
          <w:sz w:val="24"/>
          <w:szCs w:val="24"/>
        </w:rPr>
        <w:lastRenderedPageBreak/>
        <w:t xml:space="preserve">evidence that infers that sulfites are able to catalyse the hydrolysis of the AA lactone </w:t>
      </w:r>
      <w:proofErr w:type="gramStart"/>
      <w:r w:rsidRPr="004341B9">
        <w:rPr>
          <w:rFonts w:ascii="Times New Roman" w:hAnsi="Times New Roman"/>
          <w:sz w:val="24"/>
          <w:szCs w:val="24"/>
        </w:rPr>
        <w:t xml:space="preserve">ring  </w:t>
      </w:r>
      <w:r w:rsidRPr="004341B9">
        <w:rPr>
          <w:rFonts w:ascii="Times New Roman" w:hAnsi="Times New Roman"/>
          <w:noProof/>
          <w:sz w:val="24"/>
          <w:szCs w:val="24"/>
        </w:rPr>
        <w:t>(</w:t>
      </w:r>
      <w:proofErr w:type="gramEnd"/>
      <w:r w:rsidRPr="004341B9">
        <w:rPr>
          <w:rFonts w:ascii="Times New Roman" w:hAnsi="Times New Roman"/>
          <w:noProof/>
          <w:sz w:val="24"/>
          <w:szCs w:val="24"/>
        </w:rPr>
        <w:t>Davies and Wedzicha 1992)</w:t>
      </w:r>
      <w:r w:rsidRPr="004341B9">
        <w:rPr>
          <w:rFonts w:ascii="Times New Roman" w:hAnsi="Times New Roman"/>
          <w:sz w:val="24"/>
          <w:szCs w:val="24"/>
        </w:rPr>
        <w:t xml:space="preserve">. </w:t>
      </w:r>
    </w:p>
    <w:p w:rsidR="00D54621" w:rsidRPr="004341B9" w:rsidRDefault="00D54621" w:rsidP="004341B9">
      <w:pPr>
        <w:tabs>
          <w:tab w:val="left" w:pos="2850"/>
        </w:tabs>
        <w:spacing w:after="0" w:line="360" w:lineRule="auto"/>
        <w:ind w:firstLine="706"/>
        <w:jc w:val="both"/>
        <w:rPr>
          <w:rFonts w:ascii="Times New Roman" w:hAnsi="Times New Roman" w:cs="Times New Roman"/>
          <w:sz w:val="24"/>
          <w:szCs w:val="24"/>
        </w:rPr>
      </w:pPr>
      <w:r w:rsidRPr="004341B9">
        <w:rPr>
          <w:rFonts w:ascii="Times New Roman" w:hAnsi="Times New Roman" w:cs="Times New Roman"/>
          <w:sz w:val="24"/>
          <w:szCs w:val="24"/>
        </w:rPr>
        <w:tab/>
      </w:r>
      <w:r w:rsidRPr="004341B9">
        <w:rPr>
          <w:rFonts w:ascii="Times New Roman" w:hAnsi="Times New Roman" w:cs="Times New Roman"/>
          <w:sz w:val="24"/>
          <w:szCs w:val="24"/>
        </w:rPr>
        <w:tab/>
        <w:t xml:space="preserve"> </w:t>
      </w:r>
    </w:p>
    <w:p w:rsidR="00D54621" w:rsidRPr="004341B9" w:rsidRDefault="00D54621" w:rsidP="004341B9">
      <w:pPr>
        <w:spacing w:after="0" w:line="360" w:lineRule="auto"/>
        <w:ind w:firstLine="708"/>
        <w:jc w:val="both"/>
        <w:rPr>
          <w:rFonts w:ascii="Times New Roman" w:hAnsi="Times New Roman" w:cs="Times New Roman"/>
          <w:sz w:val="24"/>
          <w:szCs w:val="24"/>
        </w:rPr>
      </w:pPr>
      <w:r w:rsidRPr="004341B9">
        <w:rPr>
          <w:rFonts w:ascii="Times New Roman" w:hAnsi="Times New Roman" w:cs="Times New Roman"/>
          <w:sz w:val="24"/>
          <w:szCs w:val="24"/>
        </w:rPr>
        <w:t xml:space="preserve">Under aerobic conditions, it is believed that sulfites can inhibit the degradation of AA by two mechanisms: (1) inhibition of autoxidation of AA and (2) prevention of browning due to DHAA acid and other carbonyl degradation products </w:t>
      </w:r>
      <w:r w:rsidRPr="004341B9">
        <w:rPr>
          <w:rFonts w:ascii="Times New Roman" w:hAnsi="Times New Roman" w:cs="Times New Roman"/>
          <w:noProof/>
          <w:sz w:val="24"/>
          <w:szCs w:val="24"/>
        </w:rPr>
        <w:t>(Wedzicha 1984)</w:t>
      </w:r>
      <w:r w:rsidRPr="004341B9">
        <w:rPr>
          <w:rFonts w:ascii="Times New Roman" w:hAnsi="Times New Roman" w:cs="Times New Roman"/>
          <w:sz w:val="24"/>
          <w:szCs w:val="24"/>
        </w:rPr>
        <w:t xml:space="preserve">.  In reference to the first mechanism, there are results that show that, in mixtures of AA and sulfites, AA increased the rate of sulfite loss.  The results in this study infer that semidehydroascorbic acid is reduced by the sulphite ion </w:t>
      </w:r>
      <w:r w:rsidRPr="004341B9">
        <w:rPr>
          <w:rFonts w:ascii="Times New Roman" w:hAnsi="Times New Roman" w:cs="Times New Roman"/>
          <w:noProof/>
          <w:sz w:val="24"/>
          <w:szCs w:val="24"/>
        </w:rPr>
        <w:t>(Davies and Wedzicha 1992)</w:t>
      </w:r>
      <w:r w:rsidRPr="004341B9">
        <w:rPr>
          <w:rFonts w:ascii="Times New Roman" w:hAnsi="Times New Roman" w:cs="Times New Roman"/>
          <w:sz w:val="24"/>
          <w:szCs w:val="24"/>
        </w:rPr>
        <w:t xml:space="preserve">.  In the second type of mechanism, DHAA reacts with sulfite species forming hydroxysulphonate.  The reactivity of this new product is much lower; as a consequence, the tendency of reaction with amines and the development of red colors are decreased.  There is no evidence that shows that the formation of hydroxysulphonate is irreversible </w:t>
      </w:r>
      <w:r w:rsidRPr="004341B9">
        <w:rPr>
          <w:rFonts w:ascii="Times New Roman" w:hAnsi="Times New Roman" w:cs="Times New Roman"/>
          <w:noProof/>
          <w:sz w:val="24"/>
          <w:szCs w:val="24"/>
        </w:rPr>
        <w:t>(Wedzicha 1984)</w:t>
      </w:r>
      <w:r w:rsidRPr="004341B9">
        <w:rPr>
          <w:rFonts w:ascii="Times New Roman" w:hAnsi="Times New Roman" w:cs="Times New Roman"/>
          <w:sz w:val="24"/>
          <w:szCs w:val="24"/>
        </w:rPr>
        <w:t xml:space="preserve">. </w:t>
      </w:r>
    </w:p>
    <w:p w:rsidR="00D54621" w:rsidRPr="004341B9" w:rsidRDefault="00D54621" w:rsidP="004341B9">
      <w:pPr>
        <w:spacing w:after="0" w:line="360" w:lineRule="auto"/>
        <w:ind w:firstLine="708"/>
        <w:jc w:val="both"/>
        <w:rPr>
          <w:rFonts w:ascii="Times New Roman" w:hAnsi="Times New Roman" w:cs="Times New Roman"/>
          <w:sz w:val="24"/>
          <w:szCs w:val="24"/>
        </w:rPr>
      </w:pPr>
    </w:p>
    <w:p w:rsidR="00D54621" w:rsidRPr="004341B9" w:rsidRDefault="00D54621" w:rsidP="004341B9">
      <w:pPr>
        <w:spacing w:after="0" w:line="360" w:lineRule="auto"/>
        <w:ind w:firstLine="706"/>
        <w:jc w:val="both"/>
        <w:rPr>
          <w:rFonts w:ascii="Times New Roman" w:hAnsi="Times New Roman" w:cs="Times New Roman"/>
          <w:sz w:val="24"/>
          <w:szCs w:val="24"/>
        </w:rPr>
      </w:pPr>
      <w:r w:rsidRPr="004341B9">
        <w:rPr>
          <w:rFonts w:ascii="Times New Roman" w:hAnsi="Times New Roman" w:cs="Times New Roman"/>
          <w:sz w:val="24"/>
          <w:szCs w:val="24"/>
        </w:rPr>
        <w:t xml:space="preserve">Research conducted in food systems has proved the effectiveness of sulfites for the inhibition of AA degradation.  For example, in single-strength reconstituted citrus juice in tetrabrik cartons, sodium metabisulfite decreased the development of browning, especially at 76 and 105°C, where there was a great accumulation of 5-hydroxymethylfurfuraldehyde </w:t>
      </w:r>
      <w:r w:rsidRPr="004341B9">
        <w:rPr>
          <w:rFonts w:ascii="Times New Roman" w:hAnsi="Times New Roman" w:cs="Times New Roman"/>
          <w:noProof/>
          <w:sz w:val="24"/>
          <w:szCs w:val="24"/>
        </w:rPr>
        <w:t>(Roig and others 1996)</w:t>
      </w:r>
      <w:r w:rsidRPr="004341B9">
        <w:rPr>
          <w:rFonts w:ascii="Times New Roman" w:hAnsi="Times New Roman" w:cs="Times New Roman"/>
          <w:sz w:val="24"/>
          <w:szCs w:val="24"/>
        </w:rPr>
        <w:t xml:space="preserve">.  Also, in aqueous model systems, the effect of sodium bisulphate was to inhibit the anaerobic degradation of AA, but only at low temperatures (24, 33 and 45°C) </w:t>
      </w:r>
      <w:r w:rsidRPr="004341B9">
        <w:rPr>
          <w:rFonts w:ascii="Times New Roman" w:hAnsi="Times New Roman" w:cs="Times New Roman"/>
          <w:noProof/>
          <w:sz w:val="24"/>
          <w:szCs w:val="24"/>
        </w:rPr>
        <w:t>(Rojas and Gerschenson 1997)</w:t>
      </w:r>
      <w:r w:rsidRPr="004341B9">
        <w:rPr>
          <w:rFonts w:ascii="Times New Roman" w:hAnsi="Times New Roman" w:cs="Times New Roman"/>
          <w:sz w:val="24"/>
          <w:szCs w:val="24"/>
        </w:rPr>
        <w:t xml:space="preserve">.  In addition, in a DHAA aqueous solution stored at 37°C for 28 days, it was observed that sulfites (40mM) inhibited the development of browning pigments </w:t>
      </w:r>
      <w:r w:rsidRPr="004341B9">
        <w:rPr>
          <w:rFonts w:ascii="Times New Roman" w:hAnsi="Times New Roman" w:cs="Times New Roman"/>
          <w:noProof/>
          <w:sz w:val="24"/>
          <w:szCs w:val="24"/>
        </w:rPr>
        <w:t>(Sawamura and others 2000)</w:t>
      </w:r>
      <w:r w:rsidRPr="004341B9">
        <w:rPr>
          <w:rFonts w:ascii="Times New Roman" w:hAnsi="Times New Roman" w:cs="Times New Roman"/>
          <w:sz w:val="24"/>
          <w:szCs w:val="24"/>
        </w:rPr>
        <w:t>.</w:t>
      </w:r>
    </w:p>
    <w:p w:rsidR="00D54621" w:rsidRPr="004341B9" w:rsidRDefault="00D54621" w:rsidP="004341B9">
      <w:pPr>
        <w:pStyle w:val="ListParagraph"/>
        <w:spacing w:after="0" w:line="360" w:lineRule="auto"/>
        <w:ind w:left="0" w:firstLine="706"/>
        <w:jc w:val="both"/>
        <w:rPr>
          <w:rFonts w:ascii="Times New Roman" w:hAnsi="Times New Roman"/>
          <w:sz w:val="24"/>
          <w:szCs w:val="24"/>
        </w:rPr>
      </w:pPr>
    </w:p>
    <w:p w:rsidR="00D54621" w:rsidRPr="004341B9" w:rsidRDefault="00D54621" w:rsidP="004341B9">
      <w:pPr>
        <w:pStyle w:val="ListParagraph"/>
        <w:spacing w:after="0" w:line="360" w:lineRule="auto"/>
        <w:ind w:left="0" w:firstLine="706"/>
        <w:jc w:val="both"/>
        <w:rPr>
          <w:rFonts w:ascii="Times New Roman" w:hAnsi="Times New Roman"/>
          <w:sz w:val="24"/>
          <w:szCs w:val="24"/>
        </w:rPr>
      </w:pPr>
      <w:r w:rsidRPr="004341B9">
        <w:rPr>
          <w:rFonts w:ascii="Times New Roman" w:hAnsi="Times New Roman"/>
          <w:sz w:val="24"/>
          <w:szCs w:val="24"/>
        </w:rPr>
        <w:t xml:space="preserve">The application of sulfites in food products is not desired due to the fact that some people (especially sulfite-sensitive asthmatics) have negative reactions when exposed to these compounds.  For this reason, there is a tendency to replace sulfites with other compounds with similar antioxidant properties.  Studies conducted with sulfhydryl-containing amino acids have shown the effectiveness of these compounds against AA degradation.  In fact, </w:t>
      </w:r>
      <w:r w:rsidRPr="004341B9">
        <w:rPr>
          <w:rFonts w:ascii="Times New Roman" w:hAnsi="Times New Roman"/>
          <w:i/>
          <w:sz w:val="24"/>
          <w:szCs w:val="24"/>
        </w:rPr>
        <w:t>in vivo,</w:t>
      </w:r>
      <w:r w:rsidRPr="004341B9">
        <w:rPr>
          <w:rFonts w:ascii="Times New Roman" w:hAnsi="Times New Roman"/>
          <w:sz w:val="24"/>
          <w:szCs w:val="24"/>
        </w:rPr>
        <w:t xml:space="preserve"> thiol compounds work as nucleophiles and scavengers of free radicals.  Among the sulfur containing amino acids, L-cysteine, N-acetyl-L-cysteine and gluthanione have been the most studied.  In </w:t>
      </w:r>
      <w:r w:rsidRPr="004341B9">
        <w:rPr>
          <w:rFonts w:ascii="Times New Roman" w:hAnsi="Times New Roman"/>
          <w:sz w:val="24"/>
          <w:szCs w:val="24"/>
        </w:rPr>
        <w:lastRenderedPageBreak/>
        <w:t xml:space="preserve">orange juice stored at 45°C for 7 and 14 days, it was reported that levels of L-cysteine and N-acetyl-L-cysteine at 2.5 mM or lower reduced browning and 5-hydroxymethylfurfural </w:t>
      </w:r>
      <w:proofErr w:type="gramStart"/>
      <w:r w:rsidRPr="004341B9">
        <w:rPr>
          <w:rFonts w:ascii="Times New Roman" w:hAnsi="Times New Roman"/>
          <w:sz w:val="24"/>
          <w:szCs w:val="24"/>
        </w:rPr>
        <w:t xml:space="preserve">formation  </w:t>
      </w:r>
      <w:r w:rsidRPr="004341B9">
        <w:rPr>
          <w:rFonts w:ascii="Times New Roman" w:hAnsi="Times New Roman"/>
          <w:noProof/>
          <w:sz w:val="24"/>
          <w:szCs w:val="24"/>
        </w:rPr>
        <w:t>(</w:t>
      </w:r>
      <w:proofErr w:type="gramEnd"/>
      <w:r w:rsidRPr="004341B9">
        <w:rPr>
          <w:rFonts w:ascii="Times New Roman" w:hAnsi="Times New Roman"/>
          <w:noProof/>
          <w:sz w:val="24"/>
          <w:szCs w:val="24"/>
        </w:rPr>
        <w:t>Naim and others 1993)</w:t>
      </w:r>
      <w:r w:rsidRPr="004341B9">
        <w:rPr>
          <w:rFonts w:ascii="Times New Roman" w:hAnsi="Times New Roman"/>
          <w:sz w:val="24"/>
          <w:szCs w:val="24"/>
        </w:rPr>
        <w:t xml:space="preserve">.  Similar results were obtained in another study of fortified orange juice, where glutathione, L-cysteine and N-acetyl L-cysteine at concentrations below 4.0 mM inhibited AA degradation during pasteurization.  Also, in this same study, the same thiol compounds reduced the production of p-vinylguaiacol and browning during 25°C storage for 12 weeks </w:t>
      </w:r>
      <w:r w:rsidRPr="004341B9">
        <w:rPr>
          <w:rFonts w:ascii="Times New Roman" w:hAnsi="Times New Roman"/>
          <w:noProof/>
          <w:sz w:val="24"/>
          <w:szCs w:val="24"/>
        </w:rPr>
        <w:t>(Naim and others 1997)</w:t>
      </w:r>
      <w:r w:rsidRPr="004341B9">
        <w:rPr>
          <w:rFonts w:ascii="Times New Roman" w:hAnsi="Times New Roman"/>
          <w:sz w:val="24"/>
          <w:szCs w:val="24"/>
        </w:rPr>
        <w:t xml:space="preserve">.  </w:t>
      </w:r>
    </w:p>
    <w:p w:rsidR="00D54621" w:rsidRPr="004341B9" w:rsidRDefault="00D54621" w:rsidP="004341B9">
      <w:pPr>
        <w:spacing w:after="0" w:line="360" w:lineRule="auto"/>
        <w:rPr>
          <w:rFonts w:ascii="Times New Roman" w:hAnsi="Times New Roman" w:cs="Times New Roman"/>
          <w:sz w:val="24"/>
          <w:szCs w:val="24"/>
        </w:rPr>
      </w:pPr>
      <w:r w:rsidRPr="004341B9">
        <w:rPr>
          <w:rFonts w:ascii="Times New Roman" w:hAnsi="Times New Roman" w:cs="Times New Roman"/>
          <w:sz w:val="24"/>
          <w:szCs w:val="24"/>
        </w:rPr>
        <w:br w:type="page"/>
      </w: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A76E4" w:rsidP="004341B9">
      <w:pPr>
        <w:spacing w:after="0" w:line="360" w:lineRule="auto"/>
        <w:jc w:val="center"/>
        <w:rPr>
          <w:rFonts w:ascii="Times New Roman" w:hAnsi="Times New Roman" w:cs="Times New Roman"/>
          <w:sz w:val="24"/>
          <w:szCs w:val="24"/>
        </w:rPr>
      </w:pPr>
      <w:r>
        <w:object w:dxaOrig="2419" w:dyaOrig="1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8.5pt;height:106.5pt" o:ole="">
            <v:imagedata r:id="rId9" o:title=""/>
          </v:shape>
          <o:OLEObject Type="Embed" ProgID="ACD.ChemSketch.20" ShapeID="_x0000_i1025" DrawAspect="Content" ObjectID="_1354051695" r:id="rId10"/>
        </w:object>
      </w:r>
    </w:p>
    <w:p w:rsidR="00D54621" w:rsidRPr="004341B9" w:rsidRDefault="00D54621" w:rsidP="004341B9">
      <w:pPr>
        <w:spacing w:after="0" w:line="360" w:lineRule="auto"/>
        <w:jc w:val="center"/>
        <w:rPr>
          <w:rFonts w:ascii="Times New Roman" w:hAnsi="Times New Roman" w:cs="Times New Roman"/>
          <w:sz w:val="24"/>
          <w:szCs w:val="24"/>
        </w:rPr>
      </w:pPr>
    </w:p>
    <w:p w:rsidR="002426CC" w:rsidRPr="004341B9" w:rsidRDefault="00924E92" w:rsidP="00690744">
      <w:pPr>
        <w:spacing w:after="0" w:line="360" w:lineRule="auto"/>
        <w:ind w:left="2160" w:firstLine="720"/>
        <w:rPr>
          <w:rFonts w:ascii="Times New Roman" w:hAnsi="Times New Roman" w:cs="Times New Roman"/>
          <w:b/>
          <w:sz w:val="24"/>
          <w:szCs w:val="24"/>
        </w:rPr>
      </w:pPr>
      <w:r>
        <w:rPr>
          <w:rFonts w:ascii="Times New Roman" w:hAnsi="Times New Roman" w:cs="Times New Roman"/>
          <w:b/>
          <w:sz w:val="24"/>
          <w:szCs w:val="24"/>
        </w:rPr>
        <w:t>Fig. 1: L-ascorbic acid</w:t>
      </w:r>
    </w:p>
    <w:p w:rsidR="00D54621" w:rsidRPr="004341B9" w:rsidRDefault="00D54621" w:rsidP="004341B9">
      <w:pPr>
        <w:spacing w:after="0" w:line="360" w:lineRule="auto"/>
        <w:rPr>
          <w:rFonts w:ascii="Times New Roman" w:hAnsi="Times New Roman" w:cs="Times New Roman"/>
          <w:b/>
          <w:sz w:val="24"/>
          <w:szCs w:val="24"/>
        </w:rPr>
      </w:pPr>
    </w:p>
    <w:p w:rsidR="00D54621" w:rsidRPr="004341B9" w:rsidRDefault="00D54621" w:rsidP="004341B9">
      <w:pPr>
        <w:spacing w:after="0" w:line="360" w:lineRule="auto"/>
        <w:rPr>
          <w:rFonts w:ascii="Times New Roman" w:hAnsi="Times New Roman" w:cs="Times New Roman"/>
          <w:b/>
          <w:sz w:val="24"/>
          <w:szCs w:val="24"/>
        </w:rPr>
      </w:pPr>
      <w:r w:rsidRPr="004341B9">
        <w:rPr>
          <w:rFonts w:ascii="Times New Roman" w:hAnsi="Times New Roman" w:cs="Times New Roman"/>
          <w:b/>
          <w:sz w:val="24"/>
          <w:szCs w:val="24"/>
        </w:rPr>
        <w:br w:type="page"/>
      </w:r>
    </w:p>
    <w:p w:rsidR="00D54621" w:rsidRPr="004341B9" w:rsidRDefault="004B5439" w:rsidP="004341B9">
      <w:pPr>
        <w:spacing w:after="0" w:line="360" w:lineRule="auto"/>
        <w:jc w:val="center"/>
        <w:rPr>
          <w:rFonts w:ascii="Times New Roman" w:hAnsi="Times New Roman" w:cs="Times New Roman"/>
          <w:sz w:val="24"/>
          <w:szCs w:val="24"/>
        </w:rPr>
      </w:pPr>
      <w:r>
        <w:object w:dxaOrig="10699" w:dyaOrig="9206">
          <v:shape id="_x0000_i1026" type="#_x0000_t75" style="width:468pt;height:402pt" o:ole="">
            <v:imagedata r:id="rId11" o:title=""/>
          </v:shape>
          <o:OLEObject Type="Embed" ProgID="ACD.ChemSketch.20" ShapeID="_x0000_i1026" DrawAspect="Content" ObjectID="_1354051696" r:id="rId12"/>
        </w:object>
      </w:r>
    </w:p>
    <w:p w:rsidR="00D54621" w:rsidRPr="004341B9" w:rsidRDefault="00D50EC7" w:rsidP="004341B9">
      <w:pPr>
        <w:spacing w:after="0" w:line="360" w:lineRule="auto"/>
        <w:ind w:left="720" w:hanging="720"/>
        <w:jc w:val="center"/>
        <w:rPr>
          <w:rFonts w:ascii="Times New Roman" w:hAnsi="Times New Roman" w:cs="Times New Roman"/>
          <w:noProof/>
          <w:sz w:val="24"/>
          <w:szCs w:val="24"/>
        </w:rPr>
      </w:pPr>
      <w:r w:rsidRPr="004341B9">
        <w:rPr>
          <w:rFonts w:ascii="Times New Roman" w:hAnsi="Times New Roman" w:cs="Times New Roman"/>
          <w:sz w:val="24"/>
          <w:szCs w:val="24"/>
        </w:rPr>
        <w:fldChar w:fldCharType="begin"/>
      </w:r>
      <w:r w:rsidR="00D54621" w:rsidRPr="004341B9">
        <w:rPr>
          <w:rFonts w:ascii="Times New Roman" w:hAnsi="Times New Roman" w:cs="Times New Roman"/>
          <w:sz w:val="24"/>
          <w:szCs w:val="24"/>
        </w:rPr>
        <w:instrText xml:space="preserve"> ADDIN EN.REFLIST </w:instrText>
      </w:r>
      <w:r w:rsidRPr="004341B9">
        <w:rPr>
          <w:rFonts w:ascii="Times New Roman" w:hAnsi="Times New Roman" w:cs="Times New Roman"/>
          <w:sz w:val="24"/>
          <w:szCs w:val="24"/>
        </w:rPr>
        <w:fldChar w:fldCharType="separate"/>
      </w:r>
    </w:p>
    <w:p w:rsidR="00D54621" w:rsidRPr="004341B9" w:rsidRDefault="00924E92" w:rsidP="004341B9">
      <w:pPr>
        <w:spacing w:after="0" w:line="360" w:lineRule="auto"/>
        <w:rPr>
          <w:rFonts w:ascii="Times New Roman" w:hAnsi="Times New Roman" w:cs="Times New Roman"/>
          <w:b/>
          <w:sz w:val="24"/>
          <w:szCs w:val="24"/>
        </w:rPr>
      </w:pPr>
      <w:r>
        <w:rPr>
          <w:rFonts w:ascii="Times New Roman" w:hAnsi="Times New Roman" w:cs="Times New Roman"/>
          <w:b/>
          <w:sz w:val="24"/>
          <w:szCs w:val="24"/>
        </w:rPr>
        <w:t>Fig. 2: Aerobic degradation of L-ascorbic acid</w:t>
      </w:r>
    </w:p>
    <w:p w:rsidR="00D54621" w:rsidRPr="004341B9" w:rsidRDefault="00D54621" w:rsidP="004341B9">
      <w:pPr>
        <w:spacing w:after="0" w:line="360" w:lineRule="auto"/>
        <w:rPr>
          <w:rFonts w:ascii="Times New Roman" w:hAnsi="Times New Roman" w:cs="Times New Roman"/>
          <w:b/>
          <w:sz w:val="24"/>
          <w:szCs w:val="24"/>
        </w:rPr>
      </w:pPr>
    </w:p>
    <w:p w:rsidR="00D54621" w:rsidRPr="004341B9" w:rsidRDefault="00D54621" w:rsidP="004341B9">
      <w:pPr>
        <w:spacing w:after="0" w:line="360" w:lineRule="auto"/>
        <w:rPr>
          <w:rFonts w:ascii="Times New Roman" w:hAnsi="Times New Roman" w:cs="Times New Roman"/>
          <w:b/>
          <w:sz w:val="24"/>
          <w:szCs w:val="24"/>
        </w:rPr>
      </w:pPr>
    </w:p>
    <w:p w:rsidR="00D54621" w:rsidRPr="004341B9" w:rsidRDefault="00D54621" w:rsidP="004341B9">
      <w:pPr>
        <w:spacing w:after="0" w:line="360" w:lineRule="auto"/>
        <w:rPr>
          <w:rFonts w:ascii="Times New Roman" w:hAnsi="Times New Roman" w:cs="Times New Roman"/>
          <w:b/>
          <w:sz w:val="24"/>
          <w:szCs w:val="24"/>
        </w:rPr>
      </w:pPr>
    </w:p>
    <w:p w:rsidR="00D54621" w:rsidRPr="004341B9" w:rsidRDefault="00D54621" w:rsidP="004341B9">
      <w:pPr>
        <w:spacing w:after="0" w:line="360" w:lineRule="auto"/>
        <w:rPr>
          <w:rFonts w:ascii="Times New Roman" w:hAnsi="Times New Roman" w:cs="Times New Roman"/>
          <w:b/>
          <w:sz w:val="24"/>
          <w:szCs w:val="24"/>
        </w:rPr>
      </w:pPr>
    </w:p>
    <w:p w:rsidR="00D54621" w:rsidRPr="004341B9" w:rsidRDefault="00D54621" w:rsidP="004341B9">
      <w:pPr>
        <w:spacing w:after="0" w:line="360" w:lineRule="auto"/>
        <w:rPr>
          <w:rFonts w:ascii="Times New Roman" w:hAnsi="Times New Roman" w:cs="Times New Roman"/>
          <w:b/>
          <w:sz w:val="24"/>
          <w:szCs w:val="24"/>
        </w:rPr>
      </w:pPr>
    </w:p>
    <w:p w:rsidR="00D54621" w:rsidRPr="004341B9" w:rsidRDefault="00D54621" w:rsidP="004341B9">
      <w:pPr>
        <w:spacing w:after="0" w:line="360" w:lineRule="auto"/>
        <w:rPr>
          <w:rFonts w:ascii="Times New Roman" w:hAnsi="Times New Roman" w:cs="Times New Roman"/>
          <w:b/>
          <w:sz w:val="24"/>
          <w:szCs w:val="24"/>
        </w:rPr>
      </w:pPr>
    </w:p>
    <w:p w:rsidR="00D54621" w:rsidRPr="004341B9" w:rsidRDefault="00D54621" w:rsidP="004341B9">
      <w:pPr>
        <w:spacing w:after="0" w:line="360" w:lineRule="auto"/>
        <w:rPr>
          <w:rFonts w:ascii="Times New Roman" w:hAnsi="Times New Roman" w:cs="Times New Roman"/>
          <w:b/>
          <w:sz w:val="24"/>
          <w:szCs w:val="24"/>
        </w:rPr>
      </w:pPr>
    </w:p>
    <w:p w:rsidR="00D54621" w:rsidRPr="004341B9" w:rsidRDefault="00D54621" w:rsidP="004341B9">
      <w:pPr>
        <w:spacing w:after="0" w:line="360" w:lineRule="auto"/>
        <w:rPr>
          <w:rFonts w:ascii="Times New Roman" w:hAnsi="Times New Roman" w:cs="Times New Roman"/>
          <w:b/>
          <w:sz w:val="24"/>
          <w:szCs w:val="24"/>
        </w:rPr>
      </w:pPr>
    </w:p>
    <w:p w:rsidR="004341B9" w:rsidRDefault="004341B9" w:rsidP="004341B9">
      <w:pPr>
        <w:spacing w:after="0" w:line="360" w:lineRule="auto"/>
        <w:rPr>
          <w:rFonts w:ascii="Times New Roman" w:hAnsi="Times New Roman" w:cs="Times New Roman"/>
          <w:b/>
          <w:sz w:val="24"/>
          <w:szCs w:val="24"/>
        </w:rPr>
      </w:pPr>
    </w:p>
    <w:p w:rsidR="00D54621" w:rsidRPr="004341B9" w:rsidRDefault="004B5439" w:rsidP="004341B9">
      <w:pPr>
        <w:spacing w:after="0" w:line="360" w:lineRule="auto"/>
        <w:jc w:val="center"/>
        <w:rPr>
          <w:rFonts w:ascii="Times New Roman" w:hAnsi="Times New Roman" w:cs="Times New Roman"/>
          <w:noProof/>
          <w:sz w:val="24"/>
          <w:szCs w:val="24"/>
        </w:rPr>
      </w:pPr>
      <w:r>
        <w:object w:dxaOrig="10253" w:dyaOrig="6499">
          <v:shape id="_x0000_i1027" type="#_x0000_t75" style="width:468pt;height:297pt" o:ole="">
            <v:imagedata r:id="rId13" o:title=""/>
          </v:shape>
          <o:OLEObject Type="Embed" ProgID="ACD.ChemSketch.20" ShapeID="_x0000_i1027" DrawAspect="Content" ObjectID="_1354051697" r:id="rId14"/>
        </w:object>
      </w:r>
    </w:p>
    <w:p w:rsidR="00D54621" w:rsidRPr="004341B9" w:rsidRDefault="00D54621" w:rsidP="004341B9">
      <w:pPr>
        <w:spacing w:after="0" w:line="360" w:lineRule="auto"/>
        <w:jc w:val="center"/>
        <w:rPr>
          <w:rFonts w:ascii="Times New Roman" w:hAnsi="Times New Roman" w:cs="Times New Roman"/>
          <w:noProof/>
          <w:sz w:val="24"/>
          <w:szCs w:val="24"/>
        </w:rPr>
      </w:pPr>
    </w:p>
    <w:p w:rsidR="004A2398" w:rsidRPr="004341B9" w:rsidRDefault="004A2398" w:rsidP="004A2398">
      <w:pPr>
        <w:spacing w:after="0" w:line="360" w:lineRule="auto"/>
        <w:rPr>
          <w:rFonts w:ascii="Times New Roman" w:hAnsi="Times New Roman" w:cs="Times New Roman"/>
          <w:b/>
          <w:sz w:val="24"/>
          <w:szCs w:val="24"/>
        </w:rPr>
      </w:pPr>
      <w:r>
        <w:rPr>
          <w:rFonts w:ascii="Times New Roman" w:hAnsi="Times New Roman" w:cs="Times New Roman"/>
          <w:b/>
          <w:sz w:val="24"/>
          <w:szCs w:val="24"/>
        </w:rPr>
        <w:t>F</w:t>
      </w:r>
      <w:r w:rsidR="00924E92">
        <w:rPr>
          <w:rFonts w:ascii="Times New Roman" w:hAnsi="Times New Roman" w:cs="Times New Roman"/>
          <w:b/>
          <w:sz w:val="24"/>
          <w:szCs w:val="24"/>
        </w:rPr>
        <w:t>ig. 3: Anaerobic degradation of L-ascorbic acid</w:t>
      </w:r>
    </w:p>
    <w:p w:rsidR="00D54621" w:rsidRPr="004341B9" w:rsidRDefault="00D54621" w:rsidP="004341B9">
      <w:pPr>
        <w:spacing w:after="0" w:line="360" w:lineRule="auto"/>
        <w:jc w:val="center"/>
        <w:rPr>
          <w:rFonts w:ascii="Times New Roman" w:hAnsi="Times New Roman" w:cs="Times New Roman"/>
          <w:noProof/>
          <w:sz w:val="24"/>
          <w:szCs w:val="24"/>
        </w:rPr>
      </w:pPr>
    </w:p>
    <w:p w:rsidR="00D54621" w:rsidRPr="004341B9" w:rsidRDefault="00D54621" w:rsidP="004341B9">
      <w:pPr>
        <w:spacing w:after="0" w:line="360" w:lineRule="auto"/>
        <w:jc w:val="center"/>
        <w:rPr>
          <w:rFonts w:ascii="Times New Roman" w:hAnsi="Times New Roman" w:cs="Times New Roman"/>
          <w:noProof/>
          <w:sz w:val="24"/>
          <w:szCs w:val="24"/>
        </w:rPr>
      </w:pPr>
    </w:p>
    <w:p w:rsidR="00D54621" w:rsidRPr="004341B9" w:rsidRDefault="00D54621" w:rsidP="004341B9">
      <w:pPr>
        <w:spacing w:after="0" w:line="360" w:lineRule="auto"/>
        <w:jc w:val="center"/>
        <w:rPr>
          <w:rFonts w:ascii="Times New Roman" w:hAnsi="Times New Roman" w:cs="Times New Roman"/>
          <w:noProof/>
          <w:sz w:val="24"/>
          <w:szCs w:val="24"/>
        </w:rPr>
      </w:pPr>
    </w:p>
    <w:p w:rsidR="00D54621" w:rsidRPr="004341B9" w:rsidRDefault="00D54621" w:rsidP="004341B9">
      <w:pPr>
        <w:spacing w:after="0" w:line="360" w:lineRule="auto"/>
        <w:jc w:val="center"/>
        <w:rPr>
          <w:rFonts w:ascii="Times New Roman" w:hAnsi="Times New Roman" w:cs="Times New Roman"/>
          <w:noProof/>
          <w:sz w:val="24"/>
          <w:szCs w:val="24"/>
        </w:rPr>
      </w:pPr>
    </w:p>
    <w:p w:rsidR="00D54621" w:rsidRPr="004341B9" w:rsidRDefault="00D50EC7" w:rsidP="004341B9">
      <w:pPr>
        <w:spacing w:after="0" w:line="360" w:lineRule="auto"/>
        <w:jc w:val="center"/>
        <w:rPr>
          <w:rFonts w:ascii="Times New Roman" w:hAnsi="Times New Roman" w:cs="Times New Roman"/>
          <w:sz w:val="24"/>
          <w:szCs w:val="24"/>
        </w:rPr>
      </w:pPr>
      <w:r w:rsidRPr="004341B9">
        <w:rPr>
          <w:rFonts w:ascii="Times New Roman" w:hAnsi="Times New Roman" w:cs="Times New Roman"/>
          <w:sz w:val="24"/>
          <w:szCs w:val="24"/>
        </w:rPr>
        <w:fldChar w:fldCharType="end"/>
      </w:r>
    </w:p>
    <w:p w:rsidR="00D54621" w:rsidRDefault="00D54621" w:rsidP="004341B9">
      <w:pPr>
        <w:spacing w:after="0" w:line="360" w:lineRule="auto"/>
        <w:jc w:val="center"/>
        <w:rPr>
          <w:rFonts w:ascii="Times New Roman" w:hAnsi="Times New Roman" w:cs="Times New Roman"/>
          <w:sz w:val="24"/>
          <w:szCs w:val="24"/>
        </w:rPr>
      </w:pPr>
    </w:p>
    <w:p w:rsidR="004341B9" w:rsidRDefault="004341B9" w:rsidP="004341B9">
      <w:pPr>
        <w:spacing w:after="0" w:line="360" w:lineRule="auto"/>
        <w:jc w:val="center"/>
        <w:rPr>
          <w:rFonts w:ascii="Times New Roman" w:hAnsi="Times New Roman" w:cs="Times New Roman"/>
          <w:sz w:val="24"/>
          <w:szCs w:val="24"/>
        </w:rPr>
      </w:pPr>
    </w:p>
    <w:p w:rsidR="00B849D7" w:rsidRDefault="00B849D7" w:rsidP="004341B9">
      <w:pPr>
        <w:spacing w:after="0" w:line="360" w:lineRule="auto"/>
        <w:jc w:val="center"/>
        <w:rPr>
          <w:rFonts w:ascii="Times New Roman" w:hAnsi="Times New Roman" w:cs="Times New Roman"/>
          <w:sz w:val="24"/>
          <w:szCs w:val="24"/>
        </w:rPr>
      </w:pPr>
    </w:p>
    <w:p w:rsidR="00B849D7" w:rsidRDefault="00B849D7" w:rsidP="004341B9">
      <w:pPr>
        <w:spacing w:after="0" w:line="360" w:lineRule="auto"/>
        <w:jc w:val="center"/>
        <w:rPr>
          <w:rFonts w:ascii="Times New Roman" w:hAnsi="Times New Roman" w:cs="Times New Roman"/>
          <w:sz w:val="24"/>
          <w:szCs w:val="24"/>
        </w:rPr>
      </w:pPr>
    </w:p>
    <w:p w:rsidR="004341B9" w:rsidRDefault="004341B9" w:rsidP="004341B9">
      <w:pPr>
        <w:spacing w:after="0" w:line="360" w:lineRule="auto"/>
        <w:jc w:val="center"/>
        <w:rPr>
          <w:rFonts w:ascii="Times New Roman" w:hAnsi="Times New Roman" w:cs="Times New Roman"/>
          <w:sz w:val="24"/>
          <w:szCs w:val="24"/>
        </w:rPr>
      </w:pPr>
    </w:p>
    <w:p w:rsidR="004341B9" w:rsidRPr="004341B9" w:rsidRDefault="004341B9" w:rsidP="004341B9">
      <w:pPr>
        <w:spacing w:after="0" w:line="360" w:lineRule="auto"/>
        <w:jc w:val="center"/>
        <w:rPr>
          <w:rFonts w:ascii="Times New Roman" w:hAnsi="Times New Roman" w:cs="Times New Roman"/>
          <w:sz w:val="24"/>
          <w:szCs w:val="24"/>
        </w:rPr>
      </w:pPr>
    </w:p>
    <w:p w:rsidR="00D54621" w:rsidRPr="004341B9" w:rsidRDefault="00D54621" w:rsidP="004341B9">
      <w:pPr>
        <w:spacing w:after="0" w:line="360" w:lineRule="auto"/>
        <w:jc w:val="center"/>
        <w:rPr>
          <w:rFonts w:ascii="Times New Roman" w:hAnsi="Times New Roman" w:cs="Times New Roman"/>
          <w:sz w:val="24"/>
          <w:szCs w:val="24"/>
        </w:rPr>
      </w:pPr>
    </w:p>
    <w:p w:rsidR="00D54621" w:rsidRPr="004341B9" w:rsidRDefault="00D54621" w:rsidP="00B849D7">
      <w:pPr>
        <w:tabs>
          <w:tab w:val="left" w:pos="900"/>
        </w:tabs>
        <w:spacing w:after="0" w:line="360" w:lineRule="auto"/>
        <w:jc w:val="both"/>
        <w:rPr>
          <w:rFonts w:ascii="Times New Roman" w:hAnsi="Times New Roman" w:cs="Times New Roman"/>
          <w:b/>
          <w:sz w:val="24"/>
          <w:szCs w:val="24"/>
        </w:rPr>
      </w:pPr>
    </w:p>
    <w:p w:rsidR="00D54621" w:rsidRPr="004341B9" w:rsidRDefault="00D54621" w:rsidP="004341B9">
      <w:pPr>
        <w:spacing w:after="0" w:line="360" w:lineRule="auto"/>
        <w:jc w:val="center"/>
        <w:rPr>
          <w:rFonts w:ascii="Times New Roman" w:hAnsi="Times New Roman" w:cs="Times New Roman"/>
          <w:sz w:val="24"/>
          <w:szCs w:val="24"/>
        </w:rPr>
      </w:pPr>
    </w:p>
    <w:p w:rsidR="00D54621" w:rsidRPr="004341B9" w:rsidRDefault="00D54621" w:rsidP="004341B9">
      <w:pPr>
        <w:spacing w:after="0" w:line="360" w:lineRule="auto"/>
        <w:jc w:val="center"/>
        <w:rPr>
          <w:rFonts w:ascii="Times New Roman" w:hAnsi="Times New Roman" w:cs="Times New Roman"/>
          <w:sz w:val="24"/>
          <w:szCs w:val="24"/>
        </w:rPr>
      </w:pPr>
      <w:r w:rsidRPr="004341B9">
        <w:rPr>
          <w:rFonts w:ascii="Times New Roman" w:hAnsi="Times New Roman" w:cs="Times New Roman"/>
          <w:sz w:val="24"/>
          <w:szCs w:val="24"/>
        </w:rPr>
        <w:lastRenderedPageBreak/>
        <w:t xml:space="preserve">    </w:t>
      </w:r>
      <w:r w:rsidR="00AC4E65">
        <w:object w:dxaOrig="2966" w:dyaOrig="1843">
          <v:shape id="_x0000_i1028" type="#_x0000_t75" style="width:148.5pt;height:91.5pt" o:ole="">
            <v:imagedata r:id="rId15" o:title=""/>
          </v:shape>
          <o:OLEObject Type="Embed" ProgID="ACD.ChemSketch.20" ShapeID="_x0000_i1028" DrawAspect="Content" ObjectID="_1354051698" r:id="rId16"/>
        </w:object>
      </w:r>
    </w:p>
    <w:p w:rsidR="00D54621" w:rsidRPr="004341B9" w:rsidRDefault="00B849D7" w:rsidP="00B849D7">
      <w:pPr>
        <w:tabs>
          <w:tab w:val="left" w:pos="900"/>
        </w:tabs>
        <w:spacing w:after="0" w:line="360" w:lineRule="auto"/>
        <w:rPr>
          <w:rFonts w:ascii="Times New Roman" w:hAnsi="Times New Roman" w:cs="Times New Roman"/>
          <w:sz w:val="24"/>
          <w:szCs w:val="24"/>
        </w:rPr>
      </w:pPr>
      <w:r>
        <w:rPr>
          <w:rFonts w:ascii="Times New Roman" w:hAnsi="Times New Roman" w:cs="Times New Roman"/>
          <w:sz w:val="24"/>
          <w:szCs w:val="24"/>
        </w:rPr>
        <w:tab/>
      </w:r>
      <w:r w:rsidR="00690744">
        <w:rPr>
          <w:rFonts w:ascii="Times New Roman" w:hAnsi="Times New Roman" w:cs="Times New Roman"/>
          <w:sz w:val="24"/>
          <w:szCs w:val="24"/>
        </w:rPr>
        <w:tab/>
      </w:r>
      <w:r w:rsidR="00690744">
        <w:rPr>
          <w:rFonts w:ascii="Times New Roman" w:hAnsi="Times New Roman" w:cs="Times New Roman"/>
          <w:sz w:val="24"/>
          <w:szCs w:val="24"/>
        </w:rPr>
        <w:tab/>
      </w:r>
      <w:r w:rsidR="00690744">
        <w:rPr>
          <w:rFonts w:ascii="Times New Roman" w:hAnsi="Times New Roman" w:cs="Times New Roman"/>
          <w:sz w:val="24"/>
          <w:szCs w:val="24"/>
        </w:rPr>
        <w:tab/>
      </w:r>
      <w:r w:rsidR="00924E92">
        <w:rPr>
          <w:rFonts w:ascii="Times New Roman" w:hAnsi="Times New Roman" w:cs="Times New Roman"/>
          <w:b/>
          <w:sz w:val="24"/>
          <w:szCs w:val="24"/>
        </w:rPr>
        <w:t>Fig. 4: L-ascorbyl-2-phosphate</w:t>
      </w: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Pr="004341B9" w:rsidRDefault="00D54621" w:rsidP="004341B9">
      <w:pPr>
        <w:spacing w:after="0" w:line="360" w:lineRule="auto"/>
        <w:rPr>
          <w:rFonts w:ascii="Times New Roman" w:hAnsi="Times New Roman" w:cs="Times New Roman"/>
          <w:sz w:val="24"/>
          <w:szCs w:val="24"/>
        </w:rPr>
      </w:pPr>
    </w:p>
    <w:p w:rsidR="00D54621" w:rsidRDefault="00D54621" w:rsidP="004341B9">
      <w:pPr>
        <w:spacing w:after="0" w:line="360" w:lineRule="auto"/>
        <w:rPr>
          <w:rFonts w:ascii="Times New Roman" w:hAnsi="Times New Roman" w:cs="Times New Roman"/>
          <w:sz w:val="24"/>
          <w:szCs w:val="24"/>
        </w:rPr>
      </w:pPr>
    </w:p>
    <w:p w:rsidR="004341B9" w:rsidRDefault="004341B9" w:rsidP="004341B9">
      <w:pPr>
        <w:spacing w:after="0" w:line="360" w:lineRule="auto"/>
        <w:rPr>
          <w:rFonts w:ascii="Times New Roman" w:hAnsi="Times New Roman" w:cs="Times New Roman"/>
          <w:sz w:val="24"/>
          <w:szCs w:val="24"/>
        </w:rPr>
      </w:pPr>
    </w:p>
    <w:p w:rsidR="004341B9" w:rsidRDefault="004341B9" w:rsidP="004341B9">
      <w:pPr>
        <w:spacing w:after="0" w:line="360" w:lineRule="auto"/>
        <w:rPr>
          <w:rFonts w:ascii="Times New Roman" w:hAnsi="Times New Roman" w:cs="Times New Roman"/>
          <w:sz w:val="24"/>
          <w:szCs w:val="24"/>
        </w:rPr>
      </w:pPr>
    </w:p>
    <w:p w:rsidR="004341B9" w:rsidRDefault="004341B9" w:rsidP="004341B9">
      <w:pPr>
        <w:spacing w:after="0" w:line="360" w:lineRule="auto"/>
        <w:rPr>
          <w:rFonts w:ascii="Times New Roman" w:hAnsi="Times New Roman" w:cs="Times New Roman"/>
          <w:sz w:val="24"/>
          <w:szCs w:val="24"/>
        </w:rPr>
      </w:pPr>
    </w:p>
    <w:p w:rsidR="004341B9" w:rsidRDefault="004341B9" w:rsidP="004341B9">
      <w:pPr>
        <w:spacing w:after="0" w:line="360" w:lineRule="auto"/>
        <w:rPr>
          <w:rFonts w:ascii="Times New Roman" w:hAnsi="Times New Roman" w:cs="Times New Roman"/>
          <w:sz w:val="24"/>
          <w:szCs w:val="24"/>
        </w:rPr>
      </w:pPr>
    </w:p>
    <w:p w:rsidR="004341B9" w:rsidRDefault="004341B9" w:rsidP="004341B9">
      <w:pPr>
        <w:spacing w:after="0" w:line="360" w:lineRule="auto"/>
        <w:rPr>
          <w:rFonts w:ascii="Times New Roman" w:hAnsi="Times New Roman" w:cs="Times New Roman"/>
          <w:sz w:val="24"/>
          <w:szCs w:val="24"/>
        </w:rPr>
      </w:pPr>
    </w:p>
    <w:p w:rsidR="00B849D7" w:rsidRDefault="00B849D7" w:rsidP="004341B9">
      <w:pPr>
        <w:spacing w:after="0" w:line="360" w:lineRule="auto"/>
        <w:rPr>
          <w:rFonts w:ascii="Times New Roman" w:hAnsi="Times New Roman" w:cs="Times New Roman"/>
          <w:sz w:val="24"/>
          <w:szCs w:val="24"/>
        </w:rPr>
      </w:pPr>
    </w:p>
    <w:p w:rsidR="00AC4E65" w:rsidRDefault="00AC4E65" w:rsidP="004341B9">
      <w:pPr>
        <w:spacing w:after="0" w:line="360" w:lineRule="auto"/>
        <w:rPr>
          <w:rFonts w:ascii="Times New Roman" w:hAnsi="Times New Roman" w:cs="Times New Roman"/>
          <w:sz w:val="24"/>
          <w:szCs w:val="24"/>
        </w:rPr>
      </w:pPr>
    </w:p>
    <w:p w:rsidR="00AC4E65" w:rsidRDefault="00AC4E65" w:rsidP="004341B9">
      <w:pPr>
        <w:spacing w:after="0" w:line="360" w:lineRule="auto"/>
        <w:rPr>
          <w:rFonts w:ascii="Times New Roman" w:hAnsi="Times New Roman" w:cs="Times New Roman"/>
          <w:sz w:val="24"/>
          <w:szCs w:val="24"/>
        </w:rPr>
      </w:pPr>
    </w:p>
    <w:p w:rsidR="00AC4E65" w:rsidRDefault="00AC4E65" w:rsidP="004341B9">
      <w:pPr>
        <w:spacing w:after="0" w:line="360" w:lineRule="auto"/>
        <w:rPr>
          <w:rFonts w:ascii="Times New Roman" w:hAnsi="Times New Roman" w:cs="Times New Roman"/>
          <w:sz w:val="24"/>
          <w:szCs w:val="24"/>
        </w:rPr>
      </w:pPr>
    </w:p>
    <w:p w:rsidR="00B849D7" w:rsidRPr="004341B9" w:rsidRDefault="00B849D7" w:rsidP="004341B9">
      <w:pPr>
        <w:spacing w:after="0" w:line="360" w:lineRule="auto"/>
        <w:rPr>
          <w:rFonts w:ascii="Times New Roman" w:hAnsi="Times New Roman" w:cs="Times New Roman"/>
          <w:sz w:val="24"/>
          <w:szCs w:val="24"/>
        </w:rPr>
      </w:pPr>
    </w:p>
    <w:p w:rsidR="00D54621" w:rsidRDefault="00D54621" w:rsidP="004341B9">
      <w:pPr>
        <w:spacing w:after="0" w:line="360" w:lineRule="auto"/>
        <w:rPr>
          <w:rFonts w:ascii="Times New Roman" w:hAnsi="Times New Roman" w:cs="Times New Roman"/>
          <w:sz w:val="24"/>
          <w:szCs w:val="24"/>
        </w:rPr>
      </w:pPr>
    </w:p>
    <w:p w:rsidR="00D54621" w:rsidRPr="004341B9" w:rsidRDefault="00B849D7" w:rsidP="00FA064E">
      <w:pPr>
        <w:tabs>
          <w:tab w:val="left" w:pos="2700"/>
        </w:tabs>
        <w:spacing w:after="0" w:line="360" w:lineRule="auto"/>
        <w:rPr>
          <w:rFonts w:ascii="Times New Roman" w:hAnsi="Times New Roman" w:cs="Times New Roman"/>
          <w:sz w:val="24"/>
          <w:szCs w:val="24"/>
        </w:rPr>
      </w:pPr>
      <w:r>
        <w:rPr>
          <w:rFonts w:ascii="Times New Roman" w:hAnsi="Times New Roman" w:cs="Times New Roman"/>
          <w:b/>
          <w:sz w:val="24"/>
          <w:szCs w:val="24"/>
        </w:rPr>
        <w:tab/>
      </w:r>
    </w:p>
    <w:p w:rsidR="00D54621" w:rsidRPr="004341B9" w:rsidRDefault="00FA064E" w:rsidP="004341B9">
      <w:pPr>
        <w:spacing w:after="0" w:line="360" w:lineRule="auto"/>
        <w:jc w:val="center"/>
        <w:rPr>
          <w:rFonts w:ascii="Times New Roman" w:hAnsi="Times New Roman" w:cs="Times New Roman"/>
          <w:sz w:val="24"/>
          <w:szCs w:val="24"/>
        </w:rPr>
      </w:pPr>
      <w:r>
        <w:object w:dxaOrig="4224" w:dyaOrig="6139">
          <v:shape id="_x0000_i1029" type="#_x0000_t75" style="width:211.5pt;height:307.5pt" o:ole="">
            <v:imagedata r:id="rId17" o:title=""/>
          </v:shape>
          <o:OLEObject Type="Embed" ProgID="ACD.ChemSketch.20" ShapeID="_x0000_i1029" DrawAspect="Content" ObjectID="_1354051699" r:id="rId18"/>
        </w:object>
      </w:r>
    </w:p>
    <w:p w:rsidR="00FA064E" w:rsidRPr="004341B9" w:rsidRDefault="00924E92" w:rsidP="00FA064E">
      <w:pPr>
        <w:spacing w:after="0" w:line="360" w:lineRule="auto"/>
        <w:ind w:firstLine="1620"/>
        <w:rPr>
          <w:rFonts w:ascii="Times New Roman" w:hAnsi="Times New Roman" w:cs="Times New Roman"/>
          <w:b/>
          <w:sz w:val="24"/>
          <w:szCs w:val="24"/>
        </w:rPr>
      </w:pPr>
      <w:r>
        <w:rPr>
          <w:rFonts w:ascii="Times New Roman" w:hAnsi="Times New Roman" w:cs="Times New Roman"/>
          <w:b/>
          <w:sz w:val="24"/>
          <w:szCs w:val="24"/>
        </w:rPr>
        <w:t>Fig. 5: Chemical structure of α-Glucosylrutin</w:t>
      </w:r>
    </w:p>
    <w:p w:rsidR="00D54621" w:rsidRPr="004341B9" w:rsidRDefault="00D54621" w:rsidP="004341B9">
      <w:pPr>
        <w:pStyle w:val="ListParagraph"/>
        <w:spacing w:after="0" w:line="360" w:lineRule="auto"/>
        <w:ind w:left="0"/>
        <w:jc w:val="both"/>
        <w:rPr>
          <w:rFonts w:ascii="Times New Roman" w:hAnsi="Times New Roman"/>
          <w:b/>
          <w:sz w:val="24"/>
          <w:szCs w:val="24"/>
        </w:rPr>
      </w:pPr>
    </w:p>
    <w:p w:rsidR="00D54621" w:rsidRDefault="00D54621" w:rsidP="004341B9">
      <w:pPr>
        <w:pStyle w:val="ListParagraph"/>
        <w:spacing w:after="0" w:line="360" w:lineRule="auto"/>
        <w:ind w:left="0"/>
        <w:jc w:val="both"/>
        <w:rPr>
          <w:rFonts w:ascii="Times New Roman" w:hAnsi="Times New Roman"/>
          <w:b/>
          <w:sz w:val="24"/>
          <w:szCs w:val="24"/>
        </w:rPr>
      </w:pPr>
    </w:p>
    <w:p w:rsidR="00373244" w:rsidRDefault="00373244" w:rsidP="004341B9">
      <w:pPr>
        <w:pStyle w:val="ListParagraph"/>
        <w:spacing w:after="0" w:line="360" w:lineRule="auto"/>
        <w:ind w:left="0"/>
        <w:jc w:val="both"/>
        <w:rPr>
          <w:rFonts w:ascii="Times New Roman" w:hAnsi="Times New Roman"/>
          <w:b/>
          <w:sz w:val="24"/>
          <w:szCs w:val="24"/>
        </w:rPr>
      </w:pPr>
    </w:p>
    <w:p w:rsidR="00373244" w:rsidRDefault="00373244" w:rsidP="004341B9">
      <w:pPr>
        <w:pStyle w:val="ListParagraph"/>
        <w:spacing w:after="0" w:line="360" w:lineRule="auto"/>
        <w:ind w:left="0"/>
        <w:jc w:val="both"/>
        <w:rPr>
          <w:rFonts w:ascii="Times New Roman" w:hAnsi="Times New Roman"/>
          <w:b/>
          <w:sz w:val="24"/>
          <w:szCs w:val="24"/>
        </w:rPr>
      </w:pPr>
    </w:p>
    <w:p w:rsidR="00373244" w:rsidRPr="004341B9" w:rsidRDefault="00373244" w:rsidP="004341B9">
      <w:pPr>
        <w:pStyle w:val="ListParagraph"/>
        <w:spacing w:after="0" w:line="360" w:lineRule="auto"/>
        <w:ind w:left="0"/>
        <w:jc w:val="both"/>
        <w:rPr>
          <w:rFonts w:ascii="Times New Roman" w:hAnsi="Times New Roman"/>
          <w:b/>
          <w:sz w:val="24"/>
          <w:szCs w:val="24"/>
        </w:rPr>
      </w:pPr>
    </w:p>
    <w:p w:rsidR="00D54621" w:rsidRDefault="00D54621" w:rsidP="004341B9">
      <w:pPr>
        <w:pStyle w:val="ListParagraph"/>
        <w:spacing w:after="0" w:line="360" w:lineRule="auto"/>
        <w:ind w:left="0"/>
        <w:jc w:val="both"/>
        <w:rPr>
          <w:rFonts w:ascii="Times New Roman" w:hAnsi="Times New Roman"/>
          <w:b/>
          <w:sz w:val="24"/>
          <w:szCs w:val="24"/>
        </w:rPr>
      </w:pPr>
    </w:p>
    <w:p w:rsidR="00373244" w:rsidRPr="004341B9" w:rsidRDefault="00373244" w:rsidP="004341B9">
      <w:pPr>
        <w:pStyle w:val="ListParagraph"/>
        <w:spacing w:after="0" w:line="360" w:lineRule="auto"/>
        <w:ind w:left="0"/>
        <w:jc w:val="both"/>
        <w:rPr>
          <w:rFonts w:ascii="Times New Roman" w:hAnsi="Times New Roman"/>
          <w:b/>
          <w:sz w:val="24"/>
          <w:szCs w:val="24"/>
        </w:rPr>
      </w:pPr>
    </w:p>
    <w:p w:rsidR="00D54621" w:rsidRPr="004341B9" w:rsidRDefault="00D54621" w:rsidP="004341B9">
      <w:pPr>
        <w:pStyle w:val="ListParagraph"/>
        <w:spacing w:after="0" w:line="360" w:lineRule="auto"/>
        <w:ind w:left="0"/>
        <w:jc w:val="both"/>
        <w:rPr>
          <w:rFonts w:ascii="Times New Roman" w:hAnsi="Times New Roman"/>
          <w:b/>
          <w:sz w:val="24"/>
          <w:szCs w:val="24"/>
        </w:rPr>
      </w:pPr>
    </w:p>
    <w:p w:rsidR="00D54621" w:rsidRPr="004341B9" w:rsidRDefault="00D54621" w:rsidP="004341B9">
      <w:pPr>
        <w:pStyle w:val="ListParagraph"/>
        <w:spacing w:after="0" w:line="360" w:lineRule="auto"/>
        <w:ind w:left="0"/>
        <w:jc w:val="both"/>
        <w:rPr>
          <w:rFonts w:ascii="Times New Roman" w:hAnsi="Times New Roman"/>
          <w:b/>
          <w:sz w:val="24"/>
          <w:szCs w:val="24"/>
        </w:rPr>
      </w:pPr>
    </w:p>
    <w:p w:rsidR="00D54621" w:rsidRDefault="00D54621" w:rsidP="004341B9">
      <w:pPr>
        <w:pStyle w:val="ListParagraph"/>
        <w:spacing w:after="0" w:line="360" w:lineRule="auto"/>
        <w:ind w:left="0"/>
        <w:jc w:val="both"/>
        <w:rPr>
          <w:rFonts w:ascii="Times New Roman" w:hAnsi="Times New Roman"/>
          <w:b/>
          <w:sz w:val="24"/>
          <w:szCs w:val="24"/>
        </w:rPr>
      </w:pPr>
    </w:p>
    <w:p w:rsidR="00055C52" w:rsidRPr="004341B9" w:rsidRDefault="00055C52" w:rsidP="004341B9">
      <w:pPr>
        <w:pStyle w:val="ListParagraph"/>
        <w:spacing w:after="0" w:line="360" w:lineRule="auto"/>
        <w:ind w:left="0"/>
        <w:jc w:val="both"/>
        <w:rPr>
          <w:rFonts w:ascii="Times New Roman" w:hAnsi="Times New Roman"/>
          <w:b/>
          <w:sz w:val="24"/>
          <w:szCs w:val="24"/>
        </w:rPr>
      </w:pPr>
    </w:p>
    <w:p w:rsidR="00D54621" w:rsidRPr="004341B9" w:rsidRDefault="00D54621" w:rsidP="004341B9">
      <w:pPr>
        <w:pStyle w:val="ListParagraph"/>
        <w:spacing w:after="0" w:line="360" w:lineRule="auto"/>
        <w:ind w:left="0"/>
        <w:jc w:val="both"/>
        <w:rPr>
          <w:rFonts w:ascii="Times New Roman" w:hAnsi="Times New Roman"/>
          <w:b/>
          <w:sz w:val="24"/>
          <w:szCs w:val="24"/>
        </w:rPr>
      </w:pPr>
    </w:p>
    <w:p w:rsidR="00D54621" w:rsidRPr="004341B9" w:rsidRDefault="00D54621" w:rsidP="004341B9">
      <w:pPr>
        <w:pStyle w:val="ListParagraph"/>
        <w:spacing w:after="0" w:line="360" w:lineRule="auto"/>
        <w:ind w:left="0"/>
        <w:jc w:val="both"/>
        <w:rPr>
          <w:rFonts w:ascii="Times New Roman" w:hAnsi="Times New Roman"/>
          <w:b/>
          <w:sz w:val="24"/>
          <w:szCs w:val="24"/>
        </w:rPr>
      </w:pPr>
    </w:p>
    <w:p w:rsidR="00D54621" w:rsidRPr="004341B9" w:rsidRDefault="00D54621" w:rsidP="004341B9">
      <w:pPr>
        <w:pStyle w:val="ListParagraph"/>
        <w:spacing w:after="0" w:line="360" w:lineRule="auto"/>
        <w:ind w:left="0"/>
        <w:jc w:val="both"/>
        <w:rPr>
          <w:rFonts w:ascii="Times New Roman" w:hAnsi="Times New Roman"/>
          <w:b/>
          <w:sz w:val="24"/>
          <w:szCs w:val="24"/>
        </w:rPr>
      </w:pPr>
    </w:p>
    <w:p w:rsidR="00D54621" w:rsidRDefault="00D54621" w:rsidP="004341B9">
      <w:pPr>
        <w:pStyle w:val="ListParagraph"/>
        <w:spacing w:after="0" w:line="360" w:lineRule="auto"/>
        <w:ind w:left="0"/>
        <w:jc w:val="both"/>
        <w:rPr>
          <w:rFonts w:ascii="Times New Roman" w:hAnsi="Times New Roman"/>
          <w:b/>
          <w:sz w:val="24"/>
          <w:szCs w:val="24"/>
        </w:rPr>
      </w:pPr>
    </w:p>
    <w:p w:rsidR="00D54621" w:rsidRDefault="00814929" w:rsidP="004341B9">
      <w:pPr>
        <w:pStyle w:val="ListParagraph"/>
        <w:spacing w:after="0" w:line="240" w:lineRule="auto"/>
        <w:ind w:left="0"/>
        <w:jc w:val="both"/>
        <w:rPr>
          <w:rFonts w:ascii="Times New Roman" w:hAnsi="Times New Roman"/>
          <w:b/>
          <w:sz w:val="24"/>
          <w:szCs w:val="24"/>
        </w:rPr>
      </w:pPr>
      <w:r>
        <w:rPr>
          <w:rFonts w:ascii="Times New Roman" w:hAnsi="Times New Roman"/>
          <w:b/>
          <w:sz w:val="24"/>
          <w:szCs w:val="24"/>
        </w:rPr>
        <w:lastRenderedPageBreak/>
        <w:t>LITERATURE CITED</w:t>
      </w:r>
    </w:p>
    <w:p w:rsidR="004341B9" w:rsidRPr="004341B9" w:rsidRDefault="004341B9" w:rsidP="004341B9">
      <w:pPr>
        <w:pStyle w:val="ListParagraph"/>
        <w:spacing w:after="0" w:line="240" w:lineRule="auto"/>
        <w:ind w:left="0"/>
        <w:jc w:val="both"/>
        <w:rPr>
          <w:rFonts w:ascii="Times New Roman" w:hAnsi="Times New Roman"/>
          <w:b/>
          <w:sz w:val="24"/>
          <w:szCs w:val="24"/>
        </w:rPr>
      </w:pPr>
    </w:p>
    <w:p w:rsidR="00D54621" w:rsidRDefault="00D54621" w:rsidP="004341B9">
      <w:pPr>
        <w:spacing w:after="0" w:line="240" w:lineRule="auto"/>
        <w:jc w:val="both"/>
        <w:rPr>
          <w:rFonts w:ascii="Times New Roman" w:hAnsi="Times New Roman"/>
          <w:noProof/>
          <w:sz w:val="24"/>
          <w:szCs w:val="24"/>
        </w:rPr>
      </w:pPr>
      <w:r w:rsidRPr="004341B9">
        <w:rPr>
          <w:rFonts w:ascii="Times New Roman" w:hAnsi="Times New Roman"/>
          <w:noProof/>
          <w:sz w:val="24"/>
          <w:szCs w:val="24"/>
        </w:rPr>
        <w:t xml:space="preserve">Aaby K, Hvattum E &amp; Skrede G. 2004. Analysis of </w:t>
      </w:r>
      <w:r w:rsidR="007759A9">
        <w:rPr>
          <w:rFonts w:ascii="Times New Roman" w:hAnsi="Times New Roman"/>
          <w:noProof/>
          <w:sz w:val="24"/>
          <w:szCs w:val="24"/>
        </w:rPr>
        <w:t>f</w:t>
      </w:r>
      <w:r w:rsidRPr="004341B9">
        <w:rPr>
          <w:rFonts w:ascii="Times New Roman" w:hAnsi="Times New Roman"/>
          <w:noProof/>
          <w:sz w:val="24"/>
          <w:szCs w:val="24"/>
        </w:rPr>
        <w:t xml:space="preserve">lavonoids and </w:t>
      </w:r>
      <w:r w:rsidR="007759A9">
        <w:rPr>
          <w:rFonts w:ascii="Times New Roman" w:hAnsi="Times New Roman"/>
          <w:noProof/>
          <w:sz w:val="24"/>
          <w:szCs w:val="24"/>
        </w:rPr>
        <w:t>o</w:t>
      </w:r>
      <w:r w:rsidRPr="004341B9">
        <w:rPr>
          <w:rFonts w:ascii="Times New Roman" w:hAnsi="Times New Roman"/>
          <w:noProof/>
          <w:sz w:val="24"/>
          <w:szCs w:val="24"/>
        </w:rPr>
        <w:t xml:space="preserve">ther </w:t>
      </w:r>
      <w:r w:rsidR="007759A9">
        <w:rPr>
          <w:rFonts w:ascii="Times New Roman" w:hAnsi="Times New Roman"/>
          <w:noProof/>
          <w:sz w:val="24"/>
          <w:szCs w:val="24"/>
        </w:rPr>
        <w:t>p</w:t>
      </w:r>
      <w:r w:rsidRPr="004341B9">
        <w:rPr>
          <w:rFonts w:ascii="Times New Roman" w:hAnsi="Times New Roman"/>
          <w:noProof/>
          <w:sz w:val="24"/>
          <w:szCs w:val="24"/>
        </w:rPr>
        <w:t xml:space="preserve">henolic </w:t>
      </w:r>
      <w:r w:rsidR="007759A9">
        <w:rPr>
          <w:rFonts w:ascii="Times New Roman" w:hAnsi="Times New Roman"/>
          <w:noProof/>
          <w:sz w:val="24"/>
          <w:szCs w:val="24"/>
        </w:rPr>
        <w:t>c</w:t>
      </w:r>
      <w:r w:rsidRPr="004341B9">
        <w:rPr>
          <w:rFonts w:ascii="Times New Roman" w:hAnsi="Times New Roman"/>
          <w:noProof/>
          <w:sz w:val="24"/>
          <w:szCs w:val="24"/>
        </w:rPr>
        <w:t xml:space="preserve">ompounds </w:t>
      </w:r>
      <w:r w:rsidR="007759A9">
        <w:rPr>
          <w:rFonts w:ascii="Times New Roman" w:hAnsi="Times New Roman"/>
          <w:noProof/>
          <w:sz w:val="24"/>
          <w:szCs w:val="24"/>
        </w:rPr>
        <w:t>u</w:t>
      </w:r>
      <w:r w:rsidRPr="004341B9">
        <w:rPr>
          <w:rFonts w:ascii="Times New Roman" w:hAnsi="Times New Roman"/>
          <w:noProof/>
          <w:sz w:val="24"/>
          <w:szCs w:val="24"/>
        </w:rPr>
        <w:t xml:space="preserve">sing </w:t>
      </w:r>
      <w:r w:rsidR="007759A9">
        <w:rPr>
          <w:rFonts w:ascii="Times New Roman" w:hAnsi="Times New Roman"/>
          <w:noProof/>
          <w:sz w:val="24"/>
          <w:szCs w:val="24"/>
        </w:rPr>
        <w:t>h</w:t>
      </w:r>
      <w:r w:rsidRPr="004341B9">
        <w:rPr>
          <w:rFonts w:ascii="Times New Roman" w:hAnsi="Times New Roman"/>
          <w:noProof/>
          <w:sz w:val="24"/>
          <w:szCs w:val="24"/>
        </w:rPr>
        <w:t>igh-</w:t>
      </w:r>
      <w:r w:rsidR="007759A9">
        <w:rPr>
          <w:rFonts w:ascii="Times New Roman" w:hAnsi="Times New Roman"/>
          <w:noProof/>
          <w:sz w:val="24"/>
          <w:szCs w:val="24"/>
        </w:rPr>
        <w:t>p</w:t>
      </w:r>
      <w:r w:rsidRPr="004341B9">
        <w:rPr>
          <w:rFonts w:ascii="Times New Roman" w:hAnsi="Times New Roman"/>
          <w:noProof/>
          <w:sz w:val="24"/>
          <w:szCs w:val="24"/>
        </w:rPr>
        <w:t xml:space="preserve">erformance </w:t>
      </w:r>
      <w:r w:rsidR="007759A9">
        <w:rPr>
          <w:rFonts w:ascii="Times New Roman" w:hAnsi="Times New Roman"/>
          <w:noProof/>
          <w:sz w:val="24"/>
          <w:szCs w:val="24"/>
        </w:rPr>
        <w:t>l</w:t>
      </w:r>
      <w:r w:rsidRPr="004341B9">
        <w:rPr>
          <w:rFonts w:ascii="Times New Roman" w:hAnsi="Times New Roman"/>
          <w:noProof/>
          <w:sz w:val="24"/>
          <w:szCs w:val="24"/>
        </w:rPr>
        <w:t xml:space="preserve">iquid </w:t>
      </w:r>
      <w:r w:rsidR="007759A9">
        <w:rPr>
          <w:rFonts w:ascii="Times New Roman" w:hAnsi="Times New Roman"/>
          <w:noProof/>
          <w:sz w:val="24"/>
          <w:szCs w:val="24"/>
        </w:rPr>
        <w:t>c</w:t>
      </w:r>
      <w:r w:rsidRPr="004341B9">
        <w:rPr>
          <w:rFonts w:ascii="Times New Roman" w:hAnsi="Times New Roman"/>
          <w:noProof/>
          <w:sz w:val="24"/>
          <w:szCs w:val="24"/>
        </w:rPr>
        <w:t xml:space="preserve">hromatography with </w:t>
      </w:r>
      <w:r w:rsidR="007759A9">
        <w:rPr>
          <w:rFonts w:ascii="Times New Roman" w:hAnsi="Times New Roman"/>
          <w:noProof/>
          <w:sz w:val="24"/>
          <w:szCs w:val="24"/>
        </w:rPr>
        <w:t>c</w:t>
      </w:r>
      <w:r w:rsidRPr="004341B9">
        <w:rPr>
          <w:rFonts w:ascii="Times New Roman" w:hAnsi="Times New Roman"/>
          <w:noProof/>
          <w:sz w:val="24"/>
          <w:szCs w:val="24"/>
        </w:rPr>
        <w:t xml:space="preserve">oulometric </w:t>
      </w:r>
      <w:r w:rsidR="007759A9">
        <w:rPr>
          <w:rFonts w:ascii="Times New Roman" w:hAnsi="Times New Roman"/>
          <w:noProof/>
          <w:sz w:val="24"/>
          <w:szCs w:val="24"/>
        </w:rPr>
        <w:t>a</w:t>
      </w:r>
      <w:r w:rsidRPr="004341B9">
        <w:rPr>
          <w:rFonts w:ascii="Times New Roman" w:hAnsi="Times New Roman"/>
          <w:noProof/>
          <w:sz w:val="24"/>
          <w:szCs w:val="24"/>
        </w:rPr>
        <w:t xml:space="preserve">rray </w:t>
      </w:r>
      <w:r w:rsidR="007759A9">
        <w:rPr>
          <w:rFonts w:ascii="Times New Roman" w:hAnsi="Times New Roman"/>
          <w:noProof/>
          <w:sz w:val="24"/>
          <w:szCs w:val="24"/>
        </w:rPr>
        <w:t>d</w:t>
      </w:r>
      <w:r w:rsidRPr="004341B9">
        <w:rPr>
          <w:rFonts w:ascii="Times New Roman" w:hAnsi="Times New Roman"/>
          <w:noProof/>
          <w:sz w:val="24"/>
          <w:szCs w:val="24"/>
        </w:rPr>
        <w:t xml:space="preserve">etection: </w:t>
      </w:r>
      <w:r w:rsidR="007759A9">
        <w:rPr>
          <w:rFonts w:ascii="Times New Roman" w:hAnsi="Times New Roman"/>
          <w:noProof/>
          <w:sz w:val="24"/>
          <w:szCs w:val="24"/>
        </w:rPr>
        <w:t>r</w:t>
      </w:r>
      <w:r w:rsidRPr="004341B9">
        <w:rPr>
          <w:rFonts w:ascii="Times New Roman" w:hAnsi="Times New Roman"/>
          <w:noProof/>
          <w:sz w:val="24"/>
          <w:szCs w:val="24"/>
        </w:rPr>
        <w:t xml:space="preserve">elationship to </w:t>
      </w:r>
      <w:r w:rsidR="007759A9">
        <w:rPr>
          <w:rFonts w:ascii="Times New Roman" w:hAnsi="Times New Roman"/>
          <w:noProof/>
          <w:sz w:val="24"/>
          <w:szCs w:val="24"/>
        </w:rPr>
        <w:t>a</w:t>
      </w:r>
      <w:r w:rsidRPr="004341B9">
        <w:rPr>
          <w:rFonts w:ascii="Times New Roman" w:hAnsi="Times New Roman"/>
          <w:noProof/>
          <w:sz w:val="24"/>
          <w:szCs w:val="24"/>
        </w:rPr>
        <w:t xml:space="preserve">ntioxidant </w:t>
      </w:r>
      <w:r w:rsidR="007759A9">
        <w:rPr>
          <w:rFonts w:ascii="Times New Roman" w:hAnsi="Times New Roman"/>
          <w:noProof/>
          <w:sz w:val="24"/>
          <w:szCs w:val="24"/>
        </w:rPr>
        <w:t>a</w:t>
      </w:r>
      <w:r w:rsidRPr="004341B9">
        <w:rPr>
          <w:rFonts w:ascii="Times New Roman" w:hAnsi="Times New Roman"/>
          <w:noProof/>
          <w:sz w:val="24"/>
          <w:szCs w:val="24"/>
        </w:rPr>
        <w:t xml:space="preserve">ctivity. </w:t>
      </w:r>
      <w:r w:rsidR="007759A9" w:rsidRPr="00521C39">
        <w:rPr>
          <w:rFonts w:ascii="Times New Roman" w:hAnsi="Times New Roman"/>
          <w:noProof/>
          <w:sz w:val="24"/>
          <w:szCs w:val="24"/>
          <w:lang w:val="es-ES"/>
        </w:rPr>
        <w:t>J</w:t>
      </w:r>
      <w:r w:rsidR="007759A9">
        <w:rPr>
          <w:rFonts w:ascii="Times New Roman" w:hAnsi="Times New Roman"/>
          <w:noProof/>
          <w:sz w:val="24"/>
          <w:szCs w:val="24"/>
          <w:lang w:val="es-ES"/>
        </w:rPr>
        <w:t>ournal of</w:t>
      </w:r>
      <w:r w:rsidR="007759A9" w:rsidRPr="00521C39">
        <w:rPr>
          <w:rFonts w:ascii="Times New Roman" w:hAnsi="Times New Roman"/>
          <w:noProof/>
          <w:sz w:val="24"/>
          <w:szCs w:val="24"/>
          <w:lang w:val="es-ES"/>
        </w:rPr>
        <w:t xml:space="preserve"> Agric</w:t>
      </w:r>
      <w:r w:rsidR="007759A9">
        <w:rPr>
          <w:rFonts w:ascii="Times New Roman" w:hAnsi="Times New Roman"/>
          <w:noProof/>
          <w:sz w:val="24"/>
          <w:szCs w:val="24"/>
          <w:lang w:val="es-ES"/>
        </w:rPr>
        <w:t xml:space="preserve">ultural and </w:t>
      </w:r>
      <w:r w:rsidR="007759A9" w:rsidRPr="00521C39">
        <w:rPr>
          <w:rFonts w:ascii="Times New Roman" w:hAnsi="Times New Roman"/>
          <w:noProof/>
          <w:sz w:val="24"/>
          <w:szCs w:val="24"/>
          <w:lang w:val="es-ES"/>
        </w:rPr>
        <w:t xml:space="preserve"> Food Chem</w:t>
      </w:r>
      <w:r w:rsidR="007759A9">
        <w:rPr>
          <w:rFonts w:ascii="Times New Roman" w:hAnsi="Times New Roman"/>
          <w:noProof/>
          <w:sz w:val="24"/>
          <w:szCs w:val="24"/>
          <w:lang w:val="es-ES"/>
        </w:rPr>
        <w:t>istry</w:t>
      </w:r>
      <w:r w:rsidRPr="004341B9">
        <w:rPr>
          <w:rFonts w:ascii="Times New Roman" w:hAnsi="Times New Roman"/>
          <w:noProof/>
          <w:sz w:val="24"/>
          <w:szCs w:val="24"/>
        </w:rPr>
        <w:t xml:space="preserve"> 52(15):4595-4603.</w:t>
      </w:r>
    </w:p>
    <w:p w:rsidR="004341B9" w:rsidRPr="004341B9" w:rsidRDefault="004341B9" w:rsidP="004341B9">
      <w:pPr>
        <w:spacing w:after="0" w:line="240" w:lineRule="auto"/>
        <w:jc w:val="both"/>
        <w:rPr>
          <w:rFonts w:ascii="Times New Roman" w:hAnsi="Times New Roman"/>
          <w:noProof/>
          <w:sz w:val="24"/>
          <w:szCs w:val="24"/>
        </w:rPr>
      </w:pPr>
    </w:p>
    <w:p w:rsidR="00D54621" w:rsidRDefault="00D54621" w:rsidP="004341B9">
      <w:pPr>
        <w:spacing w:after="0" w:line="240" w:lineRule="auto"/>
        <w:jc w:val="both"/>
        <w:rPr>
          <w:rFonts w:ascii="Times New Roman" w:hAnsi="Times New Roman"/>
          <w:noProof/>
          <w:sz w:val="24"/>
          <w:szCs w:val="24"/>
        </w:rPr>
      </w:pPr>
      <w:r w:rsidRPr="004341B9">
        <w:rPr>
          <w:rFonts w:ascii="Times New Roman" w:hAnsi="Times New Roman"/>
          <w:noProof/>
          <w:sz w:val="24"/>
          <w:szCs w:val="24"/>
        </w:rPr>
        <w:t>Ahn J, Gruen IU &amp; Mustapha A. 2006. Effects of plant extracts on microbial growth, color change, and lipid oxidation in cooked beef. Food Microbiology 24(1):7-14.</w:t>
      </w:r>
    </w:p>
    <w:p w:rsidR="004341B9" w:rsidRPr="004341B9" w:rsidRDefault="004341B9" w:rsidP="004341B9">
      <w:pPr>
        <w:spacing w:after="0" w:line="240" w:lineRule="auto"/>
        <w:jc w:val="both"/>
        <w:rPr>
          <w:rFonts w:ascii="Times New Roman" w:hAnsi="Times New Roman"/>
          <w:noProof/>
          <w:sz w:val="24"/>
          <w:szCs w:val="24"/>
        </w:rPr>
      </w:pPr>
    </w:p>
    <w:p w:rsidR="00D54621" w:rsidRDefault="00D54621" w:rsidP="004341B9">
      <w:pPr>
        <w:spacing w:after="0" w:line="240" w:lineRule="auto"/>
        <w:jc w:val="both"/>
        <w:rPr>
          <w:rFonts w:ascii="Times New Roman" w:hAnsi="Times New Roman"/>
          <w:noProof/>
          <w:sz w:val="24"/>
          <w:szCs w:val="24"/>
        </w:rPr>
      </w:pPr>
      <w:r w:rsidRPr="004341B9">
        <w:rPr>
          <w:rFonts w:ascii="Times New Roman" w:hAnsi="Times New Roman"/>
          <w:noProof/>
          <w:sz w:val="24"/>
          <w:szCs w:val="24"/>
        </w:rPr>
        <w:t>Anonymous. 2006. α G-Rutin: Glucosyl rutin. Hayashibara Biochemical Laboratories.</w:t>
      </w:r>
    </w:p>
    <w:p w:rsidR="004341B9" w:rsidRPr="004341B9" w:rsidRDefault="004341B9" w:rsidP="004341B9">
      <w:pPr>
        <w:spacing w:after="0" w:line="240" w:lineRule="auto"/>
        <w:jc w:val="both"/>
        <w:rPr>
          <w:rFonts w:ascii="Times New Roman" w:hAnsi="Times New Roman"/>
          <w:noProof/>
          <w:sz w:val="24"/>
          <w:szCs w:val="24"/>
        </w:rPr>
      </w:pPr>
    </w:p>
    <w:p w:rsidR="004341B9" w:rsidRDefault="00D54621" w:rsidP="004341B9">
      <w:pPr>
        <w:spacing w:after="0" w:line="240" w:lineRule="auto"/>
        <w:jc w:val="both"/>
        <w:rPr>
          <w:rFonts w:ascii="Times New Roman" w:hAnsi="Times New Roman"/>
          <w:noProof/>
          <w:sz w:val="24"/>
          <w:szCs w:val="24"/>
        </w:rPr>
      </w:pPr>
      <w:r w:rsidRPr="004341B9">
        <w:rPr>
          <w:rFonts w:ascii="Times New Roman" w:hAnsi="Times New Roman"/>
          <w:noProof/>
          <w:sz w:val="24"/>
          <w:szCs w:val="24"/>
        </w:rPr>
        <w:t>Austria R, Semenzato A &amp; Bettero A. 1997. Stability of vitamin C derivatives in solution and topical formulations. Journal of Pharmaceutical and Biomedical Analysis 15(6):795-801.</w:t>
      </w:r>
    </w:p>
    <w:p w:rsidR="004341B9" w:rsidRPr="004341B9" w:rsidRDefault="004341B9" w:rsidP="004341B9">
      <w:pPr>
        <w:spacing w:after="0" w:line="240" w:lineRule="auto"/>
        <w:jc w:val="both"/>
        <w:rPr>
          <w:rFonts w:ascii="Times New Roman" w:hAnsi="Times New Roman"/>
          <w:noProof/>
          <w:sz w:val="24"/>
          <w:szCs w:val="24"/>
        </w:rPr>
      </w:pPr>
    </w:p>
    <w:p w:rsidR="004341B9" w:rsidRDefault="00D54621" w:rsidP="004341B9">
      <w:pPr>
        <w:spacing w:after="0" w:line="240" w:lineRule="auto"/>
        <w:jc w:val="both"/>
        <w:rPr>
          <w:rFonts w:ascii="Times New Roman" w:hAnsi="Times New Roman"/>
          <w:noProof/>
          <w:sz w:val="24"/>
          <w:szCs w:val="24"/>
        </w:rPr>
      </w:pPr>
      <w:r w:rsidRPr="004341B9">
        <w:rPr>
          <w:rFonts w:ascii="Times New Roman" w:hAnsi="Times New Roman"/>
          <w:noProof/>
          <w:sz w:val="24"/>
          <w:szCs w:val="24"/>
        </w:rPr>
        <w:t>Belitz HD, Grosh W &amp; Schieberle P. 2004. Food chemistry.</w:t>
      </w:r>
      <w:r w:rsidRPr="004341B9">
        <w:rPr>
          <w:rFonts w:ascii="Times New Roman" w:hAnsi="Times New Roman"/>
          <w:i/>
          <w:noProof/>
          <w:sz w:val="24"/>
          <w:szCs w:val="24"/>
        </w:rPr>
        <w:t xml:space="preserve"> </w:t>
      </w:r>
      <w:r w:rsidRPr="004341B9">
        <w:rPr>
          <w:rFonts w:ascii="Times New Roman" w:hAnsi="Times New Roman"/>
          <w:noProof/>
          <w:sz w:val="24"/>
          <w:szCs w:val="24"/>
        </w:rPr>
        <w:t>Germany: Springer.</w:t>
      </w:r>
    </w:p>
    <w:p w:rsidR="004341B9" w:rsidRPr="004341B9" w:rsidRDefault="004341B9" w:rsidP="004341B9">
      <w:pPr>
        <w:spacing w:after="0" w:line="240" w:lineRule="auto"/>
        <w:jc w:val="both"/>
        <w:rPr>
          <w:rFonts w:ascii="Times New Roman" w:hAnsi="Times New Roman"/>
          <w:noProof/>
          <w:sz w:val="24"/>
          <w:szCs w:val="24"/>
        </w:rPr>
      </w:pPr>
    </w:p>
    <w:p w:rsidR="004341B9" w:rsidRDefault="00D54621" w:rsidP="004341B9">
      <w:pPr>
        <w:spacing w:after="0" w:line="240" w:lineRule="auto"/>
        <w:jc w:val="both"/>
        <w:rPr>
          <w:rFonts w:ascii="Times New Roman" w:hAnsi="Times New Roman"/>
          <w:noProof/>
          <w:sz w:val="24"/>
          <w:szCs w:val="24"/>
        </w:rPr>
      </w:pPr>
      <w:r w:rsidRPr="004341B9">
        <w:rPr>
          <w:rFonts w:ascii="Times New Roman" w:hAnsi="Times New Roman"/>
          <w:noProof/>
          <w:sz w:val="24"/>
          <w:szCs w:val="24"/>
        </w:rPr>
        <w:t>Bors W, Heller W, Michel C &amp; Saran M. 1990. Flavonoids as antioxidants: determination of radical-scavenging efficiencies. Methods in Enzymology 186:343-355.</w:t>
      </w:r>
    </w:p>
    <w:p w:rsidR="004341B9" w:rsidRPr="004341B9" w:rsidRDefault="004341B9" w:rsidP="004341B9">
      <w:pPr>
        <w:spacing w:after="0" w:line="240" w:lineRule="auto"/>
        <w:jc w:val="both"/>
        <w:rPr>
          <w:rFonts w:ascii="Times New Roman" w:hAnsi="Times New Roman"/>
          <w:noProof/>
          <w:sz w:val="24"/>
          <w:szCs w:val="24"/>
        </w:rPr>
      </w:pPr>
    </w:p>
    <w:p w:rsidR="004341B9" w:rsidRDefault="00D54621" w:rsidP="004341B9">
      <w:pPr>
        <w:spacing w:after="0" w:line="240" w:lineRule="auto"/>
        <w:jc w:val="both"/>
        <w:rPr>
          <w:rFonts w:ascii="Times New Roman" w:hAnsi="Times New Roman"/>
          <w:noProof/>
          <w:sz w:val="24"/>
          <w:szCs w:val="24"/>
        </w:rPr>
      </w:pPr>
      <w:r w:rsidRPr="004341B9">
        <w:rPr>
          <w:rFonts w:ascii="Times New Roman" w:hAnsi="Times New Roman"/>
          <w:noProof/>
          <w:sz w:val="24"/>
          <w:szCs w:val="24"/>
        </w:rPr>
        <w:t>Bors W, Michel C &amp; Schikora S. 1995. Interaction of flavonoids with ascorbate and determination of their univalent redox potentials: a pulse radiolysis study. Free Radical Biology &amp; Medicine 19(1):45-52.</w:t>
      </w:r>
    </w:p>
    <w:p w:rsidR="004341B9" w:rsidRPr="004341B9" w:rsidRDefault="004341B9" w:rsidP="004341B9">
      <w:pPr>
        <w:spacing w:after="0" w:line="240" w:lineRule="auto"/>
        <w:jc w:val="both"/>
        <w:rPr>
          <w:rFonts w:ascii="Times New Roman" w:hAnsi="Times New Roman"/>
          <w:noProof/>
          <w:sz w:val="24"/>
          <w:szCs w:val="24"/>
        </w:rPr>
      </w:pPr>
    </w:p>
    <w:p w:rsidR="00D54621" w:rsidRDefault="00D54621" w:rsidP="004341B9">
      <w:pPr>
        <w:spacing w:after="0" w:line="240" w:lineRule="auto"/>
        <w:jc w:val="both"/>
        <w:rPr>
          <w:rFonts w:ascii="Times New Roman" w:hAnsi="Times New Roman"/>
          <w:noProof/>
          <w:sz w:val="24"/>
          <w:szCs w:val="24"/>
        </w:rPr>
      </w:pPr>
      <w:r w:rsidRPr="004341B9">
        <w:rPr>
          <w:rFonts w:ascii="Times New Roman" w:hAnsi="Times New Roman"/>
          <w:noProof/>
          <w:sz w:val="24"/>
          <w:szCs w:val="24"/>
        </w:rPr>
        <w:t>Buedo AP, Elustondo MP &amp; Urbicain MJ. 2000. Non-enzymatic browning of peach juice concentrate during storage. Innovative Food Science &amp; Emerging Technologies 1(4):255-260.</w:t>
      </w:r>
    </w:p>
    <w:p w:rsidR="004341B9" w:rsidRPr="004341B9" w:rsidRDefault="004341B9" w:rsidP="004341B9">
      <w:pPr>
        <w:spacing w:after="0" w:line="240" w:lineRule="auto"/>
        <w:jc w:val="both"/>
        <w:rPr>
          <w:rFonts w:ascii="Times New Roman" w:hAnsi="Times New Roman"/>
          <w:noProof/>
          <w:sz w:val="24"/>
          <w:szCs w:val="24"/>
        </w:rPr>
      </w:pP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Buettner GR. 1988. In the absence of catalytic metals ascorbate does not autoxidize at pH 7: ascorbate as a test for catalytic metals. Journal of Biochemical and Biophysical Methods 16(1):27-40.</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Burdurlu HS, Koca N &amp; Karadeniz F. 2006. Degradation of vitamin C in citrus juice concentrates during storage. Journal of Food Engineering 74(2):211-216.</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Chutintrasri B &amp; Noomhorm A. 200</w:t>
      </w:r>
      <w:r w:rsidR="00CC7D02">
        <w:rPr>
          <w:rFonts w:ascii="Times New Roman" w:hAnsi="Times New Roman"/>
          <w:noProof/>
          <w:sz w:val="24"/>
          <w:szCs w:val="24"/>
        </w:rPr>
        <w:t>7</w:t>
      </w:r>
      <w:r w:rsidRPr="004341B9">
        <w:rPr>
          <w:rFonts w:ascii="Times New Roman" w:hAnsi="Times New Roman"/>
          <w:noProof/>
          <w:sz w:val="24"/>
          <w:szCs w:val="24"/>
        </w:rPr>
        <w:t>. Color degradation kinetics of pineapple puree during thermal processing. LWT--Food Science and Technology 40(2):300-306.</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Clegg KM. 1964. Nonenzymatic browning of lemon juice. Journal of the Science of Food and Agriculture 15(12):878.</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Clegg KM &amp; Morton AD. 1968. The phenolic compounds of blackurrant juice and their protective effect on ascorbic acid. Journal of Food Technology 3:277-284.</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Cossins E, Lee R &amp; Packer L. 1998. ESR studies of vitamin C regeneration, order of reactivity of natural source phytochemical preparations. Biochemistry and Molecular Biology International 45(3):583-597.</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lastRenderedPageBreak/>
        <w:t>Craig J, Bowers JA &amp; Seib P. 1991. Sodium tripolyphosphate and sodium ascorbate monophosphate as inhibitors of off-flavor development in cooked, vacuum-packaged, frozen turkey. Journal of Food Science 56(6):1529-1531, 1561.</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Davies CGA &amp; Wedzicha BL. 1992. Kinetics of the inhibition of ascorbic acid browning by sulfite. Food Additives and Contaminants 9(5):471-477.</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De Rosso VV &amp; Mercadante AZ. 2007. The high ascorbic acid content is the main cause of the low stability of anthocyanin extracts from acerola. Food Chemistry 103(3):935-943.</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deMan JM. 1999. Food chemistry</w:t>
      </w:r>
      <w:r w:rsidR="00DC1C9F">
        <w:rPr>
          <w:rFonts w:ascii="Times New Roman" w:hAnsi="Times New Roman"/>
          <w:noProof/>
          <w:sz w:val="24"/>
          <w:szCs w:val="24"/>
        </w:rPr>
        <w:t xml:space="preserve">. </w:t>
      </w:r>
      <w:r w:rsidRPr="004341B9">
        <w:rPr>
          <w:rFonts w:ascii="Times New Roman" w:hAnsi="Times New Roman"/>
          <w:noProof/>
          <w:sz w:val="24"/>
          <w:szCs w:val="24"/>
        </w:rPr>
        <w:t>Gaithersburg, MD.: Aspen Publishers.</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Fennema OR. 1996. Food chemistry.</w:t>
      </w:r>
      <w:r w:rsidRPr="004341B9">
        <w:rPr>
          <w:rFonts w:ascii="Times New Roman" w:hAnsi="Times New Roman"/>
          <w:i/>
          <w:noProof/>
          <w:sz w:val="24"/>
          <w:szCs w:val="24"/>
        </w:rPr>
        <w:t xml:space="preserve"> </w:t>
      </w:r>
      <w:r w:rsidRPr="004341B9">
        <w:rPr>
          <w:rFonts w:ascii="Times New Roman" w:hAnsi="Times New Roman"/>
          <w:noProof/>
          <w:sz w:val="24"/>
          <w:szCs w:val="24"/>
        </w:rPr>
        <w:t>New York: Marcel Dekker, Inc.</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Fermann R &amp; Gripp A. 2004. Stay-C 50-more than just stable vitamin C in your formulation. Cosmetics and toiletries manufacture worldwide:153-157.</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Garza S, Ibarz A, Pagan J &amp; Giner J. 1999. Non-enzymatic browning in peach puree during heating. Food Research International 32(5):335-343.</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Harper KA, Morton AD &amp; Rolfe EJ. 1969. Phenolic compounds of blackcurrant juice and their protective effect on ascorbic acid. III. Mechanism of ascorbic acid oxidation and its inhibition by flavonoids. Journal of Food Technology 4(3):255-267.</w:t>
      </w:r>
    </w:p>
    <w:p w:rsidR="00D54621" w:rsidRPr="004341B9" w:rsidRDefault="00D54621" w:rsidP="004341B9">
      <w:pPr>
        <w:spacing w:after="100" w:afterAutospacing="1" w:line="240" w:lineRule="auto"/>
        <w:jc w:val="both"/>
        <w:rPr>
          <w:rFonts w:ascii="Times New Roman" w:hAnsi="Times New Roman"/>
          <w:noProof/>
          <w:sz w:val="24"/>
          <w:szCs w:val="24"/>
        </w:rPr>
      </w:pPr>
      <w:bookmarkStart w:id="42" w:name="_ENREF_23"/>
      <w:r w:rsidRPr="004341B9">
        <w:rPr>
          <w:rFonts w:ascii="Times New Roman" w:hAnsi="Times New Roman"/>
          <w:noProof/>
          <w:sz w:val="24"/>
          <w:szCs w:val="24"/>
        </w:rPr>
        <w:t>Hui YH. 2005. Handbook of Food Science, Technology, and Engineering.</w:t>
      </w:r>
      <w:r w:rsidRPr="004341B9">
        <w:rPr>
          <w:rFonts w:ascii="Times New Roman" w:hAnsi="Times New Roman"/>
          <w:i/>
          <w:noProof/>
          <w:sz w:val="24"/>
          <w:szCs w:val="24"/>
        </w:rPr>
        <w:t xml:space="preserve"> </w:t>
      </w:r>
      <w:r w:rsidRPr="004341B9">
        <w:rPr>
          <w:rFonts w:ascii="Times New Roman" w:hAnsi="Times New Roman"/>
          <w:noProof/>
          <w:sz w:val="24"/>
          <w:szCs w:val="24"/>
        </w:rPr>
        <w:t>Boca Raton, Fl.: CRC Press. Taylor and Francis Group.</w:t>
      </w:r>
      <w:bookmarkEnd w:id="42"/>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Hui YH. 2006. Food biochemistry and food processing.</w:t>
      </w:r>
      <w:r w:rsidRPr="004341B9">
        <w:rPr>
          <w:rFonts w:ascii="Times New Roman" w:hAnsi="Times New Roman"/>
          <w:i/>
          <w:noProof/>
          <w:sz w:val="24"/>
          <w:szCs w:val="24"/>
        </w:rPr>
        <w:t xml:space="preserve"> </w:t>
      </w:r>
      <w:r w:rsidRPr="004341B9">
        <w:rPr>
          <w:rFonts w:ascii="Times New Roman" w:hAnsi="Times New Roman"/>
          <w:noProof/>
          <w:sz w:val="24"/>
          <w:szCs w:val="24"/>
        </w:rPr>
        <w:t>Ames, Iowa: Blackwell Pub. Professional.</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Iacobucci G &amp; Sweeny J, inventors; The Coca-Cola Company, assignee. 1980. Color stable food containing anthocyanic pigments and bio-available vitamin C and process of its production. United States patent 4,208,434.</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Ibarz A, Pagan J &amp; Garza S. 1999. Kinetic models for colour changes in pear puree during heating at relatively high temperatures. Journal of Food Engineering 39:415-422.</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Jovanovic SV, Steenken S, Hara Y &amp; Simic MG. 1996. Reduction potentials of flavonoid and model phenoxyl radicals. Which ring in flavonoids is responsible for antioxidant activity? Journal of the Chemical Society, Perkin Transactions 2: Physical Organic Chemistry (11):2497-2504.</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Kacem B, Cornell JA, Marshall MR, Shireman RB &amp; Matthews RF. 1987. Nonenzymic browning in aseptically packaged orange drinks: effect of ascorbic acid, amino acids and oxygen. Journal of Food Science 52(6):1668-1672.</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lastRenderedPageBreak/>
        <w:t>Kall MA. 2003. Ascorbic acid: Properties and determination. In: Trugo, L. &amp; Finglas, P., editors. Encyclopedia of food science and nutrition</w:t>
      </w:r>
      <w:r w:rsidRPr="004341B9">
        <w:rPr>
          <w:rFonts w:ascii="Times New Roman" w:hAnsi="Times New Roman"/>
          <w:i/>
          <w:noProof/>
          <w:sz w:val="24"/>
          <w:szCs w:val="24"/>
        </w:rPr>
        <w:t xml:space="preserve">. </w:t>
      </w:r>
      <w:r w:rsidRPr="004341B9">
        <w:rPr>
          <w:rFonts w:ascii="Times New Roman" w:hAnsi="Times New Roman"/>
          <w:noProof/>
          <w:sz w:val="24"/>
          <w:szCs w:val="24"/>
        </w:rPr>
        <w:t>Second ed. p. 316-324.</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Liao ML &amp; Seib PA. 1988. Chemistry of L-ascorbic acid related to foods. Food Chemistry 30(4):289-312.</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Lozano JE &amp; Ibarz A. 1996. Color changes in concentrated fruit pulp during heating at high temperatures. Journal of Food Engineering 31:365-373.</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Manso MC, Oliveira FAR, Oliveira JC &amp; Frias JM. 2001. Modelling ascorbic acid thermal degradation and browning in orange juice under aerobic conditions. International Journal of Food Science and Technology 36(3):303-312.</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Masquelier J, inventor; Societe Civile d'Investigations Pharmacologiques d'Aquitaine, assignee. 1987. Plant extract with a proanthocyanidins content as therapeutic agent having radical scavenger effect and use</w:t>
      </w:r>
      <w:r w:rsidR="008D3C04">
        <w:rPr>
          <w:rFonts w:ascii="Times New Roman" w:hAnsi="Times New Roman"/>
          <w:noProof/>
          <w:sz w:val="24"/>
          <w:szCs w:val="24"/>
        </w:rPr>
        <w:t xml:space="preserve">. </w:t>
      </w:r>
      <w:r w:rsidR="008D3C04" w:rsidRPr="00521C39">
        <w:rPr>
          <w:rFonts w:ascii="Times New Roman" w:hAnsi="Times New Roman"/>
          <w:noProof/>
          <w:sz w:val="24"/>
          <w:szCs w:val="24"/>
          <w:lang w:val="es-ES"/>
        </w:rPr>
        <w:t>United States patent</w:t>
      </w:r>
      <w:r w:rsidR="008D3C04">
        <w:rPr>
          <w:rFonts w:ascii="Times New Roman" w:hAnsi="Times New Roman"/>
          <w:noProof/>
          <w:sz w:val="24"/>
          <w:szCs w:val="24"/>
          <w:lang w:val="es-ES"/>
        </w:rPr>
        <w:t xml:space="preserve"> 4,698,360</w:t>
      </w:r>
      <w:r w:rsidRPr="004341B9">
        <w:rPr>
          <w:rFonts w:ascii="Times New Roman" w:hAnsi="Times New Roman"/>
          <w:noProof/>
          <w:sz w:val="24"/>
          <w:szCs w:val="24"/>
        </w:rPr>
        <w:t>.</w:t>
      </w:r>
    </w:p>
    <w:p w:rsid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 xml:space="preserve">Naim M, Schutz O, Zehavi U, Rouseff RL &amp; Haleva-Toledo E. 1997. Effects of orange juice fortification with thiols on p-vinylguaiacol formation, ascorbic-acid degradation, browning, and acceptance during pasteurization and storage under moderate conditions. </w:t>
      </w:r>
      <w:r w:rsidR="008D3C04" w:rsidRPr="00521C39">
        <w:rPr>
          <w:rFonts w:ascii="Times New Roman" w:hAnsi="Times New Roman"/>
          <w:noProof/>
          <w:sz w:val="24"/>
          <w:szCs w:val="24"/>
          <w:lang w:val="es-ES"/>
        </w:rPr>
        <w:t>J</w:t>
      </w:r>
      <w:r w:rsidR="008D3C04">
        <w:rPr>
          <w:rFonts w:ascii="Times New Roman" w:hAnsi="Times New Roman"/>
          <w:noProof/>
          <w:sz w:val="24"/>
          <w:szCs w:val="24"/>
          <w:lang w:val="es-ES"/>
        </w:rPr>
        <w:t>ournal of</w:t>
      </w:r>
      <w:r w:rsidR="008D3C04" w:rsidRPr="00521C39">
        <w:rPr>
          <w:rFonts w:ascii="Times New Roman" w:hAnsi="Times New Roman"/>
          <w:noProof/>
          <w:sz w:val="24"/>
          <w:szCs w:val="24"/>
          <w:lang w:val="es-ES"/>
        </w:rPr>
        <w:t xml:space="preserve"> Agric</w:t>
      </w:r>
      <w:r w:rsidR="008D3C04">
        <w:rPr>
          <w:rFonts w:ascii="Times New Roman" w:hAnsi="Times New Roman"/>
          <w:noProof/>
          <w:sz w:val="24"/>
          <w:szCs w:val="24"/>
          <w:lang w:val="es-ES"/>
        </w:rPr>
        <w:t xml:space="preserve">ultural and </w:t>
      </w:r>
      <w:r w:rsidR="008D3C04" w:rsidRPr="00521C39">
        <w:rPr>
          <w:rFonts w:ascii="Times New Roman" w:hAnsi="Times New Roman"/>
          <w:noProof/>
          <w:sz w:val="24"/>
          <w:szCs w:val="24"/>
          <w:lang w:val="es-ES"/>
        </w:rPr>
        <w:t xml:space="preserve"> Food Chem</w:t>
      </w:r>
      <w:r w:rsidR="008D3C04">
        <w:rPr>
          <w:rFonts w:ascii="Times New Roman" w:hAnsi="Times New Roman"/>
          <w:noProof/>
          <w:sz w:val="24"/>
          <w:szCs w:val="24"/>
          <w:lang w:val="es-ES"/>
        </w:rPr>
        <w:t>istry</w:t>
      </w:r>
      <w:r w:rsidRPr="004341B9">
        <w:rPr>
          <w:rFonts w:ascii="Times New Roman" w:hAnsi="Times New Roman"/>
          <w:noProof/>
          <w:sz w:val="24"/>
          <w:szCs w:val="24"/>
        </w:rPr>
        <w:t xml:space="preserve"> 45(5):1861-1867.</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 xml:space="preserve">Naim M, Zuker I, Zehavi U &amp; Rouseff RL. 1993. Inhibition by thiol compounds of off-flavor formation in stored orange juice. 2. Effect of L-cysteine and N-acetyl-L-cysteine on p-vinylguaiacol formation. </w:t>
      </w:r>
      <w:r w:rsidR="008D3C04" w:rsidRPr="00521C39">
        <w:rPr>
          <w:rFonts w:ascii="Times New Roman" w:hAnsi="Times New Roman"/>
          <w:noProof/>
          <w:sz w:val="24"/>
          <w:szCs w:val="24"/>
          <w:lang w:val="es-ES"/>
        </w:rPr>
        <w:t>J</w:t>
      </w:r>
      <w:r w:rsidR="008D3C04">
        <w:rPr>
          <w:rFonts w:ascii="Times New Roman" w:hAnsi="Times New Roman"/>
          <w:noProof/>
          <w:sz w:val="24"/>
          <w:szCs w:val="24"/>
          <w:lang w:val="es-ES"/>
        </w:rPr>
        <w:t>ournal of</w:t>
      </w:r>
      <w:r w:rsidR="008D3C04" w:rsidRPr="00521C39">
        <w:rPr>
          <w:rFonts w:ascii="Times New Roman" w:hAnsi="Times New Roman"/>
          <w:noProof/>
          <w:sz w:val="24"/>
          <w:szCs w:val="24"/>
          <w:lang w:val="es-ES"/>
        </w:rPr>
        <w:t xml:space="preserve"> Agric</w:t>
      </w:r>
      <w:r w:rsidR="008D3C04">
        <w:rPr>
          <w:rFonts w:ascii="Times New Roman" w:hAnsi="Times New Roman"/>
          <w:noProof/>
          <w:sz w:val="24"/>
          <w:szCs w:val="24"/>
          <w:lang w:val="es-ES"/>
        </w:rPr>
        <w:t xml:space="preserve">ultural and </w:t>
      </w:r>
      <w:r w:rsidR="008D3C04" w:rsidRPr="00521C39">
        <w:rPr>
          <w:rFonts w:ascii="Times New Roman" w:hAnsi="Times New Roman"/>
          <w:noProof/>
          <w:sz w:val="24"/>
          <w:szCs w:val="24"/>
          <w:lang w:val="es-ES"/>
        </w:rPr>
        <w:t xml:space="preserve"> Food Chem</w:t>
      </w:r>
      <w:r w:rsidR="008D3C04">
        <w:rPr>
          <w:rFonts w:ascii="Times New Roman" w:hAnsi="Times New Roman"/>
          <w:noProof/>
          <w:sz w:val="24"/>
          <w:szCs w:val="24"/>
          <w:lang w:val="es-ES"/>
        </w:rPr>
        <w:t>istry</w:t>
      </w:r>
      <w:r w:rsidRPr="004341B9">
        <w:rPr>
          <w:rFonts w:ascii="Times New Roman" w:hAnsi="Times New Roman"/>
          <w:noProof/>
          <w:sz w:val="24"/>
          <w:szCs w:val="24"/>
        </w:rPr>
        <w:t xml:space="preserve"> 41(9):1359-1361.</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O'Keefe T. 2001. Ascorbic acid and stable ascorbate esters as sources of vitamin C in aquaculture feeds. American Soybean Association (ASA).</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Oms-Oliu G, Odriozola-Serrano I, Soliva-Fortuny R &amp; Martin-Belloso O. 2009. Use of Weibull distribution for describing kinetics of antioxidant potential changes in fresh-cut watermelon. Journal of Food Engineering 95(1):99-105.</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Packer L &amp; Fuchs J. 1997. Vitamin c in health and disease. New York: M. Dekker.</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Packer L, Rimbach G &amp; Virgili F. 1999. Antioxidant activity and biologic properties of a procyanidin-rich extract from pine (pinus maritima) bark, pycnogenol. Free Radical Biology &amp; Medicine 27(5/6):704-724.</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Park H, Seib PA &amp; Chung OK. 1994. Stabilities of several forms of vitamin C during making and storing of pup-loaves of white pan bread. Cereal Chemistry 71(5):412-417.</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Perez G. 2003. Los flavonoides: Antioxidantes o Prooxidantes. Rev. Cubana Invest Biomed 22(1):48-57.</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t>Pietta P-G. 2000. Flavonoids as Antioxidants. Journal of Natural Products 63(7):1035-1042.</w:t>
      </w:r>
    </w:p>
    <w:p w:rsidR="00D54621" w:rsidRPr="004341B9" w:rsidRDefault="00D54621" w:rsidP="004341B9">
      <w:pPr>
        <w:spacing w:after="100" w:afterAutospacing="1" w:line="240" w:lineRule="auto"/>
        <w:jc w:val="both"/>
        <w:rPr>
          <w:rFonts w:ascii="Times New Roman" w:hAnsi="Times New Roman"/>
          <w:noProof/>
          <w:sz w:val="24"/>
          <w:szCs w:val="24"/>
        </w:rPr>
      </w:pPr>
      <w:r w:rsidRPr="004341B9">
        <w:rPr>
          <w:rFonts w:ascii="Times New Roman" w:hAnsi="Times New Roman"/>
          <w:noProof/>
          <w:sz w:val="24"/>
          <w:szCs w:val="24"/>
        </w:rPr>
        <w:lastRenderedPageBreak/>
        <w:t>Poei-Langston MS &amp; Wrolstad RE. 1981. Color degradation in an ascorbic acid-anthocyanin-flavanol model system. Journal of Food Science 46(4):1218-1222, 1236.</w:t>
      </w:r>
    </w:p>
    <w:p w:rsidR="00D54621" w:rsidRPr="004341B9" w:rsidRDefault="00D54621" w:rsidP="004341B9">
      <w:pPr>
        <w:spacing w:after="100" w:afterAutospacing="1" w:line="240" w:lineRule="auto"/>
        <w:jc w:val="both"/>
        <w:rPr>
          <w:rFonts w:ascii="Times New Roman" w:hAnsi="Times New Roman"/>
          <w:noProof/>
          <w:sz w:val="24"/>
          <w:szCs w:val="24"/>
        </w:rPr>
      </w:pPr>
      <w:bookmarkStart w:id="43" w:name="_ENREF_44"/>
      <w:r w:rsidRPr="004341B9">
        <w:rPr>
          <w:rFonts w:ascii="Times New Roman" w:hAnsi="Times New Roman"/>
          <w:noProof/>
          <w:sz w:val="24"/>
          <w:szCs w:val="24"/>
        </w:rPr>
        <w:t>Rattanathanalerk M, Chiewchan N &amp; Srichumpoung W. 2005. Effect of thermal processing on the quality loss of pineapple juice. Journal of Food Engineering 66:259-265.</w:t>
      </w:r>
      <w:bookmarkEnd w:id="43"/>
    </w:p>
    <w:p w:rsidR="00D54621" w:rsidRPr="004341B9" w:rsidRDefault="00D54621" w:rsidP="004341B9">
      <w:pPr>
        <w:spacing w:after="100" w:afterAutospacing="1" w:line="240" w:lineRule="auto"/>
        <w:jc w:val="both"/>
        <w:rPr>
          <w:rFonts w:ascii="Times New Roman" w:hAnsi="Times New Roman"/>
          <w:noProof/>
          <w:sz w:val="24"/>
          <w:szCs w:val="24"/>
        </w:rPr>
      </w:pPr>
      <w:bookmarkStart w:id="44" w:name="_ENREF_46"/>
      <w:r w:rsidRPr="004341B9">
        <w:rPr>
          <w:rFonts w:ascii="Times New Roman" w:hAnsi="Times New Roman"/>
          <w:noProof/>
          <w:sz w:val="24"/>
          <w:szCs w:val="24"/>
        </w:rPr>
        <w:t>Rice-Evans CA &amp; Packer L. 1998. Flavonoids in health and disease.</w:t>
      </w:r>
      <w:r w:rsidRPr="004341B9">
        <w:rPr>
          <w:rFonts w:ascii="Times New Roman" w:hAnsi="Times New Roman"/>
          <w:i/>
          <w:noProof/>
          <w:sz w:val="24"/>
          <w:szCs w:val="24"/>
        </w:rPr>
        <w:t xml:space="preserve"> </w:t>
      </w:r>
      <w:r w:rsidRPr="004341B9">
        <w:rPr>
          <w:rFonts w:ascii="Times New Roman" w:hAnsi="Times New Roman"/>
          <w:noProof/>
          <w:sz w:val="24"/>
          <w:szCs w:val="24"/>
        </w:rPr>
        <w:t>New York, N.Y.: Marcel Dekker.</w:t>
      </w:r>
      <w:bookmarkEnd w:id="44"/>
    </w:p>
    <w:p w:rsidR="00D54621" w:rsidRPr="004341B9" w:rsidRDefault="00D54621" w:rsidP="004341B9">
      <w:pPr>
        <w:spacing w:after="100" w:afterAutospacing="1" w:line="240" w:lineRule="auto"/>
        <w:jc w:val="both"/>
        <w:rPr>
          <w:rFonts w:ascii="Times New Roman" w:hAnsi="Times New Roman"/>
          <w:noProof/>
          <w:sz w:val="24"/>
          <w:szCs w:val="24"/>
        </w:rPr>
      </w:pPr>
      <w:bookmarkStart w:id="45" w:name="_ENREF_47"/>
      <w:r w:rsidRPr="004341B9">
        <w:rPr>
          <w:rFonts w:ascii="Times New Roman" w:hAnsi="Times New Roman"/>
          <w:noProof/>
          <w:sz w:val="24"/>
          <w:szCs w:val="24"/>
        </w:rPr>
        <w:t>Rohdewald P. 2002. A review of the French maritime pine bark extract (Pycnogenol), a herbal medication with a diverse clinical pharmacology. International Journal of Clinical Pharmacology and Therapeutics 40(4):158-168.</w:t>
      </w:r>
      <w:bookmarkEnd w:id="45"/>
    </w:p>
    <w:p w:rsidR="00D54621" w:rsidRPr="004341B9" w:rsidRDefault="00D54621" w:rsidP="004341B9">
      <w:pPr>
        <w:spacing w:after="100" w:afterAutospacing="1" w:line="240" w:lineRule="auto"/>
        <w:jc w:val="both"/>
        <w:rPr>
          <w:rFonts w:ascii="Times New Roman" w:hAnsi="Times New Roman"/>
          <w:noProof/>
          <w:sz w:val="24"/>
          <w:szCs w:val="24"/>
        </w:rPr>
      </w:pPr>
      <w:bookmarkStart w:id="46" w:name="_ENREF_48"/>
      <w:r w:rsidRPr="004341B9">
        <w:rPr>
          <w:rFonts w:ascii="Times New Roman" w:hAnsi="Times New Roman"/>
          <w:noProof/>
          <w:sz w:val="24"/>
          <w:szCs w:val="24"/>
        </w:rPr>
        <w:t>Roig MG, Bello JF, Rivera ZS &amp; Kennedy JF. 1996. Non-enzymic Browning in Single-Strength Reconstituted Citrus Juice in TetraBrik Cartons. Biotechnology Progress 12(2):281-285.</w:t>
      </w:r>
      <w:bookmarkEnd w:id="46"/>
    </w:p>
    <w:p w:rsidR="00D54621" w:rsidRPr="004341B9" w:rsidRDefault="00D54621" w:rsidP="004341B9">
      <w:pPr>
        <w:spacing w:after="100" w:afterAutospacing="1" w:line="240" w:lineRule="auto"/>
        <w:jc w:val="both"/>
        <w:rPr>
          <w:rFonts w:ascii="Times New Roman" w:hAnsi="Times New Roman"/>
          <w:noProof/>
          <w:sz w:val="24"/>
          <w:szCs w:val="24"/>
        </w:rPr>
      </w:pPr>
      <w:bookmarkStart w:id="47" w:name="_ENREF_49"/>
      <w:r w:rsidRPr="004341B9">
        <w:rPr>
          <w:rFonts w:ascii="Times New Roman" w:hAnsi="Times New Roman"/>
          <w:noProof/>
          <w:sz w:val="24"/>
          <w:szCs w:val="24"/>
        </w:rPr>
        <w:t>Roig MG, Bello JF, Rivera ZS &amp; Kennedy JF. 2000. Studies on the occurrence of non-enzymic browning during storage of citrus juice. Food Research International 32(9):609-619.</w:t>
      </w:r>
      <w:bookmarkEnd w:id="47"/>
    </w:p>
    <w:p w:rsidR="00D54621" w:rsidRPr="004341B9" w:rsidRDefault="00D54621" w:rsidP="004341B9">
      <w:pPr>
        <w:spacing w:after="100" w:afterAutospacing="1" w:line="240" w:lineRule="auto"/>
        <w:jc w:val="both"/>
        <w:rPr>
          <w:rFonts w:ascii="Times New Roman" w:hAnsi="Times New Roman"/>
          <w:noProof/>
          <w:sz w:val="24"/>
          <w:szCs w:val="24"/>
        </w:rPr>
      </w:pPr>
      <w:bookmarkStart w:id="48" w:name="_ENREF_50"/>
      <w:r w:rsidRPr="004341B9">
        <w:rPr>
          <w:rFonts w:ascii="Times New Roman" w:hAnsi="Times New Roman"/>
          <w:noProof/>
          <w:sz w:val="24"/>
          <w:szCs w:val="24"/>
        </w:rPr>
        <w:t>Rojas AM &amp; Gerschenson LN. 1997. Ascorbic acid destruction in sweet aqueous model systems. Food Science &amp; Technology (London) 30(6):567-572.</w:t>
      </w:r>
      <w:bookmarkEnd w:id="48"/>
    </w:p>
    <w:p w:rsidR="00D54621" w:rsidRPr="004341B9" w:rsidRDefault="00D54621" w:rsidP="004341B9">
      <w:pPr>
        <w:spacing w:after="100" w:afterAutospacing="1" w:line="240" w:lineRule="auto"/>
        <w:jc w:val="both"/>
        <w:rPr>
          <w:rFonts w:ascii="Times New Roman" w:hAnsi="Times New Roman"/>
          <w:noProof/>
          <w:sz w:val="24"/>
          <w:szCs w:val="24"/>
        </w:rPr>
      </w:pPr>
      <w:bookmarkStart w:id="49" w:name="_ENREF_51"/>
      <w:r w:rsidRPr="004341B9">
        <w:rPr>
          <w:rFonts w:ascii="Times New Roman" w:hAnsi="Times New Roman"/>
          <w:noProof/>
          <w:sz w:val="24"/>
          <w:szCs w:val="24"/>
        </w:rPr>
        <w:t>Ruggeri S, Straniero R, Pacifico S, Aguzzi A &amp; Virgili F. 2008. French marine bark extract pycnogenol as a possible enrichment ingredient for yogurt. Journal of Dairy Science 91(12):4484-4491.</w:t>
      </w:r>
      <w:bookmarkEnd w:id="49"/>
    </w:p>
    <w:p w:rsidR="00D54621" w:rsidRPr="004341B9" w:rsidRDefault="00D54621" w:rsidP="004341B9">
      <w:pPr>
        <w:spacing w:after="100" w:afterAutospacing="1" w:line="240" w:lineRule="auto"/>
        <w:jc w:val="both"/>
        <w:rPr>
          <w:rFonts w:ascii="Times New Roman" w:hAnsi="Times New Roman"/>
          <w:noProof/>
          <w:sz w:val="24"/>
          <w:szCs w:val="24"/>
        </w:rPr>
      </w:pPr>
      <w:bookmarkStart w:id="50" w:name="_ENREF_52"/>
      <w:r w:rsidRPr="004341B9">
        <w:rPr>
          <w:rFonts w:ascii="Times New Roman" w:hAnsi="Times New Roman"/>
          <w:noProof/>
          <w:sz w:val="24"/>
          <w:szCs w:val="24"/>
        </w:rPr>
        <w:t>Sawamura M, Nakagawa T, Katsuno S, Hamaguchi H &amp; Ukeda H. 2000. The effects of antioxidants on browning and on degradation products caused by dehydroascorbic acid. Journal of Food Science 65(1):20-23.</w:t>
      </w:r>
      <w:bookmarkEnd w:id="50"/>
    </w:p>
    <w:p w:rsidR="00D54621" w:rsidRPr="004341B9" w:rsidRDefault="00D54621" w:rsidP="004341B9">
      <w:pPr>
        <w:spacing w:after="100" w:afterAutospacing="1" w:line="240" w:lineRule="auto"/>
        <w:jc w:val="both"/>
        <w:rPr>
          <w:rFonts w:ascii="Times New Roman" w:hAnsi="Times New Roman"/>
          <w:noProof/>
          <w:sz w:val="24"/>
          <w:szCs w:val="24"/>
        </w:rPr>
      </w:pPr>
      <w:bookmarkStart w:id="51" w:name="_ENREF_53"/>
      <w:r w:rsidRPr="004341B9">
        <w:rPr>
          <w:rFonts w:ascii="Times New Roman" w:hAnsi="Times New Roman"/>
          <w:noProof/>
          <w:sz w:val="24"/>
          <w:szCs w:val="24"/>
        </w:rPr>
        <w:t xml:space="preserve">Sawamura M, Takemoto K &amp; Li ZF. 1991. Carbon-14 studies on browning of dehydroascorbic acid in an aqueous solution. </w:t>
      </w:r>
      <w:r w:rsidR="008D3C04" w:rsidRPr="00521C39">
        <w:rPr>
          <w:rFonts w:ascii="Times New Roman" w:hAnsi="Times New Roman"/>
          <w:noProof/>
          <w:sz w:val="24"/>
          <w:szCs w:val="24"/>
          <w:lang w:val="es-ES"/>
        </w:rPr>
        <w:t>J</w:t>
      </w:r>
      <w:r w:rsidR="008D3C04">
        <w:rPr>
          <w:rFonts w:ascii="Times New Roman" w:hAnsi="Times New Roman"/>
          <w:noProof/>
          <w:sz w:val="24"/>
          <w:szCs w:val="24"/>
          <w:lang w:val="es-ES"/>
        </w:rPr>
        <w:t>ournal of</w:t>
      </w:r>
      <w:r w:rsidR="008D3C04" w:rsidRPr="00521C39">
        <w:rPr>
          <w:rFonts w:ascii="Times New Roman" w:hAnsi="Times New Roman"/>
          <w:noProof/>
          <w:sz w:val="24"/>
          <w:szCs w:val="24"/>
          <w:lang w:val="es-ES"/>
        </w:rPr>
        <w:t xml:space="preserve"> Agric</w:t>
      </w:r>
      <w:r w:rsidR="008D3C04">
        <w:rPr>
          <w:rFonts w:ascii="Times New Roman" w:hAnsi="Times New Roman"/>
          <w:noProof/>
          <w:sz w:val="24"/>
          <w:szCs w:val="24"/>
          <w:lang w:val="es-ES"/>
        </w:rPr>
        <w:t xml:space="preserve">ultural and </w:t>
      </w:r>
      <w:r w:rsidR="008D3C04" w:rsidRPr="00521C39">
        <w:rPr>
          <w:rFonts w:ascii="Times New Roman" w:hAnsi="Times New Roman"/>
          <w:noProof/>
          <w:sz w:val="24"/>
          <w:szCs w:val="24"/>
          <w:lang w:val="es-ES"/>
        </w:rPr>
        <w:t xml:space="preserve"> Food Chem</w:t>
      </w:r>
      <w:r w:rsidR="008D3C04">
        <w:rPr>
          <w:rFonts w:ascii="Times New Roman" w:hAnsi="Times New Roman"/>
          <w:noProof/>
          <w:sz w:val="24"/>
          <w:szCs w:val="24"/>
          <w:lang w:val="es-ES"/>
        </w:rPr>
        <w:t>istry</w:t>
      </w:r>
      <w:r w:rsidRPr="004341B9">
        <w:rPr>
          <w:rFonts w:ascii="Times New Roman" w:hAnsi="Times New Roman"/>
          <w:noProof/>
          <w:sz w:val="24"/>
          <w:szCs w:val="24"/>
        </w:rPr>
        <w:t xml:space="preserve"> 39(10):1735-1737.</w:t>
      </w:r>
      <w:bookmarkEnd w:id="51"/>
    </w:p>
    <w:p w:rsidR="00D54621" w:rsidRPr="004341B9" w:rsidRDefault="00D54621" w:rsidP="004341B9">
      <w:pPr>
        <w:spacing w:after="100" w:afterAutospacing="1" w:line="240" w:lineRule="auto"/>
        <w:jc w:val="both"/>
        <w:rPr>
          <w:rFonts w:ascii="Times New Roman" w:hAnsi="Times New Roman"/>
          <w:noProof/>
          <w:sz w:val="24"/>
          <w:szCs w:val="24"/>
        </w:rPr>
      </w:pPr>
      <w:bookmarkStart w:id="52" w:name="_ENREF_54"/>
      <w:r w:rsidRPr="004341B9">
        <w:rPr>
          <w:rFonts w:ascii="Times New Roman" w:hAnsi="Times New Roman"/>
          <w:noProof/>
          <w:sz w:val="24"/>
          <w:szCs w:val="24"/>
        </w:rPr>
        <w:t xml:space="preserve">Sawamura M, Takemoto K, Matsuzaki Y, Ukeda H &amp; Kusunose H. 1994. Identification of Two Degradation Products from Aqueous Dehydroascorbic Acid. </w:t>
      </w:r>
      <w:r w:rsidR="008D3C04" w:rsidRPr="00521C39">
        <w:rPr>
          <w:rFonts w:ascii="Times New Roman" w:hAnsi="Times New Roman"/>
          <w:noProof/>
          <w:sz w:val="24"/>
          <w:szCs w:val="24"/>
          <w:lang w:val="es-ES"/>
        </w:rPr>
        <w:t>J</w:t>
      </w:r>
      <w:r w:rsidR="008D3C04">
        <w:rPr>
          <w:rFonts w:ascii="Times New Roman" w:hAnsi="Times New Roman"/>
          <w:noProof/>
          <w:sz w:val="24"/>
          <w:szCs w:val="24"/>
          <w:lang w:val="es-ES"/>
        </w:rPr>
        <w:t>ournal of</w:t>
      </w:r>
      <w:r w:rsidR="008D3C04" w:rsidRPr="00521C39">
        <w:rPr>
          <w:rFonts w:ascii="Times New Roman" w:hAnsi="Times New Roman"/>
          <w:noProof/>
          <w:sz w:val="24"/>
          <w:szCs w:val="24"/>
          <w:lang w:val="es-ES"/>
        </w:rPr>
        <w:t xml:space="preserve"> Agric</w:t>
      </w:r>
      <w:r w:rsidR="008D3C04">
        <w:rPr>
          <w:rFonts w:ascii="Times New Roman" w:hAnsi="Times New Roman"/>
          <w:noProof/>
          <w:sz w:val="24"/>
          <w:szCs w:val="24"/>
          <w:lang w:val="es-ES"/>
        </w:rPr>
        <w:t xml:space="preserve">ultural and </w:t>
      </w:r>
      <w:r w:rsidR="008D3C04" w:rsidRPr="00521C39">
        <w:rPr>
          <w:rFonts w:ascii="Times New Roman" w:hAnsi="Times New Roman"/>
          <w:noProof/>
          <w:sz w:val="24"/>
          <w:szCs w:val="24"/>
          <w:lang w:val="es-ES"/>
        </w:rPr>
        <w:t xml:space="preserve"> Food Chem</w:t>
      </w:r>
      <w:r w:rsidR="008D3C04">
        <w:rPr>
          <w:rFonts w:ascii="Times New Roman" w:hAnsi="Times New Roman"/>
          <w:noProof/>
          <w:sz w:val="24"/>
          <w:szCs w:val="24"/>
          <w:lang w:val="es-ES"/>
        </w:rPr>
        <w:t>istry</w:t>
      </w:r>
      <w:r w:rsidRPr="004341B9">
        <w:rPr>
          <w:rFonts w:ascii="Times New Roman" w:hAnsi="Times New Roman"/>
          <w:noProof/>
          <w:sz w:val="24"/>
          <w:szCs w:val="24"/>
        </w:rPr>
        <w:t xml:space="preserve"> 42(5):1200-1203.</w:t>
      </w:r>
      <w:bookmarkEnd w:id="52"/>
    </w:p>
    <w:p w:rsidR="00D54621" w:rsidRPr="004341B9" w:rsidRDefault="00D54621" w:rsidP="004341B9">
      <w:pPr>
        <w:spacing w:after="100" w:afterAutospacing="1" w:line="240" w:lineRule="auto"/>
        <w:jc w:val="both"/>
        <w:rPr>
          <w:rFonts w:ascii="Times New Roman" w:hAnsi="Times New Roman"/>
          <w:noProof/>
          <w:sz w:val="24"/>
          <w:szCs w:val="24"/>
        </w:rPr>
      </w:pPr>
      <w:bookmarkStart w:id="53" w:name="_ENREF_55"/>
      <w:r w:rsidRPr="004341B9">
        <w:rPr>
          <w:rFonts w:ascii="Times New Roman" w:hAnsi="Times New Roman"/>
          <w:noProof/>
          <w:sz w:val="24"/>
          <w:szCs w:val="24"/>
        </w:rPr>
        <w:t xml:space="preserve">Schonrock U &amp; Kruse I, inventors. 2004. Use of flavones, flavanones and flavonoids for protecting ascorbic acid and/or ascorbyl compounds from oxidation. United States patent EP19990101745 </w:t>
      </w:r>
      <w:bookmarkEnd w:id="53"/>
    </w:p>
    <w:p w:rsidR="00D54621" w:rsidRPr="004341B9" w:rsidRDefault="00D54621" w:rsidP="004341B9">
      <w:pPr>
        <w:spacing w:after="100" w:afterAutospacing="1" w:line="240" w:lineRule="auto"/>
        <w:jc w:val="both"/>
        <w:rPr>
          <w:rFonts w:ascii="Times New Roman" w:hAnsi="Times New Roman"/>
          <w:noProof/>
          <w:sz w:val="24"/>
          <w:szCs w:val="24"/>
        </w:rPr>
      </w:pPr>
      <w:bookmarkStart w:id="54" w:name="_ENREF_56"/>
      <w:r w:rsidRPr="004341B9">
        <w:rPr>
          <w:rFonts w:ascii="Times New Roman" w:hAnsi="Times New Roman"/>
          <w:noProof/>
          <w:sz w:val="24"/>
          <w:szCs w:val="24"/>
        </w:rPr>
        <w:t>Shigueno K &amp; Itoh S. 1988. Use of Mg-L-Ascorbyl-2-Phosphate as a Vitamin C Source in Shrimp Diets. Journal of the world aquaculture society 119(4):168-174.</w:t>
      </w:r>
      <w:bookmarkEnd w:id="54"/>
    </w:p>
    <w:p w:rsidR="00D54621" w:rsidRPr="004341B9" w:rsidRDefault="00D54621" w:rsidP="004341B9">
      <w:pPr>
        <w:spacing w:after="100" w:afterAutospacing="1" w:line="240" w:lineRule="auto"/>
        <w:jc w:val="both"/>
        <w:rPr>
          <w:rFonts w:ascii="Times New Roman" w:hAnsi="Times New Roman"/>
          <w:noProof/>
          <w:sz w:val="24"/>
          <w:szCs w:val="24"/>
        </w:rPr>
      </w:pPr>
      <w:bookmarkStart w:id="55" w:name="_ENREF_57"/>
      <w:r w:rsidRPr="004341B9">
        <w:rPr>
          <w:rFonts w:ascii="Times New Roman" w:hAnsi="Times New Roman"/>
          <w:noProof/>
          <w:sz w:val="24"/>
          <w:szCs w:val="24"/>
        </w:rPr>
        <w:t>Shinoda Y, Murata M, Homma S &amp; Komura H. 2004. Browning and decomposed products of model orange juice. Bioscience, Biotechnology, and Biochemistry 68(3):529-536.</w:t>
      </w:r>
      <w:bookmarkEnd w:id="55"/>
    </w:p>
    <w:p w:rsidR="00D54621" w:rsidRPr="004341B9" w:rsidRDefault="00D54621" w:rsidP="004341B9">
      <w:pPr>
        <w:spacing w:after="100" w:afterAutospacing="1" w:line="240" w:lineRule="auto"/>
        <w:jc w:val="both"/>
        <w:rPr>
          <w:rFonts w:ascii="Times New Roman" w:hAnsi="Times New Roman"/>
          <w:noProof/>
          <w:sz w:val="24"/>
          <w:szCs w:val="24"/>
        </w:rPr>
      </w:pPr>
      <w:bookmarkStart w:id="56" w:name="_ENREF_58"/>
      <w:r w:rsidRPr="004341B9">
        <w:rPr>
          <w:rFonts w:ascii="Times New Roman" w:hAnsi="Times New Roman"/>
          <w:noProof/>
          <w:sz w:val="24"/>
          <w:szCs w:val="24"/>
        </w:rPr>
        <w:lastRenderedPageBreak/>
        <w:t>Shrikhande AJ &amp; Francis FJ. 1974. Effect of flavonols on ascorbic acid and anthocyanin stability in model systems. Journal of Food Science 39(5):904-906.</w:t>
      </w:r>
      <w:bookmarkEnd w:id="56"/>
    </w:p>
    <w:p w:rsidR="00D54621" w:rsidRPr="004341B9" w:rsidRDefault="00D54621" w:rsidP="004341B9">
      <w:pPr>
        <w:spacing w:after="100" w:afterAutospacing="1" w:line="240" w:lineRule="auto"/>
        <w:jc w:val="both"/>
        <w:rPr>
          <w:rFonts w:ascii="Times New Roman" w:hAnsi="Times New Roman"/>
          <w:noProof/>
          <w:sz w:val="24"/>
          <w:szCs w:val="24"/>
        </w:rPr>
      </w:pPr>
      <w:bookmarkStart w:id="57" w:name="_ENREF_59"/>
      <w:r w:rsidRPr="004341B9">
        <w:rPr>
          <w:rFonts w:ascii="Times New Roman" w:hAnsi="Times New Roman"/>
          <w:noProof/>
          <w:sz w:val="24"/>
          <w:szCs w:val="24"/>
        </w:rPr>
        <w:t>Torras MAC, Faura CA, Schonlau F &amp; Rohdewald P. 2005. Antimicrobial activity of pycnogenol. Phytotherapy Research 19(7):647-648.</w:t>
      </w:r>
      <w:bookmarkEnd w:id="57"/>
    </w:p>
    <w:p w:rsidR="00D54621" w:rsidRPr="004341B9" w:rsidRDefault="00D54621" w:rsidP="004341B9">
      <w:pPr>
        <w:spacing w:after="100" w:afterAutospacing="1" w:line="240" w:lineRule="auto"/>
        <w:jc w:val="both"/>
        <w:rPr>
          <w:rFonts w:ascii="Times New Roman" w:hAnsi="Times New Roman"/>
          <w:noProof/>
          <w:sz w:val="24"/>
          <w:szCs w:val="24"/>
        </w:rPr>
      </w:pPr>
      <w:bookmarkStart w:id="58" w:name="_ENREF_60"/>
      <w:r w:rsidRPr="004341B9">
        <w:rPr>
          <w:rFonts w:ascii="Times New Roman" w:hAnsi="Times New Roman"/>
          <w:noProof/>
          <w:sz w:val="24"/>
          <w:szCs w:val="24"/>
        </w:rPr>
        <w:t>Wang XY, Kozempel MG, Hicks KB &amp; Seib PA. 1992. Vitamin C stability during preparation and storage of potato flakes and reconstituted mashed potatoes. Journal of Food Science 57(5):1136-1139.</w:t>
      </w:r>
      <w:bookmarkEnd w:id="58"/>
    </w:p>
    <w:p w:rsidR="00D54621" w:rsidRPr="004341B9" w:rsidRDefault="00D54621" w:rsidP="004341B9">
      <w:pPr>
        <w:spacing w:after="100" w:afterAutospacing="1" w:line="240" w:lineRule="auto"/>
        <w:jc w:val="both"/>
        <w:rPr>
          <w:rFonts w:ascii="Times New Roman" w:hAnsi="Times New Roman"/>
          <w:noProof/>
          <w:sz w:val="24"/>
          <w:szCs w:val="24"/>
        </w:rPr>
      </w:pPr>
      <w:bookmarkStart w:id="59" w:name="_ENREF_61"/>
      <w:r w:rsidRPr="004341B9">
        <w:rPr>
          <w:rFonts w:ascii="Times New Roman" w:hAnsi="Times New Roman"/>
          <w:noProof/>
          <w:sz w:val="24"/>
          <w:szCs w:val="24"/>
        </w:rPr>
        <w:t>Wang XY, Seib PA &amp; Ra KS. 1995. L-Ascorbic acid and its 2-phosphorylated derivatives in selected foods: vitamin C fortification and antioxidant properties. Journal of Food Science 60(6):1295-1300.</w:t>
      </w:r>
      <w:bookmarkEnd w:id="59"/>
    </w:p>
    <w:p w:rsidR="00D54621" w:rsidRPr="004341B9" w:rsidRDefault="00D54621" w:rsidP="004341B9">
      <w:pPr>
        <w:spacing w:after="100" w:afterAutospacing="1" w:line="240" w:lineRule="auto"/>
        <w:jc w:val="both"/>
        <w:rPr>
          <w:rFonts w:ascii="Times New Roman" w:hAnsi="Times New Roman"/>
          <w:noProof/>
          <w:sz w:val="24"/>
          <w:szCs w:val="24"/>
        </w:rPr>
      </w:pPr>
      <w:bookmarkStart w:id="60" w:name="_ENREF_62"/>
      <w:r w:rsidRPr="004341B9">
        <w:rPr>
          <w:rFonts w:ascii="Times New Roman" w:hAnsi="Times New Roman"/>
          <w:noProof/>
          <w:sz w:val="24"/>
          <w:szCs w:val="24"/>
        </w:rPr>
        <w:t>Wedzicha BL. 1984. Chemistry of sulfur dioxide in foods.</w:t>
      </w:r>
      <w:r w:rsidRPr="004341B9">
        <w:rPr>
          <w:rFonts w:ascii="Times New Roman" w:hAnsi="Times New Roman"/>
          <w:i/>
          <w:noProof/>
          <w:sz w:val="24"/>
          <w:szCs w:val="24"/>
        </w:rPr>
        <w:t xml:space="preserve"> </w:t>
      </w:r>
      <w:r w:rsidRPr="004341B9">
        <w:rPr>
          <w:rFonts w:ascii="Times New Roman" w:hAnsi="Times New Roman"/>
          <w:noProof/>
          <w:sz w:val="24"/>
          <w:szCs w:val="24"/>
        </w:rPr>
        <w:t xml:space="preserve">New York: Elsevier Applied Science Publishers </w:t>
      </w:r>
      <w:bookmarkEnd w:id="60"/>
    </w:p>
    <w:p w:rsidR="00D54621" w:rsidRPr="004341B9" w:rsidRDefault="00D54621" w:rsidP="004341B9">
      <w:pPr>
        <w:spacing w:after="100" w:afterAutospacing="1" w:line="240" w:lineRule="auto"/>
        <w:jc w:val="both"/>
        <w:rPr>
          <w:rFonts w:ascii="Times New Roman" w:hAnsi="Times New Roman"/>
          <w:noProof/>
          <w:sz w:val="24"/>
          <w:szCs w:val="24"/>
        </w:rPr>
      </w:pPr>
      <w:bookmarkStart w:id="61" w:name="_ENREF_63"/>
      <w:r w:rsidRPr="004341B9">
        <w:rPr>
          <w:rFonts w:ascii="Times New Roman" w:hAnsi="Times New Roman"/>
          <w:noProof/>
          <w:sz w:val="24"/>
          <w:szCs w:val="24"/>
        </w:rPr>
        <w:t>Wong D. 1989. Mechanism and theory in food chemistry.</w:t>
      </w:r>
      <w:r w:rsidRPr="004341B9">
        <w:rPr>
          <w:rFonts w:ascii="Times New Roman" w:hAnsi="Times New Roman"/>
          <w:i/>
          <w:noProof/>
          <w:sz w:val="24"/>
          <w:szCs w:val="24"/>
        </w:rPr>
        <w:t xml:space="preserve"> </w:t>
      </w:r>
      <w:r w:rsidRPr="004341B9">
        <w:rPr>
          <w:rFonts w:ascii="Times New Roman" w:hAnsi="Times New Roman"/>
          <w:noProof/>
          <w:sz w:val="24"/>
          <w:szCs w:val="24"/>
        </w:rPr>
        <w:t>New York: Van Nostrand Reinhold.</w:t>
      </w:r>
      <w:bookmarkEnd w:id="61"/>
    </w:p>
    <w:p w:rsidR="00D54621" w:rsidRPr="004341B9" w:rsidRDefault="00D54621" w:rsidP="004341B9">
      <w:pPr>
        <w:spacing w:after="100" w:afterAutospacing="1" w:line="240" w:lineRule="auto"/>
        <w:jc w:val="both"/>
        <w:rPr>
          <w:rFonts w:ascii="Times New Roman" w:hAnsi="Times New Roman"/>
          <w:noProof/>
          <w:sz w:val="24"/>
          <w:szCs w:val="24"/>
        </w:rPr>
      </w:pPr>
      <w:bookmarkStart w:id="62" w:name="_ENREF_64"/>
      <w:r w:rsidRPr="004341B9">
        <w:rPr>
          <w:rFonts w:ascii="Times New Roman" w:hAnsi="Times New Roman"/>
          <w:noProof/>
          <w:sz w:val="24"/>
          <w:szCs w:val="24"/>
        </w:rPr>
        <w:t xml:space="preserve">Yuan J-P &amp; Chen F. 1998. Degradation of Ascorbic Acid in Aqueous Solution. </w:t>
      </w:r>
      <w:r w:rsidR="008D3C04" w:rsidRPr="00521C39">
        <w:rPr>
          <w:rFonts w:ascii="Times New Roman" w:hAnsi="Times New Roman"/>
          <w:noProof/>
          <w:sz w:val="24"/>
          <w:szCs w:val="24"/>
          <w:lang w:val="es-ES"/>
        </w:rPr>
        <w:t>J</w:t>
      </w:r>
      <w:r w:rsidR="008D3C04">
        <w:rPr>
          <w:rFonts w:ascii="Times New Roman" w:hAnsi="Times New Roman"/>
          <w:noProof/>
          <w:sz w:val="24"/>
          <w:szCs w:val="24"/>
          <w:lang w:val="es-ES"/>
        </w:rPr>
        <w:t>ournal of</w:t>
      </w:r>
      <w:r w:rsidR="008D3C04" w:rsidRPr="00521C39">
        <w:rPr>
          <w:rFonts w:ascii="Times New Roman" w:hAnsi="Times New Roman"/>
          <w:noProof/>
          <w:sz w:val="24"/>
          <w:szCs w:val="24"/>
          <w:lang w:val="es-ES"/>
        </w:rPr>
        <w:t xml:space="preserve"> Agric</w:t>
      </w:r>
      <w:r w:rsidR="008D3C04">
        <w:rPr>
          <w:rFonts w:ascii="Times New Roman" w:hAnsi="Times New Roman"/>
          <w:noProof/>
          <w:sz w:val="24"/>
          <w:szCs w:val="24"/>
          <w:lang w:val="es-ES"/>
        </w:rPr>
        <w:t xml:space="preserve">ultural and </w:t>
      </w:r>
      <w:r w:rsidR="008D3C04" w:rsidRPr="00521C39">
        <w:rPr>
          <w:rFonts w:ascii="Times New Roman" w:hAnsi="Times New Roman"/>
          <w:noProof/>
          <w:sz w:val="24"/>
          <w:szCs w:val="24"/>
          <w:lang w:val="es-ES"/>
        </w:rPr>
        <w:t xml:space="preserve"> Food Chem</w:t>
      </w:r>
      <w:r w:rsidR="008D3C04">
        <w:rPr>
          <w:rFonts w:ascii="Times New Roman" w:hAnsi="Times New Roman"/>
          <w:noProof/>
          <w:sz w:val="24"/>
          <w:szCs w:val="24"/>
          <w:lang w:val="es-ES"/>
        </w:rPr>
        <w:t>istry</w:t>
      </w:r>
      <w:r w:rsidRPr="004341B9">
        <w:rPr>
          <w:rFonts w:ascii="Times New Roman" w:hAnsi="Times New Roman"/>
          <w:noProof/>
          <w:sz w:val="24"/>
          <w:szCs w:val="24"/>
        </w:rPr>
        <w:t xml:space="preserve"> 46(12):5078-5082.</w:t>
      </w:r>
      <w:bookmarkEnd w:id="62"/>
    </w:p>
    <w:p w:rsidR="00D54621" w:rsidRPr="004341B9" w:rsidRDefault="00D54621" w:rsidP="004341B9">
      <w:pPr>
        <w:spacing w:after="100" w:afterAutospacing="1" w:line="240" w:lineRule="auto"/>
        <w:jc w:val="both"/>
        <w:rPr>
          <w:rFonts w:ascii="Times New Roman" w:hAnsi="Times New Roman" w:cs="Times New Roman"/>
          <w:noProof/>
          <w:sz w:val="24"/>
          <w:szCs w:val="24"/>
        </w:rPr>
      </w:pPr>
    </w:p>
    <w:p w:rsidR="00D54621" w:rsidRPr="004341B9" w:rsidRDefault="00D54621" w:rsidP="004341B9">
      <w:pPr>
        <w:spacing w:after="100" w:afterAutospacing="1" w:line="240" w:lineRule="auto"/>
        <w:jc w:val="both"/>
        <w:rPr>
          <w:rFonts w:ascii="Times New Roman" w:hAnsi="Times New Roman" w:cs="Times New Roman"/>
          <w:sz w:val="24"/>
          <w:szCs w:val="24"/>
        </w:rPr>
      </w:pPr>
    </w:p>
    <w:p w:rsidR="00D54621" w:rsidRDefault="00D54621" w:rsidP="004341B9">
      <w:pPr>
        <w:spacing w:after="100" w:afterAutospacing="1" w:line="240" w:lineRule="auto"/>
        <w:jc w:val="both"/>
        <w:rPr>
          <w:rFonts w:ascii="Times New Roman" w:hAnsi="Times New Roman" w:cs="Times New Roman"/>
          <w:sz w:val="24"/>
          <w:szCs w:val="24"/>
        </w:rPr>
      </w:pPr>
    </w:p>
    <w:p w:rsidR="00264925" w:rsidRDefault="00264925" w:rsidP="004341B9">
      <w:pPr>
        <w:spacing w:after="100" w:afterAutospacing="1" w:line="240" w:lineRule="auto"/>
        <w:jc w:val="both"/>
        <w:rPr>
          <w:rFonts w:ascii="Times New Roman" w:hAnsi="Times New Roman" w:cs="Times New Roman"/>
          <w:sz w:val="24"/>
          <w:szCs w:val="24"/>
        </w:rPr>
      </w:pPr>
    </w:p>
    <w:p w:rsidR="00264925" w:rsidRDefault="00264925" w:rsidP="004341B9">
      <w:pPr>
        <w:spacing w:after="100" w:afterAutospacing="1" w:line="240" w:lineRule="auto"/>
        <w:jc w:val="both"/>
        <w:rPr>
          <w:rFonts w:ascii="Times New Roman" w:hAnsi="Times New Roman" w:cs="Times New Roman"/>
          <w:sz w:val="24"/>
          <w:szCs w:val="24"/>
        </w:rPr>
      </w:pPr>
    </w:p>
    <w:p w:rsidR="00264925" w:rsidRDefault="00264925" w:rsidP="004341B9">
      <w:pPr>
        <w:spacing w:after="100" w:afterAutospacing="1" w:line="240" w:lineRule="auto"/>
        <w:jc w:val="both"/>
        <w:rPr>
          <w:rFonts w:ascii="Times New Roman" w:hAnsi="Times New Roman" w:cs="Times New Roman"/>
          <w:sz w:val="24"/>
          <w:szCs w:val="24"/>
        </w:rPr>
      </w:pPr>
    </w:p>
    <w:p w:rsidR="00264925" w:rsidRDefault="00264925" w:rsidP="004341B9">
      <w:pPr>
        <w:spacing w:after="100" w:afterAutospacing="1" w:line="240" w:lineRule="auto"/>
        <w:jc w:val="both"/>
        <w:rPr>
          <w:rFonts w:ascii="Times New Roman" w:hAnsi="Times New Roman" w:cs="Times New Roman"/>
          <w:sz w:val="24"/>
          <w:szCs w:val="24"/>
        </w:rPr>
      </w:pPr>
    </w:p>
    <w:p w:rsidR="00264925" w:rsidRDefault="00264925" w:rsidP="004341B9">
      <w:pPr>
        <w:spacing w:after="100" w:afterAutospacing="1" w:line="240" w:lineRule="auto"/>
        <w:jc w:val="both"/>
        <w:rPr>
          <w:rFonts w:ascii="Times New Roman" w:hAnsi="Times New Roman" w:cs="Times New Roman"/>
          <w:sz w:val="24"/>
          <w:szCs w:val="24"/>
        </w:rPr>
      </w:pPr>
    </w:p>
    <w:p w:rsidR="00020F05" w:rsidRDefault="00020F05" w:rsidP="004341B9">
      <w:pPr>
        <w:spacing w:after="100" w:afterAutospacing="1" w:line="240" w:lineRule="auto"/>
        <w:jc w:val="both"/>
        <w:rPr>
          <w:rFonts w:ascii="Times New Roman" w:hAnsi="Times New Roman" w:cs="Times New Roman"/>
          <w:sz w:val="24"/>
          <w:szCs w:val="24"/>
        </w:rPr>
      </w:pPr>
    </w:p>
    <w:p w:rsidR="00264925" w:rsidRDefault="00264925" w:rsidP="004341B9">
      <w:pPr>
        <w:spacing w:after="100" w:afterAutospacing="1" w:line="240" w:lineRule="auto"/>
        <w:jc w:val="both"/>
        <w:rPr>
          <w:rFonts w:ascii="Times New Roman" w:hAnsi="Times New Roman" w:cs="Times New Roman"/>
          <w:sz w:val="24"/>
          <w:szCs w:val="24"/>
        </w:rPr>
      </w:pPr>
    </w:p>
    <w:p w:rsidR="00264925" w:rsidRDefault="00264925" w:rsidP="004341B9">
      <w:pPr>
        <w:spacing w:after="100" w:afterAutospacing="1" w:line="240" w:lineRule="auto"/>
        <w:jc w:val="both"/>
        <w:rPr>
          <w:rFonts w:ascii="Times New Roman" w:hAnsi="Times New Roman" w:cs="Times New Roman"/>
          <w:sz w:val="24"/>
          <w:szCs w:val="24"/>
        </w:rPr>
      </w:pPr>
    </w:p>
    <w:p w:rsidR="00264925" w:rsidRDefault="00264925" w:rsidP="004341B9">
      <w:pPr>
        <w:spacing w:after="100" w:afterAutospacing="1" w:line="240" w:lineRule="auto"/>
        <w:jc w:val="both"/>
        <w:rPr>
          <w:rFonts w:ascii="Times New Roman" w:hAnsi="Times New Roman" w:cs="Times New Roman"/>
          <w:sz w:val="24"/>
          <w:szCs w:val="24"/>
        </w:rPr>
      </w:pPr>
    </w:p>
    <w:p w:rsidR="00DC6D09" w:rsidRDefault="00DC6D09" w:rsidP="00DC6D09">
      <w:pPr>
        <w:spacing w:after="0" w:line="360" w:lineRule="auto"/>
        <w:jc w:val="both"/>
        <w:rPr>
          <w:rFonts w:ascii="Times New Roman" w:hAnsi="Times New Roman"/>
          <w:b/>
          <w:sz w:val="24"/>
          <w:szCs w:val="24"/>
        </w:rPr>
      </w:pPr>
      <w:r w:rsidRPr="002E776E">
        <w:rPr>
          <w:rFonts w:ascii="Times New Roman" w:hAnsi="Times New Roman"/>
          <w:b/>
          <w:sz w:val="24"/>
          <w:szCs w:val="24"/>
        </w:rPr>
        <w:lastRenderedPageBreak/>
        <w:t xml:space="preserve">CHAPTER </w:t>
      </w:r>
      <w:r>
        <w:rPr>
          <w:rFonts w:ascii="Times New Roman" w:hAnsi="Times New Roman"/>
          <w:b/>
          <w:sz w:val="24"/>
          <w:szCs w:val="24"/>
        </w:rPr>
        <w:t>3</w:t>
      </w:r>
      <w:r w:rsidRPr="002E776E">
        <w:rPr>
          <w:rFonts w:ascii="Times New Roman" w:hAnsi="Times New Roman"/>
          <w:b/>
          <w:sz w:val="24"/>
          <w:szCs w:val="24"/>
        </w:rPr>
        <w:t>: KINETICS OF NONENZYMATIC BROWNING IN PEACH PUREE DURING STORAGE</w:t>
      </w:r>
    </w:p>
    <w:p w:rsidR="00FB5E34" w:rsidRDefault="00FB5E34" w:rsidP="00DC6D09">
      <w:pPr>
        <w:spacing w:after="0" w:line="360" w:lineRule="auto"/>
        <w:jc w:val="both"/>
        <w:rPr>
          <w:rFonts w:ascii="Times New Roman" w:hAnsi="Times New Roman"/>
          <w:b/>
          <w:sz w:val="24"/>
          <w:szCs w:val="24"/>
        </w:rPr>
      </w:pPr>
    </w:p>
    <w:p w:rsidR="00DC6D09" w:rsidRPr="002E776E" w:rsidRDefault="00DC6D09" w:rsidP="00DC6D09">
      <w:pPr>
        <w:spacing w:after="0" w:line="360" w:lineRule="auto"/>
        <w:jc w:val="both"/>
        <w:rPr>
          <w:rFonts w:ascii="Times New Roman" w:hAnsi="Times New Roman"/>
          <w:b/>
          <w:sz w:val="24"/>
          <w:szCs w:val="24"/>
        </w:rPr>
      </w:pPr>
      <w:r w:rsidRPr="002E776E">
        <w:rPr>
          <w:rFonts w:ascii="Times New Roman" w:hAnsi="Times New Roman"/>
          <w:b/>
          <w:sz w:val="24"/>
          <w:szCs w:val="24"/>
        </w:rPr>
        <w:t>ABSTRACT:</w:t>
      </w:r>
    </w:p>
    <w:p w:rsidR="00DC6D09" w:rsidRPr="002E776E" w:rsidRDefault="00DC6D09" w:rsidP="00DC6D09">
      <w:pPr>
        <w:spacing w:after="0" w:line="360" w:lineRule="auto"/>
        <w:ind w:firstLine="708"/>
        <w:jc w:val="both"/>
        <w:rPr>
          <w:rFonts w:ascii="Times New Roman" w:hAnsi="Times New Roman"/>
          <w:sz w:val="24"/>
          <w:szCs w:val="24"/>
        </w:rPr>
      </w:pPr>
      <w:r w:rsidRPr="002E776E">
        <w:rPr>
          <w:rFonts w:ascii="Times New Roman" w:hAnsi="Times New Roman"/>
          <w:sz w:val="24"/>
          <w:szCs w:val="24"/>
        </w:rPr>
        <w:t xml:space="preserve">Ascorbic acid </w:t>
      </w:r>
      <w:r>
        <w:rPr>
          <w:rFonts w:ascii="Times New Roman" w:hAnsi="Times New Roman"/>
          <w:sz w:val="24"/>
          <w:szCs w:val="24"/>
        </w:rPr>
        <w:t xml:space="preserve">(AA) </w:t>
      </w:r>
      <w:r w:rsidRPr="002E776E">
        <w:rPr>
          <w:rFonts w:ascii="Times New Roman" w:hAnsi="Times New Roman"/>
          <w:sz w:val="24"/>
          <w:szCs w:val="24"/>
        </w:rPr>
        <w:t xml:space="preserve">is often added to foods for its vitamin activity as well as antioxidant and reducing effects.  The effects of ascorbic acid and ascorbyl-2-phosphate </w:t>
      </w:r>
      <w:r>
        <w:rPr>
          <w:rFonts w:ascii="Times New Roman" w:hAnsi="Times New Roman"/>
          <w:sz w:val="24"/>
          <w:szCs w:val="24"/>
        </w:rPr>
        <w:t xml:space="preserve">(A2P) </w:t>
      </w:r>
      <w:r w:rsidRPr="002E776E">
        <w:rPr>
          <w:rFonts w:ascii="Times New Roman" w:hAnsi="Times New Roman"/>
          <w:sz w:val="24"/>
          <w:szCs w:val="24"/>
        </w:rPr>
        <w:t xml:space="preserve">on non-enzymatic browning </w:t>
      </w:r>
      <w:r>
        <w:rPr>
          <w:rFonts w:ascii="Times New Roman" w:hAnsi="Times New Roman"/>
          <w:sz w:val="24"/>
          <w:szCs w:val="24"/>
        </w:rPr>
        <w:t xml:space="preserve">were studied </w:t>
      </w:r>
      <w:r w:rsidRPr="002E776E">
        <w:rPr>
          <w:rFonts w:ascii="Times New Roman" w:hAnsi="Times New Roman"/>
          <w:sz w:val="24"/>
          <w:szCs w:val="24"/>
        </w:rPr>
        <w:t>in a</w:t>
      </w:r>
      <w:r>
        <w:rPr>
          <w:rFonts w:ascii="Times New Roman" w:hAnsi="Times New Roman"/>
          <w:sz w:val="24"/>
          <w:szCs w:val="24"/>
        </w:rPr>
        <w:t xml:space="preserve"> peach puree model system</w:t>
      </w:r>
      <w:r w:rsidRPr="002E776E">
        <w:rPr>
          <w:rFonts w:ascii="Times New Roman" w:hAnsi="Times New Roman"/>
          <w:sz w:val="24"/>
          <w:szCs w:val="24"/>
        </w:rPr>
        <w:t>.</w:t>
      </w:r>
      <w:r>
        <w:rPr>
          <w:rFonts w:ascii="Times New Roman" w:hAnsi="Times New Roman"/>
          <w:sz w:val="24"/>
          <w:szCs w:val="24"/>
        </w:rPr>
        <w:t xml:space="preserve"> </w:t>
      </w:r>
      <w:r w:rsidRPr="002E776E">
        <w:rPr>
          <w:rFonts w:ascii="Times New Roman" w:hAnsi="Times New Roman"/>
          <w:sz w:val="24"/>
          <w:szCs w:val="24"/>
        </w:rPr>
        <w:t xml:space="preserve"> Samples were stored at 40°C, 50°C and 60°C for 29 days under darkness.  Dissolved oxygen, vitamin C concentrations and color (CIE Lab) were measured at different times during storage.  Kinetic models were applied to the vitami</w:t>
      </w:r>
      <w:r>
        <w:rPr>
          <w:rFonts w:ascii="Times New Roman" w:hAnsi="Times New Roman"/>
          <w:sz w:val="24"/>
          <w:szCs w:val="24"/>
        </w:rPr>
        <w:t>n C content and color parameter</w:t>
      </w:r>
      <w:r w:rsidRPr="002E776E">
        <w:rPr>
          <w:rFonts w:ascii="Times New Roman" w:hAnsi="Times New Roman"/>
          <w:sz w:val="24"/>
          <w:szCs w:val="24"/>
        </w:rPr>
        <w:t xml:space="preserve"> (L*, a*, b* and ∆E*) data. </w:t>
      </w:r>
      <w:r>
        <w:rPr>
          <w:rFonts w:ascii="Times New Roman" w:hAnsi="Times New Roman"/>
          <w:sz w:val="24"/>
          <w:szCs w:val="24"/>
        </w:rPr>
        <w:t xml:space="preserve"> Dissolved oxygen in both AA and A2P</w:t>
      </w:r>
      <w:r w:rsidRPr="002E776E">
        <w:rPr>
          <w:rFonts w:ascii="Times New Roman" w:hAnsi="Times New Roman"/>
          <w:sz w:val="24"/>
          <w:szCs w:val="24"/>
        </w:rPr>
        <w:t xml:space="preserve"> samples was consumed immediately.  Kinetic models coul</w:t>
      </w:r>
      <w:r>
        <w:rPr>
          <w:rFonts w:ascii="Times New Roman" w:hAnsi="Times New Roman"/>
          <w:sz w:val="24"/>
          <w:szCs w:val="24"/>
        </w:rPr>
        <w:t>d not be applied successfully for</w:t>
      </w:r>
      <w:r w:rsidRPr="002E776E">
        <w:rPr>
          <w:rFonts w:ascii="Times New Roman" w:hAnsi="Times New Roman"/>
          <w:sz w:val="24"/>
          <w:szCs w:val="24"/>
        </w:rPr>
        <w:t xml:space="preserve"> all color parameters at all t</w:t>
      </w:r>
      <w:r>
        <w:rPr>
          <w:rFonts w:ascii="Times New Roman" w:hAnsi="Times New Roman"/>
          <w:sz w:val="24"/>
          <w:szCs w:val="24"/>
        </w:rPr>
        <w:t>emperatures due to data variability</w:t>
      </w:r>
      <w:r w:rsidRPr="002E776E">
        <w:rPr>
          <w:rFonts w:ascii="Times New Roman" w:hAnsi="Times New Roman"/>
          <w:sz w:val="24"/>
          <w:szCs w:val="24"/>
        </w:rPr>
        <w:t xml:space="preserve">.  The </w:t>
      </w:r>
      <w:r>
        <w:rPr>
          <w:rFonts w:ascii="Times New Roman" w:hAnsi="Times New Roman"/>
          <w:sz w:val="24"/>
          <w:szCs w:val="24"/>
        </w:rPr>
        <w:t>Weibull model fit</w:t>
      </w:r>
      <w:r w:rsidRPr="002E776E">
        <w:rPr>
          <w:rFonts w:ascii="Times New Roman" w:hAnsi="Times New Roman"/>
          <w:sz w:val="24"/>
          <w:szCs w:val="24"/>
        </w:rPr>
        <w:t xml:space="preserve"> the changes in vitamin C</w:t>
      </w:r>
      <w:r>
        <w:rPr>
          <w:rFonts w:ascii="Times New Roman" w:hAnsi="Times New Roman"/>
          <w:sz w:val="24"/>
          <w:szCs w:val="24"/>
        </w:rPr>
        <w:t xml:space="preserve"> better than zero, first or second order models</w:t>
      </w:r>
      <w:r w:rsidRPr="002E776E">
        <w:rPr>
          <w:rFonts w:ascii="Times New Roman" w:hAnsi="Times New Roman"/>
          <w:sz w:val="24"/>
          <w:szCs w:val="24"/>
        </w:rPr>
        <w:t xml:space="preserve">.  At all temperatures, </w:t>
      </w:r>
      <w:r>
        <w:rPr>
          <w:rFonts w:ascii="Times New Roman" w:hAnsi="Times New Roman"/>
          <w:sz w:val="24"/>
          <w:szCs w:val="24"/>
        </w:rPr>
        <w:t xml:space="preserve">the rate constants of vitamin C </w:t>
      </w:r>
      <w:r w:rsidRPr="002E776E">
        <w:rPr>
          <w:rFonts w:ascii="Times New Roman" w:hAnsi="Times New Roman"/>
          <w:sz w:val="24"/>
          <w:szCs w:val="24"/>
        </w:rPr>
        <w:t xml:space="preserve">degradation </w:t>
      </w:r>
      <w:r>
        <w:rPr>
          <w:rFonts w:ascii="Times New Roman" w:hAnsi="Times New Roman"/>
          <w:sz w:val="24"/>
          <w:szCs w:val="24"/>
        </w:rPr>
        <w:t>were higher in the AA</w:t>
      </w:r>
      <w:r w:rsidRPr="002E776E">
        <w:rPr>
          <w:rFonts w:ascii="Times New Roman" w:hAnsi="Times New Roman"/>
          <w:sz w:val="24"/>
          <w:szCs w:val="24"/>
        </w:rPr>
        <w:t xml:space="preserve"> containing samples </w:t>
      </w:r>
      <w:r>
        <w:rPr>
          <w:rFonts w:ascii="Times New Roman" w:hAnsi="Times New Roman"/>
          <w:sz w:val="24"/>
          <w:szCs w:val="24"/>
        </w:rPr>
        <w:t>than in A2P</w:t>
      </w:r>
      <w:r w:rsidRPr="002E776E">
        <w:rPr>
          <w:rFonts w:ascii="Times New Roman" w:hAnsi="Times New Roman"/>
          <w:sz w:val="24"/>
          <w:szCs w:val="24"/>
        </w:rPr>
        <w:t xml:space="preserve">. </w:t>
      </w:r>
      <w:r>
        <w:rPr>
          <w:rFonts w:ascii="Times New Roman" w:hAnsi="Times New Roman"/>
          <w:sz w:val="24"/>
          <w:szCs w:val="24"/>
        </w:rPr>
        <w:t xml:space="preserve"> A2P was hydrolyzed during storage to AA. </w:t>
      </w:r>
    </w:p>
    <w:p w:rsidR="00DC6D09" w:rsidRPr="002E776E" w:rsidRDefault="00DC6D09" w:rsidP="00DC6D09">
      <w:pPr>
        <w:spacing w:after="0" w:line="360" w:lineRule="auto"/>
        <w:jc w:val="both"/>
        <w:rPr>
          <w:rFonts w:ascii="Times New Roman" w:hAnsi="Times New Roman"/>
          <w:b/>
          <w:sz w:val="24"/>
          <w:szCs w:val="24"/>
        </w:rPr>
      </w:pPr>
    </w:p>
    <w:p w:rsidR="00DC6D09" w:rsidRPr="002E776E" w:rsidRDefault="00DC6D09" w:rsidP="00DC6D09">
      <w:pPr>
        <w:spacing w:after="0" w:line="360" w:lineRule="auto"/>
        <w:jc w:val="both"/>
        <w:rPr>
          <w:rFonts w:ascii="Times New Roman" w:hAnsi="Times New Roman"/>
          <w:b/>
          <w:sz w:val="24"/>
          <w:szCs w:val="24"/>
        </w:rPr>
      </w:pPr>
      <w:r w:rsidRPr="002E776E">
        <w:rPr>
          <w:rFonts w:ascii="Times New Roman" w:hAnsi="Times New Roman"/>
          <w:b/>
          <w:sz w:val="24"/>
          <w:szCs w:val="24"/>
        </w:rPr>
        <w:t>KEYWORDS:</w:t>
      </w:r>
    </w:p>
    <w:p w:rsidR="00DC6D09" w:rsidRPr="002E776E" w:rsidRDefault="00DC6D09" w:rsidP="00DC6D09">
      <w:pPr>
        <w:spacing w:after="0" w:line="360" w:lineRule="auto"/>
        <w:jc w:val="both"/>
        <w:rPr>
          <w:rFonts w:ascii="Times New Roman" w:hAnsi="Times New Roman"/>
          <w:sz w:val="24"/>
          <w:szCs w:val="24"/>
        </w:rPr>
      </w:pPr>
      <w:r w:rsidRPr="002E776E">
        <w:rPr>
          <w:rFonts w:ascii="Times New Roman" w:hAnsi="Times New Roman"/>
          <w:sz w:val="24"/>
          <w:szCs w:val="24"/>
        </w:rPr>
        <w:t>Peaches, non-enzymatic browning, ascorbic acid, ascorbyl-2-phosphate, color, kinetics</w:t>
      </w:r>
    </w:p>
    <w:p w:rsidR="00DC6D09" w:rsidRPr="002E776E" w:rsidRDefault="00DC6D09" w:rsidP="00DC6D09">
      <w:pPr>
        <w:spacing w:after="0" w:line="360" w:lineRule="auto"/>
        <w:jc w:val="both"/>
        <w:rPr>
          <w:rFonts w:ascii="Times New Roman" w:hAnsi="Times New Roman"/>
          <w:b/>
          <w:sz w:val="24"/>
          <w:szCs w:val="24"/>
        </w:rPr>
      </w:pPr>
    </w:p>
    <w:p w:rsidR="00DC6D09" w:rsidRPr="002E776E" w:rsidRDefault="00DC6D09" w:rsidP="00DC6D09">
      <w:pPr>
        <w:spacing w:after="0" w:line="360" w:lineRule="auto"/>
        <w:jc w:val="both"/>
        <w:rPr>
          <w:rFonts w:ascii="Times New Roman" w:hAnsi="Times New Roman"/>
          <w:b/>
          <w:sz w:val="24"/>
          <w:szCs w:val="24"/>
        </w:rPr>
      </w:pPr>
    </w:p>
    <w:p w:rsidR="00DC6D09" w:rsidRPr="002E776E" w:rsidRDefault="00DC6D09" w:rsidP="00DC6D09">
      <w:pPr>
        <w:spacing w:after="0" w:line="360" w:lineRule="auto"/>
        <w:rPr>
          <w:rFonts w:ascii="Times New Roman" w:hAnsi="Times New Roman"/>
          <w:b/>
          <w:sz w:val="24"/>
          <w:szCs w:val="24"/>
        </w:rPr>
      </w:pPr>
      <w:r w:rsidRPr="002E776E">
        <w:rPr>
          <w:rFonts w:ascii="Times New Roman" w:hAnsi="Times New Roman"/>
          <w:b/>
          <w:sz w:val="24"/>
          <w:szCs w:val="24"/>
        </w:rPr>
        <w:br w:type="page"/>
      </w:r>
    </w:p>
    <w:p w:rsidR="00DC6D09" w:rsidRPr="002E776E" w:rsidRDefault="00DC6D09" w:rsidP="00DC6D09">
      <w:pPr>
        <w:spacing w:after="0" w:line="360" w:lineRule="auto"/>
        <w:jc w:val="both"/>
        <w:rPr>
          <w:rFonts w:ascii="Times New Roman" w:hAnsi="Times New Roman"/>
          <w:b/>
          <w:sz w:val="24"/>
          <w:szCs w:val="24"/>
        </w:rPr>
      </w:pPr>
      <w:r w:rsidRPr="002E776E">
        <w:rPr>
          <w:rFonts w:ascii="Times New Roman" w:hAnsi="Times New Roman"/>
          <w:b/>
          <w:sz w:val="24"/>
          <w:szCs w:val="24"/>
        </w:rPr>
        <w:lastRenderedPageBreak/>
        <w:t>INTRODUCTION</w:t>
      </w:r>
    </w:p>
    <w:p w:rsidR="00DC6D09" w:rsidRPr="002E776E" w:rsidRDefault="00DC6D09" w:rsidP="00DC6D09">
      <w:pPr>
        <w:spacing w:after="0" w:line="360" w:lineRule="auto"/>
        <w:ind w:firstLine="708"/>
        <w:jc w:val="both"/>
        <w:rPr>
          <w:rFonts w:ascii="Times New Roman" w:hAnsi="Times New Roman"/>
          <w:sz w:val="24"/>
          <w:szCs w:val="24"/>
        </w:rPr>
      </w:pPr>
      <w:r w:rsidRPr="002E776E">
        <w:rPr>
          <w:rFonts w:ascii="Times New Roman" w:hAnsi="Times New Roman"/>
          <w:sz w:val="24"/>
          <w:szCs w:val="24"/>
        </w:rPr>
        <w:t xml:space="preserve">Ascorbic acid (AA) is often used in food processing due to its vitamin activity and chemical properties (reducing agent, antioxidant).  However, due to its low stability, ascorbic acid degradation is common in many foods.  AA degradation involves not only loss of nutrients, but also the appearance of undesirable characteristics, such as non-enzymatic browning.  Research on non-enzymatic browning has been conducted on many different </w:t>
      </w:r>
      <w:r w:rsidRPr="004050A5">
        <w:rPr>
          <w:rFonts w:ascii="Times New Roman" w:hAnsi="Times New Roman"/>
          <w:sz w:val="24"/>
          <w:szCs w:val="24"/>
        </w:rPr>
        <w:t xml:space="preserve">food systems </w:t>
      </w:r>
      <w:r w:rsidRPr="004050A5">
        <w:rPr>
          <w:rFonts w:ascii="Times New Roman" w:hAnsi="Times New Roman"/>
          <w:noProof/>
          <w:sz w:val="24"/>
          <w:szCs w:val="24"/>
        </w:rPr>
        <w:t>(Garza and others 1999; Burdurlu and others 2006; Chutintrasri and Noomhorm 200</w:t>
      </w:r>
      <w:r w:rsidR="00CC7D02">
        <w:rPr>
          <w:rFonts w:ascii="Times New Roman" w:hAnsi="Times New Roman"/>
          <w:noProof/>
          <w:sz w:val="24"/>
          <w:szCs w:val="24"/>
        </w:rPr>
        <w:t>7</w:t>
      </w:r>
      <w:r w:rsidRPr="004050A5">
        <w:rPr>
          <w:rFonts w:ascii="Times New Roman" w:hAnsi="Times New Roman"/>
          <w:noProof/>
          <w:sz w:val="24"/>
          <w:szCs w:val="24"/>
        </w:rPr>
        <w:t>; Roig and others 2000; Lozano and Ibarz 1996)</w:t>
      </w:r>
      <w:r w:rsidRPr="004050A5">
        <w:rPr>
          <w:rFonts w:ascii="Times New Roman" w:hAnsi="Times New Roman"/>
          <w:sz w:val="24"/>
          <w:szCs w:val="24"/>
        </w:rPr>
        <w:t xml:space="preserve">.  Different methods to minimize or retard the formation of browning pigments due to non-enzymatic reactions have been </w:t>
      </w:r>
      <w:r>
        <w:rPr>
          <w:rFonts w:ascii="Times New Roman" w:hAnsi="Times New Roman"/>
          <w:sz w:val="24"/>
          <w:szCs w:val="24"/>
        </w:rPr>
        <w:t>studied</w:t>
      </w:r>
      <w:r w:rsidRPr="004050A5">
        <w:rPr>
          <w:rFonts w:ascii="Times New Roman" w:hAnsi="Times New Roman"/>
          <w:sz w:val="24"/>
          <w:szCs w:val="24"/>
        </w:rPr>
        <w:t>.  Some of these techniques involve the use of chemicals such as thiol compounds, sulfites and maltitol.  Physical methods such as modified-atmosphere packaging have been examined as well</w:t>
      </w:r>
      <w:r w:rsidRPr="002E776E">
        <w:rPr>
          <w:rFonts w:ascii="Times New Roman" w:hAnsi="Times New Roman"/>
          <w:sz w:val="24"/>
          <w:szCs w:val="24"/>
        </w:rPr>
        <w:t xml:space="preserve"> as rapid thermal processing such as microwave heating, ultrasound-assisting thermal processing and pulsed electric field processing for the stabilization of ascorbic acids in foods </w:t>
      </w:r>
      <w:r w:rsidRPr="002E776E">
        <w:rPr>
          <w:rFonts w:ascii="Times New Roman" w:hAnsi="Times New Roman"/>
          <w:noProof/>
          <w:sz w:val="24"/>
          <w:szCs w:val="24"/>
        </w:rPr>
        <w:t>(Hui 2006)</w:t>
      </w:r>
      <w:r w:rsidRPr="002E776E">
        <w:rPr>
          <w:rFonts w:ascii="Times New Roman" w:hAnsi="Times New Roman"/>
          <w:sz w:val="24"/>
          <w:szCs w:val="24"/>
        </w:rPr>
        <w:t xml:space="preserve">. </w:t>
      </w:r>
    </w:p>
    <w:p w:rsidR="00DC6D09" w:rsidRPr="002E776E" w:rsidRDefault="00DC6D09" w:rsidP="00DC6D09">
      <w:pPr>
        <w:spacing w:after="0" w:line="360" w:lineRule="auto"/>
        <w:jc w:val="both"/>
        <w:rPr>
          <w:rFonts w:ascii="Times New Roman" w:hAnsi="Times New Roman"/>
          <w:sz w:val="24"/>
          <w:szCs w:val="24"/>
        </w:rPr>
      </w:pPr>
    </w:p>
    <w:p w:rsidR="00DC6D09" w:rsidRPr="002E776E" w:rsidRDefault="00DC6D09" w:rsidP="00DC6D09">
      <w:pPr>
        <w:spacing w:after="0" w:line="360" w:lineRule="auto"/>
        <w:ind w:firstLine="708"/>
        <w:jc w:val="both"/>
        <w:rPr>
          <w:rFonts w:ascii="Times New Roman" w:hAnsi="Times New Roman"/>
          <w:sz w:val="24"/>
          <w:szCs w:val="24"/>
        </w:rPr>
      </w:pPr>
      <w:r w:rsidRPr="002E776E">
        <w:rPr>
          <w:rFonts w:ascii="Times New Roman" w:hAnsi="Times New Roman"/>
          <w:sz w:val="24"/>
          <w:szCs w:val="24"/>
        </w:rPr>
        <w:t xml:space="preserve">The use of other forms of AA </w:t>
      </w:r>
      <w:r>
        <w:rPr>
          <w:rFonts w:ascii="Times New Roman" w:hAnsi="Times New Roman"/>
          <w:sz w:val="24"/>
          <w:szCs w:val="24"/>
        </w:rPr>
        <w:t xml:space="preserve">that </w:t>
      </w:r>
      <w:r w:rsidRPr="002E776E">
        <w:rPr>
          <w:rFonts w:ascii="Times New Roman" w:hAnsi="Times New Roman"/>
          <w:sz w:val="24"/>
          <w:szCs w:val="24"/>
        </w:rPr>
        <w:t xml:space="preserve"> have substituted groups at carbons 2 and 3 has been proposed as replacement for AA, due to the improved stability of substituted AA forms </w:t>
      </w:r>
      <w:r w:rsidRPr="002E776E">
        <w:rPr>
          <w:rFonts w:ascii="Times New Roman" w:hAnsi="Times New Roman"/>
          <w:noProof/>
          <w:sz w:val="24"/>
          <w:szCs w:val="24"/>
        </w:rPr>
        <w:t>(Iacobucci and Sweeny 1980)</w:t>
      </w:r>
      <w:r w:rsidRPr="002E776E">
        <w:rPr>
          <w:rFonts w:ascii="Times New Roman" w:hAnsi="Times New Roman"/>
          <w:sz w:val="24"/>
          <w:szCs w:val="24"/>
        </w:rPr>
        <w:t xml:space="preserve">.  One of the ascorbic acid derivatives that </w:t>
      </w:r>
      <w:proofErr w:type="gramStart"/>
      <w:r>
        <w:rPr>
          <w:rFonts w:ascii="Times New Roman" w:hAnsi="Times New Roman"/>
          <w:sz w:val="24"/>
          <w:szCs w:val="24"/>
        </w:rPr>
        <w:t>has</w:t>
      </w:r>
      <w:proofErr w:type="gramEnd"/>
      <w:r w:rsidRPr="002E776E">
        <w:rPr>
          <w:rFonts w:ascii="Times New Roman" w:hAnsi="Times New Roman"/>
          <w:sz w:val="24"/>
          <w:szCs w:val="24"/>
        </w:rPr>
        <w:t xml:space="preserve"> been shown to have promising results is ascorbyl-2-phosphate (A2P</w:t>
      </w:r>
      <w:r>
        <w:rPr>
          <w:rFonts w:ascii="Times New Roman" w:hAnsi="Times New Roman"/>
          <w:sz w:val="24"/>
          <w:szCs w:val="24"/>
        </w:rPr>
        <w:t>)</w:t>
      </w:r>
      <w:r w:rsidRPr="002E776E">
        <w:rPr>
          <w:rFonts w:ascii="Times New Roman" w:hAnsi="Times New Roman"/>
          <w:sz w:val="24"/>
          <w:szCs w:val="24"/>
        </w:rPr>
        <w:t xml:space="preserve"> </w:t>
      </w:r>
      <w:r>
        <w:rPr>
          <w:rFonts w:ascii="Times New Roman" w:hAnsi="Times New Roman"/>
          <w:noProof/>
          <w:sz w:val="24"/>
          <w:szCs w:val="24"/>
        </w:rPr>
        <w:t>(O'Keefe 2001)</w:t>
      </w:r>
      <w:r w:rsidRPr="002E776E">
        <w:rPr>
          <w:rFonts w:ascii="Times New Roman" w:hAnsi="Times New Roman"/>
          <w:sz w:val="24"/>
          <w:szCs w:val="24"/>
        </w:rPr>
        <w:t xml:space="preserve">.  For example, ascorbyl-2-monophosphate and ascorbyl-2-polyphosphate had better stability </w:t>
      </w:r>
      <w:r>
        <w:rPr>
          <w:rFonts w:ascii="Times New Roman" w:hAnsi="Times New Roman"/>
          <w:sz w:val="24"/>
          <w:szCs w:val="24"/>
        </w:rPr>
        <w:t xml:space="preserve">than AA </w:t>
      </w:r>
      <w:r w:rsidRPr="002E776E">
        <w:rPr>
          <w:rFonts w:ascii="Times New Roman" w:hAnsi="Times New Roman"/>
          <w:sz w:val="24"/>
          <w:szCs w:val="24"/>
        </w:rPr>
        <w:t xml:space="preserve">in carbonated beverages at 15°C, 25°C and 35°C </w:t>
      </w:r>
      <w:r w:rsidRPr="002E776E">
        <w:rPr>
          <w:rFonts w:ascii="Times New Roman" w:hAnsi="Times New Roman"/>
          <w:noProof/>
          <w:sz w:val="24"/>
          <w:szCs w:val="24"/>
        </w:rPr>
        <w:t>(Wang and others 1992)</w:t>
      </w:r>
      <w:r w:rsidRPr="002E776E">
        <w:rPr>
          <w:rFonts w:ascii="Times New Roman" w:hAnsi="Times New Roman"/>
          <w:sz w:val="24"/>
          <w:szCs w:val="24"/>
        </w:rPr>
        <w:t xml:space="preserve">.  In mashed potatoes after processing and storage, the losses of AA and A2P were 50% and 20%, respectively </w:t>
      </w:r>
      <w:r w:rsidRPr="002E776E">
        <w:rPr>
          <w:rFonts w:ascii="Times New Roman" w:hAnsi="Times New Roman"/>
          <w:noProof/>
          <w:sz w:val="24"/>
          <w:szCs w:val="24"/>
        </w:rPr>
        <w:t>(Wang and others 1995)</w:t>
      </w:r>
      <w:r w:rsidRPr="002E776E">
        <w:rPr>
          <w:rFonts w:ascii="Times New Roman" w:hAnsi="Times New Roman"/>
          <w:sz w:val="24"/>
          <w:szCs w:val="24"/>
        </w:rPr>
        <w:t xml:space="preserve">.  In addition, higher stability of A2P has been shown in cosmetics and aquatic feeds </w:t>
      </w:r>
      <w:r w:rsidRPr="002E776E">
        <w:rPr>
          <w:rFonts w:ascii="Times New Roman" w:hAnsi="Times New Roman"/>
          <w:noProof/>
          <w:sz w:val="24"/>
          <w:szCs w:val="24"/>
        </w:rPr>
        <w:t>(O'Keefe 2001; Austria and others 1997)</w:t>
      </w:r>
      <w:r w:rsidRPr="002E776E">
        <w:rPr>
          <w:rFonts w:ascii="Times New Roman" w:hAnsi="Times New Roman"/>
          <w:sz w:val="24"/>
          <w:szCs w:val="24"/>
        </w:rPr>
        <w:t xml:space="preserve">.  Furthermore, animal studies </w:t>
      </w:r>
      <w:r>
        <w:rPr>
          <w:rFonts w:ascii="Times New Roman" w:hAnsi="Times New Roman"/>
          <w:sz w:val="24"/>
          <w:szCs w:val="24"/>
        </w:rPr>
        <w:t xml:space="preserve">have </w:t>
      </w:r>
      <w:r w:rsidRPr="002E776E">
        <w:rPr>
          <w:rFonts w:ascii="Times New Roman" w:hAnsi="Times New Roman"/>
          <w:sz w:val="24"/>
          <w:szCs w:val="24"/>
        </w:rPr>
        <w:t>show</w:t>
      </w:r>
      <w:r>
        <w:rPr>
          <w:rFonts w:ascii="Times New Roman" w:hAnsi="Times New Roman"/>
          <w:sz w:val="24"/>
          <w:szCs w:val="24"/>
        </w:rPr>
        <w:t>n</w:t>
      </w:r>
      <w:r w:rsidRPr="002E776E">
        <w:rPr>
          <w:rFonts w:ascii="Times New Roman" w:hAnsi="Times New Roman"/>
          <w:sz w:val="24"/>
          <w:szCs w:val="24"/>
        </w:rPr>
        <w:t xml:space="preserve"> that A2P and AA have the same bioavailability </w:t>
      </w:r>
      <w:r w:rsidRPr="002E776E">
        <w:rPr>
          <w:rFonts w:ascii="Times New Roman" w:hAnsi="Times New Roman"/>
          <w:noProof/>
          <w:sz w:val="24"/>
          <w:szCs w:val="24"/>
        </w:rPr>
        <w:t>(O'Keefe 2001)</w:t>
      </w:r>
      <w:r>
        <w:rPr>
          <w:rFonts w:ascii="Times New Roman" w:hAnsi="Times New Roman"/>
          <w:noProof/>
          <w:sz w:val="24"/>
          <w:szCs w:val="24"/>
        </w:rPr>
        <w:t>.</w:t>
      </w:r>
      <w:r w:rsidRPr="002E776E">
        <w:rPr>
          <w:rFonts w:ascii="Times New Roman" w:hAnsi="Times New Roman"/>
          <w:color w:val="FF0000"/>
          <w:sz w:val="24"/>
          <w:szCs w:val="24"/>
        </w:rPr>
        <w:t xml:space="preserve">  </w:t>
      </w:r>
      <w:r w:rsidRPr="002E776E">
        <w:rPr>
          <w:rFonts w:ascii="Times New Roman" w:hAnsi="Times New Roman"/>
          <w:sz w:val="24"/>
          <w:szCs w:val="24"/>
        </w:rPr>
        <w:t xml:space="preserve">Even though A2P still does not have approval for use in foods, additional study is warranted because of its reported higher stability in different food systems. </w:t>
      </w:r>
    </w:p>
    <w:p w:rsidR="00DC6D09" w:rsidRPr="002E776E" w:rsidRDefault="00DC6D09" w:rsidP="00DC6D09">
      <w:pPr>
        <w:spacing w:after="0" w:line="360" w:lineRule="auto"/>
        <w:jc w:val="both"/>
        <w:rPr>
          <w:rFonts w:ascii="Times New Roman" w:hAnsi="Times New Roman"/>
          <w:sz w:val="24"/>
          <w:szCs w:val="24"/>
        </w:rPr>
      </w:pPr>
    </w:p>
    <w:p w:rsidR="00DC6D09" w:rsidRPr="002E776E" w:rsidRDefault="00DC6D09" w:rsidP="00DC6D09">
      <w:pPr>
        <w:spacing w:after="0" w:line="360" w:lineRule="auto"/>
        <w:ind w:firstLine="708"/>
        <w:jc w:val="both"/>
        <w:rPr>
          <w:rFonts w:ascii="Times New Roman" w:hAnsi="Times New Roman"/>
          <w:sz w:val="24"/>
          <w:szCs w:val="24"/>
        </w:rPr>
      </w:pPr>
      <w:r w:rsidRPr="002E776E">
        <w:rPr>
          <w:rFonts w:ascii="Times New Roman" w:hAnsi="Times New Roman"/>
          <w:sz w:val="24"/>
          <w:szCs w:val="24"/>
        </w:rPr>
        <w:t xml:space="preserve">A good approach to study quality aspects of food, such as those involving non-enzymatic browning, is through kinetic models </w:t>
      </w:r>
      <w:r w:rsidRPr="002E776E">
        <w:rPr>
          <w:rFonts w:ascii="Times New Roman" w:hAnsi="Times New Roman"/>
          <w:noProof/>
          <w:sz w:val="24"/>
          <w:szCs w:val="24"/>
        </w:rPr>
        <w:t>(van Boekel 2008)</w:t>
      </w:r>
      <w:r w:rsidRPr="002E776E">
        <w:rPr>
          <w:rFonts w:ascii="Times New Roman" w:hAnsi="Times New Roman"/>
          <w:sz w:val="24"/>
          <w:szCs w:val="24"/>
        </w:rPr>
        <w:t xml:space="preserve">.  In fact, kinetic models in food systems can allow predictions of chemical changes during both processing and storage </w:t>
      </w:r>
      <w:r w:rsidRPr="002E776E">
        <w:rPr>
          <w:rFonts w:ascii="Times New Roman" w:hAnsi="Times New Roman"/>
          <w:noProof/>
          <w:sz w:val="24"/>
          <w:szCs w:val="24"/>
        </w:rPr>
        <w:t>(Van Boekel 1996)</w:t>
      </w:r>
      <w:r>
        <w:rPr>
          <w:rFonts w:ascii="Times New Roman" w:hAnsi="Times New Roman"/>
          <w:sz w:val="24"/>
          <w:szCs w:val="24"/>
        </w:rPr>
        <w:t>.  M</w:t>
      </w:r>
      <w:r w:rsidRPr="002E776E">
        <w:rPr>
          <w:rFonts w:ascii="Times New Roman" w:hAnsi="Times New Roman"/>
          <w:sz w:val="24"/>
          <w:szCs w:val="24"/>
        </w:rPr>
        <w:t>any studies have examined kinet</w:t>
      </w:r>
      <w:r>
        <w:rPr>
          <w:rFonts w:ascii="Times New Roman" w:hAnsi="Times New Roman"/>
          <w:sz w:val="24"/>
          <w:szCs w:val="24"/>
        </w:rPr>
        <w:t>ics of non-enzymatic browning</w:t>
      </w:r>
      <w:r w:rsidRPr="002E776E">
        <w:rPr>
          <w:rFonts w:ascii="Times New Roman" w:hAnsi="Times New Roman"/>
          <w:sz w:val="24"/>
          <w:szCs w:val="24"/>
        </w:rPr>
        <w:t xml:space="preserve"> during heating and </w:t>
      </w:r>
      <w:r w:rsidRPr="002E776E">
        <w:rPr>
          <w:rFonts w:ascii="Times New Roman" w:hAnsi="Times New Roman"/>
          <w:sz w:val="24"/>
          <w:szCs w:val="24"/>
        </w:rPr>
        <w:lastRenderedPageBreak/>
        <w:t xml:space="preserve">storage.  Simple kinetic models such as zero and first order have been applied in the changes of color parameters (L*, a* and b*) as well as in the AA contents </w:t>
      </w:r>
      <w:r>
        <w:rPr>
          <w:rFonts w:ascii="Times New Roman" w:hAnsi="Times New Roman"/>
          <w:noProof/>
          <w:sz w:val="24"/>
          <w:szCs w:val="24"/>
        </w:rPr>
        <w:t>(Chutintrasri and Noomhorm 200</w:t>
      </w:r>
      <w:r w:rsidR="00CC7D02">
        <w:rPr>
          <w:rFonts w:ascii="Times New Roman" w:hAnsi="Times New Roman"/>
          <w:noProof/>
          <w:sz w:val="24"/>
          <w:szCs w:val="24"/>
        </w:rPr>
        <w:t>7</w:t>
      </w:r>
      <w:r>
        <w:rPr>
          <w:rFonts w:ascii="Times New Roman" w:hAnsi="Times New Roman"/>
          <w:noProof/>
          <w:sz w:val="24"/>
          <w:szCs w:val="24"/>
        </w:rPr>
        <w:t>; Burdurlu and others 2006; Garza and others 1999; Buedo and others 2000; Roig and others 2000)</w:t>
      </w:r>
      <w:r w:rsidRPr="002E776E">
        <w:rPr>
          <w:rFonts w:ascii="Times New Roman" w:hAnsi="Times New Roman"/>
          <w:sz w:val="24"/>
          <w:szCs w:val="24"/>
        </w:rPr>
        <w:t xml:space="preserve">.  On the other hand, other research points out that these simple kinetic models do not successfully explain reactions involving non-enzymatic browning </w:t>
      </w:r>
      <w:r>
        <w:rPr>
          <w:rFonts w:ascii="Times New Roman" w:hAnsi="Times New Roman"/>
          <w:noProof/>
          <w:sz w:val="24"/>
          <w:szCs w:val="24"/>
        </w:rPr>
        <w:t>(Garza and others 1999; Manso and others 2001)</w:t>
      </w:r>
      <w:r w:rsidRPr="002E776E">
        <w:rPr>
          <w:rFonts w:ascii="Times New Roman" w:hAnsi="Times New Roman"/>
          <w:sz w:val="24"/>
          <w:szCs w:val="24"/>
        </w:rPr>
        <w:t xml:space="preserve">.  </w:t>
      </w:r>
    </w:p>
    <w:p w:rsidR="00DC6D09" w:rsidRPr="002E776E" w:rsidRDefault="00DC6D09" w:rsidP="00DC6D09">
      <w:pPr>
        <w:spacing w:after="0" w:line="360" w:lineRule="auto"/>
        <w:ind w:firstLine="708"/>
        <w:jc w:val="both"/>
        <w:rPr>
          <w:rFonts w:ascii="Times New Roman" w:hAnsi="Times New Roman"/>
          <w:sz w:val="24"/>
          <w:szCs w:val="24"/>
        </w:rPr>
      </w:pPr>
    </w:p>
    <w:p w:rsidR="00DC6D09" w:rsidRPr="002E776E" w:rsidRDefault="00DC6D09" w:rsidP="00DC6D09">
      <w:pPr>
        <w:spacing w:after="0" w:line="360" w:lineRule="auto"/>
        <w:ind w:firstLine="708"/>
        <w:jc w:val="both"/>
        <w:rPr>
          <w:rFonts w:ascii="Times New Roman" w:hAnsi="Times New Roman"/>
          <w:sz w:val="24"/>
          <w:szCs w:val="24"/>
        </w:rPr>
      </w:pPr>
      <w:r w:rsidRPr="002E776E">
        <w:rPr>
          <w:rFonts w:ascii="Times New Roman" w:hAnsi="Times New Roman"/>
          <w:sz w:val="24"/>
          <w:szCs w:val="24"/>
        </w:rPr>
        <w:t xml:space="preserve">Equations such as the combined and Weibull models have been recommended for application to analysis of non-enzymatic browning kinetics in foods.  The combined model is based on the theory that during non-enzymatic browning, there are two stages associated with color changes.  The first stage is a color formation which follows a zero order kinetic model (reaction 1) and the second stage is a color degradation which follows a first </w:t>
      </w:r>
      <w:r w:rsidR="00AE6912">
        <w:rPr>
          <w:rFonts w:ascii="Times New Roman" w:hAnsi="Times New Roman"/>
          <w:sz w:val="24"/>
          <w:szCs w:val="24"/>
        </w:rPr>
        <w:t xml:space="preserve">order </w:t>
      </w:r>
      <w:r w:rsidRPr="002E776E">
        <w:rPr>
          <w:rFonts w:ascii="Times New Roman" w:hAnsi="Times New Roman"/>
          <w:sz w:val="24"/>
          <w:szCs w:val="24"/>
        </w:rPr>
        <w:t>kinetic model (reaction 2</w:t>
      </w:r>
      <w:r>
        <w:rPr>
          <w:rFonts w:ascii="Times New Roman" w:hAnsi="Times New Roman"/>
          <w:sz w:val="24"/>
          <w:szCs w:val="24"/>
        </w:rPr>
        <w:t>)</w:t>
      </w:r>
      <w:r w:rsidRPr="002E776E">
        <w:rPr>
          <w:rFonts w:ascii="Times New Roman" w:hAnsi="Times New Roman"/>
          <w:sz w:val="24"/>
          <w:szCs w:val="24"/>
        </w:rPr>
        <w:t xml:space="preserve"> </w:t>
      </w:r>
      <w:r>
        <w:rPr>
          <w:rFonts w:ascii="Times New Roman" w:hAnsi="Times New Roman"/>
          <w:noProof/>
          <w:sz w:val="24"/>
          <w:szCs w:val="24"/>
        </w:rPr>
        <w:t>(Ibarz and others 1999)</w:t>
      </w:r>
      <w:r w:rsidRPr="002E776E">
        <w:rPr>
          <w:rFonts w:ascii="Times New Roman" w:hAnsi="Times New Roman"/>
          <w:sz w:val="24"/>
          <w:szCs w:val="24"/>
        </w:rPr>
        <w:t xml:space="preserve">.  Even though reaction 1 is intended to describe color changes due to the maillard reaction, it is possible that that color variations due to AA degradation and browning can also be explained by using the same equation.  In fact, it is known that some intermediates of AA degradation enter the maillard reaction </w:t>
      </w:r>
      <w:r w:rsidRPr="002E776E">
        <w:rPr>
          <w:rFonts w:ascii="Times New Roman" w:hAnsi="Times New Roman"/>
          <w:noProof/>
          <w:sz w:val="24"/>
          <w:szCs w:val="24"/>
        </w:rPr>
        <w:t>(Wong 1989)</w:t>
      </w:r>
      <w:r w:rsidRPr="002E776E">
        <w:rPr>
          <w:rFonts w:ascii="Times New Roman" w:hAnsi="Times New Roman"/>
          <w:sz w:val="24"/>
          <w:szCs w:val="24"/>
        </w:rPr>
        <w:t>.</w:t>
      </w:r>
    </w:p>
    <w:p w:rsidR="00DC6D09" w:rsidRPr="002E776E" w:rsidRDefault="00DC6D09" w:rsidP="00DC6D09">
      <w:pPr>
        <w:spacing w:after="0" w:line="360" w:lineRule="auto"/>
        <w:jc w:val="both"/>
        <w:rPr>
          <w:rFonts w:ascii="Times New Roman" w:hAnsi="Times New Roman"/>
          <w:sz w:val="24"/>
          <w:szCs w:val="24"/>
        </w:rPr>
      </w:pPr>
    </w:p>
    <w:p w:rsidR="00DC6D09" w:rsidRPr="002E776E" w:rsidRDefault="00DC6D09" w:rsidP="00DC6D09">
      <w:pPr>
        <w:tabs>
          <w:tab w:val="left" w:pos="6570"/>
        </w:tabs>
        <w:spacing w:after="0" w:line="360" w:lineRule="auto"/>
        <w:jc w:val="both"/>
        <w:rPr>
          <w:rFonts w:ascii="Times New Roman" w:hAnsi="Times New Roman"/>
          <w:sz w:val="24"/>
          <w:szCs w:val="24"/>
        </w:rPr>
      </w:pPr>
      <m:oMath>
        <m:r>
          <w:rPr>
            <w:rFonts w:ascii="Cambria Math" w:hAnsi="Cambria Math"/>
            <w:sz w:val="24"/>
            <w:szCs w:val="24"/>
          </w:rPr>
          <m:t>Suga</m:t>
        </m:r>
        <m:r>
          <w:rPr>
            <w:rFonts w:ascii="Cambria Math" w:hAnsi="Cambria Math"/>
            <w:sz w:val="24"/>
            <w:szCs w:val="24"/>
          </w:rPr>
          <m:t>rs</m:t>
        </m:r>
        <m:r>
          <w:rPr>
            <w:rFonts w:ascii="Cambria Math" w:hAnsi="Times New Roman"/>
            <w:sz w:val="24"/>
            <w:szCs w:val="24"/>
          </w:rPr>
          <m:t>+</m:t>
        </m:r>
        <m:r>
          <w:rPr>
            <w:rFonts w:ascii="Cambria Math" w:hAnsi="Cambria Math"/>
            <w:sz w:val="24"/>
            <w:szCs w:val="24"/>
          </w:rPr>
          <m:t>Amino</m:t>
        </m:r>
        <m:r>
          <w:rPr>
            <w:rFonts w:ascii="Cambria Math" w:hAnsi="Times New Roman"/>
            <w:sz w:val="24"/>
            <w:szCs w:val="24"/>
          </w:rPr>
          <m:t xml:space="preserve"> </m:t>
        </m:r>
        <m:r>
          <w:rPr>
            <w:rFonts w:ascii="Cambria Math" w:hAnsi="Cambria Math"/>
            <w:sz w:val="24"/>
            <w:szCs w:val="24"/>
          </w:rPr>
          <m:t>acids</m:t>
        </m:r>
        <m:r>
          <w:rPr>
            <w:rFonts w:ascii="Cambria Math" w:hAnsi="Times New Roman"/>
            <w:sz w:val="24"/>
            <w:szCs w:val="24"/>
          </w:rPr>
          <m:t xml:space="preserve"> </m:t>
        </m:r>
        <m:box>
          <m:boxPr>
            <m:opEmu m:val="on"/>
            <m:ctrlPr>
              <w:rPr>
                <w:rFonts w:ascii="Cambria Math" w:hAnsi="Times New Roman"/>
                <w:i/>
                <w:sz w:val="24"/>
                <w:szCs w:val="24"/>
              </w:rPr>
            </m:ctrlPr>
          </m:boxPr>
          <m:e>
            <m:groupChr>
              <m:groupChrPr>
                <m:chr m:val="→"/>
                <m:vertJc m:val="bot"/>
                <m:ctrlPr>
                  <w:rPr>
                    <w:rFonts w:ascii="Cambria Math" w:hAnsi="Times New Roman"/>
                    <w:i/>
                    <w:sz w:val="24"/>
                    <w:szCs w:val="24"/>
                  </w:rPr>
                </m:ctrlPr>
              </m:groupChrPr>
              <m:e>
                <m:sSub>
                  <m:sSubPr>
                    <m:ctrlPr>
                      <w:rPr>
                        <w:rFonts w:ascii="Cambria Math" w:hAnsi="Times New Roman"/>
                        <w:i/>
                        <w:sz w:val="24"/>
                        <w:szCs w:val="24"/>
                      </w:rPr>
                    </m:ctrlPr>
                  </m:sSubPr>
                  <m:e>
                    <m:r>
                      <w:rPr>
                        <w:rFonts w:ascii="Cambria Math" w:hAnsi="Times New Roman"/>
                        <w:sz w:val="24"/>
                        <w:szCs w:val="24"/>
                      </w:rPr>
                      <m:t xml:space="preserve">     </m:t>
                    </m:r>
                    <m:r>
                      <w:rPr>
                        <w:rFonts w:ascii="Cambria Math" w:hAnsi="Cambria Math"/>
                        <w:sz w:val="24"/>
                        <w:szCs w:val="24"/>
                      </w:rPr>
                      <m:t>k</m:t>
                    </m:r>
                  </m:e>
                  <m:sub>
                    <m:r>
                      <w:rPr>
                        <w:rFonts w:ascii="Cambria Math" w:hAnsi="Times New Roman"/>
                        <w:sz w:val="24"/>
                        <w:szCs w:val="24"/>
                      </w:rPr>
                      <m:t>0</m:t>
                    </m:r>
                  </m:sub>
                </m:sSub>
                <m:r>
                  <w:rPr>
                    <w:rFonts w:ascii="Cambria Math" w:hAnsi="Times New Roman"/>
                    <w:sz w:val="24"/>
                    <w:szCs w:val="24"/>
                  </w:rPr>
                  <m:t xml:space="preserve">    </m:t>
                </m:r>
              </m:e>
            </m:groupChr>
          </m:e>
        </m:box>
        <m:r>
          <w:rPr>
            <w:rFonts w:ascii="Cambria Math" w:hAnsi="Cambria Math"/>
            <w:sz w:val="24"/>
            <w:szCs w:val="24"/>
          </w:rPr>
          <m:t>Colored</m:t>
        </m:r>
        <m:r>
          <w:rPr>
            <w:rFonts w:ascii="Cambria Math" w:hAnsi="Times New Roman"/>
            <w:sz w:val="24"/>
            <w:szCs w:val="24"/>
          </w:rPr>
          <m:t xml:space="preserve"> </m:t>
        </m:r>
        <m:r>
          <w:rPr>
            <w:rFonts w:ascii="Cambria Math" w:hAnsi="Cambria Math"/>
            <w:sz w:val="24"/>
            <w:szCs w:val="24"/>
          </w:rPr>
          <m:t>polymers</m:t>
        </m:r>
      </m:oMath>
      <w:r w:rsidRPr="002E776E">
        <w:rPr>
          <w:rFonts w:ascii="Times New Roman" w:hAnsi="Times New Roman"/>
          <w:sz w:val="24"/>
          <w:szCs w:val="24"/>
        </w:rPr>
        <w:t xml:space="preserve">                       </w:t>
      </w:r>
      <w:r w:rsidRPr="002E776E">
        <w:rPr>
          <w:rFonts w:ascii="Times New Roman" w:hAnsi="Times New Roman"/>
          <w:sz w:val="24"/>
          <w:szCs w:val="24"/>
        </w:rPr>
        <w:tab/>
        <w:t>(Reaction 1)</w:t>
      </w:r>
    </w:p>
    <w:p w:rsidR="00DC6D09" w:rsidRPr="002E776E" w:rsidRDefault="00DC6D09" w:rsidP="00DC6D09">
      <w:pPr>
        <w:tabs>
          <w:tab w:val="left" w:pos="6570"/>
        </w:tabs>
        <w:spacing w:after="0" w:line="360" w:lineRule="auto"/>
        <w:jc w:val="both"/>
        <w:rPr>
          <w:rFonts w:ascii="Times New Roman" w:hAnsi="Times New Roman"/>
          <w:sz w:val="24"/>
          <w:szCs w:val="24"/>
        </w:rPr>
      </w:pPr>
      <m:oMath>
        <m:r>
          <w:rPr>
            <w:rFonts w:ascii="Cambria Math" w:hAnsi="Cambria Math"/>
            <w:sz w:val="24"/>
            <w:szCs w:val="24"/>
          </w:rPr>
          <m:t>Pigments</m:t>
        </m:r>
        <m:box>
          <m:boxPr>
            <m:opEmu m:val="on"/>
            <m:ctrlPr>
              <w:rPr>
                <w:rFonts w:ascii="Cambria Math" w:hAnsi="Times New Roman"/>
                <w:i/>
                <w:sz w:val="24"/>
                <w:szCs w:val="24"/>
              </w:rPr>
            </m:ctrlPr>
          </m:boxPr>
          <m:e>
            <m:groupChr>
              <m:groupChrPr>
                <m:chr m:val="→"/>
                <m:vertJc m:val="bot"/>
                <m:ctrlPr>
                  <w:rPr>
                    <w:rFonts w:ascii="Cambria Math" w:hAnsi="Times New Roman"/>
                    <w:i/>
                    <w:sz w:val="24"/>
                    <w:szCs w:val="24"/>
                  </w:rPr>
                </m:ctrlPr>
              </m:groupChrPr>
              <m:e>
                <m:sSub>
                  <m:sSubPr>
                    <m:ctrlPr>
                      <w:rPr>
                        <w:rFonts w:ascii="Cambria Math" w:hAnsi="Times New Roman"/>
                        <w:i/>
                        <w:sz w:val="24"/>
                        <w:szCs w:val="24"/>
                      </w:rPr>
                    </m:ctrlPr>
                  </m:sSubPr>
                  <m:e>
                    <m:r>
                      <w:rPr>
                        <w:rFonts w:ascii="Cambria Math" w:hAnsi="Times New Roman"/>
                        <w:sz w:val="24"/>
                        <w:szCs w:val="24"/>
                      </w:rPr>
                      <m:t xml:space="preserve">    </m:t>
                    </m:r>
                    <m:r>
                      <w:rPr>
                        <w:rFonts w:ascii="Cambria Math" w:hAnsi="Cambria Math"/>
                        <w:sz w:val="24"/>
                        <w:szCs w:val="24"/>
                      </w:rPr>
                      <m:t>k</m:t>
                    </m:r>
                  </m:e>
                  <m:sub>
                    <m:r>
                      <w:rPr>
                        <w:rFonts w:ascii="Cambria Math" w:hAnsi="Times New Roman"/>
                        <w:sz w:val="24"/>
                        <w:szCs w:val="24"/>
                      </w:rPr>
                      <m:t xml:space="preserve">1     </m:t>
                    </m:r>
                  </m:sub>
                </m:sSub>
              </m:e>
            </m:groupChr>
          </m:e>
        </m:box>
        <m:r>
          <w:rPr>
            <w:rFonts w:ascii="Cambria Math" w:hAnsi="Cambria Math"/>
            <w:sz w:val="24"/>
            <w:szCs w:val="24"/>
          </w:rPr>
          <m:t>Non</m:t>
        </m:r>
        <m:r>
          <w:rPr>
            <w:rFonts w:ascii="Cambria Math" w:hAnsi="Times New Roman"/>
            <w:sz w:val="24"/>
            <w:szCs w:val="24"/>
          </w:rPr>
          <m:t xml:space="preserve"> </m:t>
        </m:r>
        <m:r>
          <w:rPr>
            <w:rFonts w:ascii="Cambria Math" w:hAnsi="Cambria Math"/>
            <w:sz w:val="24"/>
            <w:szCs w:val="24"/>
          </w:rPr>
          <m:t>colored</m:t>
        </m:r>
        <m:r>
          <w:rPr>
            <w:rFonts w:ascii="Cambria Math" w:hAnsi="Times New Roman"/>
            <w:sz w:val="24"/>
            <w:szCs w:val="24"/>
          </w:rPr>
          <m:t xml:space="preserve"> </m:t>
        </m:r>
        <m:r>
          <w:rPr>
            <w:rFonts w:ascii="Cambria Math" w:hAnsi="Cambria Math"/>
            <w:sz w:val="24"/>
            <w:szCs w:val="24"/>
          </w:rPr>
          <m:t>products</m:t>
        </m:r>
      </m:oMath>
      <w:r w:rsidRPr="002E776E">
        <w:rPr>
          <w:rFonts w:ascii="Times New Roman" w:hAnsi="Times New Roman"/>
          <w:sz w:val="24"/>
          <w:szCs w:val="24"/>
        </w:rPr>
        <w:t xml:space="preserve">                                      </w:t>
      </w:r>
      <w:r w:rsidRPr="002E776E">
        <w:rPr>
          <w:rFonts w:ascii="Times New Roman" w:hAnsi="Times New Roman"/>
          <w:sz w:val="24"/>
          <w:szCs w:val="24"/>
        </w:rPr>
        <w:tab/>
        <w:t>(Reaction 2)</w:t>
      </w:r>
    </w:p>
    <w:p w:rsidR="00DC6D09" w:rsidRPr="002E776E" w:rsidRDefault="00DC6D09" w:rsidP="00DC6D09">
      <w:pPr>
        <w:spacing w:after="0" w:line="360" w:lineRule="auto"/>
        <w:jc w:val="both"/>
        <w:rPr>
          <w:rFonts w:ascii="Times New Roman" w:hAnsi="Times New Roman"/>
          <w:sz w:val="24"/>
          <w:szCs w:val="24"/>
        </w:rPr>
      </w:pPr>
    </w:p>
    <w:p w:rsidR="00DC6D09" w:rsidRDefault="00DC6D09" w:rsidP="00DC6D09">
      <w:pPr>
        <w:spacing w:after="0" w:line="360" w:lineRule="auto"/>
        <w:ind w:firstLine="708"/>
        <w:jc w:val="both"/>
        <w:rPr>
          <w:rFonts w:ascii="Times New Roman" w:hAnsi="Times New Roman"/>
          <w:sz w:val="24"/>
          <w:szCs w:val="24"/>
        </w:rPr>
      </w:pPr>
      <w:r w:rsidRPr="002E776E">
        <w:rPr>
          <w:rFonts w:ascii="Times New Roman" w:hAnsi="Times New Roman"/>
          <w:sz w:val="24"/>
          <w:szCs w:val="24"/>
        </w:rPr>
        <w:t xml:space="preserve">The Weibull model reportedly fits AA degradation better than zero, first or second order models </w:t>
      </w:r>
      <w:r>
        <w:rPr>
          <w:rFonts w:ascii="Times New Roman" w:hAnsi="Times New Roman"/>
          <w:noProof/>
          <w:sz w:val="24"/>
          <w:szCs w:val="24"/>
        </w:rPr>
        <w:t>(Oms-Oliu and others 2009; Manso and others 2001)</w:t>
      </w:r>
      <w:r w:rsidRPr="002E776E">
        <w:rPr>
          <w:rFonts w:ascii="Times New Roman" w:hAnsi="Times New Roman"/>
          <w:sz w:val="24"/>
          <w:szCs w:val="24"/>
        </w:rPr>
        <w:t xml:space="preserve">.  The Weibull model considers a scale parameter (α) as a time constant (inverse of the rate constant), and a shape parameter (β) as a behavior index </w:t>
      </w:r>
      <w:r w:rsidRPr="002E776E">
        <w:rPr>
          <w:rFonts w:ascii="Times New Roman" w:hAnsi="Times New Roman"/>
          <w:noProof/>
          <w:sz w:val="24"/>
          <w:szCs w:val="24"/>
        </w:rPr>
        <w:t>(Hui 2005)</w:t>
      </w:r>
      <w:r w:rsidRPr="002E776E">
        <w:rPr>
          <w:rFonts w:ascii="Times New Roman" w:hAnsi="Times New Roman"/>
          <w:sz w:val="24"/>
          <w:szCs w:val="24"/>
        </w:rPr>
        <w:t xml:space="preserve">.  Due to the use of α and β, this model is extremely flexible </w:t>
      </w:r>
      <w:r>
        <w:rPr>
          <w:rFonts w:ascii="Times New Roman" w:hAnsi="Times New Roman"/>
          <w:noProof/>
          <w:sz w:val="24"/>
          <w:szCs w:val="24"/>
        </w:rPr>
        <w:t>(Manso and others 2001)</w:t>
      </w:r>
      <w:r w:rsidRPr="002E776E">
        <w:rPr>
          <w:rFonts w:ascii="Times New Roman" w:hAnsi="Times New Roman"/>
          <w:sz w:val="24"/>
          <w:szCs w:val="24"/>
        </w:rPr>
        <w:t>.  No studies have examined these various models in modeling the color and ascorbic acid degradation in a peach puree model system.</w:t>
      </w:r>
    </w:p>
    <w:p w:rsidR="00055C52" w:rsidRPr="002E776E" w:rsidRDefault="00055C52" w:rsidP="00DC6D09">
      <w:pPr>
        <w:spacing w:after="0" w:line="360" w:lineRule="auto"/>
        <w:ind w:firstLine="708"/>
        <w:jc w:val="both"/>
        <w:rPr>
          <w:rFonts w:ascii="Times New Roman" w:hAnsi="Times New Roman"/>
          <w:sz w:val="24"/>
          <w:szCs w:val="24"/>
        </w:rPr>
      </w:pPr>
    </w:p>
    <w:p w:rsidR="00DC6D09" w:rsidRPr="002E776E" w:rsidRDefault="00DC6D09" w:rsidP="00DC6D09">
      <w:pPr>
        <w:spacing w:after="0" w:line="360" w:lineRule="auto"/>
        <w:ind w:firstLine="708"/>
        <w:jc w:val="both"/>
        <w:rPr>
          <w:rFonts w:ascii="Times New Roman" w:hAnsi="Times New Roman"/>
          <w:sz w:val="24"/>
          <w:szCs w:val="24"/>
        </w:rPr>
      </w:pPr>
      <w:r w:rsidRPr="002E776E">
        <w:rPr>
          <w:rFonts w:ascii="Times New Roman" w:hAnsi="Times New Roman"/>
          <w:sz w:val="24"/>
          <w:szCs w:val="24"/>
        </w:rPr>
        <w:t>The objective of this research was to study the stability of A2P during storage at 40°C, 50°C and 60°C in a peach puree model system.  Ascorbic acid, A2P contents</w:t>
      </w:r>
      <w:r>
        <w:rPr>
          <w:rFonts w:ascii="Times New Roman" w:hAnsi="Times New Roman"/>
          <w:sz w:val="24"/>
          <w:szCs w:val="24"/>
        </w:rPr>
        <w:t xml:space="preserve"> and color parame</w:t>
      </w:r>
      <w:r w:rsidRPr="002E776E">
        <w:rPr>
          <w:rFonts w:ascii="Times New Roman" w:hAnsi="Times New Roman"/>
          <w:sz w:val="24"/>
          <w:szCs w:val="24"/>
        </w:rPr>
        <w:t>ters (CIE Lab) were measured at diff</w:t>
      </w:r>
      <w:r>
        <w:rPr>
          <w:rFonts w:ascii="Times New Roman" w:hAnsi="Times New Roman"/>
          <w:sz w:val="24"/>
          <w:szCs w:val="24"/>
        </w:rPr>
        <w:t>erent periods of time during</w:t>
      </w:r>
      <w:r w:rsidRPr="002E776E">
        <w:rPr>
          <w:rFonts w:ascii="Times New Roman" w:hAnsi="Times New Roman"/>
          <w:sz w:val="24"/>
          <w:szCs w:val="24"/>
        </w:rPr>
        <w:t xml:space="preserve"> 29 days of storage. </w:t>
      </w:r>
      <w:r>
        <w:rPr>
          <w:rFonts w:ascii="Times New Roman" w:hAnsi="Times New Roman"/>
          <w:sz w:val="24"/>
          <w:szCs w:val="24"/>
        </w:rPr>
        <w:t xml:space="preserve"> </w:t>
      </w:r>
      <w:r>
        <w:rPr>
          <w:rFonts w:ascii="Times New Roman" w:hAnsi="Times New Roman"/>
          <w:sz w:val="24"/>
          <w:szCs w:val="24"/>
        </w:rPr>
        <w:lastRenderedPageBreak/>
        <w:t>D</w:t>
      </w:r>
      <w:r w:rsidRPr="002E776E">
        <w:rPr>
          <w:rFonts w:ascii="Times New Roman" w:hAnsi="Times New Roman"/>
          <w:sz w:val="24"/>
          <w:szCs w:val="24"/>
        </w:rPr>
        <w:t xml:space="preserve">ifferent models </w:t>
      </w:r>
      <w:r>
        <w:rPr>
          <w:rFonts w:ascii="Times New Roman" w:hAnsi="Times New Roman"/>
          <w:sz w:val="24"/>
          <w:szCs w:val="24"/>
        </w:rPr>
        <w:t xml:space="preserve">were applied </w:t>
      </w:r>
      <w:r w:rsidRPr="002E776E">
        <w:rPr>
          <w:rFonts w:ascii="Times New Roman" w:hAnsi="Times New Roman"/>
          <w:sz w:val="24"/>
          <w:szCs w:val="24"/>
        </w:rPr>
        <w:t xml:space="preserve">to evaluate accuracy of kinetic parameters.  At the same time, we prepared model systems to compare stability of A2P and AA. </w:t>
      </w:r>
    </w:p>
    <w:p w:rsidR="00DC6D09" w:rsidRPr="002E776E" w:rsidRDefault="00DC6D09" w:rsidP="00DC6D09">
      <w:pPr>
        <w:spacing w:after="0" w:line="360" w:lineRule="auto"/>
        <w:jc w:val="both"/>
        <w:rPr>
          <w:rFonts w:ascii="Times New Roman" w:hAnsi="Times New Roman"/>
          <w:b/>
          <w:sz w:val="24"/>
          <w:szCs w:val="24"/>
        </w:rPr>
      </w:pPr>
    </w:p>
    <w:p w:rsidR="00DC6D09" w:rsidRPr="002E776E" w:rsidRDefault="00DC6D09" w:rsidP="00DC6D09">
      <w:pPr>
        <w:spacing w:after="0" w:line="360" w:lineRule="auto"/>
        <w:jc w:val="both"/>
        <w:rPr>
          <w:rFonts w:ascii="Times New Roman" w:hAnsi="Times New Roman"/>
          <w:b/>
          <w:sz w:val="24"/>
          <w:szCs w:val="24"/>
        </w:rPr>
      </w:pPr>
      <w:r w:rsidRPr="002E776E">
        <w:rPr>
          <w:rFonts w:ascii="Times New Roman" w:hAnsi="Times New Roman"/>
          <w:b/>
          <w:sz w:val="24"/>
          <w:szCs w:val="24"/>
        </w:rPr>
        <w:t>MATERIALS AND METHODS:</w:t>
      </w:r>
    </w:p>
    <w:p w:rsidR="00DC6D09" w:rsidRDefault="00DC6D09" w:rsidP="00DC6D09">
      <w:pPr>
        <w:spacing w:after="0" w:line="360" w:lineRule="auto"/>
        <w:ind w:firstLine="708"/>
        <w:jc w:val="both"/>
        <w:rPr>
          <w:rFonts w:ascii="Times New Roman" w:hAnsi="Times New Roman"/>
          <w:sz w:val="24"/>
          <w:szCs w:val="24"/>
        </w:rPr>
      </w:pPr>
      <w:r w:rsidRPr="002E776E">
        <w:rPr>
          <w:rFonts w:ascii="Times New Roman" w:hAnsi="Times New Roman"/>
          <w:sz w:val="24"/>
          <w:szCs w:val="24"/>
        </w:rPr>
        <w:t>Peaches of the flavorich variety were obtained from the Pearson farm (Georgia, USA) in the summer of 2010.  Flavorich is a popular, early, clingstone variety grown widely in the southeastern United States.  The peaches were washed with tap water, peeled and blended for 40 seconds.  Three separate batches of peach puree were prepared.  Each of the batches corresponded to a different treatment.  The first treatment did not have any form of additional vitamin C, while the second and third treatment had 3.98 µmol/g of AA or A2P.  L-ascorbic acid (99%) and ascorbyl-2-phosphate, trisodi</w:t>
      </w:r>
      <w:r>
        <w:rPr>
          <w:rFonts w:ascii="Times New Roman" w:hAnsi="Times New Roman"/>
          <w:sz w:val="24"/>
          <w:szCs w:val="24"/>
        </w:rPr>
        <w:t>um salt, were obtained from Fis</w:t>
      </w:r>
      <w:r w:rsidRPr="002E776E">
        <w:rPr>
          <w:rFonts w:ascii="Times New Roman" w:hAnsi="Times New Roman"/>
          <w:sz w:val="24"/>
          <w:szCs w:val="24"/>
        </w:rPr>
        <w:t>her Scientific (Pittsburgh, PA) and Sigma-Aldrich (St. Louis, MO), respectively.  Both vitamin C forms were first dissolved in 3 milliliters of distilled water, and then they were added to one 200g batch of puree.  The batches were heated at 92°C for 1 min, and the puree of each treatment was placed into vials of 12 ml capacity and filled to the very top leaving no headspace.  Each vial had an O</w:t>
      </w:r>
      <w:r w:rsidRPr="002E776E">
        <w:rPr>
          <w:rFonts w:ascii="Times New Roman" w:hAnsi="Times New Roman"/>
          <w:sz w:val="24"/>
          <w:szCs w:val="24"/>
          <w:vertAlign w:val="subscript"/>
        </w:rPr>
        <w:t>2</w:t>
      </w:r>
      <w:r w:rsidRPr="002E776E">
        <w:rPr>
          <w:rFonts w:ascii="Times New Roman" w:hAnsi="Times New Roman"/>
          <w:sz w:val="24"/>
          <w:szCs w:val="24"/>
        </w:rPr>
        <w:t>xyDot® (©OxySense, Inc., Dallas, Texas) located on the wall of the top ¼ part of the vial in order to measure the dissolved oxygen changes during storage.  The vials were sealed with Teflon-lined silicon septa to prevent evaporation</w:t>
      </w:r>
      <w:r>
        <w:rPr>
          <w:rFonts w:ascii="Times New Roman" w:hAnsi="Times New Roman"/>
          <w:sz w:val="24"/>
          <w:szCs w:val="24"/>
        </w:rPr>
        <w:t xml:space="preserve"> or oxygen ingress</w:t>
      </w:r>
      <w:r w:rsidRPr="002E776E">
        <w:rPr>
          <w:rFonts w:ascii="Times New Roman" w:hAnsi="Times New Roman"/>
          <w:sz w:val="24"/>
          <w:szCs w:val="24"/>
        </w:rPr>
        <w:t xml:space="preserve">.  The samples were stored in darkness at three different temperatures: 40°C, 50°C and 60°C for 29 days.  The analyses were conducted at days 0, 10, 20 and 29.  Three repetitions were prepared for each temperature and treatment. </w:t>
      </w:r>
    </w:p>
    <w:p w:rsidR="00DC6D09" w:rsidRDefault="00DC6D09" w:rsidP="00DC6D09">
      <w:pPr>
        <w:spacing w:after="0" w:line="360" w:lineRule="auto"/>
        <w:ind w:firstLine="708"/>
        <w:jc w:val="both"/>
        <w:rPr>
          <w:rFonts w:ascii="Times New Roman" w:hAnsi="Times New Roman"/>
          <w:sz w:val="24"/>
          <w:szCs w:val="24"/>
        </w:rPr>
      </w:pPr>
    </w:p>
    <w:p w:rsidR="00DC6D09" w:rsidRPr="002E776E" w:rsidRDefault="00DC6D09" w:rsidP="00DC6D09">
      <w:pPr>
        <w:pStyle w:val="ListParagraph"/>
        <w:spacing w:after="0" w:line="360" w:lineRule="auto"/>
        <w:ind w:left="0"/>
        <w:jc w:val="both"/>
        <w:rPr>
          <w:rFonts w:ascii="Times New Roman" w:hAnsi="Times New Roman"/>
          <w:b/>
          <w:sz w:val="24"/>
          <w:szCs w:val="24"/>
        </w:rPr>
      </w:pPr>
      <w:r w:rsidRPr="002E776E">
        <w:rPr>
          <w:rFonts w:ascii="Times New Roman" w:hAnsi="Times New Roman"/>
          <w:b/>
          <w:sz w:val="24"/>
          <w:szCs w:val="24"/>
        </w:rPr>
        <w:t>Dissolved oxygen determination</w:t>
      </w:r>
    </w:p>
    <w:p w:rsidR="00DC6D09" w:rsidRPr="002E776E" w:rsidRDefault="00DC6D09" w:rsidP="00DC6D09">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An OxySense ® 4000B (©OxySense, Inc., Dallas, Texas) non-invasive oxygen analyzer system was used.  All oxygen readings were obtained after the calibration of the equipment with a vial containing 1% of sodium sulfite solution (0% oxygen), and a vial containing some drops of water (21% oxygen).  The readings were obtained as percentage oxygen. </w:t>
      </w:r>
    </w:p>
    <w:p w:rsidR="00DC6D09" w:rsidRDefault="00DC6D09" w:rsidP="00DC6D09">
      <w:pPr>
        <w:pStyle w:val="ListParagraph"/>
        <w:spacing w:after="0" w:line="360" w:lineRule="auto"/>
        <w:ind w:left="0"/>
        <w:jc w:val="both"/>
        <w:rPr>
          <w:rFonts w:ascii="Times New Roman" w:hAnsi="Times New Roman"/>
          <w:b/>
          <w:sz w:val="24"/>
          <w:szCs w:val="24"/>
        </w:rPr>
      </w:pPr>
    </w:p>
    <w:p w:rsidR="00DC6D09" w:rsidRPr="002E776E" w:rsidRDefault="00DC6D09" w:rsidP="00DC6D09">
      <w:pPr>
        <w:pStyle w:val="ListParagraph"/>
        <w:spacing w:after="0" w:line="360" w:lineRule="auto"/>
        <w:ind w:left="0"/>
        <w:jc w:val="both"/>
        <w:rPr>
          <w:rFonts w:ascii="Times New Roman" w:hAnsi="Times New Roman"/>
          <w:b/>
          <w:sz w:val="24"/>
          <w:szCs w:val="24"/>
        </w:rPr>
      </w:pPr>
      <w:r w:rsidRPr="002E776E">
        <w:rPr>
          <w:rFonts w:ascii="Times New Roman" w:hAnsi="Times New Roman"/>
          <w:b/>
          <w:sz w:val="24"/>
          <w:szCs w:val="24"/>
        </w:rPr>
        <w:t>Ascorbic acid determination</w:t>
      </w:r>
    </w:p>
    <w:p w:rsidR="00DC6D09" w:rsidRDefault="00DC6D09" w:rsidP="00DC6D09">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A high performance liquid chromatography (HPLC) procedure based on an earlier report </w:t>
      </w:r>
      <w:r w:rsidRPr="004050A5">
        <w:rPr>
          <w:rFonts w:ascii="Times New Roman" w:hAnsi="Times New Roman"/>
          <w:noProof/>
          <w:sz w:val="24"/>
          <w:szCs w:val="24"/>
        </w:rPr>
        <w:t>(Gokmen and others 2000)</w:t>
      </w:r>
      <w:r w:rsidRPr="004050A5">
        <w:rPr>
          <w:rFonts w:ascii="Times New Roman" w:hAnsi="Times New Roman"/>
          <w:sz w:val="24"/>
          <w:szCs w:val="24"/>
        </w:rPr>
        <w:t xml:space="preserve"> was used to quantify ascorbic acid and ascorbic acid-2-phosphate in </w:t>
      </w:r>
      <w:r w:rsidRPr="004050A5">
        <w:rPr>
          <w:rFonts w:ascii="Times New Roman" w:hAnsi="Times New Roman"/>
          <w:sz w:val="24"/>
          <w:szCs w:val="24"/>
        </w:rPr>
        <w:lastRenderedPageBreak/>
        <w:t xml:space="preserve">peach samples.  </w:t>
      </w:r>
      <w:r>
        <w:rPr>
          <w:rFonts w:ascii="Times New Roman" w:hAnsi="Times New Roman"/>
          <w:sz w:val="24"/>
          <w:szCs w:val="24"/>
        </w:rPr>
        <w:t>Peach puree was</w:t>
      </w:r>
      <w:r w:rsidRPr="004050A5">
        <w:rPr>
          <w:rFonts w:ascii="Times New Roman" w:hAnsi="Times New Roman"/>
          <w:sz w:val="24"/>
          <w:szCs w:val="24"/>
        </w:rPr>
        <w:t xml:space="preserve"> combined with a solution of methaphosphoric acid (5%) in a ratio of 3:1 (product</w:t>
      </w:r>
      <w:proofErr w:type="gramStart"/>
      <w:r w:rsidRPr="004050A5">
        <w:rPr>
          <w:rFonts w:ascii="Times New Roman" w:hAnsi="Times New Roman"/>
          <w:sz w:val="24"/>
          <w:szCs w:val="24"/>
        </w:rPr>
        <w:t>:methaposphoric</w:t>
      </w:r>
      <w:proofErr w:type="gramEnd"/>
      <w:r w:rsidRPr="004050A5">
        <w:rPr>
          <w:rFonts w:ascii="Times New Roman" w:hAnsi="Times New Roman"/>
          <w:sz w:val="24"/>
          <w:szCs w:val="24"/>
        </w:rPr>
        <w:t xml:space="preserve"> acid solution).  This mixture was homogenized for 1.5 minutes using a Virtis homogenizer-Model TP 18/10 (Wilmington, NC) at medium speed.  The homogenized samples were filtered through Whatman No.</w:t>
      </w:r>
      <w:r>
        <w:rPr>
          <w:rFonts w:ascii="Times New Roman" w:hAnsi="Times New Roman"/>
          <w:sz w:val="24"/>
          <w:szCs w:val="24"/>
        </w:rPr>
        <w:t xml:space="preserve"> </w:t>
      </w:r>
      <w:r w:rsidRPr="004050A5">
        <w:rPr>
          <w:rFonts w:ascii="Times New Roman" w:hAnsi="Times New Roman"/>
          <w:sz w:val="24"/>
          <w:szCs w:val="24"/>
        </w:rPr>
        <w:t>4 (</w:t>
      </w:r>
      <w:r>
        <w:rPr>
          <w:rFonts w:ascii="Times New Roman" w:hAnsi="Times New Roman"/>
          <w:sz w:val="24"/>
          <w:szCs w:val="24"/>
        </w:rPr>
        <w:t>Maidstone</w:t>
      </w:r>
      <w:r w:rsidRPr="004050A5">
        <w:rPr>
          <w:rFonts w:ascii="Times New Roman" w:hAnsi="Times New Roman"/>
          <w:sz w:val="24"/>
          <w:szCs w:val="24"/>
        </w:rPr>
        <w:t>, UK) and 0.45 μm filters (Millipore, Massachusetts, USA).  The sam</w:t>
      </w:r>
      <w:r w:rsidRPr="002E776E">
        <w:rPr>
          <w:rFonts w:ascii="Times New Roman" w:hAnsi="Times New Roman"/>
          <w:sz w:val="24"/>
          <w:szCs w:val="24"/>
        </w:rPr>
        <w:t xml:space="preserve">ples were protected from light during filtration.  The clarified samples were analyzed by high performance liquid chromatography (HPLC).  A model 1200 HPLC consisting of degasser, pump, refrigerated autosampler, </w:t>
      </w:r>
      <w:proofErr w:type="gramStart"/>
      <w:r w:rsidRPr="002E776E">
        <w:rPr>
          <w:rFonts w:ascii="Times New Roman" w:hAnsi="Times New Roman"/>
          <w:sz w:val="24"/>
          <w:szCs w:val="24"/>
        </w:rPr>
        <w:t>column</w:t>
      </w:r>
      <w:proofErr w:type="gramEnd"/>
      <w:r w:rsidRPr="002E776E">
        <w:rPr>
          <w:rFonts w:ascii="Times New Roman" w:hAnsi="Times New Roman"/>
          <w:sz w:val="24"/>
          <w:szCs w:val="24"/>
        </w:rPr>
        <w:t xml:space="preserve"> oven and diode array ultraviolet-visible (UV-VIS) detector was obtained from Agilent (Santa Clara CA).  The mobile phase was pH 2.4 20mM aqueous phosphate buffer.  The column (Luna 5μ </w:t>
      </w:r>
      <w:proofErr w:type="gramStart"/>
      <w:r w:rsidRPr="002E776E">
        <w:rPr>
          <w:rFonts w:ascii="Times New Roman" w:hAnsi="Times New Roman"/>
          <w:sz w:val="24"/>
          <w:szCs w:val="24"/>
        </w:rPr>
        <w:t>C18(</w:t>
      </w:r>
      <w:proofErr w:type="gramEnd"/>
      <w:r w:rsidRPr="002E776E">
        <w:rPr>
          <w:rFonts w:ascii="Times New Roman" w:hAnsi="Times New Roman"/>
          <w:sz w:val="24"/>
          <w:szCs w:val="24"/>
        </w:rPr>
        <w:t xml:space="preserve">2) 100Ǻ, 250mm x 4.60mm, i.d.) was obtained from Phenomenex (Torrance CA) and was used at a flow rate was 0.5 ml/min.  The </w:t>
      </w:r>
      <w:r>
        <w:rPr>
          <w:rFonts w:ascii="Times New Roman" w:hAnsi="Times New Roman"/>
          <w:sz w:val="24"/>
          <w:szCs w:val="24"/>
        </w:rPr>
        <w:t>detector was set to 245nm and UV spe</w:t>
      </w:r>
      <w:r w:rsidRPr="002E776E">
        <w:rPr>
          <w:rFonts w:ascii="Times New Roman" w:hAnsi="Times New Roman"/>
          <w:sz w:val="24"/>
          <w:szCs w:val="24"/>
        </w:rPr>
        <w:t xml:space="preserve">ctra from 190-300 NM were recorded.  </w:t>
      </w:r>
    </w:p>
    <w:p w:rsidR="00DC6D09" w:rsidRPr="002E776E" w:rsidRDefault="00DC6D09" w:rsidP="00DC6D09">
      <w:pPr>
        <w:pStyle w:val="ListParagraph"/>
        <w:spacing w:after="0" w:line="360" w:lineRule="auto"/>
        <w:ind w:left="0"/>
        <w:jc w:val="both"/>
        <w:rPr>
          <w:rFonts w:ascii="Times New Roman" w:hAnsi="Times New Roman"/>
          <w:b/>
          <w:sz w:val="24"/>
          <w:szCs w:val="24"/>
        </w:rPr>
      </w:pPr>
    </w:p>
    <w:p w:rsidR="00DC6D09" w:rsidRPr="002E776E" w:rsidRDefault="00DC6D09" w:rsidP="00DC6D09">
      <w:pPr>
        <w:pStyle w:val="ListParagraph"/>
        <w:spacing w:after="0" w:line="360" w:lineRule="auto"/>
        <w:ind w:left="0"/>
        <w:jc w:val="both"/>
        <w:rPr>
          <w:rFonts w:ascii="Times New Roman" w:hAnsi="Times New Roman"/>
          <w:b/>
          <w:sz w:val="24"/>
          <w:szCs w:val="24"/>
        </w:rPr>
      </w:pPr>
      <w:r w:rsidRPr="002E776E">
        <w:rPr>
          <w:rFonts w:ascii="Times New Roman" w:hAnsi="Times New Roman"/>
          <w:b/>
          <w:sz w:val="24"/>
          <w:szCs w:val="24"/>
        </w:rPr>
        <w:t>Colorimetric Analysis</w:t>
      </w:r>
    </w:p>
    <w:p w:rsidR="00DC6D09" w:rsidRDefault="00DC6D09" w:rsidP="00DC6D09">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A Chroma Meter CR-200 tristimulus color analyzer (Minolta, Osaka, Japan) was calibrated with a standard plate (L*: 52.06, a*: 42.13, b*: 19.38) before use.  The color of the vials containing peach puree was obtained after the colorimeter measuring head containing the vial was covered with a cardboard box to avoid stray light effects.  All read</w:t>
      </w:r>
      <w:r>
        <w:rPr>
          <w:rFonts w:ascii="Times New Roman" w:hAnsi="Times New Roman"/>
          <w:sz w:val="24"/>
          <w:szCs w:val="24"/>
        </w:rPr>
        <w:t>ings were obtained in the CIELAB</w:t>
      </w:r>
      <w:r w:rsidRPr="002E776E">
        <w:rPr>
          <w:rFonts w:ascii="Times New Roman" w:hAnsi="Times New Roman"/>
          <w:sz w:val="24"/>
          <w:szCs w:val="24"/>
        </w:rPr>
        <w:t xml:space="preserve"> scale (L*, a*, b*).  The ∆E*</w:t>
      </w:r>
      <w:r w:rsidRPr="002E776E">
        <w:rPr>
          <w:rFonts w:ascii="Times New Roman" w:hAnsi="Times New Roman"/>
          <w:sz w:val="24"/>
          <w:szCs w:val="24"/>
          <w:vertAlign w:val="subscript"/>
        </w:rPr>
        <w:t xml:space="preserve"> </w:t>
      </w:r>
      <w:r w:rsidRPr="002E776E">
        <w:rPr>
          <w:rFonts w:ascii="Times New Roman" w:hAnsi="Times New Roman"/>
          <w:sz w:val="24"/>
          <w:szCs w:val="24"/>
        </w:rPr>
        <w:t>was used to quantify the variation of color throughout the storage</w:t>
      </w:r>
      <w:proofErr w:type="gramStart"/>
      <w:r w:rsidRPr="002E776E">
        <w:rPr>
          <w:rFonts w:ascii="Times New Roman" w:hAnsi="Times New Roman"/>
          <w:sz w:val="24"/>
          <w:szCs w:val="24"/>
        </w:rPr>
        <w:t>;  ∆</w:t>
      </w:r>
      <w:proofErr w:type="gramEnd"/>
      <w:r w:rsidRPr="002E776E">
        <w:rPr>
          <w:rFonts w:ascii="Times New Roman" w:hAnsi="Times New Roman"/>
          <w:sz w:val="24"/>
          <w:szCs w:val="24"/>
        </w:rPr>
        <w:t>E* is defined by the following equation:</w:t>
      </w:r>
    </w:p>
    <w:p w:rsidR="00A52F01" w:rsidRPr="002E776E" w:rsidRDefault="00A52F01" w:rsidP="00DC6D09">
      <w:pPr>
        <w:pStyle w:val="ListParagraph"/>
        <w:spacing w:after="0" w:line="360" w:lineRule="auto"/>
        <w:ind w:left="0" w:firstLine="708"/>
        <w:jc w:val="both"/>
        <w:rPr>
          <w:rFonts w:ascii="Times New Roman" w:hAnsi="Times New Roman"/>
          <w:sz w:val="24"/>
          <w:szCs w:val="24"/>
        </w:rPr>
      </w:pPr>
    </w:p>
    <w:p w:rsidR="00DC6D09" w:rsidRPr="002E776E" w:rsidRDefault="00DC6D09" w:rsidP="00DC6D09">
      <w:pPr>
        <w:pStyle w:val="ListParagraph"/>
        <w:spacing w:after="0" w:line="360" w:lineRule="auto"/>
        <w:ind w:left="0"/>
        <w:jc w:val="center"/>
        <w:rPr>
          <w:rFonts w:ascii="Times New Roman" w:hAnsi="Times New Roman"/>
          <w:sz w:val="24"/>
          <w:szCs w:val="24"/>
          <w:vertAlign w:val="subscript"/>
        </w:rPr>
      </w:pPr>
      <m:oMath>
        <m:r>
          <w:rPr>
            <w:rFonts w:ascii="Cambria Math" w:hAnsi="Cambria Math"/>
            <w:sz w:val="24"/>
            <w:szCs w:val="24"/>
          </w:rPr>
          <m:t>∆</m:t>
        </m:r>
        <m:sSup>
          <m:sSupPr>
            <m:ctrlPr>
              <w:rPr>
                <w:rFonts w:ascii="Cambria Math" w:hAnsi="Times New Roman"/>
                <w:i/>
                <w:sz w:val="24"/>
                <w:szCs w:val="24"/>
              </w:rPr>
            </m:ctrlPr>
          </m:sSupPr>
          <m:e>
            <m:r>
              <w:rPr>
                <w:rFonts w:ascii="Cambria Math" w:hAnsi="Cambria Math"/>
                <w:sz w:val="24"/>
                <w:szCs w:val="24"/>
              </w:rPr>
              <m:t>E</m:t>
            </m:r>
          </m:e>
          <m:sup>
            <m:r>
              <w:rPr>
                <w:rFonts w:ascii="Cambria Math" w:hAnsi="Cambria Math"/>
                <w:sz w:val="24"/>
                <w:szCs w:val="24"/>
              </w:rPr>
              <m:t>*</m:t>
            </m:r>
          </m:sup>
        </m:sSup>
        <m:r>
          <m:rPr>
            <m:sty m:val="p"/>
          </m:rPr>
          <w:rPr>
            <w:rFonts w:ascii="Cambria Math" w:hAnsi="Times New Roman"/>
            <w:sz w:val="24"/>
            <w:szCs w:val="24"/>
            <w:vertAlign w:val="subscript"/>
          </w:rPr>
          <m:t>=</m:t>
        </m:r>
        <m:rad>
          <m:radPr>
            <m:degHide m:val="on"/>
            <m:ctrlPr>
              <w:rPr>
                <w:rFonts w:ascii="Cambria Math" w:hAnsi="Times New Roman"/>
                <w:sz w:val="24"/>
                <w:szCs w:val="24"/>
                <w:vertAlign w:val="subscript"/>
              </w:rPr>
            </m:ctrlPr>
          </m:radPr>
          <m:deg/>
          <m:e>
            <m:d>
              <m:dPr>
                <m:ctrlPr>
                  <w:rPr>
                    <w:rFonts w:ascii="Cambria Math" w:hAnsi="Times New Roman"/>
                    <w:sz w:val="24"/>
                    <w:szCs w:val="24"/>
                    <w:vertAlign w:val="subscript"/>
                  </w:rPr>
                </m:ctrlPr>
              </m:dPr>
              <m:e>
                <m:r>
                  <m:rPr>
                    <m:sty m:val="p"/>
                  </m:rPr>
                  <w:rPr>
                    <w:rFonts w:ascii="Cambria Math" w:hAnsi="Cambria Math"/>
                    <w:sz w:val="24"/>
                    <w:szCs w:val="24"/>
                    <w:vertAlign w:val="subscript"/>
                  </w:rPr>
                  <m:t>∆</m:t>
                </m:r>
                <m:sSup>
                  <m:sSupPr>
                    <m:ctrlPr>
                      <w:rPr>
                        <w:rFonts w:ascii="Cambria Math" w:hAnsi="Times New Roman"/>
                        <w:sz w:val="24"/>
                        <w:szCs w:val="24"/>
                        <w:vertAlign w:val="subscript"/>
                      </w:rPr>
                    </m:ctrlPr>
                  </m:sSupPr>
                  <m:e>
                    <m:r>
                      <m:rPr>
                        <m:sty m:val="p"/>
                      </m:rPr>
                      <w:rPr>
                        <w:rFonts w:ascii="Cambria Math" w:hAnsi="Times New Roman"/>
                        <w:sz w:val="24"/>
                        <w:szCs w:val="24"/>
                        <w:vertAlign w:val="subscript"/>
                      </w:rPr>
                      <m:t>L</m:t>
                    </m:r>
                  </m:e>
                  <m:sup>
                    <m:r>
                      <m:rPr>
                        <m:sty m:val="p"/>
                      </m:rPr>
                      <w:rPr>
                        <w:rFonts w:ascii="Cambria Math" w:hAnsi="Cambria Math"/>
                        <w:sz w:val="24"/>
                        <w:szCs w:val="24"/>
                        <w:vertAlign w:val="subscript"/>
                      </w:rPr>
                      <m:t>*</m:t>
                    </m:r>
                  </m:sup>
                </m:sSup>
              </m:e>
            </m:d>
            <m:r>
              <m:rPr>
                <m:sty m:val="p"/>
              </m:rPr>
              <w:rPr>
                <w:rFonts w:ascii="Cambria Math" w:hAnsi="Times New Roman"/>
                <w:sz w:val="24"/>
                <w:szCs w:val="24"/>
                <w:vertAlign w:val="subscript"/>
              </w:rPr>
              <m:t xml:space="preserve">+ </m:t>
            </m:r>
            <m:d>
              <m:dPr>
                <m:ctrlPr>
                  <w:rPr>
                    <w:rFonts w:ascii="Cambria Math" w:hAnsi="Times New Roman"/>
                    <w:sz w:val="24"/>
                    <w:szCs w:val="24"/>
                    <w:vertAlign w:val="subscript"/>
                  </w:rPr>
                </m:ctrlPr>
              </m:dPr>
              <m:e>
                <m:r>
                  <m:rPr>
                    <m:sty m:val="p"/>
                  </m:rPr>
                  <w:rPr>
                    <w:rFonts w:ascii="Cambria Math" w:hAnsi="Cambria Math"/>
                    <w:sz w:val="24"/>
                    <w:szCs w:val="24"/>
                    <w:vertAlign w:val="subscript"/>
                  </w:rPr>
                  <m:t>∆</m:t>
                </m:r>
                <m:sSup>
                  <m:sSupPr>
                    <m:ctrlPr>
                      <w:rPr>
                        <w:rFonts w:ascii="Cambria Math" w:hAnsi="Times New Roman"/>
                        <w:sz w:val="24"/>
                        <w:szCs w:val="24"/>
                        <w:vertAlign w:val="subscript"/>
                      </w:rPr>
                    </m:ctrlPr>
                  </m:sSupPr>
                  <m:e>
                    <m:r>
                      <m:rPr>
                        <m:sty m:val="p"/>
                      </m:rPr>
                      <w:rPr>
                        <w:rFonts w:ascii="Cambria Math" w:hAnsi="Times New Roman"/>
                        <w:sz w:val="24"/>
                        <w:szCs w:val="24"/>
                        <w:vertAlign w:val="subscript"/>
                      </w:rPr>
                      <m:t>a</m:t>
                    </m:r>
                  </m:e>
                  <m:sup>
                    <m:r>
                      <m:rPr>
                        <m:sty m:val="p"/>
                      </m:rPr>
                      <w:rPr>
                        <w:rFonts w:ascii="Cambria Math" w:hAnsi="Cambria Math"/>
                        <w:sz w:val="24"/>
                        <w:szCs w:val="24"/>
                        <w:vertAlign w:val="subscript"/>
                      </w:rPr>
                      <m:t>*</m:t>
                    </m:r>
                  </m:sup>
                </m:sSup>
              </m:e>
            </m:d>
            <m:r>
              <m:rPr>
                <m:sty m:val="p"/>
              </m:rPr>
              <w:rPr>
                <w:rFonts w:ascii="Cambria Math" w:hAnsi="Times New Roman"/>
                <w:sz w:val="24"/>
                <w:szCs w:val="24"/>
                <w:vertAlign w:val="subscript"/>
              </w:rPr>
              <m:t>+(</m:t>
            </m:r>
            <m:r>
              <m:rPr>
                <m:sty m:val="p"/>
              </m:rPr>
              <w:rPr>
                <w:rFonts w:ascii="Cambria Math" w:hAnsi="Cambria Math"/>
                <w:sz w:val="24"/>
                <w:szCs w:val="24"/>
                <w:vertAlign w:val="subscript"/>
              </w:rPr>
              <m:t>∆</m:t>
            </m:r>
            <m:sSup>
              <m:sSupPr>
                <m:ctrlPr>
                  <w:rPr>
                    <w:rFonts w:ascii="Cambria Math" w:hAnsi="Times New Roman"/>
                    <w:sz w:val="24"/>
                    <w:szCs w:val="24"/>
                    <w:vertAlign w:val="subscript"/>
                  </w:rPr>
                </m:ctrlPr>
              </m:sSupPr>
              <m:e>
                <m:r>
                  <m:rPr>
                    <m:sty m:val="p"/>
                  </m:rPr>
                  <w:rPr>
                    <w:rFonts w:ascii="Cambria Math" w:hAnsi="Times New Roman"/>
                    <w:sz w:val="24"/>
                    <w:szCs w:val="24"/>
                    <w:vertAlign w:val="subscript"/>
                  </w:rPr>
                  <m:t>b</m:t>
                </m:r>
              </m:e>
              <m:sup>
                <m:r>
                  <m:rPr>
                    <m:sty m:val="p"/>
                  </m:rPr>
                  <w:rPr>
                    <w:rFonts w:ascii="Cambria Math" w:hAnsi="Cambria Math"/>
                    <w:sz w:val="24"/>
                    <w:szCs w:val="24"/>
                    <w:vertAlign w:val="subscript"/>
                  </w:rPr>
                  <m:t>*</m:t>
                </m:r>
              </m:sup>
            </m:sSup>
            <m:r>
              <m:rPr>
                <m:sty m:val="p"/>
              </m:rPr>
              <w:rPr>
                <w:rFonts w:ascii="Cambria Math" w:hAnsi="Times New Roman"/>
                <w:sz w:val="24"/>
                <w:szCs w:val="24"/>
                <w:vertAlign w:val="subscript"/>
              </w:rPr>
              <m:t>)</m:t>
            </m:r>
          </m:e>
        </m:rad>
      </m:oMath>
      <w:r w:rsidRPr="002E776E">
        <w:rPr>
          <w:rFonts w:ascii="Times New Roman" w:hAnsi="Times New Roman"/>
          <w:sz w:val="24"/>
          <w:szCs w:val="24"/>
          <w:vertAlign w:val="subscript"/>
        </w:rPr>
        <w:t>.</w:t>
      </w:r>
    </w:p>
    <w:p w:rsidR="00DC6D09" w:rsidRPr="002E776E" w:rsidRDefault="00DC6D09" w:rsidP="00DC6D09">
      <w:pPr>
        <w:pStyle w:val="ListParagraph"/>
        <w:spacing w:after="0" w:line="360" w:lineRule="auto"/>
        <w:ind w:left="0"/>
        <w:jc w:val="both"/>
        <w:rPr>
          <w:rFonts w:ascii="Times New Roman" w:hAnsi="Times New Roman"/>
          <w:sz w:val="24"/>
          <w:szCs w:val="24"/>
          <w:vertAlign w:val="subscript"/>
        </w:rPr>
      </w:pPr>
    </w:p>
    <w:p w:rsidR="00DC6D09" w:rsidRPr="002E776E" w:rsidRDefault="00DC6D09" w:rsidP="00DC6D09">
      <w:pPr>
        <w:pStyle w:val="ListParagraph"/>
        <w:spacing w:after="0" w:line="360" w:lineRule="auto"/>
        <w:ind w:left="0"/>
        <w:jc w:val="both"/>
        <w:rPr>
          <w:rFonts w:ascii="Times New Roman" w:hAnsi="Times New Roman"/>
          <w:b/>
          <w:sz w:val="24"/>
          <w:szCs w:val="24"/>
        </w:rPr>
      </w:pPr>
      <w:proofErr w:type="gramStart"/>
      <w:r w:rsidRPr="002E776E">
        <w:rPr>
          <w:rFonts w:ascii="Times New Roman" w:hAnsi="Times New Roman"/>
          <w:b/>
          <w:sz w:val="24"/>
          <w:szCs w:val="24"/>
        </w:rPr>
        <w:t>pH</w:t>
      </w:r>
      <w:proofErr w:type="gramEnd"/>
      <w:r w:rsidRPr="002E776E">
        <w:rPr>
          <w:rFonts w:ascii="Times New Roman" w:hAnsi="Times New Roman"/>
          <w:b/>
          <w:sz w:val="24"/>
          <w:szCs w:val="24"/>
        </w:rPr>
        <w:t xml:space="preserve"> and °Brix</w:t>
      </w:r>
    </w:p>
    <w:p w:rsidR="00DC6D09" w:rsidRPr="002E776E" w:rsidRDefault="00DC6D09" w:rsidP="00DC6D09">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The pH and °Brix were measured directly from the puree after opening the vials. The pH and °Brix were measured using a potentiometer XL-20 (Fisher Scientific) and an Abbe Mark II </w:t>
      </w:r>
      <w:r>
        <w:rPr>
          <w:rFonts w:ascii="Times New Roman" w:hAnsi="Times New Roman"/>
          <w:sz w:val="24"/>
          <w:szCs w:val="24"/>
        </w:rPr>
        <w:t xml:space="preserve">refractometer </w:t>
      </w:r>
      <w:r w:rsidRPr="002E776E">
        <w:rPr>
          <w:rFonts w:ascii="Times New Roman" w:hAnsi="Times New Roman"/>
          <w:sz w:val="24"/>
          <w:szCs w:val="24"/>
        </w:rPr>
        <w:t>(Reichertai Inc</w:t>
      </w:r>
      <w:proofErr w:type="gramStart"/>
      <w:r w:rsidRPr="002E776E">
        <w:rPr>
          <w:rFonts w:ascii="Times New Roman" w:hAnsi="Times New Roman"/>
          <w:sz w:val="24"/>
          <w:szCs w:val="24"/>
        </w:rPr>
        <w:t>,.</w:t>
      </w:r>
      <w:proofErr w:type="gramEnd"/>
      <w:r w:rsidRPr="002E776E">
        <w:rPr>
          <w:rFonts w:ascii="Times New Roman" w:hAnsi="Times New Roman"/>
          <w:sz w:val="24"/>
          <w:szCs w:val="24"/>
        </w:rPr>
        <w:t xml:space="preserve"> </w:t>
      </w:r>
      <w:proofErr w:type="gramStart"/>
      <w:r w:rsidRPr="002E776E">
        <w:rPr>
          <w:rFonts w:ascii="Times New Roman" w:hAnsi="Times New Roman"/>
          <w:sz w:val="24"/>
          <w:szCs w:val="24"/>
        </w:rPr>
        <w:t>Buffalo, NY), respectively.</w:t>
      </w:r>
      <w:proofErr w:type="gramEnd"/>
      <w:r w:rsidRPr="002E776E">
        <w:rPr>
          <w:rFonts w:ascii="Times New Roman" w:hAnsi="Times New Roman"/>
          <w:sz w:val="24"/>
          <w:szCs w:val="24"/>
        </w:rPr>
        <w:t xml:space="preserve"> </w:t>
      </w:r>
    </w:p>
    <w:p w:rsidR="00DC6D09" w:rsidRPr="00A52F01" w:rsidRDefault="00DC6D09" w:rsidP="00DC6D09">
      <w:pPr>
        <w:pStyle w:val="ListParagraph"/>
        <w:spacing w:after="0" w:line="360" w:lineRule="auto"/>
        <w:ind w:left="0" w:firstLine="708"/>
        <w:jc w:val="both"/>
        <w:rPr>
          <w:rFonts w:ascii="Times New Roman" w:hAnsi="Times New Roman"/>
          <w:b/>
          <w:sz w:val="28"/>
          <w:szCs w:val="28"/>
        </w:rPr>
      </w:pPr>
    </w:p>
    <w:p w:rsidR="00DC6D09" w:rsidRPr="002E776E" w:rsidRDefault="00814929" w:rsidP="00DC6D09">
      <w:pPr>
        <w:pStyle w:val="ListParagraph"/>
        <w:spacing w:after="0" w:line="360" w:lineRule="auto"/>
        <w:ind w:left="0"/>
        <w:jc w:val="both"/>
        <w:rPr>
          <w:rFonts w:ascii="Times New Roman" w:hAnsi="Times New Roman"/>
          <w:b/>
          <w:sz w:val="24"/>
          <w:szCs w:val="24"/>
        </w:rPr>
      </w:pPr>
      <w:r>
        <w:rPr>
          <w:rFonts w:ascii="Times New Roman" w:hAnsi="Times New Roman"/>
          <w:b/>
          <w:sz w:val="24"/>
          <w:szCs w:val="24"/>
        </w:rPr>
        <w:t>Statistical analysis</w:t>
      </w:r>
    </w:p>
    <w:p w:rsidR="00DC6D09" w:rsidRPr="002E776E" w:rsidRDefault="00DC6D09" w:rsidP="00DC6D09">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The kinetic par</w:t>
      </w:r>
      <w:r>
        <w:rPr>
          <w:rFonts w:ascii="Times New Roman" w:hAnsi="Times New Roman"/>
          <w:sz w:val="24"/>
          <w:szCs w:val="24"/>
        </w:rPr>
        <w:t>ameters were obtained by a two-</w:t>
      </w:r>
      <w:r w:rsidRPr="002E776E">
        <w:rPr>
          <w:rFonts w:ascii="Times New Roman" w:hAnsi="Times New Roman"/>
          <w:sz w:val="24"/>
          <w:szCs w:val="24"/>
        </w:rPr>
        <w:t xml:space="preserve">step regression method </w:t>
      </w:r>
      <w:r w:rsidRPr="002E776E">
        <w:rPr>
          <w:rFonts w:ascii="Times New Roman" w:hAnsi="Times New Roman"/>
          <w:noProof/>
          <w:sz w:val="24"/>
          <w:szCs w:val="24"/>
        </w:rPr>
        <w:t>(Arabshahi and Lund 1985)</w:t>
      </w:r>
      <w:r w:rsidRPr="002E776E">
        <w:rPr>
          <w:rFonts w:ascii="Times New Roman" w:hAnsi="Times New Roman"/>
          <w:sz w:val="24"/>
          <w:szCs w:val="24"/>
        </w:rPr>
        <w:t>.  In the first and second step regressions, rate constants (</w:t>
      </w:r>
      <w:r w:rsidRPr="002E776E">
        <w:rPr>
          <w:rFonts w:ascii="Times New Roman" w:hAnsi="Times New Roman"/>
          <w:i/>
          <w:sz w:val="24"/>
          <w:szCs w:val="24"/>
        </w:rPr>
        <w:t>k</w:t>
      </w:r>
      <w:r w:rsidRPr="002E776E">
        <w:rPr>
          <w:rFonts w:ascii="Times New Roman" w:hAnsi="Times New Roman"/>
          <w:sz w:val="24"/>
          <w:szCs w:val="24"/>
        </w:rPr>
        <w:t xml:space="preserve">) and the energy of </w:t>
      </w:r>
      <w:r w:rsidRPr="002E776E">
        <w:rPr>
          <w:rFonts w:ascii="Times New Roman" w:hAnsi="Times New Roman"/>
          <w:sz w:val="24"/>
          <w:szCs w:val="24"/>
        </w:rPr>
        <w:lastRenderedPageBreak/>
        <w:t>activations (E</w:t>
      </w:r>
      <w:r w:rsidRPr="002E776E">
        <w:rPr>
          <w:rFonts w:ascii="Times New Roman" w:hAnsi="Times New Roman"/>
          <w:sz w:val="24"/>
          <w:szCs w:val="24"/>
          <w:vertAlign w:val="subscript"/>
        </w:rPr>
        <w:t>a</w:t>
      </w:r>
      <w:r w:rsidRPr="002E776E">
        <w:rPr>
          <w:rFonts w:ascii="Times New Roman" w:hAnsi="Times New Roman"/>
          <w:sz w:val="24"/>
          <w:szCs w:val="24"/>
        </w:rPr>
        <w:t xml:space="preserve">) were calculated, respectively.  The color parameters were evaluated through equations (1), (2), (3) and (4).  In the case of ∆E*, instead of equation (4), we applied equation (5) because in this parameter, ∆E* at day 0 is zero </w:t>
      </w:r>
      <w:r>
        <w:rPr>
          <w:rFonts w:ascii="Times New Roman" w:hAnsi="Times New Roman"/>
          <w:noProof/>
          <w:sz w:val="24"/>
          <w:szCs w:val="24"/>
        </w:rPr>
        <w:t>(Ibarz and others 1999)</w:t>
      </w:r>
      <w:r w:rsidRPr="002E776E">
        <w:rPr>
          <w:rFonts w:ascii="Times New Roman" w:hAnsi="Times New Roman"/>
          <w:sz w:val="24"/>
          <w:szCs w:val="24"/>
        </w:rPr>
        <w:t xml:space="preserve">.  </w:t>
      </w:r>
      <w:r>
        <w:rPr>
          <w:rFonts w:ascii="Times New Roman" w:hAnsi="Times New Roman"/>
          <w:sz w:val="24"/>
          <w:szCs w:val="24"/>
        </w:rPr>
        <w:t>For</w:t>
      </w:r>
      <w:r w:rsidRPr="002E776E">
        <w:rPr>
          <w:rFonts w:ascii="Times New Roman" w:hAnsi="Times New Roman"/>
          <w:sz w:val="24"/>
          <w:szCs w:val="24"/>
        </w:rPr>
        <w:t xml:space="preserve"> the </w:t>
      </w:r>
      <w:r w:rsidRPr="002E776E">
        <w:rPr>
          <w:rFonts w:ascii="Times New Roman" w:hAnsi="Times New Roman"/>
          <w:i/>
          <w:sz w:val="24"/>
          <w:szCs w:val="24"/>
        </w:rPr>
        <w:t>k</w:t>
      </w:r>
      <w:r w:rsidRPr="002E776E">
        <w:rPr>
          <w:rFonts w:ascii="Times New Roman" w:hAnsi="Times New Roman"/>
          <w:sz w:val="24"/>
          <w:szCs w:val="24"/>
        </w:rPr>
        <w:t xml:space="preserve"> values of the vitamin C degradation, the data collected were fitted in the equations (1), (2), (3) and (6).  The best kinetic model was chosen after comparison of the coefficient of determination (R</w:t>
      </w:r>
      <w:r w:rsidRPr="002E776E">
        <w:rPr>
          <w:rFonts w:ascii="Times New Roman" w:hAnsi="Times New Roman"/>
          <w:sz w:val="24"/>
          <w:szCs w:val="24"/>
          <w:vertAlign w:val="superscript"/>
        </w:rPr>
        <w:t>2</w:t>
      </w:r>
      <w:r w:rsidRPr="002E776E">
        <w:rPr>
          <w:rFonts w:ascii="Times New Roman" w:hAnsi="Times New Roman"/>
          <w:sz w:val="24"/>
          <w:szCs w:val="24"/>
        </w:rPr>
        <w:t>), root mean square error (RMSE) and visual examination of distribution of residuals and plot of the data.  The E</w:t>
      </w:r>
      <w:r w:rsidRPr="002E776E">
        <w:rPr>
          <w:rFonts w:ascii="Times New Roman" w:hAnsi="Times New Roman"/>
          <w:sz w:val="24"/>
          <w:szCs w:val="24"/>
          <w:vertAlign w:val="subscript"/>
        </w:rPr>
        <w:t>a</w:t>
      </w:r>
      <w:r w:rsidRPr="002E776E">
        <w:rPr>
          <w:rFonts w:ascii="Times New Roman" w:hAnsi="Times New Roman"/>
          <w:sz w:val="24"/>
          <w:szCs w:val="24"/>
        </w:rPr>
        <w:t xml:space="preserve"> was obtained from a second regression using the Arrhenius model showed in equation (7). </w:t>
      </w:r>
    </w:p>
    <w:p w:rsidR="0086000C" w:rsidRDefault="0086000C" w:rsidP="00DC6D09">
      <w:pPr>
        <w:spacing w:after="0" w:line="360" w:lineRule="auto"/>
        <w:jc w:val="both"/>
        <w:rPr>
          <w:rFonts w:ascii="Times New Roman" w:hAnsi="Times New Roman"/>
          <w:sz w:val="24"/>
          <w:szCs w:val="24"/>
        </w:rPr>
      </w:pPr>
    </w:p>
    <w:p w:rsidR="00DC6D09" w:rsidRPr="002E776E" w:rsidRDefault="00DC6D09" w:rsidP="00DC6D09">
      <w:pPr>
        <w:spacing w:after="0" w:line="360" w:lineRule="auto"/>
        <w:jc w:val="both"/>
        <w:rPr>
          <w:rFonts w:ascii="Times New Roman" w:hAnsi="Times New Roman"/>
          <w:sz w:val="24"/>
          <w:szCs w:val="24"/>
        </w:rPr>
      </w:pPr>
      <w:r w:rsidRPr="002E776E">
        <w:rPr>
          <w:rFonts w:ascii="Times New Roman" w:hAnsi="Times New Roman"/>
          <w:sz w:val="24"/>
          <w:szCs w:val="24"/>
        </w:rPr>
        <w:t>Zero order (eq. 1):</w:t>
      </w:r>
    </w:p>
    <w:p w:rsidR="00DC6D09" w:rsidRPr="002E776E" w:rsidRDefault="00DC6D09" w:rsidP="00DC6D09">
      <w:pPr>
        <w:pStyle w:val="ListParagraph"/>
        <w:spacing w:after="0" w:line="360" w:lineRule="auto"/>
        <w:ind w:left="0"/>
        <w:jc w:val="center"/>
        <w:rPr>
          <w:rFonts w:ascii="Times New Roman" w:hAnsi="Times New Roman"/>
          <w:sz w:val="24"/>
          <w:szCs w:val="24"/>
        </w:rPr>
      </w:pPr>
      <m:oMath>
        <m:r>
          <w:rPr>
            <w:rFonts w:ascii="Cambria Math" w:hAnsi="Cambria Math"/>
            <w:sz w:val="24"/>
            <w:szCs w:val="24"/>
          </w:rPr>
          <m:t>C</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C</m:t>
            </m:r>
          </m:e>
          <m:sub>
            <m:r>
              <w:rPr>
                <w:rFonts w:ascii="Cambria Math" w:hAnsi="Times New Roman"/>
                <w:sz w:val="24"/>
                <w:szCs w:val="24"/>
              </w:rPr>
              <m:t>0</m:t>
            </m:r>
          </m:sub>
        </m:sSub>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0</m:t>
            </m:r>
          </m:sub>
        </m:sSub>
        <m:r>
          <w:rPr>
            <w:rFonts w:ascii="Cambria Math" w:hAnsi="Cambria Math"/>
            <w:sz w:val="24"/>
            <w:szCs w:val="24"/>
          </w:rPr>
          <m:t>t</m:t>
        </m:r>
      </m:oMath>
      <w:r w:rsidRPr="002E776E">
        <w:rPr>
          <w:rFonts w:ascii="Times New Roman" w:hAnsi="Times New Roman"/>
          <w:sz w:val="24"/>
          <w:szCs w:val="24"/>
        </w:rPr>
        <w:t xml:space="preserve">  </w:t>
      </w:r>
    </w:p>
    <w:p w:rsidR="00DC6D09" w:rsidRPr="002E776E" w:rsidRDefault="00DC6D09" w:rsidP="00DC6D09">
      <w:pPr>
        <w:spacing w:after="0" w:line="360" w:lineRule="auto"/>
        <w:jc w:val="both"/>
        <w:rPr>
          <w:rFonts w:ascii="Times New Roman" w:hAnsi="Times New Roman"/>
          <w:sz w:val="24"/>
          <w:szCs w:val="24"/>
        </w:rPr>
      </w:pPr>
      <w:r w:rsidRPr="002E776E">
        <w:rPr>
          <w:rFonts w:ascii="Times New Roman" w:hAnsi="Times New Roman"/>
          <w:sz w:val="24"/>
          <w:szCs w:val="24"/>
        </w:rPr>
        <w:t>First order (eq. 2):</w:t>
      </w:r>
    </w:p>
    <w:p w:rsidR="00DC6D09" w:rsidRPr="002E776E" w:rsidRDefault="00DC6D09" w:rsidP="00DC6D09">
      <w:pPr>
        <w:pStyle w:val="ListParagraph"/>
        <w:spacing w:after="0" w:line="360" w:lineRule="auto"/>
        <w:jc w:val="both"/>
        <w:rPr>
          <w:rFonts w:ascii="Times New Roman" w:hAnsi="Times New Roman"/>
          <w:sz w:val="24"/>
          <w:szCs w:val="24"/>
        </w:rPr>
      </w:pPr>
      <m:oMathPara>
        <m:oMath>
          <m:r>
            <w:rPr>
              <w:rFonts w:ascii="Cambria Math" w:hAnsi="Cambria Math"/>
              <w:sz w:val="24"/>
              <w:szCs w:val="24"/>
            </w:rPr>
            <m:t>C</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C</m:t>
              </m:r>
            </m:e>
            <m:sub>
              <m:r>
                <w:rPr>
                  <w:rFonts w:ascii="Cambria Math" w:hAnsi="Times New Roman"/>
                  <w:sz w:val="24"/>
                  <w:szCs w:val="24"/>
                </w:rPr>
                <m:t>0</m:t>
              </m:r>
            </m:sub>
          </m:sSub>
          <m:r>
            <m:rPr>
              <m:sty m:val="p"/>
            </m:rPr>
            <w:rPr>
              <w:rFonts w:ascii="Cambria Math" w:hAnsi="Times New Roman"/>
              <w:sz w:val="24"/>
              <w:szCs w:val="24"/>
            </w:rPr>
            <m:t>exp</m:t>
          </m:r>
          <m:r>
            <m:rPr>
              <m:sty m:val="p"/>
            </m:rPr>
            <w:rPr>
              <w:rFonts w:ascii="Cambria Math" w:hAnsi="Cambria Math"/>
              <w:sz w:val="24"/>
              <w:szCs w:val="24"/>
            </w:rPr>
            <m:t>⁡</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1</m:t>
              </m:r>
            </m:sub>
          </m:sSub>
          <m:r>
            <w:rPr>
              <w:rFonts w:ascii="Cambria Math" w:hAnsi="Cambria Math"/>
              <w:sz w:val="24"/>
              <w:szCs w:val="24"/>
            </w:rPr>
            <m:t>t</m:t>
          </m:r>
          <m:r>
            <w:rPr>
              <w:rFonts w:ascii="Cambria Math" w:hAnsi="Times New Roman"/>
              <w:sz w:val="24"/>
              <w:szCs w:val="24"/>
            </w:rPr>
            <m:t>)</m:t>
          </m:r>
        </m:oMath>
      </m:oMathPara>
    </w:p>
    <w:p w:rsidR="00DC6D09" w:rsidRPr="002E776E" w:rsidRDefault="00DC6D09" w:rsidP="00DC6D09">
      <w:pPr>
        <w:spacing w:after="0" w:line="360" w:lineRule="auto"/>
        <w:jc w:val="both"/>
        <w:rPr>
          <w:rFonts w:ascii="Times New Roman" w:hAnsi="Times New Roman"/>
          <w:sz w:val="24"/>
          <w:szCs w:val="24"/>
        </w:rPr>
      </w:pPr>
      <w:r w:rsidRPr="002E776E">
        <w:rPr>
          <w:rFonts w:ascii="Times New Roman" w:hAnsi="Times New Roman"/>
          <w:sz w:val="24"/>
          <w:szCs w:val="24"/>
        </w:rPr>
        <w:t xml:space="preserve">Second order (eq. 3): </w:t>
      </w:r>
    </w:p>
    <w:p w:rsidR="00DC6D09" w:rsidRPr="002E776E" w:rsidRDefault="00DC6D09" w:rsidP="00DC6D09">
      <w:pPr>
        <w:spacing w:after="0" w:line="360" w:lineRule="auto"/>
        <w:jc w:val="both"/>
        <w:rPr>
          <w:rFonts w:ascii="Times New Roman" w:hAnsi="Times New Roman"/>
          <w:sz w:val="24"/>
          <w:szCs w:val="24"/>
        </w:rPr>
      </w:pPr>
      <m:oMathPara>
        <m:oMath>
          <m:r>
            <w:rPr>
              <w:rFonts w:ascii="Cambria Math" w:hAnsi="Cambria Math"/>
              <w:sz w:val="24"/>
              <w:szCs w:val="24"/>
            </w:rPr>
            <m:t>c</m:t>
          </m:r>
          <m:r>
            <w:rPr>
              <w:rFonts w:ascii="Cambria Math" w:hAnsi="Times New Roman"/>
              <w:sz w:val="24"/>
              <w:szCs w:val="24"/>
            </w:rPr>
            <m:t xml:space="preserve">= </m:t>
          </m:r>
          <m:f>
            <m:fPr>
              <m:ctrlPr>
                <w:rPr>
                  <w:rFonts w:ascii="Cambria Math" w:hAnsi="Times New Roman"/>
                  <w:i/>
                  <w:sz w:val="24"/>
                  <w:szCs w:val="24"/>
                </w:rPr>
              </m:ctrlPr>
            </m:fPr>
            <m:num>
              <m:r>
                <w:rPr>
                  <w:rFonts w:ascii="Cambria Math" w:hAnsi="Times New Roman"/>
                  <w:sz w:val="24"/>
                  <w:szCs w:val="24"/>
                </w:rPr>
                <m:t>1</m:t>
              </m:r>
            </m:num>
            <m:den>
              <m:d>
                <m:dPr>
                  <m:ctrlPr>
                    <w:rPr>
                      <w:rFonts w:ascii="Cambria Math" w:hAnsi="Times New Roman"/>
                      <w:i/>
                      <w:sz w:val="24"/>
                      <w:szCs w:val="24"/>
                    </w:rPr>
                  </m:ctrlPr>
                </m:dPr>
                <m:e>
                  <m:f>
                    <m:fPr>
                      <m:ctrlPr>
                        <w:rPr>
                          <w:rFonts w:ascii="Cambria Math" w:hAnsi="Times New Roman"/>
                          <w:i/>
                          <w:sz w:val="24"/>
                          <w:szCs w:val="24"/>
                        </w:rPr>
                      </m:ctrlPr>
                    </m:fPr>
                    <m:num>
                      <m:r>
                        <w:rPr>
                          <w:rFonts w:ascii="Cambria Math" w:hAnsi="Times New Roman"/>
                          <w:sz w:val="24"/>
                          <w:szCs w:val="24"/>
                        </w:rPr>
                        <m:t>1</m:t>
                      </m:r>
                    </m:num>
                    <m:den>
                      <m:sSub>
                        <m:sSubPr>
                          <m:ctrlPr>
                            <w:rPr>
                              <w:rFonts w:ascii="Cambria Math" w:hAnsi="Times New Roman"/>
                              <w:i/>
                              <w:sz w:val="24"/>
                              <w:szCs w:val="24"/>
                            </w:rPr>
                          </m:ctrlPr>
                        </m:sSubPr>
                        <m:e>
                          <m:r>
                            <w:rPr>
                              <w:rFonts w:ascii="Cambria Math" w:hAnsi="Cambria Math"/>
                              <w:sz w:val="24"/>
                              <w:szCs w:val="24"/>
                            </w:rPr>
                            <m:t>c</m:t>
                          </m:r>
                        </m:e>
                        <m:sub>
                          <m:r>
                            <w:rPr>
                              <w:rFonts w:ascii="Cambria Math" w:hAnsi="Times New Roman"/>
                              <w:sz w:val="24"/>
                              <w:szCs w:val="24"/>
                            </w:rPr>
                            <m:t>0</m:t>
                          </m:r>
                        </m:sub>
                      </m:sSub>
                    </m:den>
                  </m:f>
                </m:e>
              </m:d>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2</m:t>
                  </m:r>
                </m:sub>
              </m:sSub>
              <m:r>
                <w:rPr>
                  <w:rFonts w:ascii="Cambria Math" w:hAnsi="Cambria Math"/>
                  <w:sz w:val="24"/>
                  <w:szCs w:val="24"/>
                </w:rPr>
                <m:t>t</m:t>
              </m:r>
              <m:r>
                <w:rPr>
                  <w:rFonts w:ascii="Cambria Math" w:hAnsi="Times New Roman"/>
                  <w:sz w:val="24"/>
                  <w:szCs w:val="24"/>
                </w:rPr>
                <m:t>)</m:t>
              </m:r>
            </m:den>
          </m:f>
        </m:oMath>
      </m:oMathPara>
    </w:p>
    <w:p w:rsidR="00DC6D09" w:rsidRPr="002E776E" w:rsidRDefault="00DC6D09" w:rsidP="00DC6D09">
      <w:pPr>
        <w:spacing w:after="0" w:line="360" w:lineRule="auto"/>
        <w:jc w:val="both"/>
        <w:rPr>
          <w:rFonts w:ascii="Times New Roman" w:hAnsi="Times New Roman"/>
          <w:sz w:val="24"/>
          <w:szCs w:val="24"/>
        </w:rPr>
      </w:pPr>
    </w:p>
    <w:p w:rsidR="00DC6D09" w:rsidRPr="002E776E" w:rsidRDefault="00DC6D09" w:rsidP="00DC6D09">
      <w:pPr>
        <w:spacing w:after="0" w:line="360" w:lineRule="auto"/>
        <w:jc w:val="both"/>
        <w:rPr>
          <w:rFonts w:ascii="Times New Roman" w:hAnsi="Times New Roman"/>
          <w:sz w:val="24"/>
          <w:szCs w:val="24"/>
        </w:rPr>
      </w:pPr>
      <w:r w:rsidRPr="002E776E">
        <w:rPr>
          <w:rFonts w:ascii="Times New Roman" w:hAnsi="Times New Roman"/>
          <w:sz w:val="24"/>
          <w:szCs w:val="24"/>
        </w:rPr>
        <w:t>Combined kinetics model (eq. 4):</w:t>
      </w:r>
    </w:p>
    <w:p w:rsidR="00DC6D09" w:rsidRPr="002E776E" w:rsidRDefault="00DC6D09" w:rsidP="00DC6D09">
      <w:pPr>
        <w:pStyle w:val="ListParagraph"/>
        <w:spacing w:after="0" w:line="360" w:lineRule="auto"/>
        <w:jc w:val="both"/>
        <w:rPr>
          <w:rFonts w:ascii="Times New Roman" w:hAnsi="Times New Roman"/>
          <w:sz w:val="24"/>
          <w:szCs w:val="24"/>
        </w:rPr>
      </w:pPr>
      <m:oMathPara>
        <m:oMath>
          <m:r>
            <w:rPr>
              <w:rFonts w:ascii="Cambria Math" w:hAnsi="Cambria Math"/>
              <w:sz w:val="24"/>
              <w:szCs w:val="24"/>
            </w:rPr>
            <m:t>C</m:t>
          </m:r>
          <m:r>
            <w:rPr>
              <w:rFonts w:ascii="Cambria Math" w:hAnsi="Times New Roman"/>
              <w:sz w:val="24"/>
              <w:szCs w:val="24"/>
            </w:rPr>
            <m:t>=</m:t>
          </m:r>
          <m:f>
            <m:fPr>
              <m:ctrlPr>
                <w:rPr>
                  <w:rFonts w:ascii="Cambria Math" w:hAnsi="Times New Roman"/>
                  <w:i/>
                  <w:sz w:val="24"/>
                  <w:szCs w:val="24"/>
                </w:rPr>
              </m:ctrlPr>
            </m:fPr>
            <m:num>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0</m:t>
                  </m:r>
                </m:sub>
              </m:sSub>
            </m:num>
            <m:den>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1</m:t>
                  </m:r>
                </m:sub>
              </m:sSub>
            </m:den>
          </m:f>
          <m:r>
            <w:rPr>
              <w:rFonts w:ascii="Cambria Math" w:hAnsi="Cambria Math"/>
              <w:sz w:val="24"/>
              <w:szCs w:val="24"/>
            </w:rPr>
            <m:t>-</m:t>
          </m:r>
          <m:d>
            <m:dPr>
              <m:ctrlPr>
                <w:rPr>
                  <w:rFonts w:ascii="Cambria Math" w:hAnsi="Times New Roman"/>
                  <w:i/>
                  <w:sz w:val="24"/>
                  <w:szCs w:val="24"/>
                </w:rPr>
              </m:ctrlPr>
            </m:dPr>
            <m:e>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0</m:t>
                  </m:r>
                </m:sub>
              </m:sSub>
              <m:r>
                <w:rPr>
                  <w:rFonts w:ascii="Cambria Math" w:hAnsi="Cambria Math"/>
                  <w:sz w:val="24"/>
                  <w:szCs w:val="24"/>
                </w:rPr>
                <m:t>-</m:t>
              </m:r>
              <m:sSub>
                <m:sSubPr>
                  <m:ctrlPr>
                    <w:rPr>
                      <w:rFonts w:ascii="Cambria Math" w:hAnsi="Times New Roman"/>
                      <w:i/>
                      <w:sz w:val="24"/>
                      <w:szCs w:val="24"/>
                    </w:rPr>
                  </m:ctrlPr>
                </m:sSubPr>
                <m:e>
                  <m:r>
                    <w:rPr>
                      <w:rFonts w:ascii="Cambria Math" w:hAnsi="Cambria Math"/>
                      <w:sz w:val="24"/>
                      <w:szCs w:val="24"/>
                    </w:rPr>
                    <m:t>C</m:t>
                  </m:r>
                </m:e>
                <m:sub>
                  <m:r>
                    <w:rPr>
                      <w:rFonts w:ascii="Cambria Math" w:hAnsi="Times New Roman"/>
                      <w:sz w:val="24"/>
                      <w:szCs w:val="24"/>
                    </w:rPr>
                    <m:t>0</m:t>
                  </m:r>
                </m:sub>
              </m:sSub>
            </m:e>
          </m:d>
          <m:r>
            <m:rPr>
              <m:sty m:val="p"/>
            </m:rPr>
            <w:rPr>
              <w:rFonts w:ascii="Cambria Math" w:hAnsi="Times New Roman"/>
              <w:sz w:val="24"/>
              <w:szCs w:val="24"/>
            </w:rPr>
            <m:t>exp</m:t>
          </m:r>
          <m:r>
            <m:rPr>
              <m:sty m:val="p"/>
            </m:rPr>
            <w:rPr>
              <w:rFonts w:ascii="Cambria Math" w:hAnsi="Cambria Math"/>
              <w:sz w:val="24"/>
              <w:szCs w:val="24"/>
            </w:rPr>
            <m:t>⁡</m:t>
          </m:r>
          <m:r>
            <w:rPr>
              <w:rFonts w:ascii="Cambria Math" w:hAnsi="Times New Roman"/>
              <w:sz w:val="24"/>
              <w:szCs w:val="24"/>
            </w:rPr>
            <m:t>(</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 xml:space="preserve">1 </m:t>
              </m:r>
            </m:sub>
          </m:sSub>
          <m:r>
            <w:rPr>
              <w:rFonts w:ascii="Cambria Math" w:hAnsi="Cambria Math"/>
              <w:sz w:val="24"/>
              <w:szCs w:val="24"/>
            </w:rPr>
            <m:t>t</m:t>
          </m:r>
          <m:r>
            <w:rPr>
              <w:rFonts w:ascii="Cambria Math" w:hAnsi="Times New Roman"/>
              <w:sz w:val="24"/>
              <w:szCs w:val="24"/>
            </w:rPr>
            <m:t>)</m:t>
          </m:r>
        </m:oMath>
      </m:oMathPara>
    </w:p>
    <w:p w:rsidR="00DC6D09" w:rsidRPr="002E776E" w:rsidRDefault="00DC6D09" w:rsidP="00DC6D09">
      <w:pPr>
        <w:spacing w:after="0" w:line="360" w:lineRule="auto"/>
        <w:jc w:val="both"/>
        <w:rPr>
          <w:rFonts w:ascii="Times New Roman" w:hAnsi="Times New Roman"/>
          <w:sz w:val="24"/>
          <w:szCs w:val="24"/>
        </w:rPr>
      </w:pPr>
    </w:p>
    <w:p w:rsidR="00DC6D09" w:rsidRDefault="00DC6D09" w:rsidP="00DC6D09">
      <w:pPr>
        <w:spacing w:after="0" w:line="360" w:lineRule="auto"/>
        <w:jc w:val="both"/>
        <w:rPr>
          <w:rFonts w:ascii="Times New Roman" w:hAnsi="Times New Roman"/>
          <w:sz w:val="24"/>
          <w:szCs w:val="24"/>
        </w:rPr>
      </w:pPr>
    </w:p>
    <w:p w:rsidR="00DC6D09" w:rsidRPr="002E776E" w:rsidRDefault="00DC6D09" w:rsidP="00DC6D09">
      <w:pPr>
        <w:spacing w:after="0" w:line="360" w:lineRule="auto"/>
        <w:jc w:val="both"/>
        <w:rPr>
          <w:rFonts w:ascii="Times New Roman" w:hAnsi="Times New Roman"/>
          <w:sz w:val="24"/>
          <w:szCs w:val="24"/>
        </w:rPr>
      </w:pPr>
      <w:r w:rsidRPr="002E776E">
        <w:rPr>
          <w:rFonts w:ascii="Times New Roman" w:hAnsi="Times New Roman"/>
          <w:sz w:val="24"/>
          <w:szCs w:val="24"/>
        </w:rPr>
        <w:t>Combined kinetics model in ∆E* (eq. 5):</w:t>
      </w:r>
    </w:p>
    <w:p w:rsidR="00DC6D09" w:rsidRPr="002E776E" w:rsidRDefault="00DC6D09" w:rsidP="00DC6D09">
      <w:pPr>
        <w:pStyle w:val="ListParagraph"/>
        <w:numPr>
          <w:ilvl w:val="0"/>
          <w:numId w:val="21"/>
        </w:numPr>
        <w:spacing w:after="0" w:line="360" w:lineRule="auto"/>
        <w:jc w:val="both"/>
        <w:rPr>
          <w:rFonts w:ascii="Times New Roman" w:hAnsi="Times New Roman"/>
          <w:sz w:val="24"/>
          <w:szCs w:val="24"/>
        </w:rPr>
      </w:pPr>
    </w:p>
    <w:p w:rsidR="00DC6D09" w:rsidRPr="002E776E" w:rsidRDefault="00DC6D09" w:rsidP="00DC6D09">
      <w:pPr>
        <w:pStyle w:val="ListParagraph"/>
        <w:spacing w:after="0" w:line="360" w:lineRule="auto"/>
        <w:jc w:val="both"/>
        <w:rPr>
          <w:rFonts w:ascii="Times New Roman" w:hAnsi="Times New Roman"/>
          <w:sz w:val="24"/>
          <w:szCs w:val="24"/>
        </w:rPr>
      </w:pPr>
      <m:oMathPara>
        <m:oMath>
          <m:r>
            <w:rPr>
              <w:rFonts w:ascii="Cambria Math" w:hAnsi="Cambria Math"/>
              <w:sz w:val="24"/>
              <w:szCs w:val="24"/>
            </w:rPr>
            <m:t>∆E</m:t>
          </m:r>
          <m:r>
            <w:rPr>
              <w:rFonts w:ascii="Cambria Math" w:hAnsi="Times New Roman"/>
              <w:sz w:val="24"/>
              <w:szCs w:val="24"/>
            </w:rPr>
            <m:t>=</m:t>
          </m:r>
          <m:f>
            <m:fPr>
              <m:ctrlPr>
                <w:rPr>
                  <w:rFonts w:ascii="Cambria Math" w:hAnsi="Times New Roman"/>
                  <w:i/>
                  <w:sz w:val="24"/>
                  <w:szCs w:val="24"/>
                </w:rPr>
              </m:ctrlPr>
            </m:fPr>
            <m:num>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0</m:t>
                  </m:r>
                </m:sub>
              </m:sSub>
            </m:num>
            <m:den>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1</m:t>
                  </m:r>
                </m:sub>
              </m:sSub>
            </m:den>
          </m:f>
          <m:r>
            <w:rPr>
              <w:rFonts w:ascii="Cambria Math" w:hAnsi="Times New Roman"/>
              <w:sz w:val="24"/>
              <w:szCs w:val="24"/>
            </w:rPr>
            <m:t>(1</m:t>
          </m:r>
          <m:r>
            <w:rPr>
              <w:rFonts w:ascii="Cambria Math" w:hAnsi="Times New Roman"/>
              <w:sz w:val="24"/>
              <w:szCs w:val="24"/>
            </w:rPr>
            <m:t>-</m:t>
          </m:r>
          <m:func>
            <m:funcPr>
              <m:ctrlPr>
                <w:rPr>
                  <w:rFonts w:ascii="Cambria Math" w:hAnsi="Times New Roman"/>
                  <w:sz w:val="24"/>
                  <w:szCs w:val="24"/>
                </w:rPr>
              </m:ctrlPr>
            </m:funcPr>
            <m:fName>
              <m:r>
                <m:rPr>
                  <m:sty m:val="p"/>
                </m:rPr>
                <w:rPr>
                  <w:rFonts w:ascii="Cambria Math" w:hAnsi="Times New Roman"/>
                  <w:sz w:val="24"/>
                  <w:szCs w:val="24"/>
                </w:rPr>
                <m:t>exp</m:t>
              </m:r>
            </m:fName>
            <m:e>
              <m:d>
                <m:dPr>
                  <m:ctrlPr>
                    <w:rPr>
                      <w:rFonts w:ascii="Cambria Math" w:hAnsi="Times New Roman"/>
                      <w:i/>
                      <w:sz w:val="24"/>
                      <w:szCs w:val="24"/>
                    </w:rPr>
                  </m:ctrlPr>
                </m:dPr>
                <m:e>
                  <m:r>
                    <w:rPr>
                      <w:rFonts w:ascii="Cambria Math" w:hAnsi="Cambria Math"/>
                      <w:sz w:val="24"/>
                      <w:szCs w:val="24"/>
                    </w:rPr>
                    <m:t>-</m:t>
                  </m:r>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 xml:space="preserve">1 </m:t>
                      </m:r>
                    </m:sub>
                  </m:sSub>
                  <m:r>
                    <w:rPr>
                      <w:rFonts w:ascii="Cambria Math" w:hAnsi="Cambria Math"/>
                      <w:sz w:val="24"/>
                      <w:szCs w:val="24"/>
                    </w:rPr>
                    <m:t>t</m:t>
                  </m:r>
                </m:e>
              </m:d>
              <m:ctrlPr>
                <w:rPr>
                  <w:rFonts w:ascii="Cambria Math" w:hAnsi="Times New Roman"/>
                  <w:i/>
                  <w:sz w:val="24"/>
                  <w:szCs w:val="24"/>
                </w:rPr>
              </m:ctrlPr>
            </m:e>
          </m:func>
          <m:r>
            <w:rPr>
              <w:rFonts w:ascii="Cambria Math" w:hAnsi="Times New Roman"/>
              <w:sz w:val="24"/>
              <w:szCs w:val="24"/>
            </w:rPr>
            <m:t>)</m:t>
          </m:r>
        </m:oMath>
      </m:oMathPara>
    </w:p>
    <w:p w:rsidR="00DC6D09" w:rsidRDefault="00DC6D09" w:rsidP="00DC6D09">
      <w:pPr>
        <w:spacing w:after="0" w:line="360" w:lineRule="auto"/>
        <w:jc w:val="both"/>
        <w:rPr>
          <w:rFonts w:ascii="Times New Roman" w:hAnsi="Times New Roman"/>
          <w:sz w:val="24"/>
          <w:szCs w:val="24"/>
        </w:rPr>
      </w:pPr>
    </w:p>
    <w:p w:rsidR="00DC6D09" w:rsidRDefault="00DC6D09" w:rsidP="00DC6D09">
      <w:pPr>
        <w:spacing w:after="0" w:line="360" w:lineRule="auto"/>
        <w:jc w:val="both"/>
        <w:rPr>
          <w:rFonts w:ascii="Times New Roman" w:hAnsi="Times New Roman"/>
          <w:sz w:val="24"/>
          <w:szCs w:val="24"/>
        </w:rPr>
      </w:pPr>
      <w:r w:rsidRPr="002E776E">
        <w:rPr>
          <w:rFonts w:ascii="Times New Roman" w:hAnsi="Times New Roman"/>
          <w:sz w:val="24"/>
          <w:szCs w:val="24"/>
        </w:rPr>
        <w:t>Weibull model (eq. 6):</w:t>
      </w:r>
    </w:p>
    <w:p w:rsidR="00DC6D09" w:rsidRPr="002E776E" w:rsidRDefault="00DC6D09" w:rsidP="00DC6D09">
      <w:pPr>
        <w:spacing w:after="0" w:line="360" w:lineRule="auto"/>
        <w:jc w:val="both"/>
        <w:rPr>
          <w:rFonts w:ascii="Times New Roman" w:hAnsi="Times New Roman"/>
          <w:sz w:val="24"/>
          <w:szCs w:val="24"/>
        </w:rPr>
      </w:pPr>
    </w:p>
    <w:p w:rsidR="00DC6D09" w:rsidRPr="002E776E" w:rsidRDefault="00DC6D09" w:rsidP="00DC6D09">
      <w:pPr>
        <w:pStyle w:val="ListParagraph"/>
        <w:spacing w:after="0" w:line="360" w:lineRule="auto"/>
        <w:jc w:val="both"/>
        <w:rPr>
          <w:rFonts w:ascii="Times New Roman" w:hAnsi="Times New Roman"/>
          <w:sz w:val="24"/>
          <w:szCs w:val="24"/>
        </w:rPr>
      </w:pPr>
      <m:oMathPara>
        <m:oMath>
          <m:r>
            <w:rPr>
              <w:rFonts w:ascii="Cambria Math" w:hAnsi="Cambria Math"/>
              <w:sz w:val="24"/>
              <w:szCs w:val="24"/>
            </w:rPr>
            <m:t>C</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C</m:t>
              </m:r>
            </m:e>
            <m:sub>
              <m:r>
                <w:rPr>
                  <w:rFonts w:ascii="Cambria Math" w:hAnsi="Times New Roman"/>
                  <w:sz w:val="24"/>
                  <w:szCs w:val="24"/>
                </w:rPr>
                <m:t>0</m:t>
              </m:r>
            </m:sub>
          </m:sSub>
          <m:r>
            <m:rPr>
              <m:sty m:val="p"/>
            </m:rPr>
            <w:rPr>
              <w:rFonts w:ascii="Cambria Math" w:hAnsi="Times New Roman"/>
              <w:sz w:val="24"/>
              <w:szCs w:val="24"/>
            </w:rPr>
            <m:t>exp</m:t>
          </m:r>
          <m:r>
            <m:rPr>
              <m:sty m:val="p"/>
            </m:rPr>
            <w:rPr>
              <w:rFonts w:ascii="Cambria Math" w:hAnsi="Cambria Math"/>
              <w:sz w:val="24"/>
              <w:szCs w:val="24"/>
            </w:rPr>
            <m:t>⁡</m:t>
          </m:r>
          <m:sSup>
            <m:sSupPr>
              <m:ctrlPr>
                <w:rPr>
                  <w:rFonts w:ascii="Cambria Math" w:hAnsi="Times New Roman"/>
                  <w:i/>
                  <w:sz w:val="24"/>
                  <w:szCs w:val="24"/>
                </w:rPr>
              </m:ctrlPr>
            </m:sSupPr>
            <m:e>
              <m:r>
                <m:rPr>
                  <m:sty m:val="p"/>
                </m:rPr>
                <w:rPr>
                  <w:rFonts w:ascii="Cambria Math" w:hAnsi="Cambria Math"/>
                  <w:sz w:val="24"/>
                  <w:szCs w:val="24"/>
                </w:rPr>
                <m:t>⁡</m:t>
              </m:r>
              <m:r>
                <w:rPr>
                  <w:rFonts w:ascii="Cambria Math" w:hAnsi="Times New Roman"/>
                  <w:sz w:val="24"/>
                  <w:szCs w:val="24"/>
                </w:rPr>
                <m:t>(</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1</m:t>
                  </m:r>
                </m:sub>
              </m:sSub>
              <m:r>
                <w:rPr>
                  <w:rFonts w:ascii="Cambria Math" w:hAnsi="Cambria Math"/>
                  <w:sz w:val="24"/>
                  <w:szCs w:val="24"/>
                </w:rPr>
                <m:t>t</m:t>
              </m:r>
              <m:r>
                <w:rPr>
                  <w:rFonts w:ascii="Cambria Math" w:hAnsi="Times New Roman"/>
                  <w:sz w:val="24"/>
                  <w:szCs w:val="24"/>
                </w:rPr>
                <m:t>)</m:t>
              </m:r>
            </m:e>
            <m:sup>
              <m:r>
                <w:rPr>
                  <w:rFonts w:ascii="Cambria Math" w:hAnsi="Cambria Math"/>
                  <w:sz w:val="24"/>
                  <w:szCs w:val="24"/>
                </w:rPr>
                <m:t>β</m:t>
              </m:r>
            </m:sup>
          </m:sSup>
        </m:oMath>
      </m:oMathPara>
    </w:p>
    <w:p w:rsidR="00DC6D09" w:rsidRPr="002E776E" w:rsidRDefault="00DC6D09" w:rsidP="00DC6D09">
      <w:pPr>
        <w:pStyle w:val="ListParagraph"/>
        <w:spacing w:after="0" w:line="360" w:lineRule="auto"/>
        <w:jc w:val="both"/>
        <w:rPr>
          <w:rFonts w:ascii="Times New Roman" w:hAnsi="Times New Roman"/>
          <w:sz w:val="24"/>
          <w:szCs w:val="24"/>
        </w:rPr>
      </w:pPr>
    </w:p>
    <w:p w:rsidR="00DC6D09" w:rsidRPr="002E776E" w:rsidRDefault="008C75DF" w:rsidP="00DC6D09">
      <w:pPr>
        <w:spacing w:after="0" w:line="360" w:lineRule="auto"/>
        <w:jc w:val="both"/>
        <w:rPr>
          <w:rFonts w:ascii="Times New Roman" w:hAnsi="Times New Roman"/>
          <w:sz w:val="24"/>
          <w:szCs w:val="24"/>
        </w:rPr>
      </w:pPr>
      <w:r>
        <w:rPr>
          <w:rFonts w:ascii="Times New Roman" w:hAnsi="Times New Roman"/>
          <w:sz w:val="24"/>
          <w:szCs w:val="24"/>
        </w:rPr>
        <w:lastRenderedPageBreak/>
        <w:t>A</w:t>
      </w:r>
      <w:r w:rsidR="00DC6D09" w:rsidRPr="002E776E">
        <w:rPr>
          <w:rFonts w:ascii="Times New Roman" w:hAnsi="Times New Roman"/>
          <w:sz w:val="24"/>
          <w:szCs w:val="24"/>
        </w:rPr>
        <w:t>rrhenius equation (eq. 7):</w:t>
      </w:r>
    </w:p>
    <w:p w:rsidR="00DC6D09" w:rsidRPr="002E776E" w:rsidRDefault="00DC6D09" w:rsidP="00DC6D09">
      <w:pPr>
        <w:pStyle w:val="ListParagraph"/>
        <w:spacing w:after="0" w:line="360" w:lineRule="auto"/>
        <w:jc w:val="both"/>
        <w:rPr>
          <w:rFonts w:ascii="Times New Roman" w:hAnsi="Times New Roman"/>
          <w:b/>
          <w:sz w:val="24"/>
          <w:szCs w:val="24"/>
        </w:rPr>
      </w:pPr>
      <m:oMathPara>
        <m:oMath>
          <m:r>
            <w:rPr>
              <w:rFonts w:ascii="Cambria Math" w:hAnsi="Cambria Math"/>
              <w:sz w:val="24"/>
              <w:szCs w:val="24"/>
            </w:rPr>
            <m:t>k</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k</m:t>
              </m:r>
            </m:e>
            <m:sub>
              <m:r>
                <w:rPr>
                  <w:rFonts w:ascii="Cambria Math" w:hAnsi="Times New Roman"/>
                  <w:sz w:val="24"/>
                  <w:szCs w:val="24"/>
                </w:rPr>
                <m:t>0</m:t>
              </m:r>
            </m:sub>
          </m:sSub>
          <m:r>
            <m:rPr>
              <m:sty m:val="p"/>
            </m:rPr>
            <w:rPr>
              <w:rFonts w:ascii="Cambria Math" w:hAnsi="Times New Roman"/>
              <w:sz w:val="24"/>
              <w:szCs w:val="24"/>
            </w:rPr>
            <m:t>exp</m:t>
          </m:r>
          <m:r>
            <m:rPr>
              <m:sty m:val="p"/>
            </m:rPr>
            <w:rPr>
              <w:rFonts w:ascii="Cambria Math" w:hAnsi="Cambria Math"/>
              <w:sz w:val="24"/>
              <w:szCs w:val="24"/>
            </w:rPr>
            <m:t>⁡</m:t>
          </m:r>
          <m:d>
            <m:dPr>
              <m:ctrlPr>
                <w:rPr>
                  <w:rFonts w:ascii="Cambria Math" w:hAnsi="Times New Roman"/>
                  <w:i/>
                  <w:sz w:val="24"/>
                  <w:szCs w:val="24"/>
                </w:rPr>
              </m:ctrlPr>
            </m:dPr>
            <m:e>
              <m:r>
                <w:rPr>
                  <w:rFonts w:ascii="Cambria Math" w:hAnsi="Cambria Math"/>
                  <w:sz w:val="24"/>
                  <w:szCs w:val="24"/>
                </w:rPr>
                <m:t>-</m:t>
              </m:r>
              <m:f>
                <m:fPr>
                  <m:ctrlPr>
                    <w:rPr>
                      <w:rFonts w:ascii="Cambria Math" w:hAnsi="Times New Roman"/>
                      <w:i/>
                      <w:sz w:val="24"/>
                      <w:szCs w:val="24"/>
                    </w:rPr>
                  </m:ctrlPr>
                </m:fPr>
                <m:num>
                  <m:sSub>
                    <m:sSubPr>
                      <m:ctrlPr>
                        <w:rPr>
                          <w:rFonts w:ascii="Cambria Math" w:hAnsi="Times New Roman"/>
                          <w:i/>
                          <w:sz w:val="24"/>
                          <w:szCs w:val="24"/>
                        </w:rPr>
                      </m:ctrlPr>
                    </m:sSubPr>
                    <m:e>
                      <m:r>
                        <w:rPr>
                          <w:rFonts w:ascii="Cambria Math" w:hAnsi="Cambria Math"/>
                          <w:sz w:val="24"/>
                          <w:szCs w:val="24"/>
                        </w:rPr>
                        <m:t>E</m:t>
                      </m:r>
                    </m:e>
                    <m:sub>
                      <m:r>
                        <w:rPr>
                          <w:rFonts w:ascii="Cambria Math" w:hAnsi="Cambria Math"/>
                          <w:sz w:val="24"/>
                          <w:szCs w:val="24"/>
                        </w:rPr>
                        <m:t>a</m:t>
                      </m:r>
                    </m:sub>
                  </m:sSub>
                </m:num>
                <m:den>
                  <m:r>
                    <w:rPr>
                      <w:rFonts w:ascii="Cambria Math" w:hAnsi="Cambria Math"/>
                      <w:sz w:val="24"/>
                      <w:szCs w:val="24"/>
                    </w:rPr>
                    <m:t>RT</m:t>
                  </m:r>
                </m:den>
              </m:f>
            </m:e>
          </m:d>
        </m:oMath>
      </m:oMathPara>
    </w:p>
    <w:p w:rsidR="00DC6D09" w:rsidRPr="002E776E" w:rsidRDefault="00DC6D09" w:rsidP="00DC6D09">
      <w:pPr>
        <w:pStyle w:val="ListParagraph"/>
        <w:spacing w:after="0" w:line="360" w:lineRule="auto"/>
        <w:ind w:left="0"/>
        <w:jc w:val="both"/>
        <w:rPr>
          <w:rFonts w:ascii="Times New Roman" w:hAnsi="Times New Roman"/>
          <w:sz w:val="24"/>
          <w:szCs w:val="24"/>
          <w:vertAlign w:val="subscript"/>
        </w:rPr>
      </w:pPr>
    </w:p>
    <w:p w:rsidR="00DC6D09" w:rsidRPr="002E776E" w:rsidRDefault="00DC6D09" w:rsidP="00DC6D09">
      <w:pPr>
        <w:pStyle w:val="ListParagraph"/>
        <w:spacing w:after="0" w:line="360" w:lineRule="auto"/>
        <w:ind w:left="0"/>
        <w:jc w:val="both"/>
        <w:rPr>
          <w:rFonts w:ascii="Times New Roman" w:hAnsi="Times New Roman"/>
          <w:sz w:val="24"/>
          <w:szCs w:val="24"/>
        </w:rPr>
      </w:pPr>
      <w:r w:rsidRPr="002E776E">
        <w:rPr>
          <w:rFonts w:ascii="Times New Roman" w:hAnsi="Times New Roman"/>
          <w:sz w:val="24"/>
          <w:szCs w:val="24"/>
        </w:rPr>
        <w:t>Where:</w:t>
      </w:r>
    </w:p>
    <w:p w:rsidR="00DC6D09" w:rsidRPr="002E776E" w:rsidRDefault="00DC6D09" w:rsidP="00DC6D09">
      <w:pPr>
        <w:pStyle w:val="ListParagraph"/>
        <w:spacing w:after="0" w:line="360" w:lineRule="auto"/>
        <w:ind w:left="0"/>
        <w:jc w:val="both"/>
        <w:rPr>
          <w:rFonts w:ascii="Times New Roman" w:hAnsi="Times New Roman"/>
          <w:sz w:val="24"/>
          <w:szCs w:val="24"/>
        </w:rPr>
      </w:pPr>
      <w:proofErr w:type="gramStart"/>
      <w:r w:rsidRPr="002E776E">
        <w:rPr>
          <w:rFonts w:ascii="Times New Roman" w:hAnsi="Times New Roman"/>
          <w:i/>
          <w:sz w:val="24"/>
          <w:szCs w:val="24"/>
        </w:rPr>
        <w:t xml:space="preserve">C  </w:t>
      </w:r>
      <w:r w:rsidRPr="002E776E">
        <w:rPr>
          <w:rFonts w:ascii="Times New Roman" w:hAnsi="Times New Roman"/>
          <w:sz w:val="24"/>
          <w:szCs w:val="24"/>
        </w:rPr>
        <w:t>=</w:t>
      </w:r>
      <w:proofErr w:type="gramEnd"/>
      <w:r w:rsidRPr="002E776E">
        <w:rPr>
          <w:rFonts w:ascii="Times New Roman" w:hAnsi="Times New Roman"/>
          <w:sz w:val="24"/>
          <w:szCs w:val="24"/>
        </w:rPr>
        <w:t xml:space="preserve"> Variable content studied at time </w:t>
      </w:r>
      <w:r w:rsidRPr="002E776E">
        <w:rPr>
          <w:rFonts w:ascii="Times New Roman" w:hAnsi="Times New Roman"/>
          <w:i/>
          <w:sz w:val="24"/>
          <w:szCs w:val="24"/>
        </w:rPr>
        <w:t>t</w:t>
      </w:r>
    </w:p>
    <w:p w:rsidR="00DC6D09" w:rsidRPr="002E776E" w:rsidRDefault="00DC6D09" w:rsidP="00DC6D09">
      <w:pPr>
        <w:pStyle w:val="ListParagraph"/>
        <w:spacing w:after="0" w:line="360" w:lineRule="auto"/>
        <w:ind w:left="0"/>
        <w:jc w:val="both"/>
        <w:rPr>
          <w:rFonts w:ascii="Times New Roman" w:hAnsi="Times New Roman"/>
          <w:sz w:val="24"/>
          <w:szCs w:val="24"/>
        </w:rPr>
      </w:pPr>
      <w:r w:rsidRPr="002E776E">
        <w:rPr>
          <w:rFonts w:ascii="Times New Roman" w:hAnsi="Times New Roman"/>
          <w:i/>
          <w:sz w:val="24"/>
          <w:szCs w:val="24"/>
        </w:rPr>
        <w:t>C</w:t>
      </w:r>
      <w:r w:rsidRPr="002E776E">
        <w:rPr>
          <w:rFonts w:ascii="Times New Roman" w:hAnsi="Times New Roman"/>
          <w:i/>
          <w:sz w:val="24"/>
          <w:szCs w:val="24"/>
          <w:vertAlign w:val="subscript"/>
        </w:rPr>
        <w:t>0</w:t>
      </w:r>
      <w:r w:rsidRPr="002E776E">
        <w:rPr>
          <w:rFonts w:ascii="Times New Roman" w:hAnsi="Times New Roman"/>
          <w:sz w:val="24"/>
          <w:szCs w:val="24"/>
          <w:vertAlign w:val="subscript"/>
        </w:rPr>
        <w:t xml:space="preserve"> </w:t>
      </w:r>
      <w:r w:rsidRPr="002E776E">
        <w:rPr>
          <w:rFonts w:ascii="Times New Roman" w:hAnsi="Times New Roman"/>
          <w:sz w:val="24"/>
          <w:szCs w:val="24"/>
        </w:rPr>
        <w:t>= Variable content at time zero</w:t>
      </w:r>
    </w:p>
    <w:p w:rsidR="00DC6D09" w:rsidRPr="002E776E" w:rsidRDefault="00DC6D09" w:rsidP="00DC6D09">
      <w:pPr>
        <w:pStyle w:val="ListParagraph"/>
        <w:spacing w:after="0" w:line="360" w:lineRule="auto"/>
        <w:ind w:left="0"/>
        <w:jc w:val="both"/>
        <w:rPr>
          <w:rFonts w:ascii="Times New Roman" w:hAnsi="Times New Roman"/>
          <w:sz w:val="24"/>
          <w:szCs w:val="24"/>
          <w:vertAlign w:val="subscript"/>
        </w:rPr>
      </w:pP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vertAlign w:val="subscript"/>
        </w:rPr>
        <w:t xml:space="preserve"> </w:t>
      </w:r>
      <w:r w:rsidRPr="002E776E">
        <w:rPr>
          <w:rFonts w:ascii="Times New Roman" w:hAnsi="Times New Roman"/>
          <w:sz w:val="24"/>
          <w:szCs w:val="24"/>
        </w:rPr>
        <w:t>= Zero order kinetic constant</w:t>
      </w:r>
    </w:p>
    <w:p w:rsidR="00DC6D09" w:rsidRPr="002E776E" w:rsidRDefault="00DC6D09" w:rsidP="00DC6D09">
      <w:pPr>
        <w:pStyle w:val="ListParagraph"/>
        <w:spacing w:after="0" w:line="360" w:lineRule="auto"/>
        <w:ind w:left="0"/>
        <w:jc w:val="both"/>
        <w:rPr>
          <w:rFonts w:ascii="Times New Roman" w:hAnsi="Times New Roman"/>
          <w:sz w:val="24"/>
          <w:szCs w:val="24"/>
        </w:rPr>
      </w:pP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 xml:space="preserve"> = First order kinetic constant</w:t>
      </w:r>
    </w:p>
    <w:p w:rsidR="00DC6D09" w:rsidRPr="002E776E" w:rsidRDefault="00DC6D09" w:rsidP="00DC6D09">
      <w:pPr>
        <w:pStyle w:val="ListParagraph"/>
        <w:spacing w:after="0" w:line="360" w:lineRule="auto"/>
        <w:ind w:left="0"/>
        <w:jc w:val="both"/>
        <w:rPr>
          <w:rFonts w:ascii="Times New Roman" w:hAnsi="Times New Roman"/>
          <w:sz w:val="24"/>
          <w:szCs w:val="24"/>
        </w:rPr>
      </w:pPr>
      <w:r w:rsidRPr="002E776E">
        <w:rPr>
          <w:rFonts w:ascii="Times New Roman" w:hAnsi="Times New Roman"/>
          <w:i/>
          <w:sz w:val="24"/>
          <w:szCs w:val="24"/>
        </w:rPr>
        <w:t>k</w:t>
      </w:r>
      <w:r w:rsidRPr="002E776E">
        <w:rPr>
          <w:rFonts w:ascii="Times New Roman" w:hAnsi="Times New Roman"/>
          <w:i/>
          <w:sz w:val="24"/>
          <w:szCs w:val="24"/>
          <w:vertAlign w:val="subscript"/>
        </w:rPr>
        <w:t>2</w:t>
      </w:r>
      <w:r w:rsidRPr="002E776E">
        <w:rPr>
          <w:rFonts w:ascii="Times New Roman" w:hAnsi="Times New Roman"/>
          <w:sz w:val="24"/>
          <w:szCs w:val="24"/>
          <w:vertAlign w:val="subscript"/>
        </w:rPr>
        <w:t xml:space="preserve"> </w:t>
      </w:r>
      <w:r w:rsidRPr="002E776E">
        <w:rPr>
          <w:rFonts w:ascii="Times New Roman" w:hAnsi="Times New Roman"/>
          <w:sz w:val="24"/>
          <w:szCs w:val="24"/>
        </w:rPr>
        <w:t>= Second order kinetic constant</w:t>
      </w:r>
    </w:p>
    <w:p w:rsidR="00DC6D09" w:rsidRPr="002E776E" w:rsidRDefault="00DC6D09" w:rsidP="00DC6D09">
      <w:pPr>
        <w:pStyle w:val="ListParagraph"/>
        <w:spacing w:after="0" w:line="360" w:lineRule="auto"/>
        <w:ind w:left="0"/>
        <w:jc w:val="both"/>
        <w:rPr>
          <w:rFonts w:ascii="Times New Roman" w:hAnsi="Times New Roman"/>
          <w:sz w:val="24"/>
          <w:szCs w:val="24"/>
        </w:rPr>
      </w:pPr>
      <w:r w:rsidRPr="002E776E">
        <w:rPr>
          <w:rFonts w:ascii="Times New Roman" w:hAnsi="Times New Roman"/>
          <w:sz w:val="24"/>
          <w:szCs w:val="24"/>
        </w:rPr>
        <w:t>β = Shape parameter</w:t>
      </w:r>
    </w:p>
    <w:p w:rsidR="00DC6D09" w:rsidRPr="002E776E" w:rsidRDefault="00DC6D09" w:rsidP="00DC6D09">
      <w:pPr>
        <w:pStyle w:val="ListParagraph"/>
        <w:spacing w:after="0" w:line="360" w:lineRule="auto"/>
        <w:ind w:left="0"/>
        <w:jc w:val="both"/>
        <w:rPr>
          <w:rFonts w:ascii="Times New Roman" w:hAnsi="Times New Roman"/>
          <w:sz w:val="24"/>
          <w:szCs w:val="24"/>
        </w:rPr>
      </w:pPr>
      <w:proofErr w:type="gramStart"/>
      <w:r w:rsidRPr="002E776E">
        <w:rPr>
          <w:rFonts w:ascii="Times New Roman" w:hAnsi="Times New Roman"/>
          <w:i/>
          <w:sz w:val="24"/>
          <w:szCs w:val="24"/>
        </w:rPr>
        <w:t xml:space="preserve">t </w:t>
      </w:r>
      <w:r w:rsidRPr="002E776E">
        <w:rPr>
          <w:rFonts w:ascii="Times New Roman" w:hAnsi="Times New Roman"/>
          <w:sz w:val="24"/>
          <w:szCs w:val="24"/>
        </w:rPr>
        <w:t xml:space="preserve"> =</w:t>
      </w:r>
      <w:proofErr w:type="gramEnd"/>
      <w:r w:rsidRPr="002E776E">
        <w:rPr>
          <w:rFonts w:ascii="Times New Roman" w:hAnsi="Times New Roman"/>
          <w:sz w:val="24"/>
          <w:szCs w:val="24"/>
        </w:rPr>
        <w:t xml:space="preserve"> time</w:t>
      </w:r>
    </w:p>
    <w:p w:rsidR="00DC6D09" w:rsidRPr="002E776E" w:rsidRDefault="00DC6D09" w:rsidP="00DC6D09">
      <w:pPr>
        <w:pStyle w:val="ListParagraph"/>
        <w:spacing w:after="0" w:line="360" w:lineRule="auto"/>
        <w:ind w:left="0"/>
        <w:jc w:val="both"/>
        <w:rPr>
          <w:rFonts w:ascii="Times New Roman" w:hAnsi="Times New Roman"/>
          <w:sz w:val="24"/>
          <w:szCs w:val="24"/>
        </w:rPr>
      </w:pPr>
      <w:r w:rsidRPr="002E776E">
        <w:rPr>
          <w:rFonts w:ascii="Times New Roman" w:hAnsi="Times New Roman"/>
          <w:sz w:val="24"/>
          <w:szCs w:val="24"/>
        </w:rPr>
        <w:t>T = Temperature (°Kelvin)</w:t>
      </w:r>
    </w:p>
    <w:p w:rsidR="00DC6D09" w:rsidRPr="002E776E" w:rsidRDefault="00DC6D09" w:rsidP="00DC6D09">
      <w:pPr>
        <w:pStyle w:val="ListParagraph"/>
        <w:spacing w:after="0" w:line="360" w:lineRule="auto"/>
        <w:ind w:left="0"/>
        <w:jc w:val="both"/>
        <w:rPr>
          <w:rFonts w:ascii="Times New Roman" w:hAnsi="Times New Roman"/>
          <w:sz w:val="24"/>
          <w:szCs w:val="24"/>
        </w:rPr>
      </w:pPr>
      <w:r w:rsidRPr="002E776E">
        <w:rPr>
          <w:rFonts w:ascii="Times New Roman" w:hAnsi="Times New Roman"/>
          <w:sz w:val="24"/>
          <w:szCs w:val="24"/>
        </w:rPr>
        <w:t>E</w:t>
      </w:r>
      <w:r w:rsidRPr="002E776E">
        <w:rPr>
          <w:rFonts w:ascii="Times New Roman" w:hAnsi="Times New Roman"/>
          <w:sz w:val="24"/>
          <w:szCs w:val="24"/>
          <w:vertAlign w:val="subscript"/>
        </w:rPr>
        <w:t>a</w:t>
      </w:r>
      <w:r w:rsidRPr="002E776E">
        <w:rPr>
          <w:rFonts w:ascii="Times New Roman" w:hAnsi="Times New Roman"/>
          <w:sz w:val="24"/>
          <w:szCs w:val="24"/>
        </w:rPr>
        <w:t xml:space="preserve"> = Energy of activation</w:t>
      </w:r>
    </w:p>
    <w:p w:rsidR="00DC6D09" w:rsidRDefault="00DC6D09" w:rsidP="00DC6D09">
      <w:pPr>
        <w:pStyle w:val="ListParagraph"/>
        <w:spacing w:after="0" w:line="360" w:lineRule="auto"/>
        <w:ind w:left="0"/>
        <w:jc w:val="both"/>
        <w:rPr>
          <w:rFonts w:ascii="Times New Roman" w:hAnsi="Times New Roman"/>
          <w:sz w:val="24"/>
          <w:szCs w:val="24"/>
        </w:rPr>
      </w:pPr>
      <w:r w:rsidRPr="002E776E">
        <w:rPr>
          <w:rFonts w:ascii="Times New Roman" w:hAnsi="Times New Roman"/>
          <w:sz w:val="24"/>
          <w:szCs w:val="24"/>
        </w:rPr>
        <w:t>R = Universal gas constant (8.314J/molK)</w:t>
      </w:r>
    </w:p>
    <w:p w:rsidR="00AA3EF2" w:rsidRDefault="00AA3EF2" w:rsidP="00DC6D09">
      <w:pPr>
        <w:pStyle w:val="ListParagraph"/>
        <w:spacing w:after="0" w:line="360" w:lineRule="auto"/>
        <w:ind w:left="0"/>
        <w:jc w:val="both"/>
        <w:rPr>
          <w:rFonts w:ascii="Times New Roman" w:hAnsi="Times New Roman"/>
          <w:sz w:val="24"/>
          <w:szCs w:val="24"/>
        </w:rPr>
      </w:pPr>
    </w:p>
    <w:p w:rsidR="008C75DF"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The fitting process for the equations (1), (2),</w:t>
      </w:r>
      <w:r>
        <w:rPr>
          <w:rFonts w:ascii="Times New Roman" w:hAnsi="Times New Roman"/>
          <w:sz w:val="24"/>
          <w:szCs w:val="24"/>
        </w:rPr>
        <w:t xml:space="preserve"> </w:t>
      </w:r>
      <w:r w:rsidRPr="002E776E">
        <w:rPr>
          <w:rFonts w:ascii="Times New Roman" w:hAnsi="Times New Roman"/>
          <w:sz w:val="24"/>
          <w:szCs w:val="24"/>
        </w:rPr>
        <w:t>(3) and (7) were done by linear regression in JMP 8.0 (SAS Institute, Cary, NC). Equations (4), (5) and (6) were solved by non linear techniques using Statgraphics Plus v. 5.1</w:t>
      </w:r>
      <w:r>
        <w:rPr>
          <w:rFonts w:ascii="Times New Roman" w:hAnsi="Times New Roman"/>
          <w:sz w:val="24"/>
          <w:szCs w:val="24"/>
        </w:rPr>
        <w:t xml:space="preserve"> </w:t>
      </w:r>
      <w:r w:rsidRPr="002E776E">
        <w:rPr>
          <w:rFonts w:ascii="Times New Roman" w:hAnsi="Times New Roman"/>
          <w:sz w:val="24"/>
          <w:szCs w:val="24"/>
        </w:rPr>
        <w:t>(Statgraphics, Warrenton, VA).</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 </w:t>
      </w:r>
    </w:p>
    <w:p w:rsidR="008C75DF" w:rsidRPr="0025744F"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A randomized block design was used to determine if there were significant differences among the treatments at different days.  Correlation coefficients were determined between the type of ascorbic acid and each of the color parameters.  Both of these procedures were solved using JMP 8.0 (SAS Institute).</w:t>
      </w:r>
      <w:r w:rsidRPr="00B40F1B">
        <w:rPr>
          <w:rFonts w:ascii="Times New Roman" w:hAnsi="Times New Roman"/>
          <w:sz w:val="24"/>
          <w:szCs w:val="24"/>
        </w:rPr>
        <w:t xml:space="preserve"> </w:t>
      </w:r>
      <w:r>
        <w:rPr>
          <w:rFonts w:ascii="Times New Roman" w:hAnsi="Times New Roman"/>
          <w:sz w:val="24"/>
          <w:szCs w:val="24"/>
        </w:rPr>
        <w:t xml:space="preserve"> </w:t>
      </w:r>
      <w:r w:rsidRPr="0025744F">
        <w:rPr>
          <w:rFonts w:ascii="Times New Roman" w:hAnsi="Times New Roman"/>
          <w:sz w:val="24"/>
          <w:szCs w:val="24"/>
        </w:rPr>
        <w:t>T</w:t>
      </w:r>
      <w:r>
        <w:rPr>
          <w:rFonts w:ascii="Times New Roman" w:hAnsi="Times New Roman"/>
          <w:sz w:val="24"/>
          <w:szCs w:val="24"/>
        </w:rPr>
        <w:t xml:space="preserve">ukey´s HSD was used </w:t>
      </w:r>
      <w:r w:rsidRPr="0025744F">
        <w:rPr>
          <w:rFonts w:ascii="Times New Roman" w:hAnsi="Times New Roman"/>
          <w:sz w:val="24"/>
          <w:szCs w:val="24"/>
        </w:rPr>
        <w:t xml:space="preserve">to evaluate the differences among each treatment. </w:t>
      </w:r>
    </w:p>
    <w:p w:rsidR="008C75DF" w:rsidRDefault="008C75DF" w:rsidP="00DC6D09">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p>
    <w:p w:rsidR="008C75DF" w:rsidRPr="002E776E" w:rsidRDefault="008C75DF" w:rsidP="008C75DF">
      <w:pPr>
        <w:pStyle w:val="ListParagraph"/>
        <w:spacing w:after="0" w:line="360" w:lineRule="auto"/>
        <w:ind w:left="0"/>
        <w:jc w:val="both"/>
        <w:rPr>
          <w:rFonts w:ascii="Times New Roman" w:hAnsi="Times New Roman"/>
          <w:b/>
          <w:sz w:val="24"/>
          <w:szCs w:val="24"/>
        </w:rPr>
      </w:pPr>
      <w:r w:rsidRPr="002E776E">
        <w:rPr>
          <w:rFonts w:ascii="Times New Roman" w:hAnsi="Times New Roman"/>
          <w:b/>
          <w:sz w:val="24"/>
          <w:szCs w:val="24"/>
        </w:rPr>
        <w:t>RESULTS AND DISCUSSION</w:t>
      </w:r>
    </w:p>
    <w:p w:rsidR="008C75DF" w:rsidRPr="002E776E" w:rsidRDefault="008C75DF" w:rsidP="008C75DF">
      <w:pPr>
        <w:pStyle w:val="ListParagraph"/>
        <w:spacing w:after="0" w:line="360" w:lineRule="auto"/>
        <w:ind w:left="0"/>
        <w:jc w:val="both"/>
        <w:rPr>
          <w:rFonts w:ascii="Times New Roman" w:hAnsi="Times New Roman"/>
          <w:b/>
          <w:i/>
          <w:sz w:val="24"/>
          <w:szCs w:val="24"/>
        </w:rPr>
      </w:pPr>
      <w:r w:rsidRPr="002E776E">
        <w:rPr>
          <w:rFonts w:ascii="Times New Roman" w:hAnsi="Times New Roman"/>
          <w:b/>
          <w:i/>
          <w:sz w:val="24"/>
          <w:szCs w:val="24"/>
        </w:rPr>
        <w:t>Changes in dissolved oxygen, pH and °Brix during storage</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The amount of dissolved oxygen at the beginning of the storage in the control and the ascorbic acid </w:t>
      </w:r>
      <w:r>
        <w:rPr>
          <w:rFonts w:ascii="Times New Roman" w:hAnsi="Times New Roman"/>
          <w:sz w:val="24"/>
          <w:szCs w:val="24"/>
        </w:rPr>
        <w:t>samples (</w:t>
      </w:r>
      <w:r w:rsidRPr="002E776E">
        <w:rPr>
          <w:rFonts w:ascii="Times New Roman" w:hAnsi="Times New Roman"/>
          <w:sz w:val="24"/>
          <w:szCs w:val="24"/>
        </w:rPr>
        <w:t xml:space="preserve">AA and A2P) were 8% and 0%, respectively (Figs. </w:t>
      </w:r>
      <w:r>
        <w:rPr>
          <w:rFonts w:ascii="Times New Roman" w:hAnsi="Times New Roman"/>
          <w:sz w:val="24"/>
          <w:szCs w:val="24"/>
        </w:rPr>
        <w:t>1</w:t>
      </w:r>
      <w:r w:rsidRPr="002E776E">
        <w:rPr>
          <w:rFonts w:ascii="Times New Roman" w:hAnsi="Times New Roman"/>
          <w:sz w:val="24"/>
          <w:szCs w:val="24"/>
        </w:rPr>
        <w:t>).  These differences are explained by the pr</w:t>
      </w:r>
      <w:r>
        <w:rPr>
          <w:rFonts w:ascii="Times New Roman" w:hAnsi="Times New Roman"/>
          <w:sz w:val="24"/>
          <w:szCs w:val="24"/>
        </w:rPr>
        <w:t>esence of AA.  It is known that</w:t>
      </w:r>
      <w:r w:rsidRPr="002E776E">
        <w:rPr>
          <w:rFonts w:ascii="Times New Roman" w:hAnsi="Times New Roman"/>
          <w:sz w:val="24"/>
          <w:szCs w:val="24"/>
        </w:rPr>
        <w:t xml:space="preserve"> in fortified canned or bottled fruits, the </w:t>
      </w:r>
      <w:r w:rsidRPr="002E776E">
        <w:rPr>
          <w:rFonts w:ascii="Times New Roman" w:hAnsi="Times New Roman"/>
          <w:sz w:val="24"/>
          <w:szCs w:val="24"/>
        </w:rPr>
        <w:lastRenderedPageBreak/>
        <w:t xml:space="preserve">oxygen in the headspace is reduced to water due to the oxidation of AA </w:t>
      </w:r>
      <w:r w:rsidRPr="002E776E">
        <w:rPr>
          <w:rFonts w:ascii="Times New Roman" w:hAnsi="Times New Roman"/>
          <w:noProof/>
          <w:sz w:val="24"/>
          <w:szCs w:val="24"/>
        </w:rPr>
        <w:t>(Liao and Seib 1988)</w:t>
      </w:r>
      <w:r w:rsidRPr="002E776E">
        <w:rPr>
          <w:rFonts w:ascii="Times New Roman" w:hAnsi="Times New Roman"/>
          <w:sz w:val="24"/>
          <w:szCs w:val="24"/>
        </w:rPr>
        <w:t xml:space="preserve">. </w:t>
      </w:r>
      <w:r>
        <w:rPr>
          <w:rFonts w:ascii="Times New Roman" w:hAnsi="Times New Roman"/>
          <w:sz w:val="24"/>
          <w:szCs w:val="24"/>
        </w:rPr>
        <w:t xml:space="preserve"> </w:t>
      </w:r>
      <w:r w:rsidRPr="002E776E">
        <w:rPr>
          <w:rFonts w:ascii="Times New Roman" w:hAnsi="Times New Roman"/>
          <w:sz w:val="24"/>
          <w:szCs w:val="24"/>
        </w:rPr>
        <w:t>As a consequence, we are assured that the degradation pathways in the AA and A2P treatments were entirely anaerobic.  It is important to note that all vials were stored for 1 to 3 days at 4°C before time zero.  Consequently, we can observe that the depletion of oxygen occurred within the 24 hours after storage under refrigeration in the vitamin C fortified s</w:t>
      </w:r>
      <w:r>
        <w:rPr>
          <w:rFonts w:ascii="Times New Roman" w:hAnsi="Times New Roman"/>
          <w:sz w:val="24"/>
          <w:szCs w:val="24"/>
        </w:rPr>
        <w:t>amples.  In a model systems prepared with</w:t>
      </w:r>
      <w:r w:rsidRPr="002E776E">
        <w:rPr>
          <w:rFonts w:ascii="Times New Roman" w:hAnsi="Times New Roman"/>
          <w:sz w:val="24"/>
          <w:szCs w:val="24"/>
        </w:rPr>
        <w:t xml:space="preserve"> glucose and AA in water, the total consumption of oxygen was after 15 hours of storage at high temperatures (70-90°C) while consumption took 25 days at lower storage temperatures (24-45°C) </w:t>
      </w:r>
      <w:r w:rsidRPr="002E776E">
        <w:rPr>
          <w:rFonts w:ascii="Times New Roman" w:hAnsi="Times New Roman"/>
          <w:noProof/>
          <w:sz w:val="24"/>
          <w:szCs w:val="24"/>
        </w:rPr>
        <w:t>(Rojas and Gerschenson 1997)</w:t>
      </w:r>
      <w:r w:rsidRPr="002E776E">
        <w:rPr>
          <w:rFonts w:ascii="Times New Roman" w:hAnsi="Times New Roman"/>
          <w:sz w:val="24"/>
          <w:szCs w:val="24"/>
        </w:rPr>
        <w:t>.  In or</w:t>
      </w:r>
      <w:r>
        <w:rPr>
          <w:rFonts w:ascii="Times New Roman" w:hAnsi="Times New Roman"/>
          <w:sz w:val="24"/>
          <w:szCs w:val="24"/>
        </w:rPr>
        <w:t>ange juice packaged in Tetrabrick</w:t>
      </w:r>
      <w:r w:rsidRPr="002E776E">
        <w:rPr>
          <w:rFonts w:ascii="Times New Roman" w:hAnsi="Times New Roman"/>
          <w:sz w:val="24"/>
          <w:szCs w:val="24"/>
        </w:rPr>
        <w:t xml:space="preserve"> cartons stored at</w:t>
      </w:r>
      <w:r>
        <w:rPr>
          <w:rFonts w:ascii="Times New Roman" w:hAnsi="Times New Roman"/>
          <w:sz w:val="24"/>
          <w:szCs w:val="24"/>
        </w:rPr>
        <w:t xml:space="preserve"> 4°C, </w:t>
      </w:r>
      <w:r w:rsidRPr="002E776E">
        <w:rPr>
          <w:rFonts w:ascii="Times New Roman" w:hAnsi="Times New Roman"/>
          <w:sz w:val="24"/>
          <w:szCs w:val="24"/>
        </w:rPr>
        <w:t xml:space="preserve">after 60 days there was still around 1.5ppm of dissolved oxygen (at time zero there was around 4.5 ppm) </w:t>
      </w:r>
      <w:r>
        <w:rPr>
          <w:rFonts w:ascii="Times New Roman" w:hAnsi="Times New Roman"/>
          <w:noProof/>
          <w:sz w:val="24"/>
          <w:szCs w:val="24"/>
        </w:rPr>
        <w:t>(Roig and others 2000)</w:t>
      </w:r>
      <w:r w:rsidRPr="002E776E">
        <w:rPr>
          <w:rFonts w:ascii="Times New Roman" w:hAnsi="Times New Roman"/>
          <w:sz w:val="24"/>
          <w:szCs w:val="24"/>
        </w:rPr>
        <w:t>.</w:t>
      </w:r>
      <w:r>
        <w:rPr>
          <w:rFonts w:ascii="Times New Roman" w:hAnsi="Times New Roman"/>
          <w:sz w:val="24"/>
          <w:szCs w:val="24"/>
        </w:rPr>
        <w:t xml:space="preserve"> </w:t>
      </w:r>
      <w:r w:rsidRPr="002E776E">
        <w:rPr>
          <w:rFonts w:ascii="Times New Roman" w:hAnsi="Times New Roman"/>
          <w:sz w:val="24"/>
          <w:szCs w:val="24"/>
        </w:rPr>
        <w:t xml:space="preserve"> The oxygen consumption due to the AA is catalyzed by metal ions </w:t>
      </w:r>
      <w:r w:rsidRPr="002E776E">
        <w:rPr>
          <w:rFonts w:ascii="Times New Roman" w:hAnsi="Times New Roman"/>
          <w:noProof/>
          <w:sz w:val="24"/>
          <w:szCs w:val="24"/>
        </w:rPr>
        <w:t>(Fennema 1996; Liao and Seib 1988)</w:t>
      </w:r>
      <w:r w:rsidRPr="002E776E">
        <w:rPr>
          <w:rFonts w:ascii="Times New Roman" w:hAnsi="Times New Roman"/>
          <w:sz w:val="24"/>
          <w:szCs w:val="24"/>
        </w:rPr>
        <w:t>; consequently, differences among different food model systems are expected.</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Table 1 shows the pH and °Brix values at the beginning and end of storage for each temperature.  The pH values were always between 3 and 4 in all treatments.  This range reportedly enhances nonenzymatic browning under anaerobic conditions </w:t>
      </w:r>
      <w:r w:rsidRPr="002E776E">
        <w:rPr>
          <w:rFonts w:ascii="Times New Roman" w:hAnsi="Times New Roman"/>
          <w:noProof/>
          <w:sz w:val="24"/>
          <w:szCs w:val="24"/>
        </w:rPr>
        <w:t>(Fennema 1996)</w:t>
      </w:r>
      <w:r w:rsidRPr="002E776E">
        <w:rPr>
          <w:rFonts w:ascii="Times New Roman" w:hAnsi="Times New Roman"/>
          <w:sz w:val="24"/>
          <w:szCs w:val="24"/>
        </w:rPr>
        <w:t xml:space="preserve">.  It is also apparent from Table 1 </w:t>
      </w:r>
      <w:r>
        <w:rPr>
          <w:rFonts w:ascii="Times New Roman" w:hAnsi="Times New Roman"/>
          <w:sz w:val="24"/>
          <w:szCs w:val="24"/>
        </w:rPr>
        <w:t xml:space="preserve">that </w:t>
      </w:r>
      <w:r w:rsidRPr="002E776E">
        <w:rPr>
          <w:rFonts w:ascii="Times New Roman" w:hAnsi="Times New Roman"/>
          <w:sz w:val="24"/>
          <w:szCs w:val="24"/>
        </w:rPr>
        <w:t>the pH changes were minor</w:t>
      </w:r>
      <w:r>
        <w:rPr>
          <w:rFonts w:ascii="Times New Roman" w:hAnsi="Times New Roman"/>
          <w:sz w:val="24"/>
          <w:szCs w:val="24"/>
        </w:rPr>
        <w:t xml:space="preserve"> at the end of storage (29 days)</w:t>
      </w:r>
      <w:r w:rsidRPr="002E776E">
        <w:rPr>
          <w:rFonts w:ascii="Times New Roman" w:hAnsi="Times New Roman"/>
          <w:sz w:val="24"/>
          <w:szCs w:val="24"/>
        </w:rPr>
        <w:t xml:space="preserve">, </w:t>
      </w:r>
      <w:r w:rsidRPr="004050A5">
        <w:rPr>
          <w:rFonts w:ascii="Times New Roman" w:hAnsi="Times New Roman"/>
          <w:sz w:val="24"/>
          <w:szCs w:val="24"/>
        </w:rPr>
        <w:t xml:space="preserve">and not of chemical significance.  The pH may change during nonenzymatic browning due to the appearance of carbonyl compounds </w:t>
      </w:r>
      <w:r>
        <w:rPr>
          <w:rFonts w:ascii="Times New Roman" w:hAnsi="Times New Roman"/>
          <w:noProof/>
          <w:sz w:val="24"/>
          <w:szCs w:val="24"/>
        </w:rPr>
        <w:t>(Roig and others 2000)</w:t>
      </w:r>
      <w:r w:rsidRPr="004050A5">
        <w:rPr>
          <w:rFonts w:ascii="Times New Roman" w:hAnsi="Times New Roman"/>
          <w:sz w:val="24"/>
          <w:szCs w:val="24"/>
        </w:rPr>
        <w:t xml:space="preserve">. </w:t>
      </w:r>
      <w:r>
        <w:rPr>
          <w:rFonts w:ascii="Times New Roman" w:hAnsi="Times New Roman"/>
          <w:sz w:val="24"/>
          <w:szCs w:val="24"/>
        </w:rPr>
        <w:t xml:space="preserve"> </w:t>
      </w:r>
      <w:r w:rsidRPr="004050A5">
        <w:rPr>
          <w:rFonts w:ascii="Times New Roman" w:hAnsi="Times New Roman"/>
          <w:sz w:val="24"/>
          <w:szCs w:val="24"/>
        </w:rPr>
        <w:t>In orange jui</w:t>
      </w:r>
      <w:r>
        <w:rPr>
          <w:rFonts w:ascii="Times New Roman" w:hAnsi="Times New Roman"/>
          <w:sz w:val="24"/>
          <w:szCs w:val="24"/>
        </w:rPr>
        <w:t>ce packaged in Tetrabrick</w:t>
      </w:r>
      <w:r w:rsidRPr="004050A5">
        <w:rPr>
          <w:rFonts w:ascii="Times New Roman" w:hAnsi="Times New Roman"/>
          <w:sz w:val="24"/>
          <w:szCs w:val="24"/>
        </w:rPr>
        <w:t xml:space="preserve"> cartons stored at 4°C, 20°C and 37°C for 64 days, 76°C for 9 days, and 105°C for 3 days, a pH of 3.65 was maintained </w:t>
      </w:r>
      <w:r>
        <w:rPr>
          <w:rFonts w:ascii="Times New Roman" w:hAnsi="Times New Roman"/>
          <w:noProof/>
          <w:sz w:val="24"/>
          <w:szCs w:val="24"/>
        </w:rPr>
        <w:t xml:space="preserve">(Roig and others 2000); </w:t>
      </w:r>
      <w:r>
        <w:rPr>
          <w:rFonts w:ascii="Times New Roman" w:hAnsi="Times New Roman"/>
          <w:sz w:val="24"/>
          <w:szCs w:val="24"/>
        </w:rPr>
        <w:t>t</w:t>
      </w:r>
      <w:r w:rsidRPr="004050A5">
        <w:rPr>
          <w:rFonts w:ascii="Times New Roman" w:hAnsi="Times New Roman"/>
          <w:sz w:val="24"/>
          <w:szCs w:val="24"/>
        </w:rPr>
        <w:t xml:space="preserve">he °Brix was also constant during storage.  No </w:t>
      </w:r>
      <w:r w:rsidR="008F728C" w:rsidRPr="004050A5">
        <w:rPr>
          <w:rFonts w:ascii="Times New Roman" w:hAnsi="Times New Roman"/>
          <w:sz w:val="24"/>
          <w:szCs w:val="24"/>
        </w:rPr>
        <w:t>variation in °Brix was</w:t>
      </w:r>
      <w:r w:rsidRPr="004050A5">
        <w:rPr>
          <w:rFonts w:ascii="Times New Roman" w:hAnsi="Times New Roman"/>
          <w:sz w:val="24"/>
          <w:szCs w:val="24"/>
        </w:rPr>
        <w:t xml:space="preserve"> observed in cashew apple (pH of 4.4) during thermal treatment at temperatures from 88 to 121°C</w:t>
      </w:r>
      <w:r>
        <w:rPr>
          <w:rFonts w:ascii="Times New Roman" w:hAnsi="Times New Roman"/>
          <w:sz w:val="24"/>
          <w:szCs w:val="24"/>
        </w:rPr>
        <w:t xml:space="preserve"> </w:t>
      </w:r>
      <w:r w:rsidRPr="002E776E">
        <w:rPr>
          <w:rFonts w:ascii="Times New Roman" w:hAnsi="Times New Roman"/>
          <w:noProof/>
          <w:sz w:val="24"/>
          <w:szCs w:val="24"/>
        </w:rPr>
        <w:t>(Damasceno and others 2007)</w:t>
      </w:r>
      <w:r w:rsidRPr="004050A5">
        <w:rPr>
          <w:rFonts w:ascii="Times New Roman" w:hAnsi="Times New Roman"/>
          <w:sz w:val="24"/>
          <w:szCs w:val="24"/>
        </w:rPr>
        <w:t xml:space="preserve">. </w:t>
      </w:r>
      <w:r>
        <w:rPr>
          <w:rFonts w:ascii="Times New Roman" w:hAnsi="Times New Roman"/>
          <w:sz w:val="24"/>
          <w:szCs w:val="24"/>
        </w:rPr>
        <w:t xml:space="preserve"> </w:t>
      </w:r>
      <w:r w:rsidRPr="004050A5">
        <w:rPr>
          <w:rFonts w:ascii="Times New Roman" w:hAnsi="Times New Roman"/>
          <w:sz w:val="24"/>
          <w:szCs w:val="24"/>
        </w:rPr>
        <w:t>These authors rep</w:t>
      </w:r>
      <w:r w:rsidRPr="002E776E">
        <w:rPr>
          <w:rFonts w:ascii="Times New Roman" w:hAnsi="Times New Roman"/>
          <w:sz w:val="24"/>
          <w:szCs w:val="24"/>
        </w:rPr>
        <w:t xml:space="preserve">orted that the steady concentration of soluble solids, reducing and total sugars demonstrated that there was no participation of sugars in the non-enzymatic browning processes </w:t>
      </w:r>
      <w:r w:rsidRPr="002E776E">
        <w:rPr>
          <w:rFonts w:ascii="Times New Roman" w:hAnsi="Times New Roman"/>
          <w:noProof/>
          <w:sz w:val="24"/>
          <w:szCs w:val="24"/>
        </w:rPr>
        <w:t>(Damasceno and others 2007)</w:t>
      </w:r>
      <w:r w:rsidRPr="002E776E">
        <w:rPr>
          <w:rFonts w:ascii="Times New Roman" w:hAnsi="Times New Roman"/>
          <w:sz w:val="24"/>
          <w:szCs w:val="24"/>
        </w:rPr>
        <w:t>.  As we know, reaction of reducing sugars and amino acids (maillard reactions) is a type of non</w:t>
      </w:r>
      <w:r>
        <w:rPr>
          <w:rFonts w:ascii="Times New Roman" w:hAnsi="Times New Roman"/>
          <w:sz w:val="24"/>
          <w:szCs w:val="24"/>
        </w:rPr>
        <w:t>-</w:t>
      </w:r>
      <w:r w:rsidRPr="002E776E">
        <w:rPr>
          <w:rFonts w:ascii="Times New Roman" w:hAnsi="Times New Roman"/>
          <w:sz w:val="24"/>
          <w:szCs w:val="24"/>
        </w:rPr>
        <w:t xml:space="preserve">enzymatic browning favored by a more alkaline pH </w:t>
      </w:r>
      <w:r w:rsidRPr="002E776E">
        <w:rPr>
          <w:rFonts w:ascii="Times New Roman" w:hAnsi="Times New Roman"/>
          <w:noProof/>
          <w:sz w:val="24"/>
          <w:szCs w:val="24"/>
        </w:rPr>
        <w:t>(Fennema 1996)</w:t>
      </w:r>
      <w:r w:rsidRPr="002E776E">
        <w:rPr>
          <w:rFonts w:ascii="Times New Roman" w:hAnsi="Times New Roman"/>
          <w:sz w:val="24"/>
          <w:szCs w:val="24"/>
        </w:rPr>
        <w:t>.</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jc w:val="both"/>
        <w:rPr>
          <w:rFonts w:ascii="Times New Roman" w:hAnsi="Times New Roman"/>
          <w:b/>
          <w:i/>
          <w:sz w:val="24"/>
          <w:szCs w:val="24"/>
        </w:rPr>
      </w:pPr>
      <w:r w:rsidRPr="002E776E">
        <w:rPr>
          <w:rFonts w:ascii="Times New Roman" w:hAnsi="Times New Roman"/>
          <w:b/>
          <w:i/>
          <w:sz w:val="24"/>
          <w:szCs w:val="24"/>
        </w:rPr>
        <w:t>Kinetics of color parameters</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The color parameters from the CIELAB system (L*, a*, b*) and hunter Lab have been used as indicators of non-enzymatic browning in many studies </w:t>
      </w:r>
      <w:r>
        <w:rPr>
          <w:rFonts w:ascii="Times New Roman" w:hAnsi="Times New Roman"/>
          <w:noProof/>
          <w:sz w:val="24"/>
          <w:szCs w:val="24"/>
        </w:rPr>
        <w:t xml:space="preserve">(Garza and others 1999; Lozano </w:t>
      </w:r>
      <w:r>
        <w:rPr>
          <w:rFonts w:ascii="Times New Roman" w:hAnsi="Times New Roman"/>
          <w:noProof/>
          <w:sz w:val="24"/>
          <w:szCs w:val="24"/>
        </w:rPr>
        <w:lastRenderedPageBreak/>
        <w:t>and Ibarz 1996; Ibarz and others 1999)</w:t>
      </w:r>
      <w:r w:rsidRPr="002E776E">
        <w:rPr>
          <w:rFonts w:ascii="Times New Roman" w:hAnsi="Times New Roman"/>
          <w:sz w:val="24"/>
          <w:szCs w:val="24"/>
        </w:rPr>
        <w:t xml:space="preserve">.  These two systems are based on the same theory, and their parameters are interpreted equally </w:t>
      </w:r>
      <w:r w:rsidRPr="002E776E">
        <w:rPr>
          <w:rFonts w:ascii="Times New Roman" w:hAnsi="Times New Roman"/>
          <w:noProof/>
          <w:sz w:val="24"/>
          <w:szCs w:val="24"/>
        </w:rPr>
        <w:t>(HunterLab 2008)</w:t>
      </w:r>
      <w:r w:rsidRPr="002E776E">
        <w:rPr>
          <w:rFonts w:ascii="Times New Roman" w:hAnsi="Times New Roman"/>
          <w:sz w:val="24"/>
          <w:szCs w:val="24"/>
        </w:rPr>
        <w:t xml:space="preserve">.  For this reason, even though we calculated color using the CIELAB system, we will compare our data with previous research which used either scale. </w:t>
      </w:r>
    </w:p>
    <w:p w:rsidR="008C75DF" w:rsidRDefault="008C75DF" w:rsidP="008C75DF">
      <w:pPr>
        <w:spacing w:after="0" w:line="360" w:lineRule="auto"/>
        <w:ind w:firstLine="708"/>
        <w:jc w:val="both"/>
        <w:rPr>
          <w:rFonts w:ascii="Times New Roman" w:hAnsi="Times New Roman"/>
          <w:sz w:val="24"/>
          <w:szCs w:val="24"/>
        </w:rPr>
      </w:pPr>
    </w:p>
    <w:p w:rsidR="008C75DF" w:rsidRPr="002E776E" w:rsidRDefault="008C75DF" w:rsidP="008C75DF">
      <w:pPr>
        <w:spacing w:after="0" w:line="360" w:lineRule="auto"/>
        <w:ind w:firstLine="708"/>
        <w:jc w:val="both"/>
        <w:rPr>
          <w:rFonts w:ascii="Times New Roman" w:hAnsi="Times New Roman"/>
          <w:sz w:val="24"/>
          <w:szCs w:val="24"/>
        </w:rPr>
      </w:pPr>
      <w:r w:rsidRPr="002E776E">
        <w:rPr>
          <w:rFonts w:ascii="Times New Roman" w:hAnsi="Times New Roman"/>
          <w:sz w:val="24"/>
          <w:szCs w:val="24"/>
        </w:rPr>
        <w:t xml:space="preserve">In both systems, CIELAB and hunter scale, the L*, a* and b* parameters indicate how dark/light, red/green and yellow/blue the samples are, respectively </w:t>
      </w:r>
      <w:r w:rsidRPr="002E776E">
        <w:rPr>
          <w:rFonts w:ascii="Times New Roman" w:hAnsi="Times New Roman"/>
          <w:noProof/>
          <w:sz w:val="24"/>
          <w:szCs w:val="24"/>
        </w:rPr>
        <w:t>(HunterLab 2008)</w:t>
      </w:r>
      <w:r w:rsidRPr="002E776E">
        <w:rPr>
          <w:rFonts w:ascii="Times New Roman" w:hAnsi="Times New Roman"/>
          <w:sz w:val="24"/>
          <w:szCs w:val="24"/>
        </w:rPr>
        <w:t xml:space="preserve">.  These values, as well as the size of color difference (∆E*), were measured and calculated throughout storage.  The kinetic models which are shown in Tables </w:t>
      </w:r>
      <w:r>
        <w:rPr>
          <w:rFonts w:ascii="Times New Roman" w:hAnsi="Times New Roman"/>
          <w:sz w:val="24"/>
          <w:szCs w:val="24"/>
        </w:rPr>
        <w:t xml:space="preserve">2, 3 and </w:t>
      </w:r>
      <w:r w:rsidRPr="002E776E">
        <w:rPr>
          <w:rFonts w:ascii="Times New Roman" w:hAnsi="Times New Roman"/>
          <w:sz w:val="24"/>
          <w:szCs w:val="24"/>
        </w:rPr>
        <w:t>4 correspond to those which were successfully applied for our data.</w:t>
      </w:r>
    </w:p>
    <w:p w:rsidR="008C75DF" w:rsidRPr="002E776E" w:rsidRDefault="008C75DF" w:rsidP="008C75DF">
      <w:pPr>
        <w:spacing w:after="0" w:line="360" w:lineRule="auto"/>
        <w:jc w:val="both"/>
        <w:rPr>
          <w:rFonts w:ascii="Times New Roman" w:hAnsi="Times New Roman"/>
          <w:sz w:val="24"/>
          <w:szCs w:val="24"/>
        </w:rPr>
      </w:pPr>
      <w:r w:rsidRPr="002E776E">
        <w:rPr>
          <w:rFonts w:ascii="Times New Roman" w:hAnsi="Times New Roman"/>
          <w:sz w:val="24"/>
          <w:szCs w:val="24"/>
        </w:rPr>
        <w:t xml:space="preserve"> </w:t>
      </w:r>
    </w:p>
    <w:p w:rsidR="008C75DF" w:rsidRPr="002E776E" w:rsidRDefault="008C75DF" w:rsidP="008C75DF">
      <w:pPr>
        <w:pStyle w:val="ListParagraph"/>
        <w:spacing w:after="0" w:line="360" w:lineRule="auto"/>
        <w:ind w:left="0"/>
        <w:jc w:val="both"/>
        <w:rPr>
          <w:rFonts w:ascii="Times New Roman" w:hAnsi="Times New Roman"/>
          <w:i/>
          <w:sz w:val="24"/>
          <w:szCs w:val="24"/>
        </w:rPr>
      </w:pPr>
      <w:r w:rsidRPr="002E776E">
        <w:rPr>
          <w:rFonts w:ascii="Times New Roman" w:hAnsi="Times New Roman"/>
          <w:i/>
          <w:sz w:val="24"/>
          <w:szCs w:val="24"/>
        </w:rPr>
        <w:t>Color parameter L*</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Even though no significant differences at day 0 (p&gt;0.05) were found, we can observe in Figs. </w:t>
      </w:r>
      <w:r>
        <w:rPr>
          <w:rFonts w:ascii="Times New Roman" w:hAnsi="Times New Roman"/>
          <w:sz w:val="24"/>
          <w:szCs w:val="24"/>
        </w:rPr>
        <w:t>4</w:t>
      </w:r>
      <w:r w:rsidRPr="002E776E">
        <w:rPr>
          <w:rFonts w:ascii="Times New Roman" w:hAnsi="Times New Roman"/>
          <w:sz w:val="24"/>
          <w:szCs w:val="24"/>
        </w:rPr>
        <w:t>-</w:t>
      </w:r>
      <w:r>
        <w:rPr>
          <w:rFonts w:ascii="Times New Roman" w:hAnsi="Times New Roman"/>
          <w:sz w:val="24"/>
          <w:szCs w:val="24"/>
        </w:rPr>
        <w:t>6</w:t>
      </w:r>
      <w:r w:rsidRPr="002E776E">
        <w:rPr>
          <w:rFonts w:ascii="Times New Roman" w:hAnsi="Times New Roman"/>
          <w:sz w:val="24"/>
          <w:szCs w:val="24"/>
        </w:rPr>
        <w:t xml:space="preserve"> that the AA treatment had a consistent lighter color than the other treatments.  This could be explained by the bleaching action of the hydrogen peroxide produced in the oxidation of AA </w:t>
      </w:r>
      <w:r w:rsidRPr="002E776E">
        <w:rPr>
          <w:rFonts w:ascii="Times New Roman" w:hAnsi="Times New Roman"/>
          <w:noProof/>
          <w:sz w:val="24"/>
          <w:szCs w:val="24"/>
        </w:rPr>
        <w:t>(Poei-Langston and Wrolstad 1981)</w:t>
      </w:r>
      <w:r w:rsidRPr="002E776E">
        <w:rPr>
          <w:rFonts w:ascii="Times New Roman" w:hAnsi="Times New Roman"/>
          <w:sz w:val="24"/>
          <w:szCs w:val="24"/>
        </w:rPr>
        <w:t>.  Research done in model system</w:t>
      </w:r>
      <w:r>
        <w:rPr>
          <w:rFonts w:ascii="Times New Roman" w:hAnsi="Times New Roman"/>
          <w:sz w:val="24"/>
          <w:szCs w:val="24"/>
        </w:rPr>
        <w:t>s containing anthocyanins has shown</w:t>
      </w:r>
      <w:r w:rsidRPr="002E776E">
        <w:rPr>
          <w:rFonts w:ascii="Times New Roman" w:hAnsi="Times New Roman"/>
          <w:sz w:val="24"/>
          <w:szCs w:val="24"/>
        </w:rPr>
        <w:t xml:space="preserve"> that at day 0, the L* value was alrea</w:t>
      </w:r>
      <w:r>
        <w:rPr>
          <w:rFonts w:ascii="Times New Roman" w:hAnsi="Times New Roman"/>
          <w:sz w:val="24"/>
          <w:szCs w:val="24"/>
        </w:rPr>
        <w:t>dy higher in those samples that</w:t>
      </w:r>
      <w:r w:rsidRPr="002E776E">
        <w:rPr>
          <w:rFonts w:ascii="Times New Roman" w:hAnsi="Times New Roman"/>
          <w:sz w:val="24"/>
          <w:szCs w:val="24"/>
        </w:rPr>
        <w:t xml:space="preserve"> did contain AA </w:t>
      </w:r>
      <w:r w:rsidRPr="002E776E">
        <w:rPr>
          <w:rFonts w:ascii="Times New Roman" w:hAnsi="Times New Roman"/>
          <w:noProof/>
          <w:sz w:val="24"/>
          <w:szCs w:val="24"/>
        </w:rPr>
        <w:t>(Poei-Langston and Wrolstad 1981)</w:t>
      </w:r>
      <w:r w:rsidRPr="002E776E">
        <w:rPr>
          <w:rFonts w:ascii="Times New Roman" w:hAnsi="Times New Roman"/>
          <w:sz w:val="24"/>
          <w:szCs w:val="24"/>
        </w:rPr>
        <w:t xml:space="preserve">.  </w:t>
      </w:r>
      <w:r>
        <w:rPr>
          <w:rFonts w:ascii="Times New Roman" w:hAnsi="Times New Roman"/>
          <w:sz w:val="24"/>
          <w:szCs w:val="24"/>
        </w:rPr>
        <w:t>S</w:t>
      </w:r>
      <w:r w:rsidRPr="002E776E">
        <w:rPr>
          <w:rFonts w:ascii="Times New Roman" w:hAnsi="Times New Roman"/>
          <w:sz w:val="24"/>
          <w:szCs w:val="24"/>
        </w:rPr>
        <w:t xml:space="preserve">imilar results were obtained when the effect of AA was evaluated in jellies </w:t>
      </w:r>
      <w:r w:rsidRPr="002E776E">
        <w:rPr>
          <w:rFonts w:ascii="Times New Roman" w:hAnsi="Times New Roman"/>
          <w:noProof/>
          <w:sz w:val="24"/>
          <w:szCs w:val="24"/>
        </w:rPr>
        <w:t>(Freedman and Francis 1984)</w:t>
      </w:r>
      <w:r w:rsidRPr="002E776E">
        <w:rPr>
          <w:rFonts w:ascii="Times New Roman" w:hAnsi="Times New Roman"/>
          <w:sz w:val="24"/>
          <w:szCs w:val="24"/>
        </w:rPr>
        <w:t xml:space="preserve">.  Since at day 0 the AA treatment did not have dissolved oxygen but the control treatment did, we believe that there is a high possibility of presence of hydrogen peroxide.  The L* values of the control and A2P treatments were much closer.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At 40°C (Fig. </w:t>
      </w:r>
      <w:r>
        <w:rPr>
          <w:rFonts w:ascii="Times New Roman" w:hAnsi="Times New Roman"/>
          <w:sz w:val="24"/>
          <w:szCs w:val="24"/>
        </w:rPr>
        <w:t>4</w:t>
      </w:r>
      <w:r w:rsidRPr="002E776E">
        <w:rPr>
          <w:rFonts w:ascii="Times New Roman" w:hAnsi="Times New Roman"/>
          <w:sz w:val="24"/>
          <w:szCs w:val="24"/>
        </w:rPr>
        <w:t xml:space="preserve">), the L* value in the control treatment increased slightly until day 20 and decreased by day 30.  On the other hand, for the treatments which had AA and A2P, the variations were more defined; in fact, the L* values increased until day 10, and then they were maintained relatively stable after that.  Significant differences (p&lt;0.05) were observed between control and AA treatment at day 10; significant differences (p&lt;0.05) were also seen between control and the AA and A2P treatments at day 30.  At 50°C (Fig. </w:t>
      </w:r>
      <w:r>
        <w:rPr>
          <w:rFonts w:ascii="Times New Roman" w:hAnsi="Times New Roman"/>
          <w:sz w:val="24"/>
          <w:szCs w:val="24"/>
        </w:rPr>
        <w:t>5</w:t>
      </w:r>
      <w:r w:rsidRPr="002E776E">
        <w:rPr>
          <w:rFonts w:ascii="Times New Roman" w:hAnsi="Times New Roman"/>
          <w:sz w:val="24"/>
          <w:szCs w:val="24"/>
        </w:rPr>
        <w:t xml:space="preserve">) in the control treatment, the maximum L* value was seen at day 20 while the maximum was seen at day 10 for AA and A2P treatments.  </w:t>
      </w:r>
      <w:r>
        <w:rPr>
          <w:rFonts w:ascii="Times New Roman" w:hAnsi="Times New Roman"/>
          <w:sz w:val="24"/>
          <w:szCs w:val="24"/>
        </w:rPr>
        <w:t xml:space="preserve">The AA treatment was significant different (p&lt;0.05) at day 20. </w:t>
      </w:r>
      <w:r w:rsidRPr="002E776E">
        <w:rPr>
          <w:rFonts w:ascii="Times New Roman" w:hAnsi="Times New Roman"/>
          <w:sz w:val="24"/>
          <w:szCs w:val="24"/>
        </w:rPr>
        <w:t xml:space="preserve"> Finally, at 60°C </w:t>
      </w:r>
      <w:r w:rsidRPr="002E776E">
        <w:rPr>
          <w:rFonts w:ascii="Times New Roman" w:hAnsi="Times New Roman"/>
          <w:sz w:val="24"/>
          <w:szCs w:val="24"/>
        </w:rPr>
        <w:lastRenderedPageBreak/>
        <w:t xml:space="preserve">(Fig. </w:t>
      </w:r>
      <w:r>
        <w:rPr>
          <w:rFonts w:ascii="Times New Roman" w:hAnsi="Times New Roman"/>
          <w:sz w:val="24"/>
          <w:szCs w:val="24"/>
        </w:rPr>
        <w:t>6</w:t>
      </w:r>
      <w:r w:rsidRPr="002E776E">
        <w:rPr>
          <w:rFonts w:ascii="Times New Roman" w:hAnsi="Times New Roman"/>
          <w:sz w:val="24"/>
          <w:szCs w:val="24"/>
        </w:rPr>
        <w:t xml:space="preserve">), all treatments had a parabolic tendency, and the maximum was seen at day 10.  At 60 °C, the highest value was seen in the treatment with AA.  Significant differences (p&lt;0.05) were found at day 10 between the control sample and the other treatments. </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Studies conducted on non-enzymatic browning in peaches have identified a tendency of L* value to decrease during heating and storage due to the darkening process </w:t>
      </w:r>
      <w:r>
        <w:rPr>
          <w:rFonts w:ascii="Times New Roman" w:hAnsi="Times New Roman"/>
          <w:noProof/>
          <w:sz w:val="24"/>
          <w:szCs w:val="24"/>
        </w:rPr>
        <w:t>(Garza and others 1999; Lozano and Ibarz 1996; Ibarz and others 1999; Chutintrasri and Noomhorm 200</w:t>
      </w:r>
      <w:r w:rsidR="00CC7D02">
        <w:rPr>
          <w:rFonts w:ascii="Times New Roman" w:hAnsi="Times New Roman"/>
          <w:noProof/>
          <w:sz w:val="24"/>
          <w:szCs w:val="24"/>
        </w:rPr>
        <w:t>7</w:t>
      </w:r>
      <w:r>
        <w:rPr>
          <w:rFonts w:ascii="Times New Roman" w:hAnsi="Times New Roman"/>
          <w:noProof/>
          <w:sz w:val="24"/>
          <w:szCs w:val="24"/>
        </w:rPr>
        <w:t>)</w:t>
      </w:r>
      <w:r w:rsidRPr="002E776E">
        <w:rPr>
          <w:rFonts w:ascii="Times New Roman" w:hAnsi="Times New Roman"/>
          <w:sz w:val="24"/>
          <w:szCs w:val="24"/>
        </w:rPr>
        <w:t>.  The different tendency that we observed c</w:t>
      </w:r>
      <w:r>
        <w:rPr>
          <w:rFonts w:ascii="Times New Roman" w:hAnsi="Times New Roman"/>
          <w:sz w:val="24"/>
          <w:szCs w:val="24"/>
        </w:rPr>
        <w:t xml:space="preserve">an be explained by the </w:t>
      </w:r>
      <w:r w:rsidRPr="002E776E">
        <w:rPr>
          <w:rFonts w:ascii="Times New Roman" w:hAnsi="Times New Roman"/>
          <w:sz w:val="24"/>
          <w:szCs w:val="24"/>
        </w:rPr>
        <w:t>presence of anthocyanin</w:t>
      </w:r>
      <w:r>
        <w:rPr>
          <w:rFonts w:ascii="Times New Roman" w:hAnsi="Times New Roman"/>
          <w:sz w:val="24"/>
          <w:szCs w:val="24"/>
        </w:rPr>
        <w:t>s</w:t>
      </w:r>
      <w:r w:rsidRPr="002E776E">
        <w:rPr>
          <w:rFonts w:ascii="Times New Roman" w:hAnsi="Times New Roman"/>
          <w:sz w:val="24"/>
          <w:szCs w:val="24"/>
        </w:rPr>
        <w:t xml:space="preserve"> in our peach puree.  We used Flavorich peaches, which are a hybrid of a Friar plum and an unnamed Pluot® (hybrid of apricot and plum) </w:t>
      </w:r>
      <w:r w:rsidRPr="002E776E">
        <w:rPr>
          <w:rFonts w:ascii="Times New Roman" w:hAnsi="Times New Roman"/>
          <w:noProof/>
          <w:sz w:val="24"/>
          <w:szCs w:val="24"/>
        </w:rPr>
        <w:t>(</w:t>
      </w:r>
      <w:r>
        <w:rPr>
          <w:rFonts w:ascii="Times New Roman" w:hAnsi="Times New Roman"/>
          <w:noProof/>
          <w:sz w:val="24"/>
          <w:szCs w:val="24"/>
        </w:rPr>
        <w:t>Dave Wilson nursery, 2010</w:t>
      </w:r>
      <w:r w:rsidRPr="002E776E">
        <w:rPr>
          <w:rFonts w:ascii="Times New Roman" w:hAnsi="Times New Roman"/>
          <w:noProof/>
          <w:sz w:val="24"/>
          <w:szCs w:val="24"/>
        </w:rPr>
        <w:t>)</w:t>
      </w:r>
      <w:r w:rsidRPr="002E776E">
        <w:rPr>
          <w:rFonts w:ascii="Times New Roman" w:hAnsi="Times New Roman"/>
          <w:sz w:val="24"/>
          <w:szCs w:val="24"/>
        </w:rPr>
        <w:t>, so our puree sample likely contained cyanidin and peonidin (anthocyanins).  In fact, the red color in plums is due to cyanidin and pe</w:t>
      </w:r>
      <w:r>
        <w:rPr>
          <w:rFonts w:ascii="Times New Roman" w:hAnsi="Times New Roman"/>
          <w:sz w:val="24"/>
          <w:szCs w:val="24"/>
        </w:rPr>
        <w:t>o</w:t>
      </w:r>
      <w:r w:rsidRPr="002E776E">
        <w:rPr>
          <w:rFonts w:ascii="Times New Roman" w:hAnsi="Times New Roman"/>
          <w:sz w:val="24"/>
          <w:szCs w:val="24"/>
        </w:rPr>
        <w:t xml:space="preserve">nidin </w:t>
      </w:r>
      <w:r w:rsidRPr="002E776E">
        <w:rPr>
          <w:rFonts w:ascii="Times New Roman" w:hAnsi="Times New Roman"/>
          <w:noProof/>
          <w:sz w:val="24"/>
          <w:szCs w:val="24"/>
        </w:rPr>
        <w:t>(Ahmed and others 2004)</w:t>
      </w:r>
      <w:r>
        <w:rPr>
          <w:rFonts w:ascii="Times New Roman" w:hAnsi="Times New Roman"/>
          <w:sz w:val="24"/>
          <w:szCs w:val="24"/>
        </w:rPr>
        <w:t xml:space="preserve">. </w:t>
      </w:r>
      <w:r w:rsidRPr="002E776E">
        <w:rPr>
          <w:rFonts w:ascii="Times New Roman" w:hAnsi="Times New Roman"/>
          <w:sz w:val="24"/>
          <w:szCs w:val="24"/>
        </w:rPr>
        <w:t xml:space="preserve"> The color changes of our peach samples are more complex than peaches tha</w:t>
      </w:r>
      <w:r>
        <w:rPr>
          <w:rFonts w:ascii="Times New Roman" w:hAnsi="Times New Roman"/>
          <w:sz w:val="24"/>
          <w:szCs w:val="24"/>
        </w:rPr>
        <w:t xml:space="preserve">t do not contain anthocyanins. </w:t>
      </w:r>
      <w:r w:rsidRPr="002E776E">
        <w:rPr>
          <w:rFonts w:ascii="Times New Roman" w:hAnsi="Times New Roman"/>
          <w:sz w:val="24"/>
          <w:szCs w:val="24"/>
        </w:rPr>
        <w:t xml:space="preserve"> For example, in reference to the lightness, it has been reported that anthocyanin pigments can react with AA producing color loss, and consequently, higher values of L* </w:t>
      </w:r>
      <w:r w:rsidRPr="002E776E">
        <w:rPr>
          <w:rFonts w:ascii="Times New Roman" w:hAnsi="Times New Roman"/>
          <w:noProof/>
          <w:sz w:val="24"/>
          <w:szCs w:val="24"/>
        </w:rPr>
        <w:t>(Poei-Langston and Wrolstad 1981)</w:t>
      </w:r>
      <w:r w:rsidRPr="002E776E">
        <w:rPr>
          <w:rFonts w:ascii="Times New Roman" w:hAnsi="Times New Roman"/>
          <w:sz w:val="24"/>
          <w:szCs w:val="24"/>
        </w:rPr>
        <w:t xml:space="preserve">.  These reactions would explain the increases in L* values at the early stages of storage.  The lower values obtained at the end of the storage are explained by the presence of brown polymers produced in non-enzymatic browning </w:t>
      </w:r>
      <w:r>
        <w:rPr>
          <w:rFonts w:ascii="Times New Roman" w:hAnsi="Times New Roman"/>
          <w:noProof/>
          <w:sz w:val="24"/>
          <w:szCs w:val="24"/>
        </w:rPr>
        <w:t>(Ibarz and others 1999)</w:t>
      </w:r>
      <w:r w:rsidRPr="002E776E">
        <w:rPr>
          <w:rFonts w:ascii="Times New Roman" w:hAnsi="Times New Roman"/>
          <w:sz w:val="24"/>
          <w:szCs w:val="24"/>
        </w:rPr>
        <w:t xml:space="preserve">.  In strawberry, blackberry and apple jellies, increases then decreases of L* values have been reported </w:t>
      </w:r>
      <w:r w:rsidRPr="002E776E">
        <w:rPr>
          <w:rFonts w:ascii="Times New Roman" w:hAnsi="Times New Roman"/>
          <w:noProof/>
          <w:sz w:val="24"/>
          <w:szCs w:val="24"/>
        </w:rPr>
        <w:t>(Freedman and Francis 1984)</w:t>
      </w:r>
      <w:r w:rsidRPr="002E776E">
        <w:rPr>
          <w:rFonts w:ascii="Times New Roman" w:hAnsi="Times New Roman"/>
          <w:sz w:val="24"/>
          <w:szCs w:val="24"/>
        </w:rPr>
        <w:t xml:space="preserve">.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As a result of the increases and </w:t>
      </w:r>
      <w:r>
        <w:rPr>
          <w:rFonts w:ascii="Times New Roman" w:hAnsi="Times New Roman"/>
          <w:sz w:val="24"/>
          <w:szCs w:val="24"/>
        </w:rPr>
        <w:t xml:space="preserve">then </w:t>
      </w:r>
      <w:r w:rsidRPr="002E776E">
        <w:rPr>
          <w:rFonts w:ascii="Times New Roman" w:hAnsi="Times New Roman"/>
          <w:sz w:val="24"/>
          <w:szCs w:val="24"/>
        </w:rPr>
        <w:t xml:space="preserve">decreases of L* values during storage, none of the treatments fitted either the zero, first, second and combined order kinetic models.  First order kinetic models have been successfully applied in L* data during heating at high temperatures (80-98°C) in peach </w:t>
      </w:r>
      <w:r>
        <w:rPr>
          <w:rFonts w:ascii="Times New Roman" w:hAnsi="Times New Roman"/>
          <w:noProof/>
          <w:sz w:val="24"/>
          <w:szCs w:val="24"/>
        </w:rPr>
        <w:t>(Ibarz and others 1999)</w:t>
      </w:r>
      <w:r w:rsidRPr="002E776E">
        <w:rPr>
          <w:rFonts w:ascii="Times New Roman" w:hAnsi="Times New Roman"/>
          <w:sz w:val="24"/>
          <w:szCs w:val="24"/>
        </w:rPr>
        <w:t xml:space="preserve"> and pear puree </w:t>
      </w:r>
      <w:r>
        <w:rPr>
          <w:rFonts w:ascii="Times New Roman" w:hAnsi="Times New Roman"/>
          <w:noProof/>
          <w:sz w:val="24"/>
          <w:szCs w:val="24"/>
        </w:rPr>
        <w:t>(Garza and others 1999)</w:t>
      </w:r>
      <w:r w:rsidRPr="002E776E">
        <w:rPr>
          <w:rFonts w:ascii="Times New Roman" w:hAnsi="Times New Roman"/>
          <w:sz w:val="24"/>
          <w:szCs w:val="24"/>
        </w:rPr>
        <w:t xml:space="preserve">.  The same model was applied for heating of apple, peach and plum pulp at 56-94°C </w:t>
      </w:r>
      <w:r w:rsidRPr="002E776E">
        <w:rPr>
          <w:rFonts w:ascii="Times New Roman" w:hAnsi="Times New Roman"/>
          <w:noProof/>
          <w:sz w:val="24"/>
          <w:szCs w:val="24"/>
        </w:rPr>
        <w:t>(Lozano and Ibarz 1996)</w:t>
      </w:r>
      <w:r w:rsidRPr="002E776E">
        <w:rPr>
          <w:rFonts w:ascii="Times New Roman" w:hAnsi="Times New Roman"/>
          <w:sz w:val="24"/>
          <w:szCs w:val="24"/>
        </w:rPr>
        <w:t xml:space="preserve">, and for heating of pineapple puree at 70-110°C.  In fact, during heating at 56°C and at 122.5°C, a </w:t>
      </w:r>
      <w:r w:rsidRPr="002E776E">
        <w:rPr>
          <w:rFonts w:ascii="Times New Roman" w:hAnsi="Times New Roman"/>
          <w:i/>
          <w:sz w:val="24"/>
          <w:szCs w:val="24"/>
        </w:rPr>
        <w:t>k</w:t>
      </w:r>
      <w:r w:rsidRPr="002E776E">
        <w:rPr>
          <w:rFonts w:ascii="Times New Roman" w:hAnsi="Times New Roman"/>
          <w:sz w:val="24"/>
          <w:szCs w:val="24"/>
        </w:rPr>
        <w:t xml:space="preserve"> of 16.34x10</w:t>
      </w:r>
      <w:r w:rsidRPr="002E776E">
        <w:rPr>
          <w:rFonts w:ascii="Times New Roman" w:hAnsi="Times New Roman"/>
          <w:sz w:val="24"/>
          <w:szCs w:val="24"/>
          <w:vertAlign w:val="superscript"/>
        </w:rPr>
        <w:t>-5</w:t>
      </w:r>
      <w:r w:rsidRPr="002E776E">
        <w:rPr>
          <w:rFonts w:ascii="Times New Roman" w:hAnsi="Times New Roman"/>
          <w:sz w:val="24"/>
          <w:szCs w:val="24"/>
        </w:rPr>
        <w:t xml:space="preserve">/min </w:t>
      </w:r>
      <w:r w:rsidRPr="002E776E">
        <w:rPr>
          <w:rFonts w:ascii="Times New Roman" w:hAnsi="Times New Roman"/>
          <w:noProof/>
          <w:sz w:val="24"/>
          <w:szCs w:val="24"/>
        </w:rPr>
        <w:t>(Lozano and Ibarz 1996)</w:t>
      </w:r>
      <w:r w:rsidRPr="002E776E">
        <w:rPr>
          <w:rFonts w:ascii="Times New Roman" w:hAnsi="Times New Roman"/>
          <w:sz w:val="24"/>
          <w:szCs w:val="24"/>
        </w:rPr>
        <w:t xml:space="preserve"> and of 2.9x10</w:t>
      </w:r>
      <w:r w:rsidRPr="002E776E">
        <w:rPr>
          <w:rFonts w:ascii="Times New Roman" w:hAnsi="Times New Roman"/>
          <w:sz w:val="24"/>
          <w:szCs w:val="24"/>
          <w:vertAlign w:val="superscript"/>
        </w:rPr>
        <w:t>-3</w:t>
      </w:r>
      <w:r w:rsidRPr="002E776E">
        <w:rPr>
          <w:rFonts w:ascii="Times New Roman" w:hAnsi="Times New Roman"/>
          <w:sz w:val="24"/>
          <w:szCs w:val="24"/>
        </w:rPr>
        <w:t xml:space="preserve">/min </w:t>
      </w:r>
      <w:r w:rsidRPr="002E776E">
        <w:rPr>
          <w:rFonts w:ascii="Times New Roman" w:hAnsi="Times New Roman"/>
          <w:noProof/>
          <w:sz w:val="24"/>
          <w:szCs w:val="24"/>
        </w:rPr>
        <w:t>(Avila and Silva 1999)</w:t>
      </w:r>
      <w:r w:rsidRPr="002E776E">
        <w:rPr>
          <w:rFonts w:ascii="Times New Roman" w:hAnsi="Times New Roman"/>
          <w:sz w:val="24"/>
          <w:szCs w:val="24"/>
        </w:rPr>
        <w:t xml:space="preserve"> </w:t>
      </w:r>
      <w:proofErr w:type="gramStart"/>
      <w:r w:rsidRPr="002E776E">
        <w:rPr>
          <w:rFonts w:ascii="Times New Roman" w:hAnsi="Times New Roman"/>
          <w:sz w:val="24"/>
          <w:szCs w:val="24"/>
        </w:rPr>
        <w:t>were</w:t>
      </w:r>
      <w:proofErr w:type="gramEnd"/>
      <w:r w:rsidRPr="002E776E">
        <w:rPr>
          <w:rFonts w:ascii="Times New Roman" w:hAnsi="Times New Roman"/>
          <w:sz w:val="24"/>
          <w:szCs w:val="24"/>
        </w:rPr>
        <w:t xml:space="preserve"> obtained in peach puree.  In pineapple juice, data obtained during heating at 55°C-95°C did not fit either zero, first or combined models </w:t>
      </w:r>
      <w:r w:rsidRPr="002E776E">
        <w:rPr>
          <w:rFonts w:ascii="Times New Roman" w:hAnsi="Times New Roman"/>
          <w:noProof/>
          <w:sz w:val="24"/>
          <w:szCs w:val="24"/>
        </w:rPr>
        <w:t>(Rattanathanalerk and others 2005)</w:t>
      </w:r>
      <w:r w:rsidRPr="002E776E">
        <w:rPr>
          <w:rFonts w:ascii="Times New Roman" w:hAnsi="Times New Roman"/>
          <w:sz w:val="24"/>
          <w:szCs w:val="24"/>
        </w:rPr>
        <w:t xml:space="preserve">. </w:t>
      </w:r>
    </w:p>
    <w:p w:rsidR="008C75DF" w:rsidRPr="00B40F1B" w:rsidRDefault="008C75DF" w:rsidP="008C75DF">
      <w:pPr>
        <w:pStyle w:val="ListParagraph"/>
        <w:spacing w:after="0" w:line="360" w:lineRule="auto"/>
        <w:ind w:left="0"/>
        <w:jc w:val="both"/>
        <w:rPr>
          <w:rFonts w:ascii="Times New Roman" w:hAnsi="Times New Roman"/>
          <w:sz w:val="28"/>
          <w:szCs w:val="28"/>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lastRenderedPageBreak/>
        <w:t xml:space="preserve">The variable tendency of the L* value during storage is the reason also of the low </w:t>
      </w:r>
      <w:r w:rsidRPr="002E776E">
        <w:rPr>
          <w:rFonts w:ascii="Times New Roman" w:hAnsi="Times New Roman"/>
          <w:i/>
          <w:sz w:val="24"/>
          <w:szCs w:val="24"/>
        </w:rPr>
        <w:t xml:space="preserve">r </w:t>
      </w:r>
      <w:r w:rsidRPr="002E776E">
        <w:rPr>
          <w:rFonts w:ascii="Times New Roman" w:hAnsi="Times New Roman"/>
          <w:sz w:val="24"/>
          <w:szCs w:val="24"/>
        </w:rPr>
        <w:t xml:space="preserve">obtained in reference to degradation of vitamin C (Table 5). </w:t>
      </w:r>
      <w:r>
        <w:rPr>
          <w:rFonts w:ascii="Times New Roman" w:hAnsi="Times New Roman"/>
          <w:sz w:val="24"/>
          <w:szCs w:val="24"/>
        </w:rPr>
        <w:t xml:space="preserve"> </w:t>
      </w:r>
      <w:r w:rsidRPr="002E776E">
        <w:rPr>
          <w:rFonts w:ascii="Times New Roman" w:hAnsi="Times New Roman"/>
          <w:sz w:val="24"/>
          <w:szCs w:val="24"/>
        </w:rPr>
        <w:t xml:space="preserve">Consequently, we do not consider that L* value is a good indicator of the degradation of ascorbic acid in Flavorich peach puree systems. </w:t>
      </w:r>
    </w:p>
    <w:p w:rsidR="008C75DF"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jc w:val="both"/>
        <w:rPr>
          <w:rFonts w:ascii="Times New Roman" w:hAnsi="Times New Roman"/>
          <w:i/>
          <w:sz w:val="24"/>
          <w:szCs w:val="24"/>
        </w:rPr>
      </w:pPr>
      <w:r w:rsidRPr="002E776E">
        <w:rPr>
          <w:rFonts w:ascii="Times New Roman" w:hAnsi="Times New Roman"/>
          <w:i/>
          <w:sz w:val="24"/>
          <w:szCs w:val="24"/>
        </w:rPr>
        <w:t>Color parameter a*</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proofErr w:type="gramStart"/>
      <w:r w:rsidRPr="002E776E">
        <w:rPr>
          <w:rFonts w:ascii="Times New Roman" w:hAnsi="Times New Roman"/>
          <w:sz w:val="24"/>
          <w:szCs w:val="24"/>
        </w:rPr>
        <w:t>The a</w:t>
      </w:r>
      <w:proofErr w:type="gramEnd"/>
      <w:r w:rsidRPr="002E776E">
        <w:rPr>
          <w:rFonts w:ascii="Times New Roman" w:hAnsi="Times New Roman"/>
          <w:sz w:val="24"/>
          <w:szCs w:val="24"/>
        </w:rPr>
        <w:t>* values had no significant treatment effects at day 0 (p&gt;0.05).  Consequently, both AA and A2P did not affect the natural reddish values at the beginning of the storage.  In AA-anth</w:t>
      </w:r>
      <w:r>
        <w:rPr>
          <w:rFonts w:ascii="Times New Roman" w:hAnsi="Times New Roman"/>
          <w:sz w:val="24"/>
          <w:szCs w:val="24"/>
        </w:rPr>
        <w:t>ocyanin model systems, at day 0 the</w:t>
      </w:r>
      <w:r w:rsidRPr="002E776E">
        <w:rPr>
          <w:rFonts w:ascii="Times New Roman" w:hAnsi="Times New Roman"/>
          <w:sz w:val="24"/>
          <w:szCs w:val="24"/>
        </w:rPr>
        <w:t xml:space="preserve"> samples with AA had lower hunter </w:t>
      </w:r>
      <w:proofErr w:type="gramStart"/>
      <w:r w:rsidRPr="002E776E">
        <w:rPr>
          <w:rFonts w:ascii="Times New Roman" w:hAnsi="Times New Roman"/>
          <w:sz w:val="24"/>
          <w:szCs w:val="24"/>
        </w:rPr>
        <w:t>a values</w:t>
      </w:r>
      <w:proofErr w:type="gramEnd"/>
      <w:r w:rsidRPr="002E776E">
        <w:rPr>
          <w:rFonts w:ascii="Times New Roman" w:hAnsi="Times New Roman"/>
          <w:sz w:val="24"/>
          <w:szCs w:val="24"/>
        </w:rPr>
        <w:t xml:space="preserve"> than samples with no AA </w:t>
      </w:r>
      <w:r w:rsidRPr="002E776E">
        <w:rPr>
          <w:rFonts w:ascii="Times New Roman" w:hAnsi="Times New Roman"/>
          <w:noProof/>
          <w:sz w:val="24"/>
          <w:szCs w:val="24"/>
        </w:rPr>
        <w:t>(Poei-Langston and Wrolstad 1981)</w:t>
      </w:r>
      <w:r w:rsidRPr="002E776E">
        <w:rPr>
          <w:rFonts w:ascii="Times New Roman" w:hAnsi="Times New Roman"/>
          <w:sz w:val="24"/>
          <w:szCs w:val="24"/>
        </w:rPr>
        <w:t xml:space="preserve">.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4050A5"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At 40°C, </w:t>
      </w:r>
      <w:proofErr w:type="gramStart"/>
      <w:r w:rsidRPr="002E776E">
        <w:rPr>
          <w:rFonts w:ascii="Times New Roman" w:hAnsi="Times New Roman"/>
          <w:sz w:val="24"/>
          <w:szCs w:val="24"/>
        </w:rPr>
        <w:t>the a</w:t>
      </w:r>
      <w:proofErr w:type="gramEnd"/>
      <w:r w:rsidRPr="002E776E">
        <w:rPr>
          <w:rFonts w:ascii="Times New Roman" w:hAnsi="Times New Roman"/>
          <w:sz w:val="24"/>
          <w:szCs w:val="24"/>
        </w:rPr>
        <w:t>* values in all treatments decreased throughout storage.  The AA treatment reached the lowest values, followed by the A2P treatment (Fig</w:t>
      </w:r>
      <w:r>
        <w:rPr>
          <w:rFonts w:ascii="Times New Roman" w:hAnsi="Times New Roman"/>
          <w:sz w:val="24"/>
          <w:szCs w:val="24"/>
        </w:rPr>
        <w:t>.</w:t>
      </w:r>
      <w:r w:rsidRPr="002E776E">
        <w:rPr>
          <w:rFonts w:ascii="Times New Roman" w:hAnsi="Times New Roman"/>
          <w:sz w:val="24"/>
          <w:szCs w:val="24"/>
        </w:rPr>
        <w:t xml:space="preserve"> </w:t>
      </w:r>
      <w:r>
        <w:rPr>
          <w:rFonts w:ascii="Times New Roman" w:hAnsi="Times New Roman"/>
          <w:sz w:val="24"/>
          <w:szCs w:val="24"/>
        </w:rPr>
        <w:t>7</w:t>
      </w:r>
      <w:r w:rsidRPr="002E776E">
        <w:rPr>
          <w:rFonts w:ascii="Times New Roman" w:hAnsi="Times New Roman"/>
          <w:sz w:val="24"/>
          <w:szCs w:val="24"/>
        </w:rPr>
        <w:t xml:space="preserve">).  The rate of decrease was faster during the first 10 days of storage.  There were significant differences (p&lt;0.05) among all treatments at day 10, and between control and the rest at days 20 and 30.  At 50°C, (Fig. </w:t>
      </w:r>
      <w:r>
        <w:rPr>
          <w:rFonts w:ascii="Times New Roman" w:hAnsi="Times New Roman"/>
          <w:sz w:val="24"/>
          <w:szCs w:val="24"/>
        </w:rPr>
        <w:t>8</w:t>
      </w:r>
      <w:r w:rsidRPr="002E776E">
        <w:rPr>
          <w:rFonts w:ascii="Times New Roman" w:hAnsi="Times New Roman"/>
          <w:sz w:val="24"/>
          <w:szCs w:val="24"/>
        </w:rPr>
        <w:t xml:space="preserve">) the same tendencies were also seen for the control and A2P samples; however, the values reached were lower than observed at 40°C.  </w:t>
      </w:r>
      <w:proofErr w:type="gramStart"/>
      <w:r w:rsidRPr="002E776E">
        <w:rPr>
          <w:rFonts w:ascii="Times New Roman" w:hAnsi="Times New Roman"/>
          <w:sz w:val="24"/>
          <w:szCs w:val="24"/>
        </w:rPr>
        <w:t>The a</w:t>
      </w:r>
      <w:proofErr w:type="gramEnd"/>
      <w:r w:rsidRPr="002E776E">
        <w:rPr>
          <w:rFonts w:ascii="Times New Roman" w:hAnsi="Times New Roman"/>
          <w:sz w:val="24"/>
          <w:szCs w:val="24"/>
        </w:rPr>
        <w:t xml:space="preserve">* values of AA treatment slightly increased after 20 days of storage.  Significant differences were reported at day 10 (p&lt;0.05) between the control and the other treatments.  At 60°C (Fig. </w:t>
      </w:r>
      <w:r>
        <w:rPr>
          <w:rFonts w:ascii="Times New Roman" w:hAnsi="Times New Roman"/>
          <w:sz w:val="24"/>
          <w:szCs w:val="24"/>
        </w:rPr>
        <w:t>9</w:t>
      </w:r>
      <w:r w:rsidRPr="002E776E">
        <w:rPr>
          <w:rFonts w:ascii="Times New Roman" w:hAnsi="Times New Roman"/>
          <w:sz w:val="24"/>
          <w:szCs w:val="24"/>
        </w:rPr>
        <w:t xml:space="preserve">), all treatments showed a parabolic behavior.  As observed with the L* value, </w:t>
      </w:r>
      <w:r w:rsidRPr="004050A5">
        <w:rPr>
          <w:rFonts w:ascii="Times New Roman" w:hAnsi="Times New Roman"/>
          <w:sz w:val="24"/>
          <w:szCs w:val="24"/>
        </w:rPr>
        <w:t>the lowest values were seen at day 10 for the AA and A2P treatments, but at day 20 for the control.  At day 10, each sample was different from the others (p&lt;0.05).</w:t>
      </w:r>
    </w:p>
    <w:p w:rsidR="008C75DF" w:rsidRPr="004050A5" w:rsidRDefault="008C75DF" w:rsidP="008C75DF">
      <w:pPr>
        <w:pStyle w:val="ListParagraph"/>
        <w:spacing w:after="0" w:line="360" w:lineRule="auto"/>
        <w:ind w:left="0" w:firstLine="708"/>
        <w:jc w:val="both"/>
        <w:rPr>
          <w:rFonts w:ascii="Times New Roman" w:hAnsi="Times New Roman"/>
          <w:sz w:val="24"/>
          <w:szCs w:val="24"/>
        </w:rPr>
      </w:pPr>
      <w:r w:rsidRPr="004050A5">
        <w:rPr>
          <w:rFonts w:ascii="Times New Roman" w:hAnsi="Times New Roman"/>
          <w:sz w:val="24"/>
          <w:szCs w:val="24"/>
        </w:rPr>
        <w:t xml:space="preserve"> </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4050A5">
        <w:rPr>
          <w:rFonts w:ascii="Times New Roman" w:hAnsi="Times New Roman"/>
          <w:sz w:val="24"/>
          <w:szCs w:val="24"/>
        </w:rPr>
        <w:t xml:space="preserve">In summary, the decrease in a* seen at 40°C and 50°C indicates decrease in the redness of the samples. </w:t>
      </w:r>
      <w:r>
        <w:rPr>
          <w:rFonts w:ascii="Times New Roman" w:hAnsi="Times New Roman"/>
          <w:sz w:val="24"/>
          <w:szCs w:val="24"/>
        </w:rPr>
        <w:t xml:space="preserve"> In contrast, the increase</w:t>
      </w:r>
      <w:r w:rsidRPr="004050A5">
        <w:rPr>
          <w:rFonts w:ascii="Times New Roman" w:hAnsi="Times New Roman"/>
          <w:sz w:val="24"/>
          <w:szCs w:val="24"/>
        </w:rPr>
        <w:t xml:space="preserve"> in </w:t>
      </w:r>
      <w:proofErr w:type="gramStart"/>
      <w:r w:rsidRPr="004050A5">
        <w:rPr>
          <w:rFonts w:ascii="Times New Roman" w:hAnsi="Times New Roman"/>
          <w:sz w:val="24"/>
          <w:szCs w:val="24"/>
        </w:rPr>
        <w:t>the a</w:t>
      </w:r>
      <w:proofErr w:type="gramEnd"/>
      <w:r w:rsidRPr="004050A5">
        <w:rPr>
          <w:rFonts w:ascii="Times New Roman" w:hAnsi="Times New Roman"/>
          <w:sz w:val="24"/>
          <w:szCs w:val="24"/>
        </w:rPr>
        <w:t xml:space="preserve">* values observed in the samples stored at 60°C at 20 days corresponded to a more reddish color.  It has been explained </w:t>
      </w:r>
      <w:r>
        <w:rPr>
          <w:rFonts w:ascii="Times New Roman" w:hAnsi="Times New Roman"/>
          <w:sz w:val="24"/>
          <w:szCs w:val="24"/>
        </w:rPr>
        <w:t xml:space="preserve">that </w:t>
      </w:r>
      <w:r w:rsidRPr="004050A5">
        <w:rPr>
          <w:rFonts w:ascii="Times New Roman" w:hAnsi="Times New Roman"/>
          <w:sz w:val="24"/>
          <w:szCs w:val="24"/>
        </w:rPr>
        <w:t>in a</w:t>
      </w:r>
      <w:r>
        <w:rPr>
          <w:rFonts w:ascii="Times New Roman" w:hAnsi="Times New Roman"/>
          <w:sz w:val="24"/>
          <w:szCs w:val="24"/>
        </w:rPr>
        <w:t>nthocyanin-AA model systems,</w:t>
      </w:r>
      <w:r w:rsidRPr="004050A5">
        <w:rPr>
          <w:rFonts w:ascii="Times New Roman" w:hAnsi="Times New Roman"/>
          <w:sz w:val="24"/>
          <w:szCs w:val="24"/>
        </w:rPr>
        <w:t xml:space="preserve"> a reduction in a* value during the first weeks of storage at 20°C indicates loss of redness</w:t>
      </w:r>
      <w:r>
        <w:rPr>
          <w:rFonts w:ascii="Times New Roman" w:hAnsi="Times New Roman"/>
          <w:sz w:val="24"/>
          <w:szCs w:val="24"/>
        </w:rPr>
        <w:t>,</w:t>
      </w:r>
      <w:r w:rsidRPr="004050A5">
        <w:rPr>
          <w:rFonts w:ascii="Times New Roman" w:hAnsi="Times New Roman"/>
          <w:sz w:val="24"/>
          <w:szCs w:val="24"/>
        </w:rPr>
        <w:t xml:space="preserve"> which is explained by the loss of anthocyanin pigments </w:t>
      </w:r>
      <w:r w:rsidRPr="004050A5">
        <w:rPr>
          <w:rFonts w:ascii="Times New Roman" w:hAnsi="Times New Roman"/>
          <w:noProof/>
          <w:sz w:val="24"/>
          <w:szCs w:val="24"/>
        </w:rPr>
        <w:t>(Poei-Langston and Wrolstad 1981)</w:t>
      </w:r>
      <w:r w:rsidRPr="002E776E">
        <w:rPr>
          <w:rFonts w:ascii="Times New Roman" w:hAnsi="Times New Roman"/>
          <w:sz w:val="24"/>
          <w:szCs w:val="24"/>
        </w:rPr>
        <w:t xml:space="preserve">.  It has been observed that at acidic conditions and at room temperature, anthocyanins are discolored </w:t>
      </w:r>
      <w:r w:rsidRPr="002E776E">
        <w:rPr>
          <w:rFonts w:ascii="Times New Roman" w:hAnsi="Times New Roman"/>
          <w:noProof/>
          <w:sz w:val="24"/>
          <w:szCs w:val="24"/>
        </w:rPr>
        <w:t>(Lozano and Ibarz 1996)</w:t>
      </w:r>
      <w:r w:rsidRPr="002E776E">
        <w:rPr>
          <w:rFonts w:ascii="Times New Roman" w:hAnsi="Times New Roman"/>
          <w:sz w:val="24"/>
          <w:szCs w:val="24"/>
        </w:rPr>
        <w:t xml:space="preserve">.  This explains </w:t>
      </w:r>
      <w:proofErr w:type="gramStart"/>
      <w:r w:rsidRPr="002E776E">
        <w:rPr>
          <w:rFonts w:ascii="Times New Roman" w:hAnsi="Times New Roman"/>
          <w:sz w:val="24"/>
          <w:szCs w:val="24"/>
        </w:rPr>
        <w:t>the a</w:t>
      </w:r>
      <w:proofErr w:type="gramEnd"/>
      <w:r w:rsidRPr="002E776E">
        <w:rPr>
          <w:rFonts w:ascii="Times New Roman" w:hAnsi="Times New Roman"/>
          <w:sz w:val="24"/>
          <w:szCs w:val="24"/>
        </w:rPr>
        <w:t>* decreas</w:t>
      </w:r>
      <w:r>
        <w:rPr>
          <w:rFonts w:ascii="Times New Roman" w:hAnsi="Times New Roman"/>
          <w:sz w:val="24"/>
          <w:szCs w:val="24"/>
        </w:rPr>
        <w:t>e in our results.  The increase in a* value observed</w:t>
      </w:r>
      <w:r w:rsidRPr="002E776E">
        <w:rPr>
          <w:rFonts w:ascii="Times New Roman" w:hAnsi="Times New Roman"/>
          <w:sz w:val="24"/>
          <w:szCs w:val="24"/>
        </w:rPr>
        <w:t xml:space="preserve"> at 60°C in all samples and at 50°C in the AA treatment are explained by the </w:t>
      </w:r>
      <w:r w:rsidRPr="002E776E">
        <w:rPr>
          <w:rFonts w:ascii="Times New Roman" w:hAnsi="Times New Roman"/>
          <w:sz w:val="24"/>
          <w:szCs w:val="24"/>
        </w:rPr>
        <w:lastRenderedPageBreak/>
        <w:t xml:space="preserve">presence of brown polymers due to the nonenzymatic browning reactions.  Research conducted in peach, pineapple and pear purees, showed that the tendency of a* values is to increase </w:t>
      </w:r>
      <w:r>
        <w:rPr>
          <w:rFonts w:ascii="Times New Roman" w:hAnsi="Times New Roman"/>
          <w:noProof/>
          <w:sz w:val="24"/>
          <w:szCs w:val="24"/>
        </w:rPr>
        <w:t>(Avila and Silva 1999; Chutintrasri and Noomhorm 200</w:t>
      </w:r>
      <w:r w:rsidR="00CC7D02">
        <w:rPr>
          <w:rFonts w:ascii="Times New Roman" w:hAnsi="Times New Roman"/>
          <w:noProof/>
          <w:sz w:val="24"/>
          <w:szCs w:val="24"/>
        </w:rPr>
        <w:t>7</w:t>
      </w:r>
      <w:r>
        <w:rPr>
          <w:rFonts w:ascii="Times New Roman" w:hAnsi="Times New Roman"/>
          <w:noProof/>
          <w:sz w:val="24"/>
          <w:szCs w:val="24"/>
        </w:rPr>
        <w:t>; Ibarz and others 1999)</w:t>
      </w:r>
      <w:r w:rsidRPr="002E776E">
        <w:rPr>
          <w:rFonts w:ascii="Times New Roman" w:hAnsi="Times New Roman"/>
          <w:sz w:val="24"/>
          <w:szCs w:val="24"/>
        </w:rPr>
        <w:t xml:space="preserve">.  Due to the yellow and white color of these samples, we believe that the brown pigments due to melanoidins are more obvious from the beginning of the heating period.  Also, discoloration due to degradation of pigments must not be probable in these studies, especially since AA has a stabilizing effect on carotenoids </w:t>
      </w:r>
      <w:r w:rsidRPr="002E776E">
        <w:rPr>
          <w:rFonts w:ascii="Times New Roman" w:hAnsi="Times New Roman"/>
          <w:noProof/>
          <w:sz w:val="24"/>
          <w:szCs w:val="24"/>
        </w:rPr>
        <w:t>(Steskova and others 2006)</w:t>
      </w:r>
      <w:r w:rsidRPr="002E776E">
        <w:rPr>
          <w:rFonts w:ascii="Times New Roman" w:hAnsi="Times New Roman"/>
          <w:sz w:val="24"/>
          <w:szCs w:val="24"/>
        </w:rPr>
        <w:t xml:space="preserve">.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Pr>
          <w:rFonts w:ascii="Times New Roman" w:hAnsi="Times New Roman"/>
          <w:sz w:val="24"/>
          <w:szCs w:val="24"/>
        </w:rPr>
        <w:t>Color data could not be fit</w:t>
      </w:r>
      <w:r w:rsidRPr="002E776E">
        <w:rPr>
          <w:rFonts w:ascii="Times New Roman" w:hAnsi="Times New Roman"/>
          <w:sz w:val="24"/>
          <w:szCs w:val="24"/>
        </w:rPr>
        <w:t xml:space="preserve"> to either zero, first or second order reaction models.  After a</w:t>
      </w:r>
      <w:r>
        <w:rPr>
          <w:rFonts w:ascii="Times New Roman" w:hAnsi="Times New Roman"/>
          <w:sz w:val="24"/>
          <w:szCs w:val="24"/>
        </w:rPr>
        <w:t>pplying the combined model, only</w:t>
      </w:r>
      <w:r w:rsidRPr="002E776E">
        <w:rPr>
          <w:rFonts w:ascii="Times New Roman" w:hAnsi="Times New Roman"/>
          <w:sz w:val="24"/>
          <w:szCs w:val="24"/>
        </w:rPr>
        <w:t xml:space="preserve"> the control treatment at all temperatures of storage and the AA and A2P samples </w:t>
      </w:r>
      <w:r>
        <w:rPr>
          <w:rFonts w:ascii="Times New Roman" w:hAnsi="Times New Roman"/>
          <w:sz w:val="24"/>
          <w:szCs w:val="24"/>
        </w:rPr>
        <w:t>at 40°C were successfully fit</w:t>
      </w:r>
      <w:r w:rsidRPr="002E776E">
        <w:rPr>
          <w:rFonts w:ascii="Times New Roman" w:hAnsi="Times New Roman"/>
          <w:sz w:val="24"/>
          <w:szCs w:val="24"/>
        </w:rPr>
        <w:t xml:space="preserve"> (Table 4).  The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vertAlign w:val="subscript"/>
        </w:rPr>
        <w:t xml:space="preserve"> </w:t>
      </w:r>
      <w:r w:rsidRPr="002E776E">
        <w:rPr>
          <w:rFonts w:ascii="Times New Roman" w:hAnsi="Times New Roman"/>
          <w:sz w:val="24"/>
          <w:szCs w:val="24"/>
        </w:rPr>
        <w:t xml:space="preserve">and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 xml:space="preserve"> are the rate constants for the color formation and color destruction of the nonenzymatic browning, respectively </w:t>
      </w:r>
      <w:r>
        <w:rPr>
          <w:rFonts w:ascii="Times New Roman" w:hAnsi="Times New Roman"/>
          <w:noProof/>
          <w:sz w:val="24"/>
          <w:szCs w:val="24"/>
        </w:rPr>
        <w:t>(Ibarz and others 1999)</w:t>
      </w:r>
      <w:r w:rsidRPr="002E776E">
        <w:rPr>
          <w:rFonts w:ascii="Times New Roman" w:hAnsi="Times New Roman"/>
          <w:sz w:val="24"/>
          <w:szCs w:val="24"/>
        </w:rPr>
        <w:t xml:space="preserve">.  As explained earlier, it seems that the reactions involved in the color changes are more complex due to the probably presence of anthocyanins and other pigments, making it hard to interpret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vertAlign w:val="subscript"/>
        </w:rPr>
        <w:t xml:space="preserve"> </w:t>
      </w:r>
      <w:r w:rsidRPr="002E776E">
        <w:rPr>
          <w:rFonts w:ascii="Times New Roman" w:hAnsi="Times New Roman"/>
          <w:sz w:val="24"/>
          <w:szCs w:val="24"/>
        </w:rPr>
        <w:t xml:space="preserve">and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 xml:space="preserve">.  However, the higher values of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vertAlign w:val="subscript"/>
        </w:rPr>
        <w:t xml:space="preserve"> </w:t>
      </w:r>
      <w:r w:rsidRPr="002E776E">
        <w:rPr>
          <w:rFonts w:ascii="Times New Roman" w:hAnsi="Times New Roman"/>
          <w:sz w:val="24"/>
          <w:szCs w:val="24"/>
        </w:rPr>
        <w:t xml:space="preserve">indicate that the rate constant of the reactions at the beginning of the storage were much faster.  The irregular tendencies observed during storage at 50°C and 60°C (Fig. </w:t>
      </w:r>
      <w:r>
        <w:rPr>
          <w:rFonts w:ascii="Times New Roman" w:hAnsi="Times New Roman"/>
          <w:sz w:val="24"/>
          <w:szCs w:val="24"/>
        </w:rPr>
        <w:t>10</w:t>
      </w:r>
      <w:r w:rsidRPr="002E776E">
        <w:rPr>
          <w:rFonts w:ascii="Times New Roman" w:hAnsi="Times New Roman"/>
          <w:sz w:val="24"/>
          <w:szCs w:val="24"/>
        </w:rPr>
        <w:t xml:space="preserve"> and 1</w:t>
      </w:r>
      <w:r>
        <w:rPr>
          <w:rFonts w:ascii="Times New Roman" w:hAnsi="Times New Roman"/>
          <w:sz w:val="24"/>
          <w:szCs w:val="24"/>
        </w:rPr>
        <w:t>1</w:t>
      </w:r>
      <w:r w:rsidRPr="002E776E">
        <w:rPr>
          <w:rFonts w:ascii="Times New Roman" w:hAnsi="Times New Roman"/>
          <w:sz w:val="24"/>
          <w:szCs w:val="24"/>
        </w:rPr>
        <w:t xml:space="preserve">) resulted in data that did not fit any of models examined.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One published study reported that during heating of peach pu</w:t>
      </w:r>
      <w:r>
        <w:rPr>
          <w:rFonts w:ascii="Times New Roman" w:hAnsi="Times New Roman"/>
          <w:sz w:val="24"/>
          <w:szCs w:val="24"/>
        </w:rPr>
        <w:t>ree at 122.5°C, a* values fit</w:t>
      </w:r>
      <w:r w:rsidRPr="002E776E">
        <w:rPr>
          <w:rFonts w:ascii="Times New Roman" w:hAnsi="Times New Roman"/>
          <w:sz w:val="24"/>
          <w:szCs w:val="24"/>
        </w:rPr>
        <w:t xml:space="preserve"> a combined kinetic model </w:t>
      </w:r>
      <w:r w:rsidRPr="002E776E">
        <w:rPr>
          <w:rFonts w:ascii="Times New Roman" w:hAnsi="Times New Roman"/>
          <w:noProof/>
          <w:sz w:val="24"/>
          <w:szCs w:val="24"/>
        </w:rPr>
        <w:t>(Avila and Silva 1999)</w:t>
      </w:r>
      <w:r w:rsidRPr="002E776E">
        <w:rPr>
          <w:rFonts w:ascii="Times New Roman" w:hAnsi="Times New Roman"/>
          <w:sz w:val="24"/>
          <w:szCs w:val="24"/>
        </w:rPr>
        <w:t xml:space="preserve">.  In this study, the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rPr>
        <w:t xml:space="preserve"> and</w:t>
      </w:r>
      <w:r w:rsidRPr="002E776E">
        <w:rPr>
          <w:rFonts w:ascii="Times New Roman" w:hAnsi="Times New Roman"/>
          <w:i/>
          <w:sz w:val="24"/>
          <w:szCs w:val="24"/>
        </w:rPr>
        <w:t xml:space="preserve"> k</w:t>
      </w:r>
      <w:r w:rsidRPr="002E776E">
        <w:rPr>
          <w:rFonts w:ascii="Times New Roman" w:hAnsi="Times New Roman"/>
          <w:i/>
          <w:sz w:val="24"/>
          <w:szCs w:val="24"/>
          <w:vertAlign w:val="subscript"/>
        </w:rPr>
        <w:t>1</w:t>
      </w:r>
      <w:r w:rsidRPr="002E776E">
        <w:rPr>
          <w:rFonts w:ascii="Times New Roman" w:hAnsi="Times New Roman"/>
          <w:sz w:val="24"/>
          <w:szCs w:val="24"/>
        </w:rPr>
        <w:t xml:space="preserve"> obtained were 0.03 and 2.9x10</w:t>
      </w:r>
      <w:r w:rsidRPr="002E776E">
        <w:rPr>
          <w:rFonts w:ascii="Times New Roman" w:hAnsi="Times New Roman"/>
          <w:sz w:val="24"/>
          <w:szCs w:val="24"/>
          <w:vertAlign w:val="superscript"/>
        </w:rPr>
        <w:t>-3</w:t>
      </w:r>
      <w:r w:rsidRPr="002E776E">
        <w:rPr>
          <w:rFonts w:ascii="Times New Roman" w:hAnsi="Times New Roman"/>
          <w:sz w:val="24"/>
          <w:szCs w:val="24"/>
        </w:rPr>
        <w:t xml:space="preserve">/min, respectively.  These values are much lower than those obtained in our research (Table 4).  In pineapple juice and puree, during heating at 55-95°C and 70-110°C, respectively, first and zero order reaction models were successfully applied </w:t>
      </w:r>
      <w:r>
        <w:rPr>
          <w:rFonts w:ascii="Times New Roman" w:hAnsi="Times New Roman"/>
          <w:noProof/>
          <w:sz w:val="24"/>
          <w:szCs w:val="24"/>
        </w:rPr>
        <w:t>(Rattanathanalerk and others 2005; Chutintrasri and Noomhorm 200</w:t>
      </w:r>
      <w:r w:rsidR="00CC7D02">
        <w:rPr>
          <w:rFonts w:ascii="Times New Roman" w:hAnsi="Times New Roman"/>
          <w:noProof/>
          <w:sz w:val="24"/>
          <w:szCs w:val="24"/>
        </w:rPr>
        <w:t>7</w:t>
      </w:r>
      <w:r>
        <w:rPr>
          <w:rFonts w:ascii="Times New Roman" w:hAnsi="Times New Roman"/>
          <w:noProof/>
          <w:sz w:val="24"/>
          <w:szCs w:val="24"/>
        </w:rPr>
        <w:t>)</w:t>
      </w:r>
      <w:r w:rsidRPr="002E776E">
        <w:rPr>
          <w:rFonts w:ascii="Times New Roman" w:hAnsi="Times New Roman"/>
          <w:sz w:val="24"/>
          <w:szCs w:val="24"/>
        </w:rPr>
        <w:t xml:space="preserve">.  The </w:t>
      </w:r>
      <w:r w:rsidRPr="002E776E">
        <w:rPr>
          <w:rFonts w:ascii="Times New Roman" w:hAnsi="Times New Roman"/>
          <w:i/>
          <w:sz w:val="24"/>
          <w:szCs w:val="24"/>
        </w:rPr>
        <w:t>k</w:t>
      </w:r>
      <w:r w:rsidRPr="002E776E">
        <w:rPr>
          <w:rFonts w:ascii="Times New Roman" w:hAnsi="Times New Roman"/>
          <w:sz w:val="24"/>
          <w:szCs w:val="24"/>
        </w:rPr>
        <w:t xml:space="preserve"> obtained in these studies </w:t>
      </w:r>
      <w:proofErr w:type="gramStart"/>
      <w:r w:rsidRPr="002E776E">
        <w:rPr>
          <w:rFonts w:ascii="Times New Roman" w:hAnsi="Times New Roman"/>
          <w:sz w:val="24"/>
          <w:szCs w:val="24"/>
        </w:rPr>
        <w:t>were</w:t>
      </w:r>
      <w:proofErr w:type="gramEnd"/>
      <w:r w:rsidRPr="002E776E">
        <w:rPr>
          <w:rFonts w:ascii="Times New Roman" w:hAnsi="Times New Roman"/>
          <w:sz w:val="24"/>
          <w:szCs w:val="24"/>
        </w:rPr>
        <w:t xml:space="preserve"> between 0.5 to 2.4 x10</w:t>
      </w:r>
      <w:r w:rsidRPr="002E776E">
        <w:rPr>
          <w:rFonts w:ascii="Times New Roman" w:hAnsi="Times New Roman"/>
          <w:sz w:val="24"/>
          <w:szCs w:val="24"/>
          <w:vertAlign w:val="superscript"/>
        </w:rPr>
        <w:t>-3</w:t>
      </w:r>
      <w:r w:rsidRPr="002E776E">
        <w:rPr>
          <w:rFonts w:ascii="Times New Roman" w:hAnsi="Times New Roman"/>
          <w:sz w:val="24"/>
          <w:szCs w:val="24"/>
        </w:rPr>
        <w:t>/min, and 0.34 to 4.25 x10</w:t>
      </w:r>
      <w:r w:rsidRPr="002E776E">
        <w:rPr>
          <w:rFonts w:ascii="Times New Roman" w:hAnsi="Times New Roman"/>
          <w:sz w:val="24"/>
          <w:szCs w:val="24"/>
          <w:vertAlign w:val="superscript"/>
        </w:rPr>
        <w:t>-3</w:t>
      </w:r>
      <w:r w:rsidRPr="002E776E">
        <w:rPr>
          <w:rFonts w:ascii="Times New Roman" w:hAnsi="Times New Roman"/>
          <w:sz w:val="24"/>
          <w:szCs w:val="24"/>
        </w:rPr>
        <w:t xml:space="preserve">/min </w:t>
      </w:r>
      <w:r>
        <w:rPr>
          <w:rFonts w:ascii="Times New Roman" w:hAnsi="Times New Roman"/>
          <w:sz w:val="24"/>
          <w:szCs w:val="24"/>
        </w:rPr>
        <w:t>for the juice and puree</w:t>
      </w:r>
      <w:r w:rsidRPr="002E776E">
        <w:rPr>
          <w:rFonts w:ascii="Times New Roman" w:hAnsi="Times New Roman"/>
          <w:sz w:val="24"/>
          <w:szCs w:val="24"/>
        </w:rPr>
        <w:t xml:space="preserve">, respectively. </w:t>
      </w:r>
      <w:r>
        <w:rPr>
          <w:rFonts w:ascii="Times New Roman" w:hAnsi="Times New Roman"/>
          <w:sz w:val="24"/>
          <w:szCs w:val="24"/>
        </w:rPr>
        <w:t xml:space="preserve"> </w:t>
      </w:r>
      <w:r w:rsidRPr="002E776E">
        <w:rPr>
          <w:rFonts w:ascii="Times New Roman" w:hAnsi="Times New Roman"/>
          <w:sz w:val="24"/>
          <w:szCs w:val="24"/>
        </w:rPr>
        <w:t xml:space="preserve">During heating of pear puree at 80-98°C, the a* values followed a combined kinetic model; however, the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 xml:space="preserve"> (pigment destruction rate) did not report</w:t>
      </w:r>
      <w:r>
        <w:rPr>
          <w:rFonts w:ascii="Times New Roman" w:hAnsi="Times New Roman"/>
          <w:sz w:val="24"/>
          <w:szCs w:val="24"/>
        </w:rPr>
        <w:t>edly follow a</w:t>
      </w:r>
      <w:r w:rsidRPr="002E776E">
        <w:rPr>
          <w:rFonts w:ascii="Times New Roman" w:hAnsi="Times New Roman"/>
          <w:sz w:val="24"/>
          <w:szCs w:val="24"/>
        </w:rPr>
        <w:t xml:space="preserve"> clear pattern since at 80°C, the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 xml:space="preserve"> was higher than at 85°C </w:t>
      </w:r>
      <w:r>
        <w:rPr>
          <w:rFonts w:ascii="Times New Roman" w:hAnsi="Times New Roman"/>
          <w:noProof/>
          <w:sz w:val="24"/>
          <w:szCs w:val="24"/>
        </w:rPr>
        <w:t>(Ibarz and others 1999)</w:t>
      </w:r>
      <w:r w:rsidRPr="002E776E">
        <w:rPr>
          <w:rFonts w:ascii="Times New Roman" w:hAnsi="Times New Roman"/>
          <w:sz w:val="24"/>
          <w:szCs w:val="24"/>
        </w:rPr>
        <w:t>.  Similar results were obtained in our study, but for both rate constants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vertAlign w:val="subscript"/>
        </w:rPr>
        <w:t xml:space="preserve"> </w:t>
      </w:r>
      <w:r w:rsidRPr="002E776E">
        <w:rPr>
          <w:rFonts w:ascii="Times New Roman" w:hAnsi="Times New Roman"/>
          <w:sz w:val="24"/>
          <w:szCs w:val="24"/>
        </w:rPr>
        <w:t xml:space="preserve">and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 xml:space="preserve">).  In fact, as we can see in Table 2, the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vertAlign w:val="subscript"/>
        </w:rPr>
        <w:t xml:space="preserve"> </w:t>
      </w:r>
      <w:r w:rsidRPr="002E776E">
        <w:rPr>
          <w:rFonts w:ascii="Times New Roman" w:hAnsi="Times New Roman"/>
          <w:sz w:val="24"/>
          <w:szCs w:val="24"/>
        </w:rPr>
        <w:t xml:space="preserve">value at 40°C in the control treatment was higher than at 50°C and 60°C; also, the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 xml:space="preserve"> obtained at 50°C was higher </w:t>
      </w:r>
      <w:r w:rsidRPr="002E776E">
        <w:rPr>
          <w:rFonts w:ascii="Times New Roman" w:hAnsi="Times New Roman"/>
          <w:sz w:val="24"/>
          <w:szCs w:val="24"/>
        </w:rPr>
        <w:lastRenderedPageBreak/>
        <w:t>than the one obtained at 60°C. These patterns prevent us from calculating the energy of activation (E</w:t>
      </w:r>
      <w:r w:rsidRPr="002E776E">
        <w:rPr>
          <w:rFonts w:ascii="Times New Roman" w:hAnsi="Times New Roman"/>
          <w:sz w:val="24"/>
          <w:szCs w:val="24"/>
          <w:vertAlign w:val="subscript"/>
        </w:rPr>
        <w:t>a</w:t>
      </w:r>
      <w:r w:rsidRPr="002E776E">
        <w:rPr>
          <w:rFonts w:ascii="Times New Roman" w:hAnsi="Times New Roman"/>
          <w:sz w:val="24"/>
          <w:szCs w:val="24"/>
        </w:rPr>
        <w:t xml:space="preserve">) in the control treatment.  </w:t>
      </w:r>
    </w:p>
    <w:p w:rsidR="00055C52" w:rsidRPr="002E776E" w:rsidRDefault="00055C52" w:rsidP="008C75DF">
      <w:pPr>
        <w:pStyle w:val="ListParagraph"/>
        <w:spacing w:after="0" w:line="360" w:lineRule="auto"/>
        <w:ind w:left="0" w:firstLine="708"/>
        <w:jc w:val="both"/>
        <w:rPr>
          <w:rFonts w:ascii="Times New Roman" w:hAnsi="Times New Roman"/>
          <w:sz w:val="24"/>
          <w:szCs w:val="24"/>
        </w:rPr>
      </w:pPr>
    </w:p>
    <w:p w:rsidR="008C75DF"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In Table 2 we can observe that a* value was the color parameter which best correlated with vitamin C degradation at all temperatures. This result seems to be logical due to the initial red color of the puree.</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 </w:t>
      </w:r>
    </w:p>
    <w:p w:rsidR="008C75DF" w:rsidRPr="002E776E" w:rsidRDefault="008C75DF" w:rsidP="008C75DF">
      <w:pPr>
        <w:pStyle w:val="ListParagraph"/>
        <w:spacing w:after="0" w:line="360" w:lineRule="auto"/>
        <w:ind w:left="0"/>
        <w:jc w:val="both"/>
        <w:rPr>
          <w:rFonts w:ascii="Times New Roman" w:hAnsi="Times New Roman"/>
          <w:i/>
          <w:sz w:val="24"/>
          <w:szCs w:val="24"/>
        </w:rPr>
      </w:pPr>
      <w:r w:rsidRPr="002E776E">
        <w:rPr>
          <w:rFonts w:ascii="Times New Roman" w:hAnsi="Times New Roman"/>
          <w:i/>
          <w:sz w:val="24"/>
          <w:szCs w:val="24"/>
        </w:rPr>
        <w:t>Color parameter b*</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In Figs. 1</w:t>
      </w:r>
      <w:r>
        <w:rPr>
          <w:rFonts w:ascii="Times New Roman" w:hAnsi="Times New Roman"/>
          <w:sz w:val="24"/>
          <w:szCs w:val="24"/>
        </w:rPr>
        <w:t>0</w:t>
      </w:r>
      <w:r w:rsidRPr="002E776E">
        <w:rPr>
          <w:rFonts w:ascii="Times New Roman" w:hAnsi="Times New Roman"/>
          <w:sz w:val="24"/>
          <w:szCs w:val="24"/>
        </w:rPr>
        <w:t xml:space="preserve"> to 1</w:t>
      </w:r>
      <w:r>
        <w:rPr>
          <w:rFonts w:ascii="Times New Roman" w:hAnsi="Times New Roman"/>
          <w:sz w:val="24"/>
          <w:szCs w:val="24"/>
        </w:rPr>
        <w:t>2</w:t>
      </w:r>
      <w:r w:rsidRPr="002E776E">
        <w:rPr>
          <w:rFonts w:ascii="Times New Roman" w:hAnsi="Times New Roman"/>
          <w:sz w:val="24"/>
          <w:szCs w:val="24"/>
        </w:rPr>
        <w:t xml:space="preserve">, the b* values at day 0 of the storage were similar among the three treatments (p&gt;0.05).  These results agree with other studies which show that fortified samples with AA did not cause any effect on b* values at the beginning of the storage </w:t>
      </w:r>
      <w:r w:rsidRPr="002E776E">
        <w:rPr>
          <w:rFonts w:ascii="Times New Roman" w:hAnsi="Times New Roman"/>
          <w:noProof/>
          <w:sz w:val="24"/>
          <w:szCs w:val="24"/>
        </w:rPr>
        <w:t>(Freedman and Francis 1984)</w:t>
      </w:r>
      <w:r w:rsidRPr="002E776E">
        <w:rPr>
          <w:rFonts w:ascii="Times New Roman" w:hAnsi="Times New Roman"/>
          <w:sz w:val="24"/>
          <w:szCs w:val="24"/>
        </w:rPr>
        <w:t>.</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At 40°C (Fig. 1</w:t>
      </w:r>
      <w:r>
        <w:rPr>
          <w:rFonts w:ascii="Times New Roman" w:hAnsi="Times New Roman"/>
          <w:sz w:val="24"/>
          <w:szCs w:val="24"/>
        </w:rPr>
        <w:t>0</w:t>
      </w:r>
      <w:r w:rsidRPr="002E776E">
        <w:rPr>
          <w:rFonts w:ascii="Times New Roman" w:hAnsi="Times New Roman"/>
          <w:sz w:val="24"/>
          <w:szCs w:val="24"/>
        </w:rPr>
        <w:t xml:space="preserve">), the control samples had a linear tendency with slope 0 during storage while the samples with A2P had a tendency to increase.  </w:t>
      </w:r>
      <w:proofErr w:type="gramStart"/>
      <w:r w:rsidRPr="002E776E">
        <w:rPr>
          <w:rFonts w:ascii="Times New Roman" w:hAnsi="Times New Roman"/>
          <w:sz w:val="24"/>
          <w:szCs w:val="24"/>
        </w:rPr>
        <w:t>The b* values of the AA treatment increased until day 10, and then decreased until the end of the storage.</w:t>
      </w:r>
      <w:proofErr w:type="gramEnd"/>
      <w:r w:rsidRPr="002E776E">
        <w:rPr>
          <w:rFonts w:ascii="Times New Roman" w:hAnsi="Times New Roman"/>
          <w:sz w:val="24"/>
          <w:szCs w:val="24"/>
        </w:rPr>
        <w:t xml:space="preserve">  Significant differences (p&lt;0.05) at day 10, 20 and 29 were observed between control and the AA and A2P treatments. </w:t>
      </w:r>
      <w:r>
        <w:rPr>
          <w:rFonts w:ascii="Times New Roman" w:hAnsi="Times New Roman"/>
          <w:sz w:val="24"/>
          <w:szCs w:val="24"/>
        </w:rPr>
        <w:t xml:space="preserve"> </w:t>
      </w:r>
      <w:r w:rsidRPr="002E776E">
        <w:rPr>
          <w:rFonts w:ascii="Times New Roman" w:hAnsi="Times New Roman"/>
          <w:sz w:val="24"/>
          <w:szCs w:val="24"/>
        </w:rPr>
        <w:t>At 50°C (Fig. 1</w:t>
      </w:r>
      <w:r>
        <w:rPr>
          <w:rFonts w:ascii="Times New Roman" w:hAnsi="Times New Roman"/>
          <w:sz w:val="24"/>
          <w:szCs w:val="24"/>
        </w:rPr>
        <w:t>1</w:t>
      </w:r>
      <w:r w:rsidRPr="002E776E">
        <w:rPr>
          <w:rFonts w:ascii="Times New Roman" w:hAnsi="Times New Roman"/>
          <w:sz w:val="24"/>
          <w:szCs w:val="24"/>
        </w:rPr>
        <w:t>), the AA and A2P treatments had similar behavior.  They increased by day 10, and then the values were relatively stable.  The control treatment at this temperature had little change during time.  The only significant difference (p&lt;0.05) was observed at day 10, and it was between the control and the two treatments.  Finally, at 60°C (Fig. 1</w:t>
      </w:r>
      <w:r>
        <w:rPr>
          <w:rFonts w:ascii="Times New Roman" w:hAnsi="Times New Roman"/>
          <w:sz w:val="24"/>
          <w:szCs w:val="24"/>
        </w:rPr>
        <w:t>2</w:t>
      </w:r>
      <w:r w:rsidRPr="002E776E">
        <w:rPr>
          <w:rFonts w:ascii="Times New Roman" w:hAnsi="Times New Roman"/>
          <w:sz w:val="24"/>
          <w:szCs w:val="24"/>
        </w:rPr>
        <w:t>), the b* values incr</w:t>
      </w:r>
      <w:r>
        <w:rPr>
          <w:rFonts w:ascii="Times New Roman" w:hAnsi="Times New Roman"/>
          <w:sz w:val="24"/>
          <w:szCs w:val="24"/>
        </w:rPr>
        <w:t>e</w:t>
      </w:r>
      <w:r w:rsidRPr="002E776E">
        <w:rPr>
          <w:rFonts w:ascii="Times New Roman" w:hAnsi="Times New Roman"/>
          <w:sz w:val="24"/>
          <w:szCs w:val="24"/>
        </w:rPr>
        <w:t xml:space="preserve">ased at day 10 in both AA and A2P treatments, and then decreased.  The control treatment had a slight increase at days 20 and 30 of storage.  At this temperature, there were significant differences (p&lt;0.05) between the control and the rest of the treatments, and between control and AA treatment at day 10 and 20, respectively.  It has been discussed that anthocyanins can experience condensation reactions which produce yellow pigments </w:t>
      </w:r>
      <w:r w:rsidRPr="002E776E">
        <w:rPr>
          <w:rFonts w:ascii="Times New Roman" w:hAnsi="Times New Roman"/>
          <w:noProof/>
          <w:sz w:val="24"/>
          <w:szCs w:val="24"/>
        </w:rPr>
        <w:t>(Lozano and Ibarz 1996)</w:t>
      </w:r>
      <w:r w:rsidRPr="002E776E">
        <w:rPr>
          <w:rFonts w:ascii="Times New Roman" w:hAnsi="Times New Roman"/>
          <w:sz w:val="24"/>
          <w:szCs w:val="24"/>
        </w:rPr>
        <w:t xml:space="preserve">. Also, it has been demonstrated in strawberry, blackberry and apple jelly that different levels of AA resulted in color changes towards yellow, due to a breakdown of anthocyanin pigments </w:t>
      </w:r>
      <w:r w:rsidRPr="002E776E">
        <w:rPr>
          <w:rFonts w:ascii="Times New Roman" w:hAnsi="Times New Roman"/>
          <w:noProof/>
          <w:sz w:val="24"/>
          <w:szCs w:val="24"/>
        </w:rPr>
        <w:t>(Freedman and Francis 1984)</w:t>
      </w:r>
      <w:r w:rsidRPr="002E776E">
        <w:rPr>
          <w:rFonts w:ascii="Times New Roman" w:hAnsi="Times New Roman"/>
          <w:sz w:val="24"/>
          <w:szCs w:val="24"/>
        </w:rPr>
        <w:t xml:space="preserve">.  This can explain the increases in b* values that were seen in our fortified samples.  The subsequent decreases in b* values can be explained by the presence of brown pigments which make the samples more opaque.  In more clear food products such as pear and </w:t>
      </w:r>
      <w:r w:rsidRPr="002E776E">
        <w:rPr>
          <w:rFonts w:ascii="Times New Roman" w:hAnsi="Times New Roman"/>
          <w:sz w:val="24"/>
          <w:szCs w:val="24"/>
        </w:rPr>
        <w:lastRenderedPageBreak/>
        <w:t xml:space="preserve">peach puree, tomato paste and pineapple juice, the tendency was to see a decrease in b* during storage </w:t>
      </w:r>
      <w:r>
        <w:rPr>
          <w:rFonts w:ascii="Times New Roman" w:hAnsi="Times New Roman"/>
          <w:noProof/>
          <w:sz w:val="24"/>
          <w:szCs w:val="24"/>
        </w:rPr>
        <w:t>(Garza and others 1999; Barreiro and others 1997; Rattanathanalerk and others 2005)</w:t>
      </w:r>
      <w:r w:rsidRPr="002E776E">
        <w:rPr>
          <w:rFonts w:ascii="Times New Roman" w:hAnsi="Times New Roman"/>
          <w:sz w:val="24"/>
          <w:szCs w:val="24"/>
        </w:rPr>
        <w:t xml:space="preserve">.  In orange jelly, decreases in hue were reported.  In systems with no anthocyaninin pigments, the color changes are simply produced by the appearance of brown polymers </w:t>
      </w:r>
      <w:r w:rsidRPr="002E776E">
        <w:rPr>
          <w:rFonts w:ascii="Times New Roman" w:hAnsi="Times New Roman"/>
          <w:noProof/>
          <w:sz w:val="24"/>
          <w:szCs w:val="24"/>
        </w:rPr>
        <w:t>(Freedman and Francis 1984)</w:t>
      </w:r>
      <w:r w:rsidRPr="002E776E">
        <w:rPr>
          <w:rFonts w:ascii="Times New Roman" w:hAnsi="Times New Roman"/>
          <w:sz w:val="24"/>
          <w:szCs w:val="24"/>
        </w:rPr>
        <w:t>.</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None of the studied model kinetics (zero, first, second and combined models) were successfully applied in the b*values. The same was obtained during heating of pear puree </w:t>
      </w:r>
      <w:r>
        <w:rPr>
          <w:rFonts w:ascii="Times New Roman" w:hAnsi="Times New Roman"/>
          <w:noProof/>
          <w:sz w:val="24"/>
          <w:szCs w:val="24"/>
        </w:rPr>
        <w:t>(Ibarz and others 1999)</w:t>
      </w:r>
      <w:r w:rsidRPr="002E776E">
        <w:rPr>
          <w:rFonts w:ascii="Times New Roman" w:hAnsi="Times New Roman"/>
          <w:sz w:val="24"/>
          <w:szCs w:val="24"/>
        </w:rPr>
        <w:t xml:space="preserve">.  In tomato paste, pineapple juice and peach puree, first order kinetics was reported </w:t>
      </w:r>
      <w:r>
        <w:rPr>
          <w:rFonts w:ascii="Times New Roman" w:hAnsi="Times New Roman"/>
          <w:noProof/>
          <w:sz w:val="24"/>
          <w:szCs w:val="24"/>
        </w:rPr>
        <w:t>(Barreiro and others 1997; Rattanathanalerk and others 2005; Garza and others 1999)</w:t>
      </w:r>
      <w:r w:rsidRPr="002E776E">
        <w:rPr>
          <w:rFonts w:ascii="Times New Roman" w:hAnsi="Times New Roman"/>
          <w:sz w:val="24"/>
          <w:szCs w:val="24"/>
        </w:rPr>
        <w:t>.</w:t>
      </w:r>
    </w:p>
    <w:p w:rsidR="008C75DF" w:rsidRDefault="008C75DF" w:rsidP="00DC6D09">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jc w:val="both"/>
        <w:rPr>
          <w:rFonts w:ascii="Times New Roman" w:hAnsi="Times New Roman"/>
          <w:i/>
          <w:sz w:val="24"/>
          <w:szCs w:val="24"/>
        </w:rPr>
      </w:pPr>
      <w:r w:rsidRPr="002E776E">
        <w:rPr>
          <w:rFonts w:ascii="Times New Roman" w:hAnsi="Times New Roman"/>
          <w:i/>
          <w:sz w:val="24"/>
          <w:szCs w:val="24"/>
        </w:rPr>
        <w:t>Total color difference (∆E*)</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At 40°C (Fig. 1</w:t>
      </w:r>
      <w:r>
        <w:rPr>
          <w:rFonts w:ascii="Times New Roman" w:hAnsi="Times New Roman"/>
          <w:sz w:val="24"/>
          <w:szCs w:val="24"/>
        </w:rPr>
        <w:t>3</w:t>
      </w:r>
      <w:r w:rsidRPr="002E776E">
        <w:rPr>
          <w:rFonts w:ascii="Times New Roman" w:hAnsi="Times New Roman"/>
          <w:sz w:val="24"/>
          <w:szCs w:val="24"/>
        </w:rPr>
        <w:t xml:space="preserve">), the control, AA and A2P treatments had similar tendencies.  The ∆E* of these samples increased until day 10, and then they were relatively stable.  However, both AA and A2P fortified samples reached higher values than the control sample.  There were significant differences (p&lt;0.05) between the control and the other treatments at day 10, 20 </w:t>
      </w:r>
      <w:r w:rsidRPr="00B40F1B">
        <w:rPr>
          <w:rFonts w:ascii="Times New Roman" w:hAnsi="Times New Roman"/>
          <w:sz w:val="24"/>
          <w:szCs w:val="24"/>
        </w:rPr>
        <w:t>and 29 of the storage.  At 50°C (Fig. 14), the tendency was similar to that observed at 40°C; nevertheless, a drop in the AA treatment was observed at day 20 of storage.  At this temperature at day 10, the control sample was significant different from the AA and A2P treatments (p&lt;0.05).  At 60°C (Fig. 15), both AA and A2P had a drop in ∆E* after 20 days of storage. There were not significant</w:t>
      </w:r>
      <w:r w:rsidRPr="002E776E">
        <w:rPr>
          <w:rFonts w:ascii="Times New Roman" w:hAnsi="Times New Roman"/>
          <w:sz w:val="24"/>
          <w:szCs w:val="24"/>
        </w:rPr>
        <w:t xml:space="preserve"> differences (p&gt;0.05) during storage among treatments.  Research conducted on non-enzymatic browning reported a tendency to increase during storage </w:t>
      </w:r>
      <w:r>
        <w:rPr>
          <w:rFonts w:ascii="Times New Roman" w:hAnsi="Times New Roman"/>
          <w:noProof/>
          <w:sz w:val="24"/>
          <w:szCs w:val="24"/>
        </w:rPr>
        <w:t>(Ibarz and others 1999; Garza and others 1999; Barreiro and others 1997; Rattanathanalerk and others 2005)</w:t>
      </w:r>
      <w:r w:rsidRPr="002E776E">
        <w:rPr>
          <w:rFonts w:ascii="Times New Roman" w:hAnsi="Times New Roman"/>
          <w:sz w:val="24"/>
          <w:szCs w:val="24"/>
        </w:rPr>
        <w:t xml:space="preserve">.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The </w:t>
      </w:r>
      <w:r w:rsidRPr="002E776E">
        <w:rPr>
          <w:rFonts w:ascii="Times New Roman" w:hAnsi="Times New Roman"/>
          <w:i/>
          <w:sz w:val="24"/>
          <w:szCs w:val="24"/>
        </w:rPr>
        <w:t xml:space="preserve">∆E* </w:t>
      </w:r>
      <w:r w:rsidRPr="002E776E">
        <w:rPr>
          <w:rFonts w:ascii="Times New Roman" w:hAnsi="Times New Roman"/>
          <w:sz w:val="24"/>
          <w:szCs w:val="24"/>
        </w:rPr>
        <w:t xml:space="preserve">data did not fit either zero, first or second order kinetic models.  However, the control treatment at all temperatures as well as the AA and A2P at 40°C fitted in the combined model (Table 5).  We did not calculate the Ea in the control treatment though we had rate constants at all temperatures. The reason of this was that the data did not follow a clear </w:t>
      </w:r>
      <w:r>
        <w:rPr>
          <w:rFonts w:ascii="Times New Roman" w:hAnsi="Times New Roman"/>
          <w:sz w:val="24"/>
          <w:szCs w:val="24"/>
        </w:rPr>
        <w:t>trend</w:t>
      </w:r>
      <w:r w:rsidRPr="002E776E">
        <w:rPr>
          <w:rFonts w:ascii="Times New Roman" w:hAnsi="Times New Roman"/>
          <w:sz w:val="24"/>
          <w:szCs w:val="24"/>
        </w:rPr>
        <w:t xml:space="preserve">.  In other words, as we observed for a* values, the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rPr>
        <w:t xml:space="preserve"> and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 xml:space="preserve"> at 50°C were higher than at 60°C.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lastRenderedPageBreak/>
        <w:t xml:space="preserve">In Table 3, when we compare the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rPr>
        <w:t xml:space="preserve"> and </w:t>
      </w:r>
      <w:r w:rsidRPr="002E776E">
        <w:rPr>
          <w:rFonts w:ascii="Times New Roman" w:hAnsi="Times New Roman"/>
          <w:i/>
          <w:sz w:val="24"/>
          <w:szCs w:val="24"/>
        </w:rPr>
        <w:t>k</w:t>
      </w:r>
      <w:r w:rsidRPr="002E776E">
        <w:rPr>
          <w:rFonts w:ascii="Times New Roman" w:hAnsi="Times New Roman"/>
          <w:i/>
          <w:sz w:val="24"/>
          <w:szCs w:val="24"/>
          <w:vertAlign w:val="subscript"/>
        </w:rPr>
        <w:t xml:space="preserve">1 </w:t>
      </w:r>
      <w:r w:rsidRPr="002E776E">
        <w:rPr>
          <w:rFonts w:ascii="Times New Roman" w:hAnsi="Times New Roman"/>
          <w:sz w:val="24"/>
          <w:szCs w:val="24"/>
        </w:rPr>
        <w:t xml:space="preserve">values among all treatments at 40°C, we can observe that the AA treatment had the highest values.  The combined model has been successfully applied in many studies.  For example, in the heating of pineapple juice at 55°C,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rPr>
        <w:t>=28.7x10</w:t>
      </w:r>
      <w:r w:rsidRPr="002E776E">
        <w:rPr>
          <w:rFonts w:ascii="Times New Roman" w:hAnsi="Times New Roman"/>
          <w:sz w:val="24"/>
          <w:szCs w:val="24"/>
          <w:vertAlign w:val="superscript"/>
        </w:rPr>
        <w:t>-3</w:t>
      </w:r>
      <w:r w:rsidRPr="002E776E">
        <w:rPr>
          <w:rFonts w:ascii="Times New Roman" w:hAnsi="Times New Roman"/>
          <w:sz w:val="24"/>
          <w:szCs w:val="24"/>
        </w:rPr>
        <w:t xml:space="preserve">/min and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=25.3x10</w:t>
      </w:r>
      <w:r w:rsidRPr="002E776E">
        <w:rPr>
          <w:rFonts w:ascii="Times New Roman" w:hAnsi="Times New Roman"/>
          <w:sz w:val="24"/>
          <w:szCs w:val="24"/>
          <w:vertAlign w:val="superscript"/>
        </w:rPr>
        <w:t xml:space="preserve">-3 </w:t>
      </w:r>
      <w:r w:rsidRPr="002E776E">
        <w:rPr>
          <w:rFonts w:ascii="Times New Roman" w:hAnsi="Times New Roman"/>
          <w:sz w:val="24"/>
          <w:szCs w:val="24"/>
        </w:rPr>
        <w:t xml:space="preserve">were reported </w:t>
      </w:r>
      <w:r>
        <w:rPr>
          <w:rFonts w:ascii="Times New Roman" w:hAnsi="Times New Roman"/>
          <w:noProof/>
          <w:sz w:val="24"/>
          <w:szCs w:val="24"/>
        </w:rPr>
        <w:t>(Rattanathanalerk and others 2005)</w:t>
      </w:r>
      <w:r w:rsidRPr="002E776E">
        <w:rPr>
          <w:rFonts w:ascii="Times New Roman" w:hAnsi="Times New Roman"/>
          <w:sz w:val="24"/>
          <w:szCs w:val="24"/>
        </w:rPr>
        <w:t xml:space="preserve">; in heating of peach puree at 122.5°C,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rPr>
        <w:t>=0.0085x10</w:t>
      </w:r>
      <w:r w:rsidRPr="002E776E">
        <w:rPr>
          <w:rFonts w:ascii="Times New Roman" w:hAnsi="Times New Roman"/>
          <w:sz w:val="24"/>
          <w:szCs w:val="24"/>
          <w:vertAlign w:val="superscript"/>
        </w:rPr>
        <w:t>-3</w:t>
      </w:r>
      <w:r w:rsidRPr="002E776E">
        <w:rPr>
          <w:rFonts w:ascii="Times New Roman" w:hAnsi="Times New Roman"/>
          <w:sz w:val="24"/>
          <w:szCs w:val="24"/>
        </w:rPr>
        <w:t xml:space="preserve">/min,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 3x10</w:t>
      </w:r>
      <w:r w:rsidRPr="002E776E">
        <w:rPr>
          <w:rFonts w:ascii="Times New Roman" w:hAnsi="Times New Roman"/>
          <w:sz w:val="24"/>
          <w:szCs w:val="24"/>
          <w:vertAlign w:val="superscript"/>
        </w:rPr>
        <w:t>-7</w:t>
      </w:r>
      <w:r w:rsidRPr="002E776E">
        <w:rPr>
          <w:rFonts w:ascii="Times New Roman" w:hAnsi="Times New Roman"/>
          <w:sz w:val="24"/>
          <w:szCs w:val="24"/>
        </w:rPr>
        <w:t>/min</w:t>
      </w:r>
      <w:r w:rsidRPr="002E776E">
        <w:rPr>
          <w:rFonts w:ascii="Times New Roman" w:hAnsi="Times New Roman"/>
          <w:sz w:val="24"/>
          <w:szCs w:val="24"/>
          <w:vertAlign w:val="superscript"/>
        </w:rPr>
        <w:t xml:space="preserve"> </w:t>
      </w:r>
      <w:r w:rsidRPr="002E776E">
        <w:rPr>
          <w:rFonts w:ascii="Times New Roman" w:hAnsi="Times New Roman"/>
          <w:noProof/>
          <w:sz w:val="24"/>
          <w:szCs w:val="24"/>
        </w:rPr>
        <w:t>(Avila and Silva 1999)</w:t>
      </w:r>
      <w:r w:rsidRPr="002E776E">
        <w:rPr>
          <w:rFonts w:ascii="Times New Roman" w:hAnsi="Times New Roman"/>
          <w:sz w:val="24"/>
          <w:szCs w:val="24"/>
        </w:rPr>
        <w:t xml:space="preserve">; and in pear puree at 80°C, </w:t>
      </w:r>
      <w:r w:rsidRPr="002E776E">
        <w:rPr>
          <w:rFonts w:ascii="Times New Roman" w:hAnsi="Times New Roman"/>
          <w:i/>
          <w:sz w:val="24"/>
          <w:szCs w:val="24"/>
        </w:rPr>
        <w:t>k</w:t>
      </w:r>
      <w:r w:rsidRPr="002E776E">
        <w:rPr>
          <w:rFonts w:ascii="Times New Roman" w:hAnsi="Times New Roman"/>
          <w:i/>
          <w:sz w:val="24"/>
          <w:szCs w:val="24"/>
          <w:vertAlign w:val="subscript"/>
        </w:rPr>
        <w:t>0</w:t>
      </w:r>
      <w:r w:rsidRPr="002E776E">
        <w:rPr>
          <w:rFonts w:ascii="Times New Roman" w:hAnsi="Times New Roman"/>
          <w:sz w:val="24"/>
          <w:szCs w:val="24"/>
        </w:rPr>
        <w:t>=1.71x10</w:t>
      </w:r>
      <w:r w:rsidRPr="002E776E">
        <w:rPr>
          <w:rFonts w:ascii="Times New Roman" w:hAnsi="Times New Roman"/>
          <w:sz w:val="24"/>
          <w:szCs w:val="24"/>
          <w:vertAlign w:val="superscript"/>
        </w:rPr>
        <w:t>-2</w:t>
      </w:r>
      <w:r w:rsidRPr="002E776E">
        <w:rPr>
          <w:rFonts w:ascii="Times New Roman" w:hAnsi="Times New Roman"/>
          <w:sz w:val="24"/>
          <w:szCs w:val="24"/>
        </w:rPr>
        <w:t xml:space="preserve">/min, </w:t>
      </w:r>
      <w:r w:rsidRPr="002E776E">
        <w:rPr>
          <w:rFonts w:ascii="Times New Roman" w:hAnsi="Times New Roman"/>
          <w:i/>
          <w:sz w:val="24"/>
          <w:szCs w:val="24"/>
        </w:rPr>
        <w:t>k</w:t>
      </w:r>
      <w:r w:rsidRPr="002E776E">
        <w:rPr>
          <w:rFonts w:ascii="Times New Roman" w:hAnsi="Times New Roman"/>
          <w:i/>
          <w:sz w:val="24"/>
          <w:szCs w:val="24"/>
          <w:vertAlign w:val="subscript"/>
        </w:rPr>
        <w:t>1</w:t>
      </w:r>
      <w:r w:rsidRPr="002E776E">
        <w:rPr>
          <w:rFonts w:ascii="Times New Roman" w:hAnsi="Times New Roman"/>
          <w:sz w:val="24"/>
          <w:szCs w:val="24"/>
        </w:rPr>
        <w:t>=1.96x10</w:t>
      </w:r>
      <w:r w:rsidRPr="002E776E">
        <w:rPr>
          <w:rFonts w:ascii="Times New Roman" w:hAnsi="Times New Roman"/>
          <w:sz w:val="24"/>
          <w:szCs w:val="24"/>
          <w:vertAlign w:val="superscript"/>
        </w:rPr>
        <w:t>-3</w:t>
      </w:r>
      <w:r w:rsidRPr="002E776E">
        <w:rPr>
          <w:rFonts w:ascii="Times New Roman" w:hAnsi="Times New Roman"/>
          <w:sz w:val="24"/>
          <w:szCs w:val="24"/>
        </w:rPr>
        <w:t xml:space="preserve">/min </w:t>
      </w:r>
      <w:r>
        <w:rPr>
          <w:rFonts w:ascii="Times New Roman" w:hAnsi="Times New Roman"/>
          <w:noProof/>
          <w:sz w:val="24"/>
          <w:szCs w:val="24"/>
        </w:rPr>
        <w:t>(Ibarz and others 1999)</w:t>
      </w:r>
      <w:r w:rsidRPr="002E776E">
        <w:rPr>
          <w:rFonts w:ascii="Times New Roman" w:hAnsi="Times New Roman"/>
          <w:sz w:val="24"/>
          <w:szCs w:val="24"/>
        </w:rPr>
        <w:t xml:space="preserve">. </w:t>
      </w:r>
    </w:p>
    <w:p w:rsidR="008C75DF" w:rsidRPr="00B40F1B" w:rsidRDefault="008C75DF" w:rsidP="008C75DF">
      <w:pPr>
        <w:pStyle w:val="ListParagraph"/>
        <w:spacing w:after="0" w:line="360" w:lineRule="auto"/>
        <w:ind w:left="0"/>
        <w:jc w:val="both"/>
        <w:rPr>
          <w:rFonts w:ascii="Times New Roman" w:hAnsi="Times New Roman"/>
          <w:sz w:val="28"/>
          <w:szCs w:val="28"/>
        </w:rPr>
      </w:pPr>
    </w:p>
    <w:p w:rsidR="008C75DF" w:rsidRPr="002E776E" w:rsidRDefault="008C75DF" w:rsidP="008C75DF">
      <w:pPr>
        <w:pStyle w:val="ListParagraph"/>
        <w:spacing w:after="0" w:line="360" w:lineRule="auto"/>
        <w:ind w:left="0"/>
        <w:jc w:val="both"/>
        <w:rPr>
          <w:rFonts w:ascii="Times New Roman" w:hAnsi="Times New Roman"/>
          <w:i/>
          <w:sz w:val="24"/>
          <w:szCs w:val="24"/>
        </w:rPr>
      </w:pPr>
      <w:r w:rsidRPr="002E776E">
        <w:rPr>
          <w:rFonts w:ascii="Times New Roman" w:hAnsi="Times New Roman"/>
          <w:i/>
          <w:sz w:val="24"/>
          <w:szCs w:val="24"/>
        </w:rPr>
        <w:t>Ascorbic acid:</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During storage of puree samples fortified with A2P, we observed the presence of two peaks in the chromatograms (Fig. </w:t>
      </w:r>
      <w:r>
        <w:rPr>
          <w:rFonts w:ascii="Times New Roman" w:hAnsi="Times New Roman"/>
          <w:sz w:val="24"/>
          <w:szCs w:val="24"/>
        </w:rPr>
        <w:t>16</w:t>
      </w:r>
      <w:r w:rsidRPr="002E776E">
        <w:rPr>
          <w:rFonts w:ascii="Times New Roman" w:hAnsi="Times New Roman"/>
          <w:sz w:val="24"/>
          <w:szCs w:val="24"/>
        </w:rPr>
        <w:t xml:space="preserve">), instead of the one peak which appeared in the ascorbic acid puree samples and the A2P standard curve samples.  After we analyzed the spectra absorbance of both peaks, and we compared them with the spectra of AA and A2P of the samples used in the standard curve, we determined that the first and second peak were due to the presence of A2P and AA, respectively.  In fact, as we can see in Fig. </w:t>
      </w:r>
      <w:r>
        <w:rPr>
          <w:rFonts w:ascii="Times New Roman" w:hAnsi="Times New Roman"/>
          <w:sz w:val="24"/>
          <w:szCs w:val="24"/>
        </w:rPr>
        <w:t>17</w:t>
      </w:r>
      <w:r w:rsidRPr="002E776E">
        <w:rPr>
          <w:rFonts w:ascii="Times New Roman" w:hAnsi="Times New Roman"/>
          <w:sz w:val="24"/>
          <w:szCs w:val="24"/>
        </w:rPr>
        <w:t xml:space="preserve"> and </w:t>
      </w:r>
      <w:r>
        <w:rPr>
          <w:rFonts w:ascii="Times New Roman" w:hAnsi="Times New Roman"/>
          <w:sz w:val="24"/>
          <w:szCs w:val="24"/>
        </w:rPr>
        <w:t>18</w:t>
      </w:r>
      <w:r w:rsidRPr="002E776E">
        <w:rPr>
          <w:rFonts w:ascii="Times New Roman" w:hAnsi="Times New Roman"/>
          <w:sz w:val="24"/>
          <w:szCs w:val="24"/>
        </w:rPr>
        <w:t xml:space="preserve">, </w:t>
      </w:r>
      <w:r>
        <w:rPr>
          <w:rFonts w:ascii="Times New Roman" w:hAnsi="Times New Roman"/>
          <w:sz w:val="24"/>
          <w:szCs w:val="24"/>
        </w:rPr>
        <w:t xml:space="preserve">absorbance spectra of </w:t>
      </w:r>
      <w:r w:rsidRPr="002E776E">
        <w:rPr>
          <w:rFonts w:ascii="Times New Roman" w:hAnsi="Times New Roman"/>
          <w:sz w:val="24"/>
          <w:szCs w:val="24"/>
        </w:rPr>
        <w:t>AA and A2P have similar shapes; however, the maximum absorbance</w:t>
      </w:r>
      <w:r>
        <w:rPr>
          <w:rFonts w:ascii="Times New Roman" w:hAnsi="Times New Roman"/>
          <w:sz w:val="24"/>
          <w:szCs w:val="24"/>
        </w:rPr>
        <w:t>s were</w:t>
      </w:r>
      <w:r w:rsidRPr="002E776E">
        <w:rPr>
          <w:rFonts w:ascii="Times New Roman" w:hAnsi="Times New Roman"/>
          <w:sz w:val="24"/>
          <w:szCs w:val="24"/>
        </w:rPr>
        <w:t xml:space="preserve"> at 242 nm and 238 nm, respectively.  The reason why these two peaks appeared in the A2P puree samples since the beginning storage (day 0) must be </w:t>
      </w:r>
      <w:r>
        <w:rPr>
          <w:rFonts w:ascii="Times New Roman" w:hAnsi="Times New Roman"/>
          <w:sz w:val="24"/>
          <w:szCs w:val="24"/>
        </w:rPr>
        <w:t xml:space="preserve">a </w:t>
      </w:r>
      <w:r w:rsidRPr="002E776E">
        <w:rPr>
          <w:rFonts w:ascii="Times New Roman" w:hAnsi="Times New Roman"/>
          <w:sz w:val="24"/>
          <w:szCs w:val="24"/>
        </w:rPr>
        <w:t xml:space="preserve">result of rapid hydrolysis.  Indeed, it is known that acid pH can provoke hydrolysis of the ester in A2P samples </w:t>
      </w:r>
      <w:r w:rsidRPr="002E776E">
        <w:rPr>
          <w:rFonts w:ascii="Times New Roman" w:hAnsi="Times New Roman"/>
          <w:noProof/>
          <w:sz w:val="24"/>
          <w:szCs w:val="24"/>
        </w:rPr>
        <w:t>(Gonçalves and others 2009)</w:t>
      </w:r>
      <w:r w:rsidRPr="002E776E">
        <w:rPr>
          <w:rFonts w:ascii="Times New Roman" w:hAnsi="Times New Roman"/>
          <w:sz w:val="24"/>
          <w:szCs w:val="24"/>
        </w:rPr>
        <w:t>.</w:t>
      </w:r>
    </w:p>
    <w:p w:rsidR="008C75DF" w:rsidRPr="002E776E" w:rsidRDefault="008C75DF" w:rsidP="008C75DF">
      <w:pPr>
        <w:pStyle w:val="ListParagraph"/>
        <w:spacing w:after="0" w:line="360" w:lineRule="auto"/>
        <w:ind w:left="0"/>
        <w:jc w:val="both"/>
        <w:rPr>
          <w:rFonts w:ascii="Times New Roman" w:hAnsi="Times New Roman"/>
          <w:sz w:val="24"/>
          <w:szCs w:val="24"/>
        </w:rPr>
      </w:pPr>
      <w:r w:rsidRPr="002E776E">
        <w:rPr>
          <w:rFonts w:ascii="Times New Roman" w:hAnsi="Times New Roman"/>
          <w:sz w:val="24"/>
          <w:szCs w:val="24"/>
        </w:rPr>
        <w:t xml:space="preserve"> </w:t>
      </w:r>
    </w:p>
    <w:p w:rsidR="008C75DF"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Figs. </w:t>
      </w:r>
      <w:r>
        <w:rPr>
          <w:rFonts w:ascii="Times New Roman" w:hAnsi="Times New Roman"/>
          <w:sz w:val="24"/>
          <w:szCs w:val="24"/>
        </w:rPr>
        <w:t>19</w:t>
      </w:r>
      <w:r w:rsidRPr="002E776E">
        <w:rPr>
          <w:rFonts w:ascii="Times New Roman" w:hAnsi="Times New Roman"/>
          <w:sz w:val="24"/>
          <w:szCs w:val="24"/>
        </w:rPr>
        <w:t xml:space="preserve"> to 2</w:t>
      </w:r>
      <w:r>
        <w:rPr>
          <w:rFonts w:ascii="Times New Roman" w:hAnsi="Times New Roman"/>
          <w:sz w:val="24"/>
          <w:szCs w:val="24"/>
        </w:rPr>
        <w:t>1</w:t>
      </w:r>
      <w:r w:rsidRPr="002E776E">
        <w:rPr>
          <w:rFonts w:ascii="Times New Roman" w:hAnsi="Times New Roman"/>
          <w:sz w:val="24"/>
          <w:szCs w:val="24"/>
        </w:rPr>
        <w:t xml:space="preserve"> show the A2P and AA concentrations, as % of total ascorbic acid species based on calculation of concentrations using external standard calculations, during storage at all temperatures of the A2P fortified puree samples.  At 40°C, the amount of A2P hydrolyzed was relatively constant.  At 50°C, at day 10 and 20, the relative percentages of AA (35.3 and 36.9%) were much higher than at day 0 (15.8%), but by day 29, the percentage of AA decreased.  We believe that this was due to a faster degradation of AA relative to hydrolysis of A2P.  Finally, at 60°C, the hydrolysis was much faster than at lower temperatures.  Fig. 2</w:t>
      </w:r>
      <w:r>
        <w:rPr>
          <w:rFonts w:ascii="Times New Roman" w:hAnsi="Times New Roman"/>
          <w:sz w:val="24"/>
          <w:szCs w:val="24"/>
        </w:rPr>
        <w:t>1</w:t>
      </w:r>
      <w:r w:rsidRPr="002E776E">
        <w:rPr>
          <w:rFonts w:ascii="Times New Roman" w:hAnsi="Times New Roman"/>
          <w:sz w:val="24"/>
          <w:szCs w:val="24"/>
        </w:rPr>
        <w:t xml:space="preserve"> shows that at day 10 and 20 there were more AA than A2P.  By day 29, both AA and A2P were fully degraded.  </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In summary, the hydrolysis of A2P is greatly influenced by the temperature of storage. </w:t>
      </w:r>
      <w:r>
        <w:rPr>
          <w:rFonts w:ascii="Times New Roman" w:hAnsi="Times New Roman"/>
          <w:sz w:val="24"/>
          <w:szCs w:val="24"/>
        </w:rPr>
        <w:t xml:space="preserve"> </w:t>
      </w:r>
      <w:r w:rsidRPr="002E776E">
        <w:rPr>
          <w:rFonts w:ascii="Times New Roman" w:hAnsi="Times New Roman"/>
          <w:sz w:val="24"/>
          <w:szCs w:val="24"/>
        </w:rPr>
        <w:t xml:space="preserve">In food systems, research evaluating A2P has been conducted in carbonated beverages, white pan bread, bran flakes, peanut, potato flakes </w:t>
      </w:r>
      <w:r>
        <w:rPr>
          <w:rFonts w:ascii="Times New Roman" w:hAnsi="Times New Roman"/>
          <w:noProof/>
          <w:sz w:val="24"/>
          <w:szCs w:val="24"/>
        </w:rPr>
        <w:t>(Wang and others 1995; Park and others 1994)</w:t>
      </w:r>
      <w:r w:rsidRPr="002E776E">
        <w:rPr>
          <w:rFonts w:ascii="Times New Roman" w:hAnsi="Times New Roman"/>
          <w:sz w:val="24"/>
          <w:szCs w:val="24"/>
        </w:rPr>
        <w:t xml:space="preserve">, mashed </w:t>
      </w:r>
      <w:r w:rsidRPr="002E776E">
        <w:rPr>
          <w:rFonts w:ascii="Times New Roman" w:hAnsi="Times New Roman"/>
          <w:sz w:val="24"/>
          <w:szCs w:val="24"/>
        </w:rPr>
        <w:lastRenderedPageBreak/>
        <w:t xml:space="preserve">potatoes </w:t>
      </w:r>
      <w:r>
        <w:rPr>
          <w:rFonts w:ascii="Times New Roman" w:hAnsi="Times New Roman"/>
          <w:noProof/>
          <w:sz w:val="24"/>
          <w:szCs w:val="24"/>
        </w:rPr>
        <w:t>(Wang and others 1992)</w:t>
      </w:r>
      <w:r w:rsidRPr="002E776E">
        <w:rPr>
          <w:rFonts w:ascii="Times New Roman" w:hAnsi="Times New Roman"/>
          <w:sz w:val="24"/>
          <w:szCs w:val="24"/>
        </w:rPr>
        <w:t xml:space="preserve">, and in meat </w:t>
      </w:r>
      <w:r w:rsidRPr="002E776E">
        <w:rPr>
          <w:rFonts w:ascii="Times New Roman" w:hAnsi="Times New Roman"/>
          <w:noProof/>
          <w:sz w:val="24"/>
          <w:szCs w:val="24"/>
        </w:rPr>
        <w:t>(Craig and others 1996; Craig and others 1991)</w:t>
      </w:r>
      <w:r>
        <w:rPr>
          <w:rFonts w:ascii="Times New Roman" w:hAnsi="Times New Roman"/>
          <w:sz w:val="24"/>
          <w:szCs w:val="24"/>
        </w:rPr>
        <w:t>.  In</w:t>
      </w:r>
      <w:r w:rsidRPr="002E776E">
        <w:rPr>
          <w:rFonts w:ascii="Times New Roman" w:hAnsi="Times New Roman"/>
          <w:sz w:val="24"/>
          <w:szCs w:val="24"/>
        </w:rPr>
        <w:t xml:space="preserve"> these systems, only the study conducted in bread has reported hydrolysis of A2P due to the presence of phosphatase in wheat flour </w:t>
      </w:r>
      <w:r>
        <w:rPr>
          <w:rFonts w:ascii="Times New Roman" w:hAnsi="Times New Roman"/>
          <w:noProof/>
          <w:sz w:val="24"/>
          <w:szCs w:val="24"/>
        </w:rPr>
        <w:t>(Park and others 1994; Wang and others 1995)</w:t>
      </w:r>
      <w:r w:rsidRPr="002E776E">
        <w:rPr>
          <w:rFonts w:ascii="Times New Roman" w:hAnsi="Times New Roman"/>
          <w:sz w:val="24"/>
          <w:szCs w:val="24"/>
        </w:rPr>
        <w:t xml:space="preserve">.  In the carbonated beverage research </w:t>
      </w:r>
      <w:r>
        <w:rPr>
          <w:rFonts w:ascii="Times New Roman" w:hAnsi="Times New Roman"/>
          <w:noProof/>
          <w:sz w:val="24"/>
          <w:szCs w:val="24"/>
        </w:rPr>
        <w:t>(Wang and others 1995)</w:t>
      </w:r>
      <w:r w:rsidRPr="002E776E">
        <w:rPr>
          <w:rFonts w:ascii="Times New Roman" w:hAnsi="Times New Roman"/>
          <w:sz w:val="24"/>
          <w:szCs w:val="24"/>
        </w:rPr>
        <w:t>, no hydrolysis was reported even though the authors imply that they</w:t>
      </w:r>
      <w:r>
        <w:rPr>
          <w:rFonts w:ascii="Times New Roman" w:hAnsi="Times New Roman"/>
          <w:sz w:val="24"/>
          <w:szCs w:val="24"/>
        </w:rPr>
        <w:t xml:space="preserve"> would be</w:t>
      </w:r>
      <w:r w:rsidRPr="002E776E">
        <w:rPr>
          <w:rFonts w:ascii="Times New Roman" w:hAnsi="Times New Roman"/>
          <w:sz w:val="24"/>
          <w:szCs w:val="24"/>
        </w:rPr>
        <w:t xml:space="preserve"> able to detect this.  If we consider the low pH of the carbonated beverages, we believe that some hydrolysis must have occurred.  The release of the phosphate groups can provide a secondary mode of protection in case that there is oxygen present, since these ions are able to chelate metals </w:t>
      </w:r>
      <w:r>
        <w:rPr>
          <w:rFonts w:ascii="Times New Roman" w:hAnsi="Times New Roman"/>
          <w:noProof/>
          <w:sz w:val="24"/>
          <w:szCs w:val="24"/>
        </w:rPr>
        <w:t>(Wang and others 1995)</w:t>
      </w:r>
      <w:r w:rsidRPr="002E776E">
        <w:rPr>
          <w:rFonts w:ascii="Times New Roman" w:hAnsi="Times New Roman"/>
          <w:sz w:val="24"/>
          <w:szCs w:val="24"/>
        </w:rPr>
        <w:t xml:space="preserve">.  In our work, due to our anaerobic environment (Fig. </w:t>
      </w:r>
      <w:r>
        <w:rPr>
          <w:rFonts w:ascii="Times New Roman" w:hAnsi="Times New Roman"/>
          <w:sz w:val="24"/>
          <w:szCs w:val="24"/>
        </w:rPr>
        <w:t>1</w:t>
      </w:r>
      <w:r w:rsidRPr="002E776E">
        <w:rPr>
          <w:rFonts w:ascii="Times New Roman" w:hAnsi="Times New Roman"/>
          <w:sz w:val="24"/>
          <w:szCs w:val="24"/>
        </w:rPr>
        <w:t xml:space="preserve"> to </w:t>
      </w:r>
      <w:r>
        <w:rPr>
          <w:rFonts w:ascii="Times New Roman" w:hAnsi="Times New Roman"/>
          <w:sz w:val="24"/>
          <w:szCs w:val="24"/>
        </w:rPr>
        <w:t>3</w:t>
      </w:r>
      <w:r w:rsidRPr="002E776E">
        <w:rPr>
          <w:rFonts w:ascii="Times New Roman" w:hAnsi="Times New Roman"/>
          <w:sz w:val="24"/>
          <w:szCs w:val="24"/>
        </w:rPr>
        <w:t xml:space="preserve">), we do not believe that this secondary mode of protection is an advantage.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Fig. </w:t>
      </w:r>
      <w:r>
        <w:rPr>
          <w:rFonts w:ascii="Times New Roman" w:hAnsi="Times New Roman"/>
          <w:sz w:val="24"/>
          <w:szCs w:val="24"/>
        </w:rPr>
        <w:t>22</w:t>
      </w:r>
      <w:r w:rsidRPr="002E776E">
        <w:rPr>
          <w:rFonts w:ascii="Times New Roman" w:hAnsi="Times New Roman"/>
          <w:sz w:val="24"/>
          <w:szCs w:val="24"/>
        </w:rPr>
        <w:t xml:space="preserve"> to 2</w:t>
      </w:r>
      <w:r>
        <w:rPr>
          <w:rFonts w:ascii="Times New Roman" w:hAnsi="Times New Roman"/>
          <w:sz w:val="24"/>
          <w:szCs w:val="24"/>
        </w:rPr>
        <w:t>4</w:t>
      </w:r>
      <w:r w:rsidRPr="002E776E">
        <w:rPr>
          <w:rFonts w:ascii="Times New Roman" w:hAnsi="Times New Roman"/>
          <w:sz w:val="24"/>
          <w:szCs w:val="24"/>
        </w:rPr>
        <w:t xml:space="preserve"> shows the variation of AA and A2P throughout the storage time at 40°C, 50°C and 60°C, </w:t>
      </w:r>
      <w:r>
        <w:rPr>
          <w:rFonts w:ascii="Times New Roman" w:hAnsi="Times New Roman"/>
          <w:sz w:val="24"/>
          <w:szCs w:val="24"/>
        </w:rPr>
        <w:t>respectively.  F</w:t>
      </w:r>
      <w:r w:rsidRPr="002E776E">
        <w:rPr>
          <w:rFonts w:ascii="Times New Roman" w:hAnsi="Times New Roman"/>
          <w:sz w:val="24"/>
          <w:szCs w:val="24"/>
        </w:rPr>
        <w:t>or the A2P samples, we considered the total vitamin C retained (both peaks in the chromatograms with concentrations calculated using separate standard curves).  The variation of the control treatment was not plotted since, under the chromatographic conditions used, AA was not detected.  As we expected, the different forms of vitamin C decreased during storage.  Figs. 2</w:t>
      </w:r>
      <w:r>
        <w:rPr>
          <w:rFonts w:ascii="Times New Roman" w:hAnsi="Times New Roman"/>
          <w:sz w:val="24"/>
          <w:szCs w:val="24"/>
        </w:rPr>
        <w:t>3</w:t>
      </w:r>
      <w:r w:rsidRPr="002E776E">
        <w:rPr>
          <w:rFonts w:ascii="Times New Roman" w:hAnsi="Times New Roman"/>
          <w:sz w:val="24"/>
          <w:szCs w:val="24"/>
        </w:rPr>
        <w:t xml:space="preserve"> and 2</w:t>
      </w:r>
      <w:r>
        <w:rPr>
          <w:rFonts w:ascii="Times New Roman" w:hAnsi="Times New Roman"/>
          <w:sz w:val="24"/>
          <w:szCs w:val="24"/>
        </w:rPr>
        <w:t>4</w:t>
      </w:r>
      <w:r w:rsidRPr="002E776E">
        <w:rPr>
          <w:rFonts w:ascii="Times New Roman" w:hAnsi="Times New Roman"/>
          <w:sz w:val="24"/>
          <w:szCs w:val="24"/>
        </w:rPr>
        <w:t xml:space="preserve"> show that, after 29 days of storage at 50°C and 60°C, AA and A2P were completely lost.  At day 20 in the samples stored at 40°C, significant differences (p&lt;0.05) were observed with higher retention in A2P than AA.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As we can see in Table 4, first order kinetic models as well as the Weibull model were succ</w:t>
      </w:r>
      <w:r>
        <w:rPr>
          <w:rFonts w:ascii="Times New Roman" w:hAnsi="Times New Roman"/>
          <w:sz w:val="24"/>
          <w:szCs w:val="24"/>
        </w:rPr>
        <w:t>essfully fit</w:t>
      </w:r>
      <w:r w:rsidRPr="002E776E">
        <w:rPr>
          <w:rFonts w:ascii="Times New Roman" w:hAnsi="Times New Roman"/>
          <w:sz w:val="24"/>
          <w:szCs w:val="24"/>
        </w:rPr>
        <w:t xml:space="preserve"> to the AA/A2P data.  Since the residual mean square obtained </w:t>
      </w:r>
      <w:r>
        <w:rPr>
          <w:rFonts w:ascii="Times New Roman" w:hAnsi="Times New Roman"/>
          <w:sz w:val="24"/>
          <w:szCs w:val="24"/>
        </w:rPr>
        <w:t xml:space="preserve">(RMSE) </w:t>
      </w:r>
      <w:r w:rsidRPr="002E776E">
        <w:rPr>
          <w:rFonts w:ascii="Times New Roman" w:hAnsi="Times New Roman"/>
          <w:sz w:val="24"/>
          <w:szCs w:val="24"/>
        </w:rPr>
        <w:t>with the Weibull model were lower and the R</w:t>
      </w:r>
      <w:r w:rsidRPr="002E776E">
        <w:rPr>
          <w:rFonts w:ascii="Times New Roman" w:hAnsi="Times New Roman"/>
          <w:sz w:val="24"/>
          <w:szCs w:val="24"/>
          <w:vertAlign w:val="superscript"/>
        </w:rPr>
        <w:t>2</w:t>
      </w:r>
      <w:r w:rsidRPr="002E776E">
        <w:rPr>
          <w:rFonts w:ascii="Times New Roman" w:hAnsi="Times New Roman"/>
          <w:sz w:val="24"/>
          <w:szCs w:val="24"/>
        </w:rPr>
        <w:t xml:space="preserve"> were higher, we chose this model for the Arrhenius analysis.  In addition, as we observed in Table 4, the </w:t>
      </w:r>
      <w:r w:rsidRPr="002E776E">
        <w:rPr>
          <w:rFonts w:ascii="Times New Roman" w:hAnsi="Times New Roman"/>
          <w:i/>
          <w:sz w:val="24"/>
          <w:szCs w:val="24"/>
        </w:rPr>
        <w:t>k</w:t>
      </w:r>
      <w:r w:rsidRPr="002E776E">
        <w:rPr>
          <w:rFonts w:ascii="Times New Roman" w:hAnsi="Times New Roman"/>
          <w:sz w:val="24"/>
          <w:szCs w:val="24"/>
        </w:rPr>
        <w:t xml:space="preserve"> constants obtained with the first order and Weibull model were similar, especially for the 50°C and 60°C.  This is due to the fact that the Weibull model is equivalent to a first order model when the β value (shape factor) is 1 </w:t>
      </w:r>
      <w:r w:rsidRPr="002E776E">
        <w:rPr>
          <w:rFonts w:ascii="Times New Roman" w:hAnsi="Times New Roman"/>
          <w:noProof/>
          <w:sz w:val="24"/>
          <w:szCs w:val="24"/>
        </w:rPr>
        <w:t>(Hui 2005)</w:t>
      </w:r>
      <w:r w:rsidRPr="002E776E">
        <w:rPr>
          <w:rFonts w:ascii="Times New Roman" w:hAnsi="Times New Roman"/>
          <w:sz w:val="24"/>
          <w:szCs w:val="24"/>
        </w:rPr>
        <w:t>.  Table 4 shows that, for 50 and 60 °C, the β value was slightly higher than 1.  As discussed in some studies, the AA degradatio</w:t>
      </w:r>
      <w:r>
        <w:rPr>
          <w:rFonts w:ascii="Times New Roman" w:hAnsi="Times New Roman"/>
          <w:sz w:val="24"/>
          <w:szCs w:val="24"/>
        </w:rPr>
        <w:t>n in food system has been reportedly fit to</w:t>
      </w:r>
      <w:r w:rsidRPr="002E776E">
        <w:rPr>
          <w:rFonts w:ascii="Times New Roman" w:hAnsi="Times New Roman"/>
          <w:sz w:val="24"/>
          <w:szCs w:val="24"/>
        </w:rPr>
        <w:t xml:space="preserve"> zero, first, and second orders of reaction </w:t>
      </w:r>
      <w:r>
        <w:rPr>
          <w:rFonts w:ascii="Times New Roman" w:hAnsi="Times New Roman"/>
          <w:noProof/>
          <w:sz w:val="24"/>
          <w:szCs w:val="24"/>
        </w:rPr>
        <w:t xml:space="preserve">(Roig and others 2000; Burdurlu and others 2006; Manso and others 2001; </w:t>
      </w:r>
      <w:r w:rsidRPr="00996BED">
        <w:rPr>
          <w:rFonts w:ascii="Times New Roman" w:hAnsi="Times New Roman"/>
          <w:noProof/>
          <w:sz w:val="24"/>
          <w:szCs w:val="24"/>
        </w:rPr>
        <w:t>Damasceno and others 2007)</w:t>
      </w:r>
      <w:r w:rsidRPr="00996BED">
        <w:rPr>
          <w:rFonts w:ascii="Times New Roman" w:hAnsi="Times New Roman"/>
          <w:sz w:val="24"/>
          <w:szCs w:val="24"/>
        </w:rPr>
        <w:t xml:space="preserve">.  The Weibull model has also been successfully applied in the thermal degradation of orange juice under aerobic conditions </w:t>
      </w:r>
      <w:r w:rsidRPr="00996BED">
        <w:rPr>
          <w:rFonts w:ascii="Times New Roman" w:hAnsi="Times New Roman"/>
          <w:noProof/>
          <w:sz w:val="24"/>
          <w:szCs w:val="24"/>
        </w:rPr>
        <w:t xml:space="preserve">(Manso and others </w:t>
      </w:r>
      <w:r w:rsidRPr="00996BED">
        <w:rPr>
          <w:rFonts w:ascii="Times New Roman" w:hAnsi="Times New Roman"/>
          <w:noProof/>
          <w:sz w:val="24"/>
          <w:szCs w:val="24"/>
        </w:rPr>
        <w:lastRenderedPageBreak/>
        <w:t>2001)</w:t>
      </w:r>
      <w:r w:rsidRPr="00996BED">
        <w:rPr>
          <w:rFonts w:ascii="Times New Roman" w:hAnsi="Times New Roman"/>
          <w:sz w:val="24"/>
          <w:szCs w:val="24"/>
        </w:rPr>
        <w:t xml:space="preserve">, storage of fresh cut watermelon at 5-20°C </w:t>
      </w:r>
      <w:r w:rsidRPr="00996BED">
        <w:rPr>
          <w:rFonts w:ascii="Times New Roman" w:hAnsi="Times New Roman"/>
          <w:noProof/>
          <w:sz w:val="24"/>
          <w:szCs w:val="24"/>
        </w:rPr>
        <w:t>(Oms-Oliu and others 2009)</w:t>
      </w:r>
      <w:r w:rsidRPr="00996BED">
        <w:rPr>
          <w:rFonts w:ascii="Times New Roman" w:hAnsi="Times New Roman"/>
          <w:sz w:val="24"/>
          <w:szCs w:val="24"/>
        </w:rPr>
        <w:t xml:space="preserve">, and during the high-intensity pulsed electric field treatment of tomato juice </w:t>
      </w:r>
      <w:r w:rsidRPr="00996BED">
        <w:rPr>
          <w:rFonts w:ascii="Times New Roman" w:hAnsi="Times New Roman"/>
          <w:noProof/>
          <w:sz w:val="24"/>
          <w:szCs w:val="24"/>
        </w:rPr>
        <w:t>(Odriozola-Serrano and others 2008)</w:t>
      </w:r>
      <w:r w:rsidRPr="00996BED">
        <w:rPr>
          <w:rFonts w:ascii="Times New Roman" w:hAnsi="Times New Roman"/>
          <w:sz w:val="24"/>
          <w:szCs w:val="24"/>
        </w:rPr>
        <w:t>.  We did not find kinetic studies on stability of A2P</w:t>
      </w:r>
      <w:r w:rsidRPr="002E776E">
        <w:rPr>
          <w:rFonts w:ascii="Times New Roman" w:hAnsi="Times New Roman"/>
          <w:sz w:val="24"/>
          <w:szCs w:val="24"/>
        </w:rPr>
        <w:t xml:space="preserve"> in the literature. </w:t>
      </w:r>
    </w:p>
    <w:p w:rsidR="00B849D7" w:rsidRPr="002E776E" w:rsidRDefault="00B849D7" w:rsidP="008C75DF">
      <w:pPr>
        <w:pStyle w:val="ListParagraph"/>
        <w:spacing w:after="0" w:line="360" w:lineRule="auto"/>
        <w:ind w:left="0" w:firstLine="708"/>
        <w:jc w:val="both"/>
        <w:rPr>
          <w:rFonts w:ascii="Times New Roman" w:hAnsi="Times New Roman"/>
          <w:sz w:val="24"/>
          <w:szCs w:val="24"/>
        </w:rPr>
      </w:pP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After we compare the </w:t>
      </w:r>
      <w:r w:rsidRPr="002E776E">
        <w:rPr>
          <w:rFonts w:ascii="Times New Roman" w:hAnsi="Times New Roman"/>
          <w:i/>
          <w:sz w:val="24"/>
          <w:szCs w:val="24"/>
        </w:rPr>
        <w:t xml:space="preserve">k </w:t>
      </w:r>
      <w:r w:rsidRPr="002E776E">
        <w:rPr>
          <w:rFonts w:ascii="Times New Roman" w:hAnsi="Times New Roman"/>
          <w:sz w:val="24"/>
          <w:szCs w:val="24"/>
        </w:rPr>
        <w:t>values of A2P and AA at all temperatures (Table 4), we can observe that the values at 60°C are practically the same.  In fact, the ascorbic acid losses for A2P and AA respectively at 40°C were 41% and 92%; at 50°C, they were 90% and 95%; and at 60°C, the</w:t>
      </w:r>
      <w:r>
        <w:rPr>
          <w:rFonts w:ascii="Times New Roman" w:hAnsi="Times New Roman"/>
          <w:sz w:val="24"/>
          <w:szCs w:val="24"/>
        </w:rPr>
        <w:t xml:space="preserve">y were 100% for both.  As we have observed, </w:t>
      </w:r>
      <w:r w:rsidRPr="002E776E">
        <w:rPr>
          <w:rFonts w:ascii="Times New Roman" w:hAnsi="Times New Roman"/>
          <w:sz w:val="24"/>
          <w:szCs w:val="24"/>
        </w:rPr>
        <w:t>the differences in stability between both types of vitamin C is more apparent</w:t>
      </w:r>
      <w:r>
        <w:rPr>
          <w:rFonts w:ascii="Times New Roman" w:hAnsi="Times New Roman"/>
          <w:sz w:val="24"/>
          <w:szCs w:val="24"/>
        </w:rPr>
        <w:t xml:space="preserve"> at lower temperatures</w:t>
      </w:r>
      <w:r w:rsidRPr="002E776E">
        <w:rPr>
          <w:rFonts w:ascii="Times New Roman" w:hAnsi="Times New Roman"/>
          <w:sz w:val="24"/>
          <w:szCs w:val="24"/>
        </w:rPr>
        <w:t xml:space="preserve">.  In a solution of water at pH 3 stored for 1 month at 43°C, almost 30% of the total sodium ascorbyl phosphate was retained </w:t>
      </w:r>
      <w:r w:rsidRPr="002E776E">
        <w:rPr>
          <w:rFonts w:ascii="Times New Roman" w:hAnsi="Times New Roman"/>
          <w:noProof/>
          <w:sz w:val="24"/>
          <w:szCs w:val="24"/>
        </w:rPr>
        <w:t>(Fermann and Gripp 2004)</w:t>
      </w:r>
      <w:r w:rsidRPr="002E776E">
        <w:rPr>
          <w:rFonts w:ascii="Times New Roman" w:hAnsi="Times New Roman"/>
          <w:sz w:val="24"/>
          <w:szCs w:val="24"/>
        </w:rPr>
        <w:t>.  In carbonated beverages (Pepsi</w:t>
      </w:r>
      <w:r w:rsidRPr="002E776E">
        <w:rPr>
          <w:rFonts w:ascii="Times New Roman" w:hAnsi="Times New Roman"/>
          <w:sz w:val="24"/>
          <w:szCs w:val="24"/>
          <w:vertAlign w:val="superscript"/>
        </w:rPr>
        <w:t>TM</w:t>
      </w:r>
      <w:r w:rsidRPr="002E776E">
        <w:rPr>
          <w:rFonts w:ascii="Times New Roman" w:hAnsi="Times New Roman"/>
          <w:sz w:val="24"/>
          <w:szCs w:val="24"/>
        </w:rPr>
        <w:t xml:space="preserve">), after 6 weeks in darkness at 35°C, 8% and almost 60% of the total A2P and AA were lost, respectively.  </w:t>
      </w:r>
      <w:r>
        <w:rPr>
          <w:rFonts w:ascii="Times New Roman" w:hAnsi="Times New Roman"/>
          <w:sz w:val="24"/>
          <w:szCs w:val="24"/>
        </w:rPr>
        <w:t>In the same study, but i</w:t>
      </w:r>
      <w:r w:rsidRPr="002E776E">
        <w:rPr>
          <w:rFonts w:ascii="Times New Roman" w:hAnsi="Times New Roman"/>
          <w:sz w:val="24"/>
          <w:szCs w:val="24"/>
        </w:rPr>
        <w:t>n bread</w:t>
      </w:r>
      <w:r>
        <w:rPr>
          <w:rFonts w:ascii="Times New Roman" w:hAnsi="Times New Roman"/>
          <w:sz w:val="24"/>
          <w:szCs w:val="24"/>
        </w:rPr>
        <w:t xml:space="preserve"> treatments</w:t>
      </w:r>
      <w:r w:rsidRPr="002E776E">
        <w:rPr>
          <w:rFonts w:ascii="Times New Roman" w:hAnsi="Times New Roman"/>
          <w:sz w:val="24"/>
          <w:szCs w:val="24"/>
        </w:rPr>
        <w:t xml:space="preserve">, after 3 days of storage at 25°C, the fortified samples with either A2P or ascorbyl polyphosphate were retained </w:t>
      </w:r>
      <w:r>
        <w:rPr>
          <w:rFonts w:ascii="Times New Roman" w:hAnsi="Times New Roman"/>
          <w:sz w:val="24"/>
          <w:szCs w:val="24"/>
        </w:rPr>
        <w:t xml:space="preserve">at </w:t>
      </w:r>
      <w:r w:rsidRPr="002E776E">
        <w:rPr>
          <w:rFonts w:ascii="Times New Roman" w:hAnsi="Times New Roman"/>
          <w:sz w:val="24"/>
          <w:szCs w:val="24"/>
        </w:rPr>
        <w:t>10-15% higher levels of vitamin C than samples fortified with AA</w:t>
      </w:r>
      <w:r>
        <w:rPr>
          <w:rFonts w:ascii="Times New Roman" w:hAnsi="Times New Roman"/>
          <w:sz w:val="24"/>
          <w:szCs w:val="24"/>
        </w:rPr>
        <w:t xml:space="preserve"> </w:t>
      </w:r>
      <w:r>
        <w:rPr>
          <w:rFonts w:ascii="Times New Roman" w:hAnsi="Times New Roman"/>
          <w:noProof/>
          <w:sz w:val="24"/>
          <w:szCs w:val="24"/>
        </w:rPr>
        <w:t>(Wang and others 1995)</w:t>
      </w:r>
      <w:r w:rsidRPr="002E776E">
        <w:rPr>
          <w:rFonts w:ascii="Times New Roman" w:hAnsi="Times New Roman"/>
          <w:sz w:val="24"/>
          <w:szCs w:val="24"/>
        </w:rPr>
        <w:t xml:space="preserve">. </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Pr="002E776E" w:rsidRDefault="008C75DF" w:rsidP="008C75DF">
      <w:pPr>
        <w:pStyle w:val="ListParagraph"/>
        <w:spacing w:after="0" w:line="360" w:lineRule="auto"/>
        <w:ind w:left="0"/>
        <w:jc w:val="both"/>
        <w:rPr>
          <w:rFonts w:ascii="Times New Roman" w:hAnsi="Times New Roman"/>
          <w:i/>
          <w:sz w:val="24"/>
          <w:szCs w:val="24"/>
        </w:rPr>
      </w:pPr>
      <w:r w:rsidRPr="002E776E">
        <w:rPr>
          <w:rFonts w:ascii="Times New Roman" w:hAnsi="Times New Roman"/>
          <w:i/>
          <w:sz w:val="24"/>
          <w:szCs w:val="24"/>
        </w:rPr>
        <w:t>Effects of temperature on the rate constant</w:t>
      </w:r>
    </w:p>
    <w:p w:rsidR="008C75DF" w:rsidRPr="002E776E"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 xml:space="preserve">Due to the fact that </w:t>
      </w:r>
      <w:r w:rsidRPr="002E776E">
        <w:rPr>
          <w:rFonts w:ascii="Times New Roman" w:hAnsi="Times New Roman"/>
          <w:i/>
          <w:sz w:val="24"/>
          <w:szCs w:val="24"/>
        </w:rPr>
        <w:t xml:space="preserve">k </w:t>
      </w:r>
      <w:r w:rsidRPr="002E776E">
        <w:rPr>
          <w:rFonts w:ascii="Times New Roman" w:hAnsi="Times New Roman"/>
          <w:sz w:val="24"/>
          <w:szCs w:val="24"/>
        </w:rPr>
        <w:t xml:space="preserve">values could not be determined at all temperatures in the color parameters, the effect of temperature thorough the Arrhenius equation was not evaluated.  In reference to the control samples, the </w:t>
      </w:r>
      <w:r w:rsidRPr="002E776E">
        <w:rPr>
          <w:rFonts w:ascii="Times New Roman" w:hAnsi="Times New Roman"/>
          <w:i/>
          <w:sz w:val="24"/>
          <w:szCs w:val="24"/>
        </w:rPr>
        <w:t xml:space="preserve">k </w:t>
      </w:r>
      <w:r w:rsidRPr="002E776E">
        <w:rPr>
          <w:rFonts w:ascii="Times New Roman" w:hAnsi="Times New Roman"/>
          <w:sz w:val="24"/>
          <w:szCs w:val="24"/>
        </w:rPr>
        <w:t>values at the three temperatures were determined; however, as we mentioned before, they did not follow a defined tendency according to the temperatures.</w:t>
      </w:r>
    </w:p>
    <w:p w:rsidR="008C75DF" w:rsidRPr="002E776E" w:rsidRDefault="008C75DF" w:rsidP="008C75DF">
      <w:pPr>
        <w:pStyle w:val="ListParagraph"/>
        <w:spacing w:after="0" w:line="360" w:lineRule="auto"/>
        <w:ind w:left="0"/>
        <w:jc w:val="both"/>
        <w:rPr>
          <w:rFonts w:ascii="Times New Roman" w:hAnsi="Times New Roman"/>
          <w:sz w:val="24"/>
          <w:szCs w:val="24"/>
        </w:rPr>
      </w:pPr>
    </w:p>
    <w:p w:rsidR="008C75DF" w:rsidRDefault="008C75DF" w:rsidP="008C75DF">
      <w:pPr>
        <w:pStyle w:val="ListParagraph"/>
        <w:spacing w:after="0" w:line="360" w:lineRule="auto"/>
        <w:ind w:left="0" w:firstLine="708"/>
        <w:jc w:val="both"/>
        <w:rPr>
          <w:rFonts w:ascii="Times New Roman" w:hAnsi="Times New Roman"/>
          <w:sz w:val="24"/>
          <w:szCs w:val="24"/>
        </w:rPr>
      </w:pPr>
      <w:r w:rsidRPr="002E776E">
        <w:rPr>
          <w:rFonts w:ascii="Times New Roman" w:hAnsi="Times New Roman"/>
          <w:sz w:val="24"/>
          <w:szCs w:val="24"/>
        </w:rPr>
        <w:t>The data of AA and A2P did not fit successfully in the Arrhenius equation.  As we can see in Table 6, even though the R</w:t>
      </w:r>
      <w:r w:rsidRPr="002E776E">
        <w:rPr>
          <w:rFonts w:ascii="Times New Roman" w:hAnsi="Times New Roman"/>
          <w:sz w:val="24"/>
          <w:szCs w:val="24"/>
          <w:vertAlign w:val="superscript"/>
        </w:rPr>
        <w:t>2</w:t>
      </w:r>
      <w:r w:rsidRPr="002E776E">
        <w:rPr>
          <w:rFonts w:ascii="Times New Roman" w:hAnsi="Times New Roman"/>
          <w:sz w:val="24"/>
          <w:szCs w:val="24"/>
        </w:rPr>
        <w:t xml:space="preserve"> were not low (0.85 and 0.95 for AA and A2P, respectively); the p-values were higher than 0.05.  In a buffer solution with pH of 3.5, the temperature dependence could not be explained by the Arrhenius equation in some treatments </w:t>
      </w:r>
      <w:r w:rsidRPr="002E776E">
        <w:rPr>
          <w:rFonts w:ascii="Times New Roman" w:hAnsi="Times New Roman"/>
          <w:noProof/>
          <w:sz w:val="24"/>
          <w:szCs w:val="24"/>
        </w:rPr>
        <w:t>(Assiry and others 2006)</w:t>
      </w:r>
      <w:r w:rsidRPr="002E776E">
        <w:rPr>
          <w:rFonts w:ascii="Times New Roman" w:hAnsi="Times New Roman"/>
          <w:sz w:val="24"/>
          <w:szCs w:val="24"/>
        </w:rPr>
        <w:t>.  In spite of this lack of fit, we report Ea obtained in order to evaluate the differ</w:t>
      </w:r>
      <w:r>
        <w:rPr>
          <w:rFonts w:ascii="Times New Roman" w:hAnsi="Times New Roman"/>
          <w:sz w:val="24"/>
          <w:szCs w:val="24"/>
        </w:rPr>
        <w:t>ences in AA and A2P.  As reported</w:t>
      </w:r>
      <w:r w:rsidRPr="002E776E">
        <w:rPr>
          <w:rFonts w:ascii="Times New Roman" w:hAnsi="Times New Roman"/>
          <w:sz w:val="24"/>
          <w:szCs w:val="24"/>
        </w:rPr>
        <w:t xml:space="preserve"> in Table 6, the Ea of A2P destruction was almost three times higher than AA.  These results show that A2P concentration is more stable and also more dependent on temperature than AA.  The value obtained for AA is much lower than those </w:t>
      </w:r>
      <w:r w:rsidRPr="002E776E">
        <w:rPr>
          <w:rFonts w:ascii="Times New Roman" w:hAnsi="Times New Roman"/>
          <w:sz w:val="24"/>
          <w:szCs w:val="24"/>
        </w:rPr>
        <w:lastRenderedPageBreak/>
        <w:t>reported for orange, lemon, grapefruit and tangerine</w:t>
      </w:r>
      <w:r>
        <w:rPr>
          <w:rFonts w:ascii="Times New Roman" w:hAnsi="Times New Roman"/>
          <w:sz w:val="24"/>
          <w:szCs w:val="24"/>
        </w:rPr>
        <w:t xml:space="preserve"> juices</w:t>
      </w:r>
      <w:r w:rsidRPr="002E776E">
        <w:rPr>
          <w:rFonts w:ascii="Times New Roman" w:hAnsi="Times New Roman"/>
          <w:sz w:val="24"/>
          <w:szCs w:val="24"/>
        </w:rPr>
        <w:t xml:space="preserve"> stored at 28-45°C </w:t>
      </w:r>
      <w:r>
        <w:rPr>
          <w:rFonts w:ascii="Times New Roman" w:hAnsi="Times New Roman"/>
          <w:noProof/>
          <w:sz w:val="24"/>
          <w:szCs w:val="24"/>
        </w:rPr>
        <w:t>(Burdurlu and others 2006)</w:t>
      </w:r>
      <w:r w:rsidRPr="002E776E">
        <w:rPr>
          <w:rFonts w:ascii="Times New Roman" w:hAnsi="Times New Roman"/>
          <w:sz w:val="24"/>
          <w:szCs w:val="24"/>
        </w:rPr>
        <w:t xml:space="preserve">.  As mentioned earlier, no kinetics studies have been reported in food systems using A2P. </w:t>
      </w:r>
    </w:p>
    <w:p w:rsidR="00814929" w:rsidRDefault="00814929" w:rsidP="008C75DF">
      <w:pPr>
        <w:pStyle w:val="ListParagraph"/>
        <w:spacing w:after="0" w:line="360" w:lineRule="auto"/>
        <w:ind w:left="0" w:firstLine="708"/>
        <w:jc w:val="both"/>
        <w:rPr>
          <w:rFonts w:ascii="Times New Roman" w:hAnsi="Times New Roman"/>
          <w:sz w:val="24"/>
          <w:szCs w:val="24"/>
        </w:rPr>
      </w:pPr>
    </w:p>
    <w:p w:rsidR="00972B5D" w:rsidRDefault="00883650" w:rsidP="00883650">
      <w:pPr>
        <w:spacing w:after="0" w:line="360" w:lineRule="auto"/>
        <w:jc w:val="both"/>
        <w:rPr>
          <w:rFonts w:ascii="Times New Roman" w:hAnsi="Times New Roman"/>
          <w:b/>
          <w:sz w:val="24"/>
          <w:szCs w:val="24"/>
        </w:rPr>
      </w:pPr>
      <w:r w:rsidRPr="00883650">
        <w:rPr>
          <w:rFonts w:ascii="Times New Roman" w:hAnsi="Times New Roman"/>
          <w:b/>
          <w:sz w:val="24"/>
          <w:szCs w:val="24"/>
        </w:rPr>
        <w:t>CONCLUSION</w:t>
      </w:r>
    </w:p>
    <w:p w:rsidR="00883650" w:rsidRPr="002E776E" w:rsidRDefault="00883650" w:rsidP="00883650">
      <w:pPr>
        <w:spacing w:after="0" w:line="360" w:lineRule="auto"/>
        <w:ind w:firstLine="708"/>
        <w:jc w:val="both"/>
        <w:rPr>
          <w:rFonts w:ascii="Times New Roman" w:hAnsi="Times New Roman"/>
          <w:sz w:val="24"/>
          <w:szCs w:val="24"/>
        </w:rPr>
      </w:pPr>
      <w:r>
        <w:rPr>
          <w:rFonts w:ascii="Times New Roman" w:hAnsi="Times New Roman" w:cs="Times New Roman"/>
          <w:sz w:val="24"/>
          <w:szCs w:val="24"/>
        </w:rPr>
        <w:t xml:space="preserve">Treatments made of peach puree fortified with ascorbic </w:t>
      </w:r>
      <w:proofErr w:type="gramStart"/>
      <w:r>
        <w:rPr>
          <w:rFonts w:ascii="Times New Roman" w:hAnsi="Times New Roman" w:cs="Times New Roman"/>
          <w:sz w:val="24"/>
          <w:szCs w:val="24"/>
        </w:rPr>
        <w:t>acid,</w:t>
      </w:r>
      <w:proofErr w:type="gramEnd"/>
      <w:r>
        <w:rPr>
          <w:rFonts w:ascii="Times New Roman" w:hAnsi="Times New Roman" w:cs="Times New Roman"/>
          <w:sz w:val="24"/>
          <w:szCs w:val="24"/>
        </w:rPr>
        <w:t xml:space="preserve"> ascorbyl-2-phosphate and a control were stored at 40°C, 50°C and 60°C for 29 days.  The stability of the samples was evaluated through the color (CIELAB system) and vitamin C levels.  Also, dissolved oxygen was measured.  Constant rates were calculated and used in order to compare the different treatments. Samples with no added vitamin C showed the best stability.  </w:t>
      </w:r>
      <w:r w:rsidRPr="002E776E">
        <w:rPr>
          <w:rFonts w:ascii="Times New Roman" w:hAnsi="Times New Roman"/>
          <w:sz w:val="24"/>
          <w:szCs w:val="24"/>
        </w:rPr>
        <w:t>Kinetic models could not be applied successfully in all color parameters at all t</w:t>
      </w:r>
      <w:r>
        <w:rPr>
          <w:rFonts w:ascii="Times New Roman" w:hAnsi="Times New Roman"/>
          <w:sz w:val="24"/>
          <w:szCs w:val="24"/>
        </w:rPr>
        <w:t>emperatures due to data variability</w:t>
      </w:r>
      <w:r w:rsidRPr="002E776E">
        <w:rPr>
          <w:rFonts w:ascii="Times New Roman" w:hAnsi="Times New Roman"/>
          <w:sz w:val="24"/>
          <w:szCs w:val="24"/>
        </w:rPr>
        <w:t xml:space="preserve">.  </w:t>
      </w:r>
      <w:r>
        <w:rPr>
          <w:rFonts w:ascii="Times New Roman" w:hAnsi="Times New Roman"/>
          <w:sz w:val="24"/>
          <w:szCs w:val="24"/>
        </w:rPr>
        <w:t xml:space="preserve">The unclear trends can be attributed to the content of anthocyanins in the variety of peaches that were used (Flavorich).  </w:t>
      </w:r>
      <w:r w:rsidRPr="002E776E">
        <w:rPr>
          <w:rFonts w:ascii="Times New Roman" w:hAnsi="Times New Roman"/>
          <w:sz w:val="24"/>
          <w:szCs w:val="24"/>
        </w:rPr>
        <w:t xml:space="preserve">The </w:t>
      </w:r>
      <w:r>
        <w:rPr>
          <w:rFonts w:ascii="Times New Roman" w:hAnsi="Times New Roman"/>
          <w:sz w:val="24"/>
          <w:szCs w:val="24"/>
        </w:rPr>
        <w:t xml:space="preserve">Weibull </w:t>
      </w:r>
      <w:r w:rsidRPr="00835EF4">
        <w:rPr>
          <w:rFonts w:ascii="Times New Roman" w:hAnsi="Times New Roman"/>
          <w:sz w:val="24"/>
          <w:szCs w:val="24"/>
        </w:rPr>
        <w:t xml:space="preserve">model best described the changes in vitamin C.  At all temperatures, the rate constants of vitamin C degradation were higher in the ascorbic acid containing samples than in the ascorbyl-2-phosphate treatments. The </w:t>
      </w:r>
      <w:r w:rsidR="00F648C4" w:rsidRPr="00835EF4">
        <w:rPr>
          <w:rFonts w:ascii="Times New Roman" w:hAnsi="Times New Roman"/>
          <w:sz w:val="24"/>
          <w:szCs w:val="24"/>
        </w:rPr>
        <w:t xml:space="preserve">differences in vitamin C losses between the fortified samples </w:t>
      </w:r>
      <w:r w:rsidR="00835EF4">
        <w:rPr>
          <w:rFonts w:ascii="Times New Roman" w:hAnsi="Times New Roman"/>
          <w:sz w:val="24"/>
          <w:szCs w:val="24"/>
        </w:rPr>
        <w:t>increased</w:t>
      </w:r>
      <w:r w:rsidR="00F648C4" w:rsidRPr="00835EF4">
        <w:rPr>
          <w:rFonts w:ascii="Times New Roman" w:hAnsi="Times New Roman"/>
          <w:sz w:val="24"/>
          <w:szCs w:val="24"/>
        </w:rPr>
        <w:t xml:space="preserve"> </w:t>
      </w:r>
      <w:r w:rsidRPr="00835EF4">
        <w:rPr>
          <w:rFonts w:ascii="Times New Roman" w:hAnsi="Times New Roman"/>
          <w:sz w:val="24"/>
          <w:szCs w:val="24"/>
        </w:rPr>
        <w:t>at lower temperatures.</w:t>
      </w:r>
      <w:r>
        <w:rPr>
          <w:rFonts w:ascii="Times New Roman" w:hAnsi="Times New Roman"/>
          <w:sz w:val="24"/>
          <w:szCs w:val="24"/>
        </w:rPr>
        <w:t xml:space="preserve"> </w:t>
      </w:r>
    </w:p>
    <w:p w:rsidR="00883650" w:rsidRDefault="00883650" w:rsidP="00883650">
      <w:pPr>
        <w:spacing w:after="0" w:line="360" w:lineRule="auto"/>
        <w:jc w:val="both"/>
        <w:rPr>
          <w:rFonts w:ascii="Times New Roman" w:hAnsi="Times New Roman"/>
          <w:b/>
          <w:sz w:val="24"/>
          <w:szCs w:val="24"/>
        </w:rPr>
      </w:pPr>
    </w:p>
    <w:p w:rsidR="00883650" w:rsidRPr="00883650" w:rsidRDefault="00883650" w:rsidP="00883650">
      <w:pPr>
        <w:spacing w:after="0" w:line="360" w:lineRule="auto"/>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AE6912" w:rsidRDefault="00AE6912" w:rsidP="008C75DF">
      <w:pPr>
        <w:pStyle w:val="ListParagraph"/>
        <w:spacing w:after="0" w:line="360" w:lineRule="auto"/>
        <w:ind w:left="0" w:firstLine="708"/>
        <w:jc w:val="both"/>
        <w:rPr>
          <w:rFonts w:ascii="Times New Roman" w:hAnsi="Times New Roman"/>
          <w:b/>
          <w:sz w:val="24"/>
          <w:szCs w:val="24"/>
        </w:rPr>
      </w:pPr>
    </w:p>
    <w:p w:rsidR="00AE6912" w:rsidRDefault="00AE6912" w:rsidP="008C75DF">
      <w:pPr>
        <w:pStyle w:val="ListParagraph"/>
        <w:spacing w:after="0" w:line="360" w:lineRule="auto"/>
        <w:ind w:left="0" w:firstLine="708"/>
        <w:jc w:val="both"/>
        <w:rPr>
          <w:rFonts w:ascii="Times New Roman" w:hAnsi="Times New Roman"/>
          <w:b/>
          <w:sz w:val="24"/>
          <w:szCs w:val="24"/>
        </w:rPr>
      </w:pPr>
    </w:p>
    <w:p w:rsidR="00AE6912" w:rsidRDefault="00AE6912" w:rsidP="008C75DF">
      <w:pPr>
        <w:pStyle w:val="ListParagraph"/>
        <w:spacing w:after="0" w:line="360" w:lineRule="auto"/>
        <w:ind w:left="0" w:firstLine="708"/>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883650" w:rsidRDefault="00883650" w:rsidP="008C75DF">
      <w:pPr>
        <w:pStyle w:val="ListParagraph"/>
        <w:spacing w:after="0" w:line="360" w:lineRule="auto"/>
        <w:ind w:left="0" w:firstLine="708"/>
        <w:jc w:val="both"/>
        <w:rPr>
          <w:rFonts w:ascii="Times New Roman" w:hAnsi="Times New Roman"/>
          <w:b/>
          <w:sz w:val="24"/>
          <w:szCs w:val="24"/>
        </w:rPr>
      </w:pPr>
    </w:p>
    <w:p w:rsidR="008C75DF" w:rsidRPr="00712D48" w:rsidRDefault="008C75DF" w:rsidP="00053119">
      <w:pPr>
        <w:tabs>
          <w:tab w:val="left" w:pos="1620"/>
        </w:tabs>
        <w:jc w:val="center"/>
        <w:rPr>
          <w:rFonts w:ascii="Times New Roman" w:hAnsi="Times New Roman"/>
          <w:b/>
        </w:rPr>
      </w:pPr>
      <w:r w:rsidRPr="00712D48">
        <w:rPr>
          <w:rFonts w:ascii="Times New Roman" w:hAnsi="Times New Roman"/>
          <w:b/>
          <w:noProof/>
        </w:rPr>
        <w:lastRenderedPageBreak/>
        <w:drawing>
          <wp:inline distT="0" distB="0" distL="0" distR="0">
            <wp:extent cx="3486150" cy="2238375"/>
            <wp:effectExtent l="0" t="0" r="0" b="0"/>
            <wp:docPr id="4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24E92" w:rsidRPr="00712D48" w:rsidRDefault="00924E92" w:rsidP="00924E92">
      <w:pPr>
        <w:ind w:left="1440" w:firstLine="720"/>
        <w:rPr>
          <w:rFonts w:ascii="Times New Roman" w:hAnsi="Times New Roman"/>
          <w:b/>
        </w:rPr>
      </w:pPr>
      <w:r>
        <w:rPr>
          <w:rFonts w:ascii="Times New Roman" w:hAnsi="Times New Roman"/>
          <w:b/>
        </w:rPr>
        <w:t>Fig. 1</w:t>
      </w:r>
      <w:r w:rsidRPr="00712D48">
        <w:rPr>
          <w:rFonts w:ascii="Times New Roman" w:hAnsi="Times New Roman"/>
          <w:b/>
        </w:rPr>
        <w:t xml:space="preserve">: </w:t>
      </w:r>
      <w:r>
        <w:rPr>
          <w:rFonts w:ascii="Times New Roman" w:hAnsi="Times New Roman"/>
          <w:b/>
        </w:rPr>
        <w:t>D</w:t>
      </w:r>
      <w:r w:rsidRPr="00712D48">
        <w:rPr>
          <w:rFonts w:ascii="Times New Roman" w:hAnsi="Times New Roman"/>
          <w:b/>
        </w:rPr>
        <w:t xml:space="preserve">issolved oxygen </w:t>
      </w:r>
      <w:r>
        <w:rPr>
          <w:rFonts w:ascii="Times New Roman" w:hAnsi="Times New Roman"/>
          <w:b/>
        </w:rPr>
        <w:t xml:space="preserve">of peach purees </w:t>
      </w:r>
      <w:r w:rsidRPr="00712D48">
        <w:rPr>
          <w:rFonts w:ascii="Times New Roman" w:hAnsi="Times New Roman"/>
          <w:b/>
        </w:rPr>
        <w:t>during storage at 40°C</w:t>
      </w:r>
    </w:p>
    <w:p w:rsidR="008C75DF" w:rsidRPr="00712D48" w:rsidRDefault="008C75DF" w:rsidP="008C75DF">
      <w:pPr>
        <w:jc w:val="center"/>
        <w:rPr>
          <w:rFonts w:ascii="Times New Roman" w:hAnsi="Times New Roman"/>
          <w:b/>
        </w:rPr>
      </w:pPr>
      <w:r w:rsidRPr="00712D48">
        <w:rPr>
          <w:rFonts w:ascii="Times New Roman" w:hAnsi="Times New Roman"/>
          <w:b/>
          <w:noProof/>
        </w:rPr>
        <w:drawing>
          <wp:inline distT="0" distB="0" distL="0" distR="0">
            <wp:extent cx="3641834" cy="2317531"/>
            <wp:effectExtent l="0" t="0" r="0" b="0"/>
            <wp:docPr id="4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63CCD" w:rsidRDefault="00963CCD" w:rsidP="00053119">
      <w:pPr>
        <w:ind w:firstLine="2160"/>
        <w:rPr>
          <w:rFonts w:ascii="Times New Roman" w:hAnsi="Times New Roman"/>
          <w:b/>
        </w:rPr>
      </w:pPr>
      <w:r w:rsidRPr="00712D48">
        <w:rPr>
          <w:rFonts w:ascii="Times New Roman" w:hAnsi="Times New Roman"/>
          <w:b/>
        </w:rPr>
        <w:t xml:space="preserve">Fig. </w:t>
      </w:r>
      <w:r>
        <w:rPr>
          <w:rFonts w:ascii="Times New Roman" w:hAnsi="Times New Roman"/>
          <w:b/>
        </w:rPr>
        <w:t>2</w:t>
      </w:r>
      <w:r w:rsidRPr="00712D48">
        <w:rPr>
          <w:rFonts w:ascii="Times New Roman" w:hAnsi="Times New Roman"/>
          <w:b/>
        </w:rPr>
        <w:t xml:space="preserve">: </w:t>
      </w:r>
      <w:r>
        <w:rPr>
          <w:rFonts w:ascii="Times New Roman" w:hAnsi="Times New Roman"/>
          <w:b/>
        </w:rPr>
        <w:t>D</w:t>
      </w:r>
      <w:r w:rsidRPr="00712D48">
        <w:rPr>
          <w:rFonts w:ascii="Times New Roman" w:hAnsi="Times New Roman"/>
          <w:b/>
        </w:rPr>
        <w:t xml:space="preserve">issolved oxygen </w:t>
      </w:r>
      <w:r>
        <w:rPr>
          <w:rFonts w:ascii="Times New Roman" w:hAnsi="Times New Roman"/>
          <w:b/>
        </w:rPr>
        <w:t xml:space="preserve">of peach purees </w:t>
      </w:r>
      <w:r w:rsidRPr="00712D48">
        <w:rPr>
          <w:rFonts w:ascii="Times New Roman" w:hAnsi="Times New Roman"/>
          <w:b/>
        </w:rPr>
        <w:t>during storage at 50°C</w:t>
      </w:r>
    </w:p>
    <w:p w:rsidR="008C75DF" w:rsidRPr="00712D48" w:rsidRDefault="008C75DF" w:rsidP="008C75DF">
      <w:pPr>
        <w:jc w:val="center"/>
        <w:rPr>
          <w:rFonts w:ascii="Times New Roman" w:hAnsi="Times New Roman"/>
          <w:b/>
        </w:rPr>
      </w:pPr>
      <w:r w:rsidRPr="00712D48">
        <w:rPr>
          <w:rFonts w:ascii="Times New Roman" w:hAnsi="Times New Roman"/>
          <w:b/>
          <w:noProof/>
        </w:rPr>
        <w:drawing>
          <wp:inline distT="0" distB="0" distL="0" distR="0">
            <wp:extent cx="3231931" cy="2396359"/>
            <wp:effectExtent l="0" t="0" r="0" b="0"/>
            <wp:docPr id="4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 xml:space="preserve">Fig. </w:t>
      </w:r>
      <w:r>
        <w:rPr>
          <w:rFonts w:ascii="Times New Roman" w:hAnsi="Times New Roman"/>
          <w:b/>
        </w:rPr>
        <w:t>3</w:t>
      </w:r>
      <w:r w:rsidRPr="00712D48">
        <w:rPr>
          <w:rFonts w:ascii="Times New Roman" w:hAnsi="Times New Roman"/>
          <w:b/>
        </w:rPr>
        <w:t xml:space="preserve">: </w:t>
      </w:r>
      <w:r>
        <w:rPr>
          <w:rFonts w:ascii="Times New Roman" w:hAnsi="Times New Roman"/>
          <w:b/>
        </w:rPr>
        <w:t xml:space="preserve"> D</w:t>
      </w:r>
      <w:r w:rsidRPr="00712D48">
        <w:rPr>
          <w:rFonts w:ascii="Times New Roman" w:hAnsi="Times New Roman"/>
          <w:b/>
        </w:rPr>
        <w:t xml:space="preserve">issolved oxygen </w:t>
      </w:r>
      <w:r>
        <w:rPr>
          <w:rFonts w:ascii="Times New Roman" w:hAnsi="Times New Roman"/>
          <w:b/>
        </w:rPr>
        <w:t xml:space="preserve">of peach purees </w:t>
      </w:r>
      <w:r w:rsidRPr="00712D48">
        <w:rPr>
          <w:rFonts w:ascii="Times New Roman" w:hAnsi="Times New Roman"/>
          <w:b/>
        </w:rPr>
        <w:t>during storage at 60°C</w:t>
      </w:r>
    </w:p>
    <w:p w:rsidR="008C75DF" w:rsidRPr="00712D48" w:rsidRDefault="008C75DF" w:rsidP="008C75DF">
      <w:pPr>
        <w:jc w:val="center"/>
        <w:rPr>
          <w:rFonts w:ascii="Times New Roman" w:hAnsi="Times New Roman"/>
        </w:rPr>
      </w:pPr>
      <w:r w:rsidRPr="00712D48">
        <w:rPr>
          <w:rFonts w:ascii="Times New Roman" w:hAnsi="Times New Roman"/>
          <w:noProof/>
        </w:rPr>
        <w:lastRenderedPageBreak/>
        <w:drawing>
          <wp:inline distT="0" distB="0" distL="0" distR="0">
            <wp:extent cx="3086100" cy="2133600"/>
            <wp:effectExtent l="0" t="0" r="0" b="0"/>
            <wp:docPr id="4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 xml:space="preserve">Fig. </w:t>
      </w:r>
      <w:r>
        <w:rPr>
          <w:rFonts w:ascii="Times New Roman" w:hAnsi="Times New Roman"/>
          <w:b/>
        </w:rPr>
        <w:t>4</w:t>
      </w:r>
      <w:r w:rsidRPr="00712D48">
        <w:rPr>
          <w:rFonts w:ascii="Times New Roman" w:hAnsi="Times New Roman"/>
          <w:b/>
        </w:rPr>
        <w:t>: Variation of the L* value during storage at 40°C</w:t>
      </w:r>
    </w:p>
    <w:p w:rsidR="00963CCD" w:rsidRDefault="00963CCD" w:rsidP="00053119">
      <w:pPr>
        <w:ind w:firstLine="2160"/>
        <w:rPr>
          <w:rFonts w:ascii="Times New Roman" w:hAnsi="Times New Roman"/>
          <w:b/>
        </w:rPr>
      </w:pPr>
    </w:p>
    <w:p w:rsidR="008C75DF" w:rsidRPr="00712D48" w:rsidRDefault="008C75DF" w:rsidP="008C75DF">
      <w:pPr>
        <w:jc w:val="center"/>
        <w:rPr>
          <w:rFonts w:ascii="Times New Roman" w:hAnsi="Times New Roman"/>
        </w:rPr>
      </w:pPr>
      <w:r w:rsidRPr="00712D48">
        <w:rPr>
          <w:rFonts w:ascii="Times New Roman" w:hAnsi="Times New Roman"/>
          <w:noProof/>
        </w:rPr>
        <w:drawing>
          <wp:inline distT="0" distB="0" distL="0" distR="0">
            <wp:extent cx="3181350" cy="2076450"/>
            <wp:effectExtent l="0" t="0" r="0" b="0"/>
            <wp:docPr id="4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 xml:space="preserve">Fig. </w:t>
      </w:r>
      <w:r>
        <w:rPr>
          <w:rFonts w:ascii="Times New Roman" w:hAnsi="Times New Roman"/>
          <w:b/>
        </w:rPr>
        <w:t>5</w:t>
      </w:r>
      <w:r w:rsidRPr="00712D48">
        <w:rPr>
          <w:rFonts w:ascii="Times New Roman" w:hAnsi="Times New Roman"/>
          <w:b/>
        </w:rPr>
        <w:t>: Variation of the L* value during storage at 50°C</w:t>
      </w:r>
    </w:p>
    <w:p w:rsidR="008C75DF" w:rsidRPr="00712D48" w:rsidRDefault="008C75DF" w:rsidP="008C75DF">
      <w:pPr>
        <w:jc w:val="center"/>
        <w:rPr>
          <w:rFonts w:ascii="Times New Roman" w:hAnsi="Times New Roman"/>
        </w:rPr>
      </w:pPr>
      <w:r w:rsidRPr="00712D48">
        <w:rPr>
          <w:rFonts w:ascii="Times New Roman" w:hAnsi="Times New Roman"/>
          <w:noProof/>
        </w:rPr>
        <w:drawing>
          <wp:inline distT="0" distB="0" distL="0" distR="0">
            <wp:extent cx="2971800" cy="2362200"/>
            <wp:effectExtent l="0" t="0" r="0" b="0"/>
            <wp:docPr id="4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 xml:space="preserve">Fig. </w:t>
      </w:r>
      <w:r>
        <w:rPr>
          <w:rFonts w:ascii="Times New Roman" w:hAnsi="Times New Roman"/>
          <w:b/>
        </w:rPr>
        <w:t>6</w:t>
      </w:r>
      <w:r w:rsidRPr="00712D48">
        <w:rPr>
          <w:rFonts w:ascii="Times New Roman" w:hAnsi="Times New Roman"/>
          <w:b/>
        </w:rPr>
        <w:t>: Variation of the L* value during storage at 60°C</w:t>
      </w:r>
    </w:p>
    <w:p w:rsidR="008C75DF" w:rsidRPr="00712D48" w:rsidRDefault="008C75DF" w:rsidP="008C75DF">
      <w:pPr>
        <w:jc w:val="center"/>
        <w:rPr>
          <w:rFonts w:ascii="Times New Roman" w:hAnsi="Times New Roman"/>
          <w:b/>
        </w:rPr>
      </w:pPr>
      <w:r w:rsidRPr="00712D48">
        <w:rPr>
          <w:rFonts w:ascii="Times New Roman" w:hAnsi="Times New Roman"/>
          <w:b/>
          <w:noProof/>
        </w:rPr>
        <w:lastRenderedPageBreak/>
        <w:drawing>
          <wp:inline distT="0" distB="0" distL="0" distR="0">
            <wp:extent cx="3466532" cy="2129051"/>
            <wp:effectExtent l="0" t="0" r="0" b="0"/>
            <wp:docPr id="4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Fig.</w:t>
      </w:r>
      <w:r>
        <w:rPr>
          <w:rFonts w:ascii="Times New Roman" w:hAnsi="Times New Roman"/>
          <w:b/>
        </w:rPr>
        <w:t xml:space="preserve"> 7</w:t>
      </w:r>
      <w:r w:rsidRPr="00712D48">
        <w:rPr>
          <w:rFonts w:ascii="Times New Roman" w:hAnsi="Times New Roman"/>
          <w:b/>
        </w:rPr>
        <w:t>: Variation of the a* value during storage at 40°C</w:t>
      </w:r>
    </w:p>
    <w:p w:rsidR="00963CCD" w:rsidRPr="00712D48" w:rsidRDefault="00543EE2" w:rsidP="00963CCD">
      <w:pPr>
        <w:ind w:left="2160"/>
        <w:rPr>
          <w:rFonts w:ascii="Times New Roman" w:hAnsi="Times New Roman"/>
          <w:b/>
        </w:rPr>
      </w:pPr>
      <w:r w:rsidRPr="00543EE2">
        <w:rPr>
          <w:rFonts w:ascii="Times New Roman" w:hAnsi="Times New Roman"/>
          <w:b/>
          <w:noProof/>
        </w:rPr>
        <w:drawing>
          <wp:inline distT="0" distB="0" distL="0" distR="0">
            <wp:extent cx="3387436" cy="2192481"/>
            <wp:effectExtent l="0" t="0" r="0" b="0"/>
            <wp:docPr id="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AE6912">
        <w:rPr>
          <w:rFonts w:ascii="Times New Roman" w:hAnsi="Times New Roman"/>
          <w:b/>
        </w:rPr>
        <w:br w:type="textWrapping" w:clear="all"/>
      </w:r>
      <w:r w:rsidR="00963CCD" w:rsidRPr="00712D48">
        <w:rPr>
          <w:rFonts w:ascii="Times New Roman" w:hAnsi="Times New Roman"/>
          <w:b/>
        </w:rPr>
        <w:t xml:space="preserve">Fig. </w:t>
      </w:r>
      <w:r w:rsidR="00963CCD">
        <w:rPr>
          <w:rFonts w:ascii="Times New Roman" w:hAnsi="Times New Roman"/>
          <w:b/>
        </w:rPr>
        <w:t>8</w:t>
      </w:r>
      <w:r w:rsidR="00963CCD" w:rsidRPr="00712D48">
        <w:rPr>
          <w:rFonts w:ascii="Times New Roman" w:hAnsi="Times New Roman"/>
          <w:b/>
        </w:rPr>
        <w:t xml:space="preserve">: Variation of the </w:t>
      </w:r>
      <w:r w:rsidR="00963CCD">
        <w:rPr>
          <w:rFonts w:ascii="Times New Roman" w:hAnsi="Times New Roman"/>
          <w:b/>
        </w:rPr>
        <w:t>a*</w:t>
      </w:r>
      <w:r w:rsidR="00963CCD" w:rsidRPr="00712D48">
        <w:rPr>
          <w:rFonts w:ascii="Times New Roman" w:hAnsi="Times New Roman"/>
          <w:b/>
        </w:rPr>
        <w:t xml:space="preserve"> value during storage at 50°C</w:t>
      </w:r>
    </w:p>
    <w:p w:rsidR="008C75DF" w:rsidRPr="00712D48" w:rsidRDefault="008C75DF" w:rsidP="008C75DF">
      <w:pPr>
        <w:jc w:val="center"/>
        <w:rPr>
          <w:rFonts w:ascii="Times New Roman" w:hAnsi="Times New Roman"/>
          <w:b/>
        </w:rPr>
      </w:pPr>
      <w:r w:rsidRPr="00712D48">
        <w:rPr>
          <w:rFonts w:ascii="Times New Roman" w:hAnsi="Times New Roman"/>
          <w:b/>
          <w:noProof/>
        </w:rPr>
        <w:drawing>
          <wp:inline distT="0" distB="0" distL="0" distR="0">
            <wp:extent cx="3575713" cy="2470245"/>
            <wp:effectExtent l="0" t="0" r="0" b="0"/>
            <wp:docPr id="4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 xml:space="preserve">Fig. </w:t>
      </w:r>
      <w:r>
        <w:rPr>
          <w:rFonts w:ascii="Times New Roman" w:hAnsi="Times New Roman"/>
          <w:b/>
        </w:rPr>
        <w:t>9</w:t>
      </w:r>
      <w:r w:rsidRPr="00712D48">
        <w:rPr>
          <w:rFonts w:ascii="Times New Roman" w:hAnsi="Times New Roman"/>
          <w:b/>
        </w:rPr>
        <w:t>: Variation of the a* value during storage at 60°C</w:t>
      </w:r>
    </w:p>
    <w:p w:rsidR="00963CCD" w:rsidRDefault="00963CCD" w:rsidP="00FC53D4">
      <w:pPr>
        <w:ind w:firstLine="2160"/>
        <w:rPr>
          <w:rFonts w:ascii="Times New Roman" w:hAnsi="Times New Roman"/>
          <w:b/>
        </w:rPr>
      </w:pPr>
    </w:p>
    <w:p w:rsidR="008C75DF" w:rsidRPr="00712D48" w:rsidRDefault="00543EE2" w:rsidP="008C75DF">
      <w:pPr>
        <w:jc w:val="center"/>
        <w:rPr>
          <w:rFonts w:ascii="Times New Roman" w:hAnsi="Times New Roman"/>
          <w:b/>
        </w:rPr>
      </w:pPr>
      <w:r w:rsidRPr="00543EE2">
        <w:rPr>
          <w:rFonts w:ascii="Times New Roman" w:hAnsi="Times New Roman"/>
          <w:b/>
          <w:noProof/>
        </w:rPr>
        <w:lastRenderedPageBreak/>
        <w:drawing>
          <wp:inline distT="0" distB="0" distL="0" distR="0">
            <wp:extent cx="3101008" cy="2120348"/>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Fig. 1</w:t>
      </w:r>
      <w:r>
        <w:rPr>
          <w:rFonts w:ascii="Times New Roman" w:hAnsi="Times New Roman"/>
          <w:b/>
        </w:rPr>
        <w:t>0</w:t>
      </w:r>
      <w:r w:rsidRPr="00712D48">
        <w:rPr>
          <w:rFonts w:ascii="Times New Roman" w:hAnsi="Times New Roman"/>
          <w:b/>
        </w:rPr>
        <w:t>: Variation of the b* value during storage at 40°C</w:t>
      </w:r>
    </w:p>
    <w:p w:rsidR="008C75DF" w:rsidRPr="00712D48" w:rsidRDefault="00F81D34" w:rsidP="008C75DF">
      <w:pPr>
        <w:jc w:val="center"/>
        <w:rPr>
          <w:rFonts w:ascii="Times New Roman" w:hAnsi="Times New Roman"/>
          <w:b/>
        </w:rPr>
      </w:pPr>
      <w:r w:rsidRPr="00F81D34">
        <w:rPr>
          <w:rFonts w:ascii="Times New Roman" w:hAnsi="Times New Roman"/>
          <w:b/>
          <w:noProof/>
        </w:rPr>
        <w:drawing>
          <wp:inline distT="0" distB="0" distL="0" distR="0">
            <wp:extent cx="3114260" cy="2146852"/>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Fig. 1</w:t>
      </w:r>
      <w:r>
        <w:rPr>
          <w:rFonts w:ascii="Times New Roman" w:hAnsi="Times New Roman"/>
          <w:b/>
        </w:rPr>
        <w:t>1</w:t>
      </w:r>
      <w:r w:rsidRPr="00712D48">
        <w:rPr>
          <w:rFonts w:ascii="Times New Roman" w:hAnsi="Times New Roman"/>
          <w:b/>
        </w:rPr>
        <w:t>: Variation of the b* value during storage at 50°C</w:t>
      </w:r>
    </w:p>
    <w:p w:rsidR="008C75DF" w:rsidRPr="00712D48" w:rsidRDefault="00F81D34" w:rsidP="008C75DF">
      <w:pPr>
        <w:jc w:val="center"/>
        <w:rPr>
          <w:rFonts w:ascii="Times New Roman" w:hAnsi="Times New Roman"/>
          <w:b/>
        </w:rPr>
      </w:pPr>
      <w:r w:rsidRPr="00F81D34">
        <w:rPr>
          <w:rFonts w:ascii="Times New Roman" w:hAnsi="Times New Roman"/>
          <w:b/>
          <w:noProof/>
        </w:rPr>
        <w:drawing>
          <wp:inline distT="0" distB="0" distL="0" distR="0">
            <wp:extent cx="3101009" cy="2252870"/>
            <wp:effectExtent l="0" t="0" r="0" b="0"/>
            <wp:docPr id="9"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Fig. 1</w:t>
      </w:r>
      <w:r>
        <w:rPr>
          <w:rFonts w:ascii="Times New Roman" w:hAnsi="Times New Roman"/>
          <w:b/>
        </w:rPr>
        <w:t>2</w:t>
      </w:r>
      <w:r w:rsidRPr="00712D48">
        <w:rPr>
          <w:rFonts w:ascii="Times New Roman" w:hAnsi="Times New Roman"/>
          <w:b/>
        </w:rPr>
        <w:t>: Variation of the b* value during storage at 60°C</w:t>
      </w:r>
    </w:p>
    <w:p w:rsidR="00963CCD" w:rsidRDefault="00963CCD" w:rsidP="00FC53D4">
      <w:pPr>
        <w:ind w:firstLine="2160"/>
        <w:rPr>
          <w:rFonts w:ascii="Times New Roman" w:hAnsi="Times New Roman"/>
          <w:b/>
        </w:rPr>
      </w:pPr>
    </w:p>
    <w:p w:rsidR="008C75DF" w:rsidRPr="00712D48" w:rsidRDefault="008C75DF" w:rsidP="008C75DF">
      <w:pPr>
        <w:jc w:val="center"/>
        <w:rPr>
          <w:rFonts w:ascii="Times New Roman" w:hAnsi="Times New Roman"/>
          <w:b/>
        </w:rPr>
      </w:pPr>
      <w:r w:rsidRPr="00712D48">
        <w:rPr>
          <w:rFonts w:ascii="Times New Roman" w:hAnsi="Times New Roman"/>
          <w:b/>
          <w:noProof/>
        </w:rPr>
        <w:lastRenderedPageBreak/>
        <w:drawing>
          <wp:inline distT="0" distB="0" distL="0" distR="0">
            <wp:extent cx="3452884" cy="2238233"/>
            <wp:effectExtent l="0" t="0" r="0" b="0"/>
            <wp:docPr id="5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Fig. 1</w:t>
      </w:r>
      <w:r>
        <w:rPr>
          <w:rFonts w:ascii="Times New Roman" w:hAnsi="Times New Roman"/>
          <w:b/>
        </w:rPr>
        <w:t>3</w:t>
      </w:r>
      <w:r w:rsidRPr="00712D48">
        <w:rPr>
          <w:rFonts w:ascii="Times New Roman" w:hAnsi="Times New Roman"/>
          <w:b/>
        </w:rPr>
        <w:t>: Variation of ∆E* during storage at 40°C</w:t>
      </w:r>
    </w:p>
    <w:p w:rsidR="008C75DF" w:rsidRPr="00712D48" w:rsidRDefault="008C75DF" w:rsidP="008C75DF">
      <w:pPr>
        <w:jc w:val="center"/>
        <w:rPr>
          <w:rFonts w:ascii="Times New Roman" w:hAnsi="Times New Roman"/>
          <w:b/>
        </w:rPr>
      </w:pPr>
      <w:r w:rsidRPr="00712D48">
        <w:rPr>
          <w:rFonts w:ascii="Times New Roman" w:hAnsi="Times New Roman"/>
          <w:b/>
          <w:noProof/>
        </w:rPr>
        <w:drawing>
          <wp:inline distT="0" distB="0" distL="0" distR="0">
            <wp:extent cx="3384644" cy="2333767"/>
            <wp:effectExtent l="0" t="0" r="0" b="0"/>
            <wp:docPr id="5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Fig. 1</w:t>
      </w:r>
      <w:r>
        <w:rPr>
          <w:rFonts w:ascii="Times New Roman" w:hAnsi="Times New Roman"/>
          <w:b/>
        </w:rPr>
        <w:t>4</w:t>
      </w:r>
      <w:r w:rsidRPr="00712D48">
        <w:rPr>
          <w:rFonts w:ascii="Times New Roman" w:hAnsi="Times New Roman"/>
          <w:b/>
        </w:rPr>
        <w:t>: Variation of ∆E* during storage at 50°C</w:t>
      </w:r>
    </w:p>
    <w:p w:rsidR="008C75DF" w:rsidRPr="00712D48" w:rsidRDefault="008C75DF" w:rsidP="008C75DF">
      <w:pPr>
        <w:jc w:val="center"/>
        <w:rPr>
          <w:rFonts w:ascii="Times New Roman" w:hAnsi="Times New Roman"/>
          <w:b/>
        </w:rPr>
      </w:pPr>
      <w:r w:rsidRPr="00712D48">
        <w:rPr>
          <w:rFonts w:ascii="Times New Roman" w:hAnsi="Times New Roman"/>
          <w:b/>
          <w:noProof/>
        </w:rPr>
        <w:drawing>
          <wp:inline distT="0" distB="0" distL="0" distR="0">
            <wp:extent cx="3343702" cy="2279176"/>
            <wp:effectExtent l="0" t="0" r="0" b="0"/>
            <wp:docPr id="5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63CCD" w:rsidRPr="00712D48" w:rsidRDefault="00963CCD" w:rsidP="00963CCD">
      <w:pPr>
        <w:ind w:firstLine="2160"/>
        <w:rPr>
          <w:rFonts w:ascii="Times New Roman" w:hAnsi="Times New Roman"/>
          <w:b/>
        </w:rPr>
      </w:pPr>
      <w:r w:rsidRPr="00712D48">
        <w:rPr>
          <w:rFonts w:ascii="Times New Roman" w:hAnsi="Times New Roman"/>
          <w:b/>
        </w:rPr>
        <w:t>Fig. 1</w:t>
      </w:r>
      <w:r>
        <w:rPr>
          <w:rFonts w:ascii="Times New Roman" w:hAnsi="Times New Roman"/>
          <w:b/>
        </w:rPr>
        <w:t>5</w:t>
      </w:r>
      <w:r w:rsidRPr="00712D48">
        <w:rPr>
          <w:rFonts w:ascii="Times New Roman" w:hAnsi="Times New Roman"/>
          <w:b/>
        </w:rPr>
        <w:t>: Variation of ∆E* during storage at 60°C</w:t>
      </w:r>
    </w:p>
    <w:p w:rsidR="008C75DF" w:rsidRDefault="008C75DF" w:rsidP="008C75DF">
      <w:pPr>
        <w:rPr>
          <w:rFonts w:ascii="Times New Roman" w:hAnsi="Times New Roman"/>
          <w:b/>
        </w:rPr>
      </w:pPr>
      <w:r w:rsidRPr="00FB1AFD">
        <w:rPr>
          <w:rFonts w:ascii="Times New Roman" w:hAnsi="Times New Roman"/>
          <w:b/>
          <w:noProof/>
        </w:rPr>
        <w:lastRenderedPageBreak/>
        <w:drawing>
          <wp:inline distT="0" distB="0" distL="0" distR="0">
            <wp:extent cx="5943600" cy="1480185"/>
            <wp:effectExtent l="19050" t="0" r="0" b="0"/>
            <wp:docPr id="55" name="Picture 1"/>
            <wp:cNvGraphicFramePr/>
            <a:graphic xmlns:a="http://schemas.openxmlformats.org/drawingml/2006/main">
              <a:graphicData uri="http://schemas.openxmlformats.org/drawingml/2006/picture">
                <pic:pic xmlns:pic="http://schemas.openxmlformats.org/drawingml/2006/picture">
                  <pic:nvPicPr>
                    <pic:cNvPr id="6146" name="Picture 4"/>
                    <pic:cNvPicPr>
                      <a:picLocks noChangeAspect="1" noChangeArrowheads="1"/>
                    </pic:cNvPicPr>
                  </pic:nvPicPr>
                  <pic:blipFill>
                    <a:blip r:embed="rId34" cstate="print"/>
                    <a:srcRect l="22626" t="29945" r="687" b="43982"/>
                    <a:stretch>
                      <a:fillRect/>
                    </a:stretch>
                  </pic:blipFill>
                  <pic:spPr bwMode="auto">
                    <a:xfrm>
                      <a:off x="0" y="0"/>
                      <a:ext cx="5943600" cy="1480185"/>
                    </a:xfrm>
                    <a:prstGeom prst="rect">
                      <a:avLst/>
                    </a:prstGeom>
                    <a:noFill/>
                    <a:ln w="9525">
                      <a:noFill/>
                      <a:miter lim="800000"/>
                      <a:headEnd/>
                      <a:tailEnd/>
                    </a:ln>
                  </pic:spPr>
                </pic:pic>
              </a:graphicData>
            </a:graphic>
          </wp:inline>
        </w:drawing>
      </w:r>
    </w:p>
    <w:p w:rsidR="00963CCD" w:rsidRDefault="00963CCD" w:rsidP="00963CCD">
      <w:pPr>
        <w:rPr>
          <w:rFonts w:ascii="Times New Roman" w:hAnsi="Times New Roman"/>
          <w:b/>
        </w:rPr>
      </w:pPr>
      <w:r>
        <w:rPr>
          <w:rFonts w:ascii="Times New Roman" w:hAnsi="Times New Roman"/>
          <w:b/>
        </w:rPr>
        <w:t xml:space="preserve">Fig. 16: Chromatogram of a peach puree sample fortified with ascorbyl 2 </w:t>
      </w:r>
      <w:proofErr w:type="gramStart"/>
      <w:r>
        <w:rPr>
          <w:rFonts w:ascii="Times New Roman" w:hAnsi="Times New Roman"/>
          <w:b/>
        </w:rPr>
        <w:t>phosphate</w:t>
      </w:r>
      <w:proofErr w:type="gramEnd"/>
      <w:r>
        <w:rPr>
          <w:rFonts w:ascii="Times New Roman" w:hAnsi="Times New Roman"/>
          <w:b/>
        </w:rPr>
        <w:t xml:space="preserve"> at day 0</w:t>
      </w:r>
    </w:p>
    <w:p w:rsidR="008C75DF" w:rsidRDefault="008C75DF" w:rsidP="008C75DF">
      <w:pPr>
        <w:rPr>
          <w:rFonts w:ascii="Times New Roman" w:hAnsi="Times New Roman"/>
          <w:b/>
        </w:rPr>
      </w:pPr>
    </w:p>
    <w:p w:rsidR="008C75DF" w:rsidRDefault="008C75DF" w:rsidP="008C75DF">
      <w:pPr>
        <w:jc w:val="center"/>
        <w:rPr>
          <w:rFonts w:ascii="Times New Roman" w:hAnsi="Times New Roman"/>
          <w:b/>
        </w:rPr>
      </w:pPr>
      <w:r w:rsidRPr="00E05EEE">
        <w:rPr>
          <w:rFonts w:ascii="Times New Roman" w:hAnsi="Times New Roman"/>
          <w:b/>
          <w:noProof/>
        </w:rPr>
        <w:drawing>
          <wp:inline distT="0" distB="0" distL="0" distR="0">
            <wp:extent cx="5029257" cy="2206171"/>
            <wp:effectExtent l="19050" t="0" r="0" b="0"/>
            <wp:docPr id="56" name="Picture 7"/>
            <wp:cNvGraphicFramePr/>
            <a:graphic xmlns:a="http://schemas.openxmlformats.org/drawingml/2006/main">
              <a:graphicData uri="http://schemas.openxmlformats.org/drawingml/2006/picture">
                <pic:pic xmlns:pic="http://schemas.openxmlformats.org/drawingml/2006/picture">
                  <pic:nvPicPr>
                    <pic:cNvPr id="3074" name="Picture 7"/>
                    <pic:cNvPicPr>
                      <a:picLocks noGrp="1" noChangeAspect="1" noChangeArrowheads="1"/>
                    </pic:cNvPicPr>
                  </pic:nvPicPr>
                  <pic:blipFill>
                    <a:blip r:embed="rId35" cstate="print"/>
                    <a:srcRect l="20569" t="59891" r="31676" b="4678"/>
                    <a:stretch>
                      <a:fillRect/>
                    </a:stretch>
                  </pic:blipFill>
                  <pic:spPr bwMode="auto">
                    <a:xfrm>
                      <a:off x="0" y="0"/>
                      <a:ext cx="5045823" cy="2213438"/>
                    </a:xfrm>
                    <a:prstGeom prst="rect">
                      <a:avLst/>
                    </a:prstGeom>
                    <a:noFill/>
                    <a:ln w="9525">
                      <a:noFill/>
                      <a:miter lim="800000"/>
                      <a:headEnd/>
                      <a:tailEnd/>
                    </a:ln>
                  </pic:spPr>
                </pic:pic>
              </a:graphicData>
            </a:graphic>
          </wp:inline>
        </w:drawing>
      </w:r>
    </w:p>
    <w:p w:rsidR="00963CCD" w:rsidRDefault="00963CCD" w:rsidP="00963CCD">
      <w:pPr>
        <w:ind w:firstLine="720"/>
        <w:rPr>
          <w:rFonts w:ascii="Times New Roman" w:hAnsi="Times New Roman"/>
          <w:b/>
        </w:rPr>
      </w:pPr>
      <w:r>
        <w:rPr>
          <w:rFonts w:ascii="Times New Roman" w:hAnsi="Times New Roman"/>
          <w:b/>
        </w:rPr>
        <w:t>Fig. 17: Absorption spectra of ascorbic acid (0.0025M)</w:t>
      </w:r>
    </w:p>
    <w:p w:rsidR="008C75DF" w:rsidRDefault="008C75DF" w:rsidP="008C75DF">
      <w:pPr>
        <w:rPr>
          <w:rFonts w:ascii="Times New Roman" w:hAnsi="Times New Roman"/>
          <w:b/>
        </w:rPr>
      </w:pPr>
    </w:p>
    <w:p w:rsidR="008C75DF" w:rsidRDefault="008C75DF" w:rsidP="008C75DF">
      <w:pPr>
        <w:jc w:val="center"/>
        <w:rPr>
          <w:rFonts w:ascii="Times New Roman" w:hAnsi="Times New Roman"/>
          <w:b/>
        </w:rPr>
      </w:pPr>
      <w:r w:rsidRPr="00E05EEE">
        <w:rPr>
          <w:rFonts w:ascii="Times New Roman" w:hAnsi="Times New Roman"/>
          <w:b/>
          <w:noProof/>
        </w:rPr>
        <w:drawing>
          <wp:inline distT="0" distB="0" distL="0" distR="0">
            <wp:extent cx="5324059" cy="2357609"/>
            <wp:effectExtent l="19050" t="0" r="0" b="0"/>
            <wp:docPr id="57" name="Picture 6"/>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a:blip r:embed="rId36" cstate="print"/>
                    <a:srcRect l="20569" t="59891" r="32224" b="4678"/>
                    <a:stretch>
                      <a:fillRect/>
                    </a:stretch>
                  </pic:blipFill>
                  <pic:spPr bwMode="auto">
                    <a:xfrm>
                      <a:off x="0" y="0"/>
                      <a:ext cx="5326325" cy="2358612"/>
                    </a:xfrm>
                    <a:prstGeom prst="rect">
                      <a:avLst/>
                    </a:prstGeom>
                    <a:noFill/>
                    <a:ln w="9525">
                      <a:noFill/>
                      <a:miter lim="800000"/>
                      <a:headEnd/>
                      <a:tailEnd/>
                    </a:ln>
                  </pic:spPr>
                </pic:pic>
              </a:graphicData>
            </a:graphic>
          </wp:inline>
        </w:drawing>
      </w:r>
    </w:p>
    <w:p w:rsidR="00963CCD" w:rsidRDefault="00963CCD" w:rsidP="00963CCD">
      <w:pPr>
        <w:ind w:firstLine="720"/>
        <w:rPr>
          <w:rFonts w:ascii="Times New Roman" w:hAnsi="Times New Roman"/>
          <w:b/>
        </w:rPr>
      </w:pPr>
      <w:r>
        <w:rPr>
          <w:rFonts w:ascii="Times New Roman" w:hAnsi="Times New Roman"/>
          <w:b/>
        </w:rPr>
        <w:t>Fig. 18: Absorption spectra of ascorbyl 2 phosphate (0.0025M)</w:t>
      </w:r>
    </w:p>
    <w:p w:rsidR="008C75DF" w:rsidRDefault="008C75DF" w:rsidP="008C75DF">
      <w:pPr>
        <w:jc w:val="center"/>
        <w:rPr>
          <w:rFonts w:ascii="Times New Roman" w:hAnsi="Times New Roman"/>
          <w:b/>
        </w:rPr>
      </w:pPr>
    </w:p>
    <w:p w:rsidR="008C75DF" w:rsidRDefault="008C75DF" w:rsidP="008C75DF">
      <w:pPr>
        <w:jc w:val="center"/>
        <w:rPr>
          <w:rFonts w:ascii="Times New Roman" w:hAnsi="Times New Roman"/>
          <w:b/>
        </w:rPr>
      </w:pPr>
      <w:r w:rsidRPr="00252A55">
        <w:rPr>
          <w:rFonts w:ascii="Times New Roman" w:hAnsi="Times New Roman"/>
          <w:b/>
          <w:noProof/>
        </w:rPr>
        <w:lastRenderedPageBreak/>
        <w:drawing>
          <wp:inline distT="0" distB="0" distL="0" distR="0">
            <wp:extent cx="3673366" cy="2159876"/>
            <wp:effectExtent l="0" t="0" r="0" b="0"/>
            <wp:docPr id="5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63CCD" w:rsidRDefault="00963CCD" w:rsidP="00963CCD">
      <w:pPr>
        <w:ind w:left="1710"/>
        <w:jc w:val="both"/>
        <w:rPr>
          <w:rFonts w:ascii="Times New Roman" w:hAnsi="Times New Roman"/>
          <w:b/>
        </w:rPr>
      </w:pPr>
      <w:r>
        <w:rPr>
          <w:rFonts w:ascii="Times New Roman" w:hAnsi="Times New Roman"/>
          <w:b/>
        </w:rPr>
        <w:t>Fig. 19: Relative ascorbyl 2 phosphate and ascorbic acid concentrations (%) in the fortified ascorbyl 2 phosphate treatment during storage at 40°C</w:t>
      </w:r>
    </w:p>
    <w:p w:rsidR="008C75DF" w:rsidRDefault="008C75DF" w:rsidP="008C75DF">
      <w:pPr>
        <w:jc w:val="center"/>
        <w:rPr>
          <w:rFonts w:ascii="Times New Roman" w:hAnsi="Times New Roman"/>
          <w:b/>
        </w:rPr>
      </w:pPr>
      <w:r w:rsidRPr="00252A55">
        <w:rPr>
          <w:rFonts w:ascii="Times New Roman" w:hAnsi="Times New Roman"/>
          <w:b/>
          <w:noProof/>
        </w:rPr>
        <w:drawing>
          <wp:inline distT="0" distB="0" distL="0" distR="0">
            <wp:extent cx="3988676" cy="1986455"/>
            <wp:effectExtent l="0" t="0" r="0" b="0"/>
            <wp:docPr id="5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63CCD" w:rsidRDefault="00963CCD" w:rsidP="00963CCD">
      <w:pPr>
        <w:ind w:left="1710"/>
        <w:jc w:val="both"/>
        <w:rPr>
          <w:rFonts w:ascii="Times New Roman" w:hAnsi="Times New Roman"/>
          <w:b/>
        </w:rPr>
      </w:pPr>
      <w:r>
        <w:rPr>
          <w:rFonts w:ascii="Times New Roman" w:hAnsi="Times New Roman"/>
          <w:b/>
        </w:rPr>
        <w:t>Fig. 20: Relative ascorbyl 2 phosphate and ascorbic acid concentrations (%) in the fortified ascorbyl 2 phosphate treatment during storage at 50°C</w:t>
      </w:r>
    </w:p>
    <w:p w:rsidR="008C75DF" w:rsidRDefault="008C75DF" w:rsidP="008C75DF">
      <w:pPr>
        <w:jc w:val="center"/>
        <w:rPr>
          <w:rFonts w:ascii="Times New Roman" w:hAnsi="Times New Roman"/>
          <w:b/>
        </w:rPr>
      </w:pPr>
      <w:r w:rsidRPr="00252A55">
        <w:rPr>
          <w:rFonts w:ascii="Times New Roman" w:hAnsi="Times New Roman"/>
          <w:b/>
          <w:noProof/>
        </w:rPr>
        <w:drawing>
          <wp:inline distT="0" distB="0" distL="0" distR="0">
            <wp:extent cx="4035972" cy="2112579"/>
            <wp:effectExtent l="0" t="0" r="0" b="0"/>
            <wp:docPr id="6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63CCD" w:rsidRDefault="00963CCD" w:rsidP="00963CCD">
      <w:pPr>
        <w:ind w:left="1710"/>
        <w:jc w:val="both"/>
        <w:rPr>
          <w:rFonts w:ascii="Times New Roman" w:hAnsi="Times New Roman"/>
          <w:b/>
        </w:rPr>
      </w:pPr>
      <w:r>
        <w:rPr>
          <w:rFonts w:ascii="Times New Roman" w:hAnsi="Times New Roman"/>
          <w:b/>
        </w:rPr>
        <w:t>Fig. 21: relative ascorbyl 2 phosphate and ascorbic acid concentrations (%) in the fortified ascorbyl 2 phosphate treatment during storage at 60°C</w:t>
      </w:r>
    </w:p>
    <w:p w:rsidR="008C75DF" w:rsidRPr="00712D48" w:rsidRDefault="008C75DF" w:rsidP="008C75DF">
      <w:pPr>
        <w:jc w:val="center"/>
        <w:rPr>
          <w:rFonts w:ascii="Times New Roman" w:hAnsi="Times New Roman"/>
        </w:rPr>
      </w:pPr>
      <w:r w:rsidRPr="00712D48">
        <w:rPr>
          <w:rFonts w:ascii="Times New Roman" w:hAnsi="Times New Roman"/>
          <w:noProof/>
        </w:rPr>
        <w:lastRenderedPageBreak/>
        <w:drawing>
          <wp:inline distT="0" distB="0" distL="0" distR="0">
            <wp:extent cx="3452883" cy="2238233"/>
            <wp:effectExtent l="0" t="0" r="0" b="0"/>
            <wp:docPr id="6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63CCD" w:rsidRPr="00712D48" w:rsidRDefault="00963CCD" w:rsidP="00963CCD">
      <w:pPr>
        <w:ind w:firstLine="2160"/>
        <w:jc w:val="center"/>
        <w:rPr>
          <w:rFonts w:ascii="Times New Roman" w:hAnsi="Times New Roman"/>
          <w:b/>
        </w:rPr>
      </w:pPr>
      <w:r w:rsidRPr="00712D48">
        <w:rPr>
          <w:rFonts w:ascii="Times New Roman" w:hAnsi="Times New Roman"/>
          <w:b/>
        </w:rPr>
        <w:t xml:space="preserve">Fig. </w:t>
      </w:r>
      <w:r>
        <w:rPr>
          <w:rFonts w:ascii="Times New Roman" w:hAnsi="Times New Roman"/>
          <w:b/>
        </w:rPr>
        <w:t>22</w:t>
      </w:r>
      <w:r w:rsidRPr="00712D48">
        <w:rPr>
          <w:rFonts w:ascii="Times New Roman" w:hAnsi="Times New Roman"/>
          <w:b/>
        </w:rPr>
        <w:t xml:space="preserve">: </w:t>
      </w:r>
      <w:r>
        <w:rPr>
          <w:rFonts w:ascii="Times New Roman" w:hAnsi="Times New Roman"/>
          <w:b/>
        </w:rPr>
        <w:t>A</w:t>
      </w:r>
      <w:r w:rsidRPr="00712D48">
        <w:rPr>
          <w:rFonts w:ascii="Times New Roman" w:hAnsi="Times New Roman"/>
          <w:b/>
        </w:rPr>
        <w:t xml:space="preserve">scorbic acid </w:t>
      </w:r>
      <w:r>
        <w:rPr>
          <w:rFonts w:ascii="Times New Roman" w:hAnsi="Times New Roman"/>
          <w:b/>
        </w:rPr>
        <w:t xml:space="preserve">concentration in peach puree </w:t>
      </w:r>
      <w:r w:rsidRPr="00712D48">
        <w:rPr>
          <w:rFonts w:ascii="Times New Roman" w:hAnsi="Times New Roman"/>
          <w:b/>
        </w:rPr>
        <w:t>during storage at 40°C</w:t>
      </w:r>
    </w:p>
    <w:p w:rsidR="008C75DF" w:rsidRPr="00712D48" w:rsidRDefault="008C75DF" w:rsidP="008C75DF">
      <w:pPr>
        <w:jc w:val="center"/>
        <w:rPr>
          <w:rFonts w:ascii="Times New Roman" w:hAnsi="Times New Roman"/>
        </w:rPr>
      </w:pPr>
      <w:r w:rsidRPr="00712D48">
        <w:rPr>
          <w:rFonts w:ascii="Times New Roman" w:hAnsi="Times New Roman"/>
          <w:noProof/>
        </w:rPr>
        <w:drawing>
          <wp:inline distT="0" distB="0" distL="0" distR="0">
            <wp:extent cx="3480179" cy="2251880"/>
            <wp:effectExtent l="0" t="0" r="0" b="0"/>
            <wp:docPr id="62"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963CCD" w:rsidRPr="00712D48" w:rsidRDefault="00963CCD" w:rsidP="00963CCD">
      <w:pPr>
        <w:ind w:firstLine="1980"/>
        <w:jc w:val="center"/>
        <w:rPr>
          <w:rFonts w:ascii="Times New Roman" w:hAnsi="Times New Roman"/>
          <w:b/>
        </w:rPr>
      </w:pPr>
      <w:r w:rsidRPr="00712D48">
        <w:rPr>
          <w:rFonts w:ascii="Times New Roman" w:hAnsi="Times New Roman"/>
          <w:b/>
        </w:rPr>
        <w:t>Fig.2</w:t>
      </w:r>
      <w:r>
        <w:rPr>
          <w:rFonts w:ascii="Times New Roman" w:hAnsi="Times New Roman"/>
          <w:b/>
        </w:rPr>
        <w:t>3</w:t>
      </w:r>
      <w:r w:rsidRPr="00712D48">
        <w:rPr>
          <w:rFonts w:ascii="Times New Roman" w:hAnsi="Times New Roman"/>
          <w:b/>
        </w:rPr>
        <w:t xml:space="preserve">: </w:t>
      </w:r>
      <w:r>
        <w:rPr>
          <w:rFonts w:ascii="Times New Roman" w:hAnsi="Times New Roman"/>
          <w:b/>
        </w:rPr>
        <w:t>A</w:t>
      </w:r>
      <w:r w:rsidRPr="00712D48">
        <w:rPr>
          <w:rFonts w:ascii="Times New Roman" w:hAnsi="Times New Roman"/>
          <w:b/>
        </w:rPr>
        <w:t xml:space="preserve">scorbic acid </w:t>
      </w:r>
      <w:r>
        <w:rPr>
          <w:rFonts w:ascii="Times New Roman" w:hAnsi="Times New Roman"/>
          <w:b/>
        </w:rPr>
        <w:t>concentration in peach puree</w:t>
      </w:r>
      <w:r w:rsidRPr="00712D48">
        <w:rPr>
          <w:rFonts w:ascii="Times New Roman" w:hAnsi="Times New Roman"/>
          <w:b/>
        </w:rPr>
        <w:t xml:space="preserve"> during storage at 50°C</w:t>
      </w:r>
    </w:p>
    <w:p w:rsidR="008C75DF" w:rsidRPr="00712D48" w:rsidRDefault="008C75DF" w:rsidP="008C75DF">
      <w:pPr>
        <w:jc w:val="center"/>
        <w:rPr>
          <w:rFonts w:ascii="Times New Roman" w:hAnsi="Times New Roman"/>
        </w:rPr>
      </w:pPr>
      <w:r w:rsidRPr="00712D48">
        <w:rPr>
          <w:rFonts w:ascii="Times New Roman" w:hAnsi="Times New Roman"/>
          <w:noProof/>
        </w:rPr>
        <w:drawing>
          <wp:inline distT="0" distB="0" distL="0" distR="0">
            <wp:extent cx="3330054" cy="2183642"/>
            <wp:effectExtent l="0" t="0" r="0" b="0"/>
            <wp:docPr id="6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963CCD" w:rsidRPr="00712D48" w:rsidRDefault="00963CCD" w:rsidP="00020F05">
      <w:pPr>
        <w:ind w:firstLine="1980"/>
        <w:jc w:val="center"/>
        <w:rPr>
          <w:rFonts w:ascii="Times New Roman" w:hAnsi="Times New Roman"/>
          <w:b/>
        </w:rPr>
      </w:pPr>
      <w:r w:rsidRPr="00712D48">
        <w:rPr>
          <w:rFonts w:ascii="Times New Roman" w:hAnsi="Times New Roman"/>
          <w:b/>
        </w:rPr>
        <w:t>Fig.2</w:t>
      </w:r>
      <w:r>
        <w:rPr>
          <w:rFonts w:ascii="Times New Roman" w:hAnsi="Times New Roman"/>
          <w:b/>
        </w:rPr>
        <w:t>4</w:t>
      </w:r>
      <w:r w:rsidRPr="00712D48">
        <w:rPr>
          <w:rFonts w:ascii="Times New Roman" w:hAnsi="Times New Roman"/>
          <w:b/>
        </w:rPr>
        <w:t xml:space="preserve">: </w:t>
      </w:r>
      <w:r>
        <w:rPr>
          <w:rFonts w:ascii="Times New Roman" w:hAnsi="Times New Roman"/>
          <w:b/>
        </w:rPr>
        <w:t>A</w:t>
      </w:r>
      <w:r w:rsidRPr="00712D48">
        <w:rPr>
          <w:rFonts w:ascii="Times New Roman" w:hAnsi="Times New Roman"/>
          <w:b/>
        </w:rPr>
        <w:t xml:space="preserve">scorbic acid </w:t>
      </w:r>
      <w:r>
        <w:rPr>
          <w:rFonts w:ascii="Times New Roman" w:hAnsi="Times New Roman"/>
          <w:b/>
        </w:rPr>
        <w:t>concentration in peach puree</w:t>
      </w:r>
      <w:r w:rsidRPr="00712D48">
        <w:rPr>
          <w:rFonts w:ascii="Times New Roman" w:hAnsi="Times New Roman"/>
          <w:b/>
        </w:rPr>
        <w:t xml:space="preserve"> during storage at 60°C</w:t>
      </w:r>
    </w:p>
    <w:p w:rsidR="008C75DF" w:rsidRDefault="008C75DF" w:rsidP="008C75DF">
      <w:pPr>
        <w:rPr>
          <w:rFonts w:ascii="Times New Roman" w:hAnsi="Times New Roman"/>
          <w:b/>
        </w:rPr>
      </w:pPr>
    </w:p>
    <w:p w:rsidR="008C75DF" w:rsidRPr="00712D48" w:rsidRDefault="008C75DF" w:rsidP="008C75DF">
      <w:pPr>
        <w:tabs>
          <w:tab w:val="left" w:pos="0"/>
        </w:tabs>
        <w:jc w:val="both"/>
        <w:rPr>
          <w:rFonts w:ascii="Times New Roman" w:hAnsi="Times New Roman"/>
          <w:b/>
        </w:rPr>
      </w:pPr>
      <w:r w:rsidRPr="00712D48">
        <w:rPr>
          <w:rFonts w:ascii="Times New Roman" w:hAnsi="Times New Roman"/>
          <w:b/>
        </w:rPr>
        <w:lastRenderedPageBreak/>
        <w:t>Table 1: pH and °Brix values at the beginning and at the end of storage</w:t>
      </w:r>
    </w:p>
    <w:tbl>
      <w:tblPr>
        <w:tblW w:w="8124" w:type="dxa"/>
        <w:tblLook w:val="04A0"/>
      </w:tblPr>
      <w:tblGrid>
        <w:gridCol w:w="1154"/>
        <w:gridCol w:w="990"/>
        <w:gridCol w:w="1558"/>
        <w:gridCol w:w="1462"/>
        <w:gridCol w:w="1449"/>
        <w:gridCol w:w="1511"/>
      </w:tblGrid>
      <w:tr w:rsidR="008C75DF" w:rsidRPr="00E9109B" w:rsidTr="00E9109B">
        <w:trPr>
          <w:trHeight w:val="300"/>
        </w:trPr>
        <w:tc>
          <w:tcPr>
            <w:tcW w:w="115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Temperature</w:t>
            </w:r>
          </w:p>
        </w:tc>
        <w:tc>
          <w:tcPr>
            <w:tcW w:w="99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Treatment</w:t>
            </w:r>
          </w:p>
        </w:tc>
        <w:tc>
          <w:tcPr>
            <w:tcW w:w="3020" w:type="dxa"/>
            <w:gridSpan w:val="2"/>
            <w:tcBorders>
              <w:top w:val="single" w:sz="8" w:space="0" w:color="auto"/>
              <w:left w:val="nil"/>
              <w:bottom w:val="nil"/>
              <w:right w:val="single" w:sz="8" w:space="0" w:color="000000"/>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pH</w:t>
            </w:r>
          </w:p>
        </w:tc>
        <w:tc>
          <w:tcPr>
            <w:tcW w:w="2960" w:type="dxa"/>
            <w:gridSpan w:val="2"/>
            <w:tcBorders>
              <w:top w:val="single" w:sz="8" w:space="0" w:color="auto"/>
              <w:left w:val="nil"/>
              <w:bottom w:val="nil"/>
              <w:right w:val="single" w:sz="8" w:space="0" w:color="000000"/>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Brix</w:t>
            </w:r>
          </w:p>
        </w:tc>
      </w:tr>
      <w:tr w:rsidR="008C75DF" w:rsidRPr="00E9109B" w:rsidTr="00E9109B">
        <w:trPr>
          <w:trHeight w:val="270"/>
        </w:trPr>
        <w:tc>
          <w:tcPr>
            <w:tcW w:w="1154" w:type="dxa"/>
            <w:vMerge/>
            <w:tcBorders>
              <w:top w:val="single" w:sz="8" w:space="0" w:color="auto"/>
              <w:left w:val="single" w:sz="8" w:space="0" w:color="auto"/>
              <w:bottom w:val="single" w:sz="8" w:space="0" w:color="000000"/>
              <w:right w:val="single" w:sz="8" w:space="0" w:color="auto"/>
            </w:tcBorders>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p>
        </w:tc>
        <w:tc>
          <w:tcPr>
            <w:tcW w:w="990" w:type="dxa"/>
            <w:vMerge/>
            <w:tcBorders>
              <w:top w:val="single" w:sz="8" w:space="0" w:color="auto"/>
              <w:left w:val="single" w:sz="8" w:space="0" w:color="auto"/>
              <w:bottom w:val="single" w:sz="8" w:space="0" w:color="000000"/>
              <w:right w:val="single" w:sz="8" w:space="0" w:color="auto"/>
            </w:tcBorders>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p>
        </w:tc>
        <w:tc>
          <w:tcPr>
            <w:tcW w:w="3020" w:type="dxa"/>
            <w:gridSpan w:val="2"/>
            <w:tcBorders>
              <w:top w:val="nil"/>
              <w:left w:val="nil"/>
              <w:bottom w:val="single" w:sz="8" w:space="0" w:color="auto"/>
              <w:right w:val="single" w:sz="8" w:space="0" w:color="000000"/>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Storage (days)</w:t>
            </w:r>
          </w:p>
        </w:tc>
        <w:tc>
          <w:tcPr>
            <w:tcW w:w="2960" w:type="dxa"/>
            <w:gridSpan w:val="2"/>
            <w:tcBorders>
              <w:top w:val="nil"/>
              <w:left w:val="nil"/>
              <w:bottom w:val="single" w:sz="8" w:space="0" w:color="auto"/>
              <w:right w:val="single" w:sz="8" w:space="0" w:color="000000"/>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Storage (days)</w:t>
            </w:r>
          </w:p>
        </w:tc>
      </w:tr>
      <w:tr w:rsidR="008C75DF" w:rsidRPr="00E9109B" w:rsidTr="00E9109B">
        <w:trPr>
          <w:trHeight w:val="270"/>
        </w:trPr>
        <w:tc>
          <w:tcPr>
            <w:tcW w:w="1154" w:type="dxa"/>
            <w:vMerge/>
            <w:tcBorders>
              <w:top w:val="single" w:sz="8" w:space="0" w:color="auto"/>
              <w:left w:val="single" w:sz="8" w:space="0" w:color="auto"/>
              <w:bottom w:val="single" w:sz="8" w:space="0" w:color="000000"/>
              <w:right w:val="single" w:sz="8" w:space="0" w:color="auto"/>
            </w:tcBorders>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p>
        </w:tc>
        <w:tc>
          <w:tcPr>
            <w:tcW w:w="990" w:type="dxa"/>
            <w:vMerge/>
            <w:tcBorders>
              <w:top w:val="single" w:sz="8" w:space="0" w:color="auto"/>
              <w:left w:val="single" w:sz="8" w:space="0" w:color="auto"/>
              <w:bottom w:val="single" w:sz="8" w:space="0" w:color="000000"/>
              <w:right w:val="single" w:sz="8" w:space="0" w:color="auto"/>
            </w:tcBorders>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p>
        </w:tc>
        <w:tc>
          <w:tcPr>
            <w:tcW w:w="1558" w:type="dxa"/>
            <w:tcBorders>
              <w:top w:val="single" w:sz="8" w:space="0" w:color="auto"/>
              <w:left w:val="nil"/>
              <w:bottom w:val="single" w:sz="8" w:space="0" w:color="auto"/>
              <w:right w:val="single" w:sz="8" w:space="0" w:color="000000"/>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0</w:t>
            </w:r>
          </w:p>
        </w:tc>
        <w:tc>
          <w:tcPr>
            <w:tcW w:w="1462" w:type="dxa"/>
            <w:tcBorders>
              <w:top w:val="single" w:sz="8" w:space="0" w:color="auto"/>
              <w:left w:val="nil"/>
              <w:bottom w:val="single" w:sz="8" w:space="0" w:color="auto"/>
              <w:right w:val="single" w:sz="8" w:space="0" w:color="000000"/>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29</w:t>
            </w:r>
          </w:p>
        </w:tc>
        <w:tc>
          <w:tcPr>
            <w:tcW w:w="1449" w:type="dxa"/>
            <w:tcBorders>
              <w:top w:val="single" w:sz="8" w:space="0" w:color="auto"/>
              <w:left w:val="nil"/>
              <w:bottom w:val="single" w:sz="8" w:space="0" w:color="auto"/>
              <w:right w:val="single" w:sz="8" w:space="0" w:color="000000"/>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0</w:t>
            </w:r>
          </w:p>
        </w:tc>
        <w:tc>
          <w:tcPr>
            <w:tcW w:w="1511" w:type="dxa"/>
            <w:tcBorders>
              <w:top w:val="single" w:sz="8" w:space="0" w:color="auto"/>
              <w:left w:val="nil"/>
              <w:bottom w:val="single" w:sz="8" w:space="0" w:color="auto"/>
              <w:right w:val="single" w:sz="8" w:space="0" w:color="000000"/>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29</w:t>
            </w:r>
          </w:p>
        </w:tc>
      </w:tr>
      <w:tr w:rsidR="003429BD" w:rsidRPr="00E9109B" w:rsidTr="00E9109B">
        <w:trPr>
          <w:trHeight w:val="270"/>
        </w:trPr>
        <w:tc>
          <w:tcPr>
            <w:tcW w:w="1154" w:type="dxa"/>
            <w:vMerge w:val="restart"/>
            <w:tcBorders>
              <w:top w:val="nil"/>
              <w:left w:val="single" w:sz="8" w:space="0" w:color="auto"/>
              <w:bottom w:val="single" w:sz="8" w:space="0" w:color="000000"/>
              <w:right w:val="single" w:sz="8" w:space="0" w:color="auto"/>
            </w:tcBorders>
            <w:shd w:val="clear" w:color="auto" w:fill="auto"/>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40°C</w:t>
            </w:r>
          </w:p>
        </w:tc>
        <w:tc>
          <w:tcPr>
            <w:tcW w:w="990"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Control</w:t>
            </w:r>
          </w:p>
        </w:tc>
        <w:tc>
          <w:tcPr>
            <w:tcW w:w="1558"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3.48 </w:t>
            </w:r>
            <w:r w:rsidR="001C5322" w:rsidRPr="00E9109B">
              <w:rPr>
                <w:rFonts w:ascii="Times New Roman" w:eastAsia="Times New Roman" w:hAnsi="Times New Roman" w:cs="Times New Roman"/>
                <w:sz w:val="14"/>
                <w:szCs w:val="14"/>
              </w:rPr>
              <w:t>±</w:t>
            </w:r>
            <w:r w:rsidRPr="00E9109B">
              <w:rPr>
                <w:rFonts w:ascii="Times New Roman" w:eastAsia="Times New Roman" w:hAnsi="Times New Roman"/>
                <w:sz w:val="14"/>
                <w:szCs w:val="14"/>
              </w:rPr>
              <w:t xml:space="preserve"> 0.08</w:t>
            </w:r>
          </w:p>
        </w:tc>
        <w:tc>
          <w:tcPr>
            <w:tcW w:w="1462"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3.49 ± 0.01</w:t>
            </w:r>
          </w:p>
        </w:tc>
        <w:tc>
          <w:tcPr>
            <w:tcW w:w="1449"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10.4 ± 0.53</w:t>
            </w:r>
          </w:p>
        </w:tc>
        <w:tc>
          <w:tcPr>
            <w:tcW w:w="1511"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11.6 ± 0.36</w:t>
            </w:r>
          </w:p>
        </w:tc>
      </w:tr>
      <w:tr w:rsidR="003429BD" w:rsidRPr="00E9109B" w:rsidTr="00E9109B">
        <w:trPr>
          <w:trHeight w:val="315"/>
        </w:trPr>
        <w:tc>
          <w:tcPr>
            <w:tcW w:w="1154" w:type="dxa"/>
            <w:vMerge/>
            <w:tcBorders>
              <w:top w:val="nil"/>
              <w:left w:val="single" w:sz="8" w:space="0" w:color="auto"/>
              <w:bottom w:val="single" w:sz="8" w:space="0" w:color="000000"/>
              <w:right w:val="single" w:sz="8" w:space="0" w:color="auto"/>
            </w:tcBorders>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p>
        </w:tc>
        <w:tc>
          <w:tcPr>
            <w:tcW w:w="990"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AA</w:t>
            </w:r>
            <w:r w:rsidRPr="00E9109B">
              <w:rPr>
                <w:rFonts w:ascii="Times New Roman" w:eastAsia="Times New Roman" w:hAnsi="Times New Roman"/>
                <w:sz w:val="14"/>
                <w:szCs w:val="14"/>
                <w:vertAlign w:val="superscript"/>
              </w:rPr>
              <w:t>1</w:t>
            </w:r>
          </w:p>
        </w:tc>
        <w:tc>
          <w:tcPr>
            <w:tcW w:w="1558"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3.46 </w:t>
            </w:r>
            <w:r w:rsidR="00E20E3D" w:rsidRPr="00E9109B">
              <w:rPr>
                <w:rFonts w:ascii="Times New Roman" w:eastAsia="Times New Roman" w:hAnsi="Times New Roman" w:cs="Times New Roman"/>
                <w:sz w:val="14"/>
                <w:szCs w:val="14"/>
              </w:rPr>
              <w:t>±</w:t>
            </w:r>
            <w:r w:rsidRPr="00E9109B">
              <w:rPr>
                <w:rFonts w:ascii="Times New Roman" w:eastAsia="Times New Roman" w:hAnsi="Times New Roman"/>
                <w:sz w:val="14"/>
                <w:szCs w:val="14"/>
              </w:rPr>
              <w:t xml:space="preserve"> 0.02</w:t>
            </w:r>
          </w:p>
        </w:tc>
        <w:tc>
          <w:tcPr>
            <w:tcW w:w="1462"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3.42 ± 0.02</w:t>
            </w:r>
          </w:p>
        </w:tc>
        <w:tc>
          <w:tcPr>
            <w:tcW w:w="1449"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10.5 ± 0.52</w:t>
            </w:r>
          </w:p>
        </w:tc>
        <w:tc>
          <w:tcPr>
            <w:tcW w:w="1511"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w:t>
            </w:r>
            <w:r w:rsidR="001C5322" w:rsidRPr="00E9109B">
              <w:rPr>
                <w:rFonts w:ascii="Times New Roman" w:eastAsia="Times New Roman" w:hAnsi="Times New Roman"/>
                <w:sz w:val="14"/>
                <w:szCs w:val="14"/>
              </w:rPr>
              <w:t>6</w:t>
            </w:r>
            <w:r w:rsidRPr="00E9109B">
              <w:rPr>
                <w:rFonts w:ascii="Times New Roman" w:eastAsia="Times New Roman" w:hAnsi="Times New Roman"/>
                <w:sz w:val="14"/>
                <w:szCs w:val="14"/>
              </w:rPr>
              <w:t xml:space="preserve"> ± 0.81</w:t>
            </w:r>
          </w:p>
        </w:tc>
      </w:tr>
      <w:tr w:rsidR="003429BD" w:rsidRPr="00E9109B" w:rsidTr="00E9109B">
        <w:trPr>
          <w:trHeight w:val="270"/>
        </w:trPr>
        <w:tc>
          <w:tcPr>
            <w:tcW w:w="1154" w:type="dxa"/>
            <w:vMerge/>
            <w:tcBorders>
              <w:top w:val="nil"/>
              <w:left w:val="single" w:sz="8" w:space="0" w:color="auto"/>
              <w:bottom w:val="single" w:sz="8" w:space="0" w:color="000000"/>
              <w:right w:val="single" w:sz="8" w:space="0" w:color="auto"/>
            </w:tcBorders>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p>
        </w:tc>
        <w:tc>
          <w:tcPr>
            <w:tcW w:w="990"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A2P</w:t>
            </w:r>
            <w:r w:rsidRPr="00E9109B">
              <w:rPr>
                <w:rFonts w:ascii="Times New Roman" w:eastAsia="Times New Roman" w:hAnsi="Times New Roman"/>
                <w:sz w:val="14"/>
                <w:szCs w:val="14"/>
                <w:vertAlign w:val="superscript"/>
              </w:rPr>
              <w:t>2</w:t>
            </w:r>
          </w:p>
        </w:tc>
        <w:tc>
          <w:tcPr>
            <w:tcW w:w="1558"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3.55 </w:t>
            </w:r>
            <w:r w:rsidR="00E20E3D" w:rsidRPr="00E9109B">
              <w:rPr>
                <w:rFonts w:ascii="Times New Roman" w:eastAsia="Times New Roman" w:hAnsi="Times New Roman" w:cs="Times New Roman"/>
                <w:sz w:val="14"/>
                <w:szCs w:val="14"/>
              </w:rPr>
              <w:t>±</w:t>
            </w:r>
            <w:r w:rsidRPr="00E9109B">
              <w:rPr>
                <w:rFonts w:ascii="Times New Roman" w:eastAsia="Times New Roman" w:hAnsi="Times New Roman"/>
                <w:sz w:val="14"/>
                <w:szCs w:val="14"/>
              </w:rPr>
              <w:t xml:space="preserve"> 0.01</w:t>
            </w:r>
          </w:p>
        </w:tc>
        <w:tc>
          <w:tcPr>
            <w:tcW w:w="1462"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3.65 ± 0.02</w:t>
            </w:r>
          </w:p>
        </w:tc>
        <w:tc>
          <w:tcPr>
            <w:tcW w:w="1449" w:type="dxa"/>
            <w:tcBorders>
              <w:top w:val="nil"/>
              <w:left w:val="nil"/>
              <w:bottom w:val="single" w:sz="8" w:space="0" w:color="auto"/>
              <w:right w:val="single" w:sz="8" w:space="0" w:color="auto"/>
            </w:tcBorders>
            <w:shd w:val="clear" w:color="auto" w:fill="auto"/>
            <w:noWrap/>
            <w:vAlign w:val="center"/>
            <w:hideMark/>
          </w:tcPr>
          <w:p w:rsidR="003429BD" w:rsidRPr="00E9109B" w:rsidRDefault="001C5322"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10.8</w:t>
            </w:r>
            <w:r w:rsidR="003429BD" w:rsidRPr="00E9109B">
              <w:rPr>
                <w:rFonts w:ascii="Times New Roman" w:eastAsia="Times New Roman" w:hAnsi="Times New Roman"/>
                <w:sz w:val="14"/>
                <w:szCs w:val="14"/>
              </w:rPr>
              <w:t xml:space="preserve"> ± 0.93</w:t>
            </w:r>
          </w:p>
        </w:tc>
        <w:tc>
          <w:tcPr>
            <w:tcW w:w="1511"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11.4 ± 0.96</w:t>
            </w:r>
          </w:p>
        </w:tc>
      </w:tr>
      <w:tr w:rsidR="003429BD" w:rsidRPr="00E9109B" w:rsidTr="00E9109B">
        <w:trPr>
          <w:trHeight w:val="270"/>
        </w:trPr>
        <w:tc>
          <w:tcPr>
            <w:tcW w:w="1154" w:type="dxa"/>
            <w:vMerge w:val="restart"/>
            <w:tcBorders>
              <w:top w:val="nil"/>
              <w:left w:val="single" w:sz="8" w:space="0" w:color="auto"/>
              <w:bottom w:val="single" w:sz="8" w:space="0" w:color="000000"/>
              <w:right w:val="single" w:sz="8" w:space="0" w:color="auto"/>
            </w:tcBorders>
            <w:shd w:val="clear" w:color="auto" w:fill="auto"/>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50°C</w:t>
            </w:r>
          </w:p>
        </w:tc>
        <w:tc>
          <w:tcPr>
            <w:tcW w:w="990"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Control</w:t>
            </w:r>
          </w:p>
        </w:tc>
        <w:tc>
          <w:tcPr>
            <w:tcW w:w="1558"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3.48 </w:t>
            </w:r>
            <w:r w:rsidR="001C5322" w:rsidRPr="00E9109B">
              <w:rPr>
                <w:rFonts w:ascii="Times New Roman" w:eastAsia="Times New Roman" w:hAnsi="Times New Roman" w:cs="Times New Roman"/>
                <w:sz w:val="14"/>
                <w:szCs w:val="14"/>
              </w:rPr>
              <w:t>±</w:t>
            </w:r>
            <w:r w:rsidRPr="00E9109B">
              <w:rPr>
                <w:rFonts w:ascii="Times New Roman" w:eastAsia="Times New Roman" w:hAnsi="Times New Roman"/>
                <w:sz w:val="14"/>
                <w:szCs w:val="14"/>
              </w:rPr>
              <w:t xml:space="preserve"> 0.08</w:t>
            </w:r>
          </w:p>
        </w:tc>
        <w:tc>
          <w:tcPr>
            <w:tcW w:w="1462"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3.52 ± 0.05</w:t>
            </w:r>
          </w:p>
        </w:tc>
        <w:tc>
          <w:tcPr>
            <w:tcW w:w="1449" w:type="dxa"/>
            <w:tcBorders>
              <w:top w:val="nil"/>
              <w:left w:val="nil"/>
              <w:bottom w:val="single" w:sz="8" w:space="0" w:color="auto"/>
              <w:right w:val="single" w:sz="8" w:space="0" w:color="auto"/>
            </w:tcBorders>
            <w:shd w:val="clear" w:color="auto" w:fill="auto"/>
            <w:noWrap/>
            <w:vAlign w:val="center"/>
            <w:hideMark/>
          </w:tcPr>
          <w:p w:rsidR="003429BD" w:rsidRPr="00E9109B" w:rsidRDefault="001C5322"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10.8</w:t>
            </w:r>
            <w:r w:rsidR="003429BD" w:rsidRPr="00E9109B">
              <w:rPr>
                <w:rFonts w:ascii="Times New Roman" w:eastAsia="Times New Roman" w:hAnsi="Times New Roman"/>
                <w:sz w:val="14"/>
                <w:szCs w:val="14"/>
              </w:rPr>
              <w:t xml:space="preserve"> ± 0.53</w:t>
            </w:r>
          </w:p>
        </w:tc>
        <w:tc>
          <w:tcPr>
            <w:tcW w:w="1511"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11.1 ± 0.66</w:t>
            </w:r>
          </w:p>
        </w:tc>
      </w:tr>
      <w:tr w:rsidR="003429BD" w:rsidRPr="00E9109B" w:rsidTr="00E9109B">
        <w:trPr>
          <w:trHeight w:val="270"/>
        </w:trPr>
        <w:tc>
          <w:tcPr>
            <w:tcW w:w="1154" w:type="dxa"/>
            <w:vMerge/>
            <w:tcBorders>
              <w:top w:val="nil"/>
              <w:left w:val="single" w:sz="8" w:space="0" w:color="auto"/>
              <w:bottom w:val="single" w:sz="8" w:space="0" w:color="000000"/>
              <w:right w:val="single" w:sz="8" w:space="0" w:color="auto"/>
            </w:tcBorders>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p>
        </w:tc>
        <w:tc>
          <w:tcPr>
            <w:tcW w:w="990"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AA</w:t>
            </w:r>
            <w:r w:rsidRPr="00E9109B">
              <w:rPr>
                <w:rFonts w:ascii="Times New Roman" w:eastAsia="Times New Roman" w:hAnsi="Times New Roman"/>
                <w:sz w:val="14"/>
                <w:szCs w:val="14"/>
                <w:vertAlign w:val="superscript"/>
              </w:rPr>
              <w:t>1</w:t>
            </w:r>
          </w:p>
        </w:tc>
        <w:tc>
          <w:tcPr>
            <w:tcW w:w="1558"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3.46 ± 0.02</w:t>
            </w:r>
          </w:p>
        </w:tc>
        <w:tc>
          <w:tcPr>
            <w:tcW w:w="1462"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3.53 ± 0.03</w:t>
            </w:r>
          </w:p>
        </w:tc>
        <w:tc>
          <w:tcPr>
            <w:tcW w:w="1449" w:type="dxa"/>
            <w:tcBorders>
              <w:top w:val="nil"/>
              <w:left w:val="nil"/>
              <w:bottom w:val="single" w:sz="8" w:space="0" w:color="auto"/>
              <w:right w:val="single" w:sz="8" w:space="0" w:color="auto"/>
            </w:tcBorders>
            <w:shd w:val="clear" w:color="auto" w:fill="auto"/>
            <w:noWrap/>
            <w:vAlign w:val="center"/>
            <w:hideMark/>
          </w:tcPr>
          <w:p w:rsidR="003429BD" w:rsidRPr="00E9109B" w:rsidRDefault="001C5322"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10.5</w:t>
            </w:r>
            <w:r w:rsidR="003429BD" w:rsidRPr="00E9109B">
              <w:rPr>
                <w:rFonts w:ascii="Times New Roman" w:eastAsia="Times New Roman" w:hAnsi="Times New Roman"/>
                <w:sz w:val="14"/>
                <w:szCs w:val="14"/>
              </w:rPr>
              <w:t xml:space="preserve"> ± 0.52</w:t>
            </w:r>
          </w:p>
        </w:tc>
        <w:tc>
          <w:tcPr>
            <w:tcW w:w="1511" w:type="dxa"/>
            <w:tcBorders>
              <w:top w:val="nil"/>
              <w:left w:val="nil"/>
              <w:bottom w:val="single" w:sz="8" w:space="0" w:color="auto"/>
              <w:right w:val="single" w:sz="8" w:space="0" w:color="auto"/>
            </w:tcBorders>
            <w:shd w:val="clear" w:color="auto" w:fill="auto"/>
            <w:noWrap/>
            <w:vAlign w:val="center"/>
            <w:hideMark/>
          </w:tcPr>
          <w:p w:rsidR="003429BD" w:rsidRPr="00E9109B" w:rsidRDefault="001C5322"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11.1</w:t>
            </w:r>
            <w:r w:rsidR="003429BD" w:rsidRPr="00E9109B">
              <w:rPr>
                <w:rFonts w:ascii="Times New Roman" w:eastAsia="Times New Roman" w:hAnsi="Times New Roman"/>
                <w:sz w:val="14"/>
                <w:szCs w:val="14"/>
              </w:rPr>
              <w:t xml:space="preserve"> ± 0.35</w:t>
            </w:r>
          </w:p>
        </w:tc>
      </w:tr>
      <w:tr w:rsidR="003429BD" w:rsidRPr="00E9109B" w:rsidTr="00E9109B">
        <w:trPr>
          <w:trHeight w:val="270"/>
        </w:trPr>
        <w:tc>
          <w:tcPr>
            <w:tcW w:w="1154" w:type="dxa"/>
            <w:vMerge/>
            <w:tcBorders>
              <w:top w:val="nil"/>
              <w:left w:val="single" w:sz="8" w:space="0" w:color="auto"/>
              <w:bottom w:val="single" w:sz="8" w:space="0" w:color="000000"/>
              <w:right w:val="single" w:sz="8" w:space="0" w:color="auto"/>
            </w:tcBorders>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p>
        </w:tc>
        <w:tc>
          <w:tcPr>
            <w:tcW w:w="990"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A2P</w:t>
            </w:r>
            <w:r w:rsidRPr="00E9109B">
              <w:rPr>
                <w:rFonts w:ascii="Times New Roman" w:eastAsia="Times New Roman" w:hAnsi="Times New Roman"/>
                <w:sz w:val="14"/>
                <w:szCs w:val="14"/>
                <w:vertAlign w:val="superscript"/>
              </w:rPr>
              <w:t>2</w:t>
            </w:r>
          </w:p>
        </w:tc>
        <w:tc>
          <w:tcPr>
            <w:tcW w:w="1558"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3.55 ± 0.01</w:t>
            </w:r>
          </w:p>
        </w:tc>
        <w:tc>
          <w:tcPr>
            <w:tcW w:w="1462"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3.62 ± 0.01</w:t>
            </w:r>
          </w:p>
        </w:tc>
        <w:tc>
          <w:tcPr>
            <w:tcW w:w="1449"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11.3 ± 0.93</w:t>
            </w:r>
          </w:p>
        </w:tc>
        <w:tc>
          <w:tcPr>
            <w:tcW w:w="1511" w:type="dxa"/>
            <w:tcBorders>
              <w:top w:val="nil"/>
              <w:left w:val="nil"/>
              <w:bottom w:val="single" w:sz="8" w:space="0" w:color="auto"/>
              <w:right w:val="single" w:sz="8" w:space="0" w:color="auto"/>
            </w:tcBorders>
            <w:shd w:val="clear" w:color="auto" w:fill="auto"/>
            <w:noWrap/>
            <w:vAlign w:val="center"/>
            <w:hideMark/>
          </w:tcPr>
          <w:p w:rsidR="003429BD" w:rsidRPr="00E9109B" w:rsidRDefault="001C5322"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10.9</w:t>
            </w:r>
            <w:r w:rsidR="003429BD" w:rsidRPr="00E9109B">
              <w:rPr>
                <w:rFonts w:ascii="Times New Roman" w:eastAsia="Times New Roman" w:hAnsi="Times New Roman"/>
                <w:sz w:val="14"/>
                <w:szCs w:val="14"/>
              </w:rPr>
              <w:t xml:space="preserve"> ± 0.4</w:t>
            </w:r>
            <w:r w:rsidRPr="00E9109B">
              <w:rPr>
                <w:rFonts w:ascii="Times New Roman" w:eastAsia="Times New Roman" w:hAnsi="Times New Roman"/>
                <w:sz w:val="14"/>
                <w:szCs w:val="14"/>
              </w:rPr>
              <w:t>0</w:t>
            </w:r>
          </w:p>
        </w:tc>
      </w:tr>
      <w:tr w:rsidR="003429BD" w:rsidRPr="00E9109B" w:rsidTr="00E9109B">
        <w:trPr>
          <w:trHeight w:val="270"/>
        </w:trPr>
        <w:tc>
          <w:tcPr>
            <w:tcW w:w="1154" w:type="dxa"/>
            <w:vMerge w:val="restart"/>
            <w:tcBorders>
              <w:top w:val="nil"/>
              <w:left w:val="single" w:sz="8" w:space="0" w:color="auto"/>
              <w:bottom w:val="single" w:sz="8" w:space="0" w:color="000000"/>
              <w:right w:val="single" w:sz="8" w:space="0" w:color="auto"/>
            </w:tcBorders>
            <w:shd w:val="clear" w:color="auto" w:fill="auto"/>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60°C</w:t>
            </w:r>
          </w:p>
        </w:tc>
        <w:tc>
          <w:tcPr>
            <w:tcW w:w="990"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Control</w:t>
            </w:r>
          </w:p>
        </w:tc>
        <w:tc>
          <w:tcPr>
            <w:tcW w:w="1558"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3.48 ± 0.08</w:t>
            </w:r>
          </w:p>
        </w:tc>
        <w:tc>
          <w:tcPr>
            <w:tcW w:w="1462"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3.62 ± 0.04</w:t>
            </w:r>
          </w:p>
        </w:tc>
        <w:tc>
          <w:tcPr>
            <w:tcW w:w="1449"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10.4 ± 0.53</w:t>
            </w:r>
          </w:p>
        </w:tc>
        <w:tc>
          <w:tcPr>
            <w:tcW w:w="1511"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11.7 ± 1.44</w:t>
            </w:r>
          </w:p>
        </w:tc>
      </w:tr>
      <w:tr w:rsidR="003429BD" w:rsidRPr="00E9109B" w:rsidTr="00E9109B">
        <w:trPr>
          <w:trHeight w:val="270"/>
        </w:trPr>
        <w:tc>
          <w:tcPr>
            <w:tcW w:w="1154" w:type="dxa"/>
            <w:vMerge/>
            <w:tcBorders>
              <w:top w:val="nil"/>
              <w:left w:val="single" w:sz="8" w:space="0" w:color="auto"/>
              <w:bottom w:val="single" w:sz="8" w:space="0" w:color="000000"/>
              <w:right w:val="single" w:sz="8" w:space="0" w:color="auto"/>
            </w:tcBorders>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p>
        </w:tc>
        <w:tc>
          <w:tcPr>
            <w:tcW w:w="990"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AA</w:t>
            </w:r>
            <w:r w:rsidRPr="00E9109B">
              <w:rPr>
                <w:rFonts w:ascii="Times New Roman" w:eastAsia="Times New Roman" w:hAnsi="Times New Roman"/>
                <w:sz w:val="14"/>
                <w:szCs w:val="14"/>
                <w:vertAlign w:val="superscript"/>
              </w:rPr>
              <w:t>1</w:t>
            </w:r>
          </w:p>
        </w:tc>
        <w:tc>
          <w:tcPr>
            <w:tcW w:w="1558"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3.46 ± 0.02</w:t>
            </w:r>
          </w:p>
        </w:tc>
        <w:tc>
          <w:tcPr>
            <w:tcW w:w="1462"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3.52 ± 0.03</w:t>
            </w:r>
          </w:p>
        </w:tc>
        <w:tc>
          <w:tcPr>
            <w:tcW w:w="1449"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10.5 ± 0.52</w:t>
            </w:r>
          </w:p>
        </w:tc>
        <w:tc>
          <w:tcPr>
            <w:tcW w:w="1511"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11.3 ± 0.87</w:t>
            </w:r>
          </w:p>
        </w:tc>
      </w:tr>
      <w:tr w:rsidR="003429BD" w:rsidRPr="00E9109B" w:rsidTr="00E9109B">
        <w:trPr>
          <w:trHeight w:val="270"/>
        </w:trPr>
        <w:tc>
          <w:tcPr>
            <w:tcW w:w="1154" w:type="dxa"/>
            <w:vMerge/>
            <w:tcBorders>
              <w:top w:val="nil"/>
              <w:left w:val="single" w:sz="8" w:space="0" w:color="auto"/>
              <w:bottom w:val="single" w:sz="8" w:space="0" w:color="000000"/>
              <w:right w:val="single" w:sz="8" w:space="0" w:color="auto"/>
            </w:tcBorders>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p>
        </w:tc>
        <w:tc>
          <w:tcPr>
            <w:tcW w:w="990"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A2P</w:t>
            </w:r>
            <w:r w:rsidRPr="00E9109B">
              <w:rPr>
                <w:rFonts w:ascii="Times New Roman" w:eastAsia="Times New Roman" w:hAnsi="Times New Roman"/>
                <w:sz w:val="14"/>
                <w:szCs w:val="14"/>
                <w:vertAlign w:val="superscript"/>
              </w:rPr>
              <w:t>2</w:t>
            </w:r>
          </w:p>
        </w:tc>
        <w:tc>
          <w:tcPr>
            <w:tcW w:w="1558"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3.55 ± 0.01</w:t>
            </w:r>
          </w:p>
        </w:tc>
        <w:tc>
          <w:tcPr>
            <w:tcW w:w="1462"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3.64 ± 0.05</w:t>
            </w:r>
          </w:p>
        </w:tc>
        <w:tc>
          <w:tcPr>
            <w:tcW w:w="1449" w:type="dxa"/>
            <w:tcBorders>
              <w:top w:val="nil"/>
              <w:left w:val="nil"/>
              <w:bottom w:val="single" w:sz="8" w:space="0" w:color="auto"/>
              <w:right w:val="single" w:sz="8" w:space="0" w:color="auto"/>
            </w:tcBorders>
            <w:shd w:val="clear" w:color="auto" w:fill="auto"/>
            <w:noWrap/>
            <w:vAlign w:val="center"/>
            <w:hideMark/>
          </w:tcPr>
          <w:p w:rsidR="003429BD" w:rsidRPr="00E9109B" w:rsidRDefault="001C5322"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10.8</w:t>
            </w:r>
            <w:r w:rsidR="003429BD" w:rsidRPr="00E9109B">
              <w:rPr>
                <w:rFonts w:ascii="Times New Roman" w:eastAsia="Times New Roman" w:hAnsi="Times New Roman"/>
                <w:sz w:val="14"/>
                <w:szCs w:val="14"/>
              </w:rPr>
              <w:t xml:space="preserve"> ± 0.93</w:t>
            </w:r>
          </w:p>
        </w:tc>
        <w:tc>
          <w:tcPr>
            <w:tcW w:w="1511" w:type="dxa"/>
            <w:tcBorders>
              <w:top w:val="nil"/>
              <w:left w:val="nil"/>
              <w:bottom w:val="single" w:sz="8" w:space="0" w:color="auto"/>
              <w:right w:val="single" w:sz="8" w:space="0" w:color="auto"/>
            </w:tcBorders>
            <w:shd w:val="clear" w:color="auto" w:fill="auto"/>
            <w:noWrap/>
            <w:vAlign w:val="center"/>
            <w:hideMark/>
          </w:tcPr>
          <w:p w:rsidR="003429BD" w:rsidRPr="00E9109B" w:rsidRDefault="003429BD"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10.6 ± 0.36</w:t>
            </w:r>
          </w:p>
        </w:tc>
      </w:tr>
    </w:tbl>
    <w:p w:rsidR="008C75DF" w:rsidRPr="00712D48"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1</w:t>
      </w:r>
      <w:r w:rsidRPr="00712D48">
        <w:rPr>
          <w:rFonts w:ascii="Times New Roman" w:hAnsi="Times New Roman"/>
          <w:sz w:val="16"/>
          <w:szCs w:val="16"/>
        </w:rPr>
        <w:t>AA, Ascorbic acid</w:t>
      </w:r>
    </w:p>
    <w:p w:rsidR="008C75DF" w:rsidRPr="00712D48"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2</w:t>
      </w:r>
      <w:r w:rsidRPr="00712D48">
        <w:rPr>
          <w:rFonts w:ascii="Times New Roman" w:hAnsi="Times New Roman"/>
          <w:sz w:val="16"/>
          <w:szCs w:val="16"/>
        </w:rPr>
        <w:t>A2P, Ascorbyl 2 phosphate</w:t>
      </w:r>
    </w:p>
    <w:p w:rsidR="008C75DF" w:rsidRDefault="008C75DF" w:rsidP="008C75DF">
      <w:pPr>
        <w:rPr>
          <w:rFonts w:ascii="Times New Roman" w:hAnsi="Times New Roman"/>
          <w:b/>
        </w:rPr>
      </w:pPr>
    </w:p>
    <w:p w:rsidR="008C75DF" w:rsidRPr="00572FD7" w:rsidRDefault="008C75DF" w:rsidP="008C75DF">
      <w:pPr>
        <w:rPr>
          <w:rFonts w:ascii="Times New Roman" w:hAnsi="Times New Roman"/>
          <w:b/>
        </w:rPr>
      </w:pPr>
      <w:r w:rsidRPr="00572FD7">
        <w:rPr>
          <w:rFonts w:ascii="Times New Roman" w:hAnsi="Times New Roman"/>
          <w:b/>
        </w:rPr>
        <w:t xml:space="preserve">Table </w:t>
      </w:r>
      <w:r>
        <w:rPr>
          <w:rFonts w:ascii="Times New Roman" w:hAnsi="Times New Roman"/>
          <w:b/>
        </w:rPr>
        <w:t>2</w:t>
      </w:r>
      <w:r w:rsidRPr="00572FD7">
        <w:rPr>
          <w:rFonts w:ascii="Times New Roman" w:hAnsi="Times New Roman"/>
          <w:b/>
        </w:rPr>
        <w:t>: Rate constants of a* value</w:t>
      </w:r>
    </w:p>
    <w:tbl>
      <w:tblPr>
        <w:tblW w:w="9222" w:type="dxa"/>
        <w:tblLook w:val="04A0"/>
      </w:tblPr>
      <w:tblGrid>
        <w:gridCol w:w="1183"/>
        <w:gridCol w:w="1560"/>
        <w:gridCol w:w="1925"/>
        <w:gridCol w:w="2452"/>
        <w:gridCol w:w="1051"/>
        <w:gridCol w:w="1051"/>
      </w:tblGrid>
      <w:tr w:rsidR="008C75DF" w:rsidRPr="00E9109B" w:rsidTr="008F728C">
        <w:trPr>
          <w:trHeight w:val="255"/>
        </w:trPr>
        <w:tc>
          <w:tcPr>
            <w:tcW w:w="11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Treatment</w:t>
            </w:r>
          </w:p>
        </w:tc>
        <w:tc>
          <w:tcPr>
            <w:tcW w:w="1560" w:type="dxa"/>
            <w:tcBorders>
              <w:top w:val="single" w:sz="4" w:space="0" w:color="auto"/>
              <w:left w:val="nil"/>
              <w:bottom w:val="single" w:sz="4" w:space="0" w:color="auto"/>
              <w:right w:val="nil"/>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Temperature (°C)</w:t>
            </w:r>
          </w:p>
        </w:tc>
        <w:tc>
          <w:tcPr>
            <w:tcW w:w="1925" w:type="dxa"/>
            <w:tcBorders>
              <w:top w:val="single" w:sz="4" w:space="0" w:color="auto"/>
              <w:left w:val="single" w:sz="4" w:space="0" w:color="auto"/>
              <w:bottom w:val="nil"/>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k</w:t>
            </w:r>
            <w:r w:rsidRPr="00E9109B">
              <w:rPr>
                <w:rFonts w:ascii="Times New Roman" w:eastAsia="Times New Roman" w:hAnsi="Times New Roman"/>
                <w:b/>
                <w:bCs/>
                <w:sz w:val="14"/>
                <w:szCs w:val="14"/>
                <w:vertAlign w:val="subscript"/>
              </w:rPr>
              <w:t>0</w:t>
            </w:r>
            <w:r w:rsidRPr="00E9109B">
              <w:rPr>
                <w:rFonts w:ascii="Times New Roman" w:eastAsia="Times New Roman" w:hAnsi="Times New Roman"/>
                <w:b/>
                <w:bCs/>
                <w:sz w:val="14"/>
                <w:szCs w:val="14"/>
              </w:rPr>
              <w:t xml:space="preserve"> (day</w:t>
            </w:r>
            <w:r w:rsidRPr="00E9109B">
              <w:rPr>
                <w:rFonts w:ascii="Times New Roman" w:eastAsia="Times New Roman" w:hAnsi="Times New Roman"/>
                <w:b/>
                <w:bCs/>
                <w:sz w:val="14"/>
                <w:szCs w:val="14"/>
                <w:vertAlign w:val="superscript"/>
              </w:rPr>
              <w:t>-1</w:t>
            </w:r>
            <w:r w:rsidRPr="00E9109B">
              <w:rPr>
                <w:rFonts w:ascii="Times New Roman" w:eastAsia="Times New Roman" w:hAnsi="Times New Roman"/>
                <w:b/>
                <w:bCs/>
                <w:sz w:val="14"/>
                <w:szCs w:val="14"/>
              </w:rPr>
              <w:t>)</w:t>
            </w:r>
          </w:p>
        </w:tc>
        <w:tc>
          <w:tcPr>
            <w:tcW w:w="2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k</w:t>
            </w:r>
            <w:r w:rsidRPr="00E9109B">
              <w:rPr>
                <w:rFonts w:ascii="Times New Roman" w:eastAsia="Times New Roman" w:hAnsi="Times New Roman"/>
                <w:b/>
                <w:bCs/>
                <w:sz w:val="14"/>
                <w:szCs w:val="14"/>
                <w:vertAlign w:val="subscript"/>
              </w:rPr>
              <w:t>1</w:t>
            </w:r>
            <w:r w:rsidRPr="00E9109B">
              <w:rPr>
                <w:rFonts w:ascii="Times New Roman" w:eastAsia="Times New Roman" w:hAnsi="Times New Roman"/>
                <w:b/>
                <w:bCs/>
                <w:sz w:val="14"/>
                <w:szCs w:val="14"/>
              </w:rPr>
              <w:t xml:space="preserve"> (day</w:t>
            </w:r>
            <w:r w:rsidRPr="00E9109B">
              <w:rPr>
                <w:rFonts w:ascii="Times New Roman" w:eastAsia="Times New Roman" w:hAnsi="Times New Roman"/>
                <w:b/>
                <w:bCs/>
                <w:sz w:val="14"/>
                <w:szCs w:val="14"/>
                <w:vertAlign w:val="superscript"/>
              </w:rPr>
              <w:t>-1</w:t>
            </w:r>
            <w:r w:rsidRPr="00E9109B">
              <w:rPr>
                <w:rFonts w:ascii="Times New Roman" w:eastAsia="Times New Roman" w:hAnsi="Times New Roman"/>
                <w:b/>
                <w:bCs/>
                <w:sz w:val="14"/>
                <w:szCs w:val="14"/>
              </w:rPr>
              <w:t>)</w:t>
            </w:r>
          </w:p>
        </w:tc>
        <w:tc>
          <w:tcPr>
            <w:tcW w:w="1051" w:type="dxa"/>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R</w:t>
            </w:r>
            <w:r w:rsidRPr="00E9109B">
              <w:rPr>
                <w:rFonts w:ascii="Times New Roman" w:eastAsia="Times New Roman" w:hAnsi="Times New Roman"/>
                <w:b/>
                <w:bCs/>
                <w:sz w:val="14"/>
                <w:szCs w:val="14"/>
                <w:vertAlign w:val="superscript"/>
              </w:rPr>
              <w:t>2</w:t>
            </w:r>
          </w:p>
        </w:tc>
        <w:tc>
          <w:tcPr>
            <w:tcW w:w="1051" w:type="dxa"/>
            <w:tcBorders>
              <w:top w:val="single" w:sz="4" w:space="0" w:color="auto"/>
              <w:left w:val="nil"/>
              <w:bottom w:val="single" w:sz="4" w:space="0" w:color="auto"/>
              <w:right w:val="single" w:sz="4" w:space="0" w:color="auto"/>
            </w:tcBorders>
            <w:vAlign w:val="center"/>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RMSE</w:t>
            </w:r>
          </w:p>
        </w:tc>
      </w:tr>
      <w:tr w:rsidR="00E20E3D" w:rsidRPr="00E9109B" w:rsidTr="00E20E3D">
        <w:trPr>
          <w:trHeight w:val="255"/>
        </w:trPr>
        <w:tc>
          <w:tcPr>
            <w:tcW w:w="1183" w:type="dxa"/>
            <w:vMerge w:val="restart"/>
            <w:tcBorders>
              <w:top w:val="nil"/>
              <w:left w:val="single" w:sz="4" w:space="0" w:color="auto"/>
              <w:bottom w:val="single" w:sz="4" w:space="0" w:color="auto"/>
              <w:right w:val="single" w:sz="4" w:space="0" w:color="auto"/>
            </w:tcBorders>
            <w:shd w:val="clear" w:color="auto" w:fill="auto"/>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Control</w:t>
            </w: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925" w:type="dxa"/>
            <w:tcBorders>
              <w:top w:val="single" w:sz="4" w:space="0" w:color="auto"/>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0.22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0.12</w:t>
            </w:r>
          </w:p>
        </w:tc>
        <w:tc>
          <w:tcPr>
            <w:tcW w:w="2452" w:type="dxa"/>
            <w:tcBorders>
              <w:top w:val="nil"/>
              <w:left w:val="single" w:sz="4" w:space="0" w:color="auto"/>
              <w:bottom w:val="nil"/>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0.78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0.026</w:t>
            </w:r>
          </w:p>
        </w:tc>
        <w:tc>
          <w:tcPr>
            <w:tcW w:w="1051"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0.95</w:t>
            </w:r>
          </w:p>
        </w:tc>
        <w:tc>
          <w:tcPr>
            <w:tcW w:w="1051" w:type="dxa"/>
            <w:tcBorders>
              <w:top w:val="nil"/>
              <w:left w:val="nil"/>
              <w:bottom w:val="single" w:sz="4" w:space="0" w:color="auto"/>
              <w:right w:val="single" w:sz="4" w:space="0" w:color="auto"/>
            </w:tcBorders>
            <w:vAlign w:val="center"/>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0.78</w:t>
            </w:r>
          </w:p>
        </w:tc>
      </w:tr>
      <w:tr w:rsidR="00E20E3D" w:rsidRPr="00E9109B" w:rsidTr="00E20E3D">
        <w:trPr>
          <w:trHeight w:val="255"/>
        </w:trPr>
        <w:tc>
          <w:tcPr>
            <w:tcW w:w="1183"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50</w:t>
            </w:r>
          </w:p>
        </w:tc>
        <w:tc>
          <w:tcPr>
            <w:tcW w:w="1925" w:type="dxa"/>
            <w:tcBorders>
              <w:top w:val="nil"/>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-0.05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0.06</w:t>
            </w:r>
          </w:p>
        </w:tc>
        <w:tc>
          <w:tcPr>
            <w:tcW w:w="2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0.72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0.026</w:t>
            </w:r>
          </w:p>
        </w:tc>
        <w:tc>
          <w:tcPr>
            <w:tcW w:w="1051"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0.97</w:t>
            </w:r>
          </w:p>
        </w:tc>
        <w:tc>
          <w:tcPr>
            <w:tcW w:w="1051" w:type="dxa"/>
            <w:tcBorders>
              <w:top w:val="nil"/>
              <w:left w:val="nil"/>
              <w:bottom w:val="single" w:sz="4" w:space="0" w:color="auto"/>
              <w:right w:val="single" w:sz="4" w:space="0" w:color="auto"/>
            </w:tcBorders>
            <w:vAlign w:val="center"/>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0.72</w:t>
            </w:r>
          </w:p>
        </w:tc>
      </w:tr>
      <w:tr w:rsidR="00E20E3D" w:rsidRPr="00E9109B" w:rsidTr="00E20E3D">
        <w:trPr>
          <w:trHeight w:val="255"/>
        </w:trPr>
        <w:tc>
          <w:tcPr>
            <w:tcW w:w="1183"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60</w:t>
            </w:r>
          </w:p>
        </w:tc>
        <w:tc>
          <w:tcPr>
            <w:tcW w:w="1925" w:type="dxa"/>
            <w:tcBorders>
              <w:top w:val="nil"/>
              <w:left w:val="single" w:sz="4" w:space="0" w:color="auto"/>
              <w:bottom w:val="nil"/>
              <w:right w:val="nil"/>
            </w:tcBorders>
            <w:shd w:val="clear" w:color="auto" w:fill="auto"/>
            <w:noWrap/>
            <w:vAlign w:val="center"/>
            <w:hideMark/>
          </w:tcPr>
          <w:p w:rsidR="00E20E3D" w:rsidRPr="00E9109B" w:rsidRDefault="00E20E3D" w:rsidP="00E20E3D">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0.15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0.15</w:t>
            </w:r>
          </w:p>
        </w:tc>
        <w:tc>
          <w:tcPr>
            <w:tcW w:w="2452" w:type="dxa"/>
            <w:tcBorders>
              <w:top w:val="nil"/>
              <w:left w:val="single" w:sz="4" w:space="0" w:color="auto"/>
              <w:bottom w:val="nil"/>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1.18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0.037</w:t>
            </w:r>
          </w:p>
        </w:tc>
        <w:tc>
          <w:tcPr>
            <w:tcW w:w="1051"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0.92</w:t>
            </w:r>
          </w:p>
        </w:tc>
        <w:tc>
          <w:tcPr>
            <w:tcW w:w="1051" w:type="dxa"/>
            <w:tcBorders>
              <w:top w:val="nil"/>
              <w:left w:val="nil"/>
              <w:bottom w:val="single" w:sz="4" w:space="0" w:color="auto"/>
              <w:right w:val="single" w:sz="4" w:space="0" w:color="auto"/>
            </w:tcBorders>
            <w:vAlign w:val="center"/>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1.18</w:t>
            </w:r>
          </w:p>
        </w:tc>
      </w:tr>
      <w:tr w:rsidR="00E20E3D" w:rsidRPr="00E9109B" w:rsidTr="00E20E3D">
        <w:trPr>
          <w:trHeight w:val="510"/>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AA</w:t>
            </w:r>
            <w:r w:rsidRPr="00E9109B">
              <w:rPr>
                <w:rFonts w:ascii="Times New Roman" w:eastAsia="Times New Roman" w:hAnsi="Times New Roman"/>
                <w:sz w:val="14"/>
                <w:szCs w:val="14"/>
                <w:vertAlign w:val="superscript"/>
              </w:rPr>
              <w:t>1</w:t>
            </w: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925" w:type="dxa"/>
            <w:tcBorders>
              <w:top w:val="single" w:sz="4" w:space="0" w:color="auto"/>
              <w:left w:val="single" w:sz="4" w:space="0" w:color="auto"/>
              <w:bottom w:val="single" w:sz="4" w:space="0" w:color="auto"/>
              <w:right w:val="nil"/>
            </w:tcBorders>
            <w:shd w:val="clear" w:color="auto" w:fill="auto"/>
            <w:noWrap/>
            <w:vAlign w:val="center"/>
            <w:hideMark/>
          </w:tcPr>
          <w:p w:rsidR="00E20E3D" w:rsidRPr="00E9109B" w:rsidRDefault="00E20E3D" w:rsidP="00E20E3D">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-0.57 </w:t>
            </w:r>
            <w:r w:rsidR="001C5322" w:rsidRPr="00E9109B">
              <w:rPr>
                <w:rFonts w:ascii="Times New Roman" w:eastAsia="Times New Roman" w:hAnsi="Times New Roman" w:cs="Times New Roman"/>
                <w:sz w:val="14"/>
                <w:szCs w:val="14"/>
              </w:rPr>
              <w:t>±</w:t>
            </w:r>
            <w:r w:rsidR="001C5322" w:rsidRPr="00E9109B">
              <w:rPr>
                <w:rFonts w:ascii="Times New Roman" w:eastAsia="Times New Roman" w:hAnsi="Times New Roman"/>
                <w:sz w:val="14"/>
                <w:szCs w:val="14"/>
                <w:u w:val="single"/>
              </w:rPr>
              <w:t xml:space="preserve"> </w:t>
            </w:r>
            <w:r w:rsidRPr="00E9109B">
              <w:rPr>
                <w:rFonts w:ascii="Times New Roman" w:eastAsia="Times New Roman" w:hAnsi="Times New Roman"/>
                <w:sz w:val="14"/>
                <w:szCs w:val="14"/>
              </w:rPr>
              <w:t>0.056</w:t>
            </w:r>
          </w:p>
        </w:tc>
        <w:tc>
          <w:tcPr>
            <w:tcW w:w="2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0.54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0.029</w:t>
            </w:r>
          </w:p>
        </w:tc>
        <w:tc>
          <w:tcPr>
            <w:tcW w:w="1051"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0.99</w:t>
            </w:r>
          </w:p>
        </w:tc>
        <w:tc>
          <w:tcPr>
            <w:tcW w:w="1051" w:type="dxa"/>
            <w:tcBorders>
              <w:top w:val="nil"/>
              <w:left w:val="nil"/>
              <w:bottom w:val="single" w:sz="4" w:space="0" w:color="auto"/>
              <w:right w:val="single" w:sz="4" w:space="0" w:color="auto"/>
            </w:tcBorders>
            <w:vAlign w:val="center"/>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0.54</w:t>
            </w:r>
          </w:p>
        </w:tc>
      </w:tr>
      <w:tr w:rsidR="00E20E3D" w:rsidRPr="00E9109B" w:rsidTr="00E20E3D">
        <w:trPr>
          <w:trHeight w:val="525"/>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A2P</w:t>
            </w:r>
            <w:r w:rsidRPr="00E9109B">
              <w:rPr>
                <w:rFonts w:ascii="Times New Roman" w:eastAsia="Times New Roman" w:hAnsi="Times New Roman"/>
                <w:sz w:val="14"/>
                <w:szCs w:val="14"/>
                <w:vertAlign w:val="superscript"/>
              </w:rPr>
              <w:t>2</w:t>
            </w: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925" w:type="dxa"/>
            <w:tcBorders>
              <w:top w:val="nil"/>
              <w:left w:val="single" w:sz="4" w:space="0" w:color="auto"/>
              <w:bottom w:val="single" w:sz="4" w:space="0" w:color="auto"/>
              <w:right w:val="nil"/>
            </w:tcBorders>
            <w:shd w:val="clear" w:color="auto" w:fill="auto"/>
            <w:noWrap/>
            <w:vAlign w:val="center"/>
            <w:hideMark/>
          </w:tcPr>
          <w:p w:rsidR="00E20E3D" w:rsidRPr="00E9109B" w:rsidRDefault="00E20E3D" w:rsidP="00E20E3D">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-0.30 </w:t>
            </w:r>
            <w:r w:rsidR="001C5322" w:rsidRPr="00E9109B">
              <w:rPr>
                <w:rFonts w:ascii="Times New Roman" w:eastAsia="Times New Roman" w:hAnsi="Times New Roman" w:cs="Times New Roman"/>
                <w:sz w:val="14"/>
                <w:szCs w:val="14"/>
              </w:rPr>
              <w:t>±</w:t>
            </w:r>
            <w:r w:rsidR="001C5322" w:rsidRPr="00E9109B">
              <w:rPr>
                <w:rFonts w:ascii="Times New Roman" w:eastAsia="Times New Roman" w:hAnsi="Times New Roman"/>
                <w:sz w:val="14"/>
                <w:szCs w:val="14"/>
              </w:rPr>
              <w:t xml:space="preserve"> </w:t>
            </w:r>
            <w:r w:rsidRPr="00E9109B">
              <w:rPr>
                <w:rFonts w:ascii="Times New Roman" w:eastAsia="Times New Roman" w:hAnsi="Times New Roman"/>
                <w:sz w:val="14"/>
                <w:szCs w:val="14"/>
              </w:rPr>
              <w:t>0.08</w:t>
            </w:r>
          </w:p>
        </w:tc>
        <w:tc>
          <w:tcPr>
            <w:tcW w:w="2452" w:type="dxa"/>
            <w:tcBorders>
              <w:top w:val="nil"/>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1.47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0.044</w:t>
            </w:r>
          </w:p>
        </w:tc>
        <w:tc>
          <w:tcPr>
            <w:tcW w:w="1051"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0.93</w:t>
            </w:r>
          </w:p>
        </w:tc>
        <w:tc>
          <w:tcPr>
            <w:tcW w:w="1051" w:type="dxa"/>
            <w:tcBorders>
              <w:top w:val="nil"/>
              <w:left w:val="nil"/>
              <w:bottom w:val="single" w:sz="4" w:space="0" w:color="auto"/>
              <w:right w:val="single" w:sz="4" w:space="0" w:color="auto"/>
            </w:tcBorders>
            <w:vAlign w:val="center"/>
          </w:tcPr>
          <w:p w:rsidR="00E20E3D" w:rsidRPr="00E9109B" w:rsidRDefault="00E20E3D" w:rsidP="00085583">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1.47</w:t>
            </w:r>
          </w:p>
        </w:tc>
      </w:tr>
    </w:tbl>
    <w:p w:rsidR="008C75DF" w:rsidRPr="00712D48"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1</w:t>
      </w:r>
      <w:r w:rsidRPr="00712D48">
        <w:rPr>
          <w:rFonts w:ascii="Times New Roman" w:hAnsi="Times New Roman"/>
          <w:sz w:val="16"/>
          <w:szCs w:val="16"/>
        </w:rPr>
        <w:t>AA, Ascorbic acid</w:t>
      </w:r>
    </w:p>
    <w:p w:rsidR="008C75DF"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2</w:t>
      </w:r>
      <w:r w:rsidRPr="00712D48">
        <w:rPr>
          <w:rFonts w:ascii="Times New Roman" w:hAnsi="Times New Roman"/>
          <w:sz w:val="16"/>
          <w:szCs w:val="16"/>
        </w:rPr>
        <w:t>A2P, Ascorbyl 2 phosphate</w:t>
      </w:r>
    </w:p>
    <w:p w:rsidR="008C75DF" w:rsidRPr="00572FD7" w:rsidRDefault="008C75DF" w:rsidP="008C75DF">
      <w:pPr>
        <w:spacing w:after="0"/>
        <w:jc w:val="both"/>
        <w:rPr>
          <w:rFonts w:ascii="Times New Roman" w:hAnsi="Times New Roman"/>
          <w:sz w:val="16"/>
          <w:szCs w:val="16"/>
        </w:rPr>
      </w:pPr>
      <w:r>
        <w:rPr>
          <w:rFonts w:ascii="Times New Roman" w:hAnsi="Times New Roman"/>
          <w:sz w:val="16"/>
          <w:szCs w:val="16"/>
        </w:rPr>
        <w:t>R</w:t>
      </w:r>
      <w:r w:rsidRPr="00572FD7">
        <w:rPr>
          <w:rFonts w:ascii="Times New Roman" w:hAnsi="Times New Roman"/>
          <w:sz w:val="16"/>
          <w:szCs w:val="16"/>
          <w:vertAlign w:val="superscript"/>
        </w:rPr>
        <w:t>2</w:t>
      </w:r>
      <w:r>
        <w:rPr>
          <w:rFonts w:ascii="Times New Roman" w:hAnsi="Times New Roman"/>
          <w:sz w:val="16"/>
          <w:szCs w:val="16"/>
        </w:rPr>
        <w:t>, Determination coefficient; RMSE, root mean square error</w:t>
      </w:r>
    </w:p>
    <w:p w:rsidR="008C75DF" w:rsidRPr="00712D48" w:rsidRDefault="008C75DF" w:rsidP="008C75DF">
      <w:pPr>
        <w:jc w:val="center"/>
        <w:rPr>
          <w:rFonts w:ascii="Times New Roman" w:hAnsi="Times New Roman"/>
        </w:rPr>
      </w:pPr>
    </w:p>
    <w:p w:rsidR="008C75DF" w:rsidRPr="00572FD7" w:rsidRDefault="008C75DF" w:rsidP="008C75DF">
      <w:pPr>
        <w:jc w:val="both"/>
        <w:rPr>
          <w:rFonts w:ascii="Times New Roman" w:hAnsi="Times New Roman"/>
          <w:b/>
        </w:rPr>
      </w:pPr>
      <w:r w:rsidRPr="00572FD7">
        <w:rPr>
          <w:rFonts w:ascii="Times New Roman" w:hAnsi="Times New Roman"/>
          <w:b/>
        </w:rPr>
        <w:t xml:space="preserve">Table </w:t>
      </w:r>
      <w:r>
        <w:rPr>
          <w:rFonts w:ascii="Times New Roman" w:hAnsi="Times New Roman"/>
          <w:b/>
        </w:rPr>
        <w:t>3</w:t>
      </w:r>
      <w:r w:rsidRPr="00572FD7">
        <w:rPr>
          <w:rFonts w:ascii="Times New Roman" w:hAnsi="Times New Roman"/>
          <w:b/>
        </w:rPr>
        <w:t>: Rate constants</w:t>
      </w:r>
      <w:r>
        <w:rPr>
          <w:rFonts w:ascii="Times New Roman" w:hAnsi="Times New Roman"/>
          <w:b/>
        </w:rPr>
        <w:t xml:space="preserve"> of </w:t>
      </w:r>
      <w:r w:rsidRPr="00572FD7">
        <w:rPr>
          <w:rFonts w:ascii="Times New Roman" w:hAnsi="Times New Roman"/>
          <w:b/>
        </w:rPr>
        <w:t>∆E value</w:t>
      </w:r>
    </w:p>
    <w:tbl>
      <w:tblPr>
        <w:tblW w:w="8868" w:type="dxa"/>
        <w:tblLook w:val="04A0"/>
      </w:tblPr>
      <w:tblGrid>
        <w:gridCol w:w="1183"/>
        <w:gridCol w:w="1560"/>
        <w:gridCol w:w="1925"/>
        <w:gridCol w:w="2280"/>
        <w:gridCol w:w="960"/>
        <w:gridCol w:w="960"/>
      </w:tblGrid>
      <w:tr w:rsidR="008C75DF" w:rsidRPr="00E9109B" w:rsidTr="008F728C">
        <w:trPr>
          <w:trHeight w:val="255"/>
        </w:trPr>
        <w:tc>
          <w:tcPr>
            <w:tcW w:w="11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Treatment</w:t>
            </w:r>
          </w:p>
        </w:tc>
        <w:tc>
          <w:tcPr>
            <w:tcW w:w="1560" w:type="dxa"/>
            <w:tcBorders>
              <w:top w:val="single" w:sz="4" w:space="0" w:color="auto"/>
              <w:left w:val="nil"/>
              <w:bottom w:val="single" w:sz="4" w:space="0" w:color="auto"/>
              <w:right w:val="nil"/>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Temperature (°C)</w:t>
            </w:r>
          </w:p>
        </w:tc>
        <w:tc>
          <w:tcPr>
            <w:tcW w:w="1925" w:type="dxa"/>
            <w:tcBorders>
              <w:top w:val="single" w:sz="4" w:space="0" w:color="auto"/>
              <w:left w:val="single" w:sz="4" w:space="0" w:color="auto"/>
              <w:bottom w:val="nil"/>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k</w:t>
            </w:r>
            <w:r w:rsidRPr="00E9109B">
              <w:rPr>
                <w:rFonts w:ascii="Times New Roman" w:eastAsia="Times New Roman" w:hAnsi="Times New Roman"/>
                <w:b/>
                <w:bCs/>
                <w:sz w:val="14"/>
                <w:szCs w:val="14"/>
                <w:vertAlign w:val="subscript"/>
              </w:rPr>
              <w:t>0</w:t>
            </w:r>
            <w:r w:rsidRPr="00E9109B">
              <w:rPr>
                <w:rFonts w:ascii="Times New Roman" w:eastAsia="Times New Roman" w:hAnsi="Times New Roman"/>
                <w:b/>
                <w:bCs/>
                <w:sz w:val="14"/>
                <w:szCs w:val="14"/>
              </w:rPr>
              <w:t xml:space="preserve"> (day</w:t>
            </w:r>
            <w:r w:rsidRPr="00E9109B">
              <w:rPr>
                <w:rFonts w:ascii="Times New Roman" w:eastAsia="Times New Roman" w:hAnsi="Times New Roman"/>
                <w:b/>
                <w:bCs/>
                <w:sz w:val="14"/>
                <w:szCs w:val="14"/>
                <w:vertAlign w:val="superscript"/>
              </w:rPr>
              <w:t>-1</w:t>
            </w:r>
            <w:r w:rsidRPr="00E9109B">
              <w:rPr>
                <w:rFonts w:ascii="Times New Roman" w:eastAsia="Times New Roman" w:hAnsi="Times New Roman"/>
                <w:b/>
                <w:bCs/>
                <w:sz w:val="14"/>
                <w:szCs w:val="14"/>
              </w:rPr>
              <w:t>)</w:t>
            </w:r>
          </w:p>
        </w:tc>
        <w:tc>
          <w:tcPr>
            <w:tcW w:w="2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k</w:t>
            </w:r>
            <w:r w:rsidRPr="00E9109B">
              <w:rPr>
                <w:rFonts w:ascii="Times New Roman" w:eastAsia="Times New Roman" w:hAnsi="Times New Roman"/>
                <w:b/>
                <w:bCs/>
                <w:sz w:val="14"/>
                <w:szCs w:val="14"/>
                <w:vertAlign w:val="subscript"/>
              </w:rPr>
              <w:t>1</w:t>
            </w:r>
            <w:r w:rsidRPr="00E9109B">
              <w:rPr>
                <w:rFonts w:ascii="Times New Roman" w:eastAsia="Times New Roman" w:hAnsi="Times New Roman"/>
                <w:b/>
                <w:bCs/>
                <w:sz w:val="14"/>
                <w:szCs w:val="14"/>
              </w:rPr>
              <w:t xml:space="preserve"> (day</w:t>
            </w:r>
            <w:r w:rsidRPr="00E9109B">
              <w:rPr>
                <w:rFonts w:ascii="Times New Roman" w:eastAsia="Times New Roman" w:hAnsi="Times New Roman"/>
                <w:b/>
                <w:bCs/>
                <w:sz w:val="14"/>
                <w:szCs w:val="14"/>
                <w:vertAlign w:val="superscript"/>
              </w:rPr>
              <w:t>-1</w:t>
            </w:r>
            <w:r w:rsidRPr="00E9109B">
              <w:rPr>
                <w:rFonts w:ascii="Times New Roman" w:eastAsia="Times New Roman" w:hAnsi="Times New Roman"/>
                <w:b/>
                <w:bCs/>
                <w:sz w:val="14"/>
                <w:szCs w:val="14"/>
              </w:rPr>
              <w:t>)</w:t>
            </w:r>
          </w:p>
        </w:tc>
        <w:tc>
          <w:tcPr>
            <w:tcW w:w="960" w:type="dxa"/>
            <w:tcBorders>
              <w:top w:val="single" w:sz="4" w:space="0" w:color="auto"/>
              <w:left w:val="nil"/>
              <w:bottom w:val="single" w:sz="4" w:space="0" w:color="auto"/>
              <w:right w:val="single" w:sz="4" w:space="0" w:color="auto"/>
            </w:tcBorders>
            <w:vAlign w:val="center"/>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R</w:t>
            </w:r>
            <w:r w:rsidRPr="00E9109B">
              <w:rPr>
                <w:rFonts w:ascii="Times New Roman" w:eastAsia="Times New Roman" w:hAnsi="Times New Roman"/>
                <w:b/>
                <w:bCs/>
                <w:sz w:val="14"/>
                <w:szCs w:val="14"/>
                <w:vertAlign w:val="superscript"/>
              </w:rPr>
              <w:t>2</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RMSE</w:t>
            </w:r>
          </w:p>
        </w:tc>
      </w:tr>
      <w:tr w:rsidR="00E20E3D" w:rsidRPr="00E9109B" w:rsidTr="00E20E3D">
        <w:trPr>
          <w:trHeight w:val="255"/>
        </w:trPr>
        <w:tc>
          <w:tcPr>
            <w:tcW w:w="1183" w:type="dxa"/>
            <w:vMerge w:val="restart"/>
            <w:tcBorders>
              <w:top w:val="nil"/>
              <w:left w:val="single" w:sz="4" w:space="0" w:color="auto"/>
              <w:bottom w:val="single" w:sz="4" w:space="0" w:color="auto"/>
              <w:right w:val="single" w:sz="4" w:space="0" w:color="auto"/>
            </w:tcBorders>
            <w:shd w:val="clear" w:color="auto" w:fill="auto"/>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Control</w:t>
            </w: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925" w:type="dxa"/>
            <w:tcBorders>
              <w:top w:val="single" w:sz="4" w:space="0" w:color="auto"/>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1.16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0.24</w:t>
            </w:r>
          </w:p>
        </w:tc>
        <w:tc>
          <w:tcPr>
            <w:tcW w:w="2280" w:type="dxa"/>
            <w:tcBorders>
              <w:top w:val="nil"/>
              <w:left w:val="single" w:sz="4" w:space="0" w:color="auto"/>
              <w:bottom w:val="nil"/>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0.13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0.03</w:t>
            </w:r>
          </w:p>
        </w:tc>
        <w:tc>
          <w:tcPr>
            <w:tcW w:w="960" w:type="dxa"/>
            <w:tcBorders>
              <w:top w:val="nil"/>
              <w:left w:val="nil"/>
              <w:bottom w:val="single" w:sz="4" w:space="0" w:color="auto"/>
              <w:right w:val="single" w:sz="4" w:space="0" w:color="auto"/>
            </w:tcBorders>
            <w:vAlign w:val="center"/>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0.94</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0.92</w:t>
            </w:r>
          </w:p>
        </w:tc>
      </w:tr>
      <w:tr w:rsidR="00E20E3D" w:rsidRPr="00E9109B" w:rsidTr="00E20E3D">
        <w:trPr>
          <w:trHeight w:val="255"/>
        </w:trPr>
        <w:tc>
          <w:tcPr>
            <w:tcW w:w="1183"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50</w:t>
            </w:r>
          </w:p>
        </w:tc>
        <w:tc>
          <w:tcPr>
            <w:tcW w:w="1925" w:type="dxa"/>
            <w:tcBorders>
              <w:top w:val="nil"/>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1.81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0.33</w:t>
            </w:r>
          </w:p>
        </w:tc>
        <w:tc>
          <w:tcPr>
            <w:tcW w:w="2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0.16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0.03</w:t>
            </w:r>
          </w:p>
        </w:tc>
        <w:tc>
          <w:tcPr>
            <w:tcW w:w="960" w:type="dxa"/>
            <w:tcBorders>
              <w:top w:val="nil"/>
              <w:left w:val="nil"/>
              <w:bottom w:val="single" w:sz="4" w:space="0" w:color="auto"/>
              <w:right w:val="single" w:sz="4" w:space="0" w:color="auto"/>
            </w:tcBorders>
            <w:vAlign w:val="center"/>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0.96</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0.98</w:t>
            </w:r>
          </w:p>
        </w:tc>
      </w:tr>
      <w:tr w:rsidR="00E20E3D" w:rsidRPr="00E9109B" w:rsidTr="00E20E3D">
        <w:trPr>
          <w:trHeight w:val="255"/>
        </w:trPr>
        <w:tc>
          <w:tcPr>
            <w:tcW w:w="1183"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60</w:t>
            </w:r>
          </w:p>
        </w:tc>
        <w:tc>
          <w:tcPr>
            <w:tcW w:w="1925" w:type="dxa"/>
            <w:tcBorders>
              <w:top w:val="nil"/>
              <w:left w:val="single" w:sz="4" w:space="0" w:color="auto"/>
              <w:bottom w:val="nil"/>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1.22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0.29</w:t>
            </w:r>
          </w:p>
        </w:tc>
        <w:tc>
          <w:tcPr>
            <w:tcW w:w="2280" w:type="dxa"/>
            <w:tcBorders>
              <w:top w:val="nil"/>
              <w:left w:val="single" w:sz="4" w:space="0" w:color="auto"/>
              <w:bottom w:val="nil"/>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0.13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0.04</w:t>
            </w:r>
          </w:p>
        </w:tc>
        <w:tc>
          <w:tcPr>
            <w:tcW w:w="960" w:type="dxa"/>
            <w:tcBorders>
              <w:top w:val="nil"/>
              <w:left w:val="nil"/>
              <w:bottom w:val="single" w:sz="4" w:space="0" w:color="auto"/>
              <w:right w:val="single" w:sz="4" w:space="0" w:color="auto"/>
            </w:tcBorders>
            <w:vAlign w:val="center"/>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0.93</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1.17</w:t>
            </w:r>
          </w:p>
        </w:tc>
      </w:tr>
      <w:tr w:rsidR="00E20E3D" w:rsidRPr="00E9109B" w:rsidTr="00E20E3D">
        <w:trPr>
          <w:trHeight w:val="510"/>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AA</w:t>
            </w:r>
            <w:r w:rsidRPr="00E9109B">
              <w:rPr>
                <w:rFonts w:ascii="Times New Roman" w:eastAsia="Times New Roman" w:hAnsi="Times New Roman"/>
                <w:sz w:val="14"/>
                <w:szCs w:val="14"/>
                <w:vertAlign w:val="superscript"/>
              </w:rPr>
              <w:t>1</w:t>
            </w: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925" w:type="dxa"/>
            <w:tcBorders>
              <w:top w:val="single" w:sz="4" w:space="0" w:color="auto"/>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4.09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1.50</w:t>
            </w:r>
          </w:p>
        </w:tc>
        <w:tc>
          <w:tcPr>
            <w:tcW w:w="2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0.29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0.11</w:t>
            </w:r>
          </w:p>
        </w:tc>
        <w:tc>
          <w:tcPr>
            <w:tcW w:w="960" w:type="dxa"/>
            <w:tcBorders>
              <w:top w:val="nil"/>
              <w:left w:val="nil"/>
              <w:bottom w:val="single" w:sz="4" w:space="0" w:color="auto"/>
              <w:right w:val="single" w:sz="4" w:space="0" w:color="auto"/>
            </w:tcBorders>
            <w:vAlign w:val="center"/>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0.96</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1.14</w:t>
            </w:r>
          </w:p>
        </w:tc>
      </w:tr>
      <w:tr w:rsidR="00E20E3D" w:rsidRPr="00E9109B" w:rsidTr="00E20E3D">
        <w:trPr>
          <w:trHeight w:val="525"/>
        </w:trPr>
        <w:tc>
          <w:tcPr>
            <w:tcW w:w="1183" w:type="dxa"/>
            <w:tcBorders>
              <w:top w:val="nil"/>
              <w:left w:val="single" w:sz="4" w:space="0" w:color="auto"/>
              <w:bottom w:val="single" w:sz="4" w:space="0" w:color="auto"/>
              <w:right w:val="single" w:sz="4" w:space="0" w:color="auto"/>
            </w:tcBorders>
            <w:shd w:val="clear" w:color="auto" w:fill="auto"/>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A2P</w:t>
            </w:r>
            <w:r w:rsidRPr="00E9109B">
              <w:rPr>
                <w:rFonts w:ascii="Times New Roman" w:eastAsia="Times New Roman" w:hAnsi="Times New Roman"/>
                <w:sz w:val="14"/>
                <w:szCs w:val="14"/>
                <w:vertAlign w:val="superscript"/>
              </w:rPr>
              <w:t>2</w:t>
            </w:r>
          </w:p>
        </w:tc>
        <w:tc>
          <w:tcPr>
            <w:tcW w:w="1560" w:type="dxa"/>
            <w:tcBorders>
              <w:top w:val="nil"/>
              <w:left w:val="nil"/>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925" w:type="dxa"/>
            <w:tcBorders>
              <w:top w:val="nil"/>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2.03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0.26</w:t>
            </w:r>
          </w:p>
        </w:tc>
        <w:tc>
          <w:tcPr>
            <w:tcW w:w="2280" w:type="dxa"/>
            <w:tcBorders>
              <w:top w:val="nil"/>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0.13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0.02</w:t>
            </w:r>
          </w:p>
        </w:tc>
        <w:tc>
          <w:tcPr>
            <w:tcW w:w="960" w:type="dxa"/>
            <w:tcBorders>
              <w:top w:val="nil"/>
              <w:left w:val="nil"/>
              <w:bottom w:val="single" w:sz="4" w:space="0" w:color="auto"/>
              <w:right w:val="single" w:sz="4" w:space="0" w:color="auto"/>
            </w:tcBorders>
            <w:vAlign w:val="center"/>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0.97</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1.00</w:t>
            </w:r>
          </w:p>
        </w:tc>
      </w:tr>
    </w:tbl>
    <w:p w:rsidR="008C75DF" w:rsidRPr="00712D48"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1</w:t>
      </w:r>
      <w:r w:rsidRPr="00712D48">
        <w:rPr>
          <w:rFonts w:ascii="Times New Roman" w:hAnsi="Times New Roman"/>
          <w:sz w:val="16"/>
          <w:szCs w:val="16"/>
        </w:rPr>
        <w:t>AA, Ascorbic acid</w:t>
      </w:r>
    </w:p>
    <w:p w:rsidR="008C75DF"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2</w:t>
      </w:r>
      <w:r w:rsidRPr="00712D48">
        <w:rPr>
          <w:rFonts w:ascii="Times New Roman" w:hAnsi="Times New Roman"/>
          <w:sz w:val="16"/>
          <w:szCs w:val="16"/>
        </w:rPr>
        <w:t>A2P, Ascorbyl 2 phosphate</w:t>
      </w:r>
    </w:p>
    <w:p w:rsidR="008C75DF" w:rsidRPr="00572FD7" w:rsidRDefault="008C75DF" w:rsidP="008C75DF">
      <w:pPr>
        <w:spacing w:after="0"/>
        <w:jc w:val="both"/>
        <w:rPr>
          <w:rFonts w:ascii="Times New Roman" w:hAnsi="Times New Roman"/>
          <w:sz w:val="16"/>
          <w:szCs w:val="16"/>
        </w:rPr>
      </w:pPr>
      <w:r>
        <w:rPr>
          <w:rFonts w:ascii="Times New Roman" w:hAnsi="Times New Roman"/>
          <w:sz w:val="16"/>
          <w:szCs w:val="16"/>
        </w:rPr>
        <w:t>R</w:t>
      </w:r>
      <w:r w:rsidRPr="00572FD7">
        <w:rPr>
          <w:rFonts w:ascii="Times New Roman" w:hAnsi="Times New Roman"/>
          <w:sz w:val="16"/>
          <w:szCs w:val="16"/>
          <w:vertAlign w:val="superscript"/>
        </w:rPr>
        <w:t>2</w:t>
      </w:r>
      <w:r>
        <w:rPr>
          <w:rFonts w:ascii="Times New Roman" w:hAnsi="Times New Roman"/>
          <w:sz w:val="16"/>
          <w:szCs w:val="16"/>
        </w:rPr>
        <w:t>, Determination coefficient; RMSE, root mean square error</w:t>
      </w:r>
    </w:p>
    <w:p w:rsidR="008C75DF" w:rsidRPr="00712D48" w:rsidRDefault="008C75DF" w:rsidP="008C75DF">
      <w:pPr>
        <w:jc w:val="center"/>
        <w:rPr>
          <w:rFonts w:ascii="Times New Roman" w:hAnsi="Times New Roman"/>
        </w:rPr>
      </w:pPr>
    </w:p>
    <w:p w:rsidR="008C75DF" w:rsidRDefault="008C75DF" w:rsidP="008C75DF">
      <w:pPr>
        <w:spacing w:after="0"/>
        <w:jc w:val="both"/>
        <w:rPr>
          <w:rFonts w:ascii="Times New Roman" w:hAnsi="Times New Roman"/>
          <w:b/>
        </w:rPr>
      </w:pPr>
    </w:p>
    <w:p w:rsidR="008C75DF" w:rsidRPr="00712D48" w:rsidRDefault="008C75DF" w:rsidP="008C75DF">
      <w:pPr>
        <w:spacing w:after="0"/>
        <w:jc w:val="both"/>
        <w:rPr>
          <w:rFonts w:ascii="Times New Roman" w:hAnsi="Times New Roman"/>
          <w:b/>
        </w:rPr>
      </w:pPr>
      <w:r w:rsidRPr="00712D48">
        <w:rPr>
          <w:rFonts w:ascii="Times New Roman" w:hAnsi="Times New Roman"/>
          <w:b/>
        </w:rPr>
        <w:lastRenderedPageBreak/>
        <w:t>Table</w:t>
      </w:r>
      <w:r>
        <w:rPr>
          <w:rFonts w:ascii="Times New Roman" w:hAnsi="Times New Roman"/>
          <w:b/>
        </w:rPr>
        <w:t xml:space="preserve"> 4</w:t>
      </w:r>
      <w:r w:rsidRPr="00712D48">
        <w:rPr>
          <w:rFonts w:ascii="Times New Roman" w:hAnsi="Times New Roman"/>
          <w:b/>
        </w:rPr>
        <w:t>: Constants rates of the ascorbic acid and ascorbyl 2 phosphate degradation at the different studied temperatures</w:t>
      </w:r>
    </w:p>
    <w:tbl>
      <w:tblPr>
        <w:tblW w:w="9460" w:type="dxa"/>
        <w:jc w:val="center"/>
        <w:tblInd w:w="103" w:type="dxa"/>
        <w:tblLook w:val="04A0"/>
      </w:tblPr>
      <w:tblGrid>
        <w:gridCol w:w="964"/>
        <w:gridCol w:w="1186"/>
        <w:gridCol w:w="1149"/>
        <w:gridCol w:w="2196"/>
        <w:gridCol w:w="2300"/>
        <w:gridCol w:w="576"/>
        <w:gridCol w:w="1089"/>
      </w:tblGrid>
      <w:tr w:rsidR="008C75DF" w:rsidRPr="00E9109B" w:rsidTr="008F728C">
        <w:trPr>
          <w:trHeight w:val="510"/>
          <w:jc w:val="center"/>
        </w:trPr>
        <w:tc>
          <w:tcPr>
            <w:tcW w:w="9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Type of vitamin C</w:t>
            </w:r>
          </w:p>
        </w:tc>
        <w:tc>
          <w:tcPr>
            <w:tcW w:w="1186" w:type="dxa"/>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Temperature (°C)</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Model</w:t>
            </w:r>
          </w:p>
        </w:tc>
        <w:tc>
          <w:tcPr>
            <w:tcW w:w="2196" w:type="dxa"/>
            <w:tcBorders>
              <w:top w:val="single" w:sz="4" w:space="0" w:color="auto"/>
              <w:left w:val="nil"/>
              <w:bottom w:val="single" w:sz="4" w:space="0" w:color="auto"/>
              <w:right w:val="single" w:sz="4" w:space="0" w:color="000000"/>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i/>
                <w:sz w:val="14"/>
                <w:szCs w:val="14"/>
              </w:rPr>
              <w:t>k</w:t>
            </w:r>
            <w:r w:rsidRPr="00E9109B">
              <w:rPr>
                <w:rFonts w:ascii="Times New Roman" w:eastAsia="Times New Roman" w:hAnsi="Times New Roman"/>
                <w:b/>
                <w:bCs/>
                <w:sz w:val="14"/>
                <w:szCs w:val="14"/>
              </w:rPr>
              <w:t xml:space="preserve"> (day</w:t>
            </w:r>
            <w:r w:rsidRPr="00E9109B">
              <w:rPr>
                <w:rFonts w:ascii="Times New Roman" w:eastAsia="Times New Roman" w:hAnsi="Times New Roman"/>
                <w:b/>
                <w:bCs/>
                <w:sz w:val="14"/>
                <w:szCs w:val="14"/>
                <w:vertAlign w:val="superscript"/>
              </w:rPr>
              <w:t>-1</w:t>
            </w:r>
            <w:r w:rsidRPr="00E9109B">
              <w:rPr>
                <w:rFonts w:ascii="Times New Roman" w:eastAsia="Times New Roman" w:hAnsi="Times New Roman"/>
                <w:b/>
                <w:bCs/>
                <w:sz w:val="14"/>
                <w:szCs w:val="14"/>
              </w:rPr>
              <w:t>)</w:t>
            </w:r>
          </w:p>
        </w:tc>
        <w:tc>
          <w:tcPr>
            <w:tcW w:w="2300" w:type="dxa"/>
            <w:tcBorders>
              <w:top w:val="single" w:sz="4" w:space="0" w:color="auto"/>
              <w:left w:val="nil"/>
              <w:bottom w:val="single" w:sz="4" w:space="0" w:color="auto"/>
              <w:right w:val="single" w:sz="4" w:space="0" w:color="000000"/>
            </w:tcBorders>
            <w:shd w:val="clear" w:color="auto" w:fill="auto"/>
            <w:noWrap/>
            <w:vAlign w:val="center"/>
            <w:hideMark/>
          </w:tcPr>
          <w:p w:rsidR="008C75DF" w:rsidRPr="00E9109B" w:rsidRDefault="00C824A2"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cs="Times New Roman"/>
                <w:b/>
                <w:bCs/>
                <w:sz w:val="14"/>
                <w:szCs w:val="14"/>
              </w:rPr>
              <w:t>β</w:t>
            </w:r>
          </w:p>
        </w:tc>
        <w:tc>
          <w:tcPr>
            <w:tcW w:w="576" w:type="dxa"/>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R</w:t>
            </w:r>
            <w:r w:rsidRPr="00E9109B">
              <w:rPr>
                <w:rFonts w:ascii="Times New Roman" w:eastAsia="Times New Roman" w:hAnsi="Times New Roman"/>
                <w:b/>
                <w:bCs/>
                <w:sz w:val="14"/>
                <w:szCs w:val="14"/>
                <w:vertAlign w:val="superscript"/>
              </w:rPr>
              <w:t>2</w:t>
            </w:r>
          </w:p>
        </w:tc>
        <w:tc>
          <w:tcPr>
            <w:tcW w:w="1089" w:type="dxa"/>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RMSE</w:t>
            </w:r>
          </w:p>
        </w:tc>
      </w:tr>
      <w:tr w:rsidR="00E20E3D" w:rsidRPr="00E9109B" w:rsidTr="00E20E3D">
        <w:trPr>
          <w:trHeight w:val="255"/>
          <w:jc w:val="center"/>
        </w:trPr>
        <w:tc>
          <w:tcPr>
            <w:tcW w:w="964" w:type="dxa"/>
            <w:vMerge w:val="restart"/>
            <w:tcBorders>
              <w:top w:val="nil"/>
              <w:left w:val="single" w:sz="4" w:space="0" w:color="auto"/>
              <w:bottom w:val="single" w:sz="4" w:space="0" w:color="auto"/>
              <w:right w:val="single" w:sz="4" w:space="0" w:color="auto"/>
            </w:tcBorders>
            <w:shd w:val="clear" w:color="auto" w:fill="auto"/>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AA</w:t>
            </w: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149" w:type="dxa"/>
            <w:vMerge w:val="restart"/>
            <w:tcBorders>
              <w:top w:val="nil"/>
              <w:left w:val="single" w:sz="4" w:space="0" w:color="auto"/>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First-order</w:t>
            </w:r>
          </w:p>
        </w:tc>
        <w:tc>
          <w:tcPr>
            <w:tcW w:w="2196" w:type="dxa"/>
            <w:tcBorders>
              <w:top w:val="nil"/>
              <w:left w:val="single" w:sz="4" w:space="0" w:color="auto"/>
              <w:bottom w:val="nil"/>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0.09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0.01</w:t>
            </w:r>
          </w:p>
        </w:tc>
        <w:tc>
          <w:tcPr>
            <w:tcW w:w="230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0.75</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4.99x10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50</w:t>
            </w:r>
          </w:p>
        </w:tc>
        <w:tc>
          <w:tcPr>
            <w:tcW w:w="1149" w:type="dxa"/>
            <w:vMerge/>
            <w:tcBorders>
              <w:top w:val="nil"/>
              <w:left w:val="single" w:sz="4" w:space="0" w:color="auto"/>
              <w:bottom w:val="single" w:sz="4" w:space="0" w:color="auto"/>
              <w:right w:val="nil"/>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2196" w:type="dxa"/>
            <w:tcBorders>
              <w:top w:val="single" w:sz="4" w:space="0" w:color="auto"/>
              <w:left w:val="single" w:sz="4" w:space="0" w:color="auto"/>
              <w:bottom w:val="nil"/>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0.11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0.01</w:t>
            </w:r>
          </w:p>
        </w:tc>
        <w:tc>
          <w:tcPr>
            <w:tcW w:w="230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0.94</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2.3610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60</w:t>
            </w:r>
          </w:p>
        </w:tc>
        <w:tc>
          <w:tcPr>
            <w:tcW w:w="1149" w:type="dxa"/>
            <w:vMerge/>
            <w:tcBorders>
              <w:top w:val="nil"/>
              <w:left w:val="single" w:sz="4" w:space="0" w:color="auto"/>
              <w:bottom w:val="single" w:sz="4" w:space="0" w:color="auto"/>
              <w:right w:val="nil"/>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2196" w:type="dxa"/>
            <w:tcBorders>
              <w:top w:val="single" w:sz="4" w:space="0" w:color="auto"/>
              <w:left w:val="single" w:sz="4" w:space="0" w:color="auto"/>
              <w:bottom w:val="nil"/>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0.16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0.02</w:t>
            </w:r>
          </w:p>
        </w:tc>
        <w:tc>
          <w:tcPr>
            <w:tcW w:w="2300" w:type="dxa"/>
            <w:tcBorders>
              <w:top w:val="single" w:sz="4" w:space="0" w:color="auto"/>
              <w:left w:val="single" w:sz="4" w:space="0" w:color="auto"/>
              <w:bottom w:val="nil"/>
              <w:right w:val="single" w:sz="4" w:space="0" w:color="000000"/>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0.95</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3.2810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149" w:type="dxa"/>
            <w:vMerge w:val="restart"/>
            <w:tcBorders>
              <w:top w:val="nil"/>
              <w:left w:val="single" w:sz="4" w:space="0" w:color="auto"/>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Weibull</w:t>
            </w:r>
          </w:p>
        </w:tc>
        <w:tc>
          <w:tcPr>
            <w:tcW w:w="2196" w:type="dxa"/>
            <w:tcBorders>
              <w:top w:val="single" w:sz="4" w:space="0" w:color="auto"/>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0.06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0.01</w:t>
            </w:r>
          </w:p>
        </w:tc>
        <w:tc>
          <w:tcPr>
            <w:tcW w:w="2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2.1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0.53</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0.87</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2.6710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50</w:t>
            </w:r>
          </w:p>
        </w:tc>
        <w:tc>
          <w:tcPr>
            <w:tcW w:w="1149" w:type="dxa"/>
            <w:vMerge/>
            <w:tcBorders>
              <w:top w:val="nil"/>
              <w:left w:val="single" w:sz="4" w:space="0" w:color="auto"/>
              <w:bottom w:val="single" w:sz="4" w:space="0" w:color="auto"/>
              <w:right w:val="nil"/>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2196" w:type="dxa"/>
            <w:tcBorders>
              <w:top w:val="nil"/>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0.10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0.01</w:t>
            </w:r>
          </w:p>
        </w:tc>
        <w:tc>
          <w:tcPr>
            <w:tcW w:w="2300" w:type="dxa"/>
            <w:tcBorders>
              <w:top w:val="nil"/>
              <w:left w:val="single" w:sz="4" w:space="0" w:color="auto"/>
              <w:bottom w:val="nil"/>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1.1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0.4</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0.95</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2.3510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60</w:t>
            </w:r>
          </w:p>
        </w:tc>
        <w:tc>
          <w:tcPr>
            <w:tcW w:w="1149" w:type="dxa"/>
            <w:vMerge/>
            <w:tcBorders>
              <w:top w:val="nil"/>
              <w:left w:val="single" w:sz="4" w:space="0" w:color="auto"/>
              <w:bottom w:val="single" w:sz="4" w:space="0" w:color="auto"/>
              <w:right w:val="nil"/>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2196" w:type="dxa"/>
            <w:tcBorders>
              <w:top w:val="nil"/>
              <w:left w:val="single" w:sz="4" w:space="0" w:color="auto"/>
              <w:bottom w:val="nil"/>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0.11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0.01</w:t>
            </w:r>
          </w:p>
        </w:tc>
        <w:tc>
          <w:tcPr>
            <w:tcW w:w="2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1.4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0.7</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0.97</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1.8510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val="restart"/>
            <w:tcBorders>
              <w:top w:val="nil"/>
              <w:left w:val="single" w:sz="4" w:space="0" w:color="auto"/>
              <w:bottom w:val="single" w:sz="4" w:space="0" w:color="auto"/>
              <w:right w:val="single" w:sz="4" w:space="0" w:color="auto"/>
            </w:tcBorders>
            <w:shd w:val="clear" w:color="auto" w:fill="auto"/>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A2P</w:t>
            </w: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149" w:type="dxa"/>
            <w:vMerge w:val="restart"/>
            <w:tcBorders>
              <w:top w:val="nil"/>
              <w:left w:val="single" w:sz="4" w:space="0" w:color="auto"/>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First-order</w:t>
            </w:r>
          </w:p>
        </w:tc>
        <w:tc>
          <w:tcPr>
            <w:tcW w:w="2196" w:type="dxa"/>
            <w:tcBorders>
              <w:top w:val="single" w:sz="4" w:space="0" w:color="auto"/>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0.019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0.002</w:t>
            </w:r>
          </w:p>
        </w:tc>
        <w:tc>
          <w:tcPr>
            <w:tcW w:w="230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0.87</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1.8910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50</w:t>
            </w:r>
          </w:p>
        </w:tc>
        <w:tc>
          <w:tcPr>
            <w:tcW w:w="1149" w:type="dxa"/>
            <w:vMerge/>
            <w:tcBorders>
              <w:top w:val="nil"/>
              <w:left w:val="single" w:sz="4" w:space="0" w:color="auto"/>
              <w:bottom w:val="single" w:sz="4" w:space="0" w:color="auto"/>
              <w:right w:val="nil"/>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2196" w:type="dxa"/>
            <w:tcBorders>
              <w:top w:val="nil"/>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0.070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0.005</w:t>
            </w:r>
          </w:p>
        </w:tc>
        <w:tc>
          <w:tcPr>
            <w:tcW w:w="230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0.94</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2.7110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60</w:t>
            </w:r>
          </w:p>
        </w:tc>
        <w:tc>
          <w:tcPr>
            <w:tcW w:w="1149" w:type="dxa"/>
            <w:vMerge/>
            <w:tcBorders>
              <w:top w:val="nil"/>
              <w:left w:val="single" w:sz="4" w:space="0" w:color="auto"/>
              <w:bottom w:val="single" w:sz="4" w:space="0" w:color="auto"/>
              <w:right w:val="nil"/>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2196" w:type="dxa"/>
            <w:tcBorders>
              <w:top w:val="nil"/>
              <w:left w:val="single" w:sz="4" w:space="0" w:color="auto"/>
              <w:bottom w:val="nil"/>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0.120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0.002</w:t>
            </w:r>
          </w:p>
        </w:tc>
        <w:tc>
          <w:tcPr>
            <w:tcW w:w="230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0.97</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2.6410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40</w:t>
            </w:r>
          </w:p>
        </w:tc>
        <w:tc>
          <w:tcPr>
            <w:tcW w:w="1149" w:type="dxa"/>
            <w:vMerge w:val="restart"/>
            <w:tcBorders>
              <w:top w:val="nil"/>
              <w:left w:val="single" w:sz="4" w:space="0" w:color="auto"/>
              <w:bottom w:val="single" w:sz="4" w:space="0" w:color="auto"/>
              <w:right w:val="nil"/>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Weibull</w:t>
            </w:r>
          </w:p>
        </w:tc>
        <w:tc>
          <w:tcPr>
            <w:tcW w:w="2196" w:type="dxa"/>
            <w:tcBorders>
              <w:top w:val="single" w:sz="4" w:space="0" w:color="auto"/>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0.016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0.006</w:t>
            </w:r>
          </w:p>
        </w:tc>
        <w:tc>
          <w:tcPr>
            <w:tcW w:w="2300" w:type="dxa"/>
            <w:tcBorders>
              <w:top w:val="nil"/>
              <w:left w:val="single" w:sz="4" w:space="0" w:color="auto"/>
              <w:bottom w:val="nil"/>
              <w:right w:val="single" w:sz="4" w:space="0" w:color="auto"/>
            </w:tcBorders>
            <w:shd w:val="clear" w:color="auto" w:fill="auto"/>
            <w:noWrap/>
            <w:vAlign w:val="center"/>
            <w:hideMark/>
          </w:tcPr>
          <w:p w:rsidR="00E20E3D" w:rsidRPr="00E9109B" w:rsidRDefault="00E20E3D" w:rsidP="00E20E3D">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0.7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0.2</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0.88</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1.8310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50</w:t>
            </w:r>
          </w:p>
        </w:tc>
        <w:tc>
          <w:tcPr>
            <w:tcW w:w="1149" w:type="dxa"/>
            <w:vMerge/>
            <w:tcBorders>
              <w:top w:val="nil"/>
              <w:left w:val="single" w:sz="4" w:space="0" w:color="auto"/>
              <w:bottom w:val="single" w:sz="4" w:space="0" w:color="auto"/>
              <w:right w:val="nil"/>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2196" w:type="dxa"/>
            <w:tcBorders>
              <w:top w:val="nil"/>
              <w:left w:val="single" w:sz="4" w:space="0" w:color="auto"/>
              <w:bottom w:val="nil"/>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0.059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0.004</w:t>
            </w:r>
          </w:p>
        </w:tc>
        <w:tc>
          <w:tcPr>
            <w:tcW w:w="2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1.3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0.3</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0.96</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1.7910</w:t>
            </w:r>
            <w:r w:rsidRPr="00E9109B">
              <w:rPr>
                <w:rFonts w:ascii="Times New Roman" w:eastAsia="Times New Roman" w:hAnsi="Times New Roman"/>
                <w:sz w:val="14"/>
                <w:szCs w:val="14"/>
                <w:vertAlign w:val="superscript"/>
              </w:rPr>
              <w:t>-4</w:t>
            </w:r>
          </w:p>
        </w:tc>
      </w:tr>
      <w:tr w:rsidR="00E20E3D" w:rsidRPr="00E9109B" w:rsidTr="00E20E3D">
        <w:trPr>
          <w:trHeight w:val="255"/>
          <w:jc w:val="center"/>
        </w:trPr>
        <w:tc>
          <w:tcPr>
            <w:tcW w:w="964" w:type="dxa"/>
            <w:vMerge/>
            <w:tcBorders>
              <w:top w:val="nil"/>
              <w:left w:val="single" w:sz="4" w:space="0" w:color="auto"/>
              <w:bottom w:val="single" w:sz="4" w:space="0" w:color="auto"/>
              <w:right w:val="single" w:sz="4" w:space="0" w:color="auto"/>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118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60</w:t>
            </w:r>
          </w:p>
        </w:tc>
        <w:tc>
          <w:tcPr>
            <w:tcW w:w="1149" w:type="dxa"/>
            <w:vMerge/>
            <w:tcBorders>
              <w:top w:val="nil"/>
              <w:left w:val="single" w:sz="4" w:space="0" w:color="auto"/>
              <w:bottom w:val="single" w:sz="4" w:space="0" w:color="auto"/>
              <w:right w:val="nil"/>
            </w:tcBorders>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p>
        </w:tc>
        <w:tc>
          <w:tcPr>
            <w:tcW w:w="2196" w:type="dxa"/>
            <w:tcBorders>
              <w:top w:val="single" w:sz="4" w:space="0" w:color="auto"/>
              <w:left w:val="single" w:sz="4" w:space="0" w:color="auto"/>
              <w:bottom w:val="single" w:sz="4" w:space="0" w:color="auto"/>
              <w:right w:val="nil"/>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0.085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0.008</w:t>
            </w:r>
          </w:p>
        </w:tc>
        <w:tc>
          <w:tcPr>
            <w:tcW w:w="2300" w:type="dxa"/>
            <w:tcBorders>
              <w:top w:val="nil"/>
              <w:left w:val="single" w:sz="4" w:space="0" w:color="auto"/>
              <w:bottom w:val="single" w:sz="4" w:space="0" w:color="auto"/>
              <w:right w:val="single" w:sz="4" w:space="0" w:color="auto"/>
            </w:tcBorders>
            <w:shd w:val="clear" w:color="auto" w:fill="auto"/>
            <w:noWrap/>
            <w:vAlign w:val="center"/>
            <w:hideMark/>
          </w:tcPr>
          <w:p w:rsidR="00E20E3D" w:rsidRPr="00E9109B" w:rsidRDefault="00E20E3D" w:rsidP="001C5322">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 xml:space="preserve">1.1 </w:t>
            </w:r>
            <w:r w:rsidR="001C5322" w:rsidRPr="00E9109B">
              <w:rPr>
                <w:rFonts w:ascii="Times New Roman" w:eastAsia="Times New Roman" w:hAnsi="Times New Roman" w:cs="Times New Roman"/>
                <w:sz w:val="14"/>
                <w:szCs w:val="14"/>
              </w:rPr>
              <w:t xml:space="preserve">± </w:t>
            </w:r>
            <w:r w:rsidRPr="00E9109B">
              <w:rPr>
                <w:rFonts w:ascii="Times New Roman" w:eastAsia="Times New Roman" w:hAnsi="Times New Roman"/>
                <w:sz w:val="14"/>
                <w:szCs w:val="14"/>
              </w:rPr>
              <w:t>0.3</w:t>
            </w:r>
          </w:p>
        </w:tc>
        <w:tc>
          <w:tcPr>
            <w:tcW w:w="576"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0.97</w:t>
            </w:r>
          </w:p>
        </w:tc>
        <w:tc>
          <w:tcPr>
            <w:tcW w:w="1089" w:type="dxa"/>
            <w:tcBorders>
              <w:top w:val="nil"/>
              <w:left w:val="nil"/>
              <w:bottom w:val="single" w:sz="4" w:space="0" w:color="auto"/>
              <w:right w:val="single" w:sz="4" w:space="0" w:color="auto"/>
            </w:tcBorders>
            <w:shd w:val="clear" w:color="auto" w:fill="auto"/>
            <w:noWrap/>
            <w:vAlign w:val="center"/>
            <w:hideMark/>
          </w:tcPr>
          <w:p w:rsidR="00E20E3D" w:rsidRPr="00E9109B" w:rsidRDefault="00E20E3D"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2.1710</w:t>
            </w:r>
            <w:r w:rsidRPr="00E9109B">
              <w:rPr>
                <w:rFonts w:ascii="Times New Roman" w:eastAsia="Times New Roman" w:hAnsi="Times New Roman"/>
                <w:sz w:val="14"/>
                <w:szCs w:val="14"/>
                <w:vertAlign w:val="superscript"/>
              </w:rPr>
              <w:t>-4</w:t>
            </w:r>
          </w:p>
        </w:tc>
      </w:tr>
    </w:tbl>
    <w:p w:rsidR="008C75DF" w:rsidRPr="00712D48"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1</w:t>
      </w:r>
      <w:r w:rsidRPr="00712D48">
        <w:rPr>
          <w:rFonts w:ascii="Times New Roman" w:hAnsi="Times New Roman"/>
          <w:sz w:val="16"/>
          <w:szCs w:val="16"/>
        </w:rPr>
        <w:t>AA, Ascorbic acid</w:t>
      </w:r>
    </w:p>
    <w:p w:rsidR="008C75DF"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2</w:t>
      </w:r>
      <w:r w:rsidRPr="00712D48">
        <w:rPr>
          <w:rFonts w:ascii="Times New Roman" w:hAnsi="Times New Roman"/>
          <w:sz w:val="16"/>
          <w:szCs w:val="16"/>
        </w:rPr>
        <w:t>A2P, Ascorbyl 2 phosphate</w:t>
      </w:r>
    </w:p>
    <w:p w:rsidR="008C75DF" w:rsidRPr="00572FD7" w:rsidRDefault="008C75DF" w:rsidP="008C75DF">
      <w:pPr>
        <w:spacing w:after="0"/>
        <w:jc w:val="both"/>
        <w:rPr>
          <w:rFonts w:ascii="Times New Roman" w:hAnsi="Times New Roman"/>
          <w:sz w:val="16"/>
          <w:szCs w:val="16"/>
        </w:rPr>
      </w:pPr>
      <w:r>
        <w:rPr>
          <w:rFonts w:ascii="Times New Roman" w:hAnsi="Times New Roman"/>
          <w:sz w:val="16"/>
          <w:szCs w:val="16"/>
        </w:rPr>
        <w:t>R</w:t>
      </w:r>
      <w:r w:rsidRPr="00572FD7">
        <w:rPr>
          <w:rFonts w:ascii="Times New Roman" w:hAnsi="Times New Roman"/>
          <w:sz w:val="16"/>
          <w:szCs w:val="16"/>
          <w:vertAlign w:val="superscript"/>
        </w:rPr>
        <w:t>2</w:t>
      </w:r>
      <w:r>
        <w:rPr>
          <w:rFonts w:ascii="Times New Roman" w:hAnsi="Times New Roman"/>
          <w:sz w:val="16"/>
          <w:szCs w:val="16"/>
        </w:rPr>
        <w:t>, Determination coefficient; RMSE, root mean square error</w:t>
      </w:r>
    </w:p>
    <w:p w:rsidR="008C75DF" w:rsidRDefault="008C75DF" w:rsidP="008C75DF">
      <w:pPr>
        <w:jc w:val="center"/>
        <w:rPr>
          <w:rFonts w:ascii="Times New Roman" w:hAnsi="Times New Roman"/>
        </w:rPr>
      </w:pPr>
    </w:p>
    <w:p w:rsidR="008C75DF" w:rsidRPr="00572FD7" w:rsidRDefault="008C75DF" w:rsidP="008C75DF">
      <w:pPr>
        <w:rPr>
          <w:rFonts w:ascii="Times New Roman" w:hAnsi="Times New Roman"/>
          <w:b/>
        </w:rPr>
      </w:pPr>
      <w:r w:rsidRPr="00572FD7">
        <w:rPr>
          <w:rFonts w:ascii="Times New Roman" w:hAnsi="Times New Roman"/>
          <w:b/>
        </w:rPr>
        <w:t xml:space="preserve">Table </w:t>
      </w:r>
      <w:r>
        <w:rPr>
          <w:rFonts w:ascii="Times New Roman" w:hAnsi="Times New Roman"/>
          <w:b/>
        </w:rPr>
        <w:t>5</w:t>
      </w:r>
      <w:r w:rsidRPr="00572FD7">
        <w:rPr>
          <w:rFonts w:ascii="Times New Roman" w:hAnsi="Times New Roman"/>
          <w:b/>
        </w:rPr>
        <w:t xml:space="preserve">: Correlation coefficients </w:t>
      </w:r>
      <w:r>
        <w:rPr>
          <w:rFonts w:ascii="Times New Roman" w:hAnsi="Times New Roman"/>
          <w:b/>
        </w:rPr>
        <w:t xml:space="preserve">(R) </w:t>
      </w:r>
      <w:r w:rsidRPr="00572FD7">
        <w:rPr>
          <w:rFonts w:ascii="Times New Roman" w:hAnsi="Times New Roman"/>
          <w:b/>
        </w:rPr>
        <w:t>between each color parameter and type of ascorbic acid</w:t>
      </w:r>
    </w:p>
    <w:tbl>
      <w:tblPr>
        <w:tblW w:w="9559" w:type="dxa"/>
        <w:tblInd w:w="89" w:type="dxa"/>
        <w:tblLayout w:type="fixed"/>
        <w:tblLook w:val="04A0"/>
      </w:tblPr>
      <w:tblGrid>
        <w:gridCol w:w="1279"/>
        <w:gridCol w:w="1260"/>
        <w:gridCol w:w="1530"/>
        <w:gridCol w:w="1350"/>
        <w:gridCol w:w="1440"/>
        <w:gridCol w:w="1350"/>
        <w:gridCol w:w="1350"/>
      </w:tblGrid>
      <w:tr w:rsidR="008C75DF" w:rsidRPr="00E9109B" w:rsidTr="008F728C">
        <w:trPr>
          <w:trHeight w:val="255"/>
        </w:trPr>
        <w:tc>
          <w:tcPr>
            <w:tcW w:w="127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Color parameter</w:t>
            </w:r>
          </w:p>
        </w:tc>
        <w:tc>
          <w:tcPr>
            <w:tcW w:w="2790" w:type="dxa"/>
            <w:gridSpan w:val="2"/>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40°C</w:t>
            </w:r>
          </w:p>
        </w:tc>
        <w:tc>
          <w:tcPr>
            <w:tcW w:w="2790" w:type="dxa"/>
            <w:gridSpan w:val="2"/>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50°C</w:t>
            </w:r>
          </w:p>
        </w:tc>
        <w:tc>
          <w:tcPr>
            <w:tcW w:w="2700" w:type="dxa"/>
            <w:gridSpan w:val="2"/>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60°C</w:t>
            </w:r>
          </w:p>
        </w:tc>
      </w:tr>
      <w:tr w:rsidR="008C75DF" w:rsidRPr="00E9109B" w:rsidTr="008F728C">
        <w:trPr>
          <w:trHeight w:val="255"/>
        </w:trPr>
        <w:tc>
          <w:tcPr>
            <w:tcW w:w="1279" w:type="dxa"/>
            <w:vMerge/>
            <w:tcBorders>
              <w:top w:val="single" w:sz="4" w:space="0" w:color="auto"/>
              <w:left w:val="single" w:sz="4" w:space="0" w:color="auto"/>
              <w:bottom w:val="single" w:sz="4" w:space="0" w:color="auto"/>
              <w:right w:val="single" w:sz="4" w:space="0" w:color="auto"/>
            </w:tcBorders>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p>
        </w:tc>
        <w:tc>
          <w:tcPr>
            <w:tcW w:w="126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AA</w:t>
            </w:r>
            <w:r w:rsidRPr="00E9109B">
              <w:rPr>
                <w:rFonts w:ascii="Times New Roman" w:eastAsia="Times New Roman" w:hAnsi="Times New Roman"/>
                <w:b/>
                <w:bCs/>
                <w:sz w:val="14"/>
                <w:szCs w:val="14"/>
                <w:vertAlign w:val="superscript"/>
              </w:rPr>
              <w:t>1</w:t>
            </w:r>
          </w:p>
        </w:tc>
        <w:tc>
          <w:tcPr>
            <w:tcW w:w="153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A2P</w:t>
            </w:r>
            <w:r w:rsidRPr="00E9109B">
              <w:rPr>
                <w:rFonts w:ascii="Times New Roman" w:eastAsia="Times New Roman" w:hAnsi="Times New Roman"/>
                <w:b/>
                <w:bCs/>
                <w:sz w:val="14"/>
                <w:szCs w:val="14"/>
                <w:vertAlign w:val="superscript"/>
              </w:rPr>
              <w:t>2</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AA</w:t>
            </w:r>
            <w:r w:rsidRPr="00E9109B">
              <w:rPr>
                <w:rFonts w:ascii="Times New Roman" w:eastAsia="Times New Roman" w:hAnsi="Times New Roman"/>
                <w:b/>
                <w:bCs/>
                <w:sz w:val="14"/>
                <w:szCs w:val="14"/>
                <w:vertAlign w:val="superscript"/>
              </w:rPr>
              <w:t>1</w:t>
            </w:r>
          </w:p>
        </w:tc>
        <w:tc>
          <w:tcPr>
            <w:tcW w:w="144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A2P</w:t>
            </w:r>
            <w:r w:rsidRPr="00E9109B">
              <w:rPr>
                <w:rFonts w:ascii="Times New Roman" w:eastAsia="Times New Roman" w:hAnsi="Times New Roman"/>
                <w:b/>
                <w:bCs/>
                <w:sz w:val="14"/>
                <w:szCs w:val="14"/>
                <w:vertAlign w:val="superscript"/>
              </w:rPr>
              <w:t>2</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AA</w:t>
            </w:r>
            <w:r w:rsidRPr="00E9109B">
              <w:rPr>
                <w:rFonts w:ascii="Times New Roman" w:eastAsia="Times New Roman" w:hAnsi="Times New Roman"/>
                <w:b/>
                <w:bCs/>
                <w:sz w:val="14"/>
                <w:szCs w:val="14"/>
                <w:vertAlign w:val="superscript"/>
              </w:rPr>
              <w:t>1</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A2P</w:t>
            </w:r>
            <w:r w:rsidRPr="00E9109B">
              <w:rPr>
                <w:rFonts w:ascii="Times New Roman" w:eastAsia="Times New Roman" w:hAnsi="Times New Roman"/>
                <w:b/>
                <w:bCs/>
                <w:sz w:val="14"/>
                <w:szCs w:val="14"/>
                <w:vertAlign w:val="superscript"/>
              </w:rPr>
              <w:t>2</w:t>
            </w:r>
          </w:p>
        </w:tc>
      </w:tr>
      <w:tr w:rsidR="008C75DF" w:rsidRPr="00E9109B" w:rsidTr="008F728C">
        <w:trPr>
          <w:trHeight w:val="255"/>
        </w:trPr>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L*</w:t>
            </w:r>
          </w:p>
        </w:tc>
        <w:tc>
          <w:tcPr>
            <w:tcW w:w="126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-0.75</w:t>
            </w:r>
          </w:p>
        </w:tc>
        <w:tc>
          <w:tcPr>
            <w:tcW w:w="153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-0.91</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-0.04</w:t>
            </w:r>
          </w:p>
        </w:tc>
        <w:tc>
          <w:tcPr>
            <w:tcW w:w="144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-0.55</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0.15</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-0.17</w:t>
            </w:r>
          </w:p>
        </w:tc>
      </w:tr>
      <w:tr w:rsidR="008C75DF" w:rsidRPr="00E9109B" w:rsidTr="008F728C">
        <w:trPr>
          <w:trHeight w:val="255"/>
        </w:trPr>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a*</w:t>
            </w:r>
          </w:p>
        </w:tc>
        <w:tc>
          <w:tcPr>
            <w:tcW w:w="126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0.80</w:t>
            </w:r>
          </w:p>
        </w:tc>
        <w:tc>
          <w:tcPr>
            <w:tcW w:w="153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0.96</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0.89</w:t>
            </w:r>
          </w:p>
        </w:tc>
        <w:tc>
          <w:tcPr>
            <w:tcW w:w="144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0.83</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0.85</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0.91</w:t>
            </w:r>
          </w:p>
        </w:tc>
      </w:tr>
      <w:tr w:rsidR="008C75DF" w:rsidRPr="00E9109B" w:rsidTr="008F728C">
        <w:trPr>
          <w:trHeight w:val="255"/>
        </w:trPr>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b*</w:t>
            </w:r>
          </w:p>
        </w:tc>
        <w:tc>
          <w:tcPr>
            <w:tcW w:w="126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-0.52</w:t>
            </w:r>
          </w:p>
        </w:tc>
        <w:tc>
          <w:tcPr>
            <w:tcW w:w="153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-0.89</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-0.89</w:t>
            </w:r>
          </w:p>
        </w:tc>
        <w:tc>
          <w:tcPr>
            <w:tcW w:w="144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-0.72</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-0.44</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-0.36</w:t>
            </w:r>
          </w:p>
        </w:tc>
      </w:tr>
      <w:tr w:rsidR="008C75DF" w:rsidRPr="00E9109B" w:rsidTr="008F728C">
        <w:trPr>
          <w:trHeight w:val="255"/>
        </w:trPr>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∆E</w:t>
            </w:r>
          </w:p>
        </w:tc>
        <w:tc>
          <w:tcPr>
            <w:tcW w:w="126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-0.74</w:t>
            </w:r>
          </w:p>
        </w:tc>
        <w:tc>
          <w:tcPr>
            <w:tcW w:w="153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-0.93</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-0.89</w:t>
            </w:r>
          </w:p>
        </w:tc>
        <w:tc>
          <w:tcPr>
            <w:tcW w:w="144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-0.81</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-0.78</w:t>
            </w:r>
          </w:p>
        </w:tc>
        <w:tc>
          <w:tcPr>
            <w:tcW w:w="135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8F728C">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-0.85</w:t>
            </w:r>
          </w:p>
        </w:tc>
      </w:tr>
    </w:tbl>
    <w:p w:rsidR="008C75DF" w:rsidRPr="00712D48"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1</w:t>
      </w:r>
      <w:r w:rsidRPr="00712D48">
        <w:rPr>
          <w:rFonts w:ascii="Times New Roman" w:hAnsi="Times New Roman"/>
          <w:sz w:val="16"/>
          <w:szCs w:val="16"/>
        </w:rPr>
        <w:t>AA, Ascorbic acid</w:t>
      </w:r>
    </w:p>
    <w:p w:rsidR="008C75DF" w:rsidRDefault="008C75DF" w:rsidP="008C75DF">
      <w:pPr>
        <w:spacing w:after="0"/>
        <w:jc w:val="both"/>
        <w:rPr>
          <w:rFonts w:ascii="Times New Roman" w:hAnsi="Times New Roman"/>
          <w:sz w:val="16"/>
          <w:szCs w:val="16"/>
        </w:rPr>
      </w:pPr>
      <w:r w:rsidRPr="00712D48">
        <w:rPr>
          <w:rFonts w:ascii="Times New Roman" w:hAnsi="Times New Roman"/>
          <w:sz w:val="16"/>
          <w:szCs w:val="16"/>
          <w:vertAlign w:val="superscript"/>
        </w:rPr>
        <w:t>2</w:t>
      </w:r>
      <w:r w:rsidRPr="00712D48">
        <w:rPr>
          <w:rFonts w:ascii="Times New Roman" w:hAnsi="Times New Roman"/>
          <w:sz w:val="16"/>
          <w:szCs w:val="16"/>
        </w:rPr>
        <w:t>A2P, Ascorbyl 2 phosphate</w:t>
      </w:r>
    </w:p>
    <w:p w:rsidR="008C75DF" w:rsidRPr="00712D48" w:rsidRDefault="008C75DF" w:rsidP="008C75DF">
      <w:pPr>
        <w:jc w:val="center"/>
        <w:rPr>
          <w:rFonts w:ascii="Times New Roman" w:hAnsi="Times New Roman"/>
        </w:rPr>
      </w:pPr>
    </w:p>
    <w:p w:rsidR="008C75DF" w:rsidRPr="00AA0780" w:rsidRDefault="008C75DF" w:rsidP="008C75DF">
      <w:pPr>
        <w:jc w:val="center"/>
        <w:rPr>
          <w:rFonts w:ascii="Times New Roman" w:hAnsi="Times New Roman"/>
          <w:b/>
        </w:rPr>
      </w:pPr>
      <w:r w:rsidRPr="00AA0780">
        <w:rPr>
          <w:rFonts w:ascii="Times New Roman" w:hAnsi="Times New Roman"/>
          <w:b/>
        </w:rPr>
        <w:t>Table 6: Energy of activation</w:t>
      </w:r>
      <w:r>
        <w:rPr>
          <w:rFonts w:ascii="Times New Roman" w:hAnsi="Times New Roman"/>
          <w:b/>
        </w:rPr>
        <w:t xml:space="preserve"> of ascorbic acid and ascorbyl-2-phosphate destruction in peach puree</w:t>
      </w:r>
    </w:p>
    <w:tbl>
      <w:tblPr>
        <w:tblW w:w="5680" w:type="dxa"/>
        <w:jc w:val="center"/>
        <w:tblInd w:w="103" w:type="dxa"/>
        <w:tblLook w:val="04A0"/>
      </w:tblPr>
      <w:tblGrid>
        <w:gridCol w:w="2160"/>
        <w:gridCol w:w="1120"/>
        <w:gridCol w:w="1200"/>
        <w:gridCol w:w="1200"/>
      </w:tblGrid>
      <w:tr w:rsidR="008C75DF" w:rsidRPr="00E9109B" w:rsidTr="00E9109B">
        <w:trPr>
          <w:trHeight w:val="255"/>
          <w:jc w:val="center"/>
        </w:trPr>
        <w:tc>
          <w:tcPr>
            <w:tcW w:w="2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Treatment</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Ea (kJ/mol.K)</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r</w:t>
            </w:r>
            <w:r w:rsidRPr="00E9109B">
              <w:rPr>
                <w:rFonts w:ascii="Times New Roman" w:eastAsia="Times New Roman" w:hAnsi="Times New Roman"/>
                <w:b/>
                <w:bCs/>
                <w:sz w:val="14"/>
                <w:szCs w:val="14"/>
                <w:vertAlign w:val="superscript"/>
              </w:rPr>
              <w:t>2</w:t>
            </w:r>
          </w:p>
        </w:tc>
        <w:tc>
          <w:tcPr>
            <w:tcW w:w="1200" w:type="dxa"/>
            <w:tcBorders>
              <w:top w:val="single" w:sz="4" w:space="0" w:color="auto"/>
              <w:left w:val="nil"/>
              <w:bottom w:val="single" w:sz="4" w:space="0" w:color="auto"/>
              <w:right w:val="single" w:sz="4" w:space="0" w:color="auto"/>
            </w:tcBorders>
            <w:vAlign w:val="center"/>
          </w:tcPr>
          <w:p w:rsidR="008C75DF" w:rsidRPr="00E9109B" w:rsidRDefault="008C75DF" w:rsidP="00E9109B">
            <w:pPr>
              <w:spacing w:after="0" w:line="240" w:lineRule="auto"/>
              <w:jc w:val="center"/>
              <w:rPr>
                <w:rFonts w:ascii="Times New Roman" w:eastAsia="Times New Roman" w:hAnsi="Times New Roman"/>
                <w:b/>
                <w:bCs/>
                <w:sz w:val="14"/>
                <w:szCs w:val="14"/>
              </w:rPr>
            </w:pPr>
            <w:r w:rsidRPr="00E9109B">
              <w:rPr>
                <w:rFonts w:ascii="Times New Roman" w:eastAsia="Times New Roman" w:hAnsi="Times New Roman"/>
                <w:b/>
                <w:bCs/>
                <w:sz w:val="14"/>
                <w:szCs w:val="14"/>
              </w:rPr>
              <w:t>p-value</w:t>
            </w:r>
          </w:p>
        </w:tc>
      </w:tr>
      <w:tr w:rsidR="008C75DF" w:rsidRPr="00E9109B" w:rsidTr="00E9109B">
        <w:trPr>
          <w:trHeight w:val="255"/>
          <w:jc w:val="center"/>
        </w:trPr>
        <w:tc>
          <w:tcPr>
            <w:tcW w:w="2160" w:type="dxa"/>
            <w:tcBorders>
              <w:top w:val="nil"/>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Ascorbic acid</w:t>
            </w:r>
          </w:p>
        </w:tc>
        <w:tc>
          <w:tcPr>
            <w:tcW w:w="112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28.95</w:t>
            </w:r>
            <w:r w:rsidRPr="00E9109B">
              <w:rPr>
                <w:rFonts w:ascii="Times New Roman" w:eastAsia="Times New Roman" w:hAnsi="Times New Roman"/>
                <w:sz w:val="14"/>
                <w:szCs w:val="14"/>
                <w:u w:val="single"/>
              </w:rPr>
              <w:t>+</w:t>
            </w:r>
            <w:r w:rsidRPr="00E9109B">
              <w:rPr>
                <w:rFonts w:ascii="Times New Roman" w:eastAsia="Times New Roman" w:hAnsi="Times New Roman"/>
                <w:sz w:val="14"/>
                <w:szCs w:val="14"/>
              </w:rPr>
              <w:t>12.25</w:t>
            </w:r>
          </w:p>
        </w:tc>
        <w:tc>
          <w:tcPr>
            <w:tcW w:w="120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0.86</w:t>
            </w:r>
          </w:p>
        </w:tc>
        <w:tc>
          <w:tcPr>
            <w:tcW w:w="1200" w:type="dxa"/>
            <w:tcBorders>
              <w:top w:val="nil"/>
              <w:left w:val="nil"/>
              <w:bottom w:val="single" w:sz="4" w:space="0" w:color="auto"/>
              <w:right w:val="single" w:sz="4" w:space="0" w:color="auto"/>
            </w:tcBorders>
            <w:vAlign w:val="center"/>
          </w:tcPr>
          <w:p w:rsidR="008C75DF" w:rsidRPr="00E9109B" w:rsidRDefault="008C75DF"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0.25</w:t>
            </w:r>
          </w:p>
        </w:tc>
      </w:tr>
      <w:tr w:rsidR="008C75DF" w:rsidRPr="00E9109B" w:rsidTr="00E9109B">
        <w:trPr>
          <w:trHeight w:val="255"/>
          <w:jc w:val="center"/>
        </w:trPr>
        <w:tc>
          <w:tcPr>
            <w:tcW w:w="2160" w:type="dxa"/>
            <w:tcBorders>
              <w:top w:val="nil"/>
              <w:left w:val="single" w:sz="4" w:space="0" w:color="auto"/>
              <w:bottom w:val="single" w:sz="4" w:space="0" w:color="auto"/>
              <w:right w:val="single" w:sz="4"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Ascorbyl 2 phosphate</w:t>
            </w:r>
          </w:p>
        </w:tc>
        <w:tc>
          <w:tcPr>
            <w:tcW w:w="112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85.15</w:t>
            </w:r>
            <w:r w:rsidRPr="00E9109B">
              <w:rPr>
                <w:rFonts w:ascii="Times New Roman" w:eastAsia="Times New Roman" w:hAnsi="Times New Roman"/>
                <w:sz w:val="14"/>
                <w:szCs w:val="14"/>
                <w:u w:val="single"/>
              </w:rPr>
              <w:t>+</w:t>
            </w:r>
            <w:r w:rsidRPr="00E9109B">
              <w:rPr>
                <w:rFonts w:ascii="Times New Roman" w:eastAsia="Times New Roman" w:hAnsi="Times New Roman"/>
                <w:sz w:val="14"/>
                <w:szCs w:val="14"/>
              </w:rPr>
              <w:t>20.64</w:t>
            </w:r>
          </w:p>
        </w:tc>
        <w:tc>
          <w:tcPr>
            <w:tcW w:w="1200" w:type="dxa"/>
            <w:tcBorders>
              <w:top w:val="nil"/>
              <w:left w:val="nil"/>
              <w:bottom w:val="single" w:sz="4" w:space="0" w:color="auto"/>
              <w:right w:val="single" w:sz="4" w:space="0" w:color="auto"/>
            </w:tcBorders>
            <w:shd w:val="clear" w:color="auto" w:fill="auto"/>
            <w:noWrap/>
            <w:vAlign w:val="center"/>
            <w:hideMark/>
          </w:tcPr>
          <w:p w:rsidR="008C75DF" w:rsidRPr="00E9109B" w:rsidRDefault="008C75DF"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0.95</w:t>
            </w:r>
          </w:p>
        </w:tc>
        <w:tc>
          <w:tcPr>
            <w:tcW w:w="1200" w:type="dxa"/>
            <w:tcBorders>
              <w:top w:val="nil"/>
              <w:left w:val="nil"/>
              <w:bottom w:val="single" w:sz="4" w:space="0" w:color="auto"/>
              <w:right w:val="single" w:sz="4" w:space="0" w:color="auto"/>
            </w:tcBorders>
            <w:vAlign w:val="center"/>
          </w:tcPr>
          <w:p w:rsidR="008C75DF" w:rsidRPr="00E9109B" w:rsidRDefault="008C75DF" w:rsidP="00E9109B">
            <w:pPr>
              <w:spacing w:after="0" w:line="240" w:lineRule="auto"/>
              <w:jc w:val="center"/>
              <w:rPr>
                <w:rFonts w:ascii="Times New Roman" w:eastAsia="Times New Roman" w:hAnsi="Times New Roman"/>
                <w:sz w:val="14"/>
                <w:szCs w:val="14"/>
              </w:rPr>
            </w:pPr>
            <w:r w:rsidRPr="00E9109B">
              <w:rPr>
                <w:rFonts w:ascii="Times New Roman" w:eastAsia="Times New Roman" w:hAnsi="Times New Roman"/>
                <w:sz w:val="14"/>
                <w:szCs w:val="14"/>
              </w:rPr>
              <w:t>0.15</w:t>
            </w:r>
          </w:p>
        </w:tc>
      </w:tr>
    </w:tbl>
    <w:p w:rsidR="008C75DF" w:rsidRPr="00712D48" w:rsidRDefault="008C75DF" w:rsidP="008C75DF">
      <w:pPr>
        <w:jc w:val="center"/>
        <w:rPr>
          <w:rFonts w:ascii="Times New Roman" w:hAnsi="Times New Roman"/>
        </w:rPr>
      </w:pPr>
    </w:p>
    <w:p w:rsidR="008C75DF" w:rsidRDefault="008C75DF" w:rsidP="008C75DF">
      <w:pPr>
        <w:spacing w:after="0" w:line="240" w:lineRule="auto"/>
        <w:rPr>
          <w:rFonts w:ascii="Times New Roman" w:hAnsi="Times New Roman"/>
          <w:b/>
          <w:sz w:val="24"/>
          <w:szCs w:val="24"/>
        </w:rPr>
      </w:pPr>
      <w:r>
        <w:rPr>
          <w:rFonts w:ascii="Times New Roman" w:hAnsi="Times New Roman"/>
          <w:b/>
        </w:rPr>
        <w:br w:type="page"/>
      </w:r>
      <w:r w:rsidR="00AA3EF2">
        <w:rPr>
          <w:rFonts w:ascii="Times New Roman" w:hAnsi="Times New Roman"/>
          <w:b/>
          <w:sz w:val="24"/>
          <w:szCs w:val="24"/>
        </w:rPr>
        <w:lastRenderedPageBreak/>
        <w:t>LITERATURE CITED</w:t>
      </w:r>
    </w:p>
    <w:p w:rsidR="00996BED" w:rsidRPr="00996BED" w:rsidRDefault="00996BED" w:rsidP="008C75DF">
      <w:pPr>
        <w:spacing w:after="0" w:line="240" w:lineRule="auto"/>
        <w:rPr>
          <w:rFonts w:ascii="Times New Roman" w:hAnsi="Times New Roman"/>
          <w:b/>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Ahmed J, Shivhare US &amp; Raghavan GSV. 2004. Thermal degradation kinetics of anthocyanin and visual colour of plum puree. European Food Research and Technology 218(6):525-528.</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Arabshahi A &amp; Lund DB. 1985. Considerations in calculating kinetic parameters from experimental data. Journal of Food P</w:t>
      </w:r>
      <w:r w:rsidR="00996BED">
        <w:rPr>
          <w:rFonts w:ascii="Times New Roman" w:hAnsi="Times New Roman"/>
          <w:noProof/>
          <w:sz w:val="24"/>
          <w:szCs w:val="24"/>
        </w:rPr>
        <w:t>rocess Engineering 7(4):239-251.</w:t>
      </w:r>
    </w:p>
    <w:p w:rsidR="00996BED" w:rsidRPr="00996BED" w:rsidRDefault="00996BED" w:rsidP="00996BED">
      <w:pPr>
        <w:spacing w:after="0" w:line="240" w:lineRule="auto"/>
        <w:jc w:val="both"/>
        <w:rPr>
          <w:rFonts w:ascii="Times New Roman" w:hAnsi="Times New Roman"/>
          <w:noProof/>
          <w:sz w:val="24"/>
          <w:szCs w:val="24"/>
        </w:rPr>
      </w:pPr>
    </w:p>
    <w:p w:rsidR="00996BED"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Assiry AM, Sastry SK &amp; Samaranayake CP. 2006. Influence of temperature, electrical conductivity, power and pH on ascorbic acid degradation kinetics during ohmic heating using stainless steel electrodes. Bioelectrochemistry 68(1):7-13.</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Austria R, Semenzato A &amp; Bettero A. 1997. Stability of vitamin C derivatives in solution and topical formulations. Journal of Pharmaceutical and Biomedical Analysis 15(6):795-801.</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Avila IMLB &amp; Silva CLM. 1999. Modelling kinetics of thermal degradation of colour in peach puree. Journal of Food Engineering 39:161-166.</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Barreiro JA, Milano M &amp; Sandoval AJ. 1997. Kinetics of colour change of double concentrated tomato paste during thermal treatment. Journal</w:t>
      </w:r>
      <w:r w:rsidR="00996BED">
        <w:rPr>
          <w:rFonts w:ascii="Times New Roman" w:hAnsi="Times New Roman"/>
          <w:noProof/>
          <w:sz w:val="24"/>
          <w:szCs w:val="24"/>
        </w:rPr>
        <w:t xml:space="preserve"> of Food Engineering 33:359-371.</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Buedo AP, Elustondo MP &amp; Urbicain MJ. 2000. Non-enzymatic browning of peach juice concentrate during storage. Innovative Food Science &amp; Emerging Technologies 1(4):255-260.</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Burdurlu HS, Koca N &amp; Karadeniz F. 2006. Degradation of vitamin C in citrus juice concentrates during storage. Journal of Food Engineering 74(2):211-216.</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Chutintrasri B &amp; Noomhorm A. 200</w:t>
      </w:r>
      <w:r w:rsidR="00CC7D02">
        <w:rPr>
          <w:rFonts w:ascii="Times New Roman" w:hAnsi="Times New Roman"/>
          <w:noProof/>
          <w:sz w:val="24"/>
          <w:szCs w:val="24"/>
        </w:rPr>
        <w:t>7</w:t>
      </w:r>
      <w:r w:rsidRPr="00996BED">
        <w:rPr>
          <w:rFonts w:ascii="Times New Roman" w:hAnsi="Times New Roman"/>
          <w:noProof/>
          <w:sz w:val="24"/>
          <w:szCs w:val="24"/>
        </w:rPr>
        <w:t>. Color degradation kinetics of pineapple puree during thermal processing. LWT--Food Science and Technology 40(2):300-306.</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Craig J, Bowers JA &amp; Seib P. 1991. Sodium tripolyphosphate and sodium ascorbate monophosphate as inhibitors of off-flavor development in cooked, vacuum-packaged, frozen turkey. Journal of Food Science 56(6):1529-1531, 1561.</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Craig JA, Bowers JA, Wang X-Y &amp; Seib PA. 1996. Inhibition of lipid oxidation in meats by inorganic phosphate and ascorbate salts. Journal of Food Science 61(5):1062-1067.</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Damasceno LF, Fernandes FAN, Magalhaes MMA &amp; Brito ES. 2007. Non-enzymatic browning in clarified cashew apple juice during thermal treatment: Kinetics and process control. Food Chemistry 106(1):172-179.</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 xml:space="preserve">Dave wilson nursery. Modesto, California:  Whole sale catalog: The Pluot®; (Accessed 2010 August 21). Available from: </w:t>
      </w:r>
      <w:hyperlink r:id="rId43" w:history="1">
        <w:r w:rsidRPr="00996BED">
          <w:rPr>
            <w:rStyle w:val="Hyperlink"/>
            <w:rFonts w:ascii="Times New Roman" w:hAnsi="Times New Roman"/>
            <w:noProof/>
            <w:sz w:val="24"/>
            <w:szCs w:val="24"/>
          </w:rPr>
          <w:t>http://www.davewilson.com/br40/br40_trees/pluot.html</w:t>
        </w:r>
      </w:hyperlink>
      <w:r w:rsidRPr="00996BED">
        <w:rPr>
          <w:rFonts w:ascii="Times New Roman" w:hAnsi="Times New Roman"/>
          <w:noProof/>
          <w:sz w:val="24"/>
          <w:szCs w:val="24"/>
        </w:rPr>
        <w:t xml:space="preserve"> Form of citation in text: (Dave wilson nursery 2010)</w:t>
      </w:r>
    </w:p>
    <w:p w:rsidR="00FB5E34" w:rsidRPr="00996BED" w:rsidRDefault="00FB5E34"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Fennema OR. 1996. Food chemistry.</w:t>
      </w:r>
      <w:r w:rsidRPr="00996BED">
        <w:rPr>
          <w:rFonts w:ascii="Times New Roman" w:hAnsi="Times New Roman"/>
          <w:i/>
          <w:noProof/>
          <w:sz w:val="24"/>
          <w:szCs w:val="24"/>
        </w:rPr>
        <w:t xml:space="preserve"> </w:t>
      </w:r>
      <w:r w:rsidRPr="00996BED">
        <w:rPr>
          <w:rFonts w:ascii="Times New Roman" w:hAnsi="Times New Roman"/>
          <w:noProof/>
          <w:sz w:val="24"/>
          <w:szCs w:val="24"/>
        </w:rPr>
        <w:t>New York: Marcel Dekker, Inc.</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Fermann R &amp; Gripp A. 2004. Stay-C 50-more than just stable vitamin C in your formulation. Cosmetics and Toiletries Manufacture Worldwide:153-157.</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 xml:space="preserve">Freedman L &amp; Francis FJ. 1984. Effect of ascorbic acid on color of jellies. Journal </w:t>
      </w:r>
      <w:r w:rsidR="00996BED">
        <w:rPr>
          <w:rFonts w:ascii="Times New Roman" w:hAnsi="Times New Roman"/>
          <w:noProof/>
          <w:sz w:val="24"/>
          <w:szCs w:val="24"/>
        </w:rPr>
        <w:t>of Food Science 49(4):1212-1213.</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Garza S, Ibarz A, Pagan J &amp; Giner J. 1999. Non-enzymatic browning in peach puree during heating. Food Research International 32(5):335-343.</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Gokmen V, Kahraman N, Demir N &amp; Acar J. 2000. Enzymatically validated liquid chromatographic method for the determination of ascorbic and dehydroascorbic acids in fruit and vegetables. Journal of Chromatography A 881(1+2):309-316.</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Gonçalves GMS, Campos M &amp; P.M.B.G. 2009. Shelf life and rheology of emulsions containing vitamin c and its derivatives. Journal of Basic and Applied Pharmaceutical Sciences 30(2):89-94.</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 xml:space="preserve">Hui YH. 2005. Handbook of </w:t>
      </w:r>
      <w:r w:rsidR="00020F05">
        <w:rPr>
          <w:rFonts w:ascii="Times New Roman" w:hAnsi="Times New Roman"/>
          <w:noProof/>
          <w:sz w:val="24"/>
          <w:szCs w:val="24"/>
        </w:rPr>
        <w:t>f</w:t>
      </w:r>
      <w:r w:rsidRPr="00996BED">
        <w:rPr>
          <w:rFonts w:ascii="Times New Roman" w:hAnsi="Times New Roman"/>
          <w:noProof/>
          <w:sz w:val="24"/>
          <w:szCs w:val="24"/>
        </w:rPr>
        <w:t xml:space="preserve">ood Science, </w:t>
      </w:r>
      <w:r w:rsidR="00020F05">
        <w:rPr>
          <w:rFonts w:ascii="Times New Roman" w:hAnsi="Times New Roman"/>
          <w:noProof/>
          <w:sz w:val="24"/>
          <w:szCs w:val="24"/>
        </w:rPr>
        <w:t>t</w:t>
      </w:r>
      <w:r w:rsidRPr="00996BED">
        <w:rPr>
          <w:rFonts w:ascii="Times New Roman" w:hAnsi="Times New Roman"/>
          <w:noProof/>
          <w:sz w:val="24"/>
          <w:szCs w:val="24"/>
        </w:rPr>
        <w:t xml:space="preserve">echnology, and </w:t>
      </w:r>
      <w:r w:rsidR="00020F05">
        <w:rPr>
          <w:rFonts w:ascii="Times New Roman" w:hAnsi="Times New Roman"/>
          <w:noProof/>
          <w:sz w:val="24"/>
          <w:szCs w:val="24"/>
        </w:rPr>
        <w:t>e</w:t>
      </w:r>
      <w:r w:rsidRPr="00996BED">
        <w:rPr>
          <w:rFonts w:ascii="Times New Roman" w:hAnsi="Times New Roman"/>
          <w:noProof/>
          <w:sz w:val="24"/>
          <w:szCs w:val="24"/>
        </w:rPr>
        <w:t>ngineering.</w:t>
      </w:r>
      <w:r w:rsidRPr="00996BED">
        <w:rPr>
          <w:rFonts w:ascii="Times New Roman" w:hAnsi="Times New Roman"/>
          <w:i/>
          <w:noProof/>
          <w:sz w:val="24"/>
          <w:szCs w:val="24"/>
        </w:rPr>
        <w:t xml:space="preserve"> </w:t>
      </w:r>
      <w:r w:rsidRPr="00996BED">
        <w:rPr>
          <w:rFonts w:ascii="Times New Roman" w:hAnsi="Times New Roman"/>
          <w:noProof/>
          <w:sz w:val="24"/>
          <w:szCs w:val="24"/>
        </w:rPr>
        <w:t>Boca Raton, Fl.: CRC Press. Taylor and Francis Group.</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Hui YH. 2006. Food biochemistry and food processing.</w:t>
      </w:r>
      <w:r w:rsidRPr="00996BED">
        <w:rPr>
          <w:rFonts w:ascii="Times New Roman" w:hAnsi="Times New Roman"/>
          <w:i/>
          <w:noProof/>
          <w:sz w:val="24"/>
          <w:szCs w:val="24"/>
        </w:rPr>
        <w:t xml:space="preserve"> </w:t>
      </w:r>
      <w:r w:rsidRPr="00996BED">
        <w:rPr>
          <w:rFonts w:ascii="Times New Roman" w:hAnsi="Times New Roman"/>
          <w:noProof/>
          <w:sz w:val="24"/>
          <w:szCs w:val="24"/>
        </w:rPr>
        <w:t>Ames, Iowa: Blackwell Pub. Professional.</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HunterLab. 2008. CIE L*a*b* Color Scale. Hunter Associates Laboratory, Inc</w:t>
      </w:r>
      <w:r w:rsidRPr="00996BED">
        <w:rPr>
          <w:rFonts w:ascii="Times New Roman" w:hAnsi="Times New Roman"/>
          <w:i/>
          <w:noProof/>
          <w:sz w:val="24"/>
          <w:szCs w:val="24"/>
        </w:rPr>
        <w:t>.</w:t>
      </w:r>
      <w:r w:rsidRPr="00996BED">
        <w:rPr>
          <w:rFonts w:ascii="Times New Roman" w:hAnsi="Times New Roman"/>
          <w:noProof/>
          <w:sz w:val="24"/>
          <w:szCs w:val="24"/>
        </w:rPr>
        <w:t xml:space="preserve"> Reston, VA.</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Iacobucci G &amp; Sweeny J, inventors; The Coca-Cola Company, assignee. 1980. Color stable food containing anthocyanic pigments and bio-available vitamin C and process of its production.</w:t>
      </w:r>
      <w:r w:rsidR="00996BED">
        <w:rPr>
          <w:rFonts w:ascii="Times New Roman" w:hAnsi="Times New Roman"/>
          <w:noProof/>
          <w:sz w:val="24"/>
          <w:szCs w:val="24"/>
        </w:rPr>
        <w:t xml:space="preserve"> United States patent 4,208,434.</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Ibarz A, Pagan J &amp; Garza S. 1999. Kinetic models for colour changes in pear puree during heating at relatively high temperatures. Journal of Food Engineering 39:415-422.</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Liao ML &amp; Seib PA. 1988. Chemistry of L-ascorbic acid related to foods. Food Chemistry 30(4):289-312.</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Lozano JE &amp; Ibarz A. 1996. Color changes in concentrated fruit pulp during heating at high temperatures. Journal of Food Engineering 31:365-373.</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Manso MC, Oliveira FAR, Oliveira JC &amp; Frias JM. 2001. Modelling ascorbic acid thermal degradation and browning in orange juice under aerobic conditions. International Journal of Food Science and Technology 36(3):303-312.</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O'Keefe T. 2001. Ascorbic acid and stable ascorbate esters as sources of vitamin C in aquaculture feeds. American Soybean Association (ASA).</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lastRenderedPageBreak/>
        <w:t>Odriozola-Serrano I, Soliva-Fortuny R, Gimeno-Ano V &amp; Martin-Belloso O. 2008. Modeling changes in health-related compounds of tomato juice treated by high-intensity pulsed electric field. Journal of Food Engineering 89:210-216.</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Oms-Oliu G, Odriozola-Serrano I, Soliva-Fortuny R &amp; Martin-Belloso O. 2009. Use of Weibull distribution for describing kinetics of antioxidant potential changes in fresh-cut watermelon. Journal of Food Engineering 95(1):99-105.</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Park H, Seib PA &amp; Chung OK. 1994. Stabilities of several forms of vitamin C during making and storing of pup-loaves of white pan bread. Cereal Chemistry 71(5):412-417.</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Poei-Langston MS &amp; Wrolstad RE. 1981. Color degradation in an ascorbic acid-anthocyanin-flavanol model system. Journal of Food Science 46(4):1218-1222, 1236.</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Rattanathanalerk M, Chiewchan N &amp; Srichumpoung W. 2005. Effect of thermal processing on the quality loss of pineapple juice. Journal of Food Engineering 66:259-265.</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Roig MG, Bello JF, Rivera ZS &amp; Kennedy JF. 2000. Studies on the occurrence of non-enzymic browning during storage of citrus juice. Food Research International 32(9):609-619.</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Rojas AM &amp; Gerschenson LN. 1997. Ascorbic acid destruction in sweet aqueous model systems. Food Science &amp; Technology (London) 30(6):567-572.</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Steskova A, Morochovicova M &amp; Leskova E. 2006. Vitamin C degradation during storage of fortified foods. Journal of Food and Nutrition Research 45(2):55-61.</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Van Boekel MAJS. 1996. Statistical aspects of kinetic modeling for food science problems. Journal of Food Science 61(3):477-485, 489.</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van Boekel MAJS. 2008. Kinetic modeling of food quality: a critical review. Comprehensive Reviews in Food Science and Food Safety 7(1):144-158.</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Wang XY, Kozempel MG, Hicks KB &amp; Seib PA. 1992. Vitamin C stability during preparation and storage of potato flakes and reconstituted mashed potatoes. Journal of Food Science 57(5):1136-1139.</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after="0" w:line="240" w:lineRule="auto"/>
        <w:jc w:val="both"/>
        <w:rPr>
          <w:rFonts w:ascii="Times New Roman" w:hAnsi="Times New Roman"/>
          <w:noProof/>
          <w:sz w:val="24"/>
          <w:szCs w:val="24"/>
        </w:rPr>
      </w:pPr>
      <w:r w:rsidRPr="00996BED">
        <w:rPr>
          <w:rFonts w:ascii="Times New Roman" w:hAnsi="Times New Roman"/>
          <w:noProof/>
          <w:sz w:val="24"/>
          <w:szCs w:val="24"/>
        </w:rPr>
        <w:t>Wang XY, Seib PA &amp; Ra KS. 1995. L-Ascorbic acid and its 2-phosphorylated derivatives in selected foods: vitamin C fortification and antioxidant properties. Journal of Food Science 60(6):1295-1300.</w:t>
      </w:r>
    </w:p>
    <w:p w:rsidR="00996BED" w:rsidRPr="00996BED" w:rsidRDefault="00996BED" w:rsidP="00996BED">
      <w:pPr>
        <w:spacing w:after="0" w:line="240" w:lineRule="auto"/>
        <w:jc w:val="both"/>
        <w:rPr>
          <w:rFonts w:ascii="Times New Roman" w:hAnsi="Times New Roman"/>
          <w:noProof/>
          <w:sz w:val="24"/>
          <w:szCs w:val="24"/>
        </w:rPr>
      </w:pPr>
    </w:p>
    <w:p w:rsidR="008C75DF" w:rsidRDefault="008C75DF" w:rsidP="00996BED">
      <w:pPr>
        <w:spacing w:line="240" w:lineRule="auto"/>
        <w:jc w:val="both"/>
        <w:rPr>
          <w:rFonts w:ascii="Times New Roman" w:hAnsi="Times New Roman"/>
          <w:noProof/>
          <w:sz w:val="24"/>
          <w:szCs w:val="24"/>
        </w:rPr>
      </w:pPr>
      <w:r w:rsidRPr="00996BED">
        <w:rPr>
          <w:rFonts w:ascii="Times New Roman" w:hAnsi="Times New Roman"/>
          <w:noProof/>
          <w:sz w:val="24"/>
          <w:szCs w:val="24"/>
        </w:rPr>
        <w:t>Wong D. 1989. Mechanism and theory in food chemistry.</w:t>
      </w:r>
      <w:r w:rsidRPr="00996BED">
        <w:rPr>
          <w:rFonts w:ascii="Times New Roman" w:hAnsi="Times New Roman"/>
          <w:i/>
          <w:noProof/>
          <w:sz w:val="24"/>
          <w:szCs w:val="24"/>
        </w:rPr>
        <w:t xml:space="preserve"> </w:t>
      </w:r>
      <w:r w:rsidRPr="00996BED">
        <w:rPr>
          <w:rFonts w:ascii="Times New Roman" w:hAnsi="Times New Roman"/>
          <w:noProof/>
          <w:sz w:val="24"/>
          <w:szCs w:val="24"/>
        </w:rPr>
        <w:t>New York: Van Nostrand Reinhold.</w:t>
      </w:r>
    </w:p>
    <w:p w:rsidR="00972B5D" w:rsidRDefault="00972B5D" w:rsidP="00996BED">
      <w:pPr>
        <w:spacing w:line="240" w:lineRule="auto"/>
        <w:jc w:val="both"/>
        <w:rPr>
          <w:rFonts w:ascii="Times New Roman" w:hAnsi="Times New Roman"/>
          <w:noProof/>
          <w:sz w:val="24"/>
          <w:szCs w:val="24"/>
        </w:rPr>
      </w:pPr>
    </w:p>
    <w:p w:rsidR="00972B5D" w:rsidRDefault="00972B5D" w:rsidP="00996BED">
      <w:pPr>
        <w:spacing w:line="240" w:lineRule="auto"/>
        <w:jc w:val="both"/>
        <w:rPr>
          <w:rFonts w:ascii="Times New Roman" w:hAnsi="Times New Roman"/>
          <w:noProof/>
          <w:sz w:val="24"/>
          <w:szCs w:val="24"/>
        </w:rPr>
      </w:pPr>
    </w:p>
    <w:p w:rsidR="00972B5D" w:rsidRDefault="00972B5D" w:rsidP="00996BED">
      <w:pPr>
        <w:spacing w:line="240" w:lineRule="auto"/>
        <w:jc w:val="both"/>
        <w:rPr>
          <w:rFonts w:ascii="Times New Roman" w:hAnsi="Times New Roman"/>
          <w:noProof/>
          <w:sz w:val="24"/>
          <w:szCs w:val="24"/>
        </w:rPr>
      </w:pPr>
    </w:p>
    <w:p w:rsidR="00B540A1" w:rsidRPr="00276E98" w:rsidRDefault="00B540A1" w:rsidP="00B540A1">
      <w:pPr>
        <w:pStyle w:val="ListParagraph"/>
        <w:spacing w:after="0" w:line="360" w:lineRule="auto"/>
        <w:ind w:left="0"/>
        <w:jc w:val="both"/>
        <w:rPr>
          <w:rFonts w:ascii="Times New Roman" w:hAnsi="Times New Roman"/>
          <w:b/>
          <w:sz w:val="24"/>
          <w:szCs w:val="24"/>
        </w:rPr>
      </w:pPr>
      <w:r>
        <w:rPr>
          <w:rFonts w:ascii="Times New Roman" w:hAnsi="Times New Roman"/>
          <w:b/>
          <w:sz w:val="24"/>
          <w:szCs w:val="24"/>
        </w:rPr>
        <w:lastRenderedPageBreak/>
        <w:t>CHAPTER 4: EFFECT OF L-ASCORBYL-</w:t>
      </w:r>
      <w:r w:rsidRPr="00276E98">
        <w:rPr>
          <w:rFonts w:ascii="Times New Roman" w:hAnsi="Times New Roman"/>
          <w:b/>
          <w:sz w:val="24"/>
          <w:szCs w:val="24"/>
        </w:rPr>
        <w:t>2-PHOSPHATE AND PYCNOGENOL ON THE QUALITY OF DICED PEACHES IN FLEXIBLE RETORTABLE POUCHES</w:t>
      </w:r>
    </w:p>
    <w:p w:rsidR="00B540A1" w:rsidRPr="00276E98" w:rsidRDefault="00B540A1" w:rsidP="00B540A1">
      <w:pPr>
        <w:pStyle w:val="ListParagraph"/>
        <w:spacing w:after="0" w:line="360" w:lineRule="auto"/>
        <w:ind w:left="0"/>
        <w:jc w:val="both"/>
        <w:rPr>
          <w:rFonts w:ascii="Times New Roman" w:hAnsi="Times New Roman"/>
          <w:b/>
          <w:sz w:val="24"/>
          <w:szCs w:val="24"/>
        </w:rPr>
      </w:pPr>
    </w:p>
    <w:p w:rsidR="00B540A1" w:rsidRPr="00276E98" w:rsidRDefault="00B540A1" w:rsidP="00B540A1">
      <w:pPr>
        <w:pStyle w:val="ListParagraph"/>
        <w:spacing w:after="0" w:line="360" w:lineRule="auto"/>
        <w:ind w:left="0"/>
        <w:jc w:val="both"/>
        <w:outlineLvl w:val="0"/>
        <w:rPr>
          <w:rFonts w:ascii="Times New Roman" w:hAnsi="Times New Roman"/>
          <w:b/>
          <w:sz w:val="24"/>
          <w:szCs w:val="24"/>
        </w:rPr>
      </w:pPr>
      <w:r w:rsidRPr="00276E98">
        <w:rPr>
          <w:rFonts w:ascii="Times New Roman" w:hAnsi="Times New Roman"/>
          <w:b/>
          <w:sz w:val="24"/>
          <w:szCs w:val="24"/>
        </w:rPr>
        <w:t>ABSTRACT</w:t>
      </w: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sz w:val="24"/>
          <w:szCs w:val="24"/>
        </w:rPr>
        <w:tab/>
        <w:t xml:space="preserve">Diced peaches in flexible retortable pouches have been identified as an area of concern due to the darkening produced by ascorbic acid degradation during storage. </w:t>
      </w:r>
      <w:r>
        <w:rPr>
          <w:rFonts w:ascii="Times New Roman" w:hAnsi="Times New Roman"/>
          <w:sz w:val="24"/>
          <w:szCs w:val="24"/>
        </w:rPr>
        <w:t xml:space="preserve"> </w:t>
      </w:r>
      <w:r w:rsidRPr="00276E98">
        <w:rPr>
          <w:rFonts w:ascii="Times New Roman" w:hAnsi="Times New Roman"/>
          <w:sz w:val="24"/>
          <w:szCs w:val="24"/>
        </w:rPr>
        <w:t>In order to delay these re</w:t>
      </w:r>
      <w:r>
        <w:rPr>
          <w:rFonts w:ascii="Times New Roman" w:hAnsi="Times New Roman"/>
          <w:sz w:val="24"/>
          <w:szCs w:val="24"/>
        </w:rPr>
        <w:t>actions, L-ascorbyl-2-phosphate was studied</w:t>
      </w:r>
      <w:r w:rsidRPr="00276E98">
        <w:rPr>
          <w:rFonts w:ascii="Times New Roman" w:hAnsi="Times New Roman"/>
          <w:sz w:val="24"/>
          <w:szCs w:val="24"/>
        </w:rPr>
        <w:t xml:space="preserve"> </w:t>
      </w:r>
      <w:r w:rsidR="001C5322">
        <w:rPr>
          <w:rFonts w:ascii="Times New Roman" w:hAnsi="Times New Roman"/>
          <w:sz w:val="24"/>
          <w:szCs w:val="24"/>
        </w:rPr>
        <w:t xml:space="preserve">as replacement of ascorbic acid; also, </w:t>
      </w:r>
      <w:r w:rsidRPr="00276E98">
        <w:rPr>
          <w:rFonts w:ascii="Times New Roman" w:hAnsi="Times New Roman"/>
          <w:sz w:val="24"/>
          <w:szCs w:val="24"/>
        </w:rPr>
        <w:t>different concentrations of Pycno</w:t>
      </w:r>
      <w:r>
        <w:rPr>
          <w:rFonts w:ascii="Times New Roman" w:hAnsi="Times New Roman"/>
          <w:sz w:val="24"/>
          <w:szCs w:val="24"/>
        </w:rPr>
        <w:t>genol were added to peaches</w:t>
      </w:r>
      <w:r w:rsidR="001C5322">
        <w:rPr>
          <w:rFonts w:ascii="Times New Roman" w:hAnsi="Times New Roman"/>
          <w:sz w:val="24"/>
          <w:szCs w:val="24"/>
        </w:rPr>
        <w:t xml:space="preserve"> due to its antioxidant properties</w:t>
      </w:r>
      <w:r w:rsidRPr="00276E98">
        <w:rPr>
          <w:rFonts w:ascii="Times New Roman" w:hAnsi="Times New Roman"/>
          <w:sz w:val="24"/>
          <w:szCs w:val="24"/>
        </w:rPr>
        <w:t xml:space="preserve">. </w:t>
      </w:r>
      <w:r>
        <w:rPr>
          <w:rFonts w:ascii="Times New Roman" w:hAnsi="Times New Roman"/>
          <w:sz w:val="24"/>
          <w:szCs w:val="24"/>
        </w:rPr>
        <w:t xml:space="preserve"> </w:t>
      </w:r>
      <w:r w:rsidRPr="00276E98">
        <w:rPr>
          <w:rFonts w:ascii="Times New Roman" w:hAnsi="Times New Roman"/>
          <w:sz w:val="24"/>
          <w:szCs w:val="24"/>
        </w:rPr>
        <w:t xml:space="preserve">L-ascorbyl-2-phosphate is a more stable form of vitamin C while Pycnogenol is a blend of flavonoids </w:t>
      </w:r>
      <w:r>
        <w:rPr>
          <w:rFonts w:ascii="Times New Roman" w:hAnsi="Times New Roman"/>
          <w:sz w:val="24"/>
          <w:szCs w:val="24"/>
        </w:rPr>
        <w:t>that</w:t>
      </w:r>
      <w:r w:rsidRPr="00276E98">
        <w:rPr>
          <w:rFonts w:ascii="Times New Roman" w:hAnsi="Times New Roman"/>
          <w:sz w:val="24"/>
          <w:szCs w:val="24"/>
        </w:rPr>
        <w:t xml:space="preserve"> have been suggested as </w:t>
      </w:r>
      <w:r>
        <w:rPr>
          <w:rFonts w:ascii="Times New Roman" w:hAnsi="Times New Roman"/>
          <w:sz w:val="24"/>
          <w:szCs w:val="24"/>
        </w:rPr>
        <w:t xml:space="preserve">an </w:t>
      </w:r>
      <w:r w:rsidRPr="00276E98">
        <w:rPr>
          <w:rFonts w:ascii="Times New Roman" w:hAnsi="Times New Roman"/>
          <w:sz w:val="24"/>
          <w:szCs w:val="24"/>
        </w:rPr>
        <w:t xml:space="preserve">inhibitor of ascorbic acid degradation. </w:t>
      </w:r>
      <w:r>
        <w:rPr>
          <w:rFonts w:ascii="Times New Roman" w:hAnsi="Times New Roman"/>
          <w:sz w:val="24"/>
          <w:szCs w:val="24"/>
        </w:rPr>
        <w:t xml:space="preserve"> </w:t>
      </w:r>
      <w:r w:rsidRPr="00276E98">
        <w:rPr>
          <w:rFonts w:ascii="Times New Roman" w:hAnsi="Times New Roman"/>
          <w:sz w:val="24"/>
          <w:szCs w:val="24"/>
        </w:rPr>
        <w:t xml:space="preserve">Samples were stored at 51°C and 40°C for six weeks and 12 weeks, respectively. </w:t>
      </w:r>
      <w:r>
        <w:rPr>
          <w:rFonts w:ascii="Times New Roman" w:hAnsi="Times New Roman"/>
          <w:sz w:val="24"/>
          <w:szCs w:val="24"/>
        </w:rPr>
        <w:t xml:space="preserve"> During storage</w:t>
      </w:r>
      <w:r w:rsidRPr="00276E98">
        <w:rPr>
          <w:rFonts w:ascii="Times New Roman" w:hAnsi="Times New Roman"/>
          <w:sz w:val="24"/>
          <w:szCs w:val="24"/>
        </w:rPr>
        <w:t xml:space="preserve">, vitamin C concentrations, color (CIELAB system) and browning index were measured at different periods of time.  Rate constants were calculated in order to compare the different treatments. </w:t>
      </w:r>
      <w:r>
        <w:rPr>
          <w:rFonts w:ascii="Times New Roman" w:hAnsi="Times New Roman"/>
          <w:sz w:val="24"/>
          <w:szCs w:val="24"/>
        </w:rPr>
        <w:t xml:space="preserve"> A </w:t>
      </w:r>
      <w:r w:rsidRPr="00276E98">
        <w:rPr>
          <w:rFonts w:ascii="Times New Roman" w:hAnsi="Times New Roman"/>
          <w:sz w:val="24"/>
          <w:szCs w:val="24"/>
        </w:rPr>
        <w:t>comple</w:t>
      </w:r>
      <w:r>
        <w:rPr>
          <w:rFonts w:ascii="Times New Roman" w:hAnsi="Times New Roman"/>
          <w:sz w:val="24"/>
          <w:szCs w:val="24"/>
        </w:rPr>
        <w:t>te factorial design was</w:t>
      </w:r>
      <w:r w:rsidRPr="00276E98">
        <w:rPr>
          <w:rFonts w:ascii="Times New Roman" w:hAnsi="Times New Roman"/>
          <w:sz w:val="24"/>
          <w:szCs w:val="24"/>
        </w:rPr>
        <w:t xml:space="preserve"> analyzed to determine any effect due to the Pycnogenol concentrations or Vitamin C type on the food systems.</w:t>
      </w:r>
      <w:r>
        <w:rPr>
          <w:rFonts w:ascii="Times New Roman" w:hAnsi="Times New Roman"/>
          <w:sz w:val="24"/>
          <w:szCs w:val="24"/>
        </w:rPr>
        <w:t xml:space="preserve">  </w:t>
      </w:r>
      <w:r w:rsidRPr="00276E98">
        <w:rPr>
          <w:rFonts w:ascii="Times New Roman" w:hAnsi="Times New Roman"/>
          <w:sz w:val="24"/>
          <w:szCs w:val="24"/>
        </w:rPr>
        <w:t>At 51°C, the rate constants were much higher than at 40°</w:t>
      </w:r>
      <w:r>
        <w:rPr>
          <w:rFonts w:ascii="Times New Roman" w:hAnsi="Times New Roman"/>
          <w:sz w:val="24"/>
          <w:szCs w:val="24"/>
        </w:rPr>
        <w:t xml:space="preserve">C.  At each temperature, all </w:t>
      </w:r>
      <w:r w:rsidRPr="00276E98">
        <w:rPr>
          <w:rFonts w:ascii="Times New Roman" w:hAnsi="Times New Roman"/>
          <w:sz w:val="24"/>
          <w:szCs w:val="24"/>
        </w:rPr>
        <w:t xml:space="preserve">treatments presented similar rate constants. </w:t>
      </w:r>
      <w:r>
        <w:rPr>
          <w:rFonts w:ascii="Times New Roman" w:hAnsi="Times New Roman"/>
          <w:sz w:val="24"/>
          <w:szCs w:val="24"/>
        </w:rPr>
        <w:t xml:space="preserve"> </w:t>
      </w:r>
      <w:r w:rsidRPr="00276E98">
        <w:rPr>
          <w:rFonts w:ascii="Times New Roman" w:hAnsi="Times New Roman"/>
          <w:sz w:val="24"/>
          <w:szCs w:val="24"/>
        </w:rPr>
        <w:t xml:space="preserve">Even though the complete factorial design presented some significant differences, these were not so defined to conclude that one treatment was better than the rest. </w:t>
      </w:r>
      <w:r>
        <w:rPr>
          <w:rFonts w:ascii="Times New Roman" w:hAnsi="Times New Roman"/>
          <w:sz w:val="24"/>
          <w:szCs w:val="24"/>
        </w:rPr>
        <w:t xml:space="preserve"> </w:t>
      </w:r>
      <w:r w:rsidRPr="00276E98">
        <w:rPr>
          <w:rFonts w:ascii="Times New Roman" w:hAnsi="Times New Roman"/>
          <w:sz w:val="24"/>
          <w:szCs w:val="24"/>
        </w:rPr>
        <w:t xml:space="preserve">In conclusion, neither the use of ascorbyl-2-phosphate nor Pycnogenol, under the studied conditions, showed an improvement </w:t>
      </w:r>
      <w:r>
        <w:rPr>
          <w:rFonts w:ascii="Times New Roman" w:hAnsi="Times New Roman"/>
          <w:sz w:val="24"/>
          <w:szCs w:val="24"/>
        </w:rPr>
        <w:t xml:space="preserve">in AA stability or color retention </w:t>
      </w:r>
      <w:r w:rsidRPr="00276E98">
        <w:rPr>
          <w:rFonts w:ascii="Times New Roman" w:hAnsi="Times New Roman"/>
          <w:sz w:val="24"/>
          <w:szCs w:val="24"/>
        </w:rPr>
        <w:t xml:space="preserve">during the storage. </w:t>
      </w:r>
    </w:p>
    <w:p w:rsidR="00B540A1" w:rsidRPr="00276E98" w:rsidRDefault="00B540A1" w:rsidP="00B540A1">
      <w:pPr>
        <w:pStyle w:val="ListParagraph"/>
        <w:spacing w:after="0" w:line="360" w:lineRule="auto"/>
        <w:ind w:left="0"/>
        <w:jc w:val="both"/>
        <w:rPr>
          <w:rFonts w:ascii="Times New Roman" w:hAnsi="Times New Roman"/>
          <w:b/>
          <w:sz w:val="24"/>
          <w:szCs w:val="24"/>
        </w:rPr>
      </w:pPr>
    </w:p>
    <w:p w:rsidR="00B540A1" w:rsidRPr="00276E98" w:rsidRDefault="00B540A1" w:rsidP="00B540A1">
      <w:pPr>
        <w:pStyle w:val="ListParagraph"/>
        <w:spacing w:after="0" w:line="360" w:lineRule="auto"/>
        <w:ind w:left="0"/>
        <w:jc w:val="both"/>
        <w:outlineLvl w:val="0"/>
        <w:rPr>
          <w:rFonts w:ascii="Times New Roman" w:hAnsi="Times New Roman"/>
          <w:b/>
          <w:sz w:val="24"/>
          <w:szCs w:val="24"/>
        </w:rPr>
      </w:pPr>
      <w:r w:rsidRPr="00276E98">
        <w:rPr>
          <w:rFonts w:ascii="Times New Roman" w:hAnsi="Times New Roman"/>
          <w:b/>
          <w:sz w:val="24"/>
          <w:szCs w:val="24"/>
        </w:rPr>
        <w:t>KEYWORDS</w:t>
      </w:r>
    </w:p>
    <w:p w:rsidR="00B540A1" w:rsidRPr="00276E98" w:rsidRDefault="00B540A1" w:rsidP="00B540A1">
      <w:pPr>
        <w:spacing w:after="0" w:line="360" w:lineRule="auto"/>
        <w:outlineLvl w:val="0"/>
        <w:rPr>
          <w:rFonts w:ascii="Times New Roman" w:hAnsi="Times New Roman"/>
          <w:b/>
          <w:sz w:val="24"/>
          <w:szCs w:val="24"/>
        </w:rPr>
      </w:pPr>
      <w:r w:rsidRPr="00276E98">
        <w:rPr>
          <w:rFonts w:ascii="Times New Roman" w:hAnsi="Times New Roman"/>
          <w:sz w:val="24"/>
          <w:szCs w:val="24"/>
        </w:rPr>
        <w:t xml:space="preserve">Ascorbic acid; Ascorbyl-2-phosphate; Non-enzymatic browning; Retortable pouches; Peaches; </w:t>
      </w:r>
    </w:p>
    <w:p w:rsidR="00B540A1" w:rsidRPr="00276E98" w:rsidRDefault="00B540A1" w:rsidP="00B540A1">
      <w:pPr>
        <w:spacing w:after="0" w:line="360" w:lineRule="auto"/>
        <w:rPr>
          <w:rFonts w:ascii="Times New Roman" w:hAnsi="Times New Roman"/>
          <w:b/>
          <w:sz w:val="24"/>
          <w:szCs w:val="24"/>
        </w:rPr>
      </w:pPr>
    </w:p>
    <w:p w:rsidR="00B540A1" w:rsidRDefault="00B540A1" w:rsidP="00B540A1">
      <w:pPr>
        <w:pStyle w:val="ListParagraph"/>
        <w:spacing w:after="0" w:line="360" w:lineRule="auto"/>
        <w:ind w:left="0"/>
        <w:jc w:val="both"/>
        <w:rPr>
          <w:rFonts w:ascii="Times New Roman" w:hAnsi="Times New Roman"/>
          <w:b/>
          <w:sz w:val="24"/>
          <w:szCs w:val="24"/>
        </w:rPr>
      </w:pPr>
    </w:p>
    <w:p w:rsidR="00B540A1" w:rsidRDefault="00B540A1" w:rsidP="00B540A1">
      <w:pPr>
        <w:pStyle w:val="ListParagraph"/>
        <w:spacing w:after="0" w:line="360" w:lineRule="auto"/>
        <w:ind w:left="0"/>
        <w:jc w:val="both"/>
        <w:rPr>
          <w:rFonts w:ascii="Times New Roman" w:hAnsi="Times New Roman"/>
          <w:b/>
          <w:sz w:val="24"/>
          <w:szCs w:val="24"/>
        </w:rPr>
      </w:pPr>
    </w:p>
    <w:p w:rsidR="00B540A1" w:rsidRDefault="00B540A1" w:rsidP="00B540A1">
      <w:pPr>
        <w:pStyle w:val="ListParagraph"/>
        <w:spacing w:after="0" w:line="360" w:lineRule="auto"/>
        <w:ind w:left="0"/>
        <w:jc w:val="both"/>
        <w:rPr>
          <w:rFonts w:ascii="Times New Roman" w:hAnsi="Times New Roman"/>
          <w:b/>
          <w:sz w:val="24"/>
          <w:szCs w:val="24"/>
        </w:rPr>
      </w:pPr>
    </w:p>
    <w:p w:rsidR="00B540A1" w:rsidRDefault="00B540A1" w:rsidP="00B540A1">
      <w:pPr>
        <w:pStyle w:val="ListParagraph"/>
        <w:spacing w:after="0" w:line="360" w:lineRule="auto"/>
        <w:ind w:left="0"/>
        <w:jc w:val="both"/>
        <w:rPr>
          <w:rFonts w:ascii="Times New Roman" w:hAnsi="Times New Roman"/>
          <w:b/>
          <w:sz w:val="24"/>
          <w:szCs w:val="24"/>
        </w:rPr>
      </w:pPr>
    </w:p>
    <w:p w:rsidR="00FB5E34" w:rsidRDefault="00FB5E34" w:rsidP="00B540A1">
      <w:pPr>
        <w:pStyle w:val="ListParagraph"/>
        <w:spacing w:after="0" w:line="360" w:lineRule="auto"/>
        <w:ind w:left="0"/>
        <w:jc w:val="both"/>
        <w:rPr>
          <w:rFonts w:ascii="Times New Roman" w:hAnsi="Times New Roman"/>
          <w:b/>
          <w:sz w:val="24"/>
          <w:szCs w:val="24"/>
        </w:rPr>
      </w:pPr>
    </w:p>
    <w:p w:rsidR="00FB5E34" w:rsidRPr="00276E98" w:rsidRDefault="00FB5E34" w:rsidP="00B540A1">
      <w:pPr>
        <w:pStyle w:val="ListParagraph"/>
        <w:spacing w:after="0" w:line="360" w:lineRule="auto"/>
        <w:ind w:left="0"/>
        <w:jc w:val="both"/>
        <w:rPr>
          <w:rFonts w:ascii="Times New Roman" w:hAnsi="Times New Roman"/>
          <w:b/>
          <w:sz w:val="24"/>
          <w:szCs w:val="24"/>
        </w:rPr>
      </w:pPr>
    </w:p>
    <w:p w:rsidR="00B540A1" w:rsidRDefault="00B540A1" w:rsidP="00B540A1">
      <w:pPr>
        <w:pStyle w:val="ListParagraph"/>
        <w:spacing w:after="0" w:line="360" w:lineRule="auto"/>
        <w:ind w:left="0"/>
        <w:jc w:val="both"/>
        <w:outlineLvl w:val="0"/>
        <w:rPr>
          <w:rFonts w:ascii="Times New Roman" w:hAnsi="Times New Roman"/>
          <w:b/>
          <w:sz w:val="24"/>
          <w:szCs w:val="24"/>
        </w:rPr>
      </w:pPr>
    </w:p>
    <w:p w:rsidR="00B540A1" w:rsidRPr="00276E98" w:rsidRDefault="00B540A1" w:rsidP="00B540A1">
      <w:pPr>
        <w:pStyle w:val="ListParagraph"/>
        <w:spacing w:after="0" w:line="360" w:lineRule="auto"/>
        <w:ind w:left="0"/>
        <w:jc w:val="both"/>
        <w:outlineLvl w:val="0"/>
        <w:rPr>
          <w:rFonts w:ascii="Times New Roman" w:hAnsi="Times New Roman"/>
          <w:b/>
          <w:sz w:val="24"/>
          <w:szCs w:val="24"/>
        </w:rPr>
      </w:pPr>
      <w:r w:rsidRPr="00276E98">
        <w:rPr>
          <w:rFonts w:ascii="Times New Roman" w:hAnsi="Times New Roman"/>
          <w:b/>
          <w:sz w:val="24"/>
          <w:szCs w:val="24"/>
        </w:rPr>
        <w:lastRenderedPageBreak/>
        <w:t>INTRODUCTION</w:t>
      </w: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sz w:val="24"/>
          <w:szCs w:val="24"/>
        </w:rPr>
        <w:tab/>
        <w:t xml:space="preserve">Ascorbic acid (AA) is frequently added to food products because of the importance of this vitamin in human health. </w:t>
      </w:r>
      <w:r>
        <w:rPr>
          <w:rFonts w:ascii="Times New Roman" w:hAnsi="Times New Roman"/>
          <w:sz w:val="24"/>
          <w:szCs w:val="24"/>
        </w:rPr>
        <w:t xml:space="preserve"> </w:t>
      </w:r>
      <w:r w:rsidRPr="00276E98">
        <w:rPr>
          <w:rFonts w:ascii="Times New Roman" w:hAnsi="Times New Roman"/>
          <w:sz w:val="24"/>
          <w:szCs w:val="24"/>
        </w:rPr>
        <w:t xml:space="preserve">However, due to the low stability of this compound, its lifetime is short. </w:t>
      </w:r>
      <w:r>
        <w:rPr>
          <w:rFonts w:ascii="Times New Roman" w:hAnsi="Times New Roman"/>
          <w:sz w:val="24"/>
          <w:szCs w:val="24"/>
        </w:rPr>
        <w:t xml:space="preserve"> </w:t>
      </w:r>
      <w:r w:rsidRPr="00276E98">
        <w:rPr>
          <w:rFonts w:ascii="Times New Roman" w:hAnsi="Times New Roman"/>
          <w:sz w:val="24"/>
          <w:szCs w:val="24"/>
        </w:rPr>
        <w:t xml:space="preserve">Not only </w:t>
      </w:r>
      <w:r>
        <w:rPr>
          <w:rFonts w:ascii="Times New Roman" w:hAnsi="Times New Roman"/>
          <w:sz w:val="24"/>
          <w:szCs w:val="24"/>
        </w:rPr>
        <w:t xml:space="preserve">is </w:t>
      </w:r>
      <w:r w:rsidRPr="00276E98">
        <w:rPr>
          <w:rFonts w:ascii="Times New Roman" w:hAnsi="Times New Roman"/>
          <w:sz w:val="24"/>
          <w:szCs w:val="24"/>
        </w:rPr>
        <w:t xml:space="preserve">AA degradation a concern in terms of loss of nutrients, but also in terms of appearance. </w:t>
      </w:r>
      <w:r>
        <w:rPr>
          <w:rFonts w:ascii="Times New Roman" w:hAnsi="Times New Roman"/>
          <w:sz w:val="24"/>
          <w:szCs w:val="24"/>
        </w:rPr>
        <w:t xml:space="preserve"> </w:t>
      </w:r>
      <w:r w:rsidRPr="00276E98">
        <w:rPr>
          <w:rFonts w:ascii="Times New Roman" w:hAnsi="Times New Roman"/>
          <w:sz w:val="24"/>
          <w:szCs w:val="24"/>
        </w:rPr>
        <w:t xml:space="preserve">In fact, non-enzymatic degradation involves reactions in </w:t>
      </w:r>
      <w:r w:rsidR="001C5322">
        <w:rPr>
          <w:rFonts w:ascii="Times New Roman" w:hAnsi="Times New Roman"/>
          <w:sz w:val="24"/>
          <w:szCs w:val="24"/>
        </w:rPr>
        <w:t>which</w:t>
      </w:r>
      <w:r w:rsidRPr="00276E98">
        <w:rPr>
          <w:rFonts w:ascii="Times New Roman" w:hAnsi="Times New Roman"/>
          <w:sz w:val="24"/>
          <w:szCs w:val="24"/>
        </w:rPr>
        <w:t xml:space="preserve"> brown pigments are developed. </w:t>
      </w:r>
      <w:r>
        <w:rPr>
          <w:rFonts w:ascii="Times New Roman" w:hAnsi="Times New Roman"/>
          <w:sz w:val="24"/>
          <w:szCs w:val="24"/>
        </w:rPr>
        <w:t xml:space="preserve"> </w:t>
      </w:r>
      <w:r w:rsidRPr="00276E98">
        <w:rPr>
          <w:rFonts w:ascii="Times New Roman" w:hAnsi="Times New Roman"/>
          <w:sz w:val="24"/>
          <w:szCs w:val="24"/>
        </w:rPr>
        <w:t xml:space="preserve">As a consequence, this type of browning has been studied in many food systems such as citrus juices, pears, fruit puree, fruit pulps, among others </w:t>
      </w:r>
      <w:r w:rsidRPr="00276E98">
        <w:rPr>
          <w:rFonts w:ascii="Times New Roman" w:hAnsi="Times New Roman"/>
          <w:noProof/>
          <w:sz w:val="24"/>
          <w:szCs w:val="24"/>
        </w:rPr>
        <w:t>(Roig and others 2000; Chutintrasri and Noomhorm 200</w:t>
      </w:r>
      <w:r w:rsidR="00CC7D02">
        <w:rPr>
          <w:rFonts w:ascii="Times New Roman" w:hAnsi="Times New Roman"/>
          <w:noProof/>
          <w:sz w:val="24"/>
          <w:szCs w:val="24"/>
        </w:rPr>
        <w:t>7</w:t>
      </w:r>
      <w:r w:rsidRPr="00276E98">
        <w:rPr>
          <w:rFonts w:ascii="Times New Roman" w:hAnsi="Times New Roman"/>
          <w:noProof/>
          <w:sz w:val="24"/>
          <w:szCs w:val="24"/>
        </w:rPr>
        <w:t>; Ibarz and others 1999; Garza and others 1999; Lozano and Ibarz 1996; Buglione and Lozano 2002)</w:t>
      </w:r>
      <w:r w:rsidRPr="00276E98">
        <w:rPr>
          <w:rFonts w:ascii="Times New Roman" w:hAnsi="Times New Roman"/>
          <w:sz w:val="24"/>
          <w:szCs w:val="24"/>
        </w:rPr>
        <w:t xml:space="preserve">. </w:t>
      </w:r>
      <w:r>
        <w:rPr>
          <w:rFonts w:ascii="Times New Roman" w:hAnsi="Times New Roman"/>
          <w:sz w:val="24"/>
          <w:szCs w:val="24"/>
        </w:rPr>
        <w:t xml:space="preserve"> One of the products that </w:t>
      </w:r>
      <w:proofErr w:type="gramStart"/>
      <w:r>
        <w:rPr>
          <w:rFonts w:ascii="Times New Roman" w:hAnsi="Times New Roman"/>
          <w:sz w:val="24"/>
          <w:szCs w:val="24"/>
        </w:rPr>
        <w:t>has</w:t>
      </w:r>
      <w:proofErr w:type="gramEnd"/>
      <w:r w:rsidRPr="00276E98">
        <w:rPr>
          <w:rFonts w:ascii="Times New Roman" w:hAnsi="Times New Roman"/>
          <w:sz w:val="24"/>
          <w:szCs w:val="24"/>
        </w:rPr>
        <w:t xml:space="preserve"> been identified as an area of concern is diced peaches in syrup packaged in retortable pouches </w:t>
      </w:r>
      <w:r w:rsidRPr="00276E98">
        <w:rPr>
          <w:rFonts w:ascii="Times New Roman" w:hAnsi="Times New Roman"/>
          <w:noProof/>
          <w:sz w:val="24"/>
          <w:szCs w:val="24"/>
        </w:rPr>
        <w:t>(Mount and others 2007)</w:t>
      </w:r>
      <w:r w:rsidRPr="00276E98">
        <w:rPr>
          <w:rFonts w:ascii="Times New Roman" w:hAnsi="Times New Roman"/>
          <w:sz w:val="24"/>
          <w:szCs w:val="24"/>
        </w:rPr>
        <w:t>.</w:t>
      </w:r>
    </w:p>
    <w:p w:rsidR="00B540A1" w:rsidRPr="00276E98" w:rsidRDefault="00B540A1" w:rsidP="00B540A1">
      <w:pPr>
        <w:pStyle w:val="ListParagraph"/>
        <w:spacing w:after="0" w:line="360" w:lineRule="auto"/>
        <w:ind w:left="0"/>
        <w:jc w:val="both"/>
        <w:rPr>
          <w:rFonts w:ascii="Times New Roman" w:hAnsi="Times New Roman"/>
          <w:sz w:val="24"/>
          <w:szCs w:val="24"/>
        </w:rPr>
      </w:pP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sz w:val="24"/>
          <w:szCs w:val="24"/>
        </w:rPr>
        <w:tab/>
        <w:t xml:space="preserve">The retort pouch package was invented and introduced by the US Army Natick Laboratory. </w:t>
      </w:r>
      <w:r>
        <w:rPr>
          <w:rFonts w:ascii="Times New Roman" w:hAnsi="Times New Roman"/>
          <w:sz w:val="24"/>
          <w:szCs w:val="24"/>
        </w:rPr>
        <w:t xml:space="preserve"> </w:t>
      </w:r>
      <w:r w:rsidRPr="00276E98">
        <w:rPr>
          <w:rFonts w:ascii="Times New Roman" w:hAnsi="Times New Roman"/>
          <w:sz w:val="24"/>
          <w:szCs w:val="24"/>
        </w:rPr>
        <w:t xml:space="preserve">This type of package was developed as a replacement for the metal can due to the advantages that pouches offer. </w:t>
      </w:r>
      <w:r>
        <w:rPr>
          <w:rFonts w:ascii="Times New Roman" w:hAnsi="Times New Roman"/>
          <w:sz w:val="24"/>
          <w:szCs w:val="24"/>
        </w:rPr>
        <w:t xml:space="preserve"> </w:t>
      </w:r>
      <w:r w:rsidRPr="00276E98">
        <w:rPr>
          <w:rFonts w:ascii="Times New Roman" w:hAnsi="Times New Roman"/>
          <w:sz w:val="24"/>
          <w:szCs w:val="24"/>
        </w:rPr>
        <w:t>For example, retort p</w:t>
      </w:r>
      <w:r>
        <w:rPr>
          <w:rFonts w:ascii="Times New Roman" w:hAnsi="Times New Roman"/>
          <w:sz w:val="24"/>
          <w:szCs w:val="24"/>
        </w:rPr>
        <w:t>ouches are soft containers that</w:t>
      </w:r>
      <w:r w:rsidRPr="00276E98">
        <w:rPr>
          <w:rFonts w:ascii="Times New Roman" w:hAnsi="Times New Roman"/>
          <w:sz w:val="24"/>
          <w:szCs w:val="24"/>
        </w:rPr>
        <w:t xml:space="preserve"> do not injure soldiers when the food is carried in pockets. </w:t>
      </w:r>
      <w:r>
        <w:rPr>
          <w:rFonts w:ascii="Times New Roman" w:hAnsi="Times New Roman"/>
          <w:sz w:val="24"/>
          <w:szCs w:val="24"/>
        </w:rPr>
        <w:t xml:space="preserve"> </w:t>
      </w:r>
      <w:r w:rsidRPr="00276E98">
        <w:rPr>
          <w:rFonts w:ascii="Times New Roman" w:hAnsi="Times New Roman"/>
          <w:sz w:val="24"/>
          <w:szCs w:val="24"/>
        </w:rPr>
        <w:t xml:space="preserve">Also, since retort pouches are thin packages, the length of heat treatment is reduced; consequently, the sensory quality of food is </w:t>
      </w:r>
      <w:r>
        <w:rPr>
          <w:rFonts w:ascii="Times New Roman" w:hAnsi="Times New Roman"/>
          <w:sz w:val="24"/>
          <w:szCs w:val="24"/>
        </w:rPr>
        <w:t>not</w:t>
      </w:r>
      <w:r w:rsidRPr="00276E98">
        <w:rPr>
          <w:rFonts w:ascii="Times New Roman" w:hAnsi="Times New Roman"/>
          <w:sz w:val="24"/>
          <w:szCs w:val="24"/>
        </w:rPr>
        <w:t xml:space="preserve"> affected </w:t>
      </w:r>
      <w:r>
        <w:rPr>
          <w:rFonts w:ascii="Times New Roman" w:hAnsi="Times New Roman"/>
          <w:sz w:val="24"/>
          <w:szCs w:val="24"/>
        </w:rPr>
        <w:t>as much</w:t>
      </w:r>
      <w:r w:rsidRPr="00276E98">
        <w:rPr>
          <w:rFonts w:ascii="Times New Roman" w:hAnsi="Times New Roman"/>
          <w:sz w:val="24"/>
          <w:szCs w:val="24"/>
        </w:rPr>
        <w:t xml:space="preserve"> as in metal cans </w:t>
      </w:r>
      <w:r w:rsidRPr="00276E98">
        <w:rPr>
          <w:rFonts w:ascii="Times New Roman" w:hAnsi="Times New Roman"/>
          <w:noProof/>
          <w:sz w:val="24"/>
          <w:szCs w:val="24"/>
        </w:rPr>
        <w:t>(Clark 2009)</w:t>
      </w:r>
      <w:r w:rsidRPr="00276E98">
        <w:rPr>
          <w:rFonts w:ascii="Times New Roman" w:hAnsi="Times New Roman"/>
          <w:sz w:val="24"/>
          <w:szCs w:val="24"/>
        </w:rPr>
        <w:t xml:space="preserve">. </w:t>
      </w:r>
      <w:r>
        <w:rPr>
          <w:rFonts w:ascii="Times New Roman" w:hAnsi="Times New Roman"/>
          <w:sz w:val="24"/>
          <w:szCs w:val="24"/>
        </w:rPr>
        <w:t xml:space="preserve"> </w:t>
      </w:r>
      <w:r w:rsidRPr="00276E98">
        <w:rPr>
          <w:rFonts w:ascii="Times New Roman" w:hAnsi="Times New Roman"/>
          <w:sz w:val="24"/>
          <w:szCs w:val="24"/>
        </w:rPr>
        <w:t>As a result, nowadays the US army uses these containers to send rations in different parts of the world.</w:t>
      </w:r>
      <w:r>
        <w:rPr>
          <w:rFonts w:ascii="Times New Roman" w:hAnsi="Times New Roman"/>
          <w:sz w:val="24"/>
          <w:szCs w:val="24"/>
        </w:rPr>
        <w:t xml:space="preserve">  Even though retort pouches solve</w:t>
      </w:r>
      <w:r w:rsidRPr="00276E98">
        <w:rPr>
          <w:rFonts w:ascii="Times New Roman" w:hAnsi="Times New Roman"/>
          <w:sz w:val="24"/>
          <w:szCs w:val="24"/>
        </w:rPr>
        <w:t xml:space="preserve"> </w:t>
      </w:r>
      <w:r>
        <w:rPr>
          <w:rFonts w:ascii="Times New Roman" w:hAnsi="Times New Roman"/>
          <w:sz w:val="24"/>
          <w:szCs w:val="24"/>
        </w:rPr>
        <w:t>some of the problems in soldier</w:t>
      </w:r>
      <w:r w:rsidRPr="00276E98">
        <w:rPr>
          <w:rFonts w:ascii="Times New Roman" w:hAnsi="Times New Roman"/>
          <w:sz w:val="24"/>
          <w:szCs w:val="24"/>
        </w:rPr>
        <w:t>s</w:t>
      </w:r>
      <w:r>
        <w:rPr>
          <w:rFonts w:ascii="Times New Roman" w:hAnsi="Times New Roman"/>
          <w:sz w:val="24"/>
          <w:szCs w:val="24"/>
        </w:rPr>
        <w:t>'</w:t>
      </w:r>
      <w:r w:rsidRPr="00276E98">
        <w:rPr>
          <w:rFonts w:ascii="Times New Roman" w:hAnsi="Times New Roman"/>
          <w:sz w:val="24"/>
          <w:szCs w:val="24"/>
        </w:rPr>
        <w:t xml:space="preserve"> rations, there are several </w:t>
      </w:r>
      <w:r>
        <w:rPr>
          <w:rFonts w:ascii="Times New Roman" w:hAnsi="Times New Roman"/>
          <w:sz w:val="24"/>
          <w:szCs w:val="24"/>
        </w:rPr>
        <w:t>problems that</w:t>
      </w:r>
      <w:r w:rsidRPr="00276E98">
        <w:rPr>
          <w:rFonts w:ascii="Times New Roman" w:hAnsi="Times New Roman"/>
          <w:sz w:val="24"/>
          <w:szCs w:val="24"/>
        </w:rPr>
        <w:t xml:space="preserve"> are still under study. </w:t>
      </w:r>
      <w:r>
        <w:rPr>
          <w:rFonts w:ascii="Times New Roman" w:hAnsi="Times New Roman"/>
          <w:sz w:val="24"/>
          <w:szCs w:val="24"/>
        </w:rPr>
        <w:t xml:space="preserve"> </w:t>
      </w:r>
      <w:r w:rsidRPr="00276E98">
        <w:rPr>
          <w:rFonts w:ascii="Times New Roman" w:hAnsi="Times New Roman"/>
          <w:sz w:val="24"/>
          <w:szCs w:val="24"/>
        </w:rPr>
        <w:t>In fact, the stability of food products</w:t>
      </w:r>
      <w:r>
        <w:rPr>
          <w:rFonts w:ascii="Times New Roman" w:hAnsi="Times New Roman"/>
          <w:sz w:val="24"/>
          <w:szCs w:val="24"/>
        </w:rPr>
        <w:t xml:space="preserve"> </w:t>
      </w:r>
      <w:r w:rsidRPr="00276E98">
        <w:rPr>
          <w:rFonts w:ascii="Times New Roman" w:hAnsi="Times New Roman"/>
          <w:sz w:val="24"/>
          <w:szCs w:val="24"/>
        </w:rPr>
        <w:t xml:space="preserve">is still a challenge for food scientists, especially when </w:t>
      </w:r>
      <w:r>
        <w:rPr>
          <w:rFonts w:ascii="Times New Roman" w:hAnsi="Times New Roman"/>
          <w:sz w:val="24"/>
          <w:szCs w:val="24"/>
        </w:rPr>
        <w:t>refrigeration is not available</w:t>
      </w:r>
      <w:r w:rsidRPr="00276E98">
        <w:rPr>
          <w:rFonts w:ascii="Times New Roman" w:hAnsi="Times New Roman"/>
          <w:sz w:val="24"/>
          <w:szCs w:val="24"/>
        </w:rPr>
        <w:t>.</w:t>
      </w:r>
      <w:r>
        <w:rPr>
          <w:rFonts w:ascii="Times New Roman" w:hAnsi="Times New Roman"/>
          <w:sz w:val="24"/>
          <w:szCs w:val="24"/>
        </w:rPr>
        <w:t xml:space="preserve"> </w:t>
      </w:r>
      <w:r w:rsidRPr="00276E98">
        <w:rPr>
          <w:rFonts w:ascii="Times New Roman" w:hAnsi="Times New Roman"/>
          <w:sz w:val="24"/>
          <w:szCs w:val="24"/>
        </w:rPr>
        <w:t xml:space="preserve"> For instance, diced peaches in syrup </w:t>
      </w:r>
      <w:r>
        <w:rPr>
          <w:rFonts w:ascii="Times New Roman" w:hAnsi="Times New Roman"/>
          <w:sz w:val="24"/>
          <w:szCs w:val="24"/>
        </w:rPr>
        <w:t xml:space="preserve">were once part of </w:t>
      </w:r>
      <w:r w:rsidRPr="00276E98">
        <w:rPr>
          <w:rFonts w:ascii="Times New Roman" w:hAnsi="Times New Roman"/>
          <w:sz w:val="24"/>
          <w:szCs w:val="24"/>
        </w:rPr>
        <w:t>soldier</w:t>
      </w:r>
      <w:r>
        <w:rPr>
          <w:rFonts w:ascii="Times New Roman" w:hAnsi="Times New Roman"/>
          <w:sz w:val="24"/>
          <w:szCs w:val="24"/>
        </w:rPr>
        <w:t>s' rations</w:t>
      </w:r>
      <w:r w:rsidRPr="00276E98">
        <w:rPr>
          <w:rFonts w:ascii="Times New Roman" w:hAnsi="Times New Roman"/>
          <w:sz w:val="24"/>
          <w:szCs w:val="24"/>
        </w:rPr>
        <w:t xml:space="preserve">; however, due to the darkening developed during storage, this item </w:t>
      </w:r>
      <w:r>
        <w:rPr>
          <w:rFonts w:ascii="Times New Roman" w:hAnsi="Times New Roman"/>
          <w:sz w:val="24"/>
          <w:szCs w:val="24"/>
        </w:rPr>
        <w:t xml:space="preserve">was </w:t>
      </w:r>
      <w:r w:rsidRPr="00276E98">
        <w:rPr>
          <w:rFonts w:ascii="Times New Roman" w:hAnsi="Times New Roman"/>
          <w:sz w:val="24"/>
          <w:szCs w:val="24"/>
        </w:rPr>
        <w:t xml:space="preserve">removed. </w:t>
      </w:r>
      <w:r>
        <w:rPr>
          <w:rFonts w:ascii="Times New Roman" w:hAnsi="Times New Roman"/>
          <w:sz w:val="24"/>
          <w:szCs w:val="24"/>
        </w:rPr>
        <w:t xml:space="preserve"> </w:t>
      </w:r>
      <w:r w:rsidRPr="00276E98">
        <w:rPr>
          <w:rFonts w:ascii="Times New Roman" w:hAnsi="Times New Roman"/>
          <w:sz w:val="24"/>
          <w:szCs w:val="24"/>
        </w:rPr>
        <w:t xml:space="preserve">Just a few studies involving non-enzymatic browning of food products manufactured in retort pouches have been published until now </w:t>
      </w:r>
      <w:r w:rsidRPr="00276E98">
        <w:rPr>
          <w:rFonts w:ascii="Times New Roman" w:hAnsi="Times New Roman"/>
          <w:noProof/>
          <w:sz w:val="24"/>
          <w:szCs w:val="24"/>
        </w:rPr>
        <w:t>(Clark and others 2002; Kluter and others 1996; Kluter and others 1994; Olivas and others 2002; Rodriguez and others 2003)</w:t>
      </w:r>
      <w:r w:rsidRPr="00276E98">
        <w:rPr>
          <w:rFonts w:ascii="Times New Roman" w:hAnsi="Times New Roman"/>
          <w:sz w:val="24"/>
          <w:szCs w:val="24"/>
        </w:rPr>
        <w:t xml:space="preserve">. </w:t>
      </w:r>
    </w:p>
    <w:p w:rsidR="00B540A1" w:rsidRPr="00276E98" w:rsidRDefault="00B540A1" w:rsidP="00B540A1">
      <w:pPr>
        <w:pStyle w:val="ListParagraph"/>
        <w:spacing w:after="0" w:line="360" w:lineRule="auto"/>
        <w:ind w:left="0"/>
        <w:jc w:val="both"/>
        <w:rPr>
          <w:rFonts w:ascii="Times New Roman" w:hAnsi="Times New Roman"/>
          <w:sz w:val="24"/>
          <w:szCs w:val="24"/>
        </w:rPr>
      </w:pP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sz w:val="24"/>
          <w:szCs w:val="24"/>
        </w:rPr>
        <w:tab/>
        <w:t xml:space="preserve">One method to avoid or delay non-enzymatic browning due to AA degradation is the use of plant-derived flavonoids.  Flavonoids are secondary plant metabolites </w:t>
      </w:r>
      <w:r>
        <w:rPr>
          <w:rFonts w:ascii="Times New Roman" w:hAnsi="Times New Roman"/>
          <w:sz w:val="24"/>
          <w:szCs w:val="24"/>
        </w:rPr>
        <w:t>and</w:t>
      </w:r>
      <w:r w:rsidRPr="00276E98">
        <w:rPr>
          <w:rFonts w:ascii="Times New Roman" w:hAnsi="Times New Roman"/>
          <w:sz w:val="24"/>
          <w:szCs w:val="24"/>
        </w:rPr>
        <w:t xml:space="preserve"> have been shown to have good antioxidant properties, due to their free radical scavenging and metal chelation activities.  In fact, their protective role against ascorbic acid degradation has been </w:t>
      </w:r>
      <w:r>
        <w:rPr>
          <w:rFonts w:ascii="Times New Roman" w:hAnsi="Times New Roman"/>
          <w:sz w:val="24"/>
          <w:szCs w:val="24"/>
        </w:rPr>
        <w:t>known since 1936, when Szent-Gy</w:t>
      </w:r>
      <w:r w:rsidRPr="0018731D">
        <w:rPr>
          <w:rFonts w:ascii="Times New Roman" w:hAnsi="Times New Roman"/>
          <w:color w:val="000000"/>
          <w:sz w:val="24"/>
          <w:szCs w:val="24"/>
        </w:rPr>
        <w:t>ö</w:t>
      </w:r>
      <w:r w:rsidRPr="00276E98">
        <w:rPr>
          <w:rFonts w:ascii="Times New Roman" w:hAnsi="Times New Roman"/>
          <w:sz w:val="24"/>
          <w:szCs w:val="24"/>
        </w:rPr>
        <w:t xml:space="preserve">rgyi and coworkers found that flavonoids, at that time called Vitamin P, </w:t>
      </w:r>
      <w:r w:rsidRPr="00276E98">
        <w:rPr>
          <w:rFonts w:ascii="Times New Roman" w:hAnsi="Times New Roman"/>
          <w:sz w:val="24"/>
          <w:szCs w:val="24"/>
        </w:rPr>
        <w:lastRenderedPageBreak/>
        <w:t xml:space="preserve">had an ascorbate protective role </w:t>
      </w:r>
      <w:r w:rsidRPr="00276E98">
        <w:rPr>
          <w:rFonts w:ascii="Times New Roman" w:hAnsi="Times New Roman"/>
          <w:noProof/>
          <w:sz w:val="24"/>
          <w:szCs w:val="24"/>
        </w:rPr>
        <w:t>(Rice-Evans and Packer 1998)</w:t>
      </w:r>
      <w:r w:rsidRPr="00276E98">
        <w:rPr>
          <w:rFonts w:ascii="Times New Roman" w:hAnsi="Times New Roman"/>
          <w:sz w:val="24"/>
          <w:szCs w:val="24"/>
        </w:rPr>
        <w:t xml:space="preserve">.  Subsequently, research </w:t>
      </w:r>
      <w:r w:rsidRPr="00276E98">
        <w:rPr>
          <w:rFonts w:ascii="Times New Roman" w:hAnsi="Times New Roman"/>
          <w:i/>
          <w:sz w:val="24"/>
          <w:szCs w:val="24"/>
        </w:rPr>
        <w:t>in-vitro</w:t>
      </w:r>
      <w:r w:rsidRPr="00276E98">
        <w:rPr>
          <w:rFonts w:ascii="Times New Roman" w:hAnsi="Times New Roman"/>
          <w:sz w:val="24"/>
          <w:szCs w:val="24"/>
        </w:rPr>
        <w:t xml:space="preserve"> has confirmed this protective role </w:t>
      </w:r>
      <w:r w:rsidRPr="00276E98">
        <w:rPr>
          <w:rFonts w:ascii="Times New Roman" w:hAnsi="Times New Roman"/>
          <w:noProof/>
          <w:sz w:val="24"/>
          <w:szCs w:val="24"/>
        </w:rPr>
        <w:t>(Bors and others 1995; Rice-Evans and Packer 1998; Sivonova and others 2006; Cossins and others 1998)</w:t>
      </w:r>
      <w:r w:rsidRPr="00276E98">
        <w:rPr>
          <w:rFonts w:ascii="Times New Roman" w:hAnsi="Times New Roman"/>
          <w:sz w:val="24"/>
          <w:szCs w:val="24"/>
        </w:rPr>
        <w:t>.  Among the flavonoids, a blend of procyanidns and phenolic acid glycosylation products, which is sold under the name of Pycnogenol, has</w:t>
      </w:r>
      <w:r>
        <w:rPr>
          <w:rFonts w:ascii="Times New Roman" w:hAnsi="Times New Roman"/>
          <w:sz w:val="24"/>
          <w:szCs w:val="24"/>
        </w:rPr>
        <w:t xml:space="preserve"> been</w:t>
      </w:r>
      <w:r w:rsidRPr="00276E98">
        <w:rPr>
          <w:rFonts w:ascii="Times New Roman" w:hAnsi="Times New Roman"/>
          <w:sz w:val="24"/>
          <w:szCs w:val="24"/>
        </w:rPr>
        <w:t xml:space="preserve"> demonstrated to have a better ascorbate protective activity than other flavonoids.  Pycnogenol is a tradename for an extract of pine bark developed originally by French scientist, Jack Masquelieer </w:t>
      </w:r>
      <w:r w:rsidRPr="00276E98">
        <w:rPr>
          <w:rFonts w:ascii="Times New Roman" w:hAnsi="Times New Roman"/>
          <w:noProof/>
          <w:sz w:val="24"/>
          <w:szCs w:val="24"/>
        </w:rPr>
        <w:t>(Masquelier 1987)</w:t>
      </w:r>
      <w:r w:rsidRPr="00276E98">
        <w:rPr>
          <w:rFonts w:ascii="Times New Roman" w:hAnsi="Times New Roman"/>
          <w:sz w:val="24"/>
          <w:szCs w:val="24"/>
        </w:rPr>
        <w:t xml:space="preserve">.  In fact, there is evidence which suggest that Pycnogenol regenerates ascorbate radical from dehydroascorbic acid </w:t>
      </w:r>
      <w:r w:rsidRPr="00276E98">
        <w:rPr>
          <w:rFonts w:ascii="Times New Roman" w:hAnsi="Times New Roman"/>
          <w:noProof/>
          <w:sz w:val="24"/>
          <w:szCs w:val="24"/>
        </w:rPr>
        <w:t xml:space="preserve">(Cossins </w:t>
      </w:r>
      <w:r>
        <w:rPr>
          <w:rFonts w:ascii="Times New Roman" w:hAnsi="Times New Roman"/>
          <w:noProof/>
          <w:sz w:val="24"/>
          <w:szCs w:val="24"/>
        </w:rPr>
        <w:t>and others</w:t>
      </w:r>
      <w:r w:rsidRPr="00276E98">
        <w:rPr>
          <w:rFonts w:ascii="Times New Roman" w:hAnsi="Times New Roman"/>
          <w:noProof/>
          <w:sz w:val="24"/>
          <w:szCs w:val="24"/>
        </w:rPr>
        <w:t xml:space="preserve"> 1998)</w:t>
      </w:r>
      <w:r w:rsidRPr="00276E98">
        <w:rPr>
          <w:rFonts w:ascii="Times New Roman" w:hAnsi="Times New Roman"/>
          <w:sz w:val="24"/>
          <w:szCs w:val="24"/>
        </w:rPr>
        <w:t>:</w:t>
      </w:r>
      <w:r w:rsidRPr="00276E98">
        <w:rPr>
          <w:rFonts w:ascii="Times New Roman" w:hAnsi="Times New Roman"/>
          <w:sz w:val="24"/>
          <w:szCs w:val="24"/>
        </w:rPr>
        <w:tab/>
        <w:t xml:space="preserve"> </w:t>
      </w:r>
    </w:p>
    <w:p w:rsidR="00B540A1" w:rsidRPr="00276E98" w:rsidRDefault="00B540A1" w:rsidP="00B540A1">
      <w:pPr>
        <w:pStyle w:val="ListParagraph"/>
        <w:spacing w:after="0" w:line="360" w:lineRule="auto"/>
        <w:ind w:left="0"/>
        <w:jc w:val="both"/>
        <w:rPr>
          <w:rFonts w:ascii="Times New Roman" w:hAnsi="Times New Roman"/>
          <w:sz w:val="24"/>
          <w:szCs w:val="24"/>
        </w:rPr>
      </w:pPr>
    </w:p>
    <w:p w:rsidR="00B540A1" w:rsidRPr="00276E98" w:rsidRDefault="00B540A1" w:rsidP="00B540A1">
      <w:pPr>
        <w:pStyle w:val="ListParagraph"/>
        <w:spacing w:after="0" w:line="360" w:lineRule="auto"/>
        <w:jc w:val="center"/>
        <w:rPr>
          <w:rFonts w:ascii="Times New Roman" w:hAnsi="Times New Roman"/>
          <w:color w:val="FF0000"/>
          <w:sz w:val="24"/>
          <w:szCs w:val="24"/>
        </w:rPr>
      </w:pPr>
      <m:oMathPara>
        <m:oMath>
          <m:r>
            <w:rPr>
              <w:rFonts w:ascii="Cambria Math" w:hAnsi="Cambria Math"/>
              <w:sz w:val="24"/>
              <w:szCs w:val="24"/>
            </w:rPr>
            <m:t>FlOH+DHA↔FlO˙ˉ+Asc˙ˉ+2H⁺</m:t>
          </m:r>
        </m:oMath>
      </m:oMathPara>
    </w:p>
    <w:p w:rsidR="00B540A1" w:rsidRPr="00276E98" w:rsidRDefault="00B540A1" w:rsidP="00B540A1">
      <w:pPr>
        <w:pStyle w:val="ListParagraph"/>
        <w:spacing w:after="0" w:line="360" w:lineRule="auto"/>
        <w:ind w:left="0" w:firstLine="720"/>
        <w:jc w:val="both"/>
        <w:rPr>
          <w:rFonts w:ascii="Times New Roman" w:hAnsi="Times New Roman"/>
          <w:sz w:val="24"/>
          <w:szCs w:val="24"/>
        </w:rPr>
      </w:pPr>
    </w:p>
    <w:p w:rsidR="00B540A1" w:rsidRPr="00276E98" w:rsidRDefault="00B540A1" w:rsidP="00B540A1">
      <w:pPr>
        <w:pStyle w:val="ListParagraph"/>
        <w:spacing w:after="0" w:line="360" w:lineRule="auto"/>
        <w:ind w:left="0" w:firstLine="720"/>
        <w:jc w:val="both"/>
        <w:rPr>
          <w:rFonts w:ascii="Times New Roman" w:hAnsi="Times New Roman"/>
          <w:sz w:val="24"/>
          <w:szCs w:val="24"/>
        </w:rPr>
      </w:pPr>
      <w:r w:rsidRPr="00276E98">
        <w:rPr>
          <w:rFonts w:ascii="Times New Roman" w:hAnsi="Times New Roman"/>
          <w:sz w:val="24"/>
          <w:szCs w:val="24"/>
        </w:rPr>
        <w:t xml:space="preserve">Most research on Pycnogenol has focused on its antimicrobial and antioxidant properties </w:t>
      </w:r>
      <w:r w:rsidRPr="00276E98">
        <w:rPr>
          <w:rFonts w:ascii="Times New Roman" w:hAnsi="Times New Roman"/>
          <w:noProof/>
          <w:sz w:val="24"/>
          <w:szCs w:val="24"/>
        </w:rPr>
        <w:t>(Ahn and others 2006; Torras and others 2005)</w:t>
      </w:r>
      <w:r w:rsidRPr="00276E98">
        <w:rPr>
          <w:rFonts w:ascii="Times New Roman" w:hAnsi="Times New Roman"/>
          <w:sz w:val="24"/>
          <w:szCs w:val="24"/>
        </w:rPr>
        <w:t xml:space="preserve">.  One study in yogurt demonstrated the stability of Pycnogenol during storage in this acid product </w:t>
      </w:r>
      <w:r w:rsidRPr="00276E98">
        <w:rPr>
          <w:rFonts w:ascii="Times New Roman" w:hAnsi="Times New Roman"/>
          <w:noProof/>
          <w:sz w:val="24"/>
          <w:szCs w:val="24"/>
        </w:rPr>
        <w:t>(Ruggeri and others 2008)</w:t>
      </w:r>
      <w:r w:rsidRPr="00276E98">
        <w:rPr>
          <w:rFonts w:ascii="Times New Roman" w:hAnsi="Times New Roman"/>
          <w:sz w:val="24"/>
          <w:szCs w:val="24"/>
        </w:rPr>
        <w:t xml:space="preserve">.  Even though the ascorbate protective role of Pycnogenol was noted more than one decade ago </w:t>
      </w:r>
      <w:r w:rsidRPr="00276E98">
        <w:rPr>
          <w:rFonts w:ascii="Times New Roman" w:hAnsi="Times New Roman"/>
          <w:noProof/>
          <w:sz w:val="24"/>
          <w:szCs w:val="24"/>
        </w:rPr>
        <w:t xml:space="preserve">(Cossins </w:t>
      </w:r>
      <w:r>
        <w:rPr>
          <w:rFonts w:ascii="Times New Roman" w:hAnsi="Times New Roman"/>
          <w:noProof/>
          <w:sz w:val="24"/>
          <w:szCs w:val="24"/>
        </w:rPr>
        <w:t>and others</w:t>
      </w:r>
      <w:r w:rsidRPr="00276E98">
        <w:rPr>
          <w:rFonts w:ascii="Times New Roman" w:hAnsi="Times New Roman"/>
          <w:noProof/>
          <w:sz w:val="24"/>
          <w:szCs w:val="24"/>
        </w:rPr>
        <w:t xml:space="preserve"> 1998)</w:t>
      </w:r>
      <w:r w:rsidRPr="00276E98">
        <w:rPr>
          <w:rFonts w:ascii="Times New Roman" w:hAnsi="Times New Roman"/>
          <w:sz w:val="24"/>
          <w:szCs w:val="24"/>
        </w:rPr>
        <w:t xml:space="preserve">, Pycnogenol has not been evaluated as a potential additive to avoid ascorbic acid degradation in food products. </w:t>
      </w:r>
    </w:p>
    <w:p w:rsidR="00B540A1" w:rsidRPr="00276E98" w:rsidRDefault="00B540A1" w:rsidP="00B540A1">
      <w:pPr>
        <w:pStyle w:val="ListParagraph"/>
        <w:spacing w:after="0" w:line="360" w:lineRule="auto"/>
        <w:jc w:val="both"/>
        <w:rPr>
          <w:rFonts w:ascii="Times New Roman" w:hAnsi="Times New Roman"/>
          <w:color w:val="FF0000"/>
          <w:sz w:val="24"/>
          <w:szCs w:val="24"/>
        </w:rPr>
      </w:pPr>
    </w:p>
    <w:p w:rsidR="00B540A1" w:rsidRPr="00276E98" w:rsidRDefault="00B540A1" w:rsidP="00B540A1">
      <w:pPr>
        <w:pStyle w:val="ListParagraph"/>
        <w:spacing w:after="0" w:line="360" w:lineRule="auto"/>
        <w:ind w:left="0" w:firstLine="720"/>
        <w:jc w:val="both"/>
        <w:rPr>
          <w:rFonts w:ascii="Times New Roman" w:hAnsi="Times New Roman"/>
          <w:sz w:val="24"/>
          <w:szCs w:val="24"/>
        </w:rPr>
      </w:pPr>
      <w:r w:rsidRPr="00276E98">
        <w:rPr>
          <w:rFonts w:ascii="Times New Roman" w:hAnsi="Times New Roman"/>
          <w:sz w:val="24"/>
          <w:szCs w:val="24"/>
        </w:rPr>
        <w:t xml:space="preserve">Another way to avoid or delay AA degradation is to use more stable ascorbic acid derivatives.  It is known that AA derivatives with substituted groups at carbon 2 and carbon 3 have improved stability </w:t>
      </w:r>
      <w:r w:rsidRPr="00276E98">
        <w:rPr>
          <w:rFonts w:ascii="Times New Roman" w:hAnsi="Times New Roman"/>
          <w:noProof/>
          <w:sz w:val="24"/>
          <w:szCs w:val="24"/>
        </w:rPr>
        <w:t>(Iacobucci and Sweeny 1980)</w:t>
      </w:r>
      <w:r w:rsidRPr="00276E98">
        <w:rPr>
          <w:rFonts w:ascii="Times New Roman" w:hAnsi="Times New Roman"/>
          <w:sz w:val="24"/>
          <w:szCs w:val="24"/>
        </w:rPr>
        <w:t xml:space="preserve">.  One of the derivatives which </w:t>
      </w:r>
      <w:proofErr w:type="gramStart"/>
      <w:r w:rsidRPr="00276E98">
        <w:rPr>
          <w:rFonts w:ascii="Times New Roman" w:hAnsi="Times New Roman"/>
          <w:sz w:val="24"/>
          <w:szCs w:val="24"/>
        </w:rPr>
        <w:t>has</w:t>
      </w:r>
      <w:proofErr w:type="gramEnd"/>
      <w:r w:rsidRPr="00276E98">
        <w:rPr>
          <w:rFonts w:ascii="Times New Roman" w:hAnsi="Times New Roman"/>
          <w:sz w:val="24"/>
          <w:szCs w:val="24"/>
        </w:rPr>
        <w:t xml:space="preserve"> shown good resul</w:t>
      </w:r>
      <w:r>
        <w:rPr>
          <w:rFonts w:ascii="Times New Roman" w:hAnsi="Times New Roman"/>
          <w:sz w:val="24"/>
          <w:szCs w:val="24"/>
        </w:rPr>
        <w:t>ts is ascorbyl-2-phosphate (A2P)</w:t>
      </w:r>
      <w:r w:rsidRPr="00276E98">
        <w:rPr>
          <w:rFonts w:ascii="Times New Roman" w:hAnsi="Times New Roman"/>
          <w:sz w:val="24"/>
          <w:szCs w:val="24"/>
        </w:rPr>
        <w:t xml:space="preserve"> </w:t>
      </w:r>
      <w:r w:rsidRPr="00276E98">
        <w:rPr>
          <w:rFonts w:ascii="Times New Roman" w:hAnsi="Times New Roman"/>
          <w:noProof/>
          <w:sz w:val="24"/>
          <w:szCs w:val="24"/>
        </w:rPr>
        <w:t>(O'Keefe 2001)</w:t>
      </w:r>
      <w:r w:rsidRPr="00276E98">
        <w:rPr>
          <w:rFonts w:ascii="Times New Roman" w:hAnsi="Times New Roman"/>
          <w:sz w:val="24"/>
          <w:szCs w:val="24"/>
        </w:rPr>
        <w:t xml:space="preserve">.  For example, in carbonated beverages, A2P and ascorbyl-2-polyphosphate (A2PP) had better stability than AA at 15°C, 25°C and 35°C </w:t>
      </w:r>
      <w:r w:rsidRPr="00276E98">
        <w:rPr>
          <w:rFonts w:ascii="Times New Roman" w:hAnsi="Times New Roman"/>
          <w:noProof/>
          <w:sz w:val="24"/>
          <w:szCs w:val="24"/>
        </w:rPr>
        <w:t>(Wang and others 1992)</w:t>
      </w:r>
      <w:r w:rsidRPr="00276E98">
        <w:rPr>
          <w:rFonts w:ascii="Times New Roman" w:hAnsi="Times New Roman"/>
          <w:sz w:val="24"/>
          <w:szCs w:val="24"/>
        </w:rPr>
        <w:t xml:space="preserve">.  In mashed potatoes after processing and storage, the losses of AA and A2P were 50% and 20%, respectively </w:t>
      </w:r>
      <w:r w:rsidRPr="00276E98">
        <w:rPr>
          <w:rFonts w:ascii="Times New Roman" w:hAnsi="Times New Roman"/>
          <w:noProof/>
          <w:sz w:val="24"/>
          <w:szCs w:val="24"/>
        </w:rPr>
        <w:t>(Wang and others 1995)</w:t>
      </w:r>
      <w:r w:rsidRPr="00276E98">
        <w:rPr>
          <w:rFonts w:ascii="Times New Roman" w:hAnsi="Times New Roman"/>
          <w:sz w:val="24"/>
          <w:szCs w:val="24"/>
        </w:rPr>
        <w:t xml:space="preserve">.  In addition, higher stability of A2P has been shown in cosmetics and aquatic feeds </w:t>
      </w:r>
      <w:r w:rsidRPr="00276E98">
        <w:rPr>
          <w:rFonts w:ascii="Times New Roman" w:hAnsi="Times New Roman"/>
          <w:noProof/>
          <w:sz w:val="24"/>
          <w:szCs w:val="24"/>
        </w:rPr>
        <w:t>(O'Keefe 2001; Austria and others 1997)</w:t>
      </w:r>
      <w:r w:rsidRPr="00276E98">
        <w:rPr>
          <w:rFonts w:ascii="Times New Roman" w:hAnsi="Times New Roman"/>
          <w:sz w:val="24"/>
          <w:szCs w:val="24"/>
        </w:rPr>
        <w:t xml:space="preserve">.  Furthermore, there are studies in animals which show that A2P and AA have the same bioavailability </w:t>
      </w:r>
      <w:r w:rsidRPr="00276E98">
        <w:rPr>
          <w:rFonts w:ascii="Times New Roman" w:hAnsi="Times New Roman"/>
          <w:noProof/>
          <w:sz w:val="24"/>
          <w:szCs w:val="24"/>
        </w:rPr>
        <w:t>(O'Keefe 2001)</w:t>
      </w:r>
      <w:r>
        <w:rPr>
          <w:rFonts w:ascii="Times New Roman" w:hAnsi="Times New Roman"/>
          <w:noProof/>
          <w:sz w:val="24"/>
          <w:szCs w:val="24"/>
        </w:rPr>
        <w:t>.</w:t>
      </w:r>
      <w:r w:rsidRPr="00276E98">
        <w:rPr>
          <w:rFonts w:ascii="Times New Roman" w:hAnsi="Times New Roman"/>
          <w:color w:val="FF0000"/>
          <w:sz w:val="24"/>
          <w:szCs w:val="24"/>
        </w:rPr>
        <w:t xml:space="preserve">  </w:t>
      </w:r>
      <w:r w:rsidRPr="00276E98">
        <w:rPr>
          <w:rFonts w:ascii="Times New Roman" w:hAnsi="Times New Roman"/>
          <w:sz w:val="24"/>
          <w:szCs w:val="24"/>
        </w:rPr>
        <w:t>Even though this AA derivative still does not have approval for food use, A2P has reportedly higher stability in different model systems and is, thus, of great interest, as a replacement for AA in foods.</w:t>
      </w:r>
    </w:p>
    <w:p w:rsidR="00B540A1" w:rsidRPr="00276E98" w:rsidRDefault="00B540A1" w:rsidP="00B540A1">
      <w:pPr>
        <w:spacing w:after="0" w:line="360" w:lineRule="auto"/>
        <w:jc w:val="both"/>
        <w:rPr>
          <w:rFonts w:ascii="Times New Roman" w:eastAsia="Calibri" w:hAnsi="Times New Roman" w:cs="Times New Roman"/>
          <w:b/>
          <w:sz w:val="24"/>
          <w:szCs w:val="24"/>
        </w:rPr>
      </w:pPr>
      <w:r w:rsidRPr="00276E98">
        <w:rPr>
          <w:rFonts w:ascii="Times New Roman" w:eastAsia="Calibri" w:hAnsi="Times New Roman" w:cs="Times New Roman"/>
          <w:b/>
          <w:sz w:val="24"/>
          <w:szCs w:val="24"/>
        </w:rPr>
        <w:lastRenderedPageBreak/>
        <w:tab/>
      </w:r>
      <w:r w:rsidRPr="00276E98">
        <w:rPr>
          <w:rFonts w:ascii="Times New Roman" w:hAnsi="Times New Roman"/>
          <w:sz w:val="24"/>
          <w:szCs w:val="24"/>
        </w:rPr>
        <w:t>The objective of this research was to study the effect of Pycnogenol (0%, 0.01% and 0.1%) and form of vitamin C (AA and A2P) on the quality of diced peaches in syrup packaged in retortable pouches during storage at 51°C and 40°C.  To achieve this goal, we measured vitamin C content, color parameters (CIELAB system) and browning index at different periods of time during 6 weeks and 12 weeks at 51 and 40°C, respectively.  We applied different kinetic models to obtain accurate kinetic parameters and to make comparisons among treatments.</w:t>
      </w:r>
    </w:p>
    <w:p w:rsidR="00B540A1" w:rsidRPr="00276E98" w:rsidRDefault="00B540A1" w:rsidP="00B540A1">
      <w:pPr>
        <w:pStyle w:val="ListParagraph"/>
        <w:spacing w:after="0" w:line="360" w:lineRule="auto"/>
        <w:ind w:left="0"/>
        <w:jc w:val="both"/>
        <w:rPr>
          <w:rFonts w:ascii="Times New Roman" w:hAnsi="Times New Roman"/>
          <w:b/>
          <w:sz w:val="24"/>
          <w:szCs w:val="24"/>
        </w:rPr>
      </w:pPr>
    </w:p>
    <w:p w:rsidR="00B540A1" w:rsidRPr="00276E98" w:rsidRDefault="00B540A1" w:rsidP="00B540A1">
      <w:pPr>
        <w:pStyle w:val="ListParagraph"/>
        <w:spacing w:after="0" w:line="360" w:lineRule="auto"/>
        <w:ind w:left="0"/>
        <w:jc w:val="both"/>
        <w:outlineLvl w:val="0"/>
        <w:rPr>
          <w:rFonts w:ascii="Times New Roman" w:hAnsi="Times New Roman"/>
          <w:b/>
          <w:sz w:val="24"/>
          <w:szCs w:val="24"/>
        </w:rPr>
      </w:pPr>
      <w:r w:rsidRPr="00276E98">
        <w:rPr>
          <w:rFonts w:ascii="Times New Roman" w:hAnsi="Times New Roman"/>
          <w:b/>
          <w:sz w:val="24"/>
          <w:szCs w:val="24"/>
        </w:rPr>
        <w:t>MATERIALS AND METHODS</w:t>
      </w:r>
    </w:p>
    <w:p w:rsidR="00B540A1" w:rsidRPr="00276E98" w:rsidRDefault="00B540A1" w:rsidP="00B540A1">
      <w:pPr>
        <w:pStyle w:val="ListParagraph"/>
        <w:spacing w:after="0" w:line="360" w:lineRule="auto"/>
        <w:ind w:left="0" w:firstLine="720"/>
        <w:jc w:val="both"/>
        <w:rPr>
          <w:rFonts w:ascii="Times New Roman" w:hAnsi="Times New Roman"/>
          <w:sz w:val="24"/>
          <w:szCs w:val="24"/>
        </w:rPr>
      </w:pPr>
      <w:r w:rsidRPr="00276E98">
        <w:rPr>
          <w:rFonts w:ascii="Times New Roman" w:hAnsi="Times New Roman"/>
          <w:sz w:val="24"/>
          <w:szCs w:val="24"/>
        </w:rPr>
        <w:t xml:space="preserve">Freestone yellow peaches produced in California (USA) were used.  The peaches were cut into halves, lye peeled (82°C/ 3% w/v NaOH aq. for 5 min), rinsed and pitted.  The peaches were diced into 0.5cm cubes.  To avoid enzymatic browning, as soon as the peaches were diced, they were dipped in a citric acid (1% w/v)-ascorbic acid (58ppm)-sucrose (11% w/v) solution for no more than 5 min.  The effectiveness of this solution as enzymatic browning inhibitor was validated in preliminary work (this solution delayed the browning for one hour at room temperature). </w:t>
      </w:r>
    </w:p>
    <w:p w:rsidR="00B540A1" w:rsidRPr="00276E98" w:rsidRDefault="00B540A1" w:rsidP="00B540A1">
      <w:pPr>
        <w:pStyle w:val="ListParagraph"/>
        <w:spacing w:after="0" w:line="360" w:lineRule="auto"/>
        <w:ind w:left="0" w:firstLine="567"/>
        <w:jc w:val="both"/>
        <w:rPr>
          <w:rFonts w:ascii="Times New Roman" w:hAnsi="Times New Roman"/>
          <w:color w:val="FF0000"/>
          <w:sz w:val="24"/>
          <w:szCs w:val="24"/>
        </w:rPr>
      </w:pPr>
    </w:p>
    <w:p w:rsidR="00B540A1" w:rsidRPr="00C825E6" w:rsidRDefault="00B540A1" w:rsidP="00B540A1">
      <w:pPr>
        <w:pStyle w:val="ListParagraph"/>
        <w:spacing w:after="0" w:line="360" w:lineRule="auto"/>
        <w:ind w:left="0" w:firstLine="720"/>
        <w:jc w:val="both"/>
        <w:rPr>
          <w:rFonts w:ascii="Times New Roman" w:hAnsi="Times New Roman"/>
          <w:sz w:val="24"/>
          <w:szCs w:val="24"/>
        </w:rPr>
      </w:pPr>
      <w:r w:rsidRPr="00C825E6">
        <w:rPr>
          <w:rFonts w:ascii="Times New Roman" w:hAnsi="Times New Roman"/>
          <w:sz w:val="24"/>
          <w:szCs w:val="24"/>
        </w:rPr>
        <w:t>In each retort pouch, 105 grams of diced peaches with 35 grams of syrup were added (ratio peaches</w:t>
      </w:r>
      <w:proofErr w:type="gramStart"/>
      <w:r w:rsidRPr="00C825E6">
        <w:rPr>
          <w:rFonts w:ascii="Times New Roman" w:hAnsi="Times New Roman"/>
          <w:sz w:val="24"/>
          <w:szCs w:val="24"/>
        </w:rPr>
        <w:t>:syrup</w:t>
      </w:r>
      <w:proofErr w:type="gramEnd"/>
      <w:r w:rsidRPr="00C825E6">
        <w:rPr>
          <w:rFonts w:ascii="Times New Roman" w:hAnsi="Times New Roman"/>
          <w:sz w:val="24"/>
          <w:szCs w:val="24"/>
        </w:rPr>
        <w:t xml:space="preserve"> was 3:1</w:t>
      </w:r>
      <w:r>
        <w:rPr>
          <w:rFonts w:ascii="Times New Roman" w:hAnsi="Times New Roman"/>
          <w:sz w:val="24"/>
          <w:szCs w:val="24"/>
        </w:rPr>
        <w:t>, w/w</w:t>
      </w:r>
      <w:r w:rsidRPr="00C825E6">
        <w:rPr>
          <w:rFonts w:ascii="Times New Roman" w:hAnsi="Times New Roman"/>
          <w:sz w:val="24"/>
          <w:szCs w:val="24"/>
        </w:rPr>
        <w:t>).  Six syrup treatments were prepared.  The first was composed of calcium chloride (0.5% w/v aq.), sugar (47° Brix), and AA (1.5x10</w:t>
      </w:r>
      <w:r w:rsidRPr="00C825E6">
        <w:rPr>
          <w:rFonts w:ascii="Times New Roman" w:hAnsi="Times New Roman"/>
          <w:sz w:val="24"/>
          <w:szCs w:val="24"/>
          <w:vertAlign w:val="superscript"/>
        </w:rPr>
        <w:t>-2</w:t>
      </w:r>
      <w:r w:rsidRPr="00C825E6">
        <w:rPr>
          <w:rFonts w:ascii="Times New Roman" w:hAnsi="Times New Roman"/>
          <w:sz w:val="24"/>
          <w:szCs w:val="24"/>
        </w:rPr>
        <w:t xml:space="preserve"> M).  The second and third had the same composition with in addition 0.04% and 0.4% w/v Pycnogenol (Horphag Research, Hoboken, NJ), respectively.  Finally, the last three syrups were as the same as the first three except that instead of AA (Fisher Scientific, Pittsburgh, PA), A2P trisodium salt (Sigma-Aldrich, St. Louis, MO) was used.  The amounts of sugar and vitamin C in the syrups were calculated in order to achieve final concentrations after equilibrium in each pouch of 18°Brix and 4x10</w:t>
      </w:r>
      <w:r w:rsidRPr="00C825E6">
        <w:rPr>
          <w:rFonts w:ascii="Times New Roman" w:hAnsi="Times New Roman"/>
          <w:sz w:val="24"/>
          <w:szCs w:val="24"/>
          <w:vertAlign w:val="superscript"/>
        </w:rPr>
        <w:t>-3</w:t>
      </w:r>
      <w:r w:rsidRPr="00C825E6">
        <w:rPr>
          <w:rFonts w:ascii="Times New Roman" w:hAnsi="Times New Roman"/>
          <w:sz w:val="24"/>
          <w:szCs w:val="24"/>
        </w:rPr>
        <w:t xml:space="preserve"> M, respectively.  The Pycnogenol concentrations in syrups (0.04% and 0.4%) were calculated to obtain final concentrations in the pouches of 0.01% and 0.1%, respectively.  The retort pouches (Cadillac products, Paris, Illinois) were sealed using a Multivac Sealing Machine (Kansas City, MO) adjusted at 80 mbar of vacuum.  After sealing, the pouches were retorted until reaching an F-value of 6.3 min (T=100°C, z=10°C).  The pouches were stored for 1 week at 4°C.  After this time, they were divided in two groups: the first group was stored at 51°C for 6 weeks, and the second was stored at 40°C for 12 weeks.  Pouches stored at 51°C were </w:t>
      </w:r>
      <w:r w:rsidRPr="00C825E6">
        <w:rPr>
          <w:rFonts w:ascii="Times New Roman" w:hAnsi="Times New Roman"/>
          <w:sz w:val="24"/>
          <w:szCs w:val="24"/>
        </w:rPr>
        <w:lastRenderedPageBreak/>
        <w:t xml:space="preserve">analyzed at 0, 3 and 6 week, while pouches stored at 40°C were analyzed at 0, 6 and 12 weeks.  Two repetitions were analyzed per each treatment at each time and temperature. </w:t>
      </w:r>
    </w:p>
    <w:p w:rsidR="00B540A1" w:rsidRPr="00B540A1" w:rsidRDefault="00B540A1" w:rsidP="00B540A1">
      <w:pPr>
        <w:pStyle w:val="ListParagraph"/>
        <w:spacing w:after="0" w:line="360" w:lineRule="auto"/>
        <w:ind w:left="567"/>
        <w:jc w:val="both"/>
        <w:rPr>
          <w:rFonts w:ascii="Times New Roman" w:hAnsi="Times New Roman"/>
          <w:b/>
          <w:sz w:val="28"/>
          <w:szCs w:val="28"/>
        </w:rPr>
      </w:pPr>
    </w:p>
    <w:p w:rsidR="00B540A1" w:rsidRPr="00276E98" w:rsidRDefault="00B540A1" w:rsidP="00B540A1">
      <w:pPr>
        <w:pStyle w:val="ListParagraph"/>
        <w:spacing w:after="0" w:line="360" w:lineRule="auto"/>
        <w:ind w:left="0"/>
        <w:jc w:val="both"/>
        <w:outlineLvl w:val="0"/>
        <w:rPr>
          <w:rFonts w:ascii="Times New Roman" w:hAnsi="Times New Roman"/>
          <w:b/>
          <w:sz w:val="24"/>
          <w:szCs w:val="24"/>
        </w:rPr>
      </w:pPr>
      <w:r w:rsidRPr="00276E98">
        <w:rPr>
          <w:rFonts w:ascii="Times New Roman" w:hAnsi="Times New Roman"/>
          <w:b/>
          <w:sz w:val="24"/>
          <w:szCs w:val="24"/>
        </w:rPr>
        <w:t>Ascorbic acid determination</w:t>
      </w:r>
    </w:p>
    <w:p w:rsidR="00B540A1" w:rsidRPr="00C825E6" w:rsidRDefault="00B540A1" w:rsidP="00B540A1">
      <w:pPr>
        <w:pStyle w:val="ListParagraph"/>
        <w:spacing w:after="0" w:line="360" w:lineRule="auto"/>
        <w:ind w:left="0" w:firstLine="708"/>
        <w:jc w:val="both"/>
        <w:rPr>
          <w:rFonts w:ascii="Times New Roman" w:hAnsi="Times New Roman"/>
          <w:sz w:val="24"/>
          <w:szCs w:val="24"/>
        </w:rPr>
      </w:pPr>
      <w:r w:rsidRPr="00C825E6">
        <w:rPr>
          <w:rFonts w:ascii="Times New Roman" w:hAnsi="Times New Roman"/>
          <w:sz w:val="24"/>
          <w:szCs w:val="24"/>
        </w:rPr>
        <w:t xml:space="preserve">A high performance liquid chromatography (HPLC) procedure based on an earlier report </w:t>
      </w:r>
      <w:r w:rsidRPr="00C825E6">
        <w:rPr>
          <w:rFonts w:ascii="Times New Roman" w:hAnsi="Times New Roman"/>
          <w:noProof/>
          <w:sz w:val="24"/>
          <w:szCs w:val="24"/>
        </w:rPr>
        <w:t>(</w:t>
      </w:r>
      <w:r w:rsidRPr="00F20FA4">
        <w:rPr>
          <w:rFonts w:ascii="Times New Roman" w:hAnsi="Times New Roman"/>
          <w:noProof/>
          <w:sz w:val="24"/>
          <w:szCs w:val="24"/>
        </w:rPr>
        <w:t>Gokmen and others 2000</w:t>
      </w:r>
      <w:r w:rsidRPr="00C825E6">
        <w:rPr>
          <w:rFonts w:ascii="Times New Roman" w:hAnsi="Times New Roman"/>
          <w:noProof/>
          <w:sz w:val="24"/>
          <w:szCs w:val="24"/>
        </w:rPr>
        <w:t>)</w:t>
      </w:r>
      <w:r w:rsidRPr="00C825E6">
        <w:rPr>
          <w:rFonts w:ascii="Times New Roman" w:hAnsi="Times New Roman"/>
          <w:sz w:val="24"/>
          <w:szCs w:val="24"/>
        </w:rPr>
        <w:t xml:space="preserve"> was used to quantify ascorbic acid in the samples.  Diced peaches and syrup, in the same ratio as they were found in each pouch (3:1, w/w), were combined with a methaphosphoric acid (5%w/v aq.) solution in a ratio of 3:1 (product:methaposphoric acid solution).  This mixture was homogenized for 90 seconds using a Virtis homogenizer-Model TP 18/10 (Wilmington, NC) at </w:t>
      </w:r>
      <w:r>
        <w:rPr>
          <w:rFonts w:ascii="Times New Roman" w:hAnsi="Times New Roman"/>
          <w:sz w:val="24"/>
          <w:szCs w:val="24"/>
        </w:rPr>
        <w:t xml:space="preserve">medium </w:t>
      </w:r>
      <w:r w:rsidRPr="00C825E6">
        <w:rPr>
          <w:rFonts w:ascii="Times New Roman" w:hAnsi="Times New Roman"/>
          <w:sz w:val="24"/>
          <w:szCs w:val="24"/>
        </w:rPr>
        <w:t>speed.  The homogenized samples were filtered through Whatman No.</w:t>
      </w:r>
      <w:r>
        <w:rPr>
          <w:rFonts w:ascii="Times New Roman" w:hAnsi="Times New Roman"/>
          <w:sz w:val="24"/>
          <w:szCs w:val="24"/>
        </w:rPr>
        <w:t xml:space="preserve"> </w:t>
      </w:r>
      <w:r w:rsidRPr="00C825E6">
        <w:rPr>
          <w:rFonts w:ascii="Times New Roman" w:hAnsi="Times New Roman"/>
          <w:sz w:val="24"/>
          <w:szCs w:val="24"/>
        </w:rPr>
        <w:t>4 (</w:t>
      </w:r>
      <w:r>
        <w:rPr>
          <w:rFonts w:ascii="Times New Roman" w:hAnsi="Times New Roman"/>
          <w:sz w:val="24"/>
          <w:szCs w:val="24"/>
        </w:rPr>
        <w:t>Maidstone</w:t>
      </w:r>
      <w:r w:rsidRPr="00C825E6">
        <w:rPr>
          <w:rFonts w:ascii="Times New Roman" w:hAnsi="Times New Roman"/>
          <w:sz w:val="24"/>
          <w:szCs w:val="24"/>
        </w:rPr>
        <w:t xml:space="preserve">, UK) and 0.45 μm filters (Millipore, Massachusetts, USA).  The samples were protected from light during filtration.  The clarified samples were analyzed by high performance liquid chromatography (HPLC).  A model 1200 HPLC consisting of degasser, pump, refrigerated autosampler, column oven, and diode array ultraviolet-visible (UV-VIS) detector was obtained from Agilent (Santa Clara CA).  The mobile phase was pH 2.4 20mM aqueous phosphate buffer.  The column (Luna 5μ </w:t>
      </w:r>
      <w:proofErr w:type="gramStart"/>
      <w:r w:rsidRPr="00C825E6">
        <w:rPr>
          <w:rFonts w:ascii="Times New Roman" w:hAnsi="Times New Roman"/>
          <w:sz w:val="24"/>
          <w:szCs w:val="24"/>
        </w:rPr>
        <w:t>C18(</w:t>
      </w:r>
      <w:proofErr w:type="gramEnd"/>
      <w:r w:rsidRPr="00C825E6">
        <w:rPr>
          <w:rFonts w:ascii="Times New Roman" w:hAnsi="Times New Roman"/>
          <w:sz w:val="24"/>
          <w:szCs w:val="24"/>
        </w:rPr>
        <w:t xml:space="preserve">2) 100Ǻ, 250mm x 4.6mm, i.d.) was obtained from Phenomenex (Torrance CA) and was used at a flow rate was 0.5 ml/min.  The detector was set to 245nm and UV spectra from 190-300 NM were recorded.   </w:t>
      </w:r>
    </w:p>
    <w:p w:rsidR="00B540A1" w:rsidRPr="00B540A1" w:rsidRDefault="00B540A1" w:rsidP="00B540A1">
      <w:pPr>
        <w:pStyle w:val="ListParagraph"/>
        <w:spacing w:after="0" w:line="360" w:lineRule="auto"/>
        <w:ind w:left="0"/>
        <w:jc w:val="both"/>
        <w:rPr>
          <w:rFonts w:ascii="Times New Roman" w:hAnsi="Times New Roman"/>
          <w:b/>
          <w:sz w:val="28"/>
          <w:szCs w:val="28"/>
        </w:rPr>
      </w:pPr>
    </w:p>
    <w:p w:rsidR="00B540A1" w:rsidRPr="00276E98" w:rsidRDefault="00B540A1" w:rsidP="00B540A1">
      <w:pPr>
        <w:pStyle w:val="ListParagraph"/>
        <w:spacing w:after="0" w:line="360" w:lineRule="auto"/>
        <w:ind w:left="0"/>
        <w:jc w:val="both"/>
        <w:outlineLvl w:val="0"/>
        <w:rPr>
          <w:rFonts w:ascii="Times New Roman" w:hAnsi="Times New Roman"/>
          <w:b/>
          <w:sz w:val="24"/>
          <w:szCs w:val="24"/>
        </w:rPr>
      </w:pPr>
      <w:r w:rsidRPr="00276E98">
        <w:rPr>
          <w:rFonts w:ascii="Times New Roman" w:hAnsi="Times New Roman"/>
          <w:b/>
          <w:sz w:val="24"/>
          <w:szCs w:val="24"/>
        </w:rPr>
        <w:t>Colorimetric Analysis</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A Chroma Meter CR-200 tristimulus color analyzer (Minolta, Osaka, Japan) was calibrated with a standard plate (L*: 97.20, a*: -0.18, b*: 3.75) before each use.  The diced peaches (70</w:t>
      </w:r>
      <w:r w:rsidRPr="00276E98">
        <w:rPr>
          <w:rFonts w:ascii="Times New Roman" w:hAnsi="Times New Roman"/>
          <w:sz w:val="24"/>
          <w:szCs w:val="24"/>
          <w:u w:val="single"/>
        </w:rPr>
        <w:t>+</w:t>
      </w:r>
      <w:r w:rsidRPr="00276E98">
        <w:rPr>
          <w:rFonts w:ascii="Times New Roman" w:hAnsi="Times New Roman"/>
          <w:sz w:val="24"/>
          <w:szCs w:val="24"/>
        </w:rPr>
        <w:t>5 g) were placed inside a glass petri dish (9 cm diameter), and the color was measured from the bottom of the dish.  Before each measurement, the measuring head of the colorimeter was covered with a cardboard box to block stray light.  All readings were obtained in the CIELAB scale (L*, a*, b*).  The ∆E*</w:t>
      </w:r>
      <w:r w:rsidRPr="00276E98">
        <w:rPr>
          <w:rFonts w:ascii="Times New Roman" w:hAnsi="Times New Roman"/>
          <w:sz w:val="24"/>
          <w:szCs w:val="24"/>
          <w:vertAlign w:val="subscript"/>
        </w:rPr>
        <w:t xml:space="preserve"> </w:t>
      </w:r>
      <w:r w:rsidRPr="00276E98">
        <w:rPr>
          <w:rFonts w:ascii="Times New Roman" w:hAnsi="Times New Roman"/>
          <w:sz w:val="24"/>
          <w:szCs w:val="24"/>
        </w:rPr>
        <w:t>was calculated in order to quantify the variation of color throughout storage.  ∆E*was defined by the following equation:</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p>
    <w:p w:rsidR="00B540A1" w:rsidRPr="00276E98" w:rsidRDefault="00B540A1" w:rsidP="00B540A1">
      <w:pPr>
        <w:pStyle w:val="ListParagraph"/>
        <w:spacing w:after="0" w:line="360" w:lineRule="auto"/>
        <w:ind w:left="0"/>
        <w:jc w:val="center"/>
        <w:rPr>
          <w:rFonts w:ascii="Times New Roman" w:hAnsi="Times New Roman"/>
          <w:sz w:val="24"/>
          <w:szCs w:val="24"/>
          <w:vertAlign w:val="subscript"/>
        </w:rPr>
      </w:pP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m:t>
            </m:r>
          </m:sup>
        </m:sSup>
        <m:r>
          <m:rPr>
            <m:sty m:val="p"/>
          </m:rPr>
          <w:rPr>
            <w:rFonts w:ascii="Cambria Math" w:hAnsi="Times New Roman"/>
            <w:sz w:val="24"/>
            <w:szCs w:val="24"/>
            <w:vertAlign w:val="subscript"/>
          </w:rPr>
          <m:t>=</m:t>
        </m:r>
        <m:rad>
          <m:radPr>
            <m:degHide m:val="on"/>
            <m:ctrlPr>
              <w:rPr>
                <w:rFonts w:ascii="Cambria Math" w:hAnsi="Times New Roman"/>
                <w:sz w:val="24"/>
                <w:szCs w:val="24"/>
                <w:vertAlign w:val="subscript"/>
              </w:rPr>
            </m:ctrlPr>
          </m:radPr>
          <m:deg/>
          <m:e>
            <m:d>
              <m:dPr>
                <m:ctrlPr>
                  <w:rPr>
                    <w:rFonts w:ascii="Cambria Math" w:hAnsi="Times New Roman"/>
                    <w:sz w:val="24"/>
                    <w:szCs w:val="24"/>
                    <w:vertAlign w:val="subscript"/>
                  </w:rPr>
                </m:ctrlPr>
              </m:dPr>
              <m:e>
                <m:r>
                  <m:rPr>
                    <m:sty m:val="p"/>
                  </m:rPr>
                  <w:rPr>
                    <w:rFonts w:ascii="Cambria Math" w:hAnsi="Cambria Math"/>
                    <w:sz w:val="24"/>
                    <w:szCs w:val="24"/>
                    <w:vertAlign w:val="subscript"/>
                  </w:rPr>
                  <m:t>∆</m:t>
                </m:r>
                <m:sSup>
                  <m:sSupPr>
                    <m:ctrlPr>
                      <w:rPr>
                        <w:rFonts w:ascii="Cambria Math" w:hAnsi="Times New Roman"/>
                        <w:sz w:val="24"/>
                        <w:szCs w:val="24"/>
                        <w:vertAlign w:val="subscript"/>
                      </w:rPr>
                    </m:ctrlPr>
                  </m:sSupPr>
                  <m:e>
                    <m:r>
                      <m:rPr>
                        <m:sty m:val="p"/>
                      </m:rPr>
                      <w:rPr>
                        <w:rFonts w:ascii="Cambria Math" w:hAnsi="Times New Roman"/>
                        <w:sz w:val="24"/>
                        <w:szCs w:val="24"/>
                        <w:vertAlign w:val="subscript"/>
                      </w:rPr>
                      <m:t>L</m:t>
                    </m:r>
                  </m:e>
                  <m:sup>
                    <m:r>
                      <m:rPr>
                        <m:sty m:val="p"/>
                      </m:rPr>
                      <w:rPr>
                        <w:rFonts w:ascii="Cambria Math" w:hAnsi="Cambria Math" w:cs="Cambria Math"/>
                        <w:sz w:val="24"/>
                        <w:szCs w:val="24"/>
                        <w:vertAlign w:val="subscript"/>
                      </w:rPr>
                      <m:t>*</m:t>
                    </m:r>
                  </m:sup>
                </m:sSup>
              </m:e>
            </m:d>
            <m:r>
              <m:rPr>
                <m:sty m:val="p"/>
              </m:rPr>
              <w:rPr>
                <w:rFonts w:ascii="Cambria Math" w:hAnsi="Times New Roman"/>
                <w:sz w:val="24"/>
                <w:szCs w:val="24"/>
                <w:vertAlign w:val="subscript"/>
              </w:rPr>
              <m:t xml:space="preserve">+ </m:t>
            </m:r>
            <m:d>
              <m:dPr>
                <m:ctrlPr>
                  <w:rPr>
                    <w:rFonts w:ascii="Cambria Math" w:hAnsi="Times New Roman"/>
                    <w:sz w:val="24"/>
                    <w:szCs w:val="24"/>
                    <w:vertAlign w:val="subscript"/>
                  </w:rPr>
                </m:ctrlPr>
              </m:dPr>
              <m:e>
                <m:r>
                  <m:rPr>
                    <m:sty m:val="p"/>
                  </m:rPr>
                  <w:rPr>
                    <w:rFonts w:ascii="Cambria Math" w:hAnsi="Cambria Math"/>
                    <w:sz w:val="24"/>
                    <w:szCs w:val="24"/>
                    <w:vertAlign w:val="subscript"/>
                  </w:rPr>
                  <m:t>∆</m:t>
                </m:r>
                <m:sSup>
                  <m:sSupPr>
                    <m:ctrlPr>
                      <w:rPr>
                        <w:rFonts w:ascii="Cambria Math" w:hAnsi="Times New Roman"/>
                        <w:sz w:val="24"/>
                        <w:szCs w:val="24"/>
                        <w:vertAlign w:val="subscript"/>
                      </w:rPr>
                    </m:ctrlPr>
                  </m:sSupPr>
                  <m:e>
                    <m:r>
                      <m:rPr>
                        <m:sty m:val="p"/>
                      </m:rPr>
                      <w:rPr>
                        <w:rFonts w:ascii="Cambria Math" w:hAnsi="Times New Roman"/>
                        <w:sz w:val="24"/>
                        <w:szCs w:val="24"/>
                        <w:vertAlign w:val="subscript"/>
                      </w:rPr>
                      <m:t>a</m:t>
                    </m:r>
                  </m:e>
                  <m:sup>
                    <m:r>
                      <m:rPr>
                        <m:sty m:val="p"/>
                      </m:rPr>
                      <w:rPr>
                        <w:rFonts w:ascii="Cambria Math" w:hAnsi="Cambria Math" w:cs="Cambria Math"/>
                        <w:sz w:val="24"/>
                        <w:szCs w:val="24"/>
                        <w:vertAlign w:val="subscript"/>
                      </w:rPr>
                      <m:t>*</m:t>
                    </m:r>
                  </m:sup>
                </m:sSup>
              </m:e>
            </m:d>
            <m:r>
              <m:rPr>
                <m:sty m:val="p"/>
              </m:rPr>
              <w:rPr>
                <w:rFonts w:ascii="Cambria Math" w:hAnsi="Times New Roman"/>
                <w:sz w:val="24"/>
                <w:szCs w:val="24"/>
                <w:vertAlign w:val="subscript"/>
              </w:rPr>
              <m:t>+(</m:t>
            </m:r>
            <m:r>
              <m:rPr>
                <m:sty m:val="p"/>
              </m:rPr>
              <w:rPr>
                <w:rFonts w:ascii="Cambria Math" w:hAnsi="Cambria Math"/>
                <w:sz w:val="24"/>
                <w:szCs w:val="24"/>
                <w:vertAlign w:val="subscript"/>
              </w:rPr>
              <m:t>∆</m:t>
            </m:r>
            <m:sSup>
              <m:sSupPr>
                <m:ctrlPr>
                  <w:rPr>
                    <w:rFonts w:ascii="Cambria Math" w:hAnsi="Times New Roman"/>
                    <w:sz w:val="24"/>
                    <w:szCs w:val="24"/>
                    <w:vertAlign w:val="subscript"/>
                  </w:rPr>
                </m:ctrlPr>
              </m:sSupPr>
              <m:e>
                <m:r>
                  <m:rPr>
                    <m:sty m:val="p"/>
                  </m:rPr>
                  <w:rPr>
                    <w:rFonts w:ascii="Cambria Math" w:hAnsi="Times New Roman"/>
                    <w:sz w:val="24"/>
                    <w:szCs w:val="24"/>
                    <w:vertAlign w:val="subscript"/>
                  </w:rPr>
                  <m:t>b</m:t>
                </m:r>
              </m:e>
              <m:sup>
                <m:r>
                  <m:rPr>
                    <m:sty m:val="p"/>
                  </m:rPr>
                  <w:rPr>
                    <w:rFonts w:ascii="Cambria Math" w:hAnsi="Cambria Math" w:cs="Cambria Math"/>
                    <w:sz w:val="24"/>
                    <w:szCs w:val="24"/>
                    <w:vertAlign w:val="subscript"/>
                  </w:rPr>
                  <m:t>*</m:t>
                </m:r>
              </m:sup>
            </m:sSup>
            <m:r>
              <m:rPr>
                <m:sty m:val="p"/>
              </m:rPr>
              <w:rPr>
                <w:rFonts w:ascii="Cambria Math" w:hAnsi="Times New Roman"/>
                <w:sz w:val="24"/>
                <w:szCs w:val="24"/>
                <w:vertAlign w:val="subscript"/>
              </w:rPr>
              <m:t>)</m:t>
            </m:r>
          </m:e>
        </m:rad>
      </m:oMath>
      <w:r w:rsidRPr="00276E98">
        <w:rPr>
          <w:rFonts w:ascii="Times New Roman" w:hAnsi="Times New Roman"/>
          <w:sz w:val="24"/>
          <w:szCs w:val="24"/>
          <w:vertAlign w:val="subscript"/>
        </w:rPr>
        <w:t>.</w:t>
      </w:r>
    </w:p>
    <w:p w:rsidR="00B540A1" w:rsidRPr="00B540A1" w:rsidRDefault="00B540A1" w:rsidP="00B540A1">
      <w:pPr>
        <w:pStyle w:val="ListParagraph"/>
        <w:spacing w:after="0" w:line="360" w:lineRule="auto"/>
        <w:ind w:left="0"/>
        <w:jc w:val="both"/>
        <w:outlineLvl w:val="0"/>
        <w:rPr>
          <w:rFonts w:ascii="Times New Roman" w:hAnsi="Times New Roman"/>
          <w:b/>
          <w:sz w:val="28"/>
          <w:szCs w:val="28"/>
        </w:rPr>
      </w:pPr>
    </w:p>
    <w:p w:rsidR="00B540A1" w:rsidRPr="00276E98" w:rsidRDefault="00B540A1" w:rsidP="00B540A1">
      <w:pPr>
        <w:pStyle w:val="ListParagraph"/>
        <w:spacing w:after="0" w:line="360" w:lineRule="auto"/>
        <w:ind w:left="0"/>
        <w:jc w:val="both"/>
        <w:outlineLvl w:val="0"/>
        <w:rPr>
          <w:rFonts w:ascii="Times New Roman" w:hAnsi="Times New Roman"/>
          <w:b/>
          <w:sz w:val="24"/>
          <w:szCs w:val="24"/>
        </w:rPr>
      </w:pPr>
      <w:r w:rsidRPr="00276E98">
        <w:rPr>
          <w:rFonts w:ascii="Times New Roman" w:hAnsi="Times New Roman"/>
          <w:b/>
          <w:sz w:val="24"/>
          <w:szCs w:val="24"/>
        </w:rPr>
        <w:lastRenderedPageBreak/>
        <w:t>Browning index</w:t>
      </w:r>
    </w:p>
    <w:p w:rsidR="00B540A1" w:rsidRPr="00276E98" w:rsidRDefault="00B540A1" w:rsidP="00B540A1">
      <w:pPr>
        <w:pStyle w:val="ListParagraph"/>
        <w:spacing w:after="0" w:line="360" w:lineRule="auto"/>
        <w:ind w:left="0" w:firstLine="720"/>
        <w:jc w:val="both"/>
        <w:rPr>
          <w:rFonts w:ascii="Times New Roman" w:hAnsi="Times New Roman"/>
          <w:b/>
          <w:sz w:val="24"/>
          <w:szCs w:val="24"/>
        </w:rPr>
      </w:pPr>
      <w:r w:rsidRPr="00276E98">
        <w:rPr>
          <w:rFonts w:ascii="Times New Roman" w:hAnsi="Times New Roman"/>
          <w:sz w:val="24"/>
          <w:szCs w:val="24"/>
        </w:rPr>
        <w:t xml:space="preserve">Diced peaches were blended with water in a 1:1 (w/w) ratio.  The mixture was centrifuged at 1000xg for 15 minutes in a Damon/IEC centrifuge (Needham Heights, MA).  The supernatant was combined with ethanol in a ratio of 1:1 v/v.  This second mixture was centrifuged at 1000xg for 15 minutes at 2°C in a Sorvall RC-5B refrigerated Superspeed Centrifuge (Du Pont instruments, Wilmington, DE).  The browning index was measured by its absorbance at 420 nm in a Thermo Electron Genesys 10 UV Scanning Spectrophotometer with 1 cm path cuvette (Waltham, MA).  This method is based on a previously published technique </w:t>
      </w:r>
      <w:r w:rsidRPr="00276E98">
        <w:rPr>
          <w:rFonts w:ascii="Times New Roman" w:hAnsi="Times New Roman"/>
          <w:noProof/>
          <w:sz w:val="24"/>
          <w:szCs w:val="24"/>
        </w:rPr>
        <w:t>(Klim and Nagy 1988)</w:t>
      </w:r>
      <w:r w:rsidRPr="00276E98">
        <w:rPr>
          <w:rFonts w:ascii="Times New Roman" w:hAnsi="Times New Roman"/>
          <w:sz w:val="24"/>
          <w:szCs w:val="24"/>
        </w:rPr>
        <w:t>.</w:t>
      </w:r>
    </w:p>
    <w:p w:rsidR="00B540A1" w:rsidRPr="00276E98" w:rsidRDefault="00B540A1" w:rsidP="00B540A1">
      <w:pPr>
        <w:pStyle w:val="ListParagraph"/>
        <w:spacing w:after="0" w:line="360" w:lineRule="auto"/>
        <w:ind w:left="0"/>
        <w:jc w:val="both"/>
        <w:rPr>
          <w:rFonts w:ascii="Times New Roman" w:hAnsi="Times New Roman"/>
          <w:b/>
          <w:sz w:val="24"/>
          <w:szCs w:val="24"/>
        </w:rPr>
      </w:pPr>
    </w:p>
    <w:p w:rsidR="00B540A1" w:rsidRPr="00276E98" w:rsidRDefault="00B540A1" w:rsidP="00B540A1">
      <w:pPr>
        <w:pStyle w:val="ListParagraph"/>
        <w:spacing w:after="0" w:line="360" w:lineRule="auto"/>
        <w:ind w:left="0"/>
        <w:jc w:val="both"/>
        <w:rPr>
          <w:rFonts w:ascii="Times New Roman" w:hAnsi="Times New Roman"/>
          <w:b/>
          <w:sz w:val="24"/>
          <w:szCs w:val="24"/>
        </w:rPr>
      </w:pPr>
      <w:proofErr w:type="gramStart"/>
      <w:r w:rsidRPr="00276E98">
        <w:rPr>
          <w:rFonts w:ascii="Times New Roman" w:hAnsi="Times New Roman"/>
          <w:b/>
          <w:sz w:val="24"/>
          <w:szCs w:val="24"/>
        </w:rPr>
        <w:t>pH</w:t>
      </w:r>
      <w:proofErr w:type="gramEnd"/>
      <w:r w:rsidRPr="00276E98">
        <w:rPr>
          <w:rFonts w:ascii="Times New Roman" w:hAnsi="Times New Roman"/>
          <w:b/>
          <w:sz w:val="24"/>
          <w:szCs w:val="24"/>
        </w:rPr>
        <w:t xml:space="preserve"> and °Brix</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The pH and °Brix were measured after the homogenization of diced peaches and syrup (in the same ratio as they were found in each pouch).  The pH and °Brix were measured using a model XL-20 potentiometer (Fisher Scientific) and an Abbe Mark II refractometer (Reichertai Inc</w:t>
      </w:r>
      <w:proofErr w:type="gramStart"/>
      <w:r w:rsidRPr="00276E98">
        <w:rPr>
          <w:rFonts w:ascii="Times New Roman" w:hAnsi="Times New Roman"/>
          <w:sz w:val="24"/>
          <w:szCs w:val="24"/>
        </w:rPr>
        <w:t>,.</w:t>
      </w:r>
      <w:proofErr w:type="gramEnd"/>
      <w:r w:rsidRPr="00276E98">
        <w:rPr>
          <w:rFonts w:ascii="Times New Roman" w:hAnsi="Times New Roman"/>
          <w:sz w:val="24"/>
          <w:szCs w:val="24"/>
        </w:rPr>
        <w:t xml:space="preserve"> </w:t>
      </w:r>
      <w:proofErr w:type="gramStart"/>
      <w:r w:rsidRPr="00276E98">
        <w:rPr>
          <w:rFonts w:ascii="Times New Roman" w:hAnsi="Times New Roman"/>
          <w:sz w:val="24"/>
          <w:szCs w:val="24"/>
        </w:rPr>
        <w:t>Buffalo, NY), respectively.</w:t>
      </w:r>
      <w:proofErr w:type="gramEnd"/>
      <w:r w:rsidRPr="00276E98">
        <w:rPr>
          <w:rFonts w:ascii="Times New Roman" w:hAnsi="Times New Roman"/>
          <w:sz w:val="24"/>
          <w:szCs w:val="24"/>
        </w:rPr>
        <w:t xml:space="preserve"> </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p>
    <w:p w:rsidR="00B540A1" w:rsidRPr="00276E98" w:rsidRDefault="00814929" w:rsidP="00B540A1">
      <w:pPr>
        <w:pStyle w:val="ListParagraph"/>
        <w:spacing w:after="0" w:line="360" w:lineRule="auto"/>
        <w:ind w:left="0"/>
        <w:jc w:val="both"/>
        <w:outlineLvl w:val="0"/>
        <w:rPr>
          <w:rFonts w:ascii="Times New Roman" w:hAnsi="Times New Roman"/>
          <w:b/>
          <w:sz w:val="24"/>
          <w:szCs w:val="24"/>
        </w:rPr>
      </w:pPr>
      <w:r>
        <w:rPr>
          <w:rFonts w:ascii="Times New Roman" w:hAnsi="Times New Roman"/>
          <w:b/>
          <w:sz w:val="24"/>
          <w:szCs w:val="24"/>
        </w:rPr>
        <w:t>Statistical analysis</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The rate constants (</w:t>
      </w:r>
      <w:r w:rsidRPr="00276E98">
        <w:rPr>
          <w:rFonts w:ascii="Times New Roman" w:hAnsi="Times New Roman"/>
          <w:i/>
          <w:sz w:val="24"/>
          <w:szCs w:val="24"/>
        </w:rPr>
        <w:t>k</w:t>
      </w:r>
      <w:r w:rsidRPr="00276E98">
        <w:rPr>
          <w:rFonts w:ascii="Times New Roman" w:hAnsi="Times New Roman"/>
          <w:sz w:val="24"/>
          <w:szCs w:val="24"/>
        </w:rPr>
        <w:t xml:space="preserve">) were obtained by linear regression analysis </w:t>
      </w:r>
      <w:r w:rsidRPr="00276E98">
        <w:rPr>
          <w:rFonts w:ascii="Times New Roman" w:hAnsi="Times New Roman"/>
          <w:noProof/>
          <w:sz w:val="24"/>
          <w:szCs w:val="24"/>
        </w:rPr>
        <w:t>(Arabshahi and Lund 1985)</w:t>
      </w:r>
      <w:r w:rsidRPr="00276E98">
        <w:rPr>
          <w:rFonts w:ascii="Times New Roman" w:hAnsi="Times New Roman"/>
          <w:sz w:val="24"/>
          <w:szCs w:val="24"/>
        </w:rPr>
        <w:t xml:space="preserve">.  The color parameters (L*, a*, b* and ∆E*) were evaluated through equations (1), (2), (3) and (4). </w:t>
      </w:r>
      <w:r>
        <w:rPr>
          <w:rFonts w:ascii="Times New Roman" w:hAnsi="Times New Roman"/>
          <w:sz w:val="24"/>
          <w:szCs w:val="24"/>
        </w:rPr>
        <w:t xml:space="preserve"> </w:t>
      </w:r>
      <w:r w:rsidRPr="00276E98">
        <w:rPr>
          <w:rFonts w:ascii="Times New Roman" w:hAnsi="Times New Roman"/>
          <w:sz w:val="24"/>
          <w:szCs w:val="24"/>
        </w:rPr>
        <w:t xml:space="preserve">In the case of ∆E*, instead of equation (4), we applied equation (5) because this parameter, ∆E*, is zero at day 0 </w:t>
      </w:r>
      <w:r w:rsidRPr="00276E98">
        <w:rPr>
          <w:rFonts w:ascii="Times New Roman" w:hAnsi="Times New Roman"/>
          <w:noProof/>
          <w:sz w:val="24"/>
          <w:szCs w:val="24"/>
        </w:rPr>
        <w:t xml:space="preserve">(Ibarz </w:t>
      </w:r>
      <w:r>
        <w:rPr>
          <w:rFonts w:ascii="Times New Roman" w:hAnsi="Times New Roman"/>
          <w:noProof/>
          <w:sz w:val="24"/>
          <w:szCs w:val="24"/>
        </w:rPr>
        <w:t>and others</w:t>
      </w:r>
      <w:r w:rsidRPr="00276E98">
        <w:rPr>
          <w:rFonts w:ascii="Times New Roman" w:hAnsi="Times New Roman"/>
          <w:noProof/>
          <w:sz w:val="24"/>
          <w:szCs w:val="24"/>
        </w:rPr>
        <w:t xml:space="preserve"> 1999)</w:t>
      </w:r>
      <w:r w:rsidRPr="00276E98">
        <w:rPr>
          <w:rFonts w:ascii="Times New Roman" w:hAnsi="Times New Roman"/>
          <w:sz w:val="24"/>
          <w:szCs w:val="24"/>
        </w:rPr>
        <w:t xml:space="preserve">.  For the </w:t>
      </w:r>
      <w:r w:rsidRPr="00276E98">
        <w:rPr>
          <w:rFonts w:ascii="Times New Roman" w:hAnsi="Times New Roman"/>
          <w:i/>
          <w:sz w:val="24"/>
          <w:szCs w:val="24"/>
        </w:rPr>
        <w:t>k</w:t>
      </w:r>
      <w:r w:rsidRPr="00276E98">
        <w:rPr>
          <w:rFonts w:ascii="Times New Roman" w:hAnsi="Times New Roman"/>
          <w:sz w:val="24"/>
          <w:szCs w:val="24"/>
        </w:rPr>
        <w:t xml:space="preserve"> values of vitamin C degradation, the data collected were fitted using the equations (1), (2), (3) and (6).  The best kinetic model was chosen after comparison of the coefficients of determination (R</w:t>
      </w:r>
      <w:r w:rsidRPr="00276E98">
        <w:rPr>
          <w:rFonts w:ascii="Times New Roman" w:hAnsi="Times New Roman"/>
          <w:sz w:val="24"/>
          <w:szCs w:val="24"/>
          <w:vertAlign w:val="superscript"/>
        </w:rPr>
        <w:t>2</w:t>
      </w:r>
      <w:r w:rsidRPr="00276E98">
        <w:rPr>
          <w:rFonts w:ascii="Times New Roman" w:hAnsi="Times New Roman"/>
          <w:sz w:val="24"/>
          <w:szCs w:val="24"/>
        </w:rPr>
        <w:t xml:space="preserve">), root mean square error (RMSE) and visual examination of distribution of residuals of plotted data. </w:t>
      </w:r>
    </w:p>
    <w:p w:rsidR="00B540A1" w:rsidRPr="00276E98" w:rsidRDefault="00B540A1" w:rsidP="00B540A1">
      <w:pPr>
        <w:spacing w:after="0" w:line="360" w:lineRule="auto"/>
        <w:jc w:val="both"/>
        <w:rPr>
          <w:rFonts w:ascii="Times New Roman" w:hAnsi="Times New Roman"/>
          <w:sz w:val="24"/>
          <w:szCs w:val="24"/>
        </w:rPr>
      </w:pPr>
    </w:p>
    <w:p w:rsidR="00B540A1" w:rsidRPr="00276E98" w:rsidRDefault="00B540A1" w:rsidP="00B540A1">
      <w:pPr>
        <w:spacing w:after="0" w:line="360" w:lineRule="auto"/>
        <w:jc w:val="both"/>
        <w:outlineLvl w:val="0"/>
        <w:rPr>
          <w:rFonts w:ascii="Times New Roman" w:hAnsi="Times New Roman"/>
          <w:sz w:val="24"/>
          <w:szCs w:val="24"/>
        </w:rPr>
      </w:pPr>
      <w:r w:rsidRPr="00276E98">
        <w:rPr>
          <w:rFonts w:ascii="Times New Roman" w:hAnsi="Times New Roman"/>
          <w:sz w:val="24"/>
          <w:szCs w:val="24"/>
        </w:rPr>
        <w:t>Zero order (eq. 1):</w:t>
      </w:r>
      <w:r w:rsidRPr="00276E98">
        <w:rPr>
          <w:rFonts w:ascii="Times New Roman" w:hAnsi="Times New Roman"/>
          <w:sz w:val="24"/>
          <w:szCs w:val="24"/>
        </w:rPr>
        <w:tab/>
      </w:r>
      <w:r w:rsidRPr="00276E98">
        <w:rPr>
          <w:rFonts w:ascii="Times New Roman" w:hAnsi="Times New Roman"/>
          <w:sz w:val="24"/>
          <w:szCs w:val="24"/>
        </w:rPr>
        <w:tab/>
      </w:r>
      <w:r w:rsidRPr="00276E98">
        <w:rPr>
          <w:rFonts w:ascii="Times New Roman" w:hAnsi="Times New Roman"/>
          <w:sz w:val="24"/>
          <w:szCs w:val="24"/>
        </w:rPr>
        <w:tab/>
      </w:r>
      <w:r w:rsidRPr="00276E98">
        <w:rPr>
          <w:rFonts w:ascii="Times New Roman" w:hAnsi="Times New Roman"/>
          <w:sz w:val="24"/>
          <w:szCs w:val="24"/>
        </w:rPr>
        <w:tab/>
      </w:r>
      <m:oMath>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0</m:t>
            </m:r>
          </m:sub>
        </m:sSub>
        <m:r>
          <w:rPr>
            <w:rFonts w:ascii="Cambria Math" w:hAnsi="Cambria Math"/>
            <w:sz w:val="24"/>
            <w:szCs w:val="24"/>
          </w:rPr>
          <m:t>t</m:t>
        </m:r>
      </m:oMath>
      <w:r w:rsidRPr="00276E98">
        <w:rPr>
          <w:rFonts w:ascii="Times New Roman" w:hAnsi="Times New Roman"/>
          <w:sz w:val="24"/>
          <w:szCs w:val="24"/>
        </w:rPr>
        <w:t xml:space="preserve">  </w:t>
      </w:r>
    </w:p>
    <w:p w:rsidR="00B540A1" w:rsidRDefault="00B540A1" w:rsidP="00B540A1">
      <w:pPr>
        <w:spacing w:after="0" w:line="360" w:lineRule="auto"/>
        <w:jc w:val="both"/>
        <w:rPr>
          <w:rFonts w:ascii="Times New Roman" w:hAnsi="Times New Roman"/>
          <w:sz w:val="24"/>
          <w:szCs w:val="24"/>
        </w:rPr>
      </w:pPr>
    </w:p>
    <w:p w:rsidR="00F82E9A" w:rsidRPr="00276E98" w:rsidRDefault="00F82E9A" w:rsidP="00B540A1">
      <w:pPr>
        <w:spacing w:after="0" w:line="360" w:lineRule="auto"/>
        <w:jc w:val="both"/>
        <w:rPr>
          <w:rFonts w:ascii="Times New Roman" w:hAnsi="Times New Roman"/>
          <w:sz w:val="24"/>
          <w:szCs w:val="24"/>
        </w:rPr>
      </w:pPr>
    </w:p>
    <w:p w:rsidR="00B540A1" w:rsidRPr="00276E98" w:rsidRDefault="00B540A1" w:rsidP="00B540A1">
      <w:pPr>
        <w:spacing w:after="0" w:line="360" w:lineRule="auto"/>
        <w:jc w:val="both"/>
        <w:rPr>
          <w:rFonts w:ascii="Times New Roman" w:hAnsi="Times New Roman"/>
          <w:sz w:val="24"/>
          <w:szCs w:val="24"/>
        </w:rPr>
      </w:pPr>
      <w:r w:rsidRPr="00276E98">
        <w:rPr>
          <w:rFonts w:ascii="Times New Roman" w:hAnsi="Times New Roman"/>
          <w:sz w:val="24"/>
          <w:szCs w:val="24"/>
        </w:rPr>
        <w:t>First order (eq. 2):</w:t>
      </w:r>
      <w:r w:rsidRPr="00276E98">
        <w:rPr>
          <w:rFonts w:ascii="Times New Roman" w:hAnsi="Times New Roman"/>
          <w:sz w:val="24"/>
          <w:szCs w:val="24"/>
        </w:rPr>
        <w:tab/>
      </w:r>
      <w:r w:rsidRPr="00276E98">
        <w:rPr>
          <w:rFonts w:ascii="Times New Roman" w:hAnsi="Times New Roman"/>
          <w:sz w:val="24"/>
          <w:szCs w:val="24"/>
        </w:rPr>
        <w:tab/>
      </w:r>
      <w:r w:rsidRPr="00276E98">
        <w:rPr>
          <w:rFonts w:ascii="Times New Roman" w:hAnsi="Times New Roman"/>
          <w:sz w:val="24"/>
          <w:szCs w:val="24"/>
        </w:rPr>
        <w:tab/>
      </w:r>
      <w:r w:rsidRPr="00276E98">
        <w:rPr>
          <w:rFonts w:ascii="Times New Roman" w:hAnsi="Times New Roman"/>
          <w:sz w:val="24"/>
          <w:szCs w:val="24"/>
        </w:rPr>
        <w:tab/>
      </w:r>
      <m:oMath>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r>
          <m:rPr>
            <m:sty m:val="p"/>
          </m:rPr>
          <w:rPr>
            <w:rFonts w:ascii="Cambria Math" w:hAnsi="Cambria Math"/>
            <w:sz w:val="24"/>
            <w:szCs w:val="24"/>
          </w:rPr>
          <m:t>exp⁡</m:t>
        </m:r>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1</m:t>
            </m:r>
          </m:sub>
        </m:sSub>
        <m:r>
          <w:rPr>
            <w:rFonts w:ascii="Cambria Math" w:hAnsi="Cambria Math"/>
            <w:sz w:val="24"/>
            <w:szCs w:val="24"/>
          </w:rPr>
          <m:t>t)</m:t>
        </m:r>
      </m:oMath>
    </w:p>
    <w:p w:rsidR="00B540A1" w:rsidRPr="00276E98" w:rsidRDefault="00B540A1" w:rsidP="00B540A1">
      <w:pPr>
        <w:spacing w:after="0" w:line="360" w:lineRule="auto"/>
        <w:jc w:val="both"/>
        <w:rPr>
          <w:rFonts w:ascii="Times New Roman" w:hAnsi="Times New Roman"/>
          <w:sz w:val="24"/>
          <w:szCs w:val="24"/>
        </w:rPr>
      </w:pPr>
    </w:p>
    <w:p w:rsidR="00B540A1" w:rsidRPr="00276E98" w:rsidRDefault="00B540A1" w:rsidP="00B540A1">
      <w:pPr>
        <w:spacing w:after="0" w:line="360" w:lineRule="auto"/>
        <w:jc w:val="both"/>
        <w:rPr>
          <w:rFonts w:ascii="Times New Roman" w:hAnsi="Times New Roman"/>
          <w:sz w:val="24"/>
          <w:szCs w:val="24"/>
        </w:rPr>
      </w:pPr>
      <w:r w:rsidRPr="00276E98">
        <w:rPr>
          <w:rFonts w:ascii="Times New Roman" w:hAnsi="Times New Roman"/>
          <w:sz w:val="24"/>
          <w:szCs w:val="24"/>
        </w:rPr>
        <w:lastRenderedPageBreak/>
        <w:t xml:space="preserve">Second order (eq. 3): </w:t>
      </w:r>
      <w:r w:rsidRPr="00276E98">
        <w:rPr>
          <w:rFonts w:ascii="Times New Roman" w:hAnsi="Times New Roman"/>
          <w:sz w:val="24"/>
          <w:szCs w:val="24"/>
        </w:rPr>
        <w:tab/>
      </w:r>
      <w:r w:rsidRPr="00276E98">
        <w:rPr>
          <w:rFonts w:ascii="Times New Roman" w:hAnsi="Times New Roman"/>
          <w:sz w:val="24"/>
          <w:szCs w:val="24"/>
        </w:rPr>
        <w:tab/>
      </w:r>
      <w:r w:rsidRPr="00276E98">
        <w:rPr>
          <w:rFonts w:ascii="Times New Roman" w:hAnsi="Times New Roman"/>
          <w:sz w:val="24"/>
          <w:szCs w:val="24"/>
        </w:rPr>
        <w:tab/>
      </w:r>
      <w:r w:rsidRPr="00276E98">
        <w:rPr>
          <w:rFonts w:ascii="Times New Roman" w:hAnsi="Times New Roman"/>
          <w:sz w:val="24"/>
          <w:szCs w:val="24"/>
        </w:rPr>
        <w:tab/>
      </w:r>
      <m:oMath>
        <m:r>
          <w:rPr>
            <w:rFonts w:ascii="Cambria Math" w:hAnsi="Cambria Math"/>
            <w:sz w:val="24"/>
            <w:szCs w:val="24"/>
          </w:rPr>
          <m:t xml:space="preserve">c= </m:t>
        </m:r>
        <m:f>
          <m:fPr>
            <m:ctrlPr>
              <w:rPr>
                <w:rFonts w:ascii="Cambria Math" w:hAnsi="Cambria Math"/>
                <w:i/>
                <w:sz w:val="24"/>
                <w:szCs w:val="24"/>
              </w:rPr>
            </m:ctrlPr>
          </m:fPr>
          <m:num>
            <m:r>
              <w:rPr>
                <w:rFonts w:ascii="Cambria Math" w:hAnsi="Cambria Math"/>
                <w:sz w:val="24"/>
                <w:szCs w:val="24"/>
              </w:rPr>
              <m:t>1</m:t>
            </m:r>
          </m:num>
          <m:den>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den>
                </m:f>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2</m:t>
                </m:r>
              </m:sub>
            </m:sSub>
            <m:r>
              <w:rPr>
                <w:rFonts w:ascii="Cambria Math" w:hAnsi="Cambria Math"/>
                <w:sz w:val="24"/>
                <w:szCs w:val="24"/>
              </w:rPr>
              <m:t>t)</m:t>
            </m:r>
          </m:den>
        </m:f>
      </m:oMath>
    </w:p>
    <w:p w:rsidR="00F82E9A" w:rsidRDefault="00F82E9A" w:rsidP="00B540A1">
      <w:pPr>
        <w:spacing w:after="0" w:line="360" w:lineRule="auto"/>
        <w:jc w:val="both"/>
        <w:rPr>
          <w:rFonts w:ascii="Times New Roman" w:hAnsi="Times New Roman"/>
          <w:sz w:val="24"/>
          <w:szCs w:val="24"/>
        </w:rPr>
      </w:pPr>
    </w:p>
    <w:p w:rsidR="00B540A1" w:rsidRPr="00276E98" w:rsidRDefault="00B540A1" w:rsidP="00B540A1">
      <w:pPr>
        <w:spacing w:after="0" w:line="360" w:lineRule="auto"/>
        <w:jc w:val="both"/>
        <w:rPr>
          <w:rFonts w:ascii="Times New Roman" w:hAnsi="Times New Roman"/>
          <w:sz w:val="24"/>
          <w:szCs w:val="24"/>
        </w:rPr>
      </w:pPr>
      <w:r w:rsidRPr="00276E98">
        <w:rPr>
          <w:rFonts w:ascii="Times New Roman" w:hAnsi="Times New Roman"/>
          <w:sz w:val="24"/>
          <w:szCs w:val="24"/>
        </w:rPr>
        <w:t>Combined kinetics model (eq. 4):</w:t>
      </w:r>
      <w:r w:rsidRPr="00276E98">
        <w:rPr>
          <w:rFonts w:ascii="Times New Roman" w:hAnsi="Times New Roman"/>
          <w:sz w:val="24"/>
          <w:szCs w:val="24"/>
        </w:rPr>
        <w:tab/>
      </w:r>
      <w:r w:rsidRPr="00276E98">
        <w:rPr>
          <w:rFonts w:ascii="Times New Roman" w:hAnsi="Times New Roman"/>
          <w:sz w:val="24"/>
          <w:szCs w:val="24"/>
        </w:rPr>
        <w:tab/>
      </w:r>
      <m:oMath>
        <m:r>
          <w:rPr>
            <w:rFonts w:ascii="Cambria Math" w:hAnsi="Cambria Math"/>
            <w:sz w:val="24"/>
            <w:szCs w:val="24"/>
          </w:rPr>
          <m:t>C=</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0</m:t>
                </m:r>
              </m:sub>
            </m:sSub>
          </m:num>
          <m:den>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1</m:t>
                </m:r>
              </m:sub>
            </m:sSub>
          </m:den>
        </m:f>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e>
        </m:d>
        <m:r>
          <m:rPr>
            <m:sty m:val="p"/>
          </m:rPr>
          <w:rPr>
            <w:rFonts w:ascii="Cambria Math" w:hAnsi="Cambria Math"/>
            <w:sz w:val="24"/>
            <w:szCs w:val="24"/>
          </w:rPr>
          <m:t>exp⁡</m:t>
        </m:r>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1 </m:t>
            </m:r>
          </m:sub>
        </m:sSub>
        <m:r>
          <w:rPr>
            <w:rFonts w:ascii="Cambria Math" w:hAnsi="Cambria Math"/>
            <w:sz w:val="24"/>
            <w:szCs w:val="24"/>
          </w:rPr>
          <m:t>t)</m:t>
        </m:r>
      </m:oMath>
    </w:p>
    <w:p w:rsidR="00B540A1" w:rsidRPr="00276E98" w:rsidRDefault="00B540A1" w:rsidP="00B540A1">
      <w:pPr>
        <w:spacing w:after="0" w:line="360" w:lineRule="auto"/>
        <w:jc w:val="both"/>
        <w:rPr>
          <w:rFonts w:ascii="Times New Roman" w:hAnsi="Times New Roman"/>
          <w:sz w:val="24"/>
          <w:szCs w:val="24"/>
        </w:rPr>
      </w:pPr>
    </w:p>
    <w:p w:rsidR="00F82E9A" w:rsidRDefault="00F82E9A" w:rsidP="00B540A1">
      <w:pPr>
        <w:spacing w:after="0" w:line="360" w:lineRule="auto"/>
        <w:jc w:val="both"/>
        <w:rPr>
          <w:rFonts w:ascii="Times New Roman" w:hAnsi="Times New Roman"/>
          <w:sz w:val="24"/>
          <w:szCs w:val="24"/>
        </w:rPr>
      </w:pPr>
    </w:p>
    <w:p w:rsidR="00B540A1" w:rsidRPr="00276E98" w:rsidRDefault="00B540A1" w:rsidP="00B540A1">
      <w:pPr>
        <w:spacing w:after="0" w:line="360" w:lineRule="auto"/>
        <w:jc w:val="both"/>
        <w:rPr>
          <w:rFonts w:ascii="Times New Roman" w:hAnsi="Times New Roman"/>
          <w:sz w:val="24"/>
          <w:szCs w:val="24"/>
        </w:rPr>
      </w:pPr>
      <w:r w:rsidRPr="00276E98">
        <w:rPr>
          <w:rFonts w:ascii="Times New Roman" w:hAnsi="Times New Roman"/>
          <w:sz w:val="24"/>
          <w:szCs w:val="24"/>
        </w:rPr>
        <w:t xml:space="preserve">Combined kinetics model in ∆E* (eq. 5): </w:t>
      </w:r>
      <w:r w:rsidRPr="00276E98">
        <w:rPr>
          <w:rFonts w:ascii="Times New Roman" w:hAnsi="Times New Roman"/>
          <w:sz w:val="24"/>
          <w:szCs w:val="24"/>
        </w:rPr>
        <w:tab/>
      </w:r>
      <m:oMath>
        <m:r>
          <w:rPr>
            <w:rFonts w:ascii="Cambria Math" w:hAnsi="Cambria Math"/>
            <w:sz w:val="24"/>
            <w:szCs w:val="24"/>
          </w:rPr>
          <m:t>∆E=</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0</m:t>
                </m:r>
              </m:sub>
            </m:sSub>
          </m:num>
          <m:den>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1</m:t>
                </m:r>
              </m:sub>
            </m:sSub>
          </m:den>
        </m:f>
        <m:r>
          <w:rPr>
            <w:rFonts w:ascii="Cambria Math" w:hAnsi="Cambria Math"/>
            <w:sz w:val="24"/>
            <w:szCs w:val="24"/>
          </w:rPr>
          <m:t>(1-</m:t>
        </m:r>
        <m:func>
          <m:funcPr>
            <m:ctrlPr>
              <w:rPr>
                <w:rFonts w:ascii="Cambria Math" w:hAnsi="Cambria Math"/>
                <w:sz w:val="24"/>
                <w:szCs w:val="24"/>
              </w:rPr>
            </m:ctrlPr>
          </m:funcPr>
          <m:fName>
            <m:r>
              <m:rPr>
                <m:sty m:val="p"/>
              </m:rPr>
              <w:rPr>
                <w:rFonts w:ascii="Cambria Math" w:hAnsi="Cambria Math"/>
                <w:sz w:val="24"/>
                <w:szCs w:val="24"/>
              </w:rPr>
              <m:t>exp</m:t>
            </m:r>
          </m:fName>
          <m:e>
            <m:d>
              <m:dPr>
                <m:ctrlPr>
                  <w:rPr>
                    <w:rFonts w:ascii="Cambria Math" w:hAnsi="Cambria Math"/>
                    <w:i/>
                    <w:sz w:val="24"/>
                    <w:szCs w:val="24"/>
                  </w:rPr>
                </m:ctrlPr>
              </m:dPr>
              <m:e>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1 </m:t>
                    </m:r>
                  </m:sub>
                </m:sSub>
                <m:r>
                  <w:rPr>
                    <w:rFonts w:ascii="Cambria Math" w:hAnsi="Cambria Math"/>
                    <w:sz w:val="24"/>
                    <w:szCs w:val="24"/>
                  </w:rPr>
                  <m:t>t</m:t>
                </m:r>
              </m:e>
            </m:d>
            <m:ctrlPr>
              <w:rPr>
                <w:rFonts w:ascii="Cambria Math" w:hAnsi="Cambria Math"/>
                <w:i/>
                <w:sz w:val="24"/>
                <w:szCs w:val="24"/>
              </w:rPr>
            </m:ctrlPr>
          </m:e>
        </m:func>
        <m:r>
          <w:rPr>
            <w:rFonts w:ascii="Cambria Math" w:hAnsi="Cambria Math"/>
            <w:sz w:val="24"/>
            <w:szCs w:val="24"/>
          </w:rPr>
          <m:t>)</m:t>
        </m:r>
      </m:oMath>
    </w:p>
    <w:p w:rsidR="00B540A1" w:rsidRPr="00276E98" w:rsidRDefault="00B540A1" w:rsidP="00B540A1">
      <w:pPr>
        <w:spacing w:after="0" w:line="360" w:lineRule="auto"/>
        <w:jc w:val="both"/>
        <w:rPr>
          <w:rFonts w:ascii="Times New Roman" w:hAnsi="Times New Roman"/>
          <w:sz w:val="24"/>
          <w:szCs w:val="24"/>
        </w:rPr>
      </w:pPr>
    </w:p>
    <w:p w:rsidR="00F82E9A" w:rsidRDefault="00F82E9A" w:rsidP="00B540A1">
      <w:pPr>
        <w:spacing w:after="0" w:line="360" w:lineRule="auto"/>
        <w:jc w:val="both"/>
        <w:rPr>
          <w:rFonts w:ascii="Times New Roman" w:hAnsi="Times New Roman"/>
          <w:sz w:val="24"/>
          <w:szCs w:val="24"/>
        </w:rPr>
      </w:pPr>
    </w:p>
    <w:p w:rsidR="00B540A1" w:rsidRPr="00276E98" w:rsidRDefault="00B540A1" w:rsidP="00B540A1">
      <w:pPr>
        <w:spacing w:after="0" w:line="360" w:lineRule="auto"/>
        <w:jc w:val="both"/>
        <w:rPr>
          <w:rFonts w:ascii="Times New Roman" w:hAnsi="Times New Roman"/>
          <w:sz w:val="24"/>
          <w:szCs w:val="24"/>
        </w:rPr>
      </w:pPr>
      <w:r w:rsidRPr="00276E98">
        <w:rPr>
          <w:rFonts w:ascii="Times New Roman" w:hAnsi="Times New Roman"/>
          <w:sz w:val="24"/>
          <w:szCs w:val="24"/>
        </w:rPr>
        <w:t>Weibull model (eq. 6):</w:t>
      </w:r>
    </w:p>
    <w:p w:rsidR="00B540A1" w:rsidRPr="00276E98" w:rsidRDefault="00B540A1" w:rsidP="00B540A1">
      <w:pPr>
        <w:pStyle w:val="ListParagraph"/>
        <w:spacing w:after="0" w:line="360" w:lineRule="auto"/>
        <w:jc w:val="both"/>
        <w:rPr>
          <w:rFonts w:ascii="Times New Roman" w:hAnsi="Times New Roman"/>
          <w:sz w:val="24"/>
          <w:szCs w:val="24"/>
        </w:rPr>
      </w:pPr>
      <m:oMathPara>
        <m:oMath>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r>
            <m:rPr>
              <m:sty m:val="p"/>
            </m:rPr>
            <w:rPr>
              <w:rFonts w:ascii="Cambria Math" w:hAnsi="Cambria Math"/>
              <w:sz w:val="24"/>
              <w:szCs w:val="24"/>
            </w:rPr>
            <m:t>exp⁡</m:t>
          </m:r>
          <m:sSup>
            <m:sSupPr>
              <m:ctrlPr>
                <w:rPr>
                  <w:rFonts w:ascii="Cambria Math" w:hAnsi="Cambria Math"/>
                  <w:i/>
                  <w:sz w:val="24"/>
                  <w:szCs w:val="24"/>
                </w:rPr>
              </m:ctrlPr>
            </m:sSupPr>
            <m:e>
              <m:r>
                <m:rPr>
                  <m:sty m:val="p"/>
                </m:rPr>
                <w:rPr>
                  <w:rFonts w:ascii="Cambria Math" w:hAnsi="Cambria Math"/>
                  <w:sz w:val="24"/>
                  <w:szCs w:val="24"/>
                </w:rPr>
                <m:t>⁡</m:t>
              </m:r>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1</m:t>
                  </m:r>
                </m:sub>
              </m:sSub>
              <m:r>
                <w:rPr>
                  <w:rFonts w:ascii="Cambria Math" w:hAnsi="Cambria Math"/>
                  <w:sz w:val="24"/>
                  <w:szCs w:val="24"/>
                </w:rPr>
                <m:t>t)</m:t>
              </m:r>
            </m:e>
            <m:sup>
              <m:r>
                <w:rPr>
                  <w:rFonts w:ascii="Cambria Math" w:hAnsi="Cambria Math"/>
                  <w:sz w:val="24"/>
                  <w:szCs w:val="24"/>
                </w:rPr>
                <m:t>β</m:t>
              </m:r>
            </m:sup>
          </m:sSup>
        </m:oMath>
      </m:oMathPara>
    </w:p>
    <w:p w:rsidR="00B540A1" w:rsidRPr="00276E98" w:rsidRDefault="00B540A1" w:rsidP="00B540A1">
      <w:pPr>
        <w:pStyle w:val="ListParagraph"/>
        <w:spacing w:after="0" w:line="360" w:lineRule="auto"/>
        <w:ind w:left="0"/>
        <w:jc w:val="both"/>
        <w:rPr>
          <w:rFonts w:ascii="Times New Roman" w:hAnsi="Times New Roman"/>
          <w:sz w:val="24"/>
          <w:szCs w:val="24"/>
        </w:rPr>
      </w:pP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sz w:val="24"/>
          <w:szCs w:val="24"/>
        </w:rPr>
        <w:t>Where:</w:t>
      </w:r>
    </w:p>
    <w:p w:rsidR="00B540A1" w:rsidRPr="00276E98" w:rsidRDefault="00B540A1" w:rsidP="00B540A1">
      <w:pPr>
        <w:pStyle w:val="ListParagraph"/>
        <w:spacing w:after="0" w:line="360" w:lineRule="auto"/>
        <w:ind w:left="0"/>
        <w:jc w:val="both"/>
        <w:rPr>
          <w:rFonts w:ascii="Times New Roman" w:hAnsi="Times New Roman"/>
          <w:sz w:val="24"/>
          <w:szCs w:val="24"/>
        </w:rPr>
      </w:pPr>
      <w:proofErr w:type="gramStart"/>
      <w:r w:rsidRPr="00276E98">
        <w:rPr>
          <w:rFonts w:ascii="Times New Roman" w:hAnsi="Times New Roman"/>
          <w:i/>
          <w:sz w:val="24"/>
          <w:szCs w:val="24"/>
        </w:rPr>
        <w:t xml:space="preserve">C  </w:t>
      </w:r>
      <w:r w:rsidRPr="00276E98">
        <w:rPr>
          <w:rFonts w:ascii="Times New Roman" w:hAnsi="Times New Roman"/>
          <w:sz w:val="24"/>
          <w:szCs w:val="24"/>
        </w:rPr>
        <w:t>=</w:t>
      </w:r>
      <w:proofErr w:type="gramEnd"/>
      <w:r w:rsidRPr="00276E98">
        <w:rPr>
          <w:rFonts w:ascii="Times New Roman" w:hAnsi="Times New Roman"/>
          <w:sz w:val="24"/>
          <w:szCs w:val="24"/>
        </w:rPr>
        <w:t xml:space="preserve"> Variable content studied at time </w:t>
      </w:r>
      <w:r w:rsidRPr="00276E98">
        <w:rPr>
          <w:rFonts w:ascii="Times New Roman" w:hAnsi="Times New Roman"/>
          <w:i/>
          <w:sz w:val="24"/>
          <w:szCs w:val="24"/>
        </w:rPr>
        <w:t>t</w:t>
      </w: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i/>
          <w:sz w:val="24"/>
          <w:szCs w:val="24"/>
        </w:rPr>
        <w:t>C</w:t>
      </w:r>
      <w:r w:rsidRPr="00276E98">
        <w:rPr>
          <w:rFonts w:ascii="Times New Roman" w:hAnsi="Times New Roman"/>
          <w:i/>
          <w:sz w:val="24"/>
          <w:szCs w:val="24"/>
          <w:vertAlign w:val="subscript"/>
        </w:rPr>
        <w:t>0</w:t>
      </w:r>
      <w:r w:rsidRPr="00276E98">
        <w:rPr>
          <w:rFonts w:ascii="Times New Roman" w:hAnsi="Times New Roman"/>
          <w:sz w:val="24"/>
          <w:szCs w:val="24"/>
          <w:vertAlign w:val="subscript"/>
        </w:rPr>
        <w:t xml:space="preserve"> </w:t>
      </w:r>
      <w:r w:rsidRPr="00276E98">
        <w:rPr>
          <w:rFonts w:ascii="Times New Roman" w:hAnsi="Times New Roman"/>
          <w:sz w:val="24"/>
          <w:szCs w:val="24"/>
        </w:rPr>
        <w:t>= Variable content at time zero</w:t>
      </w:r>
    </w:p>
    <w:p w:rsidR="00B540A1" w:rsidRPr="00276E98" w:rsidRDefault="00B540A1" w:rsidP="00B540A1">
      <w:pPr>
        <w:pStyle w:val="ListParagraph"/>
        <w:spacing w:after="0" w:line="360" w:lineRule="auto"/>
        <w:ind w:left="0"/>
        <w:jc w:val="both"/>
        <w:rPr>
          <w:rFonts w:ascii="Times New Roman" w:hAnsi="Times New Roman"/>
          <w:sz w:val="24"/>
          <w:szCs w:val="24"/>
          <w:vertAlign w:val="subscript"/>
        </w:rPr>
      </w:pPr>
      <w:r w:rsidRPr="00276E98">
        <w:rPr>
          <w:rFonts w:ascii="Times New Roman" w:hAnsi="Times New Roman"/>
          <w:i/>
          <w:sz w:val="24"/>
          <w:szCs w:val="24"/>
        </w:rPr>
        <w:t>k</w:t>
      </w:r>
      <w:r w:rsidRPr="00276E98">
        <w:rPr>
          <w:rFonts w:ascii="Times New Roman" w:hAnsi="Times New Roman"/>
          <w:i/>
          <w:sz w:val="24"/>
          <w:szCs w:val="24"/>
          <w:vertAlign w:val="subscript"/>
        </w:rPr>
        <w:t>0</w:t>
      </w:r>
      <w:r w:rsidRPr="00276E98">
        <w:rPr>
          <w:rFonts w:ascii="Times New Roman" w:hAnsi="Times New Roman"/>
          <w:sz w:val="24"/>
          <w:szCs w:val="24"/>
          <w:vertAlign w:val="subscript"/>
        </w:rPr>
        <w:t xml:space="preserve"> </w:t>
      </w:r>
      <w:r w:rsidRPr="00276E98">
        <w:rPr>
          <w:rFonts w:ascii="Times New Roman" w:hAnsi="Times New Roman"/>
          <w:sz w:val="24"/>
          <w:szCs w:val="24"/>
        </w:rPr>
        <w:t>= Zero order kinetic constant</w:t>
      </w: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i/>
          <w:sz w:val="24"/>
          <w:szCs w:val="24"/>
        </w:rPr>
        <w:t>k</w:t>
      </w:r>
      <w:r w:rsidRPr="00276E98">
        <w:rPr>
          <w:rFonts w:ascii="Times New Roman" w:hAnsi="Times New Roman"/>
          <w:i/>
          <w:sz w:val="24"/>
          <w:szCs w:val="24"/>
          <w:vertAlign w:val="subscript"/>
        </w:rPr>
        <w:t>1</w:t>
      </w:r>
      <w:r w:rsidRPr="00276E98">
        <w:rPr>
          <w:rFonts w:ascii="Times New Roman" w:hAnsi="Times New Roman"/>
          <w:sz w:val="24"/>
          <w:szCs w:val="24"/>
        </w:rPr>
        <w:t xml:space="preserve"> = First order kinetic constant</w:t>
      </w: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i/>
          <w:sz w:val="24"/>
          <w:szCs w:val="24"/>
        </w:rPr>
        <w:t>k</w:t>
      </w:r>
      <w:r w:rsidRPr="00276E98">
        <w:rPr>
          <w:rFonts w:ascii="Times New Roman" w:hAnsi="Times New Roman"/>
          <w:i/>
          <w:sz w:val="24"/>
          <w:szCs w:val="24"/>
          <w:vertAlign w:val="subscript"/>
        </w:rPr>
        <w:t>2</w:t>
      </w:r>
      <w:r w:rsidRPr="00276E98">
        <w:rPr>
          <w:rFonts w:ascii="Times New Roman" w:hAnsi="Times New Roman"/>
          <w:sz w:val="24"/>
          <w:szCs w:val="24"/>
          <w:vertAlign w:val="subscript"/>
        </w:rPr>
        <w:t xml:space="preserve"> </w:t>
      </w:r>
      <w:r w:rsidRPr="00276E98">
        <w:rPr>
          <w:rFonts w:ascii="Times New Roman" w:hAnsi="Times New Roman"/>
          <w:sz w:val="24"/>
          <w:szCs w:val="24"/>
        </w:rPr>
        <w:t>= Second order kinetic constant</w:t>
      </w: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sz w:val="24"/>
          <w:szCs w:val="24"/>
        </w:rPr>
        <w:t>β = Shape parameter</w:t>
      </w:r>
    </w:p>
    <w:p w:rsidR="00B540A1" w:rsidRPr="00276E98" w:rsidRDefault="00B540A1" w:rsidP="00B540A1">
      <w:pPr>
        <w:pStyle w:val="ListParagraph"/>
        <w:spacing w:after="0" w:line="360" w:lineRule="auto"/>
        <w:ind w:left="0"/>
        <w:jc w:val="both"/>
        <w:rPr>
          <w:rFonts w:ascii="Times New Roman" w:hAnsi="Times New Roman"/>
          <w:sz w:val="24"/>
          <w:szCs w:val="24"/>
        </w:rPr>
      </w:pPr>
      <w:proofErr w:type="gramStart"/>
      <w:r w:rsidRPr="00276E98">
        <w:rPr>
          <w:rFonts w:ascii="Times New Roman" w:hAnsi="Times New Roman"/>
          <w:i/>
          <w:sz w:val="24"/>
          <w:szCs w:val="24"/>
        </w:rPr>
        <w:t xml:space="preserve">t </w:t>
      </w:r>
      <w:r w:rsidRPr="00276E98">
        <w:rPr>
          <w:rFonts w:ascii="Times New Roman" w:hAnsi="Times New Roman"/>
          <w:sz w:val="24"/>
          <w:szCs w:val="24"/>
        </w:rPr>
        <w:t xml:space="preserve"> =</w:t>
      </w:r>
      <w:proofErr w:type="gramEnd"/>
      <w:r w:rsidRPr="00276E98">
        <w:rPr>
          <w:rFonts w:ascii="Times New Roman" w:hAnsi="Times New Roman"/>
          <w:sz w:val="24"/>
          <w:szCs w:val="24"/>
        </w:rPr>
        <w:t xml:space="preserve"> time</w:t>
      </w:r>
    </w:p>
    <w:p w:rsidR="00F82E9A" w:rsidRDefault="00F82E9A" w:rsidP="00B540A1">
      <w:pPr>
        <w:pStyle w:val="ListParagraph"/>
        <w:spacing w:after="0" w:line="360" w:lineRule="auto"/>
        <w:ind w:left="0"/>
        <w:jc w:val="both"/>
        <w:rPr>
          <w:rFonts w:ascii="Times New Roman" w:hAnsi="Times New Roman"/>
          <w:sz w:val="24"/>
          <w:szCs w:val="24"/>
          <w:vertAlign w:val="subscript"/>
        </w:rPr>
        <w:sectPr w:rsidR="00F82E9A" w:rsidSect="00865F2A">
          <w:pgSz w:w="12240" w:h="15840"/>
          <w:pgMar w:top="1440" w:right="1440" w:bottom="1440" w:left="1440" w:header="720" w:footer="720" w:gutter="0"/>
          <w:pgNumType w:start="1"/>
          <w:cols w:space="720"/>
          <w:docGrid w:linePitch="360"/>
        </w:sectPr>
      </w:pPr>
    </w:p>
    <w:p w:rsidR="00B540A1" w:rsidRDefault="00B540A1" w:rsidP="00B540A1">
      <w:pPr>
        <w:pStyle w:val="ListParagraph"/>
        <w:spacing w:after="0" w:line="360" w:lineRule="auto"/>
        <w:ind w:left="0"/>
        <w:jc w:val="both"/>
        <w:rPr>
          <w:rFonts w:ascii="Times New Roman" w:hAnsi="Times New Roman"/>
          <w:sz w:val="24"/>
          <w:szCs w:val="24"/>
          <w:vertAlign w:val="subscript"/>
        </w:rPr>
      </w:pPr>
    </w:p>
    <w:p w:rsidR="00B540A1" w:rsidRPr="00276E98"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 xml:space="preserve">The fitting process for the equations (1), (2) and (3) was done by using linear regression in JMP 8.0 (SAS Institute, Cary, NC).  Equations (4), (5) and (6) were solved by non linear techniques using Statgraphics Plus v. 5.1 (Statgraphics, Warrenton, VA). </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p>
    <w:p w:rsidR="00B540A1" w:rsidRPr="0025744F"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A complete factorial design was used to determine if there were significant effects due to the type of vitamin C (AA, A2P), Pycnogenol concentration (0, 0.01%, 0.1% w/v), temperature and interactions.  Correlation coefficients were determined separately for vitamin C types and each of the color parameters with time and temperature.  These calculations were performed using JMP 8.0 (SAS Institute).</w:t>
      </w:r>
      <w:r>
        <w:rPr>
          <w:rFonts w:ascii="Times New Roman" w:hAnsi="Times New Roman"/>
          <w:sz w:val="24"/>
          <w:szCs w:val="24"/>
        </w:rPr>
        <w:t xml:space="preserve"> </w:t>
      </w:r>
      <w:r w:rsidRPr="0025744F">
        <w:rPr>
          <w:rFonts w:ascii="Times New Roman" w:hAnsi="Times New Roman"/>
          <w:sz w:val="24"/>
          <w:szCs w:val="24"/>
        </w:rPr>
        <w:t xml:space="preserve">Tukey´s HSD was used in order to evaluate the differences among each treatment. </w:t>
      </w:r>
    </w:p>
    <w:p w:rsidR="00B540A1" w:rsidRPr="00276E98" w:rsidRDefault="00B540A1" w:rsidP="00B540A1">
      <w:pPr>
        <w:spacing w:after="0" w:line="360" w:lineRule="auto"/>
        <w:jc w:val="both"/>
        <w:outlineLvl w:val="0"/>
        <w:rPr>
          <w:rFonts w:ascii="Times New Roman" w:hAnsi="Times New Roman" w:cs="Times New Roman"/>
          <w:b/>
          <w:sz w:val="24"/>
          <w:szCs w:val="24"/>
        </w:rPr>
      </w:pPr>
      <w:r w:rsidRPr="00276E98">
        <w:rPr>
          <w:rFonts w:ascii="Times New Roman" w:hAnsi="Times New Roman" w:cs="Times New Roman"/>
          <w:b/>
          <w:sz w:val="24"/>
          <w:szCs w:val="24"/>
        </w:rPr>
        <w:lastRenderedPageBreak/>
        <w:t>RESULTS AND DISCUSSIONS</w:t>
      </w:r>
    </w:p>
    <w:p w:rsidR="00B540A1" w:rsidRPr="00276E98" w:rsidRDefault="00B540A1" w:rsidP="00B540A1">
      <w:pPr>
        <w:spacing w:after="0" w:line="360" w:lineRule="auto"/>
        <w:jc w:val="both"/>
        <w:outlineLvl w:val="0"/>
        <w:rPr>
          <w:rFonts w:ascii="Times New Roman" w:hAnsi="Times New Roman" w:cs="Times New Roman"/>
          <w:b/>
          <w:i/>
          <w:sz w:val="24"/>
          <w:szCs w:val="24"/>
        </w:rPr>
      </w:pPr>
      <w:r w:rsidRPr="00276E98">
        <w:rPr>
          <w:rFonts w:ascii="Times New Roman" w:hAnsi="Times New Roman" w:cs="Times New Roman"/>
          <w:b/>
          <w:i/>
          <w:sz w:val="24"/>
          <w:szCs w:val="24"/>
        </w:rPr>
        <w:t xml:space="preserve">Syrup characteristics </w:t>
      </w:r>
    </w:p>
    <w:p w:rsidR="00B540A1" w:rsidRPr="00276E98" w:rsidRDefault="00B540A1" w:rsidP="00B540A1">
      <w:pPr>
        <w:spacing w:after="0" w:line="360" w:lineRule="auto"/>
        <w:jc w:val="both"/>
        <w:rPr>
          <w:rFonts w:ascii="Times New Roman" w:hAnsi="Times New Roman" w:cs="Times New Roman"/>
          <w:sz w:val="24"/>
          <w:szCs w:val="24"/>
        </w:rPr>
      </w:pPr>
      <w:r w:rsidRPr="00276E98">
        <w:rPr>
          <w:rFonts w:ascii="Times New Roman" w:hAnsi="Times New Roman" w:cs="Times New Roman"/>
          <w:b/>
          <w:i/>
          <w:sz w:val="24"/>
          <w:szCs w:val="24"/>
        </w:rPr>
        <w:tab/>
      </w:r>
      <w:r w:rsidRPr="00276E98">
        <w:rPr>
          <w:rFonts w:ascii="Times New Roman" w:hAnsi="Times New Roman" w:cs="Times New Roman"/>
          <w:sz w:val="24"/>
          <w:szCs w:val="24"/>
        </w:rPr>
        <w:t>There were some obvious differences between syrups containing AA and A2P.  We could not dissolve A2P in solutions that already contained sugar (47 °Brix) and CaCl</w:t>
      </w:r>
      <w:r w:rsidRPr="00276E98">
        <w:rPr>
          <w:rFonts w:ascii="Times New Roman" w:hAnsi="Times New Roman" w:cs="Times New Roman"/>
          <w:sz w:val="24"/>
          <w:szCs w:val="24"/>
          <w:vertAlign w:val="subscript"/>
        </w:rPr>
        <w:t>2</w:t>
      </w:r>
      <w:r w:rsidRPr="00276E98">
        <w:rPr>
          <w:rFonts w:ascii="Times New Roman" w:hAnsi="Times New Roman" w:cs="Times New Roman"/>
          <w:sz w:val="24"/>
          <w:szCs w:val="24"/>
        </w:rPr>
        <w:t xml:space="preserve"> (0.5% w/v), although AA was soluble under these conditions.  For this reason, we first had to dissolve the A2P and CaCl</w:t>
      </w:r>
      <w:r w:rsidRPr="00276E98">
        <w:rPr>
          <w:rFonts w:ascii="Times New Roman" w:hAnsi="Times New Roman" w:cs="Times New Roman"/>
          <w:sz w:val="24"/>
          <w:szCs w:val="24"/>
          <w:vertAlign w:val="subscript"/>
        </w:rPr>
        <w:t xml:space="preserve">2 </w:t>
      </w:r>
      <w:r w:rsidRPr="00276E98">
        <w:rPr>
          <w:rFonts w:ascii="Times New Roman" w:hAnsi="Times New Roman" w:cs="Times New Roman"/>
          <w:sz w:val="24"/>
          <w:szCs w:val="24"/>
        </w:rPr>
        <w:t>in water, and then we added the sugar.  Looking at the chemical structures of AA and A2P (Fig. 1), we can understand why the A2P trisodium salt had lower solubility than AA.  The A2P molecule is more neutral due to the presence of three sodium ions (Na</w:t>
      </w:r>
      <w:r w:rsidRPr="00276E98">
        <w:rPr>
          <w:rFonts w:ascii="Times New Roman" w:hAnsi="Times New Roman" w:cs="Times New Roman"/>
          <w:sz w:val="24"/>
          <w:szCs w:val="24"/>
          <w:vertAlign w:val="superscript"/>
        </w:rPr>
        <w:t>+</w:t>
      </w:r>
      <w:r w:rsidRPr="00276E98">
        <w:rPr>
          <w:rFonts w:ascii="Times New Roman" w:hAnsi="Times New Roman" w:cs="Times New Roman"/>
          <w:sz w:val="24"/>
          <w:szCs w:val="24"/>
        </w:rPr>
        <w:t xml:space="preserve">).  In previous research, during the preparation of fortified potato flakes with ascorbyl-2-phosphate magnesium salt, a non-uniform vitamin distribution was reported.  The researchers in this paper reported that somehow the vitamin became insoluble in the base mix.  They also prepared a treatment with AA which did not have this problem </w:t>
      </w:r>
      <w:r w:rsidRPr="00276E98">
        <w:rPr>
          <w:rFonts w:ascii="Times New Roman" w:hAnsi="Times New Roman" w:cs="Times New Roman"/>
          <w:noProof/>
          <w:sz w:val="24"/>
          <w:szCs w:val="24"/>
        </w:rPr>
        <w:t xml:space="preserve">(Wang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1992)</w:t>
      </w:r>
      <w:r w:rsidRPr="00276E98">
        <w:rPr>
          <w:rFonts w:ascii="Times New Roman" w:hAnsi="Times New Roman" w:cs="Times New Roman"/>
          <w:sz w:val="24"/>
          <w:szCs w:val="24"/>
        </w:rPr>
        <w:t>.</w:t>
      </w:r>
    </w:p>
    <w:p w:rsidR="00B540A1" w:rsidRPr="00276E98" w:rsidRDefault="00B540A1" w:rsidP="00B540A1">
      <w:pPr>
        <w:spacing w:after="0" w:line="360" w:lineRule="auto"/>
        <w:jc w:val="both"/>
        <w:rPr>
          <w:rFonts w:ascii="Times New Roman" w:hAnsi="Times New Roman" w:cs="Times New Roman"/>
          <w:sz w:val="24"/>
          <w:szCs w:val="24"/>
        </w:rPr>
      </w:pPr>
    </w:p>
    <w:p w:rsidR="00B540A1" w:rsidRPr="00276E98" w:rsidRDefault="00B540A1" w:rsidP="00B540A1">
      <w:pPr>
        <w:spacing w:after="0" w:line="360" w:lineRule="auto"/>
        <w:jc w:val="both"/>
        <w:rPr>
          <w:rFonts w:ascii="Times New Roman" w:hAnsi="Times New Roman" w:cs="Times New Roman"/>
          <w:sz w:val="24"/>
          <w:szCs w:val="24"/>
        </w:rPr>
      </w:pPr>
      <w:r w:rsidRPr="00276E98">
        <w:rPr>
          <w:rFonts w:ascii="Times New Roman" w:hAnsi="Times New Roman" w:cs="Times New Roman"/>
          <w:sz w:val="24"/>
          <w:szCs w:val="24"/>
        </w:rPr>
        <w:tab/>
        <w:t xml:space="preserve">Syrups were prepared ~5 hours before thermal processing.  During this time, they were stored at refrigeration temperature (4 °C) and protected from light.  Just before they were used, we realized that the A2P-control (0% Pycnogenol) syrup jelled at this temperature.  A new solution was then prepared 30 minutes before it was used; during this time, the solution remained liquid. </w:t>
      </w:r>
    </w:p>
    <w:p w:rsidR="00B540A1" w:rsidRPr="00276E98" w:rsidRDefault="00B540A1" w:rsidP="00B540A1">
      <w:pPr>
        <w:spacing w:after="0" w:line="360" w:lineRule="auto"/>
        <w:jc w:val="both"/>
        <w:rPr>
          <w:rFonts w:ascii="Times New Roman" w:hAnsi="Times New Roman" w:cs="Times New Roman"/>
          <w:sz w:val="24"/>
          <w:szCs w:val="24"/>
        </w:rPr>
      </w:pPr>
    </w:p>
    <w:p w:rsidR="00B540A1" w:rsidRDefault="00B540A1" w:rsidP="00B540A1">
      <w:pPr>
        <w:spacing w:after="0" w:line="360" w:lineRule="auto"/>
        <w:jc w:val="both"/>
        <w:rPr>
          <w:rFonts w:ascii="Times New Roman" w:hAnsi="Times New Roman" w:cs="Times New Roman"/>
          <w:sz w:val="24"/>
          <w:szCs w:val="24"/>
        </w:rPr>
      </w:pPr>
      <w:r w:rsidRPr="00276E98">
        <w:rPr>
          <w:rFonts w:ascii="Times New Roman" w:hAnsi="Times New Roman" w:cs="Times New Roman"/>
          <w:sz w:val="24"/>
          <w:szCs w:val="24"/>
        </w:rPr>
        <w:tab/>
        <w:t>In order to understand why this syrup jelled, experiments were conducted on 4 syrups which were composed of sucrose and A2P salt in concentrations of 47°Brix and 1.5x10</w:t>
      </w:r>
      <w:r w:rsidRPr="00276E98">
        <w:rPr>
          <w:rFonts w:ascii="Times New Roman" w:hAnsi="Times New Roman" w:cs="Times New Roman"/>
          <w:sz w:val="24"/>
          <w:szCs w:val="24"/>
          <w:vertAlign w:val="superscript"/>
        </w:rPr>
        <w:t>-2</w:t>
      </w:r>
      <w:r w:rsidRPr="00276E98">
        <w:rPr>
          <w:rFonts w:ascii="Times New Roman" w:hAnsi="Times New Roman" w:cs="Times New Roman"/>
          <w:sz w:val="24"/>
          <w:szCs w:val="24"/>
        </w:rPr>
        <w:t xml:space="preserve"> M, respectively. These concentrations corresponded to those used in our retort pouches treatments.  Four syrups were prepared with CaCl</w:t>
      </w:r>
      <w:r w:rsidRPr="00276E98">
        <w:rPr>
          <w:rFonts w:ascii="Times New Roman" w:hAnsi="Times New Roman" w:cs="Times New Roman"/>
          <w:sz w:val="24"/>
          <w:szCs w:val="24"/>
          <w:vertAlign w:val="subscript"/>
        </w:rPr>
        <w:t>2</w:t>
      </w:r>
      <w:r w:rsidRPr="00276E98">
        <w:rPr>
          <w:rFonts w:ascii="Times New Roman" w:hAnsi="Times New Roman" w:cs="Times New Roman"/>
          <w:sz w:val="24"/>
          <w:szCs w:val="24"/>
        </w:rPr>
        <w:t xml:space="preserve"> at 0%, 0.1%, 0.3% and 0.5% w/v.  Syrups were prepared at pH 7 and at pH 3.8.  Two repetitions were conducted per treatment at each pH.  In order to acidify the solutions, citric acid </w:t>
      </w:r>
      <w:r w:rsidRPr="00C825E6">
        <w:rPr>
          <w:rFonts w:ascii="Times New Roman" w:hAnsi="Times New Roman" w:cs="Times New Roman"/>
          <w:sz w:val="24"/>
          <w:szCs w:val="24"/>
        </w:rPr>
        <w:t>was added.  None of the solutions at acid pH jelled; however, at neutral pH, the syrups that had the highest concentrations of CaCl</w:t>
      </w:r>
      <w:r w:rsidRPr="00C825E6">
        <w:rPr>
          <w:rFonts w:ascii="Times New Roman" w:hAnsi="Times New Roman" w:cs="Times New Roman"/>
          <w:sz w:val="24"/>
          <w:szCs w:val="24"/>
          <w:vertAlign w:val="subscript"/>
        </w:rPr>
        <w:t>2</w:t>
      </w:r>
      <w:r w:rsidRPr="00C825E6">
        <w:rPr>
          <w:rFonts w:ascii="Times New Roman" w:hAnsi="Times New Roman" w:cs="Times New Roman"/>
          <w:sz w:val="24"/>
          <w:szCs w:val="24"/>
        </w:rPr>
        <w:t xml:space="preserve"> jelled (0.3% and 0.5%) within 24 hours of storage at room temperature (~24 °C). </w:t>
      </w:r>
      <w:r>
        <w:rPr>
          <w:rFonts w:ascii="Times New Roman" w:hAnsi="Times New Roman" w:cs="Times New Roman"/>
          <w:sz w:val="24"/>
          <w:szCs w:val="24"/>
        </w:rPr>
        <w:t xml:space="preserve"> </w:t>
      </w:r>
      <w:r w:rsidRPr="00C825E6">
        <w:rPr>
          <w:rFonts w:ascii="Times New Roman" w:hAnsi="Times New Roman" w:cs="Times New Roman"/>
          <w:sz w:val="24"/>
          <w:szCs w:val="24"/>
        </w:rPr>
        <w:t xml:space="preserve">Hardness was measured in these gels. </w:t>
      </w:r>
      <w:r>
        <w:rPr>
          <w:rFonts w:ascii="Times New Roman" w:hAnsi="Times New Roman" w:cs="Times New Roman"/>
          <w:sz w:val="24"/>
          <w:szCs w:val="24"/>
        </w:rPr>
        <w:t xml:space="preserve"> These measurements were made</w:t>
      </w:r>
      <w:r w:rsidRPr="00C825E6">
        <w:rPr>
          <w:rFonts w:ascii="Times New Roman" w:hAnsi="Times New Roman" w:cs="Times New Roman"/>
          <w:sz w:val="24"/>
          <w:szCs w:val="24"/>
        </w:rPr>
        <w:t xml:space="preserve"> using a TA.XT.plus Texture analyzer </w:t>
      </w:r>
      <w:r w:rsidRPr="00C825E6">
        <w:rPr>
          <w:rFonts w:ascii="Times New Roman" w:hAnsi="Times New Roman"/>
          <w:sz w:val="24"/>
          <w:szCs w:val="24"/>
        </w:rPr>
        <w:t xml:space="preserve">(Stable Micro Systems, Godalming, UK) and cylindrical probe dimensions 13mm diameter and 35 mm height. </w:t>
      </w:r>
      <w:r w:rsidRPr="00C825E6">
        <w:rPr>
          <w:rFonts w:ascii="Times New Roman" w:hAnsi="Times New Roman" w:cs="Times New Roman"/>
          <w:sz w:val="24"/>
          <w:szCs w:val="24"/>
        </w:rPr>
        <w:t xml:space="preserve"> The gel of the sample which contained 0.5% of CaCl</w:t>
      </w:r>
      <w:r w:rsidRPr="00C825E6">
        <w:rPr>
          <w:rFonts w:ascii="Times New Roman" w:hAnsi="Times New Roman" w:cs="Times New Roman"/>
          <w:sz w:val="24"/>
          <w:szCs w:val="24"/>
          <w:vertAlign w:val="subscript"/>
        </w:rPr>
        <w:t>2</w:t>
      </w:r>
      <w:r w:rsidRPr="00C825E6">
        <w:rPr>
          <w:rFonts w:ascii="Times New Roman" w:hAnsi="Times New Roman" w:cs="Times New Roman"/>
          <w:sz w:val="24"/>
          <w:szCs w:val="24"/>
        </w:rPr>
        <w:t xml:space="preserve"> was harder than the sample which contained 0.3% of CaCl</w:t>
      </w:r>
      <w:r w:rsidRPr="00C825E6">
        <w:rPr>
          <w:rFonts w:ascii="Times New Roman" w:hAnsi="Times New Roman" w:cs="Times New Roman"/>
          <w:sz w:val="24"/>
          <w:szCs w:val="24"/>
          <w:vertAlign w:val="subscript"/>
        </w:rPr>
        <w:t>2</w:t>
      </w:r>
      <w:r w:rsidRPr="00C825E6">
        <w:rPr>
          <w:rFonts w:ascii="Times New Roman" w:hAnsi="Times New Roman" w:cs="Times New Roman"/>
          <w:sz w:val="24"/>
          <w:szCs w:val="24"/>
        </w:rPr>
        <w:t xml:space="preserve"> (Fig. 2).  We believe that at neutral pH, the Ca</w:t>
      </w:r>
      <w:r w:rsidRPr="00C825E6">
        <w:rPr>
          <w:rFonts w:ascii="Times New Roman" w:hAnsi="Times New Roman" w:cs="Times New Roman"/>
          <w:sz w:val="24"/>
          <w:szCs w:val="24"/>
          <w:vertAlign w:val="superscript"/>
        </w:rPr>
        <w:t>2+</w:t>
      </w:r>
      <w:r w:rsidRPr="00C825E6">
        <w:rPr>
          <w:rFonts w:ascii="Times New Roman" w:hAnsi="Times New Roman" w:cs="Times New Roman"/>
          <w:sz w:val="24"/>
          <w:szCs w:val="24"/>
        </w:rPr>
        <w:t xml:space="preserve"> added reacts with the phosphate</w:t>
      </w:r>
      <w:r w:rsidRPr="00276E98">
        <w:rPr>
          <w:rFonts w:ascii="Times New Roman" w:hAnsi="Times New Roman" w:cs="Times New Roman"/>
          <w:sz w:val="24"/>
          <w:szCs w:val="24"/>
        </w:rPr>
        <w:t xml:space="preserve"> </w:t>
      </w:r>
      <w:r w:rsidRPr="00276E98">
        <w:rPr>
          <w:rFonts w:ascii="Times New Roman" w:hAnsi="Times New Roman" w:cs="Times New Roman"/>
          <w:sz w:val="24"/>
          <w:szCs w:val="24"/>
        </w:rPr>
        <w:lastRenderedPageBreak/>
        <w:t>groups forming a polymer which entraps the sugar solution.  It appears that the same principle which explains the jellification due to carbohydrates</w:t>
      </w:r>
      <w:r>
        <w:rPr>
          <w:rFonts w:ascii="Times New Roman" w:hAnsi="Times New Roman" w:cs="Times New Roman"/>
          <w:sz w:val="24"/>
          <w:szCs w:val="24"/>
        </w:rPr>
        <w:t>, such as pectin, can be observed</w:t>
      </w:r>
      <w:r w:rsidRPr="00276E98">
        <w:rPr>
          <w:rFonts w:ascii="Times New Roman" w:hAnsi="Times New Roman" w:cs="Times New Roman"/>
          <w:sz w:val="24"/>
          <w:szCs w:val="24"/>
        </w:rPr>
        <w:t xml:space="preserve"> in our systems.  For example, low methoxyl pectin solutions need Ca</w:t>
      </w:r>
      <w:r w:rsidRPr="00276E98">
        <w:rPr>
          <w:rFonts w:ascii="Times New Roman" w:hAnsi="Times New Roman" w:cs="Times New Roman"/>
          <w:sz w:val="24"/>
          <w:szCs w:val="24"/>
          <w:vertAlign w:val="superscript"/>
        </w:rPr>
        <w:t>2+</w:t>
      </w:r>
      <w:r w:rsidRPr="00276E98">
        <w:rPr>
          <w:rFonts w:ascii="Times New Roman" w:hAnsi="Times New Roman" w:cs="Times New Roman"/>
          <w:sz w:val="24"/>
          <w:szCs w:val="24"/>
        </w:rPr>
        <w:t xml:space="preserve"> ions to gel since these divalent cations form crossbridges between pectins.  If we increase the Ca</w:t>
      </w:r>
      <w:r w:rsidRPr="00276E98">
        <w:rPr>
          <w:rFonts w:ascii="Times New Roman" w:hAnsi="Times New Roman" w:cs="Times New Roman"/>
          <w:sz w:val="24"/>
          <w:szCs w:val="24"/>
          <w:vertAlign w:val="superscript"/>
        </w:rPr>
        <w:t>2+</w:t>
      </w:r>
      <w:r w:rsidRPr="00276E98">
        <w:rPr>
          <w:rFonts w:ascii="Times New Roman" w:hAnsi="Times New Roman" w:cs="Times New Roman"/>
          <w:sz w:val="24"/>
          <w:szCs w:val="24"/>
        </w:rPr>
        <w:t xml:space="preserve"> content, </w:t>
      </w:r>
      <w:r w:rsidR="00510E00">
        <w:rPr>
          <w:rFonts w:ascii="Times New Roman" w:hAnsi="Times New Roman" w:cs="Times New Roman"/>
          <w:sz w:val="24"/>
          <w:szCs w:val="24"/>
        </w:rPr>
        <w:t xml:space="preserve">the gel strength is increased </w:t>
      </w:r>
      <w:r w:rsidRPr="00276E98">
        <w:rPr>
          <w:rFonts w:ascii="Times New Roman" w:hAnsi="Times New Roman" w:cs="Times New Roman"/>
          <w:noProof/>
          <w:sz w:val="24"/>
          <w:szCs w:val="24"/>
        </w:rPr>
        <w:t>(Fennema 1996)</w:t>
      </w:r>
      <w:r w:rsidRPr="00276E98">
        <w:rPr>
          <w:rFonts w:ascii="Times New Roman" w:hAnsi="Times New Roman" w:cs="Times New Roman"/>
          <w:sz w:val="24"/>
          <w:szCs w:val="24"/>
        </w:rPr>
        <w:t xml:space="preserve">.  Going back to our retort pouches experiments, the other two </w:t>
      </w:r>
      <w:r w:rsidRPr="00F20FA4">
        <w:rPr>
          <w:rFonts w:ascii="Times New Roman" w:hAnsi="Times New Roman" w:cs="Times New Roman"/>
          <w:sz w:val="24"/>
          <w:szCs w:val="24"/>
        </w:rPr>
        <w:t>treatments which had A2P (A2P-0.01% Pycnogenol and A2P-0.1%Pycnogenol) during the 5 hours of storage at refrigeration did not gel.  In these last syrups, we believe that the Pycnogenol provided H</w:t>
      </w:r>
      <w:r w:rsidRPr="00F20FA4">
        <w:rPr>
          <w:rFonts w:ascii="Times New Roman" w:hAnsi="Times New Roman" w:cs="Times New Roman"/>
          <w:sz w:val="24"/>
          <w:szCs w:val="24"/>
          <w:vertAlign w:val="superscript"/>
        </w:rPr>
        <w:t>+</w:t>
      </w:r>
      <w:r w:rsidRPr="00F20FA4">
        <w:rPr>
          <w:rFonts w:ascii="Times New Roman" w:hAnsi="Times New Roman" w:cs="Times New Roman"/>
          <w:sz w:val="24"/>
          <w:szCs w:val="24"/>
        </w:rPr>
        <w:t xml:space="preserve"> which prevented the reactions between Ca</w:t>
      </w:r>
      <w:r w:rsidRPr="00F20FA4">
        <w:rPr>
          <w:rFonts w:ascii="Times New Roman" w:hAnsi="Times New Roman" w:cs="Times New Roman"/>
          <w:sz w:val="24"/>
          <w:szCs w:val="24"/>
          <w:vertAlign w:val="superscript"/>
        </w:rPr>
        <w:t>2+</w:t>
      </w:r>
      <w:r w:rsidRPr="00F20FA4">
        <w:rPr>
          <w:rFonts w:ascii="Times New Roman" w:hAnsi="Times New Roman" w:cs="Times New Roman"/>
          <w:sz w:val="24"/>
          <w:szCs w:val="24"/>
        </w:rPr>
        <w:t xml:space="preserve"> and A2P.  As we can see in Table 1, the syrups which contained the highest concentrations of Pycnogenol had the lowest pH. </w:t>
      </w:r>
    </w:p>
    <w:p w:rsidR="00274675" w:rsidRPr="00F20FA4" w:rsidRDefault="00274675" w:rsidP="00B540A1">
      <w:pPr>
        <w:spacing w:after="0" w:line="360" w:lineRule="auto"/>
        <w:jc w:val="both"/>
        <w:rPr>
          <w:rFonts w:ascii="Times New Roman" w:hAnsi="Times New Roman" w:cs="Times New Roman"/>
          <w:sz w:val="24"/>
          <w:szCs w:val="24"/>
        </w:rPr>
      </w:pPr>
    </w:p>
    <w:p w:rsidR="00B540A1" w:rsidRDefault="00B540A1" w:rsidP="00B540A1">
      <w:pPr>
        <w:spacing w:after="0" w:line="360" w:lineRule="auto"/>
        <w:jc w:val="both"/>
        <w:rPr>
          <w:rFonts w:ascii="Times New Roman" w:hAnsi="Times New Roman"/>
          <w:sz w:val="24"/>
          <w:szCs w:val="24"/>
        </w:rPr>
      </w:pPr>
      <w:r w:rsidRPr="00C825E6">
        <w:rPr>
          <w:rFonts w:ascii="Times New Roman" w:hAnsi="Times New Roman"/>
          <w:sz w:val="24"/>
          <w:szCs w:val="24"/>
        </w:rPr>
        <w:tab/>
        <w:t xml:space="preserve">We could have added an acidulant such as citric acid to the A2P syrups in order to lower the pH; however, we did not do this since we wanted to maintain a balanced experimental design. </w:t>
      </w:r>
      <w:r>
        <w:rPr>
          <w:rFonts w:ascii="Times New Roman" w:hAnsi="Times New Roman"/>
          <w:sz w:val="24"/>
          <w:szCs w:val="24"/>
        </w:rPr>
        <w:t xml:space="preserve"> </w:t>
      </w:r>
      <w:r w:rsidRPr="00C825E6">
        <w:rPr>
          <w:rFonts w:ascii="Times New Roman" w:hAnsi="Times New Roman"/>
          <w:sz w:val="24"/>
          <w:szCs w:val="24"/>
        </w:rPr>
        <w:t>Also, it has been sugges</w:t>
      </w:r>
      <w:r>
        <w:rPr>
          <w:rFonts w:ascii="Times New Roman" w:hAnsi="Times New Roman"/>
          <w:sz w:val="24"/>
          <w:szCs w:val="24"/>
        </w:rPr>
        <w:t xml:space="preserve">ted that </w:t>
      </w:r>
      <w:r w:rsidRPr="00C825E6">
        <w:rPr>
          <w:rFonts w:ascii="Times New Roman" w:hAnsi="Times New Roman"/>
          <w:sz w:val="24"/>
          <w:szCs w:val="24"/>
        </w:rPr>
        <w:t xml:space="preserve">citric acid participates in the formation of some of the brown pigments in non-enzymatic reactions </w:t>
      </w:r>
      <w:r w:rsidRPr="00C825E6">
        <w:rPr>
          <w:rFonts w:ascii="Times New Roman" w:hAnsi="Times New Roman"/>
          <w:noProof/>
          <w:sz w:val="24"/>
          <w:szCs w:val="24"/>
        </w:rPr>
        <w:t>(Clegg 1964)</w:t>
      </w:r>
      <w:r w:rsidRPr="00C825E6">
        <w:rPr>
          <w:rFonts w:ascii="Times New Roman" w:hAnsi="Times New Roman"/>
          <w:sz w:val="24"/>
          <w:szCs w:val="24"/>
        </w:rPr>
        <w:t xml:space="preserve">; consequently the addition of citric acid could have caused </w:t>
      </w:r>
      <w:r>
        <w:rPr>
          <w:rFonts w:ascii="Times New Roman" w:hAnsi="Times New Roman"/>
          <w:sz w:val="24"/>
          <w:szCs w:val="24"/>
        </w:rPr>
        <w:t>extraneous effects</w:t>
      </w:r>
      <w:r w:rsidRPr="00C825E6">
        <w:rPr>
          <w:rFonts w:ascii="Times New Roman" w:hAnsi="Times New Roman"/>
          <w:sz w:val="24"/>
          <w:szCs w:val="24"/>
        </w:rPr>
        <w:t>.</w:t>
      </w:r>
      <w:r>
        <w:rPr>
          <w:rFonts w:ascii="Times New Roman" w:hAnsi="Times New Roman"/>
          <w:sz w:val="24"/>
          <w:szCs w:val="24"/>
        </w:rPr>
        <w:t xml:space="preserve"> </w:t>
      </w:r>
      <w:r w:rsidRPr="00C825E6">
        <w:rPr>
          <w:rFonts w:ascii="Times New Roman" w:hAnsi="Times New Roman"/>
          <w:sz w:val="24"/>
          <w:szCs w:val="24"/>
        </w:rPr>
        <w:t xml:space="preserve"> Finally, since the pH in the mixture of diced peaches and syrup were already between 3 and 4, the syrups did not form jells inside the pouches.</w:t>
      </w:r>
    </w:p>
    <w:p w:rsidR="00B540A1" w:rsidRPr="00C825E6" w:rsidRDefault="00B540A1" w:rsidP="00B540A1">
      <w:pPr>
        <w:spacing w:after="0" w:line="360" w:lineRule="auto"/>
        <w:jc w:val="both"/>
        <w:rPr>
          <w:rFonts w:ascii="Times New Roman" w:hAnsi="Times New Roman"/>
          <w:sz w:val="24"/>
          <w:szCs w:val="24"/>
        </w:rPr>
      </w:pPr>
    </w:p>
    <w:p w:rsidR="00B540A1" w:rsidRPr="00276E98" w:rsidRDefault="00B540A1" w:rsidP="00B540A1">
      <w:pPr>
        <w:spacing w:after="0" w:line="360" w:lineRule="auto"/>
        <w:jc w:val="both"/>
        <w:rPr>
          <w:rFonts w:ascii="Times New Roman" w:hAnsi="Times New Roman" w:cs="Times New Roman"/>
          <w:b/>
          <w:i/>
          <w:sz w:val="24"/>
          <w:szCs w:val="24"/>
        </w:rPr>
      </w:pPr>
      <w:proofErr w:type="gramStart"/>
      <w:r w:rsidRPr="00276E98">
        <w:rPr>
          <w:rFonts w:ascii="Times New Roman" w:hAnsi="Times New Roman" w:cs="Times New Roman"/>
          <w:b/>
          <w:i/>
          <w:sz w:val="24"/>
          <w:szCs w:val="24"/>
        </w:rPr>
        <w:t>pH</w:t>
      </w:r>
      <w:proofErr w:type="gramEnd"/>
      <w:r w:rsidRPr="00276E98">
        <w:rPr>
          <w:rFonts w:ascii="Times New Roman" w:hAnsi="Times New Roman" w:cs="Times New Roman"/>
          <w:b/>
          <w:i/>
          <w:sz w:val="24"/>
          <w:szCs w:val="24"/>
        </w:rPr>
        <w:t xml:space="preserve"> and °Brix during storage</w:t>
      </w:r>
    </w:p>
    <w:p w:rsidR="00B540A1" w:rsidRPr="00276E98" w:rsidRDefault="00B540A1" w:rsidP="00B540A1">
      <w:pPr>
        <w:spacing w:after="0" w:line="360" w:lineRule="auto"/>
        <w:jc w:val="both"/>
        <w:rPr>
          <w:rFonts w:ascii="Times New Roman" w:hAnsi="Times New Roman"/>
          <w:sz w:val="24"/>
          <w:szCs w:val="24"/>
        </w:rPr>
      </w:pPr>
      <w:r w:rsidRPr="00276E98">
        <w:rPr>
          <w:rFonts w:ascii="Times New Roman" w:hAnsi="Times New Roman" w:cs="Times New Roman"/>
          <w:sz w:val="24"/>
          <w:szCs w:val="24"/>
        </w:rPr>
        <w:tab/>
      </w:r>
      <w:r w:rsidRPr="00276E98">
        <w:rPr>
          <w:rFonts w:ascii="Times New Roman" w:hAnsi="Times New Roman"/>
          <w:sz w:val="24"/>
          <w:szCs w:val="24"/>
        </w:rPr>
        <w:t xml:space="preserve">Tables 2 and 3 show the pH and °Brix values at the beginning and end of storage for each temperature.  No significant changes in pH or °Brix were observed at either temperature.  Some reports have shown that pH may decrease during non-enzymatic browning, due to the appearance of carbonyl compounds </w:t>
      </w:r>
      <w:r w:rsidRPr="00276E98">
        <w:rPr>
          <w:rFonts w:ascii="Times New Roman" w:hAnsi="Times New Roman"/>
          <w:noProof/>
          <w:sz w:val="24"/>
          <w:szCs w:val="24"/>
        </w:rPr>
        <w:t xml:space="preserve">(Roig </w:t>
      </w:r>
      <w:r>
        <w:rPr>
          <w:rFonts w:ascii="Times New Roman" w:hAnsi="Times New Roman"/>
          <w:noProof/>
          <w:sz w:val="24"/>
          <w:szCs w:val="24"/>
        </w:rPr>
        <w:t>and others</w:t>
      </w:r>
      <w:r w:rsidRPr="00276E98">
        <w:rPr>
          <w:rFonts w:ascii="Times New Roman" w:hAnsi="Times New Roman"/>
          <w:noProof/>
          <w:sz w:val="24"/>
          <w:szCs w:val="24"/>
        </w:rPr>
        <w:t xml:space="preserve"> 2000)</w:t>
      </w:r>
      <w:r w:rsidRPr="00276E98">
        <w:rPr>
          <w:rFonts w:ascii="Times New Roman" w:hAnsi="Times New Roman"/>
          <w:sz w:val="24"/>
          <w:szCs w:val="24"/>
        </w:rPr>
        <w:t xml:space="preserve">.  On the other hand, it has also been reported that pH increases during the storage of retort pouch wet-pack pears </w:t>
      </w:r>
      <w:r w:rsidRPr="00276E98">
        <w:rPr>
          <w:rFonts w:ascii="Times New Roman" w:hAnsi="Times New Roman"/>
          <w:noProof/>
          <w:sz w:val="24"/>
          <w:szCs w:val="24"/>
        </w:rPr>
        <w:t xml:space="preserve">(Olivas </w:t>
      </w:r>
      <w:r>
        <w:rPr>
          <w:rFonts w:ascii="Times New Roman" w:hAnsi="Times New Roman"/>
          <w:noProof/>
          <w:sz w:val="24"/>
          <w:szCs w:val="24"/>
        </w:rPr>
        <w:t>and others</w:t>
      </w:r>
      <w:r w:rsidRPr="00276E98">
        <w:rPr>
          <w:rFonts w:ascii="Times New Roman" w:hAnsi="Times New Roman"/>
          <w:noProof/>
          <w:sz w:val="24"/>
          <w:szCs w:val="24"/>
        </w:rPr>
        <w:t xml:space="preserve"> 2002)</w:t>
      </w:r>
      <w:r w:rsidRPr="00276E98">
        <w:rPr>
          <w:rFonts w:ascii="Times New Roman" w:hAnsi="Times New Roman"/>
          <w:sz w:val="24"/>
          <w:szCs w:val="24"/>
        </w:rPr>
        <w:t xml:space="preserve">.  In orange juice packaged in tetrabrix cartons, a pH of 3.65 was maintained during storage </w:t>
      </w:r>
      <w:r w:rsidRPr="00276E98">
        <w:rPr>
          <w:rFonts w:ascii="Times New Roman" w:hAnsi="Times New Roman"/>
          <w:noProof/>
          <w:sz w:val="24"/>
          <w:szCs w:val="24"/>
        </w:rPr>
        <w:t xml:space="preserve">(Roig </w:t>
      </w:r>
      <w:r>
        <w:rPr>
          <w:rFonts w:ascii="Times New Roman" w:hAnsi="Times New Roman"/>
          <w:noProof/>
          <w:sz w:val="24"/>
          <w:szCs w:val="24"/>
        </w:rPr>
        <w:t>and others</w:t>
      </w:r>
      <w:r w:rsidRPr="00276E98">
        <w:rPr>
          <w:rFonts w:ascii="Times New Roman" w:hAnsi="Times New Roman"/>
          <w:noProof/>
          <w:sz w:val="24"/>
          <w:szCs w:val="24"/>
        </w:rPr>
        <w:t xml:space="preserve"> 2000)</w:t>
      </w:r>
      <w:r w:rsidRPr="00276E98">
        <w:rPr>
          <w:rFonts w:ascii="Times New Roman" w:hAnsi="Times New Roman"/>
          <w:sz w:val="24"/>
          <w:szCs w:val="24"/>
        </w:rPr>
        <w:t xml:space="preserve">.  No changes in °Brix were observed in cashew apple (pH 4.4) during storage.  In this last paper, the constant concentration of soluble solids, reducing and total sugars suggested that that there was no participation of sugars in the non-enzymatic browning reactions </w:t>
      </w:r>
      <w:r w:rsidRPr="00276E98">
        <w:rPr>
          <w:rFonts w:ascii="Times New Roman" w:hAnsi="Times New Roman"/>
          <w:noProof/>
          <w:sz w:val="24"/>
          <w:szCs w:val="24"/>
        </w:rPr>
        <w:t>(Damasceno and others 2007)</w:t>
      </w:r>
      <w:r w:rsidRPr="00276E98">
        <w:rPr>
          <w:rFonts w:ascii="Times New Roman" w:hAnsi="Times New Roman"/>
          <w:sz w:val="24"/>
          <w:szCs w:val="24"/>
        </w:rPr>
        <w:t xml:space="preserve">.  As we know, reaction of reducing sugars and amino acids cause maillard reactions, which is a type of non-enzymatic browning favored by a more alkaline pH environment </w:t>
      </w:r>
      <w:r w:rsidRPr="00276E98">
        <w:rPr>
          <w:rFonts w:ascii="Times New Roman" w:hAnsi="Times New Roman"/>
          <w:noProof/>
          <w:sz w:val="24"/>
          <w:szCs w:val="24"/>
        </w:rPr>
        <w:t>(Fennema 1996)</w:t>
      </w:r>
      <w:r w:rsidRPr="00276E98">
        <w:rPr>
          <w:rFonts w:ascii="Times New Roman" w:hAnsi="Times New Roman"/>
          <w:sz w:val="24"/>
          <w:szCs w:val="24"/>
        </w:rPr>
        <w:t xml:space="preserve">. </w:t>
      </w:r>
    </w:p>
    <w:p w:rsidR="00B540A1" w:rsidRPr="00276E98" w:rsidRDefault="00B540A1" w:rsidP="00B540A1">
      <w:pPr>
        <w:spacing w:after="0" w:line="360" w:lineRule="auto"/>
        <w:jc w:val="both"/>
        <w:rPr>
          <w:rFonts w:ascii="Times New Roman" w:hAnsi="Times New Roman"/>
          <w:sz w:val="24"/>
          <w:szCs w:val="24"/>
        </w:rPr>
      </w:pPr>
    </w:p>
    <w:p w:rsidR="00B540A1" w:rsidRPr="00276E98" w:rsidRDefault="00B540A1" w:rsidP="00B540A1">
      <w:pPr>
        <w:spacing w:after="0" w:line="360" w:lineRule="auto"/>
        <w:jc w:val="both"/>
        <w:outlineLvl w:val="0"/>
        <w:rPr>
          <w:rFonts w:ascii="Times New Roman" w:hAnsi="Times New Roman" w:cs="Times New Roman"/>
          <w:b/>
          <w:i/>
          <w:sz w:val="24"/>
          <w:szCs w:val="24"/>
        </w:rPr>
      </w:pPr>
      <w:r w:rsidRPr="00276E98">
        <w:rPr>
          <w:rFonts w:ascii="Times New Roman" w:hAnsi="Times New Roman" w:cs="Times New Roman"/>
          <w:b/>
          <w:i/>
          <w:sz w:val="24"/>
          <w:szCs w:val="24"/>
        </w:rPr>
        <w:lastRenderedPageBreak/>
        <w:t>Color parameters (CIELAB System)</w:t>
      </w:r>
    </w:p>
    <w:p w:rsidR="00B540A1" w:rsidRPr="00276E98" w:rsidRDefault="00B540A1" w:rsidP="00B540A1">
      <w:pPr>
        <w:spacing w:after="0" w:line="360" w:lineRule="auto"/>
        <w:ind w:firstLine="708"/>
        <w:jc w:val="both"/>
        <w:rPr>
          <w:rFonts w:ascii="Times New Roman" w:hAnsi="Times New Roman"/>
          <w:sz w:val="24"/>
          <w:szCs w:val="24"/>
        </w:rPr>
      </w:pPr>
      <w:r w:rsidRPr="00276E98">
        <w:rPr>
          <w:rFonts w:ascii="Times New Roman" w:hAnsi="Times New Roman"/>
          <w:sz w:val="24"/>
          <w:szCs w:val="24"/>
        </w:rPr>
        <w:t xml:space="preserve">The L*, a* and b* parameters indicate how dark/light, red/green and yellow/blue the samples are, respectively </w:t>
      </w:r>
      <w:r w:rsidRPr="00276E98">
        <w:rPr>
          <w:rFonts w:ascii="Times New Roman" w:hAnsi="Times New Roman"/>
          <w:noProof/>
          <w:sz w:val="24"/>
          <w:szCs w:val="24"/>
        </w:rPr>
        <w:t>(HunterLab 2008)</w:t>
      </w:r>
      <w:r w:rsidRPr="00276E98">
        <w:rPr>
          <w:rFonts w:ascii="Times New Roman" w:hAnsi="Times New Roman"/>
          <w:sz w:val="24"/>
          <w:szCs w:val="24"/>
        </w:rPr>
        <w:t>.  These values, as well as the size of color difference (∆E*), were measured or calculated throughout storage (Figures 2-10).  The results of the complete factorial design to determine the effect of each factor and the interactions between them (vitamin type and Pycnogenol concentration) are presented in Tables 4-7.  The kinetic models presented in Table 8 correspond to those that were successfully applied for our data.  Those models which presented a high root mean square error (RMSE) and a low R</w:t>
      </w:r>
      <w:r w:rsidRPr="00276E98">
        <w:rPr>
          <w:rFonts w:ascii="Times New Roman" w:hAnsi="Times New Roman"/>
          <w:sz w:val="24"/>
          <w:szCs w:val="24"/>
          <w:vertAlign w:val="superscript"/>
        </w:rPr>
        <w:t>2</w:t>
      </w:r>
      <w:r w:rsidRPr="00276E98">
        <w:rPr>
          <w:rFonts w:ascii="Times New Roman" w:hAnsi="Times New Roman"/>
          <w:sz w:val="24"/>
          <w:szCs w:val="24"/>
        </w:rPr>
        <w:t xml:space="preserve"> were not included. </w:t>
      </w:r>
    </w:p>
    <w:p w:rsidR="00B540A1" w:rsidRPr="00276E98" w:rsidRDefault="00B540A1" w:rsidP="00B540A1">
      <w:pPr>
        <w:spacing w:after="0" w:line="360" w:lineRule="auto"/>
        <w:ind w:firstLine="708"/>
        <w:jc w:val="both"/>
        <w:rPr>
          <w:rFonts w:ascii="Times New Roman" w:hAnsi="Times New Roman"/>
          <w:sz w:val="24"/>
          <w:szCs w:val="24"/>
        </w:rPr>
      </w:pPr>
    </w:p>
    <w:p w:rsidR="00B540A1" w:rsidRPr="00276E98" w:rsidRDefault="00B540A1" w:rsidP="00B540A1">
      <w:pPr>
        <w:spacing w:after="0" w:line="360" w:lineRule="auto"/>
        <w:jc w:val="both"/>
        <w:outlineLvl w:val="0"/>
        <w:rPr>
          <w:rFonts w:ascii="Times New Roman" w:hAnsi="Times New Roman"/>
          <w:b/>
          <w:i/>
          <w:sz w:val="24"/>
          <w:szCs w:val="24"/>
        </w:rPr>
      </w:pPr>
      <w:r w:rsidRPr="00276E98">
        <w:rPr>
          <w:rFonts w:ascii="Times New Roman" w:hAnsi="Times New Roman"/>
          <w:b/>
          <w:i/>
          <w:sz w:val="24"/>
          <w:szCs w:val="24"/>
        </w:rPr>
        <w:t>Color parameter L*</w:t>
      </w:r>
    </w:p>
    <w:p w:rsidR="00B540A1" w:rsidRPr="00C825E6" w:rsidRDefault="00B540A1" w:rsidP="00B540A1">
      <w:pPr>
        <w:spacing w:after="0" w:line="360" w:lineRule="auto"/>
        <w:ind w:firstLine="720"/>
        <w:jc w:val="both"/>
        <w:rPr>
          <w:rFonts w:ascii="Times New Roman" w:hAnsi="Times New Roman"/>
          <w:sz w:val="24"/>
          <w:szCs w:val="24"/>
        </w:rPr>
      </w:pPr>
      <w:r w:rsidRPr="00C825E6">
        <w:rPr>
          <w:rFonts w:ascii="Times New Roman" w:hAnsi="Times New Roman"/>
          <w:sz w:val="24"/>
          <w:szCs w:val="24"/>
        </w:rPr>
        <w:t xml:space="preserve">At the beginning of the storage (Table 4), the type of vitamin C did not have an effect on the lightness of the samples (p&gt;0.05). In the case of Pycnogenol, even though we observe that this had </w:t>
      </w:r>
      <w:r>
        <w:rPr>
          <w:rFonts w:ascii="Times New Roman" w:hAnsi="Times New Roman"/>
          <w:sz w:val="24"/>
          <w:szCs w:val="24"/>
        </w:rPr>
        <w:t>an effect (p&lt;0.05)</w:t>
      </w:r>
      <w:r w:rsidRPr="00C825E6">
        <w:rPr>
          <w:rFonts w:ascii="Times New Roman" w:hAnsi="Times New Roman"/>
          <w:sz w:val="24"/>
          <w:szCs w:val="24"/>
        </w:rPr>
        <w:t xml:space="preserve">, the differences are not of chemical importance.  During storage at both temperatures, the L* values had tendencies to decrease (Figs. 3-4), however, the slopes obtained at 51°C were higher than at 40°C.  These trends are similar to those reported in other studies on non-enzymatic browning of peaches </w:t>
      </w:r>
      <w:r w:rsidRPr="00C825E6">
        <w:rPr>
          <w:rFonts w:ascii="Times New Roman" w:hAnsi="Times New Roman"/>
          <w:noProof/>
          <w:sz w:val="24"/>
          <w:szCs w:val="24"/>
        </w:rPr>
        <w:t xml:space="preserve">(Garza </w:t>
      </w:r>
      <w:r>
        <w:rPr>
          <w:rFonts w:ascii="Times New Roman" w:hAnsi="Times New Roman"/>
          <w:noProof/>
          <w:sz w:val="24"/>
          <w:szCs w:val="24"/>
        </w:rPr>
        <w:t>and others</w:t>
      </w:r>
      <w:r w:rsidRPr="00C825E6">
        <w:rPr>
          <w:rFonts w:ascii="Times New Roman" w:hAnsi="Times New Roman"/>
          <w:noProof/>
          <w:sz w:val="24"/>
          <w:szCs w:val="24"/>
        </w:rPr>
        <w:t xml:space="preserve"> 1999; Lozano and Ibarz 1996; Ibarz </w:t>
      </w:r>
      <w:r>
        <w:rPr>
          <w:rFonts w:ascii="Times New Roman" w:hAnsi="Times New Roman"/>
          <w:noProof/>
          <w:sz w:val="24"/>
          <w:szCs w:val="24"/>
        </w:rPr>
        <w:t>and others</w:t>
      </w:r>
      <w:r w:rsidRPr="00C825E6">
        <w:rPr>
          <w:rFonts w:ascii="Times New Roman" w:hAnsi="Times New Roman"/>
          <w:noProof/>
          <w:sz w:val="24"/>
          <w:szCs w:val="24"/>
        </w:rPr>
        <w:t xml:space="preserve"> 1999; Chutintrasri and Noomhorm 200</w:t>
      </w:r>
      <w:r w:rsidR="00CC7D02">
        <w:rPr>
          <w:rFonts w:ascii="Times New Roman" w:hAnsi="Times New Roman"/>
          <w:noProof/>
          <w:sz w:val="24"/>
          <w:szCs w:val="24"/>
        </w:rPr>
        <w:t>7</w:t>
      </w:r>
      <w:r w:rsidRPr="00C825E6">
        <w:rPr>
          <w:rFonts w:ascii="Times New Roman" w:hAnsi="Times New Roman"/>
          <w:noProof/>
          <w:sz w:val="24"/>
          <w:szCs w:val="24"/>
        </w:rPr>
        <w:t>)</w:t>
      </w:r>
      <w:r w:rsidRPr="00C825E6">
        <w:rPr>
          <w:rFonts w:ascii="Times New Roman" w:hAnsi="Times New Roman"/>
          <w:sz w:val="24"/>
          <w:szCs w:val="24"/>
        </w:rPr>
        <w:t xml:space="preserve">.  Also, during storage of peaches </w:t>
      </w:r>
      <w:r w:rsidRPr="00C825E6">
        <w:rPr>
          <w:rFonts w:ascii="Times New Roman" w:hAnsi="Times New Roman"/>
          <w:noProof/>
          <w:sz w:val="24"/>
          <w:szCs w:val="24"/>
        </w:rPr>
        <w:t xml:space="preserve">(Kluter </w:t>
      </w:r>
      <w:r>
        <w:rPr>
          <w:rFonts w:ascii="Times New Roman" w:hAnsi="Times New Roman"/>
          <w:noProof/>
          <w:sz w:val="24"/>
          <w:szCs w:val="24"/>
        </w:rPr>
        <w:t>and others</w:t>
      </w:r>
      <w:r w:rsidRPr="00C825E6">
        <w:rPr>
          <w:rFonts w:ascii="Times New Roman" w:hAnsi="Times New Roman"/>
          <w:noProof/>
          <w:sz w:val="24"/>
          <w:szCs w:val="24"/>
        </w:rPr>
        <w:t xml:space="preserve"> 1994)</w:t>
      </w:r>
      <w:r w:rsidRPr="00C825E6">
        <w:rPr>
          <w:rFonts w:ascii="Times New Roman" w:hAnsi="Times New Roman"/>
          <w:sz w:val="24"/>
          <w:szCs w:val="24"/>
        </w:rPr>
        <w:t xml:space="preserve"> and pears </w:t>
      </w:r>
      <w:r w:rsidRPr="00C825E6">
        <w:rPr>
          <w:rFonts w:ascii="Times New Roman" w:hAnsi="Times New Roman"/>
          <w:noProof/>
          <w:sz w:val="24"/>
          <w:szCs w:val="24"/>
        </w:rPr>
        <w:t xml:space="preserve">(Kluter </w:t>
      </w:r>
      <w:r>
        <w:rPr>
          <w:rFonts w:ascii="Times New Roman" w:hAnsi="Times New Roman"/>
          <w:noProof/>
          <w:sz w:val="24"/>
          <w:szCs w:val="24"/>
        </w:rPr>
        <w:t>and others</w:t>
      </w:r>
      <w:r w:rsidRPr="00C825E6">
        <w:rPr>
          <w:rFonts w:ascii="Times New Roman" w:hAnsi="Times New Roman"/>
          <w:noProof/>
          <w:sz w:val="24"/>
          <w:szCs w:val="24"/>
        </w:rPr>
        <w:t xml:space="preserve"> 1996)</w:t>
      </w:r>
      <w:r w:rsidRPr="00C825E6">
        <w:rPr>
          <w:rFonts w:ascii="Times New Roman" w:hAnsi="Times New Roman"/>
          <w:sz w:val="24"/>
          <w:szCs w:val="24"/>
        </w:rPr>
        <w:t xml:space="preserve"> in retortable pouches, the hunter L values decre</w:t>
      </w:r>
      <w:r w:rsidR="00A676DB">
        <w:rPr>
          <w:rFonts w:ascii="Times New Roman" w:hAnsi="Times New Roman"/>
          <w:sz w:val="24"/>
          <w:szCs w:val="24"/>
        </w:rPr>
        <w:t>ased, and this was higher at 38</w:t>
      </w:r>
      <w:r w:rsidRPr="00C825E6">
        <w:rPr>
          <w:rFonts w:ascii="Times New Roman" w:hAnsi="Times New Roman"/>
          <w:sz w:val="24"/>
          <w:szCs w:val="24"/>
        </w:rPr>
        <w:t xml:space="preserve">°C than at 21°C.  In our results, at the end of 40°C storage, we observed significant differences (p&lt;0.05) in L* value between samples prepared with AA or A2P; however, these differences were small (A2P was higher than AA by 2 units).  </w:t>
      </w:r>
    </w:p>
    <w:p w:rsidR="00B540A1" w:rsidRPr="00276E98" w:rsidRDefault="00B540A1" w:rsidP="00B540A1">
      <w:pPr>
        <w:spacing w:after="0" w:line="360" w:lineRule="auto"/>
        <w:ind w:firstLine="720"/>
        <w:jc w:val="both"/>
        <w:rPr>
          <w:rFonts w:ascii="Times New Roman" w:hAnsi="Times New Roman"/>
          <w:sz w:val="24"/>
          <w:szCs w:val="24"/>
        </w:rPr>
      </w:pPr>
    </w:p>
    <w:p w:rsidR="00B540A1" w:rsidRPr="00276E98" w:rsidRDefault="00B540A1" w:rsidP="00B540A1">
      <w:pPr>
        <w:spacing w:after="0" w:line="360" w:lineRule="auto"/>
        <w:ind w:firstLine="720"/>
        <w:jc w:val="both"/>
        <w:rPr>
          <w:rFonts w:ascii="Times New Roman" w:hAnsi="Times New Roman"/>
          <w:sz w:val="24"/>
          <w:szCs w:val="24"/>
        </w:rPr>
      </w:pPr>
      <w:r w:rsidRPr="00276E98">
        <w:rPr>
          <w:rFonts w:ascii="Times New Roman" w:hAnsi="Times New Roman"/>
          <w:sz w:val="24"/>
          <w:szCs w:val="24"/>
        </w:rPr>
        <w:t>The kinetic parameters for L* values are shown in Table 8.  Both zero and the combined model successfully fitted our data at both storage temperatures.  In fact, both models had very similar R</w:t>
      </w:r>
      <w:r w:rsidRPr="00276E98">
        <w:rPr>
          <w:rFonts w:ascii="Times New Roman" w:hAnsi="Times New Roman"/>
          <w:sz w:val="24"/>
          <w:szCs w:val="24"/>
          <w:vertAlign w:val="superscript"/>
        </w:rPr>
        <w:t>2</w:t>
      </w:r>
      <w:r w:rsidRPr="00276E98">
        <w:rPr>
          <w:rFonts w:ascii="Times New Roman" w:hAnsi="Times New Roman"/>
          <w:sz w:val="24"/>
          <w:szCs w:val="24"/>
        </w:rPr>
        <w:t xml:space="preserve"> and RMSE values.  In these cases, it is recommended to choose the model which has the lowest number of parameters but that still offers a good fit </w:t>
      </w:r>
      <w:r w:rsidRPr="00276E98">
        <w:rPr>
          <w:rFonts w:ascii="Times New Roman" w:hAnsi="Times New Roman"/>
          <w:noProof/>
          <w:sz w:val="24"/>
          <w:szCs w:val="24"/>
        </w:rPr>
        <w:t>(van Boekel 2008)</w:t>
      </w:r>
      <w:r w:rsidRPr="00276E98">
        <w:rPr>
          <w:rFonts w:ascii="Times New Roman" w:hAnsi="Times New Roman"/>
          <w:sz w:val="24"/>
          <w:szCs w:val="24"/>
        </w:rPr>
        <w:t xml:space="preserve">.  Based on this principle, and on the linear regressions seen in Figs. 3-4, we used the </w:t>
      </w:r>
      <w:r w:rsidRPr="00276E98">
        <w:rPr>
          <w:rFonts w:ascii="Times New Roman" w:hAnsi="Times New Roman"/>
          <w:i/>
          <w:sz w:val="24"/>
          <w:szCs w:val="24"/>
        </w:rPr>
        <w:t>k</w:t>
      </w:r>
      <w:r w:rsidRPr="00276E98">
        <w:rPr>
          <w:rFonts w:ascii="Times New Roman" w:hAnsi="Times New Roman"/>
          <w:sz w:val="24"/>
          <w:szCs w:val="24"/>
        </w:rPr>
        <w:t xml:space="preserve"> obtained in the zero order </w:t>
      </w:r>
      <w:proofErr w:type="gramStart"/>
      <w:r w:rsidRPr="00276E98">
        <w:rPr>
          <w:rFonts w:ascii="Times New Roman" w:hAnsi="Times New Roman"/>
          <w:sz w:val="24"/>
          <w:szCs w:val="24"/>
        </w:rPr>
        <w:t>model</w:t>
      </w:r>
      <w:proofErr w:type="gramEnd"/>
      <w:r w:rsidRPr="00276E98">
        <w:rPr>
          <w:rFonts w:ascii="Times New Roman" w:hAnsi="Times New Roman"/>
          <w:sz w:val="24"/>
          <w:szCs w:val="24"/>
        </w:rPr>
        <w:t xml:space="preserve">.  Most studies done either in heated or stored fruit systems report first order changes in L* values </w:t>
      </w:r>
      <w:r w:rsidRPr="00276E98">
        <w:rPr>
          <w:rFonts w:ascii="Times New Roman" w:hAnsi="Times New Roman"/>
          <w:noProof/>
          <w:sz w:val="24"/>
          <w:szCs w:val="24"/>
        </w:rPr>
        <w:t xml:space="preserve">(Ibarz </w:t>
      </w:r>
      <w:r>
        <w:rPr>
          <w:rFonts w:ascii="Times New Roman" w:hAnsi="Times New Roman"/>
          <w:noProof/>
          <w:sz w:val="24"/>
          <w:szCs w:val="24"/>
        </w:rPr>
        <w:t>and others</w:t>
      </w:r>
      <w:r w:rsidRPr="00276E98">
        <w:rPr>
          <w:rFonts w:ascii="Times New Roman" w:hAnsi="Times New Roman"/>
          <w:noProof/>
          <w:sz w:val="24"/>
          <w:szCs w:val="24"/>
        </w:rPr>
        <w:t xml:space="preserve"> 1999; Garza </w:t>
      </w:r>
      <w:r>
        <w:rPr>
          <w:rFonts w:ascii="Times New Roman" w:hAnsi="Times New Roman"/>
          <w:noProof/>
          <w:sz w:val="24"/>
          <w:szCs w:val="24"/>
        </w:rPr>
        <w:t>and others</w:t>
      </w:r>
      <w:r w:rsidRPr="00276E98">
        <w:rPr>
          <w:rFonts w:ascii="Times New Roman" w:hAnsi="Times New Roman"/>
          <w:noProof/>
          <w:sz w:val="24"/>
          <w:szCs w:val="24"/>
        </w:rPr>
        <w:t xml:space="preserve"> 1999; Lozano and Ibarz 1996; Avila and Silva 1999)</w:t>
      </w:r>
      <w:r w:rsidRPr="00276E98">
        <w:rPr>
          <w:rFonts w:ascii="Times New Roman" w:hAnsi="Times New Roman"/>
          <w:sz w:val="24"/>
          <w:szCs w:val="24"/>
        </w:rPr>
        <w:t xml:space="preserve">.  On the other hand, it has been reported that for maillard browning, the formation of </w:t>
      </w:r>
      <w:r w:rsidRPr="00276E98">
        <w:rPr>
          <w:rFonts w:ascii="Times New Roman" w:hAnsi="Times New Roman"/>
          <w:sz w:val="24"/>
          <w:szCs w:val="24"/>
        </w:rPr>
        <w:lastRenderedPageBreak/>
        <w:t xml:space="preserve">brown pigments from sugars and amino acids, follows a zero order reaction </w:t>
      </w:r>
      <w:r w:rsidRPr="00276E98">
        <w:rPr>
          <w:rFonts w:ascii="Times New Roman" w:hAnsi="Times New Roman"/>
          <w:noProof/>
          <w:sz w:val="24"/>
          <w:szCs w:val="24"/>
        </w:rPr>
        <w:t>(van Boekel 2008)</w:t>
      </w:r>
      <w:r w:rsidRPr="00276E98">
        <w:rPr>
          <w:rFonts w:ascii="Times New Roman" w:hAnsi="Times New Roman"/>
          <w:sz w:val="24"/>
          <w:szCs w:val="24"/>
        </w:rPr>
        <w:t xml:space="preserve">.  In a study conducted in pears packaged in retortable pouches, a zero order reaction was identified for browning index.  In this study, browning index was calculated from a formula which includes the L*, a* and b* parameters </w:t>
      </w:r>
      <w:r w:rsidRPr="00276E98">
        <w:rPr>
          <w:rFonts w:ascii="Times New Roman" w:hAnsi="Times New Roman"/>
          <w:noProof/>
          <w:sz w:val="24"/>
          <w:szCs w:val="24"/>
        </w:rPr>
        <w:t xml:space="preserve">(Olivas </w:t>
      </w:r>
      <w:r>
        <w:rPr>
          <w:rFonts w:ascii="Times New Roman" w:hAnsi="Times New Roman"/>
          <w:noProof/>
          <w:sz w:val="24"/>
          <w:szCs w:val="24"/>
        </w:rPr>
        <w:t>and others</w:t>
      </w:r>
      <w:r w:rsidRPr="00276E98">
        <w:rPr>
          <w:rFonts w:ascii="Times New Roman" w:hAnsi="Times New Roman"/>
          <w:noProof/>
          <w:sz w:val="24"/>
          <w:szCs w:val="24"/>
        </w:rPr>
        <w:t xml:space="preserve"> 2002)</w:t>
      </w:r>
      <w:r w:rsidRPr="00276E98">
        <w:rPr>
          <w:rFonts w:ascii="Times New Roman" w:hAnsi="Times New Roman"/>
          <w:sz w:val="24"/>
          <w:szCs w:val="24"/>
        </w:rPr>
        <w:t xml:space="preserve">. </w:t>
      </w:r>
    </w:p>
    <w:p w:rsidR="00B540A1" w:rsidRPr="00276E98" w:rsidRDefault="00B540A1" w:rsidP="00B540A1">
      <w:pPr>
        <w:spacing w:after="0" w:line="360" w:lineRule="auto"/>
        <w:ind w:firstLine="720"/>
        <w:jc w:val="both"/>
        <w:rPr>
          <w:rFonts w:ascii="Times New Roman" w:hAnsi="Times New Roman"/>
          <w:sz w:val="24"/>
          <w:szCs w:val="24"/>
        </w:rPr>
      </w:pPr>
    </w:p>
    <w:p w:rsidR="00B540A1" w:rsidRPr="00276E98" w:rsidRDefault="00B540A1" w:rsidP="00B540A1">
      <w:pPr>
        <w:spacing w:after="0" w:line="360" w:lineRule="auto"/>
        <w:ind w:firstLine="720"/>
        <w:jc w:val="both"/>
        <w:rPr>
          <w:rFonts w:ascii="Times New Roman" w:hAnsi="Times New Roman"/>
          <w:sz w:val="24"/>
          <w:szCs w:val="24"/>
        </w:rPr>
      </w:pPr>
      <w:r w:rsidRPr="00276E98">
        <w:rPr>
          <w:rFonts w:ascii="Times New Roman" w:hAnsi="Times New Roman"/>
          <w:sz w:val="24"/>
          <w:szCs w:val="24"/>
        </w:rPr>
        <w:t xml:space="preserve">As we can predict from Figs. 3 and 4, the </w:t>
      </w:r>
      <w:r w:rsidRPr="00276E98">
        <w:rPr>
          <w:rFonts w:ascii="Times New Roman" w:hAnsi="Times New Roman"/>
          <w:i/>
          <w:sz w:val="24"/>
          <w:szCs w:val="24"/>
        </w:rPr>
        <w:t>k</w:t>
      </w:r>
      <w:r w:rsidRPr="00276E98">
        <w:rPr>
          <w:rFonts w:ascii="Times New Roman" w:hAnsi="Times New Roman"/>
          <w:sz w:val="24"/>
          <w:szCs w:val="24"/>
        </w:rPr>
        <w:t xml:space="preserve"> values obtained at 51°C were higher than at 40°C.  At 51°C, the </w:t>
      </w:r>
      <w:r w:rsidRPr="00276E98">
        <w:rPr>
          <w:rFonts w:ascii="Times New Roman" w:hAnsi="Times New Roman"/>
          <w:i/>
          <w:sz w:val="24"/>
          <w:szCs w:val="24"/>
        </w:rPr>
        <w:t>k</w:t>
      </w:r>
      <w:r w:rsidRPr="00276E98">
        <w:rPr>
          <w:rFonts w:ascii="Times New Roman" w:hAnsi="Times New Roman"/>
          <w:sz w:val="24"/>
          <w:szCs w:val="24"/>
        </w:rPr>
        <w:t xml:space="preserve"> values were similar in all treatments with the exception of the slightly lower values observed in the A2P-Control and the A2P-0.1% Pycnogenol samples.  However, at the end of the storage, there were not significant differences (p&lt;0.05) in these treatments (Table 4).  At 40°C, the </w:t>
      </w:r>
      <w:r w:rsidRPr="00276E98">
        <w:rPr>
          <w:rFonts w:ascii="Times New Roman" w:hAnsi="Times New Roman"/>
          <w:i/>
          <w:sz w:val="24"/>
          <w:szCs w:val="24"/>
        </w:rPr>
        <w:t>k</w:t>
      </w:r>
      <w:r w:rsidRPr="00276E98">
        <w:rPr>
          <w:rFonts w:ascii="Times New Roman" w:hAnsi="Times New Roman"/>
          <w:sz w:val="24"/>
          <w:szCs w:val="24"/>
        </w:rPr>
        <w:t xml:space="preserve"> values observed among the treatments were nearly identical.   </w:t>
      </w:r>
    </w:p>
    <w:p w:rsidR="00B540A1" w:rsidRPr="00276E98" w:rsidRDefault="00B540A1" w:rsidP="00B540A1">
      <w:pPr>
        <w:spacing w:after="0" w:line="360" w:lineRule="auto"/>
        <w:ind w:firstLine="720"/>
        <w:jc w:val="both"/>
        <w:rPr>
          <w:rFonts w:ascii="Times New Roman" w:hAnsi="Times New Roman"/>
          <w:sz w:val="24"/>
          <w:szCs w:val="24"/>
        </w:rPr>
      </w:pPr>
    </w:p>
    <w:p w:rsidR="00B540A1" w:rsidRPr="00276E98" w:rsidRDefault="00B540A1" w:rsidP="00B540A1">
      <w:pPr>
        <w:spacing w:after="0" w:line="360" w:lineRule="auto"/>
        <w:jc w:val="both"/>
        <w:outlineLvl w:val="0"/>
        <w:rPr>
          <w:rFonts w:ascii="Times New Roman" w:hAnsi="Times New Roman"/>
          <w:b/>
          <w:i/>
          <w:sz w:val="24"/>
          <w:szCs w:val="24"/>
        </w:rPr>
      </w:pPr>
      <w:r w:rsidRPr="00276E98">
        <w:rPr>
          <w:rFonts w:ascii="Times New Roman" w:hAnsi="Times New Roman"/>
          <w:b/>
          <w:i/>
          <w:sz w:val="24"/>
          <w:szCs w:val="24"/>
        </w:rPr>
        <w:t>Color parameter a*</w:t>
      </w:r>
    </w:p>
    <w:p w:rsidR="00B540A1" w:rsidRPr="00C825E6" w:rsidRDefault="00B540A1" w:rsidP="00B540A1">
      <w:pPr>
        <w:spacing w:after="0" w:line="360" w:lineRule="auto"/>
        <w:ind w:firstLine="720"/>
        <w:jc w:val="both"/>
        <w:rPr>
          <w:rFonts w:ascii="Times New Roman" w:hAnsi="Times New Roman"/>
          <w:sz w:val="24"/>
          <w:szCs w:val="24"/>
        </w:rPr>
      </w:pPr>
      <w:proofErr w:type="gramStart"/>
      <w:r w:rsidRPr="00276E98">
        <w:rPr>
          <w:rFonts w:ascii="Times New Roman" w:hAnsi="Times New Roman"/>
          <w:sz w:val="24"/>
          <w:szCs w:val="24"/>
        </w:rPr>
        <w:t>Figures 5 and 6 show higher a* values at day 0 for the treatments that contained 0.1% Pycnogenol.</w:t>
      </w:r>
      <w:proofErr w:type="gramEnd"/>
      <w:r w:rsidRPr="00276E98">
        <w:rPr>
          <w:rFonts w:ascii="Times New Roman" w:hAnsi="Times New Roman"/>
          <w:sz w:val="24"/>
          <w:szCs w:val="24"/>
        </w:rPr>
        <w:t xml:space="preserve">  This difference was statistically </w:t>
      </w:r>
      <w:r w:rsidRPr="00C825E6">
        <w:rPr>
          <w:rFonts w:ascii="Times New Roman" w:hAnsi="Times New Roman"/>
          <w:sz w:val="24"/>
          <w:szCs w:val="24"/>
        </w:rPr>
        <w:t xml:space="preserve">significant (p&lt;0.05) in comparison with the other concentrations, as we can see in Table 5.  This more reddish color is explained by the brownish color of the Pycnogenol extract </w:t>
      </w:r>
      <w:r w:rsidRPr="00C825E6">
        <w:rPr>
          <w:rFonts w:ascii="Times New Roman" w:hAnsi="Times New Roman"/>
          <w:noProof/>
          <w:sz w:val="24"/>
          <w:szCs w:val="24"/>
        </w:rPr>
        <w:t>(Rohdewald 2002)</w:t>
      </w:r>
      <w:r w:rsidRPr="00C825E6">
        <w:rPr>
          <w:rFonts w:ascii="Times New Roman" w:hAnsi="Times New Roman"/>
          <w:sz w:val="24"/>
          <w:szCs w:val="24"/>
        </w:rPr>
        <w:t xml:space="preserve">.  There was also a significant difference (p&lt;0.05) between types of vitamin C.  Indeed, the samples with A2P were more opaque. </w:t>
      </w:r>
    </w:p>
    <w:p w:rsidR="00B540A1" w:rsidRPr="00276E98" w:rsidRDefault="00B540A1" w:rsidP="00B540A1">
      <w:pPr>
        <w:spacing w:after="0" w:line="360" w:lineRule="auto"/>
        <w:ind w:firstLine="720"/>
        <w:jc w:val="both"/>
        <w:rPr>
          <w:rFonts w:ascii="Times New Roman" w:hAnsi="Times New Roman"/>
          <w:sz w:val="24"/>
          <w:szCs w:val="24"/>
        </w:rPr>
      </w:pPr>
    </w:p>
    <w:p w:rsidR="00B540A1" w:rsidRPr="00276E98" w:rsidRDefault="00B540A1" w:rsidP="00B540A1">
      <w:pPr>
        <w:spacing w:after="0" w:line="360" w:lineRule="auto"/>
        <w:ind w:firstLine="720"/>
        <w:jc w:val="both"/>
        <w:rPr>
          <w:rFonts w:ascii="Times New Roman" w:hAnsi="Times New Roman"/>
          <w:sz w:val="24"/>
          <w:szCs w:val="24"/>
        </w:rPr>
      </w:pPr>
      <w:r w:rsidRPr="00276E98">
        <w:rPr>
          <w:rFonts w:ascii="Times New Roman" w:hAnsi="Times New Roman"/>
          <w:sz w:val="24"/>
          <w:szCs w:val="24"/>
        </w:rPr>
        <w:t xml:space="preserve">Fig. 5 and 6 show that a* values increase in all treatments during storage.  This is explained by the formation of brown pigments which increase the reddish color of the samples.  The browning observed agrees with other reports.  For example, research conducted in peach, pineapple and pear </w:t>
      </w:r>
      <w:proofErr w:type="gramStart"/>
      <w:r w:rsidRPr="00276E98">
        <w:rPr>
          <w:rFonts w:ascii="Times New Roman" w:hAnsi="Times New Roman"/>
          <w:sz w:val="24"/>
          <w:szCs w:val="24"/>
        </w:rPr>
        <w:t>puree,</w:t>
      </w:r>
      <w:proofErr w:type="gramEnd"/>
      <w:r w:rsidRPr="00276E98">
        <w:rPr>
          <w:rFonts w:ascii="Times New Roman" w:hAnsi="Times New Roman"/>
          <w:sz w:val="24"/>
          <w:szCs w:val="24"/>
        </w:rPr>
        <w:t xml:space="preserve"> show a similar tendency </w:t>
      </w:r>
      <w:r w:rsidRPr="00276E98">
        <w:rPr>
          <w:rFonts w:ascii="Times New Roman" w:hAnsi="Times New Roman"/>
          <w:noProof/>
          <w:sz w:val="24"/>
          <w:szCs w:val="24"/>
        </w:rPr>
        <w:t>(Avila and Silva 1999; Chutintrasri and Noomhorm 200</w:t>
      </w:r>
      <w:r w:rsidR="00CC7D02">
        <w:rPr>
          <w:rFonts w:ascii="Times New Roman" w:hAnsi="Times New Roman"/>
          <w:noProof/>
          <w:sz w:val="24"/>
          <w:szCs w:val="24"/>
        </w:rPr>
        <w:t>7</w:t>
      </w:r>
      <w:r w:rsidRPr="00276E98">
        <w:rPr>
          <w:rFonts w:ascii="Times New Roman" w:hAnsi="Times New Roman"/>
          <w:noProof/>
          <w:sz w:val="24"/>
          <w:szCs w:val="24"/>
        </w:rPr>
        <w:t xml:space="preserve">; Ibarz </w:t>
      </w:r>
      <w:r>
        <w:rPr>
          <w:rFonts w:ascii="Times New Roman" w:hAnsi="Times New Roman"/>
          <w:noProof/>
          <w:sz w:val="24"/>
          <w:szCs w:val="24"/>
        </w:rPr>
        <w:t>and others</w:t>
      </w:r>
      <w:r w:rsidRPr="00276E98">
        <w:rPr>
          <w:rFonts w:ascii="Times New Roman" w:hAnsi="Times New Roman"/>
          <w:noProof/>
          <w:sz w:val="24"/>
          <w:szCs w:val="24"/>
        </w:rPr>
        <w:t xml:space="preserve"> 1999)</w:t>
      </w:r>
      <w:r w:rsidRPr="00276E98">
        <w:rPr>
          <w:rFonts w:ascii="Times New Roman" w:hAnsi="Times New Roman"/>
          <w:sz w:val="24"/>
          <w:szCs w:val="24"/>
        </w:rPr>
        <w:t xml:space="preserve">.  In retortable pouches with diced pears, after 60 days of storage at 37.8°C, </w:t>
      </w:r>
      <w:proofErr w:type="gramStart"/>
      <w:r w:rsidRPr="00276E98">
        <w:rPr>
          <w:rFonts w:ascii="Times New Roman" w:hAnsi="Times New Roman"/>
          <w:sz w:val="24"/>
          <w:szCs w:val="24"/>
        </w:rPr>
        <w:t>the a</w:t>
      </w:r>
      <w:proofErr w:type="gramEnd"/>
      <w:r w:rsidRPr="00276E98">
        <w:rPr>
          <w:rFonts w:ascii="Times New Roman" w:hAnsi="Times New Roman"/>
          <w:sz w:val="24"/>
          <w:szCs w:val="24"/>
        </w:rPr>
        <w:t xml:space="preserve">* value increased by less than 2 units </w:t>
      </w:r>
      <w:r w:rsidRPr="00276E98">
        <w:rPr>
          <w:rFonts w:ascii="Times New Roman" w:hAnsi="Times New Roman"/>
          <w:noProof/>
          <w:sz w:val="24"/>
          <w:szCs w:val="24"/>
        </w:rPr>
        <w:t xml:space="preserve">(Clark </w:t>
      </w:r>
      <w:r>
        <w:rPr>
          <w:rFonts w:ascii="Times New Roman" w:hAnsi="Times New Roman"/>
          <w:noProof/>
          <w:sz w:val="24"/>
          <w:szCs w:val="24"/>
        </w:rPr>
        <w:t>and others</w:t>
      </w:r>
      <w:r w:rsidRPr="00276E98">
        <w:rPr>
          <w:rFonts w:ascii="Times New Roman" w:hAnsi="Times New Roman"/>
          <w:noProof/>
          <w:sz w:val="24"/>
          <w:szCs w:val="24"/>
        </w:rPr>
        <w:t xml:space="preserve"> 2002)</w:t>
      </w:r>
      <w:r w:rsidRPr="00276E98">
        <w:rPr>
          <w:rFonts w:ascii="Times New Roman" w:hAnsi="Times New Roman"/>
          <w:sz w:val="24"/>
          <w:szCs w:val="24"/>
        </w:rPr>
        <w:t>.  This change is much lower than what we observed in our results (Fig. 6).</w:t>
      </w:r>
    </w:p>
    <w:p w:rsidR="00B540A1" w:rsidRPr="005410BA" w:rsidRDefault="00B540A1" w:rsidP="00B540A1">
      <w:pPr>
        <w:spacing w:after="0" w:line="360" w:lineRule="auto"/>
        <w:ind w:firstLine="720"/>
        <w:jc w:val="both"/>
        <w:rPr>
          <w:rFonts w:ascii="Times New Roman" w:hAnsi="Times New Roman"/>
          <w:sz w:val="24"/>
          <w:szCs w:val="24"/>
        </w:rPr>
      </w:pPr>
    </w:p>
    <w:p w:rsidR="00B540A1" w:rsidRPr="005410BA" w:rsidRDefault="00B540A1" w:rsidP="00B540A1">
      <w:pPr>
        <w:spacing w:after="0" w:line="360" w:lineRule="auto"/>
        <w:ind w:firstLine="720"/>
        <w:jc w:val="both"/>
        <w:rPr>
          <w:rFonts w:ascii="Times New Roman" w:hAnsi="Times New Roman"/>
          <w:sz w:val="24"/>
          <w:szCs w:val="24"/>
        </w:rPr>
      </w:pPr>
      <w:r w:rsidRPr="005410BA">
        <w:rPr>
          <w:rFonts w:ascii="Times New Roman" w:hAnsi="Times New Roman"/>
          <w:sz w:val="24"/>
          <w:szCs w:val="24"/>
        </w:rPr>
        <w:t>After 42 days of storage at 51°C, the treatment which contained Pycnogenol at 0.1% was still significantly more reddish (p&lt;0.0</w:t>
      </w:r>
      <w:r>
        <w:rPr>
          <w:rFonts w:ascii="Times New Roman" w:hAnsi="Times New Roman"/>
          <w:sz w:val="24"/>
          <w:szCs w:val="24"/>
        </w:rPr>
        <w:t>5</w:t>
      </w:r>
      <w:r w:rsidRPr="005410BA">
        <w:rPr>
          <w:rFonts w:ascii="Times New Roman" w:hAnsi="Times New Roman"/>
          <w:sz w:val="24"/>
          <w:szCs w:val="24"/>
        </w:rPr>
        <w:t>) than the other treatments.  After 84 days of storage at 40°C (Table 5), there were significant interactions between Pycnogenol and type of vitamin C (p&lt;0.05); however, the differences among treatments were so small that we consider them of not chemical importance.</w:t>
      </w:r>
    </w:p>
    <w:p w:rsidR="00B540A1" w:rsidRPr="00276E98" w:rsidRDefault="00B540A1" w:rsidP="00B540A1">
      <w:pPr>
        <w:spacing w:after="0" w:line="360" w:lineRule="auto"/>
        <w:ind w:firstLine="720"/>
        <w:jc w:val="both"/>
        <w:rPr>
          <w:rFonts w:ascii="Times New Roman" w:hAnsi="Times New Roman"/>
          <w:sz w:val="24"/>
          <w:szCs w:val="24"/>
        </w:rPr>
      </w:pPr>
      <w:r w:rsidRPr="00276E98">
        <w:rPr>
          <w:rFonts w:ascii="Times New Roman" w:hAnsi="Times New Roman"/>
          <w:sz w:val="24"/>
          <w:szCs w:val="24"/>
        </w:rPr>
        <w:lastRenderedPageBreak/>
        <w:t xml:space="preserve"> </w:t>
      </w:r>
    </w:p>
    <w:p w:rsidR="00B540A1" w:rsidRPr="00276E98" w:rsidRDefault="00B540A1" w:rsidP="00B540A1">
      <w:pPr>
        <w:spacing w:after="0" w:line="360" w:lineRule="auto"/>
        <w:ind w:firstLine="720"/>
        <w:jc w:val="both"/>
        <w:rPr>
          <w:rFonts w:ascii="Times New Roman" w:hAnsi="Times New Roman"/>
          <w:sz w:val="24"/>
          <w:szCs w:val="24"/>
        </w:rPr>
      </w:pPr>
      <w:r w:rsidRPr="00276E98">
        <w:rPr>
          <w:rFonts w:ascii="Times New Roman" w:hAnsi="Times New Roman"/>
          <w:sz w:val="24"/>
          <w:szCs w:val="24"/>
        </w:rPr>
        <w:t>For the kinetic models, as we also observed with the L* values, both zero and com</w:t>
      </w:r>
      <w:r>
        <w:rPr>
          <w:rFonts w:ascii="Times New Roman" w:hAnsi="Times New Roman"/>
          <w:sz w:val="24"/>
          <w:szCs w:val="24"/>
        </w:rPr>
        <w:t>bined models successfully fit</w:t>
      </w:r>
      <w:r w:rsidRPr="00276E98">
        <w:rPr>
          <w:rFonts w:ascii="Times New Roman" w:hAnsi="Times New Roman"/>
          <w:sz w:val="24"/>
          <w:szCs w:val="24"/>
        </w:rPr>
        <w:t xml:space="preserve"> our data, as can be seen in Table 8.  However, following the principle of choosing the model with lower number of parameters </w:t>
      </w:r>
      <w:r w:rsidRPr="00276E98">
        <w:rPr>
          <w:rFonts w:ascii="Times New Roman" w:hAnsi="Times New Roman"/>
          <w:noProof/>
          <w:sz w:val="24"/>
          <w:szCs w:val="24"/>
        </w:rPr>
        <w:t>(van Boekel 2008)</w:t>
      </w:r>
      <w:r w:rsidRPr="00276E98">
        <w:rPr>
          <w:rFonts w:ascii="Times New Roman" w:hAnsi="Times New Roman"/>
          <w:sz w:val="24"/>
          <w:szCs w:val="24"/>
        </w:rPr>
        <w:t xml:space="preserve">, we used the zero order reaction model.  Other studies report combined, zero or first order kinetic models for a* values during storage </w:t>
      </w:r>
      <w:r w:rsidRPr="00276E98">
        <w:rPr>
          <w:rFonts w:ascii="Times New Roman" w:hAnsi="Times New Roman"/>
          <w:noProof/>
          <w:sz w:val="24"/>
          <w:szCs w:val="24"/>
        </w:rPr>
        <w:t>(Chutintrasri and Noomhorm 200</w:t>
      </w:r>
      <w:r w:rsidR="00CC7D02">
        <w:rPr>
          <w:rFonts w:ascii="Times New Roman" w:hAnsi="Times New Roman"/>
          <w:noProof/>
          <w:sz w:val="24"/>
          <w:szCs w:val="24"/>
        </w:rPr>
        <w:t>7</w:t>
      </w:r>
      <w:r w:rsidRPr="00276E98">
        <w:rPr>
          <w:rFonts w:ascii="Times New Roman" w:hAnsi="Times New Roman"/>
          <w:noProof/>
          <w:sz w:val="24"/>
          <w:szCs w:val="24"/>
        </w:rPr>
        <w:t xml:space="preserve">; Rattanathanalerk and others 2005; Ibarz </w:t>
      </w:r>
      <w:r>
        <w:rPr>
          <w:rFonts w:ascii="Times New Roman" w:hAnsi="Times New Roman"/>
          <w:noProof/>
          <w:sz w:val="24"/>
          <w:szCs w:val="24"/>
        </w:rPr>
        <w:t>and others</w:t>
      </w:r>
      <w:r w:rsidRPr="00276E98">
        <w:rPr>
          <w:rFonts w:ascii="Times New Roman" w:hAnsi="Times New Roman"/>
          <w:noProof/>
          <w:sz w:val="24"/>
          <w:szCs w:val="24"/>
        </w:rPr>
        <w:t xml:space="preserve"> 1999)</w:t>
      </w:r>
      <w:r w:rsidRPr="00276E98">
        <w:rPr>
          <w:rFonts w:ascii="Times New Roman" w:hAnsi="Times New Roman"/>
          <w:sz w:val="24"/>
          <w:szCs w:val="24"/>
        </w:rPr>
        <w:t xml:space="preserve">.  </w:t>
      </w:r>
    </w:p>
    <w:p w:rsidR="00B540A1" w:rsidRPr="005410BA" w:rsidRDefault="00B540A1" w:rsidP="00B540A1">
      <w:pPr>
        <w:spacing w:after="0" w:line="360" w:lineRule="auto"/>
        <w:ind w:firstLine="720"/>
        <w:jc w:val="both"/>
        <w:rPr>
          <w:rFonts w:ascii="Times New Roman" w:hAnsi="Times New Roman"/>
          <w:sz w:val="24"/>
          <w:szCs w:val="24"/>
        </w:rPr>
      </w:pPr>
    </w:p>
    <w:p w:rsidR="00B540A1" w:rsidRPr="005410BA" w:rsidRDefault="00B540A1" w:rsidP="00B540A1">
      <w:pPr>
        <w:spacing w:after="0" w:line="360" w:lineRule="auto"/>
        <w:ind w:firstLine="720"/>
        <w:jc w:val="both"/>
        <w:rPr>
          <w:rFonts w:ascii="Times New Roman" w:hAnsi="Times New Roman"/>
          <w:sz w:val="24"/>
          <w:szCs w:val="24"/>
        </w:rPr>
      </w:pPr>
      <w:r w:rsidRPr="005410BA">
        <w:rPr>
          <w:rFonts w:ascii="Times New Roman" w:hAnsi="Times New Roman"/>
          <w:sz w:val="24"/>
          <w:szCs w:val="24"/>
        </w:rPr>
        <w:t xml:space="preserve">Table 8 shows that at 40°C, all </w:t>
      </w:r>
      <w:r w:rsidRPr="005410BA">
        <w:rPr>
          <w:rFonts w:ascii="Times New Roman" w:hAnsi="Times New Roman"/>
          <w:i/>
          <w:sz w:val="24"/>
          <w:szCs w:val="24"/>
        </w:rPr>
        <w:t>k</w:t>
      </w:r>
      <w:r w:rsidRPr="005410BA">
        <w:rPr>
          <w:rFonts w:ascii="Times New Roman" w:hAnsi="Times New Roman"/>
          <w:sz w:val="24"/>
          <w:szCs w:val="24"/>
        </w:rPr>
        <w:t xml:space="preserve"> values were much lower than at 51°C.  At 51°C, the A2P-0.1% Pycnogenol treatment had a slightly lower rate compared to the other five treatments.  This same treatment and the one composed by the A2P-control had the lowest </w:t>
      </w:r>
      <w:r w:rsidRPr="005410BA">
        <w:rPr>
          <w:rFonts w:ascii="Times New Roman" w:hAnsi="Times New Roman"/>
          <w:i/>
          <w:sz w:val="24"/>
          <w:szCs w:val="24"/>
        </w:rPr>
        <w:t>k</w:t>
      </w:r>
      <w:r w:rsidRPr="005410BA">
        <w:rPr>
          <w:rFonts w:ascii="Times New Roman" w:hAnsi="Times New Roman"/>
          <w:sz w:val="24"/>
          <w:szCs w:val="24"/>
        </w:rPr>
        <w:t xml:space="preserve"> values at 40°C.  However, these values did not show significant differences at the end of the storage (Table 5).  In pineapple puree during heating at 70-110°C, zero order reaction models were successfully applied </w:t>
      </w:r>
      <w:r w:rsidRPr="005410BA">
        <w:rPr>
          <w:rFonts w:ascii="Times New Roman" w:hAnsi="Times New Roman"/>
          <w:noProof/>
          <w:sz w:val="24"/>
          <w:szCs w:val="24"/>
        </w:rPr>
        <w:t>(Chutintrasri and Noomhorm 200</w:t>
      </w:r>
      <w:r w:rsidR="00CC7D02">
        <w:rPr>
          <w:rFonts w:ascii="Times New Roman" w:hAnsi="Times New Roman"/>
          <w:noProof/>
          <w:sz w:val="24"/>
          <w:szCs w:val="24"/>
        </w:rPr>
        <w:t>7</w:t>
      </w:r>
      <w:r w:rsidRPr="005410BA">
        <w:rPr>
          <w:rFonts w:ascii="Times New Roman" w:hAnsi="Times New Roman"/>
          <w:noProof/>
          <w:sz w:val="24"/>
          <w:szCs w:val="24"/>
        </w:rPr>
        <w:t>)</w:t>
      </w:r>
      <w:r w:rsidRPr="005410BA">
        <w:rPr>
          <w:rFonts w:ascii="Times New Roman" w:hAnsi="Times New Roman"/>
          <w:sz w:val="24"/>
          <w:szCs w:val="24"/>
        </w:rPr>
        <w:t xml:space="preserve">.  The </w:t>
      </w:r>
      <w:r w:rsidRPr="005410BA">
        <w:rPr>
          <w:rFonts w:ascii="Times New Roman" w:hAnsi="Times New Roman"/>
          <w:i/>
          <w:sz w:val="24"/>
          <w:szCs w:val="24"/>
        </w:rPr>
        <w:t>k</w:t>
      </w:r>
      <w:r w:rsidRPr="005410BA">
        <w:rPr>
          <w:rFonts w:ascii="Times New Roman" w:hAnsi="Times New Roman"/>
          <w:sz w:val="24"/>
          <w:szCs w:val="24"/>
        </w:rPr>
        <w:t xml:space="preserve"> obtained in this last research was 0.34x10</w:t>
      </w:r>
      <w:r w:rsidRPr="005410BA">
        <w:rPr>
          <w:rFonts w:ascii="Times New Roman" w:hAnsi="Times New Roman"/>
          <w:sz w:val="24"/>
          <w:szCs w:val="24"/>
          <w:vertAlign w:val="superscript"/>
        </w:rPr>
        <w:t>-3</w:t>
      </w:r>
      <w:r w:rsidRPr="005410BA">
        <w:rPr>
          <w:rFonts w:ascii="Times New Roman" w:hAnsi="Times New Roman"/>
          <w:sz w:val="24"/>
          <w:szCs w:val="24"/>
        </w:rPr>
        <w:t>/min at 70°C. Our results at 51°C and 40°C ranged between 0.15-0.22/day</w:t>
      </w:r>
      <w:r w:rsidRPr="005410BA">
        <w:rPr>
          <w:rFonts w:ascii="Times New Roman" w:hAnsi="Times New Roman"/>
          <w:sz w:val="24"/>
          <w:szCs w:val="24"/>
          <w:vertAlign w:val="superscript"/>
        </w:rPr>
        <w:t xml:space="preserve">-1 </w:t>
      </w:r>
      <w:r w:rsidRPr="005410BA">
        <w:rPr>
          <w:rFonts w:ascii="Times New Roman" w:hAnsi="Times New Roman"/>
          <w:sz w:val="24"/>
          <w:szCs w:val="24"/>
        </w:rPr>
        <w:t>and 0.02-0.06/day</w:t>
      </w:r>
      <w:r w:rsidRPr="005410BA">
        <w:rPr>
          <w:rFonts w:ascii="Times New Roman" w:hAnsi="Times New Roman"/>
          <w:sz w:val="24"/>
          <w:szCs w:val="24"/>
          <w:vertAlign w:val="superscript"/>
        </w:rPr>
        <w:t>-1</w:t>
      </w:r>
      <w:r w:rsidRPr="005410BA">
        <w:rPr>
          <w:rFonts w:ascii="Times New Roman" w:hAnsi="Times New Roman"/>
          <w:sz w:val="24"/>
          <w:szCs w:val="24"/>
        </w:rPr>
        <w:t>.</w:t>
      </w:r>
    </w:p>
    <w:p w:rsidR="00B540A1" w:rsidRPr="00276E98" w:rsidRDefault="00B540A1" w:rsidP="00B540A1">
      <w:pPr>
        <w:spacing w:after="0" w:line="360" w:lineRule="auto"/>
        <w:jc w:val="both"/>
        <w:outlineLvl w:val="0"/>
        <w:rPr>
          <w:rFonts w:ascii="Times New Roman" w:hAnsi="Times New Roman"/>
          <w:b/>
          <w:i/>
          <w:sz w:val="24"/>
          <w:szCs w:val="24"/>
        </w:rPr>
      </w:pPr>
    </w:p>
    <w:p w:rsidR="00B540A1" w:rsidRPr="00276E98" w:rsidRDefault="00B540A1" w:rsidP="00B540A1">
      <w:pPr>
        <w:spacing w:after="0" w:line="360" w:lineRule="auto"/>
        <w:jc w:val="both"/>
        <w:outlineLvl w:val="0"/>
        <w:rPr>
          <w:rFonts w:ascii="Times New Roman" w:hAnsi="Times New Roman"/>
          <w:b/>
          <w:i/>
          <w:sz w:val="24"/>
          <w:szCs w:val="24"/>
        </w:rPr>
      </w:pPr>
      <w:r w:rsidRPr="00276E98">
        <w:rPr>
          <w:rFonts w:ascii="Times New Roman" w:hAnsi="Times New Roman"/>
          <w:b/>
          <w:i/>
          <w:sz w:val="24"/>
          <w:szCs w:val="24"/>
        </w:rPr>
        <w:t>Color parameter b*</w:t>
      </w:r>
    </w:p>
    <w:p w:rsidR="00B540A1" w:rsidRDefault="00B540A1" w:rsidP="00B540A1">
      <w:pPr>
        <w:spacing w:after="0" w:line="360" w:lineRule="auto"/>
        <w:jc w:val="both"/>
        <w:rPr>
          <w:rFonts w:ascii="Times New Roman" w:hAnsi="Times New Roman" w:cs="Times New Roman"/>
          <w:sz w:val="24"/>
          <w:szCs w:val="24"/>
        </w:rPr>
      </w:pPr>
      <w:r w:rsidRPr="00276E98">
        <w:rPr>
          <w:rFonts w:ascii="Times New Roman" w:hAnsi="Times New Roman" w:cs="Times New Roman"/>
          <w:sz w:val="24"/>
          <w:szCs w:val="24"/>
        </w:rPr>
        <w:tab/>
        <w:t xml:space="preserve">At the beginning of storage, there were no significant differences (p&gt;0.05) due to the effects of vitamin C form </w:t>
      </w:r>
      <w:r>
        <w:rPr>
          <w:rFonts w:ascii="Times New Roman" w:hAnsi="Times New Roman" w:cs="Times New Roman"/>
          <w:sz w:val="24"/>
          <w:szCs w:val="24"/>
        </w:rPr>
        <w:t>n</w:t>
      </w:r>
      <w:r w:rsidRPr="00276E98">
        <w:rPr>
          <w:rFonts w:ascii="Times New Roman" w:hAnsi="Times New Roman" w:cs="Times New Roman"/>
          <w:sz w:val="24"/>
          <w:szCs w:val="24"/>
        </w:rPr>
        <w:t xml:space="preserve">or Pycnogenol concentration.  During storage at 51°C, even though the tendency was always to decrease over the storage period (Fig. 7), this was not clear for all treatments.  </w:t>
      </w:r>
      <w:r w:rsidR="00A81A51">
        <w:rPr>
          <w:rFonts w:ascii="Times New Roman" w:hAnsi="Times New Roman" w:cs="Times New Roman"/>
          <w:sz w:val="24"/>
          <w:szCs w:val="24"/>
        </w:rPr>
        <w:t>A</w:t>
      </w:r>
      <w:r w:rsidRPr="00276E98">
        <w:rPr>
          <w:rFonts w:ascii="Times New Roman" w:hAnsi="Times New Roman" w:cs="Times New Roman"/>
          <w:sz w:val="24"/>
          <w:szCs w:val="24"/>
        </w:rPr>
        <w:t xml:space="preserve">t 40°C, we observed an increase at day 84 for the A2P-0.01% and A2P-0.1% Pycnogenol treatments.  The tendency to decrease is explained by the loss of yellowness due to the appearance of browning pigments.  In another study, during heating of peach puree at 80°C, there was no defined trends in a* and b* parameters, although trends were clearer at higher temperatures </w:t>
      </w:r>
      <w:r w:rsidRPr="00276E98">
        <w:rPr>
          <w:rFonts w:ascii="Times New Roman" w:hAnsi="Times New Roman" w:cs="Times New Roman"/>
          <w:noProof/>
          <w:sz w:val="24"/>
          <w:szCs w:val="24"/>
        </w:rPr>
        <w:t xml:space="preserve">(Garza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1999)</w:t>
      </w:r>
      <w:r w:rsidRPr="00276E98">
        <w:rPr>
          <w:rFonts w:ascii="Times New Roman" w:hAnsi="Times New Roman" w:cs="Times New Roman"/>
          <w:sz w:val="24"/>
          <w:szCs w:val="24"/>
        </w:rPr>
        <w:t xml:space="preserve">.  Also, during heating of pear puree, the changes in b* were as apparent as for a* values such, as we also observed </w:t>
      </w:r>
      <w:r w:rsidRPr="00276E98">
        <w:rPr>
          <w:rFonts w:ascii="Times New Roman" w:hAnsi="Times New Roman" w:cs="Times New Roman"/>
          <w:noProof/>
          <w:sz w:val="24"/>
          <w:szCs w:val="24"/>
        </w:rPr>
        <w:t xml:space="preserve">(Ibarz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1999)</w:t>
      </w:r>
      <w:r w:rsidRPr="00276E98">
        <w:rPr>
          <w:rFonts w:ascii="Times New Roman" w:hAnsi="Times New Roman" w:cs="Times New Roman"/>
          <w:sz w:val="24"/>
          <w:szCs w:val="24"/>
        </w:rPr>
        <w:t xml:space="preserve">.  A general tendency for b* values to decrease during storage or heating has been reported in other research </w:t>
      </w:r>
      <w:r w:rsidRPr="00276E98">
        <w:rPr>
          <w:rFonts w:ascii="Times New Roman" w:hAnsi="Times New Roman" w:cs="Times New Roman"/>
          <w:noProof/>
          <w:sz w:val="24"/>
          <w:szCs w:val="24"/>
        </w:rPr>
        <w:t xml:space="preserve">(Avila and Silva 1999; Garza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1999; Chutintrasri and Noomhorm 200</w:t>
      </w:r>
      <w:r w:rsidR="00CC7D02">
        <w:rPr>
          <w:rFonts w:ascii="Times New Roman" w:hAnsi="Times New Roman" w:cs="Times New Roman"/>
          <w:noProof/>
          <w:sz w:val="24"/>
          <w:szCs w:val="24"/>
        </w:rPr>
        <w:t>7</w:t>
      </w:r>
      <w:r w:rsidRPr="00276E98">
        <w:rPr>
          <w:rFonts w:ascii="Times New Roman" w:hAnsi="Times New Roman" w:cs="Times New Roman"/>
          <w:noProof/>
          <w:sz w:val="24"/>
          <w:szCs w:val="24"/>
        </w:rPr>
        <w:t xml:space="preserve">; Rattanathanalerk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2005)</w:t>
      </w:r>
      <w:r w:rsidRPr="00276E98">
        <w:rPr>
          <w:rFonts w:ascii="Times New Roman" w:hAnsi="Times New Roman" w:cs="Times New Roman"/>
          <w:sz w:val="24"/>
          <w:szCs w:val="24"/>
        </w:rPr>
        <w:t xml:space="preserve">.  At 51°C, by the end of the storage period, there were no significant effects due to type of vitamin C nor Pycnogenol concentrations (p&gt;0.05).  On the </w:t>
      </w:r>
      <w:r w:rsidRPr="00276E98">
        <w:rPr>
          <w:rFonts w:ascii="Times New Roman" w:hAnsi="Times New Roman" w:cs="Times New Roman"/>
          <w:sz w:val="24"/>
          <w:szCs w:val="24"/>
        </w:rPr>
        <w:lastRenderedPageBreak/>
        <w:t xml:space="preserve">other hand, at 40°C after 84 days of storage, a higher b* value (p&lt;0.05) was observed in the treatments with A2P (Table 5). </w:t>
      </w:r>
    </w:p>
    <w:p w:rsidR="00B849D7" w:rsidRDefault="00B849D7" w:rsidP="00B540A1">
      <w:pPr>
        <w:spacing w:after="0" w:line="360" w:lineRule="auto"/>
        <w:jc w:val="both"/>
        <w:rPr>
          <w:rFonts w:ascii="Times New Roman" w:hAnsi="Times New Roman" w:cs="Times New Roman"/>
          <w:sz w:val="24"/>
          <w:szCs w:val="24"/>
        </w:rPr>
      </w:pPr>
    </w:p>
    <w:p w:rsidR="00B540A1" w:rsidRPr="00276E98" w:rsidRDefault="00B540A1" w:rsidP="00B540A1">
      <w:pPr>
        <w:spacing w:after="0" w:line="360" w:lineRule="auto"/>
        <w:jc w:val="both"/>
        <w:rPr>
          <w:rFonts w:ascii="Times New Roman" w:hAnsi="Times New Roman" w:cs="Times New Roman"/>
          <w:sz w:val="24"/>
          <w:szCs w:val="24"/>
        </w:rPr>
      </w:pPr>
      <w:r w:rsidRPr="00276E98">
        <w:rPr>
          <w:rFonts w:ascii="Times New Roman" w:hAnsi="Times New Roman" w:cs="Times New Roman"/>
          <w:sz w:val="24"/>
          <w:szCs w:val="24"/>
        </w:rPr>
        <w:tab/>
        <w:t>We could not calculate kinetic constants for b* because of the low R</w:t>
      </w:r>
      <w:r w:rsidRPr="00276E98">
        <w:rPr>
          <w:rFonts w:ascii="Times New Roman" w:hAnsi="Times New Roman" w:cs="Times New Roman"/>
          <w:sz w:val="24"/>
          <w:szCs w:val="24"/>
          <w:vertAlign w:val="superscript"/>
        </w:rPr>
        <w:t>2</w:t>
      </w:r>
      <w:r w:rsidRPr="00276E98">
        <w:rPr>
          <w:rFonts w:ascii="Times New Roman" w:hAnsi="Times New Roman" w:cs="Times New Roman"/>
          <w:sz w:val="24"/>
          <w:szCs w:val="24"/>
        </w:rPr>
        <w:t xml:space="preserve"> and high RMSE obtained using either combined, zero, first or second order reaction models.  During heating of peach puree and pineapple juice, b* values followed first-order reaction models </w:t>
      </w:r>
      <w:r w:rsidRPr="00276E98">
        <w:rPr>
          <w:rFonts w:ascii="Times New Roman" w:hAnsi="Times New Roman" w:cs="Times New Roman"/>
          <w:noProof/>
          <w:sz w:val="24"/>
          <w:szCs w:val="24"/>
        </w:rPr>
        <w:t xml:space="preserve">(Avila and Silva 1999; Rattanathanalerk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2005)</w:t>
      </w:r>
      <w:r w:rsidRPr="00276E98">
        <w:rPr>
          <w:rFonts w:ascii="Times New Roman" w:hAnsi="Times New Roman" w:cs="Times New Roman"/>
          <w:sz w:val="24"/>
          <w:szCs w:val="24"/>
        </w:rPr>
        <w:t xml:space="preserve">. </w:t>
      </w:r>
    </w:p>
    <w:p w:rsidR="00B540A1" w:rsidRPr="00276E98" w:rsidRDefault="00B540A1" w:rsidP="00B540A1">
      <w:pPr>
        <w:spacing w:after="0" w:line="360" w:lineRule="auto"/>
        <w:jc w:val="both"/>
        <w:outlineLvl w:val="0"/>
        <w:rPr>
          <w:rFonts w:ascii="Times New Roman" w:hAnsi="Times New Roman" w:cs="Times New Roman"/>
          <w:b/>
          <w:i/>
          <w:sz w:val="24"/>
          <w:szCs w:val="24"/>
        </w:rPr>
      </w:pPr>
    </w:p>
    <w:p w:rsidR="00B540A1" w:rsidRPr="00276E98" w:rsidRDefault="00B540A1" w:rsidP="00B540A1">
      <w:pPr>
        <w:spacing w:after="0" w:line="360" w:lineRule="auto"/>
        <w:jc w:val="both"/>
        <w:outlineLvl w:val="0"/>
        <w:rPr>
          <w:rFonts w:ascii="Times New Roman" w:hAnsi="Times New Roman" w:cs="Times New Roman"/>
          <w:b/>
          <w:i/>
          <w:sz w:val="24"/>
          <w:szCs w:val="24"/>
        </w:rPr>
      </w:pPr>
      <w:r w:rsidRPr="00276E98">
        <w:rPr>
          <w:rFonts w:ascii="Times New Roman" w:hAnsi="Times New Roman" w:cs="Times New Roman"/>
          <w:b/>
          <w:i/>
          <w:sz w:val="24"/>
          <w:szCs w:val="24"/>
        </w:rPr>
        <w:t>Color parameter ∆E*</w:t>
      </w:r>
    </w:p>
    <w:p w:rsidR="00B540A1" w:rsidRPr="00276E98" w:rsidRDefault="00B540A1" w:rsidP="00B540A1">
      <w:pPr>
        <w:spacing w:after="0" w:line="360" w:lineRule="auto"/>
        <w:jc w:val="both"/>
        <w:rPr>
          <w:rFonts w:ascii="Times New Roman" w:hAnsi="Times New Roman" w:cs="Times New Roman"/>
          <w:sz w:val="24"/>
          <w:szCs w:val="24"/>
        </w:rPr>
      </w:pPr>
      <w:r w:rsidRPr="00276E98">
        <w:rPr>
          <w:rFonts w:ascii="Times New Roman" w:hAnsi="Times New Roman" w:cs="Times New Roman"/>
          <w:sz w:val="24"/>
          <w:szCs w:val="24"/>
        </w:rPr>
        <w:tab/>
        <w:t>At 51°C and 40°C storage, the tendency of ∆E* values was always to increase.  Also, the slopes observed at 51°C (Fig. 9) were higher than those at 40°C (Fig. 10).  At 51°C, at the end of the storage, there was a significant effect (p&lt;0</w:t>
      </w:r>
      <w:r>
        <w:rPr>
          <w:rFonts w:ascii="Times New Roman" w:hAnsi="Times New Roman" w:cs="Times New Roman"/>
          <w:sz w:val="24"/>
          <w:szCs w:val="24"/>
        </w:rPr>
        <w:t>.05</w:t>
      </w:r>
      <w:r w:rsidRPr="00276E98">
        <w:rPr>
          <w:rFonts w:ascii="Times New Roman" w:hAnsi="Times New Roman" w:cs="Times New Roman"/>
          <w:sz w:val="24"/>
          <w:szCs w:val="24"/>
        </w:rPr>
        <w:t>) due to the type of vitamin C and Pycnogenol concentration.  In fact, the AA treatments had a higher ∆E*, and the 0.1% Pycnogenol treatment had the lowest ∆E*</w:t>
      </w:r>
      <w:r>
        <w:rPr>
          <w:rFonts w:ascii="Times New Roman" w:hAnsi="Times New Roman" w:cs="Times New Roman"/>
          <w:sz w:val="24"/>
          <w:szCs w:val="24"/>
        </w:rPr>
        <w:t xml:space="preserve"> (p&lt;0.05</w:t>
      </w:r>
      <w:r w:rsidRPr="00276E98">
        <w:rPr>
          <w:rFonts w:ascii="Times New Roman" w:hAnsi="Times New Roman" w:cs="Times New Roman"/>
          <w:sz w:val="24"/>
          <w:szCs w:val="24"/>
        </w:rPr>
        <w:t>).  At 40°C, the same significant differences (p&lt;0.0</w:t>
      </w:r>
      <w:r>
        <w:rPr>
          <w:rFonts w:ascii="Times New Roman" w:hAnsi="Times New Roman" w:cs="Times New Roman"/>
          <w:sz w:val="24"/>
          <w:szCs w:val="24"/>
        </w:rPr>
        <w:t>5</w:t>
      </w:r>
      <w:r w:rsidRPr="00276E98">
        <w:rPr>
          <w:rFonts w:ascii="Times New Roman" w:hAnsi="Times New Roman" w:cs="Times New Roman"/>
          <w:sz w:val="24"/>
          <w:szCs w:val="24"/>
        </w:rPr>
        <w:t>) were seen (Table 7).</w:t>
      </w:r>
    </w:p>
    <w:p w:rsidR="00B540A1" w:rsidRPr="00276E98" w:rsidRDefault="00B540A1" w:rsidP="00B540A1">
      <w:pPr>
        <w:spacing w:after="0" w:line="360" w:lineRule="auto"/>
        <w:jc w:val="both"/>
        <w:rPr>
          <w:rFonts w:ascii="Times New Roman" w:hAnsi="Times New Roman" w:cs="Times New Roman"/>
          <w:sz w:val="24"/>
          <w:szCs w:val="24"/>
        </w:rPr>
      </w:pPr>
    </w:p>
    <w:p w:rsidR="00B540A1" w:rsidRPr="0029132A" w:rsidRDefault="00B540A1" w:rsidP="00B540A1">
      <w:pPr>
        <w:spacing w:after="0" w:line="360" w:lineRule="auto"/>
        <w:jc w:val="both"/>
        <w:rPr>
          <w:rFonts w:ascii="Times New Roman" w:hAnsi="Times New Roman" w:cs="Times New Roman"/>
          <w:sz w:val="24"/>
          <w:szCs w:val="24"/>
        </w:rPr>
      </w:pPr>
      <w:r w:rsidRPr="00276E98">
        <w:rPr>
          <w:rFonts w:ascii="Times New Roman" w:hAnsi="Times New Roman" w:cs="Times New Roman"/>
          <w:sz w:val="24"/>
          <w:szCs w:val="24"/>
        </w:rPr>
        <w:tab/>
      </w:r>
      <w:r w:rsidRPr="0029132A">
        <w:rPr>
          <w:rFonts w:ascii="Times New Roman" w:hAnsi="Times New Roman" w:cs="Times New Roman"/>
          <w:sz w:val="24"/>
          <w:szCs w:val="24"/>
        </w:rPr>
        <w:t xml:space="preserve">As we observed for L* and a* values, ∆E* successfully fit zero order and combined model kinetics.  For the reasons explained earlier </w:t>
      </w:r>
      <w:r w:rsidRPr="0029132A">
        <w:rPr>
          <w:rFonts w:ascii="Times New Roman" w:hAnsi="Times New Roman" w:cs="Times New Roman"/>
          <w:noProof/>
          <w:sz w:val="24"/>
          <w:szCs w:val="24"/>
        </w:rPr>
        <w:t>(van Boekel 2008)</w:t>
      </w:r>
      <w:r w:rsidRPr="0029132A">
        <w:rPr>
          <w:rFonts w:ascii="Times New Roman" w:hAnsi="Times New Roman" w:cs="Times New Roman"/>
          <w:sz w:val="24"/>
          <w:szCs w:val="24"/>
        </w:rPr>
        <w:t xml:space="preserve">, we chose the zero order model. The lowest </w:t>
      </w:r>
      <w:r w:rsidRPr="00C30EC9">
        <w:rPr>
          <w:rFonts w:ascii="Times New Roman" w:hAnsi="Times New Roman" w:cs="Times New Roman"/>
          <w:i/>
          <w:sz w:val="24"/>
          <w:szCs w:val="24"/>
        </w:rPr>
        <w:t>k</w:t>
      </w:r>
      <w:r w:rsidRPr="0029132A">
        <w:rPr>
          <w:rFonts w:ascii="Times New Roman" w:hAnsi="Times New Roman" w:cs="Times New Roman"/>
          <w:sz w:val="24"/>
          <w:szCs w:val="24"/>
        </w:rPr>
        <w:t xml:space="preserve"> </w:t>
      </w:r>
      <w:r w:rsidR="00C30EC9" w:rsidRPr="0029132A">
        <w:rPr>
          <w:rFonts w:ascii="Times New Roman" w:hAnsi="Times New Roman" w:cs="Times New Roman"/>
          <w:sz w:val="24"/>
          <w:szCs w:val="24"/>
        </w:rPr>
        <w:t>value w</w:t>
      </w:r>
      <w:r w:rsidR="00C30EC9">
        <w:rPr>
          <w:rFonts w:ascii="Times New Roman" w:hAnsi="Times New Roman" w:cs="Times New Roman"/>
          <w:sz w:val="24"/>
          <w:szCs w:val="24"/>
        </w:rPr>
        <w:t>as</w:t>
      </w:r>
      <w:r w:rsidRPr="0029132A">
        <w:rPr>
          <w:rFonts w:ascii="Times New Roman" w:hAnsi="Times New Roman" w:cs="Times New Roman"/>
          <w:sz w:val="24"/>
          <w:szCs w:val="24"/>
        </w:rPr>
        <w:t xml:space="preserve"> obtained by the treatment which contained A2P and 0.1% Pycnogenol. These values were 0.24/day and 0.04/day, for storage at 51°C and 40°C, respectively. In fruit systems, usually combined models have been reported for ∆E* values </w:t>
      </w:r>
      <w:r w:rsidRPr="0029132A">
        <w:rPr>
          <w:rFonts w:ascii="Times New Roman" w:hAnsi="Times New Roman" w:cs="Times New Roman"/>
          <w:noProof/>
          <w:sz w:val="24"/>
          <w:szCs w:val="24"/>
        </w:rPr>
        <w:t xml:space="preserve">(Rattanathanalerk </w:t>
      </w:r>
      <w:r>
        <w:rPr>
          <w:rFonts w:ascii="Times New Roman" w:hAnsi="Times New Roman" w:cs="Times New Roman"/>
          <w:noProof/>
          <w:sz w:val="24"/>
          <w:szCs w:val="24"/>
        </w:rPr>
        <w:t>and others</w:t>
      </w:r>
      <w:r w:rsidRPr="0029132A">
        <w:rPr>
          <w:rFonts w:ascii="Times New Roman" w:hAnsi="Times New Roman" w:cs="Times New Roman"/>
          <w:noProof/>
          <w:sz w:val="24"/>
          <w:szCs w:val="24"/>
        </w:rPr>
        <w:t xml:space="preserve"> 2005; Avila and Silva 1999; Ibarz </w:t>
      </w:r>
      <w:r>
        <w:rPr>
          <w:rFonts w:ascii="Times New Roman" w:hAnsi="Times New Roman" w:cs="Times New Roman"/>
          <w:noProof/>
          <w:sz w:val="24"/>
          <w:szCs w:val="24"/>
        </w:rPr>
        <w:t>and others</w:t>
      </w:r>
      <w:r w:rsidRPr="0029132A">
        <w:rPr>
          <w:rFonts w:ascii="Times New Roman" w:hAnsi="Times New Roman" w:cs="Times New Roman"/>
          <w:noProof/>
          <w:sz w:val="24"/>
          <w:szCs w:val="24"/>
        </w:rPr>
        <w:t xml:space="preserve"> 1999; Damasceno </w:t>
      </w:r>
      <w:r>
        <w:rPr>
          <w:rFonts w:ascii="Times New Roman" w:hAnsi="Times New Roman" w:cs="Times New Roman"/>
          <w:noProof/>
          <w:sz w:val="24"/>
          <w:szCs w:val="24"/>
        </w:rPr>
        <w:t>and others</w:t>
      </w:r>
      <w:r w:rsidRPr="0029132A">
        <w:rPr>
          <w:rFonts w:ascii="Times New Roman" w:hAnsi="Times New Roman" w:cs="Times New Roman"/>
          <w:noProof/>
          <w:sz w:val="24"/>
          <w:szCs w:val="24"/>
        </w:rPr>
        <w:t xml:space="preserve"> 2007; Garza </w:t>
      </w:r>
      <w:r>
        <w:rPr>
          <w:rFonts w:ascii="Times New Roman" w:hAnsi="Times New Roman" w:cs="Times New Roman"/>
          <w:noProof/>
          <w:sz w:val="24"/>
          <w:szCs w:val="24"/>
        </w:rPr>
        <w:t>and others</w:t>
      </w:r>
      <w:r w:rsidRPr="0029132A">
        <w:rPr>
          <w:rFonts w:ascii="Times New Roman" w:hAnsi="Times New Roman" w:cs="Times New Roman"/>
          <w:noProof/>
          <w:sz w:val="24"/>
          <w:szCs w:val="24"/>
        </w:rPr>
        <w:t xml:space="preserve"> 1999)</w:t>
      </w:r>
      <w:r w:rsidRPr="0029132A">
        <w:rPr>
          <w:rFonts w:ascii="Times New Roman" w:hAnsi="Times New Roman" w:cs="Times New Roman"/>
          <w:sz w:val="24"/>
          <w:szCs w:val="24"/>
        </w:rPr>
        <w:t>.  In the case of thermal processing of pineapple puree, zero or</w:t>
      </w:r>
      <w:r>
        <w:rPr>
          <w:rFonts w:ascii="Times New Roman" w:hAnsi="Times New Roman" w:cs="Times New Roman"/>
          <w:sz w:val="24"/>
          <w:szCs w:val="24"/>
        </w:rPr>
        <w:t xml:space="preserve">der reactions were identified; </w:t>
      </w:r>
      <w:r w:rsidRPr="0029132A">
        <w:rPr>
          <w:rFonts w:ascii="Times New Roman" w:hAnsi="Times New Roman" w:cs="Times New Roman"/>
          <w:sz w:val="24"/>
          <w:szCs w:val="24"/>
        </w:rPr>
        <w:t xml:space="preserve">at 70°C, a </w:t>
      </w:r>
      <w:r w:rsidRPr="00C30EC9">
        <w:rPr>
          <w:rFonts w:ascii="Times New Roman" w:hAnsi="Times New Roman" w:cs="Times New Roman"/>
          <w:i/>
          <w:sz w:val="24"/>
          <w:szCs w:val="24"/>
        </w:rPr>
        <w:t>k</w:t>
      </w:r>
      <w:r w:rsidRPr="0029132A">
        <w:rPr>
          <w:rFonts w:ascii="Times New Roman" w:hAnsi="Times New Roman" w:cs="Times New Roman"/>
          <w:sz w:val="24"/>
          <w:szCs w:val="24"/>
        </w:rPr>
        <w:t xml:space="preserve"> value of 0.87x10</w:t>
      </w:r>
      <w:r w:rsidRPr="0029132A">
        <w:rPr>
          <w:rFonts w:ascii="Times New Roman" w:hAnsi="Times New Roman" w:cs="Times New Roman"/>
          <w:sz w:val="24"/>
          <w:szCs w:val="24"/>
          <w:vertAlign w:val="superscript"/>
        </w:rPr>
        <w:t>-2</w:t>
      </w:r>
      <w:r w:rsidRPr="0029132A">
        <w:rPr>
          <w:rFonts w:ascii="Times New Roman" w:hAnsi="Times New Roman" w:cs="Times New Roman"/>
          <w:sz w:val="24"/>
          <w:szCs w:val="24"/>
        </w:rPr>
        <w:t xml:space="preserve">/min was reported </w:t>
      </w:r>
      <w:r w:rsidRPr="0029132A">
        <w:rPr>
          <w:rFonts w:ascii="Times New Roman" w:hAnsi="Times New Roman" w:cs="Times New Roman"/>
          <w:noProof/>
          <w:sz w:val="24"/>
          <w:szCs w:val="24"/>
        </w:rPr>
        <w:t>(Chutintrasri and Noomhorm 200</w:t>
      </w:r>
      <w:r w:rsidR="00CC7D02">
        <w:rPr>
          <w:rFonts w:ascii="Times New Roman" w:hAnsi="Times New Roman" w:cs="Times New Roman"/>
          <w:noProof/>
          <w:sz w:val="24"/>
          <w:szCs w:val="24"/>
        </w:rPr>
        <w:t>7</w:t>
      </w:r>
      <w:r w:rsidRPr="0029132A">
        <w:rPr>
          <w:rFonts w:ascii="Times New Roman" w:hAnsi="Times New Roman" w:cs="Times New Roman"/>
          <w:noProof/>
          <w:sz w:val="24"/>
          <w:szCs w:val="24"/>
        </w:rPr>
        <w:t>)</w:t>
      </w:r>
      <w:r w:rsidRPr="0029132A">
        <w:rPr>
          <w:rFonts w:ascii="Times New Roman" w:hAnsi="Times New Roman" w:cs="Times New Roman"/>
          <w:sz w:val="24"/>
          <w:szCs w:val="24"/>
        </w:rPr>
        <w:t xml:space="preserve">.  </w:t>
      </w:r>
      <w:r w:rsidRPr="0029132A">
        <w:rPr>
          <w:rFonts w:ascii="Times New Roman" w:hAnsi="Times New Roman" w:cs="Times New Roman"/>
          <w:sz w:val="24"/>
          <w:szCs w:val="24"/>
        </w:rPr>
        <w:tab/>
      </w:r>
    </w:p>
    <w:p w:rsidR="00B540A1" w:rsidRPr="0029132A" w:rsidRDefault="00B540A1" w:rsidP="00B540A1">
      <w:pPr>
        <w:spacing w:after="0" w:line="360" w:lineRule="auto"/>
        <w:jc w:val="both"/>
        <w:rPr>
          <w:rFonts w:ascii="Times New Roman" w:hAnsi="Times New Roman" w:cs="Times New Roman"/>
          <w:sz w:val="24"/>
          <w:szCs w:val="24"/>
        </w:rPr>
      </w:pPr>
      <w:r w:rsidRPr="0029132A">
        <w:rPr>
          <w:rFonts w:ascii="Times New Roman" w:hAnsi="Times New Roman" w:cs="Times New Roman"/>
          <w:sz w:val="24"/>
          <w:szCs w:val="24"/>
        </w:rPr>
        <w:tab/>
      </w:r>
    </w:p>
    <w:p w:rsidR="00B540A1" w:rsidRPr="00276E98" w:rsidRDefault="00B540A1" w:rsidP="00B540A1">
      <w:pPr>
        <w:spacing w:after="0" w:line="360" w:lineRule="auto"/>
        <w:jc w:val="both"/>
        <w:outlineLvl w:val="0"/>
        <w:rPr>
          <w:rFonts w:ascii="Times New Roman" w:hAnsi="Times New Roman" w:cs="Times New Roman"/>
          <w:b/>
          <w:i/>
          <w:sz w:val="24"/>
          <w:szCs w:val="24"/>
        </w:rPr>
      </w:pPr>
      <w:r w:rsidRPr="00276E98">
        <w:rPr>
          <w:rFonts w:ascii="Times New Roman" w:hAnsi="Times New Roman" w:cs="Times New Roman"/>
          <w:b/>
          <w:i/>
          <w:sz w:val="24"/>
          <w:szCs w:val="24"/>
        </w:rPr>
        <w:t>Browning index (Spectrophotometric assay)</w:t>
      </w:r>
    </w:p>
    <w:p w:rsidR="00B540A1" w:rsidRDefault="00B540A1" w:rsidP="00B540A1">
      <w:pPr>
        <w:spacing w:after="0" w:line="360" w:lineRule="auto"/>
        <w:jc w:val="both"/>
        <w:rPr>
          <w:rFonts w:ascii="Times New Roman" w:hAnsi="Times New Roman" w:cs="Times New Roman"/>
          <w:sz w:val="24"/>
          <w:szCs w:val="24"/>
        </w:rPr>
      </w:pPr>
      <w:r w:rsidRPr="00276E98">
        <w:rPr>
          <w:rFonts w:ascii="Times New Roman" w:hAnsi="Times New Roman" w:cs="Times New Roman"/>
          <w:sz w:val="24"/>
          <w:szCs w:val="24"/>
        </w:rPr>
        <w:tab/>
        <w:t xml:space="preserve">At day 0, the browning index (BI) did not equal zero (Figs 11-12).  This absorbance is likely due to components of the peaches such as carotenoids </w:t>
      </w:r>
      <w:r w:rsidRPr="00276E98">
        <w:rPr>
          <w:rFonts w:ascii="Times New Roman" w:hAnsi="Times New Roman" w:cs="Times New Roman"/>
          <w:noProof/>
          <w:sz w:val="24"/>
          <w:szCs w:val="24"/>
        </w:rPr>
        <w:t xml:space="preserve">(Roig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2000)</w:t>
      </w:r>
      <w:r w:rsidRPr="00276E98">
        <w:rPr>
          <w:rFonts w:ascii="Times New Roman" w:hAnsi="Times New Roman" w:cs="Times New Roman"/>
          <w:sz w:val="24"/>
          <w:szCs w:val="24"/>
        </w:rPr>
        <w:t xml:space="preserve">.  In fact, as we can see in Table 9, the treatments with higher concentration of Pycnogenol had a higher browning index.  This might be due to the brownish color of the Pycnogenol extract </w:t>
      </w:r>
      <w:r w:rsidRPr="00276E98">
        <w:rPr>
          <w:rFonts w:ascii="Times New Roman" w:hAnsi="Times New Roman" w:cs="Times New Roman"/>
          <w:noProof/>
          <w:sz w:val="24"/>
          <w:szCs w:val="24"/>
        </w:rPr>
        <w:t xml:space="preserve">(Rohdewald </w:t>
      </w:r>
      <w:r w:rsidRPr="00276E98">
        <w:rPr>
          <w:rFonts w:ascii="Times New Roman" w:hAnsi="Times New Roman" w:cs="Times New Roman"/>
          <w:noProof/>
          <w:sz w:val="24"/>
          <w:szCs w:val="24"/>
        </w:rPr>
        <w:lastRenderedPageBreak/>
        <w:t>2002)</w:t>
      </w:r>
      <w:r w:rsidRPr="00276E98">
        <w:rPr>
          <w:rFonts w:ascii="Times New Roman" w:hAnsi="Times New Roman" w:cs="Times New Roman"/>
          <w:sz w:val="24"/>
          <w:szCs w:val="24"/>
        </w:rPr>
        <w:t>.  Statistically, there was no effect (p&gt;0.0</w:t>
      </w:r>
      <w:r>
        <w:rPr>
          <w:rFonts w:ascii="Times New Roman" w:hAnsi="Times New Roman" w:cs="Times New Roman"/>
          <w:sz w:val="24"/>
          <w:szCs w:val="24"/>
        </w:rPr>
        <w:t>5</w:t>
      </w:r>
      <w:r w:rsidRPr="00276E98">
        <w:rPr>
          <w:rFonts w:ascii="Times New Roman" w:hAnsi="Times New Roman" w:cs="Times New Roman"/>
          <w:sz w:val="24"/>
          <w:szCs w:val="24"/>
        </w:rPr>
        <w:t xml:space="preserve">) of Pycnogenol concentration </w:t>
      </w:r>
      <w:r>
        <w:rPr>
          <w:rFonts w:ascii="Times New Roman" w:hAnsi="Times New Roman" w:cs="Times New Roman"/>
          <w:sz w:val="24"/>
          <w:szCs w:val="24"/>
        </w:rPr>
        <w:t xml:space="preserve">nor vitamin C form </w:t>
      </w:r>
      <w:r w:rsidRPr="00276E98">
        <w:rPr>
          <w:rFonts w:ascii="Times New Roman" w:hAnsi="Times New Roman" w:cs="Times New Roman"/>
          <w:sz w:val="24"/>
          <w:szCs w:val="24"/>
        </w:rPr>
        <w:t xml:space="preserve">on browning index.  </w:t>
      </w:r>
    </w:p>
    <w:p w:rsidR="00B540A1" w:rsidRPr="00276E98" w:rsidRDefault="00B540A1" w:rsidP="00B540A1">
      <w:pPr>
        <w:spacing w:after="0" w:line="360" w:lineRule="auto"/>
        <w:jc w:val="both"/>
        <w:rPr>
          <w:rFonts w:ascii="Times New Roman" w:hAnsi="Times New Roman" w:cs="Times New Roman"/>
          <w:sz w:val="24"/>
          <w:szCs w:val="24"/>
        </w:rPr>
      </w:pPr>
    </w:p>
    <w:p w:rsidR="00B540A1" w:rsidRDefault="00B540A1" w:rsidP="00B540A1">
      <w:pPr>
        <w:spacing w:after="0" w:line="360" w:lineRule="auto"/>
        <w:jc w:val="both"/>
        <w:rPr>
          <w:rFonts w:ascii="Times New Roman" w:hAnsi="Times New Roman" w:cs="Times New Roman"/>
          <w:noProof/>
          <w:sz w:val="24"/>
          <w:szCs w:val="24"/>
        </w:rPr>
      </w:pPr>
      <w:r w:rsidRPr="00276E98">
        <w:rPr>
          <w:rFonts w:ascii="Times New Roman" w:hAnsi="Times New Roman" w:cs="Times New Roman"/>
          <w:sz w:val="24"/>
          <w:szCs w:val="24"/>
        </w:rPr>
        <w:tab/>
        <w:t>At both storage temperatures, the pattern of BI change was to increase with time; nevertheless, the slopes were higher at 51°C than at 40°C (Fig. 11 and 12).  In contrast with the color parameters (L*, a*, ∆E*) which better fit a zero order model, the browning index at 51°C had a better fit for a first order model.  Table 10 shows that at 51°C, the R</w:t>
      </w:r>
      <w:r w:rsidRPr="00276E98">
        <w:rPr>
          <w:rFonts w:ascii="Times New Roman" w:hAnsi="Times New Roman" w:cs="Times New Roman"/>
          <w:sz w:val="24"/>
          <w:szCs w:val="24"/>
          <w:vertAlign w:val="superscript"/>
        </w:rPr>
        <w:t>2</w:t>
      </w:r>
      <w:r w:rsidRPr="00276E98">
        <w:rPr>
          <w:rFonts w:ascii="Times New Roman" w:hAnsi="Times New Roman" w:cs="Times New Roman"/>
          <w:sz w:val="24"/>
          <w:szCs w:val="24"/>
        </w:rPr>
        <w:t xml:space="preserve"> and RMSE for both first order and combined models were very close, with the exception of the A2P-control.  In this last treatment, the combined model had an R</w:t>
      </w:r>
      <w:r w:rsidRPr="00276E98">
        <w:rPr>
          <w:rFonts w:ascii="Times New Roman" w:hAnsi="Times New Roman" w:cs="Times New Roman"/>
          <w:sz w:val="24"/>
          <w:szCs w:val="24"/>
          <w:vertAlign w:val="superscript"/>
        </w:rPr>
        <w:t>2</w:t>
      </w:r>
      <w:r w:rsidRPr="00276E98">
        <w:rPr>
          <w:rFonts w:ascii="Times New Roman" w:hAnsi="Times New Roman" w:cs="Times New Roman"/>
          <w:sz w:val="24"/>
          <w:szCs w:val="24"/>
        </w:rPr>
        <w:t xml:space="preserve"> of 0.99, while the first order model had an R</w:t>
      </w:r>
      <w:r w:rsidRPr="00276E98">
        <w:rPr>
          <w:rFonts w:ascii="Times New Roman" w:hAnsi="Times New Roman" w:cs="Times New Roman"/>
          <w:sz w:val="24"/>
          <w:szCs w:val="24"/>
          <w:vertAlign w:val="superscript"/>
        </w:rPr>
        <w:t>2</w:t>
      </w:r>
      <w:r w:rsidRPr="00276E98">
        <w:rPr>
          <w:rFonts w:ascii="Times New Roman" w:hAnsi="Times New Roman" w:cs="Times New Roman"/>
          <w:sz w:val="24"/>
          <w:szCs w:val="24"/>
        </w:rPr>
        <w:t xml:space="preserve"> of 0.87.  Following the principle of choosing the model which offer the lowest number of parameters </w:t>
      </w:r>
      <w:r w:rsidRPr="00276E98">
        <w:rPr>
          <w:rFonts w:ascii="Times New Roman" w:hAnsi="Times New Roman" w:cs="Times New Roman"/>
          <w:noProof/>
          <w:sz w:val="24"/>
          <w:szCs w:val="24"/>
        </w:rPr>
        <w:t>(van Boekel 2008)</w:t>
      </w:r>
      <w:r w:rsidRPr="00276E98">
        <w:rPr>
          <w:rFonts w:ascii="Times New Roman" w:hAnsi="Times New Roman" w:cs="Times New Roman"/>
          <w:sz w:val="24"/>
          <w:szCs w:val="24"/>
        </w:rPr>
        <w:t>, and that we believe that an R</w:t>
      </w:r>
      <w:r w:rsidRPr="00276E98">
        <w:rPr>
          <w:rFonts w:ascii="Times New Roman" w:hAnsi="Times New Roman" w:cs="Times New Roman"/>
          <w:sz w:val="24"/>
          <w:szCs w:val="24"/>
          <w:vertAlign w:val="superscript"/>
        </w:rPr>
        <w:t>2</w:t>
      </w:r>
      <w:r w:rsidRPr="00276E98">
        <w:rPr>
          <w:rFonts w:ascii="Times New Roman" w:hAnsi="Times New Roman" w:cs="Times New Roman"/>
          <w:sz w:val="24"/>
          <w:szCs w:val="24"/>
        </w:rPr>
        <w:t xml:space="preserve"> of 0.87 is still acceptable, we chose first order over the combined model.  Finally, the treatment composed of A2P and 0.01% Pycnogenol had the lowest R</w:t>
      </w:r>
      <w:r w:rsidRPr="00276E98">
        <w:rPr>
          <w:rFonts w:ascii="Times New Roman" w:hAnsi="Times New Roman" w:cs="Times New Roman"/>
          <w:sz w:val="24"/>
          <w:szCs w:val="24"/>
          <w:vertAlign w:val="superscript"/>
        </w:rPr>
        <w:t>2</w:t>
      </w:r>
      <w:r w:rsidRPr="00276E98">
        <w:rPr>
          <w:rFonts w:ascii="Times New Roman" w:hAnsi="Times New Roman" w:cs="Times New Roman"/>
          <w:sz w:val="24"/>
          <w:szCs w:val="24"/>
        </w:rPr>
        <w:t xml:space="preserve"> with both models, as we can see in Table 10.  At 40°C, the zero order </w:t>
      </w:r>
      <w:proofErr w:type="gramStart"/>
      <w:r w:rsidRPr="00276E98">
        <w:rPr>
          <w:rFonts w:ascii="Times New Roman" w:hAnsi="Times New Roman" w:cs="Times New Roman"/>
          <w:sz w:val="24"/>
          <w:szCs w:val="24"/>
        </w:rPr>
        <w:t>model</w:t>
      </w:r>
      <w:proofErr w:type="gramEnd"/>
      <w:r w:rsidRPr="00276E98">
        <w:rPr>
          <w:rFonts w:ascii="Times New Roman" w:hAnsi="Times New Roman" w:cs="Times New Roman"/>
          <w:sz w:val="24"/>
          <w:szCs w:val="24"/>
        </w:rPr>
        <w:t xml:space="preserve"> fit the data much better than the first order model.  For this reason, we included the zero order </w:t>
      </w:r>
      <w:proofErr w:type="gramStart"/>
      <w:r w:rsidRPr="00276E98">
        <w:rPr>
          <w:rFonts w:ascii="Times New Roman" w:hAnsi="Times New Roman" w:cs="Times New Roman"/>
          <w:sz w:val="24"/>
          <w:szCs w:val="24"/>
        </w:rPr>
        <w:t>model</w:t>
      </w:r>
      <w:proofErr w:type="gramEnd"/>
      <w:r w:rsidRPr="00276E98">
        <w:rPr>
          <w:rFonts w:ascii="Times New Roman" w:hAnsi="Times New Roman" w:cs="Times New Roman"/>
          <w:sz w:val="24"/>
          <w:szCs w:val="24"/>
        </w:rPr>
        <w:t xml:space="preserve"> in Table 10 at 40°C.  At this temperature, the combined model fit data better than the zero order </w:t>
      </w:r>
      <w:proofErr w:type="gramStart"/>
      <w:r w:rsidRPr="00276E98">
        <w:rPr>
          <w:rFonts w:ascii="Times New Roman" w:hAnsi="Times New Roman" w:cs="Times New Roman"/>
          <w:sz w:val="24"/>
          <w:szCs w:val="24"/>
        </w:rPr>
        <w:t>model</w:t>
      </w:r>
      <w:proofErr w:type="gramEnd"/>
      <w:r w:rsidRPr="00276E98">
        <w:rPr>
          <w:rFonts w:ascii="Times New Roman" w:hAnsi="Times New Roman" w:cs="Times New Roman"/>
          <w:sz w:val="24"/>
          <w:szCs w:val="24"/>
        </w:rPr>
        <w:t xml:space="preserve"> for the treatments which had AA.  The reverse occurred for the A2P treatments.  This difference is explained by the fact that at week 6, the AA treatments presented a higher BI than the A2P treatments.  Other studies conducted with non-enzymatic browning show that BI fits either a zero </w:t>
      </w:r>
      <w:r w:rsidRPr="00276E98">
        <w:rPr>
          <w:rFonts w:ascii="Times New Roman" w:hAnsi="Times New Roman" w:cs="Times New Roman"/>
          <w:noProof/>
          <w:sz w:val="24"/>
          <w:szCs w:val="24"/>
        </w:rPr>
        <w:t>(Chutintrasri and Noomhorm 200</w:t>
      </w:r>
      <w:r w:rsidR="00CC7D02">
        <w:rPr>
          <w:rFonts w:ascii="Times New Roman" w:hAnsi="Times New Roman" w:cs="Times New Roman"/>
          <w:noProof/>
          <w:sz w:val="24"/>
          <w:szCs w:val="24"/>
        </w:rPr>
        <w:t>7</w:t>
      </w:r>
      <w:r w:rsidRPr="00276E98">
        <w:rPr>
          <w:rFonts w:ascii="Times New Roman" w:hAnsi="Times New Roman" w:cs="Times New Roman"/>
          <w:noProof/>
          <w:sz w:val="24"/>
          <w:szCs w:val="24"/>
        </w:rPr>
        <w:t xml:space="preserve">; Rattanathanalerk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2005; Ibarz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1999)</w:t>
      </w:r>
      <w:r w:rsidRPr="00276E98">
        <w:rPr>
          <w:rFonts w:ascii="Times New Roman" w:hAnsi="Times New Roman" w:cs="Times New Roman"/>
          <w:sz w:val="24"/>
          <w:szCs w:val="24"/>
        </w:rPr>
        <w:t xml:space="preserve"> or first order model </w:t>
      </w:r>
      <w:r w:rsidRPr="00276E98">
        <w:rPr>
          <w:rFonts w:ascii="Times New Roman" w:hAnsi="Times New Roman" w:cs="Times New Roman"/>
          <w:noProof/>
          <w:sz w:val="24"/>
          <w:szCs w:val="24"/>
        </w:rPr>
        <w:t xml:space="preserve">(Garza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1999)</w:t>
      </w:r>
      <w:r w:rsidRPr="00276E98">
        <w:rPr>
          <w:rFonts w:ascii="Times New Roman" w:hAnsi="Times New Roman" w:cs="Times New Roman"/>
          <w:sz w:val="24"/>
          <w:szCs w:val="24"/>
        </w:rPr>
        <w:t xml:space="preserve">.  Some reports suggest that the data adjusted to both zero and first models, but while temperature increases, the data fits better the first order model </w:t>
      </w:r>
      <w:r w:rsidRPr="00276E98">
        <w:rPr>
          <w:rFonts w:ascii="Times New Roman" w:hAnsi="Times New Roman" w:cs="Times New Roman"/>
          <w:noProof/>
          <w:sz w:val="24"/>
          <w:szCs w:val="24"/>
        </w:rPr>
        <w:t>(Buedo and others 2000)</w:t>
      </w:r>
      <w:r w:rsidRPr="00276E9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76E98">
        <w:rPr>
          <w:rFonts w:ascii="Times New Roman" w:hAnsi="Times New Roman" w:cs="Times New Roman"/>
          <w:sz w:val="24"/>
          <w:szCs w:val="24"/>
        </w:rPr>
        <w:t xml:space="preserve">The results obtained in our research are much lower than the obtained by others at 55°C or higher temperatures </w:t>
      </w:r>
      <w:r w:rsidRPr="00276E98">
        <w:rPr>
          <w:rFonts w:ascii="Times New Roman" w:hAnsi="Times New Roman" w:cs="Times New Roman"/>
          <w:noProof/>
          <w:sz w:val="24"/>
          <w:szCs w:val="24"/>
        </w:rPr>
        <w:t xml:space="preserve">(Garza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1999; Rattanathanalerk </w:t>
      </w:r>
      <w:r>
        <w:rPr>
          <w:rFonts w:ascii="Times New Roman" w:hAnsi="Times New Roman" w:cs="Times New Roman"/>
          <w:noProof/>
          <w:sz w:val="24"/>
          <w:szCs w:val="24"/>
        </w:rPr>
        <w:t>and others</w:t>
      </w:r>
      <w:r w:rsidRPr="00276E98">
        <w:rPr>
          <w:rFonts w:ascii="Times New Roman" w:hAnsi="Times New Roman" w:cs="Times New Roman"/>
          <w:noProof/>
          <w:sz w:val="24"/>
          <w:szCs w:val="24"/>
        </w:rPr>
        <w:t xml:space="preserve"> 2005)</w:t>
      </w:r>
      <w:r w:rsidR="00C30EC9">
        <w:rPr>
          <w:rFonts w:ascii="Times New Roman" w:hAnsi="Times New Roman" w:cs="Times New Roman"/>
          <w:noProof/>
          <w:sz w:val="24"/>
          <w:szCs w:val="24"/>
        </w:rPr>
        <w:t>.</w:t>
      </w:r>
    </w:p>
    <w:p w:rsidR="00C30EC9" w:rsidRPr="00276E98" w:rsidRDefault="00C30EC9" w:rsidP="00B540A1">
      <w:pPr>
        <w:spacing w:after="0" w:line="360" w:lineRule="auto"/>
        <w:jc w:val="both"/>
        <w:rPr>
          <w:rFonts w:ascii="Times New Roman" w:hAnsi="Times New Roman" w:cs="Times New Roman"/>
          <w:sz w:val="24"/>
          <w:szCs w:val="24"/>
        </w:rPr>
      </w:pPr>
    </w:p>
    <w:p w:rsidR="00B540A1" w:rsidRDefault="00B540A1" w:rsidP="00B540A1">
      <w:pPr>
        <w:spacing w:after="0" w:line="360" w:lineRule="auto"/>
        <w:ind w:firstLine="720"/>
        <w:jc w:val="both"/>
        <w:rPr>
          <w:rFonts w:ascii="Times New Roman" w:hAnsi="Times New Roman" w:cs="Times New Roman"/>
          <w:sz w:val="24"/>
          <w:szCs w:val="24"/>
        </w:rPr>
      </w:pPr>
      <w:r w:rsidRPr="00276E98">
        <w:rPr>
          <w:rFonts w:ascii="Times New Roman" w:hAnsi="Times New Roman" w:cs="Times New Roman"/>
          <w:sz w:val="24"/>
          <w:szCs w:val="24"/>
        </w:rPr>
        <w:t>At the</w:t>
      </w:r>
      <w:r>
        <w:rPr>
          <w:rFonts w:ascii="Times New Roman" w:hAnsi="Times New Roman" w:cs="Times New Roman"/>
          <w:sz w:val="24"/>
          <w:szCs w:val="24"/>
        </w:rPr>
        <w:t xml:space="preserve"> end of the storage (Table 9),</w:t>
      </w:r>
      <w:r w:rsidRPr="00276E98">
        <w:rPr>
          <w:rFonts w:ascii="Times New Roman" w:hAnsi="Times New Roman" w:cs="Times New Roman"/>
          <w:sz w:val="24"/>
          <w:szCs w:val="24"/>
        </w:rPr>
        <w:t xml:space="preserve"> we can observe that at 51°C there was a significant effect</w:t>
      </w:r>
      <w:r>
        <w:rPr>
          <w:rFonts w:ascii="Times New Roman" w:hAnsi="Times New Roman" w:cs="Times New Roman"/>
          <w:sz w:val="24"/>
          <w:szCs w:val="24"/>
        </w:rPr>
        <w:t xml:space="preserve"> (p&lt;0.05)</w:t>
      </w:r>
      <w:r w:rsidRPr="00276E98">
        <w:rPr>
          <w:rFonts w:ascii="Times New Roman" w:hAnsi="Times New Roman" w:cs="Times New Roman"/>
          <w:sz w:val="24"/>
          <w:szCs w:val="24"/>
        </w:rPr>
        <w:t xml:space="preserve"> of type of vitamin C on BI.  In fact, the treatments with AA had higher BI than the samples with A2P.  At 40°C, no significant effects </w:t>
      </w:r>
      <w:r>
        <w:rPr>
          <w:rFonts w:ascii="Times New Roman" w:hAnsi="Times New Roman" w:cs="Times New Roman"/>
          <w:sz w:val="24"/>
          <w:szCs w:val="24"/>
        </w:rPr>
        <w:t xml:space="preserve">(p&gt;0.05) </w:t>
      </w:r>
      <w:r w:rsidRPr="00276E98">
        <w:rPr>
          <w:rFonts w:ascii="Times New Roman" w:hAnsi="Times New Roman" w:cs="Times New Roman"/>
          <w:sz w:val="24"/>
          <w:szCs w:val="24"/>
        </w:rPr>
        <w:t xml:space="preserve">were observed for vitamin C form or Pycnogenol concentration. </w:t>
      </w:r>
    </w:p>
    <w:p w:rsidR="00CC7D02" w:rsidRDefault="00CC7D02" w:rsidP="00B540A1">
      <w:pPr>
        <w:spacing w:after="0" w:line="360" w:lineRule="auto"/>
        <w:ind w:firstLine="720"/>
        <w:jc w:val="both"/>
        <w:rPr>
          <w:rFonts w:ascii="Times New Roman" w:hAnsi="Times New Roman" w:cs="Times New Roman"/>
          <w:sz w:val="24"/>
          <w:szCs w:val="24"/>
        </w:rPr>
      </w:pPr>
    </w:p>
    <w:p w:rsidR="00CC7D02" w:rsidRPr="00276E98" w:rsidRDefault="00CC7D02" w:rsidP="00B540A1">
      <w:pPr>
        <w:spacing w:after="0" w:line="360" w:lineRule="auto"/>
        <w:ind w:firstLine="720"/>
        <w:jc w:val="both"/>
        <w:rPr>
          <w:rFonts w:ascii="Times New Roman" w:hAnsi="Times New Roman" w:cs="Times New Roman"/>
          <w:sz w:val="24"/>
          <w:szCs w:val="24"/>
        </w:rPr>
      </w:pPr>
    </w:p>
    <w:p w:rsidR="00B540A1" w:rsidRPr="00276E98" w:rsidRDefault="00B540A1" w:rsidP="00B540A1">
      <w:pPr>
        <w:spacing w:after="0" w:line="360" w:lineRule="auto"/>
        <w:jc w:val="both"/>
        <w:outlineLvl w:val="0"/>
        <w:rPr>
          <w:rFonts w:ascii="Times New Roman" w:hAnsi="Times New Roman" w:cs="Times New Roman"/>
          <w:b/>
          <w:i/>
          <w:sz w:val="24"/>
          <w:szCs w:val="24"/>
        </w:rPr>
      </w:pPr>
      <w:r w:rsidRPr="00276E98">
        <w:rPr>
          <w:rFonts w:ascii="Times New Roman" w:hAnsi="Times New Roman" w:cs="Times New Roman"/>
          <w:b/>
          <w:i/>
          <w:sz w:val="24"/>
          <w:szCs w:val="24"/>
        </w:rPr>
        <w:lastRenderedPageBreak/>
        <w:t>Ascorbic acid content</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 xml:space="preserve">From day 0, we noticed the presence of two peaks in the A2P chromatograms (Fig. 13) instead of the single peak that appeared in the AA treatments and A2P standard curves.  After analyzing the UV absorbance spectra of both peaks and comparing them with the retention times and spectra of AA and A2P standards, we determined that the peaks were due to the presence of A2P and AA.  In fact, as we can see in Figs. 14 and 15, AA and A2P UV absorbances have similar shapes; however, their maximum absorbances are at 242 nm and 238 nm, respectively.  The reason why these two peaks appeared in the A2P from day 0 must be result of hydrolysis.  Indeed, it is known that acidic pH can cause ester hydrolysis in A2P </w:t>
      </w:r>
      <w:r w:rsidRPr="00276E98">
        <w:rPr>
          <w:rFonts w:ascii="Times New Roman" w:hAnsi="Times New Roman"/>
          <w:noProof/>
          <w:sz w:val="24"/>
          <w:szCs w:val="24"/>
        </w:rPr>
        <w:t>(Gonçalves and others 2009)</w:t>
      </w:r>
      <w:r w:rsidRPr="00276E98">
        <w:rPr>
          <w:rFonts w:ascii="Times New Roman" w:hAnsi="Times New Roman"/>
          <w:sz w:val="24"/>
          <w:szCs w:val="24"/>
        </w:rPr>
        <w:t xml:space="preserve">.  In comparison to the results reported in the previous chapter of this thesis (puree samples), we noticed that the hydrolysis in the retort pouches was much higher (around 50%) than in the puree samples (around 16%).  The reason of this difference is most likely due to the higher thermal process which the pouches received. </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p>
    <w:p w:rsidR="00B540A1" w:rsidRPr="00276E98" w:rsidRDefault="00B540A1" w:rsidP="00B540A1">
      <w:pPr>
        <w:pStyle w:val="ListParagraph"/>
        <w:spacing w:after="0" w:line="360" w:lineRule="auto"/>
        <w:ind w:left="0"/>
        <w:jc w:val="both"/>
        <w:rPr>
          <w:rFonts w:ascii="Times New Roman" w:hAnsi="Times New Roman"/>
          <w:sz w:val="24"/>
          <w:szCs w:val="24"/>
        </w:rPr>
      </w:pPr>
      <w:r w:rsidRPr="00276E98">
        <w:rPr>
          <w:rFonts w:ascii="Times New Roman" w:hAnsi="Times New Roman"/>
          <w:sz w:val="24"/>
          <w:szCs w:val="24"/>
        </w:rPr>
        <w:t xml:space="preserve"> </w:t>
      </w:r>
      <w:r w:rsidRPr="00276E98">
        <w:rPr>
          <w:rFonts w:ascii="Times New Roman" w:hAnsi="Times New Roman"/>
          <w:sz w:val="24"/>
          <w:szCs w:val="24"/>
        </w:rPr>
        <w:tab/>
        <w:t xml:space="preserve">From Figs. 16-21, we can observe the A2P and AA concentrations (% based on total vitamin C content) during storage at 51°C and 40°C in all treatments which had A2P.  At both temperatures, the tendency was the same:  the percentage of A2P increased throughout storage.  Even though we believe that the hydrolysis of the phosphate group was still occurring, the rate of degradation of the AA molecules was likely higher than the rate of hydrolysis.  A2P is known and advertised for its greater stability than AA at high temperatures </w:t>
      </w:r>
      <w:r w:rsidRPr="00276E98">
        <w:rPr>
          <w:rFonts w:ascii="Times New Roman" w:hAnsi="Times New Roman"/>
          <w:noProof/>
          <w:sz w:val="24"/>
          <w:szCs w:val="24"/>
        </w:rPr>
        <w:t>(Fermann and Gripp 2004)</w:t>
      </w:r>
      <w:r w:rsidRPr="00276E98">
        <w:rPr>
          <w:rFonts w:ascii="Times New Roman" w:hAnsi="Times New Roman"/>
          <w:sz w:val="24"/>
          <w:szCs w:val="24"/>
        </w:rPr>
        <w:t>.</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 xml:space="preserve"> </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 xml:space="preserve">In food systems, research evaluating A2P has been conducted in carbonated beverages, white pan bread, bran flakes, peanut, potato flakes </w:t>
      </w:r>
      <w:r w:rsidRPr="00276E98">
        <w:rPr>
          <w:rFonts w:ascii="Times New Roman" w:hAnsi="Times New Roman"/>
          <w:noProof/>
          <w:sz w:val="24"/>
          <w:szCs w:val="24"/>
        </w:rPr>
        <w:t xml:space="preserve">(Wang </w:t>
      </w:r>
      <w:r>
        <w:rPr>
          <w:rFonts w:ascii="Times New Roman" w:hAnsi="Times New Roman"/>
          <w:noProof/>
          <w:sz w:val="24"/>
          <w:szCs w:val="24"/>
        </w:rPr>
        <w:t>and others</w:t>
      </w:r>
      <w:r w:rsidRPr="00276E98">
        <w:rPr>
          <w:rFonts w:ascii="Times New Roman" w:hAnsi="Times New Roman"/>
          <w:noProof/>
          <w:sz w:val="24"/>
          <w:szCs w:val="24"/>
        </w:rPr>
        <w:t xml:space="preserve"> 1995; Park and others 1994)</w:t>
      </w:r>
      <w:r w:rsidRPr="00276E98">
        <w:rPr>
          <w:rFonts w:ascii="Times New Roman" w:hAnsi="Times New Roman"/>
          <w:sz w:val="24"/>
          <w:szCs w:val="24"/>
        </w:rPr>
        <w:t xml:space="preserve">, mashed potatoes </w:t>
      </w:r>
      <w:r w:rsidRPr="00276E98">
        <w:rPr>
          <w:rFonts w:ascii="Times New Roman" w:hAnsi="Times New Roman"/>
          <w:noProof/>
          <w:sz w:val="24"/>
          <w:szCs w:val="24"/>
        </w:rPr>
        <w:t xml:space="preserve">(Wang </w:t>
      </w:r>
      <w:r>
        <w:rPr>
          <w:rFonts w:ascii="Times New Roman" w:hAnsi="Times New Roman"/>
          <w:noProof/>
          <w:sz w:val="24"/>
          <w:szCs w:val="24"/>
        </w:rPr>
        <w:t>and others</w:t>
      </w:r>
      <w:r w:rsidRPr="00276E98">
        <w:rPr>
          <w:rFonts w:ascii="Times New Roman" w:hAnsi="Times New Roman"/>
          <w:noProof/>
          <w:sz w:val="24"/>
          <w:szCs w:val="24"/>
        </w:rPr>
        <w:t xml:space="preserve"> 1992)</w:t>
      </w:r>
      <w:r w:rsidRPr="00276E98">
        <w:rPr>
          <w:rFonts w:ascii="Times New Roman" w:hAnsi="Times New Roman"/>
          <w:sz w:val="24"/>
          <w:szCs w:val="24"/>
        </w:rPr>
        <w:t xml:space="preserve">, and in meat </w:t>
      </w:r>
      <w:r w:rsidRPr="00276E98">
        <w:rPr>
          <w:rFonts w:ascii="Times New Roman" w:hAnsi="Times New Roman"/>
          <w:noProof/>
          <w:sz w:val="24"/>
          <w:szCs w:val="24"/>
        </w:rPr>
        <w:t>(Craig and others 1996; Craig and others 1991)</w:t>
      </w:r>
      <w:r w:rsidRPr="00276E98">
        <w:rPr>
          <w:rFonts w:ascii="Times New Roman" w:hAnsi="Times New Roman"/>
          <w:sz w:val="24"/>
          <w:szCs w:val="24"/>
        </w:rPr>
        <w:t xml:space="preserve">.  In these food systems, the only study conducted in bread has reported hydrolysis of A2P due to the presence of phosphatase in wheat flour </w:t>
      </w:r>
      <w:r w:rsidRPr="00276E98">
        <w:rPr>
          <w:rFonts w:ascii="Times New Roman" w:hAnsi="Times New Roman"/>
          <w:noProof/>
          <w:sz w:val="24"/>
          <w:szCs w:val="24"/>
        </w:rPr>
        <w:t xml:space="preserve">(Park </w:t>
      </w:r>
      <w:r>
        <w:rPr>
          <w:rFonts w:ascii="Times New Roman" w:hAnsi="Times New Roman"/>
          <w:noProof/>
          <w:sz w:val="24"/>
          <w:szCs w:val="24"/>
        </w:rPr>
        <w:t>and others</w:t>
      </w:r>
      <w:r w:rsidRPr="00276E98">
        <w:rPr>
          <w:rFonts w:ascii="Times New Roman" w:hAnsi="Times New Roman"/>
          <w:noProof/>
          <w:sz w:val="24"/>
          <w:szCs w:val="24"/>
        </w:rPr>
        <w:t xml:space="preserve"> 1994; Wang </w:t>
      </w:r>
      <w:r>
        <w:rPr>
          <w:rFonts w:ascii="Times New Roman" w:hAnsi="Times New Roman"/>
          <w:noProof/>
          <w:sz w:val="24"/>
          <w:szCs w:val="24"/>
        </w:rPr>
        <w:t>and others</w:t>
      </w:r>
      <w:r w:rsidRPr="00276E98">
        <w:rPr>
          <w:rFonts w:ascii="Times New Roman" w:hAnsi="Times New Roman"/>
          <w:noProof/>
          <w:sz w:val="24"/>
          <w:szCs w:val="24"/>
        </w:rPr>
        <w:t xml:space="preserve"> 1995)</w:t>
      </w:r>
      <w:r w:rsidRPr="00276E98">
        <w:rPr>
          <w:rFonts w:ascii="Times New Roman" w:hAnsi="Times New Roman"/>
          <w:sz w:val="24"/>
          <w:szCs w:val="24"/>
        </w:rPr>
        <w:t xml:space="preserve">.  In the carbonated beverage research </w:t>
      </w:r>
      <w:r w:rsidRPr="00276E98">
        <w:rPr>
          <w:rFonts w:ascii="Times New Roman" w:hAnsi="Times New Roman"/>
          <w:noProof/>
          <w:sz w:val="24"/>
          <w:szCs w:val="24"/>
        </w:rPr>
        <w:t xml:space="preserve">(Wang </w:t>
      </w:r>
      <w:r>
        <w:rPr>
          <w:rFonts w:ascii="Times New Roman" w:hAnsi="Times New Roman"/>
          <w:noProof/>
          <w:sz w:val="24"/>
          <w:szCs w:val="24"/>
        </w:rPr>
        <w:t>and others</w:t>
      </w:r>
      <w:r w:rsidRPr="00276E98">
        <w:rPr>
          <w:rFonts w:ascii="Times New Roman" w:hAnsi="Times New Roman"/>
          <w:noProof/>
          <w:sz w:val="24"/>
          <w:szCs w:val="24"/>
        </w:rPr>
        <w:t xml:space="preserve"> 1995)</w:t>
      </w:r>
      <w:r w:rsidRPr="00276E98">
        <w:rPr>
          <w:rFonts w:ascii="Times New Roman" w:hAnsi="Times New Roman"/>
          <w:sz w:val="24"/>
          <w:szCs w:val="24"/>
        </w:rPr>
        <w:t xml:space="preserve">, no hydrolysis was reported, even though the authors imply that they would be able to detect hydrolysis if it occurred.  Because of the low pH of the carbonated beverages, we expect that some hydrolysis must have occurred.  The release of the phosphate groups can provide a secondary mode of </w:t>
      </w:r>
      <w:r w:rsidRPr="00276E98">
        <w:rPr>
          <w:rFonts w:ascii="Times New Roman" w:hAnsi="Times New Roman"/>
          <w:sz w:val="24"/>
          <w:szCs w:val="24"/>
        </w:rPr>
        <w:lastRenderedPageBreak/>
        <w:t xml:space="preserve">antioxidant protection since phosphoric acid ions are able to chelate metal ions </w:t>
      </w:r>
      <w:r w:rsidRPr="00276E98">
        <w:rPr>
          <w:rFonts w:ascii="Times New Roman" w:hAnsi="Times New Roman"/>
          <w:noProof/>
          <w:sz w:val="24"/>
          <w:szCs w:val="24"/>
        </w:rPr>
        <w:t xml:space="preserve">(Wang </w:t>
      </w:r>
      <w:r>
        <w:rPr>
          <w:rFonts w:ascii="Times New Roman" w:hAnsi="Times New Roman"/>
          <w:noProof/>
          <w:sz w:val="24"/>
          <w:szCs w:val="24"/>
        </w:rPr>
        <w:t>and others</w:t>
      </w:r>
      <w:r w:rsidRPr="00276E98">
        <w:rPr>
          <w:rFonts w:ascii="Times New Roman" w:hAnsi="Times New Roman"/>
          <w:noProof/>
          <w:sz w:val="24"/>
          <w:szCs w:val="24"/>
        </w:rPr>
        <w:t xml:space="preserve"> 1995)</w:t>
      </w:r>
      <w:r w:rsidRPr="00276E98">
        <w:rPr>
          <w:rFonts w:ascii="Times New Roman" w:hAnsi="Times New Roman"/>
          <w:sz w:val="24"/>
          <w:szCs w:val="24"/>
        </w:rPr>
        <w:t xml:space="preserve">. </w:t>
      </w:r>
    </w:p>
    <w:p w:rsidR="00B540A1" w:rsidRPr="00276E98" w:rsidRDefault="00B540A1" w:rsidP="00B540A1">
      <w:pPr>
        <w:pStyle w:val="ListParagraph"/>
        <w:spacing w:after="0" w:line="360" w:lineRule="auto"/>
        <w:ind w:left="0"/>
        <w:jc w:val="both"/>
        <w:rPr>
          <w:rFonts w:ascii="Times New Roman" w:hAnsi="Times New Roman"/>
          <w:sz w:val="24"/>
          <w:szCs w:val="24"/>
        </w:rPr>
      </w:pPr>
    </w:p>
    <w:p w:rsidR="00B540A1" w:rsidRPr="00276E98"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For the analysis of variance (Table 11) and the graphs of the trends during storage (Figs. 22-23) we considered the total vitamin C present in the samples.  In other words, for the A2P treatments, we considered the sum of both concentrations presented in the chromatograms (measured separately with external standard curves).  At day 0, there were no significant differences (p&gt;0.0</w:t>
      </w:r>
      <w:r>
        <w:rPr>
          <w:rFonts w:ascii="Times New Roman" w:hAnsi="Times New Roman"/>
          <w:sz w:val="24"/>
          <w:szCs w:val="24"/>
        </w:rPr>
        <w:t>5</w:t>
      </w:r>
      <w:r w:rsidRPr="00276E98">
        <w:rPr>
          <w:rFonts w:ascii="Times New Roman" w:hAnsi="Times New Roman"/>
          <w:sz w:val="24"/>
          <w:szCs w:val="24"/>
        </w:rPr>
        <w:t xml:space="preserve">) between treatments. At the end of the storage at 51°C, there was a significant effect due to the vitamin C type.  In fact, as we can see in Table 11, the treatments with AA had higher vitamin C contents.  Even though the difference was not large, this contradicts what we were expecting.  As mentioned earlier, research conducted with A2P has demonstrated a higher stability of this compound compared to AA </w:t>
      </w:r>
      <w:r w:rsidRPr="00276E98">
        <w:rPr>
          <w:rFonts w:ascii="Times New Roman" w:hAnsi="Times New Roman"/>
          <w:noProof/>
          <w:sz w:val="24"/>
          <w:szCs w:val="24"/>
        </w:rPr>
        <w:t xml:space="preserve">(Wang </w:t>
      </w:r>
      <w:r>
        <w:rPr>
          <w:rFonts w:ascii="Times New Roman" w:hAnsi="Times New Roman"/>
          <w:noProof/>
          <w:sz w:val="24"/>
          <w:szCs w:val="24"/>
        </w:rPr>
        <w:t>and others</w:t>
      </w:r>
      <w:r w:rsidRPr="00276E98">
        <w:rPr>
          <w:rFonts w:ascii="Times New Roman" w:hAnsi="Times New Roman"/>
          <w:noProof/>
          <w:sz w:val="24"/>
          <w:szCs w:val="24"/>
        </w:rPr>
        <w:t xml:space="preserve"> 1995; O'Keefe 2001)</w:t>
      </w:r>
      <w:r w:rsidRPr="00276E98">
        <w:rPr>
          <w:rFonts w:ascii="Times New Roman" w:hAnsi="Times New Roman"/>
          <w:sz w:val="24"/>
          <w:szCs w:val="24"/>
        </w:rPr>
        <w:t xml:space="preserve">.  At 40°C, no significant effects due to either vitamin C type or Pycnogenol concentration were observed. </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p>
    <w:p w:rsidR="00B540A1" w:rsidRPr="00276E98"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 xml:space="preserve">Both the Weibull and the zero order models successfully fit the data at each storage temperatures. </w:t>
      </w:r>
      <w:r>
        <w:rPr>
          <w:rFonts w:ascii="Times New Roman" w:hAnsi="Times New Roman"/>
          <w:sz w:val="24"/>
          <w:szCs w:val="24"/>
        </w:rPr>
        <w:t xml:space="preserve"> </w:t>
      </w:r>
      <w:r w:rsidRPr="00276E98">
        <w:rPr>
          <w:rFonts w:ascii="Times New Roman" w:hAnsi="Times New Roman"/>
          <w:sz w:val="24"/>
          <w:szCs w:val="24"/>
        </w:rPr>
        <w:t xml:space="preserve">Due to the principle that it is better to choose the model with the lowest number of parameters </w:t>
      </w:r>
      <w:r w:rsidRPr="00276E98">
        <w:rPr>
          <w:rFonts w:ascii="Times New Roman" w:hAnsi="Times New Roman"/>
          <w:noProof/>
          <w:sz w:val="24"/>
          <w:szCs w:val="24"/>
        </w:rPr>
        <w:t>(van Boekel 2008)</w:t>
      </w:r>
      <w:r w:rsidRPr="00276E98">
        <w:rPr>
          <w:rFonts w:ascii="Times New Roman" w:hAnsi="Times New Roman"/>
          <w:sz w:val="24"/>
          <w:szCs w:val="24"/>
        </w:rPr>
        <w:t>, we decided to use the zero order model.  As discussed in some studies, AA degradation</w:t>
      </w:r>
      <w:r>
        <w:rPr>
          <w:rFonts w:ascii="Times New Roman" w:hAnsi="Times New Roman"/>
          <w:sz w:val="24"/>
          <w:szCs w:val="24"/>
        </w:rPr>
        <w:t xml:space="preserve"> in food systems has been fit</w:t>
      </w:r>
      <w:r w:rsidRPr="00276E98">
        <w:rPr>
          <w:rFonts w:ascii="Times New Roman" w:hAnsi="Times New Roman"/>
          <w:sz w:val="24"/>
          <w:szCs w:val="24"/>
        </w:rPr>
        <w:t xml:space="preserve"> to zero, first, and second orders of reaction </w:t>
      </w:r>
      <w:r w:rsidRPr="00276E98">
        <w:rPr>
          <w:rFonts w:ascii="Times New Roman" w:hAnsi="Times New Roman"/>
          <w:noProof/>
          <w:sz w:val="24"/>
          <w:szCs w:val="24"/>
        </w:rPr>
        <w:t xml:space="preserve">(Roig </w:t>
      </w:r>
      <w:r>
        <w:rPr>
          <w:rFonts w:ascii="Times New Roman" w:hAnsi="Times New Roman"/>
          <w:noProof/>
          <w:sz w:val="24"/>
          <w:szCs w:val="24"/>
        </w:rPr>
        <w:t>and others</w:t>
      </w:r>
      <w:r w:rsidRPr="00276E98">
        <w:rPr>
          <w:rFonts w:ascii="Times New Roman" w:hAnsi="Times New Roman"/>
          <w:noProof/>
          <w:sz w:val="24"/>
          <w:szCs w:val="24"/>
        </w:rPr>
        <w:t xml:space="preserve"> 2000; Burdurlu and others 2006; Manso and others 2001; Damasceno </w:t>
      </w:r>
      <w:r>
        <w:rPr>
          <w:rFonts w:ascii="Times New Roman" w:hAnsi="Times New Roman"/>
          <w:noProof/>
          <w:sz w:val="24"/>
          <w:szCs w:val="24"/>
        </w:rPr>
        <w:t>and others</w:t>
      </w:r>
      <w:r w:rsidRPr="00276E98">
        <w:rPr>
          <w:rFonts w:ascii="Times New Roman" w:hAnsi="Times New Roman"/>
          <w:noProof/>
          <w:sz w:val="24"/>
          <w:szCs w:val="24"/>
        </w:rPr>
        <w:t xml:space="preserve"> 2007)</w:t>
      </w:r>
      <w:r w:rsidRPr="00276E98">
        <w:rPr>
          <w:rFonts w:ascii="Times New Roman" w:hAnsi="Times New Roman"/>
          <w:sz w:val="24"/>
          <w:szCs w:val="24"/>
        </w:rPr>
        <w:t>.</w:t>
      </w:r>
    </w:p>
    <w:p w:rsidR="00B540A1" w:rsidRPr="00276E98" w:rsidRDefault="00B540A1" w:rsidP="00B540A1">
      <w:pPr>
        <w:pStyle w:val="ListParagraph"/>
        <w:spacing w:after="0" w:line="360" w:lineRule="auto"/>
        <w:ind w:left="0" w:firstLine="708"/>
        <w:jc w:val="both"/>
        <w:rPr>
          <w:rFonts w:ascii="Times New Roman" w:hAnsi="Times New Roman"/>
          <w:sz w:val="24"/>
          <w:szCs w:val="24"/>
        </w:rPr>
      </w:pPr>
    </w:p>
    <w:p w:rsidR="00B540A1" w:rsidRDefault="00B540A1" w:rsidP="00B540A1">
      <w:pPr>
        <w:pStyle w:val="ListParagraph"/>
        <w:spacing w:after="0" w:line="360" w:lineRule="auto"/>
        <w:ind w:left="0" w:firstLine="708"/>
        <w:jc w:val="both"/>
        <w:rPr>
          <w:rFonts w:ascii="Times New Roman" w:hAnsi="Times New Roman"/>
          <w:sz w:val="24"/>
          <w:szCs w:val="24"/>
        </w:rPr>
      </w:pPr>
      <w:r w:rsidRPr="00276E98">
        <w:rPr>
          <w:rFonts w:ascii="Times New Roman" w:hAnsi="Times New Roman"/>
          <w:sz w:val="24"/>
          <w:szCs w:val="24"/>
        </w:rPr>
        <w:t>From Table 12, we can see that the rate constants at 51°C were much higher than at 40°C.  At 51°C, the AA-control showed a slightly lower rate than the other treatments.  At 40°C, we observed the same trend.  These results indicate that under the conditions used, neither A2P nor P</w:t>
      </w:r>
      <w:r>
        <w:rPr>
          <w:rFonts w:ascii="Times New Roman" w:hAnsi="Times New Roman"/>
          <w:sz w:val="24"/>
          <w:szCs w:val="24"/>
        </w:rPr>
        <w:t xml:space="preserve">ycnogenol offered any protection </w:t>
      </w:r>
      <w:r w:rsidRPr="00276E98">
        <w:rPr>
          <w:rFonts w:ascii="Times New Roman" w:hAnsi="Times New Roman"/>
          <w:sz w:val="24"/>
          <w:szCs w:val="24"/>
        </w:rPr>
        <w:t>for AA retention.  The AA-control treatment stored at 40°C had a low R</w:t>
      </w:r>
      <w:r w:rsidRPr="00276E98">
        <w:rPr>
          <w:rFonts w:ascii="Times New Roman" w:hAnsi="Times New Roman"/>
          <w:sz w:val="24"/>
          <w:szCs w:val="24"/>
          <w:vertAlign w:val="superscript"/>
        </w:rPr>
        <w:t>2</w:t>
      </w:r>
      <w:r w:rsidRPr="00276E98">
        <w:rPr>
          <w:rFonts w:ascii="Times New Roman" w:hAnsi="Times New Roman"/>
          <w:sz w:val="24"/>
          <w:szCs w:val="24"/>
        </w:rPr>
        <w:t xml:space="preserve"> with all models.  In citrus juice stored at 28-45°C, the loss of ascorbic acid followed a first-order kinetic model </w:t>
      </w:r>
      <w:r w:rsidRPr="00276E98">
        <w:rPr>
          <w:rFonts w:ascii="Times New Roman" w:hAnsi="Times New Roman"/>
          <w:noProof/>
          <w:sz w:val="24"/>
          <w:szCs w:val="24"/>
        </w:rPr>
        <w:t xml:space="preserve">(Burdurlu </w:t>
      </w:r>
      <w:r>
        <w:rPr>
          <w:rFonts w:ascii="Times New Roman" w:hAnsi="Times New Roman"/>
          <w:noProof/>
          <w:sz w:val="24"/>
          <w:szCs w:val="24"/>
        </w:rPr>
        <w:t>and others</w:t>
      </w:r>
      <w:r w:rsidRPr="00276E98">
        <w:rPr>
          <w:rFonts w:ascii="Times New Roman" w:hAnsi="Times New Roman"/>
          <w:noProof/>
          <w:sz w:val="24"/>
          <w:szCs w:val="24"/>
        </w:rPr>
        <w:t xml:space="preserve"> 2006)</w:t>
      </w:r>
      <w:r w:rsidRPr="00276E98">
        <w:rPr>
          <w:rFonts w:ascii="Times New Roman" w:hAnsi="Times New Roman"/>
          <w:sz w:val="24"/>
          <w:szCs w:val="24"/>
        </w:rPr>
        <w:t xml:space="preserve">.  On the other hand, in single-strength orange juice aseptically processed in tetrabrik cartons stored at 37°C, a zero order model was applied.  In this last result a </w:t>
      </w:r>
      <w:r w:rsidRPr="00276E98">
        <w:rPr>
          <w:rFonts w:ascii="Times New Roman" w:hAnsi="Times New Roman"/>
          <w:i/>
          <w:sz w:val="24"/>
          <w:szCs w:val="24"/>
        </w:rPr>
        <w:t xml:space="preserve">k </w:t>
      </w:r>
      <w:r w:rsidRPr="00276E98">
        <w:rPr>
          <w:rFonts w:ascii="Times New Roman" w:hAnsi="Times New Roman"/>
          <w:sz w:val="24"/>
          <w:szCs w:val="24"/>
        </w:rPr>
        <w:t xml:space="preserve">of 3.8 mg/day was obtained. </w:t>
      </w:r>
    </w:p>
    <w:p w:rsidR="00B540A1" w:rsidRDefault="00B540A1" w:rsidP="00B540A1">
      <w:pPr>
        <w:pStyle w:val="ListParagraph"/>
        <w:spacing w:after="0" w:line="360" w:lineRule="auto"/>
        <w:ind w:left="0"/>
        <w:jc w:val="both"/>
        <w:rPr>
          <w:rFonts w:ascii="Times New Roman" w:hAnsi="Times New Roman"/>
          <w:sz w:val="24"/>
          <w:szCs w:val="24"/>
        </w:rPr>
      </w:pPr>
    </w:p>
    <w:p w:rsidR="00C30EC9" w:rsidRPr="00C30EC9" w:rsidRDefault="00C30EC9" w:rsidP="00B540A1">
      <w:pPr>
        <w:pStyle w:val="ListParagraph"/>
        <w:spacing w:after="0" w:line="360" w:lineRule="auto"/>
        <w:ind w:left="0"/>
        <w:jc w:val="both"/>
        <w:rPr>
          <w:rFonts w:ascii="Times New Roman" w:hAnsi="Times New Roman"/>
          <w:b/>
          <w:sz w:val="24"/>
          <w:szCs w:val="24"/>
        </w:rPr>
      </w:pPr>
      <w:r w:rsidRPr="00C30EC9">
        <w:rPr>
          <w:rFonts w:ascii="Times New Roman" w:hAnsi="Times New Roman"/>
          <w:b/>
          <w:sz w:val="24"/>
          <w:szCs w:val="24"/>
        </w:rPr>
        <w:lastRenderedPageBreak/>
        <w:t>CONCLUSION</w:t>
      </w:r>
    </w:p>
    <w:p w:rsidR="00C30EC9" w:rsidRDefault="00C30EC9" w:rsidP="00C30EC9">
      <w:pPr>
        <w:pStyle w:val="ListParagraph"/>
        <w:spacing w:after="0" w:line="360" w:lineRule="auto"/>
        <w:ind w:left="0" w:firstLine="708"/>
        <w:jc w:val="both"/>
        <w:rPr>
          <w:rFonts w:ascii="Times New Roman" w:hAnsi="Times New Roman"/>
          <w:sz w:val="24"/>
          <w:szCs w:val="24"/>
        </w:rPr>
      </w:pPr>
      <w:r>
        <w:rPr>
          <w:rFonts w:ascii="Times New Roman" w:hAnsi="Times New Roman"/>
          <w:sz w:val="24"/>
          <w:szCs w:val="24"/>
        </w:rPr>
        <w:t>Ascorbyl-2-phosphate</w:t>
      </w:r>
      <w:r w:rsidRPr="00276E98">
        <w:rPr>
          <w:rFonts w:ascii="Times New Roman" w:hAnsi="Times New Roman"/>
          <w:sz w:val="24"/>
          <w:szCs w:val="24"/>
        </w:rPr>
        <w:t xml:space="preserve">, as replacement of ascorbic </w:t>
      </w:r>
      <w:proofErr w:type="gramStart"/>
      <w:r w:rsidRPr="00276E98">
        <w:rPr>
          <w:rFonts w:ascii="Times New Roman" w:hAnsi="Times New Roman"/>
          <w:sz w:val="24"/>
          <w:szCs w:val="24"/>
        </w:rPr>
        <w:t>acid,</w:t>
      </w:r>
      <w:proofErr w:type="gramEnd"/>
      <w:r w:rsidRPr="00276E98">
        <w:rPr>
          <w:rFonts w:ascii="Times New Roman" w:hAnsi="Times New Roman"/>
          <w:sz w:val="24"/>
          <w:szCs w:val="24"/>
        </w:rPr>
        <w:t xml:space="preserve"> and different concentrations</w:t>
      </w:r>
      <w:r>
        <w:rPr>
          <w:rFonts w:ascii="Times New Roman" w:hAnsi="Times New Roman"/>
          <w:sz w:val="24"/>
          <w:szCs w:val="24"/>
        </w:rPr>
        <w:t xml:space="preserve"> of Pycnogenol (0%, 0.01% and 0.1%) were</w:t>
      </w:r>
      <w:r w:rsidRPr="00276E98">
        <w:rPr>
          <w:rFonts w:ascii="Times New Roman" w:hAnsi="Times New Roman"/>
          <w:sz w:val="24"/>
          <w:szCs w:val="24"/>
        </w:rPr>
        <w:t xml:space="preserve"> added into the food systems</w:t>
      </w:r>
      <w:r>
        <w:rPr>
          <w:rFonts w:ascii="Times New Roman" w:hAnsi="Times New Roman"/>
          <w:sz w:val="24"/>
          <w:szCs w:val="24"/>
        </w:rPr>
        <w:t xml:space="preserve"> composed of diced peaches and syrup packaged in retortable pouches. </w:t>
      </w:r>
      <w:r w:rsidRPr="00276E98">
        <w:rPr>
          <w:rFonts w:ascii="Times New Roman" w:hAnsi="Times New Roman"/>
          <w:sz w:val="24"/>
          <w:szCs w:val="24"/>
        </w:rPr>
        <w:t xml:space="preserve">Samples were stored at 51°C and 40°C for six weeks and 12 weeks, respectively. During these storages, vitamin C concentrations, color (CIELAB system) and browning index were measured at different periods of time.  Rate constants </w:t>
      </w:r>
      <w:r>
        <w:rPr>
          <w:rFonts w:ascii="Times New Roman" w:hAnsi="Times New Roman"/>
          <w:sz w:val="24"/>
          <w:szCs w:val="24"/>
        </w:rPr>
        <w:t>and</w:t>
      </w:r>
      <w:r w:rsidRPr="00276E98">
        <w:rPr>
          <w:rFonts w:ascii="Times New Roman" w:hAnsi="Times New Roman"/>
          <w:sz w:val="24"/>
          <w:szCs w:val="24"/>
        </w:rPr>
        <w:t xml:space="preserve"> complete factorial designs were analyzed to determine any effect due to the Pycnogenol concentrations or Vitamin C type on the food systems.</w:t>
      </w:r>
      <w:r>
        <w:rPr>
          <w:rFonts w:ascii="Times New Roman" w:hAnsi="Times New Roman"/>
          <w:sz w:val="24"/>
          <w:szCs w:val="24"/>
        </w:rPr>
        <w:t xml:space="preserve">  At each temperature, all treatments had</w:t>
      </w:r>
      <w:r w:rsidRPr="00276E98">
        <w:rPr>
          <w:rFonts w:ascii="Times New Roman" w:hAnsi="Times New Roman"/>
          <w:sz w:val="24"/>
          <w:szCs w:val="24"/>
        </w:rPr>
        <w:t xml:space="preserve"> similar rate constants.</w:t>
      </w:r>
      <w:r>
        <w:rPr>
          <w:rFonts w:ascii="Times New Roman" w:hAnsi="Times New Roman"/>
          <w:sz w:val="24"/>
          <w:szCs w:val="24"/>
        </w:rPr>
        <w:t xml:space="preserve"> </w:t>
      </w:r>
      <w:r w:rsidRPr="00276E98">
        <w:rPr>
          <w:rFonts w:ascii="Times New Roman" w:hAnsi="Times New Roman"/>
          <w:sz w:val="24"/>
          <w:szCs w:val="24"/>
        </w:rPr>
        <w:t xml:space="preserve"> Even though the com</w:t>
      </w:r>
      <w:r>
        <w:rPr>
          <w:rFonts w:ascii="Times New Roman" w:hAnsi="Times New Roman"/>
          <w:sz w:val="24"/>
          <w:szCs w:val="24"/>
        </w:rPr>
        <w:t>plete factorial design had</w:t>
      </w:r>
      <w:r w:rsidRPr="00276E98">
        <w:rPr>
          <w:rFonts w:ascii="Times New Roman" w:hAnsi="Times New Roman"/>
          <w:sz w:val="24"/>
          <w:szCs w:val="24"/>
        </w:rPr>
        <w:t xml:space="preserve"> some significant differ</w:t>
      </w:r>
      <w:r>
        <w:rPr>
          <w:rFonts w:ascii="Times New Roman" w:hAnsi="Times New Roman"/>
          <w:sz w:val="24"/>
          <w:szCs w:val="24"/>
        </w:rPr>
        <w:t>ences, they were not so clear</w:t>
      </w:r>
      <w:r w:rsidRPr="00276E98">
        <w:rPr>
          <w:rFonts w:ascii="Times New Roman" w:hAnsi="Times New Roman"/>
          <w:sz w:val="24"/>
          <w:szCs w:val="24"/>
        </w:rPr>
        <w:t xml:space="preserve"> to conclude that one treatment was better than the rest. </w:t>
      </w: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C30EC9" w:rsidRDefault="00C51CFF" w:rsidP="00C30EC9">
      <w:r>
        <w:lastRenderedPageBreak/>
        <w:t xml:space="preserve">                       </w:t>
      </w:r>
      <w:r>
        <w:object w:dxaOrig="2419" w:dyaOrig="1445">
          <v:shape id="_x0000_i1030" type="#_x0000_t75" style="width:126pt;height:85.5pt" o:ole="">
            <v:imagedata r:id="rId44" o:title=""/>
          </v:shape>
          <o:OLEObject Type="Embed" ProgID="ACD.ChemSketch.20" ShapeID="_x0000_i1030" DrawAspect="Content" ObjectID="_1354051700" r:id="rId45"/>
        </w:object>
      </w:r>
      <w:r w:rsidR="00C30EC9">
        <w:t xml:space="preserve">                  </w:t>
      </w:r>
      <w:r>
        <w:object w:dxaOrig="3466" w:dyaOrig="2333">
          <v:shape id="_x0000_i1031" type="#_x0000_t75" style="width:174pt;height:106.5pt" o:ole="">
            <v:imagedata r:id="rId46" o:title=""/>
          </v:shape>
          <o:OLEObject Type="Embed" ProgID="ACD.ChemSketch.20" ShapeID="_x0000_i1031" DrawAspect="Content" ObjectID="_1354051701" r:id="rId47"/>
        </w:object>
      </w:r>
    </w:p>
    <w:p w:rsidR="00E83B04" w:rsidRPr="00D26E31" w:rsidRDefault="00C51CFF" w:rsidP="00E83B04">
      <w:pPr>
        <w:ind w:firstLine="720"/>
        <w:rPr>
          <w:rFonts w:ascii="Times New Roman" w:hAnsi="Times New Roman" w:cs="Times New Roman"/>
          <w:b/>
        </w:rPr>
      </w:pPr>
      <w:r>
        <w:rPr>
          <w:rFonts w:ascii="Times New Roman" w:hAnsi="Times New Roman" w:cs="Times New Roman"/>
          <w:b/>
        </w:rPr>
        <w:t>Fig. 1</w:t>
      </w:r>
      <w:r w:rsidR="00E83B04" w:rsidRPr="00D26E31">
        <w:rPr>
          <w:rFonts w:ascii="Times New Roman" w:hAnsi="Times New Roman" w:cs="Times New Roman"/>
          <w:b/>
        </w:rPr>
        <w:t>: L-</w:t>
      </w:r>
      <w:r>
        <w:rPr>
          <w:rFonts w:ascii="Times New Roman" w:hAnsi="Times New Roman" w:cs="Times New Roman"/>
          <w:b/>
        </w:rPr>
        <w:t xml:space="preserve">ascorbic acid and </w:t>
      </w:r>
      <w:r w:rsidR="00E83B04" w:rsidRPr="00D26E31">
        <w:rPr>
          <w:rFonts w:ascii="Times New Roman" w:hAnsi="Times New Roman" w:cs="Times New Roman"/>
          <w:b/>
        </w:rPr>
        <w:t>2-</w:t>
      </w:r>
      <w:r>
        <w:rPr>
          <w:rFonts w:ascii="Times New Roman" w:hAnsi="Times New Roman" w:cs="Times New Roman"/>
          <w:b/>
        </w:rPr>
        <w:t>phospho</w:t>
      </w:r>
      <w:r w:rsidR="00E83B04" w:rsidRPr="00D26E31">
        <w:rPr>
          <w:rFonts w:ascii="Times New Roman" w:hAnsi="Times New Roman" w:cs="Times New Roman"/>
          <w:b/>
        </w:rPr>
        <w:t xml:space="preserve">-L-ascorbic acid trisodium salt </w:t>
      </w:r>
    </w:p>
    <w:p w:rsidR="00C30EC9" w:rsidRPr="00FA4577" w:rsidRDefault="00C30EC9" w:rsidP="00C30EC9">
      <w:pPr>
        <w:rPr>
          <w:rFonts w:ascii="Times New Roman" w:hAnsi="Times New Roman" w:cs="Times New Roman"/>
        </w:rPr>
      </w:pPr>
    </w:p>
    <w:p w:rsidR="00C30EC9" w:rsidRPr="00FA4577" w:rsidRDefault="00C30EC9" w:rsidP="00C30EC9">
      <w:pPr>
        <w:jc w:val="center"/>
        <w:rPr>
          <w:rFonts w:ascii="Times New Roman" w:hAnsi="Times New Roman" w:cs="Times New Roman"/>
        </w:rPr>
      </w:pPr>
    </w:p>
    <w:p w:rsidR="00C30EC9" w:rsidRPr="00FA4577" w:rsidRDefault="00C30EC9" w:rsidP="00C30EC9">
      <w:pPr>
        <w:jc w:val="center"/>
        <w:rPr>
          <w:rFonts w:ascii="Times New Roman" w:hAnsi="Times New Roman" w:cs="Times New Roman"/>
        </w:rPr>
      </w:pPr>
    </w:p>
    <w:p w:rsidR="00C30EC9" w:rsidRPr="00FA4577" w:rsidRDefault="00C30EC9" w:rsidP="00C30EC9">
      <w:pPr>
        <w:jc w:val="center"/>
        <w:rPr>
          <w:rFonts w:ascii="Times New Roman" w:hAnsi="Times New Roman" w:cs="Times New Roman"/>
        </w:rPr>
      </w:pPr>
    </w:p>
    <w:p w:rsidR="00C30EC9" w:rsidRPr="00FA4577" w:rsidRDefault="00C30EC9" w:rsidP="00C30EC9">
      <w:pPr>
        <w:jc w:val="center"/>
        <w:rPr>
          <w:rFonts w:ascii="Times New Roman" w:hAnsi="Times New Roman" w:cs="Times New Roman"/>
        </w:rPr>
      </w:pPr>
      <w:r w:rsidRPr="00FA4577">
        <w:rPr>
          <w:rFonts w:ascii="Times New Roman" w:hAnsi="Times New Roman" w:cs="Times New Roman"/>
          <w:noProof/>
        </w:rPr>
        <w:drawing>
          <wp:inline distT="0" distB="0" distL="0" distR="0">
            <wp:extent cx="3776472" cy="2084832"/>
            <wp:effectExtent l="0" t="0" r="0" b="0"/>
            <wp:docPr id="108"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51CFF" w:rsidRPr="00FA4577" w:rsidRDefault="00C51CFF" w:rsidP="00C51CFF">
      <w:pPr>
        <w:jc w:val="center"/>
        <w:rPr>
          <w:rFonts w:ascii="Times New Roman" w:hAnsi="Times New Roman" w:cs="Times New Roman"/>
          <w:b/>
        </w:rPr>
      </w:pPr>
      <w:r w:rsidRPr="00FA4577">
        <w:rPr>
          <w:rFonts w:ascii="Times New Roman" w:hAnsi="Times New Roman" w:cs="Times New Roman"/>
          <w:b/>
        </w:rPr>
        <w:t>Fig. 2: Influence of Calcium Chloride in the gel formation in syrups</w:t>
      </w:r>
      <w:r>
        <w:rPr>
          <w:rFonts w:ascii="Times New Roman" w:hAnsi="Times New Roman" w:cs="Times New Roman"/>
          <w:b/>
        </w:rPr>
        <w:t xml:space="preserve"> at neutral pH</w:t>
      </w: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B00A03" w:rsidRDefault="00B00A03" w:rsidP="00B540A1">
      <w:pPr>
        <w:pStyle w:val="ListParagraph"/>
        <w:spacing w:after="0" w:line="360" w:lineRule="auto"/>
        <w:ind w:left="0"/>
        <w:jc w:val="both"/>
        <w:rPr>
          <w:rFonts w:ascii="Times New Roman" w:hAnsi="Times New Roman"/>
          <w:sz w:val="24"/>
          <w:szCs w:val="24"/>
        </w:rPr>
      </w:pPr>
    </w:p>
    <w:p w:rsidR="00C51CFF" w:rsidRDefault="00C51CFF" w:rsidP="00B540A1">
      <w:pPr>
        <w:pStyle w:val="ListParagraph"/>
        <w:spacing w:after="0" w:line="360" w:lineRule="auto"/>
        <w:ind w:left="0"/>
        <w:jc w:val="both"/>
        <w:rPr>
          <w:rFonts w:ascii="Times New Roman" w:hAnsi="Times New Roman"/>
          <w:sz w:val="24"/>
          <w:szCs w:val="24"/>
        </w:rPr>
      </w:pPr>
    </w:p>
    <w:p w:rsidR="00C51CFF" w:rsidRDefault="00C51CFF" w:rsidP="00B540A1">
      <w:pPr>
        <w:pStyle w:val="ListParagraph"/>
        <w:spacing w:after="0" w:line="360" w:lineRule="auto"/>
        <w:ind w:left="0"/>
        <w:jc w:val="both"/>
        <w:rPr>
          <w:rFonts w:ascii="Times New Roman" w:hAnsi="Times New Roman"/>
          <w:sz w:val="24"/>
          <w:szCs w:val="24"/>
        </w:rPr>
      </w:pPr>
    </w:p>
    <w:p w:rsidR="00C51CFF" w:rsidRDefault="00C51CFF" w:rsidP="00B540A1">
      <w:pPr>
        <w:pStyle w:val="ListParagraph"/>
        <w:spacing w:after="0" w:line="360" w:lineRule="auto"/>
        <w:ind w:left="0"/>
        <w:jc w:val="both"/>
        <w:rPr>
          <w:rFonts w:ascii="Times New Roman" w:hAnsi="Times New Roman"/>
          <w:sz w:val="24"/>
          <w:szCs w:val="24"/>
        </w:rPr>
      </w:pPr>
    </w:p>
    <w:p w:rsidR="00C51CFF" w:rsidRDefault="00C51CFF" w:rsidP="00B540A1">
      <w:pPr>
        <w:pStyle w:val="ListParagraph"/>
        <w:spacing w:after="0" w:line="360" w:lineRule="auto"/>
        <w:ind w:left="0"/>
        <w:jc w:val="both"/>
        <w:rPr>
          <w:rFonts w:ascii="Times New Roman" w:hAnsi="Times New Roman"/>
          <w:sz w:val="24"/>
          <w:szCs w:val="24"/>
        </w:rPr>
      </w:pPr>
    </w:p>
    <w:p w:rsidR="00C51CFF" w:rsidRDefault="00C51CFF" w:rsidP="00B540A1">
      <w:pPr>
        <w:pStyle w:val="ListParagraph"/>
        <w:spacing w:after="0" w:line="360" w:lineRule="auto"/>
        <w:ind w:left="0"/>
        <w:jc w:val="both"/>
        <w:rPr>
          <w:rFonts w:ascii="Times New Roman" w:hAnsi="Times New Roman"/>
          <w:sz w:val="24"/>
          <w:szCs w:val="24"/>
        </w:rPr>
      </w:pPr>
    </w:p>
    <w:p w:rsidR="00B00A03" w:rsidRPr="00153E32" w:rsidRDefault="00B00A03" w:rsidP="00B00A03">
      <w:pPr>
        <w:jc w:val="center"/>
        <w:rPr>
          <w:rFonts w:ascii="Times New Roman" w:hAnsi="Times New Roman" w:cs="Times New Roman"/>
          <w:sz w:val="24"/>
          <w:szCs w:val="24"/>
        </w:rPr>
      </w:pPr>
      <w:r w:rsidRPr="00153E32">
        <w:rPr>
          <w:rFonts w:ascii="Times New Roman" w:hAnsi="Times New Roman" w:cs="Times New Roman"/>
          <w:noProof/>
          <w:sz w:val="24"/>
          <w:szCs w:val="24"/>
        </w:rPr>
        <w:lastRenderedPageBreak/>
        <w:drawing>
          <wp:inline distT="0" distB="0" distL="0" distR="0">
            <wp:extent cx="3574473" cy="3028208"/>
            <wp:effectExtent l="0" t="0" r="0" b="0"/>
            <wp:docPr id="10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51CFF" w:rsidRPr="00153E32" w:rsidRDefault="00C51CFF" w:rsidP="00C51CFF">
      <w:pPr>
        <w:ind w:left="1440" w:firstLine="720"/>
        <w:jc w:val="both"/>
        <w:outlineLvl w:val="0"/>
        <w:rPr>
          <w:rFonts w:ascii="Times New Roman" w:hAnsi="Times New Roman" w:cs="Times New Roman"/>
          <w:b/>
          <w:sz w:val="24"/>
          <w:szCs w:val="24"/>
        </w:rPr>
      </w:pPr>
      <w:r w:rsidRPr="00153E32">
        <w:rPr>
          <w:rFonts w:ascii="Times New Roman" w:hAnsi="Times New Roman" w:cs="Times New Roman"/>
          <w:b/>
          <w:sz w:val="24"/>
          <w:szCs w:val="24"/>
        </w:rPr>
        <w:t>Fig. 3: Variation of the L*value during storage at 51°C</w:t>
      </w:r>
    </w:p>
    <w:p w:rsidR="00B00A03" w:rsidRPr="00153E32" w:rsidRDefault="00B00A03" w:rsidP="00B00A03">
      <w:pPr>
        <w:tabs>
          <w:tab w:val="left" w:pos="2160"/>
        </w:tabs>
        <w:rPr>
          <w:rFonts w:ascii="Times New Roman" w:hAnsi="Times New Roman" w:cs="Times New Roman"/>
          <w:b/>
          <w:sz w:val="24"/>
          <w:szCs w:val="24"/>
        </w:rPr>
      </w:pPr>
    </w:p>
    <w:p w:rsidR="00B00A03" w:rsidRPr="00153E32" w:rsidRDefault="00B00A03" w:rsidP="00B00A03">
      <w:pPr>
        <w:tabs>
          <w:tab w:val="left" w:pos="2160"/>
        </w:tabs>
        <w:outlineLvl w:val="0"/>
        <w:rPr>
          <w:rFonts w:ascii="Times New Roman" w:hAnsi="Times New Roman" w:cs="Times New Roman"/>
          <w:b/>
          <w:sz w:val="24"/>
          <w:szCs w:val="24"/>
        </w:rPr>
      </w:pPr>
      <w:r w:rsidRPr="00153E32">
        <w:rPr>
          <w:rFonts w:ascii="Times New Roman" w:hAnsi="Times New Roman" w:cs="Times New Roman"/>
          <w:b/>
          <w:sz w:val="24"/>
          <w:szCs w:val="24"/>
        </w:rPr>
        <w:tab/>
      </w:r>
    </w:p>
    <w:p w:rsidR="00B00A03" w:rsidRPr="00FA4577" w:rsidRDefault="00B00A03" w:rsidP="00B00A03">
      <w:pPr>
        <w:tabs>
          <w:tab w:val="left" w:pos="2160"/>
        </w:tabs>
        <w:jc w:val="center"/>
        <w:rPr>
          <w:rFonts w:ascii="Times New Roman" w:hAnsi="Times New Roman" w:cs="Times New Roman"/>
          <w:b/>
        </w:rPr>
      </w:pPr>
      <w:r w:rsidRPr="00FA4577">
        <w:rPr>
          <w:rFonts w:ascii="Times New Roman" w:hAnsi="Times New Roman" w:cs="Times New Roman"/>
          <w:b/>
          <w:noProof/>
        </w:rPr>
        <w:drawing>
          <wp:inline distT="0" distB="0" distL="0" distR="0">
            <wp:extent cx="3484180" cy="3153103"/>
            <wp:effectExtent l="0" t="0" r="0" b="0"/>
            <wp:docPr id="11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B00A03" w:rsidRDefault="00C51CFF" w:rsidP="00B00A03">
      <w:pPr>
        <w:tabs>
          <w:tab w:val="left" w:pos="2160"/>
        </w:tabs>
        <w:rPr>
          <w:rFonts w:ascii="Times New Roman" w:hAnsi="Times New Roman" w:cs="Times New Roman"/>
          <w:b/>
        </w:rPr>
      </w:pPr>
      <w:r>
        <w:rPr>
          <w:rFonts w:ascii="Times New Roman" w:hAnsi="Times New Roman" w:cs="Times New Roman"/>
          <w:b/>
          <w:sz w:val="24"/>
          <w:szCs w:val="24"/>
        </w:rPr>
        <w:tab/>
      </w:r>
      <w:r w:rsidRPr="00153E32">
        <w:rPr>
          <w:rFonts w:ascii="Times New Roman" w:hAnsi="Times New Roman" w:cs="Times New Roman"/>
          <w:b/>
          <w:sz w:val="24"/>
          <w:szCs w:val="24"/>
        </w:rPr>
        <w:t>Fig. 4: Variation of the L*value during storage at 40°C</w:t>
      </w:r>
    </w:p>
    <w:p w:rsidR="00B00A03" w:rsidRPr="00FA4577" w:rsidRDefault="00B00A03" w:rsidP="00B00A03">
      <w:pPr>
        <w:tabs>
          <w:tab w:val="left" w:pos="2160"/>
        </w:tabs>
        <w:rPr>
          <w:rFonts w:ascii="Times New Roman" w:hAnsi="Times New Roman" w:cs="Times New Roman"/>
          <w:b/>
        </w:rPr>
      </w:pPr>
    </w:p>
    <w:p w:rsidR="00B00A03" w:rsidRPr="00153E32" w:rsidRDefault="00B00A03" w:rsidP="00C51CFF">
      <w:pPr>
        <w:tabs>
          <w:tab w:val="left" w:pos="1710"/>
        </w:tabs>
        <w:outlineLvl w:val="0"/>
        <w:rPr>
          <w:rFonts w:ascii="Times New Roman" w:hAnsi="Times New Roman" w:cs="Times New Roman"/>
          <w:sz w:val="24"/>
          <w:szCs w:val="24"/>
        </w:rPr>
      </w:pPr>
      <w:r w:rsidRPr="00153E32">
        <w:rPr>
          <w:rFonts w:ascii="Times New Roman" w:hAnsi="Times New Roman" w:cs="Times New Roman"/>
          <w:b/>
          <w:sz w:val="24"/>
          <w:szCs w:val="24"/>
        </w:rPr>
        <w:lastRenderedPageBreak/>
        <w:tab/>
      </w:r>
      <w:r w:rsidRPr="00153E32">
        <w:rPr>
          <w:rFonts w:ascii="Times New Roman" w:hAnsi="Times New Roman" w:cs="Times New Roman"/>
          <w:noProof/>
          <w:sz w:val="24"/>
          <w:szCs w:val="24"/>
        </w:rPr>
        <w:drawing>
          <wp:inline distT="0" distB="0" distL="0" distR="0">
            <wp:extent cx="3988676" cy="3200400"/>
            <wp:effectExtent l="0" t="0" r="0" b="0"/>
            <wp:docPr id="11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B00A03" w:rsidRPr="00153E32" w:rsidRDefault="00B00A03" w:rsidP="00B00A03">
      <w:pPr>
        <w:tabs>
          <w:tab w:val="left" w:pos="2160"/>
        </w:tabs>
        <w:rPr>
          <w:rFonts w:ascii="Times New Roman" w:hAnsi="Times New Roman" w:cs="Times New Roman"/>
          <w:b/>
          <w:sz w:val="24"/>
          <w:szCs w:val="24"/>
        </w:rPr>
      </w:pPr>
      <w:r w:rsidRPr="00153E32">
        <w:rPr>
          <w:rFonts w:ascii="Times New Roman" w:hAnsi="Times New Roman" w:cs="Times New Roman"/>
          <w:b/>
          <w:sz w:val="24"/>
          <w:szCs w:val="24"/>
        </w:rPr>
        <w:tab/>
      </w:r>
      <w:r w:rsidR="00C51CFF" w:rsidRPr="00153E32">
        <w:rPr>
          <w:rFonts w:ascii="Times New Roman" w:hAnsi="Times New Roman" w:cs="Times New Roman"/>
          <w:b/>
          <w:sz w:val="24"/>
          <w:szCs w:val="24"/>
        </w:rPr>
        <w:t>Fig. 5: Variation of the a* value during storage at 51°C</w:t>
      </w:r>
    </w:p>
    <w:p w:rsidR="00B00A03" w:rsidRPr="00153E32" w:rsidRDefault="00B00A03" w:rsidP="00B00A03">
      <w:pPr>
        <w:tabs>
          <w:tab w:val="left" w:pos="2160"/>
        </w:tabs>
        <w:outlineLvl w:val="0"/>
        <w:rPr>
          <w:rFonts w:ascii="Times New Roman" w:hAnsi="Times New Roman" w:cs="Times New Roman"/>
          <w:b/>
          <w:sz w:val="24"/>
          <w:szCs w:val="24"/>
        </w:rPr>
      </w:pPr>
      <w:r w:rsidRPr="00153E32">
        <w:rPr>
          <w:rFonts w:ascii="Times New Roman" w:hAnsi="Times New Roman" w:cs="Times New Roman"/>
          <w:b/>
          <w:sz w:val="24"/>
          <w:szCs w:val="24"/>
        </w:rPr>
        <w:tab/>
      </w:r>
    </w:p>
    <w:p w:rsidR="00B00A03" w:rsidRPr="00153E32" w:rsidRDefault="00B00A03" w:rsidP="00B00A03">
      <w:pPr>
        <w:tabs>
          <w:tab w:val="left" w:pos="8266"/>
        </w:tabs>
        <w:rPr>
          <w:rFonts w:ascii="Times New Roman" w:hAnsi="Times New Roman" w:cs="Times New Roman"/>
          <w:sz w:val="24"/>
          <w:szCs w:val="24"/>
        </w:rPr>
      </w:pPr>
    </w:p>
    <w:p w:rsidR="00B00A03" w:rsidRPr="00153E32" w:rsidRDefault="00B00A03" w:rsidP="00B00A03">
      <w:pPr>
        <w:tabs>
          <w:tab w:val="left" w:pos="8266"/>
        </w:tabs>
        <w:jc w:val="center"/>
        <w:rPr>
          <w:rFonts w:ascii="Times New Roman" w:hAnsi="Times New Roman" w:cs="Times New Roman"/>
          <w:sz w:val="24"/>
          <w:szCs w:val="24"/>
        </w:rPr>
      </w:pPr>
      <w:r w:rsidRPr="00153E32">
        <w:rPr>
          <w:rFonts w:ascii="Times New Roman" w:hAnsi="Times New Roman" w:cs="Times New Roman"/>
          <w:noProof/>
          <w:sz w:val="24"/>
          <w:szCs w:val="24"/>
        </w:rPr>
        <w:drawing>
          <wp:inline distT="0" distB="0" distL="0" distR="0">
            <wp:extent cx="3991708" cy="3147647"/>
            <wp:effectExtent l="0" t="0" r="0" b="0"/>
            <wp:docPr id="11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B00A03" w:rsidRDefault="00B00A03" w:rsidP="00B00A03">
      <w:pPr>
        <w:outlineLvl w:val="0"/>
        <w:rPr>
          <w:rFonts w:ascii="Times New Roman" w:hAnsi="Times New Roman" w:cs="Times New Roman"/>
          <w:b/>
          <w:sz w:val="24"/>
          <w:szCs w:val="24"/>
        </w:rPr>
      </w:pPr>
      <w:r w:rsidRPr="00153E32">
        <w:rPr>
          <w:rFonts w:ascii="Times New Roman" w:hAnsi="Times New Roman" w:cs="Times New Roman"/>
          <w:b/>
          <w:sz w:val="24"/>
          <w:szCs w:val="24"/>
        </w:rPr>
        <w:tab/>
      </w:r>
      <w:r w:rsidRPr="00153E32">
        <w:rPr>
          <w:rFonts w:ascii="Times New Roman" w:hAnsi="Times New Roman" w:cs="Times New Roman"/>
          <w:b/>
          <w:sz w:val="24"/>
          <w:szCs w:val="24"/>
        </w:rPr>
        <w:tab/>
      </w:r>
      <w:r w:rsidR="009D6194">
        <w:rPr>
          <w:rFonts w:ascii="Times New Roman" w:hAnsi="Times New Roman" w:cs="Times New Roman"/>
          <w:b/>
          <w:sz w:val="24"/>
          <w:szCs w:val="24"/>
        </w:rPr>
        <w:tab/>
      </w:r>
      <w:r w:rsidR="00C51CFF" w:rsidRPr="00153E32">
        <w:rPr>
          <w:rFonts w:ascii="Times New Roman" w:hAnsi="Times New Roman" w:cs="Times New Roman"/>
          <w:b/>
          <w:sz w:val="24"/>
          <w:szCs w:val="24"/>
        </w:rPr>
        <w:t>Fig. 6: Variation of the a* value during storage at 40°C</w:t>
      </w:r>
    </w:p>
    <w:p w:rsidR="00C51CFF" w:rsidRDefault="00C51CFF" w:rsidP="00B00A03">
      <w:pPr>
        <w:ind w:left="720" w:firstLine="720"/>
        <w:outlineLvl w:val="0"/>
        <w:rPr>
          <w:rFonts w:ascii="Times New Roman" w:hAnsi="Times New Roman" w:cs="Times New Roman"/>
          <w:b/>
          <w:sz w:val="24"/>
          <w:szCs w:val="24"/>
        </w:rPr>
      </w:pPr>
    </w:p>
    <w:p w:rsidR="00B00A03" w:rsidRPr="00153E32" w:rsidRDefault="00B00A03" w:rsidP="00B00A03">
      <w:pPr>
        <w:tabs>
          <w:tab w:val="left" w:pos="8266"/>
        </w:tabs>
        <w:jc w:val="center"/>
        <w:rPr>
          <w:rFonts w:ascii="Times New Roman" w:hAnsi="Times New Roman" w:cs="Times New Roman"/>
          <w:sz w:val="24"/>
          <w:szCs w:val="24"/>
        </w:rPr>
      </w:pPr>
      <w:r w:rsidRPr="00153E32">
        <w:rPr>
          <w:rFonts w:ascii="Times New Roman" w:hAnsi="Times New Roman" w:cs="Times New Roman"/>
          <w:noProof/>
          <w:sz w:val="24"/>
          <w:szCs w:val="24"/>
        </w:rPr>
        <w:lastRenderedPageBreak/>
        <w:drawing>
          <wp:inline distT="0" distB="0" distL="0" distR="0">
            <wp:extent cx="4130566" cy="3767959"/>
            <wp:effectExtent l="0" t="0" r="0" b="0"/>
            <wp:docPr id="113"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423F22" w:rsidRPr="00153E32" w:rsidRDefault="00423F22" w:rsidP="00423F22">
      <w:pPr>
        <w:ind w:left="720" w:firstLine="720"/>
        <w:outlineLvl w:val="0"/>
        <w:rPr>
          <w:rFonts w:ascii="Times New Roman" w:hAnsi="Times New Roman" w:cs="Times New Roman"/>
          <w:b/>
          <w:sz w:val="24"/>
          <w:szCs w:val="24"/>
        </w:rPr>
      </w:pPr>
      <w:r w:rsidRPr="00153E32">
        <w:rPr>
          <w:rFonts w:ascii="Times New Roman" w:hAnsi="Times New Roman" w:cs="Times New Roman"/>
          <w:b/>
          <w:sz w:val="24"/>
          <w:szCs w:val="24"/>
        </w:rPr>
        <w:t>Fig. 7: Variation of the b* value during storage at 51°C</w:t>
      </w:r>
    </w:p>
    <w:p w:rsidR="00B00A03" w:rsidRPr="00153E32" w:rsidRDefault="00B00A03" w:rsidP="00B00A03">
      <w:pPr>
        <w:tabs>
          <w:tab w:val="left" w:pos="1800"/>
        </w:tabs>
        <w:jc w:val="center"/>
        <w:rPr>
          <w:rFonts w:ascii="Times New Roman" w:hAnsi="Times New Roman" w:cs="Times New Roman"/>
          <w:b/>
          <w:sz w:val="24"/>
          <w:szCs w:val="24"/>
        </w:rPr>
      </w:pPr>
      <w:r w:rsidRPr="00153E32">
        <w:rPr>
          <w:rFonts w:ascii="Times New Roman" w:hAnsi="Times New Roman" w:cs="Times New Roman"/>
          <w:b/>
          <w:noProof/>
          <w:sz w:val="24"/>
          <w:szCs w:val="24"/>
        </w:rPr>
        <w:drawing>
          <wp:inline distT="0" distB="0" distL="0" distR="0">
            <wp:extent cx="4430110" cy="3515710"/>
            <wp:effectExtent l="0" t="0" r="0" b="0"/>
            <wp:docPr id="114"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423F22" w:rsidRDefault="00B00A03" w:rsidP="00423F22">
      <w:pPr>
        <w:outlineLvl w:val="0"/>
        <w:rPr>
          <w:rFonts w:ascii="Times New Roman" w:hAnsi="Times New Roman" w:cs="Times New Roman"/>
          <w:b/>
          <w:sz w:val="24"/>
          <w:szCs w:val="24"/>
        </w:rPr>
      </w:pPr>
      <w:r w:rsidRPr="00153E32">
        <w:rPr>
          <w:rFonts w:ascii="Times New Roman" w:hAnsi="Times New Roman" w:cs="Times New Roman"/>
          <w:b/>
          <w:sz w:val="24"/>
          <w:szCs w:val="24"/>
        </w:rPr>
        <w:tab/>
      </w:r>
      <w:r w:rsidR="00423F22">
        <w:rPr>
          <w:rFonts w:ascii="Times New Roman" w:hAnsi="Times New Roman" w:cs="Times New Roman"/>
          <w:b/>
          <w:sz w:val="24"/>
          <w:szCs w:val="24"/>
        </w:rPr>
        <w:tab/>
      </w:r>
      <w:r w:rsidR="00423F22" w:rsidRPr="00153E32">
        <w:rPr>
          <w:rFonts w:ascii="Times New Roman" w:hAnsi="Times New Roman" w:cs="Times New Roman"/>
          <w:b/>
          <w:sz w:val="24"/>
          <w:szCs w:val="24"/>
        </w:rPr>
        <w:t>Fig. 8: Variation of the b* value during storage at 40°C</w:t>
      </w:r>
    </w:p>
    <w:p w:rsidR="00B00A03" w:rsidRPr="00153E32" w:rsidRDefault="00B00A03" w:rsidP="00B00A03">
      <w:pPr>
        <w:tabs>
          <w:tab w:val="left" w:pos="8266"/>
        </w:tabs>
        <w:jc w:val="center"/>
        <w:rPr>
          <w:rFonts w:ascii="Times New Roman" w:hAnsi="Times New Roman" w:cs="Times New Roman"/>
          <w:b/>
          <w:sz w:val="24"/>
          <w:szCs w:val="24"/>
        </w:rPr>
      </w:pPr>
      <w:r w:rsidRPr="00153E32">
        <w:rPr>
          <w:rFonts w:ascii="Times New Roman" w:hAnsi="Times New Roman" w:cs="Times New Roman"/>
          <w:b/>
          <w:noProof/>
          <w:sz w:val="24"/>
          <w:szCs w:val="24"/>
        </w:rPr>
        <w:lastRenderedPageBreak/>
        <w:drawing>
          <wp:inline distT="0" distB="0" distL="0" distR="0">
            <wp:extent cx="3957850" cy="3357349"/>
            <wp:effectExtent l="0" t="0" r="0" b="0"/>
            <wp:docPr id="11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423F22" w:rsidRPr="00153E32" w:rsidRDefault="00423F22" w:rsidP="00423F22">
      <w:pPr>
        <w:tabs>
          <w:tab w:val="left" w:pos="1800"/>
        </w:tabs>
        <w:outlineLvl w:val="0"/>
        <w:rPr>
          <w:rFonts w:ascii="Times New Roman" w:hAnsi="Times New Roman" w:cs="Times New Roman"/>
          <w:b/>
          <w:sz w:val="24"/>
          <w:szCs w:val="24"/>
        </w:rPr>
      </w:pPr>
      <w:r>
        <w:rPr>
          <w:rFonts w:ascii="Times New Roman" w:hAnsi="Times New Roman" w:cs="Times New Roman"/>
          <w:b/>
          <w:sz w:val="24"/>
          <w:szCs w:val="24"/>
        </w:rPr>
        <w:tab/>
      </w:r>
      <w:r w:rsidRPr="00153E32">
        <w:rPr>
          <w:rFonts w:ascii="Times New Roman" w:hAnsi="Times New Roman" w:cs="Times New Roman"/>
          <w:b/>
          <w:sz w:val="24"/>
          <w:szCs w:val="24"/>
        </w:rPr>
        <w:t>Fig. 9: Variation of the ∆E*value during storage at 51°C</w:t>
      </w:r>
    </w:p>
    <w:p w:rsidR="00B00A03" w:rsidRPr="00153E32" w:rsidRDefault="00B00A03" w:rsidP="00B00A03">
      <w:pPr>
        <w:tabs>
          <w:tab w:val="left" w:pos="8266"/>
        </w:tabs>
        <w:rPr>
          <w:rFonts w:ascii="Times New Roman" w:hAnsi="Times New Roman" w:cs="Times New Roman"/>
          <w:b/>
          <w:sz w:val="24"/>
          <w:szCs w:val="24"/>
        </w:rPr>
      </w:pPr>
    </w:p>
    <w:p w:rsidR="00B00A03" w:rsidRPr="00153E32" w:rsidRDefault="00B00A03" w:rsidP="00423F22">
      <w:pPr>
        <w:tabs>
          <w:tab w:val="left" w:pos="1800"/>
        </w:tabs>
        <w:outlineLvl w:val="0"/>
        <w:rPr>
          <w:rFonts w:ascii="Times New Roman" w:hAnsi="Times New Roman" w:cs="Times New Roman"/>
          <w:b/>
          <w:sz w:val="24"/>
          <w:szCs w:val="24"/>
        </w:rPr>
      </w:pPr>
      <w:r w:rsidRPr="00153E32">
        <w:rPr>
          <w:rFonts w:ascii="Times New Roman" w:hAnsi="Times New Roman" w:cs="Times New Roman"/>
          <w:b/>
          <w:sz w:val="24"/>
          <w:szCs w:val="24"/>
        </w:rPr>
        <w:tab/>
      </w:r>
      <w:r w:rsidRPr="00153E32">
        <w:rPr>
          <w:rFonts w:ascii="Times New Roman" w:hAnsi="Times New Roman" w:cs="Times New Roman"/>
          <w:b/>
          <w:noProof/>
          <w:sz w:val="24"/>
          <w:szCs w:val="24"/>
        </w:rPr>
        <w:drawing>
          <wp:inline distT="0" distB="0" distL="0" distR="0">
            <wp:extent cx="4032355" cy="3597639"/>
            <wp:effectExtent l="0" t="0" r="0" b="0"/>
            <wp:docPr id="116"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423F22" w:rsidRDefault="00B00A03" w:rsidP="004055E1">
      <w:pPr>
        <w:tabs>
          <w:tab w:val="left" w:pos="1890"/>
          <w:tab w:val="left" w:pos="2160"/>
          <w:tab w:val="left" w:pos="8266"/>
        </w:tabs>
        <w:outlineLvl w:val="0"/>
        <w:rPr>
          <w:rFonts w:ascii="Times New Roman" w:hAnsi="Times New Roman" w:cs="Times New Roman"/>
          <w:b/>
          <w:sz w:val="24"/>
          <w:szCs w:val="24"/>
        </w:rPr>
      </w:pPr>
      <w:r w:rsidRPr="00153E32">
        <w:rPr>
          <w:rFonts w:ascii="Times New Roman" w:hAnsi="Times New Roman" w:cs="Times New Roman"/>
          <w:b/>
          <w:sz w:val="24"/>
          <w:szCs w:val="24"/>
        </w:rPr>
        <w:tab/>
      </w:r>
      <w:r w:rsidR="00423F22" w:rsidRPr="00153E32">
        <w:rPr>
          <w:rFonts w:ascii="Times New Roman" w:hAnsi="Times New Roman" w:cs="Times New Roman"/>
          <w:b/>
          <w:sz w:val="24"/>
          <w:szCs w:val="24"/>
        </w:rPr>
        <w:t>Fig. 10: Variation of the ∆E*value during storage at 40°C</w:t>
      </w:r>
    </w:p>
    <w:p w:rsidR="00B00A03" w:rsidRPr="00153E32" w:rsidRDefault="004055E1" w:rsidP="00E9109B">
      <w:pPr>
        <w:tabs>
          <w:tab w:val="left" w:pos="1890"/>
          <w:tab w:val="left" w:pos="8266"/>
        </w:tabs>
        <w:outlineLvl w:val="0"/>
        <w:rPr>
          <w:rFonts w:ascii="Times New Roman" w:hAnsi="Times New Roman" w:cs="Times New Roman"/>
          <w:b/>
          <w:sz w:val="24"/>
          <w:szCs w:val="24"/>
        </w:rPr>
      </w:pPr>
      <w:r>
        <w:rPr>
          <w:rFonts w:ascii="Times New Roman" w:hAnsi="Times New Roman" w:cs="Times New Roman"/>
          <w:b/>
          <w:sz w:val="24"/>
          <w:szCs w:val="24"/>
        </w:rPr>
        <w:lastRenderedPageBreak/>
        <w:tab/>
      </w:r>
      <w:r w:rsidR="00B00A03" w:rsidRPr="00153E32">
        <w:rPr>
          <w:rFonts w:ascii="Times New Roman" w:hAnsi="Times New Roman" w:cs="Times New Roman"/>
          <w:b/>
          <w:noProof/>
          <w:sz w:val="24"/>
          <w:szCs w:val="24"/>
        </w:rPr>
        <w:drawing>
          <wp:inline distT="0" distB="0" distL="0" distR="0">
            <wp:extent cx="3905250" cy="3086100"/>
            <wp:effectExtent l="0" t="0" r="0" b="0"/>
            <wp:docPr id="11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B00A03" w:rsidRPr="00153E32" w:rsidRDefault="00961D15" w:rsidP="00B00A03">
      <w:pPr>
        <w:tabs>
          <w:tab w:val="left" w:pos="8266"/>
        </w:tabs>
        <w:jc w:val="center"/>
        <w:rPr>
          <w:rFonts w:ascii="Times New Roman" w:hAnsi="Times New Roman" w:cs="Times New Roman"/>
          <w:b/>
          <w:sz w:val="24"/>
          <w:szCs w:val="24"/>
        </w:rPr>
      </w:pPr>
      <w:r w:rsidRPr="00153E32">
        <w:rPr>
          <w:rFonts w:ascii="Times New Roman" w:hAnsi="Times New Roman" w:cs="Times New Roman"/>
          <w:b/>
          <w:sz w:val="24"/>
          <w:szCs w:val="24"/>
        </w:rPr>
        <w:t>Fig. 11: Variation of the browning index during storage at 51°C</w:t>
      </w:r>
    </w:p>
    <w:p w:rsidR="00B00A03" w:rsidRPr="00153E32" w:rsidRDefault="00B00A03" w:rsidP="004055E1">
      <w:pPr>
        <w:tabs>
          <w:tab w:val="left" w:pos="1890"/>
          <w:tab w:val="left" w:pos="2160"/>
          <w:tab w:val="left" w:pos="8266"/>
        </w:tabs>
        <w:outlineLvl w:val="0"/>
        <w:rPr>
          <w:rFonts w:ascii="Times New Roman" w:hAnsi="Times New Roman" w:cs="Times New Roman"/>
          <w:b/>
          <w:sz w:val="24"/>
          <w:szCs w:val="24"/>
        </w:rPr>
      </w:pPr>
      <w:r w:rsidRPr="00153E32">
        <w:rPr>
          <w:rFonts w:ascii="Times New Roman" w:hAnsi="Times New Roman" w:cs="Times New Roman"/>
          <w:b/>
          <w:sz w:val="24"/>
          <w:szCs w:val="24"/>
        </w:rPr>
        <w:tab/>
      </w:r>
      <w:r w:rsidR="004055E1">
        <w:rPr>
          <w:rFonts w:ascii="Times New Roman" w:hAnsi="Times New Roman" w:cs="Times New Roman"/>
          <w:b/>
          <w:sz w:val="24"/>
          <w:szCs w:val="24"/>
        </w:rPr>
        <w:tab/>
      </w:r>
    </w:p>
    <w:p w:rsidR="00B00A03" w:rsidRPr="00153E32" w:rsidRDefault="00B00A03" w:rsidP="00B00A03">
      <w:pPr>
        <w:jc w:val="center"/>
        <w:rPr>
          <w:rFonts w:ascii="Times New Roman" w:hAnsi="Times New Roman" w:cs="Times New Roman"/>
          <w:b/>
          <w:sz w:val="24"/>
          <w:szCs w:val="24"/>
        </w:rPr>
      </w:pPr>
      <w:r w:rsidRPr="00153E32">
        <w:rPr>
          <w:rFonts w:ascii="Times New Roman" w:hAnsi="Times New Roman" w:cs="Times New Roman"/>
          <w:b/>
          <w:noProof/>
          <w:sz w:val="24"/>
          <w:szCs w:val="24"/>
        </w:rPr>
        <w:drawing>
          <wp:inline distT="0" distB="0" distL="0" distR="0">
            <wp:extent cx="3956539" cy="3710354"/>
            <wp:effectExtent l="0" t="0" r="0" b="0"/>
            <wp:docPr id="118"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961D15" w:rsidRPr="00153E32" w:rsidRDefault="00961D15" w:rsidP="00E9109B">
      <w:pPr>
        <w:tabs>
          <w:tab w:val="left" w:pos="1440"/>
          <w:tab w:val="left" w:pos="1620"/>
          <w:tab w:val="left" w:pos="1890"/>
          <w:tab w:val="left" w:pos="8266"/>
        </w:tabs>
        <w:outlineLvl w:val="0"/>
        <w:rPr>
          <w:rFonts w:ascii="Times New Roman" w:hAnsi="Times New Roman" w:cs="Times New Roman"/>
          <w:b/>
          <w:sz w:val="24"/>
          <w:szCs w:val="24"/>
        </w:rPr>
      </w:pPr>
      <w:r>
        <w:rPr>
          <w:rFonts w:ascii="Times New Roman" w:hAnsi="Times New Roman" w:cs="Times New Roman"/>
          <w:b/>
          <w:sz w:val="24"/>
          <w:szCs w:val="24"/>
        </w:rPr>
        <w:tab/>
      </w:r>
      <w:r w:rsidRPr="00153E32">
        <w:rPr>
          <w:rFonts w:ascii="Times New Roman" w:hAnsi="Times New Roman" w:cs="Times New Roman"/>
          <w:b/>
          <w:sz w:val="24"/>
          <w:szCs w:val="24"/>
        </w:rPr>
        <w:t>Fig. 12: Variation of the browning index during storage at 40°C</w:t>
      </w:r>
    </w:p>
    <w:p w:rsidR="00B00A03" w:rsidRPr="00153E32" w:rsidRDefault="00B00A03" w:rsidP="00B00A03">
      <w:pPr>
        <w:rPr>
          <w:rFonts w:ascii="Times New Roman" w:hAnsi="Times New Roman" w:cs="Times New Roman"/>
          <w:b/>
          <w:sz w:val="24"/>
          <w:szCs w:val="24"/>
        </w:rPr>
      </w:pPr>
      <w:r w:rsidRPr="00153E32">
        <w:rPr>
          <w:rFonts w:ascii="Times New Roman" w:hAnsi="Times New Roman" w:cs="Times New Roman"/>
          <w:b/>
          <w:noProof/>
          <w:sz w:val="24"/>
          <w:szCs w:val="24"/>
        </w:rPr>
        <w:lastRenderedPageBreak/>
        <w:drawing>
          <wp:inline distT="0" distB="0" distL="0" distR="0">
            <wp:extent cx="5943600" cy="1428750"/>
            <wp:effectExtent l="19050" t="0" r="0" b="0"/>
            <wp:docPr id="119" name="Picture 27"/>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a:blip r:embed="rId59" cstate="print"/>
                    <a:srcRect l="21940" t="29261" b="45720"/>
                    <a:stretch>
                      <a:fillRect/>
                    </a:stretch>
                  </pic:blipFill>
                  <pic:spPr bwMode="auto">
                    <a:xfrm>
                      <a:off x="0" y="0"/>
                      <a:ext cx="5943600" cy="1428750"/>
                    </a:xfrm>
                    <a:prstGeom prst="rect">
                      <a:avLst/>
                    </a:prstGeom>
                    <a:noFill/>
                    <a:ln w="9525">
                      <a:noFill/>
                      <a:miter lim="800000"/>
                      <a:headEnd/>
                      <a:tailEnd/>
                    </a:ln>
                    <a:effectLst/>
                  </pic:spPr>
                </pic:pic>
              </a:graphicData>
            </a:graphic>
          </wp:inline>
        </w:drawing>
      </w:r>
    </w:p>
    <w:p w:rsidR="00961D15" w:rsidRPr="00153E32" w:rsidRDefault="00961D15" w:rsidP="00961D15">
      <w:pPr>
        <w:jc w:val="center"/>
        <w:outlineLvl w:val="0"/>
        <w:rPr>
          <w:rFonts w:ascii="Times New Roman" w:hAnsi="Times New Roman" w:cs="Times New Roman"/>
          <w:b/>
          <w:sz w:val="24"/>
          <w:szCs w:val="24"/>
        </w:rPr>
      </w:pPr>
      <w:r w:rsidRPr="00153E32">
        <w:rPr>
          <w:rFonts w:ascii="Times New Roman" w:hAnsi="Times New Roman" w:cs="Times New Roman"/>
          <w:b/>
          <w:sz w:val="24"/>
          <w:szCs w:val="24"/>
        </w:rPr>
        <w:t xml:space="preserve">Fig. 13: Chromatogram of one of the samples fortified with ascorbyl 2 </w:t>
      </w:r>
      <w:proofErr w:type="gramStart"/>
      <w:r w:rsidRPr="00153E32">
        <w:rPr>
          <w:rFonts w:ascii="Times New Roman" w:hAnsi="Times New Roman" w:cs="Times New Roman"/>
          <w:b/>
          <w:sz w:val="24"/>
          <w:szCs w:val="24"/>
        </w:rPr>
        <w:t>phosphate</w:t>
      </w:r>
      <w:proofErr w:type="gramEnd"/>
      <w:r w:rsidRPr="00153E32">
        <w:rPr>
          <w:rFonts w:ascii="Times New Roman" w:hAnsi="Times New Roman" w:cs="Times New Roman"/>
          <w:b/>
          <w:sz w:val="24"/>
          <w:szCs w:val="24"/>
        </w:rPr>
        <w:t xml:space="preserve"> at day 0</w:t>
      </w:r>
    </w:p>
    <w:p w:rsidR="00961D15" w:rsidRDefault="00961D15" w:rsidP="004055E1">
      <w:pPr>
        <w:tabs>
          <w:tab w:val="left" w:pos="810"/>
          <w:tab w:val="left" w:pos="1440"/>
        </w:tabs>
        <w:outlineLvl w:val="0"/>
        <w:rPr>
          <w:rFonts w:ascii="Times New Roman" w:hAnsi="Times New Roman" w:cs="Times New Roman"/>
          <w:b/>
          <w:sz w:val="24"/>
          <w:szCs w:val="24"/>
        </w:rPr>
      </w:pPr>
    </w:p>
    <w:p w:rsidR="00B00A03" w:rsidRPr="00153E32" w:rsidRDefault="00B00A03" w:rsidP="00B00A03">
      <w:pPr>
        <w:jc w:val="center"/>
        <w:rPr>
          <w:rFonts w:ascii="Times New Roman" w:hAnsi="Times New Roman" w:cs="Times New Roman"/>
          <w:b/>
          <w:sz w:val="24"/>
          <w:szCs w:val="24"/>
        </w:rPr>
      </w:pPr>
      <w:r w:rsidRPr="00153E32">
        <w:rPr>
          <w:rFonts w:ascii="Times New Roman" w:hAnsi="Times New Roman" w:cs="Times New Roman"/>
          <w:b/>
          <w:noProof/>
          <w:sz w:val="24"/>
          <w:szCs w:val="24"/>
        </w:rPr>
        <w:drawing>
          <wp:inline distT="0" distB="0" distL="0" distR="0">
            <wp:extent cx="5029257" cy="2206171"/>
            <wp:effectExtent l="19050" t="0" r="0" b="0"/>
            <wp:docPr id="120" name="Picture 7"/>
            <wp:cNvGraphicFramePr/>
            <a:graphic xmlns:a="http://schemas.openxmlformats.org/drawingml/2006/main">
              <a:graphicData uri="http://schemas.openxmlformats.org/drawingml/2006/picture">
                <pic:pic xmlns:pic="http://schemas.openxmlformats.org/drawingml/2006/picture">
                  <pic:nvPicPr>
                    <pic:cNvPr id="3074" name="Picture 7"/>
                    <pic:cNvPicPr>
                      <a:picLocks noGrp="1" noChangeAspect="1" noChangeArrowheads="1"/>
                    </pic:cNvPicPr>
                  </pic:nvPicPr>
                  <pic:blipFill>
                    <a:blip r:embed="rId35" cstate="print"/>
                    <a:srcRect l="20569" t="59891" r="31676" b="4678"/>
                    <a:stretch>
                      <a:fillRect/>
                    </a:stretch>
                  </pic:blipFill>
                  <pic:spPr bwMode="auto">
                    <a:xfrm>
                      <a:off x="0" y="0"/>
                      <a:ext cx="5045823" cy="2213438"/>
                    </a:xfrm>
                    <a:prstGeom prst="rect">
                      <a:avLst/>
                    </a:prstGeom>
                    <a:noFill/>
                    <a:ln w="9525">
                      <a:noFill/>
                      <a:miter lim="800000"/>
                      <a:headEnd/>
                      <a:tailEnd/>
                    </a:ln>
                  </pic:spPr>
                </pic:pic>
              </a:graphicData>
            </a:graphic>
          </wp:inline>
        </w:drawing>
      </w:r>
    </w:p>
    <w:p w:rsidR="00961D15" w:rsidRPr="00153E32" w:rsidRDefault="00A6300F" w:rsidP="00961D15">
      <w:pPr>
        <w:tabs>
          <w:tab w:val="left" w:pos="810"/>
          <w:tab w:val="left" w:pos="1440"/>
        </w:tabs>
        <w:outlineLvl w:val="0"/>
        <w:rPr>
          <w:rFonts w:ascii="Times New Roman" w:hAnsi="Times New Roman" w:cs="Times New Roman"/>
          <w:b/>
          <w:sz w:val="24"/>
          <w:szCs w:val="24"/>
        </w:rPr>
      </w:pPr>
      <w:r>
        <w:rPr>
          <w:rFonts w:ascii="Times New Roman" w:hAnsi="Times New Roman" w:cs="Times New Roman"/>
          <w:b/>
          <w:sz w:val="24"/>
          <w:szCs w:val="24"/>
        </w:rPr>
        <w:tab/>
      </w:r>
      <w:r w:rsidR="00961D15" w:rsidRPr="00153E32">
        <w:rPr>
          <w:rFonts w:ascii="Times New Roman" w:hAnsi="Times New Roman" w:cs="Times New Roman"/>
          <w:b/>
          <w:sz w:val="24"/>
          <w:szCs w:val="24"/>
        </w:rPr>
        <w:t>Fig. 14: Absorption spectra of ascorbic acid (0.0025M)</w:t>
      </w:r>
    </w:p>
    <w:p w:rsidR="00B00A03" w:rsidRPr="00153E32" w:rsidRDefault="00B00A03" w:rsidP="00B00A03">
      <w:pPr>
        <w:rPr>
          <w:rFonts w:ascii="Times New Roman" w:hAnsi="Times New Roman" w:cs="Times New Roman"/>
          <w:b/>
          <w:sz w:val="24"/>
          <w:szCs w:val="24"/>
        </w:rPr>
      </w:pPr>
    </w:p>
    <w:p w:rsidR="00B00A03" w:rsidRPr="00153E32" w:rsidRDefault="004055E1" w:rsidP="00961D15">
      <w:pPr>
        <w:tabs>
          <w:tab w:val="left" w:pos="810"/>
        </w:tabs>
        <w:outlineLvl w:val="0"/>
        <w:rPr>
          <w:rFonts w:ascii="Times New Roman" w:hAnsi="Times New Roman" w:cs="Times New Roman"/>
          <w:b/>
          <w:sz w:val="24"/>
          <w:szCs w:val="24"/>
        </w:rPr>
      </w:pPr>
      <w:r>
        <w:rPr>
          <w:rFonts w:ascii="Times New Roman" w:hAnsi="Times New Roman" w:cs="Times New Roman"/>
          <w:b/>
          <w:sz w:val="24"/>
          <w:szCs w:val="24"/>
        </w:rPr>
        <w:tab/>
      </w:r>
      <w:r w:rsidR="00B00A03" w:rsidRPr="00153E32">
        <w:rPr>
          <w:rFonts w:ascii="Times New Roman" w:hAnsi="Times New Roman" w:cs="Times New Roman"/>
          <w:b/>
          <w:noProof/>
          <w:sz w:val="24"/>
          <w:szCs w:val="24"/>
        </w:rPr>
        <w:drawing>
          <wp:inline distT="0" distB="0" distL="0" distR="0">
            <wp:extent cx="4923608" cy="2361196"/>
            <wp:effectExtent l="19050" t="0" r="0" b="0"/>
            <wp:docPr id="121" name="Picture 6"/>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a:blip r:embed="rId36" cstate="print"/>
                    <a:srcRect l="20569" t="59891" r="32224" b="4678"/>
                    <a:stretch>
                      <a:fillRect/>
                    </a:stretch>
                  </pic:blipFill>
                  <pic:spPr bwMode="auto">
                    <a:xfrm>
                      <a:off x="0" y="0"/>
                      <a:ext cx="4918219" cy="2358612"/>
                    </a:xfrm>
                    <a:prstGeom prst="rect">
                      <a:avLst/>
                    </a:prstGeom>
                    <a:noFill/>
                    <a:ln w="9525">
                      <a:noFill/>
                      <a:miter lim="800000"/>
                      <a:headEnd/>
                      <a:tailEnd/>
                    </a:ln>
                  </pic:spPr>
                </pic:pic>
              </a:graphicData>
            </a:graphic>
          </wp:inline>
        </w:drawing>
      </w:r>
    </w:p>
    <w:p w:rsidR="00961D15" w:rsidRPr="00153E32" w:rsidRDefault="00A6300F" w:rsidP="00961D15">
      <w:pPr>
        <w:tabs>
          <w:tab w:val="left" w:pos="810"/>
        </w:tabs>
        <w:outlineLvl w:val="0"/>
        <w:rPr>
          <w:rFonts w:ascii="Times New Roman" w:hAnsi="Times New Roman" w:cs="Times New Roman"/>
          <w:b/>
          <w:sz w:val="24"/>
          <w:szCs w:val="24"/>
        </w:rPr>
      </w:pPr>
      <w:r>
        <w:rPr>
          <w:rFonts w:ascii="Times New Roman" w:hAnsi="Times New Roman" w:cs="Times New Roman"/>
          <w:b/>
          <w:sz w:val="24"/>
          <w:szCs w:val="24"/>
        </w:rPr>
        <w:tab/>
      </w:r>
      <w:r w:rsidR="00961D15" w:rsidRPr="00153E32">
        <w:rPr>
          <w:rFonts w:ascii="Times New Roman" w:hAnsi="Times New Roman" w:cs="Times New Roman"/>
          <w:b/>
          <w:sz w:val="24"/>
          <w:szCs w:val="24"/>
        </w:rPr>
        <w:t>Fig. 15: Absorption spectra of ascorbyl 2 phosphate (0.0025M)</w:t>
      </w:r>
    </w:p>
    <w:p w:rsidR="00B00A03" w:rsidRPr="00153E32" w:rsidRDefault="00B00A03" w:rsidP="00B00A03">
      <w:pPr>
        <w:jc w:val="center"/>
        <w:rPr>
          <w:rFonts w:ascii="Times New Roman" w:hAnsi="Times New Roman" w:cs="Times New Roman"/>
          <w:b/>
          <w:sz w:val="24"/>
          <w:szCs w:val="24"/>
        </w:rPr>
      </w:pPr>
      <w:r w:rsidRPr="00153E32">
        <w:rPr>
          <w:rFonts w:ascii="Times New Roman" w:hAnsi="Times New Roman" w:cs="Times New Roman"/>
          <w:b/>
          <w:noProof/>
          <w:sz w:val="24"/>
          <w:szCs w:val="24"/>
        </w:rPr>
        <w:lastRenderedPageBreak/>
        <w:drawing>
          <wp:inline distT="0" distB="0" distL="0" distR="0">
            <wp:extent cx="3962400" cy="1950720"/>
            <wp:effectExtent l="0" t="0" r="0" b="0"/>
            <wp:docPr id="1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961D15" w:rsidRDefault="00961D15" w:rsidP="00961D15">
      <w:pPr>
        <w:tabs>
          <w:tab w:val="left" w:pos="1620"/>
        </w:tabs>
        <w:ind w:left="1620"/>
        <w:jc w:val="both"/>
        <w:rPr>
          <w:rFonts w:ascii="Times New Roman" w:hAnsi="Times New Roman" w:cs="Times New Roman"/>
          <w:b/>
          <w:sz w:val="24"/>
          <w:szCs w:val="24"/>
        </w:rPr>
      </w:pPr>
      <w:r w:rsidRPr="00153E32">
        <w:rPr>
          <w:rFonts w:ascii="Times New Roman" w:hAnsi="Times New Roman" w:cs="Times New Roman"/>
          <w:b/>
          <w:sz w:val="24"/>
          <w:szCs w:val="24"/>
        </w:rPr>
        <w:t xml:space="preserve">Fig. 16: </w:t>
      </w:r>
      <w:r>
        <w:rPr>
          <w:rFonts w:ascii="Times New Roman" w:hAnsi="Times New Roman" w:cs="Times New Roman"/>
          <w:b/>
          <w:sz w:val="24"/>
          <w:szCs w:val="24"/>
        </w:rPr>
        <w:t>Relative a</w:t>
      </w:r>
      <w:r w:rsidRPr="00153E32">
        <w:rPr>
          <w:rFonts w:ascii="Times New Roman" w:hAnsi="Times New Roman" w:cs="Times New Roman"/>
          <w:b/>
          <w:sz w:val="24"/>
          <w:szCs w:val="24"/>
        </w:rPr>
        <w:t>scorbyl 2 phosphate and ascorbic acid concentrations (%) in the A2P-Control treatment during storage at 51°C</w:t>
      </w:r>
    </w:p>
    <w:p w:rsidR="00961D15" w:rsidRPr="00961D15" w:rsidRDefault="00961D15" w:rsidP="00961D15">
      <w:pPr>
        <w:tabs>
          <w:tab w:val="left" w:pos="1620"/>
        </w:tabs>
        <w:ind w:left="1620"/>
        <w:jc w:val="both"/>
        <w:rPr>
          <w:rFonts w:ascii="Times New Roman" w:hAnsi="Times New Roman" w:cs="Times New Roman"/>
          <w:b/>
          <w:sz w:val="10"/>
          <w:szCs w:val="10"/>
        </w:rPr>
      </w:pPr>
    </w:p>
    <w:p w:rsidR="00B00A03" w:rsidRPr="00153E32" w:rsidRDefault="00B00A03" w:rsidP="00B00A03">
      <w:pPr>
        <w:jc w:val="center"/>
        <w:rPr>
          <w:rFonts w:ascii="Times New Roman" w:hAnsi="Times New Roman" w:cs="Times New Roman"/>
          <w:b/>
          <w:sz w:val="24"/>
          <w:szCs w:val="24"/>
        </w:rPr>
      </w:pPr>
      <w:r w:rsidRPr="00153E32">
        <w:rPr>
          <w:rFonts w:ascii="Times New Roman" w:hAnsi="Times New Roman" w:cs="Times New Roman"/>
          <w:b/>
          <w:noProof/>
          <w:sz w:val="24"/>
          <w:szCs w:val="24"/>
        </w:rPr>
        <w:drawing>
          <wp:inline distT="0" distB="0" distL="0" distR="0">
            <wp:extent cx="3931920" cy="1889760"/>
            <wp:effectExtent l="0" t="0" r="0" b="0"/>
            <wp:docPr id="1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961D15" w:rsidRPr="00153E32" w:rsidRDefault="00961D15" w:rsidP="00961D15">
      <w:pPr>
        <w:tabs>
          <w:tab w:val="left" w:pos="1620"/>
        </w:tabs>
        <w:ind w:left="1620"/>
        <w:jc w:val="both"/>
        <w:rPr>
          <w:rFonts w:ascii="Times New Roman" w:hAnsi="Times New Roman" w:cs="Times New Roman"/>
          <w:b/>
          <w:sz w:val="24"/>
          <w:szCs w:val="24"/>
        </w:rPr>
      </w:pPr>
      <w:r w:rsidRPr="00153E32">
        <w:rPr>
          <w:rFonts w:ascii="Times New Roman" w:hAnsi="Times New Roman" w:cs="Times New Roman"/>
          <w:b/>
          <w:sz w:val="24"/>
          <w:szCs w:val="24"/>
        </w:rPr>
        <w:t>Fig. 17:</w:t>
      </w:r>
      <w:r>
        <w:rPr>
          <w:rFonts w:ascii="Times New Roman" w:hAnsi="Times New Roman" w:cs="Times New Roman"/>
          <w:b/>
          <w:sz w:val="24"/>
          <w:szCs w:val="24"/>
        </w:rPr>
        <w:t xml:space="preserve"> Relative a</w:t>
      </w:r>
      <w:r w:rsidRPr="00153E32">
        <w:rPr>
          <w:rFonts w:ascii="Times New Roman" w:hAnsi="Times New Roman" w:cs="Times New Roman"/>
          <w:b/>
          <w:sz w:val="24"/>
          <w:szCs w:val="24"/>
        </w:rPr>
        <w:t>scorbyl 2 phosphate and ascorbic acid concentrations (%) in the A2P-0.01%Pycnogenol during storage at 51°C</w:t>
      </w:r>
    </w:p>
    <w:p w:rsidR="00961D15" w:rsidRPr="00961D15" w:rsidRDefault="00961D15" w:rsidP="004055E1">
      <w:pPr>
        <w:tabs>
          <w:tab w:val="left" w:pos="1620"/>
        </w:tabs>
        <w:ind w:left="1620"/>
        <w:jc w:val="both"/>
        <w:rPr>
          <w:rFonts w:ascii="Times New Roman" w:hAnsi="Times New Roman" w:cs="Times New Roman"/>
          <w:b/>
          <w:sz w:val="10"/>
          <w:szCs w:val="10"/>
        </w:rPr>
      </w:pPr>
    </w:p>
    <w:p w:rsidR="00B00A03" w:rsidRPr="00153E32" w:rsidRDefault="00B00A03" w:rsidP="00B00A03">
      <w:pPr>
        <w:jc w:val="center"/>
        <w:rPr>
          <w:rFonts w:ascii="Times New Roman" w:hAnsi="Times New Roman" w:cs="Times New Roman"/>
          <w:b/>
          <w:sz w:val="24"/>
          <w:szCs w:val="24"/>
        </w:rPr>
      </w:pPr>
      <w:r w:rsidRPr="00153E32">
        <w:rPr>
          <w:rFonts w:ascii="Times New Roman" w:hAnsi="Times New Roman" w:cs="Times New Roman"/>
          <w:b/>
          <w:noProof/>
          <w:sz w:val="24"/>
          <w:szCs w:val="24"/>
        </w:rPr>
        <w:drawing>
          <wp:inline distT="0" distB="0" distL="0" distR="0">
            <wp:extent cx="3810000" cy="1737360"/>
            <wp:effectExtent l="0" t="0" r="0" b="0"/>
            <wp:docPr id="12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961D15" w:rsidRPr="00153E32" w:rsidRDefault="00961D15" w:rsidP="00961D15">
      <w:pPr>
        <w:tabs>
          <w:tab w:val="left" w:pos="1620"/>
        </w:tabs>
        <w:ind w:left="1620"/>
        <w:jc w:val="both"/>
        <w:rPr>
          <w:rFonts w:ascii="Times New Roman" w:hAnsi="Times New Roman" w:cs="Times New Roman"/>
          <w:b/>
          <w:sz w:val="24"/>
          <w:szCs w:val="24"/>
        </w:rPr>
      </w:pPr>
      <w:r w:rsidRPr="00153E32">
        <w:rPr>
          <w:rFonts w:ascii="Times New Roman" w:hAnsi="Times New Roman" w:cs="Times New Roman"/>
          <w:b/>
          <w:sz w:val="24"/>
          <w:szCs w:val="24"/>
        </w:rPr>
        <w:t xml:space="preserve">Fig. 18: </w:t>
      </w:r>
      <w:r>
        <w:rPr>
          <w:rFonts w:ascii="Times New Roman" w:hAnsi="Times New Roman" w:cs="Times New Roman"/>
          <w:b/>
          <w:sz w:val="24"/>
          <w:szCs w:val="24"/>
        </w:rPr>
        <w:t>Relative a</w:t>
      </w:r>
      <w:r w:rsidRPr="00153E32">
        <w:rPr>
          <w:rFonts w:ascii="Times New Roman" w:hAnsi="Times New Roman" w:cs="Times New Roman"/>
          <w:b/>
          <w:sz w:val="24"/>
          <w:szCs w:val="24"/>
        </w:rPr>
        <w:t>scorbyl 2 phosphate and ascorbic acid concentrations (%) in the A2P-0.1%Pycnogenol during storage at 51°C</w:t>
      </w:r>
    </w:p>
    <w:p w:rsidR="00961D15" w:rsidRDefault="00961D15" w:rsidP="004055E1">
      <w:pPr>
        <w:tabs>
          <w:tab w:val="left" w:pos="1890"/>
        </w:tabs>
        <w:ind w:left="1890"/>
        <w:jc w:val="both"/>
        <w:rPr>
          <w:rFonts w:ascii="Times New Roman" w:hAnsi="Times New Roman" w:cs="Times New Roman"/>
          <w:b/>
          <w:sz w:val="24"/>
          <w:szCs w:val="24"/>
        </w:rPr>
      </w:pPr>
    </w:p>
    <w:p w:rsidR="00B00A03" w:rsidRPr="00153E32" w:rsidRDefault="00B00A03" w:rsidP="00B00A03">
      <w:pPr>
        <w:jc w:val="center"/>
        <w:rPr>
          <w:rFonts w:ascii="Times New Roman" w:hAnsi="Times New Roman" w:cs="Times New Roman"/>
          <w:b/>
          <w:sz w:val="24"/>
          <w:szCs w:val="24"/>
        </w:rPr>
      </w:pPr>
      <w:r w:rsidRPr="00153E32">
        <w:rPr>
          <w:rFonts w:ascii="Times New Roman" w:hAnsi="Times New Roman" w:cs="Times New Roman"/>
          <w:b/>
          <w:noProof/>
          <w:sz w:val="24"/>
          <w:szCs w:val="24"/>
        </w:rPr>
        <w:lastRenderedPageBreak/>
        <w:drawing>
          <wp:inline distT="0" distB="0" distL="0" distR="0">
            <wp:extent cx="3749040" cy="1950720"/>
            <wp:effectExtent l="0" t="0" r="0" b="0"/>
            <wp:docPr id="12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961D15" w:rsidRPr="00153E32" w:rsidRDefault="00961D15" w:rsidP="00961D15">
      <w:pPr>
        <w:tabs>
          <w:tab w:val="left" w:pos="1890"/>
        </w:tabs>
        <w:ind w:left="1890"/>
        <w:jc w:val="both"/>
        <w:rPr>
          <w:rFonts w:ascii="Times New Roman" w:hAnsi="Times New Roman" w:cs="Times New Roman"/>
          <w:b/>
          <w:sz w:val="24"/>
          <w:szCs w:val="24"/>
        </w:rPr>
      </w:pPr>
      <w:r w:rsidRPr="00153E32">
        <w:rPr>
          <w:rFonts w:ascii="Times New Roman" w:hAnsi="Times New Roman" w:cs="Times New Roman"/>
          <w:b/>
          <w:sz w:val="24"/>
          <w:szCs w:val="24"/>
        </w:rPr>
        <w:t>Fig. 19: Ascorbyl 2 phosphate and ascorbic acid concentrations (%) in the A2P-Control treatment during storage at 40°C</w:t>
      </w:r>
    </w:p>
    <w:p w:rsidR="00961D15" w:rsidRPr="00961D15" w:rsidRDefault="00961D15" w:rsidP="004055E1">
      <w:pPr>
        <w:tabs>
          <w:tab w:val="left" w:pos="1800"/>
        </w:tabs>
        <w:ind w:left="1800"/>
        <w:jc w:val="both"/>
        <w:rPr>
          <w:rFonts w:ascii="Times New Roman" w:hAnsi="Times New Roman" w:cs="Times New Roman"/>
          <w:b/>
          <w:sz w:val="10"/>
          <w:szCs w:val="10"/>
        </w:rPr>
      </w:pPr>
    </w:p>
    <w:p w:rsidR="00B00A03" w:rsidRPr="00153E32" w:rsidRDefault="00B00A03" w:rsidP="00B00A03">
      <w:pPr>
        <w:jc w:val="center"/>
        <w:rPr>
          <w:rFonts w:ascii="Times New Roman" w:hAnsi="Times New Roman" w:cs="Times New Roman"/>
          <w:b/>
          <w:sz w:val="24"/>
          <w:szCs w:val="24"/>
        </w:rPr>
      </w:pPr>
      <w:r w:rsidRPr="00153E32">
        <w:rPr>
          <w:rFonts w:ascii="Times New Roman" w:hAnsi="Times New Roman" w:cs="Times New Roman"/>
          <w:b/>
          <w:noProof/>
          <w:sz w:val="24"/>
          <w:szCs w:val="24"/>
        </w:rPr>
        <w:drawing>
          <wp:inline distT="0" distB="0" distL="0" distR="0">
            <wp:extent cx="3962400" cy="2011680"/>
            <wp:effectExtent l="0" t="0" r="0" b="0"/>
            <wp:docPr id="126"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961D15" w:rsidRPr="00153E32" w:rsidRDefault="00961D15" w:rsidP="00961D15">
      <w:pPr>
        <w:tabs>
          <w:tab w:val="left" w:pos="1800"/>
        </w:tabs>
        <w:ind w:left="1800"/>
        <w:jc w:val="both"/>
        <w:rPr>
          <w:rFonts w:ascii="Times New Roman" w:hAnsi="Times New Roman" w:cs="Times New Roman"/>
          <w:b/>
          <w:sz w:val="24"/>
          <w:szCs w:val="24"/>
        </w:rPr>
      </w:pPr>
      <w:r w:rsidRPr="00153E32">
        <w:rPr>
          <w:rFonts w:ascii="Times New Roman" w:hAnsi="Times New Roman" w:cs="Times New Roman"/>
          <w:b/>
          <w:sz w:val="24"/>
          <w:szCs w:val="24"/>
        </w:rPr>
        <w:t>Fig. 20: Ascorbyl 2 phosphate and ascorbic acid concentrations (%) in the A2P-0.01%Pycnogenol during storage at 40°C</w:t>
      </w:r>
    </w:p>
    <w:p w:rsidR="00961D15" w:rsidRPr="00961D15" w:rsidRDefault="00961D15" w:rsidP="004055E1">
      <w:pPr>
        <w:tabs>
          <w:tab w:val="left" w:pos="1800"/>
        </w:tabs>
        <w:ind w:left="1800"/>
        <w:jc w:val="both"/>
        <w:rPr>
          <w:rFonts w:ascii="Times New Roman" w:hAnsi="Times New Roman" w:cs="Times New Roman"/>
          <w:b/>
          <w:sz w:val="10"/>
          <w:szCs w:val="10"/>
        </w:rPr>
      </w:pPr>
    </w:p>
    <w:p w:rsidR="00B00A03" w:rsidRPr="00153E32" w:rsidRDefault="00B00A03" w:rsidP="00B00A03">
      <w:pPr>
        <w:jc w:val="center"/>
        <w:rPr>
          <w:rFonts w:ascii="Times New Roman" w:hAnsi="Times New Roman" w:cs="Times New Roman"/>
          <w:b/>
          <w:sz w:val="24"/>
          <w:szCs w:val="24"/>
        </w:rPr>
      </w:pPr>
      <w:r w:rsidRPr="00153E32">
        <w:rPr>
          <w:rFonts w:ascii="Times New Roman" w:hAnsi="Times New Roman" w:cs="Times New Roman"/>
          <w:b/>
          <w:noProof/>
          <w:sz w:val="24"/>
          <w:szCs w:val="24"/>
        </w:rPr>
        <w:drawing>
          <wp:inline distT="0" distB="0" distL="0" distR="0">
            <wp:extent cx="4419600" cy="1920240"/>
            <wp:effectExtent l="0" t="0" r="0" b="0"/>
            <wp:docPr id="1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961D15" w:rsidRPr="00153E32" w:rsidRDefault="00961D15" w:rsidP="00961D15">
      <w:pPr>
        <w:tabs>
          <w:tab w:val="left" w:pos="1800"/>
        </w:tabs>
        <w:ind w:left="1800"/>
        <w:jc w:val="both"/>
        <w:rPr>
          <w:rFonts w:ascii="Times New Roman" w:hAnsi="Times New Roman" w:cs="Times New Roman"/>
          <w:b/>
          <w:sz w:val="24"/>
          <w:szCs w:val="24"/>
        </w:rPr>
      </w:pPr>
      <w:r w:rsidRPr="00153E32">
        <w:rPr>
          <w:rFonts w:ascii="Times New Roman" w:hAnsi="Times New Roman" w:cs="Times New Roman"/>
          <w:b/>
          <w:sz w:val="24"/>
          <w:szCs w:val="24"/>
        </w:rPr>
        <w:t>Fig. 21: Ascorbyl 2 phosphate and ascorbic acid concentrations (%) in the A2P-0.01%Pycnogenol during storage at 40°C</w:t>
      </w:r>
    </w:p>
    <w:p w:rsidR="00B00A03" w:rsidRPr="00153E32" w:rsidRDefault="00B00A03" w:rsidP="00961D15">
      <w:pPr>
        <w:tabs>
          <w:tab w:val="left" w:pos="1890"/>
        </w:tabs>
        <w:ind w:left="720" w:firstLine="720"/>
        <w:outlineLvl w:val="0"/>
        <w:rPr>
          <w:rFonts w:ascii="Times New Roman" w:hAnsi="Times New Roman" w:cs="Times New Roman"/>
          <w:b/>
          <w:sz w:val="24"/>
          <w:szCs w:val="24"/>
        </w:rPr>
      </w:pPr>
      <w:r w:rsidRPr="00153E32">
        <w:rPr>
          <w:rFonts w:ascii="Times New Roman" w:hAnsi="Times New Roman" w:cs="Times New Roman"/>
          <w:b/>
          <w:sz w:val="24"/>
          <w:szCs w:val="24"/>
        </w:rPr>
        <w:br w:type="page"/>
      </w:r>
      <w:r w:rsidRPr="00153E32">
        <w:rPr>
          <w:rFonts w:ascii="Times New Roman" w:hAnsi="Times New Roman" w:cs="Times New Roman"/>
          <w:b/>
          <w:noProof/>
          <w:sz w:val="24"/>
          <w:szCs w:val="24"/>
        </w:rPr>
        <w:lastRenderedPageBreak/>
        <w:drawing>
          <wp:inline distT="0" distB="0" distL="0" distR="0">
            <wp:extent cx="3934047" cy="3115339"/>
            <wp:effectExtent l="0" t="0" r="0" b="0"/>
            <wp:docPr id="12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B00A03" w:rsidRPr="00153E32" w:rsidRDefault="00A6300F" w:rsidP="00A6300F">
      <w:pPr>
        <w:tabs>
          <w:tab w:val="left" w:pos="1530"/>
        </w:tabs>
        <w:rPr>
          <w:rFonts w:ascii="Times New Roman" w:hAnsi="Times New Roman" w:cs="Times New Roman"/>
          <w:b/>
          <w:sz w:val="24"/>
          <w:szCs w:val="24"/>
        </w:rPr>
      </w:pPr>
      <w:r>
        <w:rPr>
          <w:rFonts w:ascii="Times New Roman" w:hAnsi="Times New Roman" w:cs="Times New Roman"/>
          <w:b/>
          <w:sz w:val="24"/>
          <w:szCs w:val="24"/>
        </w:rPr>
        <w:tab/>
      </w:r>
      <w:r w:rsidR="00961D15" w:rsidRPr="00153E32">
        <w:rPr>
          <w:rFonts w:ascii="Times New Roman" w:hAnsi="Times New Roman" w:cs="Times New Roman"/>
          <w:b/>
          <w:sz w:val="24"/>
          <w:szCs w:val="24"/>
        </w:rPr>
        <w:t>Fig. 22: Variation of the ascorbic acid conce</w:t>
      </w:r>
      <w:r w:rsidR="00961D15">
        <w:rPr>
          <w:rFonts w:ascii="Times New Roman" w:hAnsi="Times New Roman" w:cs="Times New Roman"/>
          <w:b/>
          <w:sz w:val="24"/>
          <w:szCs w:val="24"/>
        </w:rPr>
        <w:t>ntration during storage at 51°C</w:t>
      </w:r>
    </w:p>
    <w:p w:rsidR="00B00A03" w:rsidRPr="00153E32" w:rsidRDefault="00B00A03" w:rsidP="00B00A03">
      <w:pPr>
        <w:tabs>
          <w:tab w:val="left" w:pos="8266"/>
        </w:tabs>
        <w:jc w:val="center"/>
        <w:rPr>
          <w:rFonts w:ascii="Times New Roman" w:hAnsi="Times New Roman" w:cs="Times New Roman"/>
          <w:b/>
          <w:sz w:val="24"/>
          <w:szCs w:val="24"/>
        </w:rPr>
      </w:pPr>
      <w:r w:rsidRPr="00153E32">
        <w:rPr>
          <w:rFonts w:ascii="Times New Roman" w:hAnsi="Times New Roman" w:cs="Times New Roman"/>
          <w:b/>
          <w:noProof/>
          <w:sz w:val="24"/>
          <w:szCs w:val="24"/>
        </w:rPr>
        <w:drawing>
          <wp:inline distT="0" distB="0" distL="0" distR="0">
            <wp:extent cx="4307306" cy="3609473"/>
            <wp:effectExtent l="0" t="0" r="0" b="0"/>
            <wp:docPr id="129"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961D15" w:rsidRPr="00153E32" w:rsidRDefault="00A6300F" w:rsidP="00961D15">
      <w:pPr>
        <w:tabs>
          <w:tab w:val="left" w:pos="1440"/>
          <w:tab w:val="left" w:pos="8266"/>
        </w:tabs>
        <w:jc w:val="center"/>
        <w:outlineLvl w:val="0"/>
        <w:rPr>
          <w:rFonts w:ascii="Times New Roman" w:hAnsi="Times New Roman" w:cs="Times New Roman"/>
          <w:b/>
          <w:sz w:val="24"/>
          <w:szCs w:val="24"/>
        </w:rPr>
      </w:pPr>
      <w:r>
        <w:rPr>
          <w:rFonts w:ascii="Times New Roman" w:hAnsi="Times New Roman" w:cs="Times New Roman"/>
          <w:b/>
          <w:sz w:val="24"/>
          <w:szCs w:val="24"/>
        </w:rPr>
        <w:tab/>
      </w:r>
      <w:r w:rsidR="00961D15" w:rsidRPr="00153E32">
        <w:rPr>
          <w:rFonts w:ascii="Times New Roman" w:hAnsi="Times New Roman" w:cs="Times New Roman"/>
          <w:b/>
          <w:sz w:val="24"/>
          <w:szCs w:val="24"/>
        </w:rPr>
        <w:t>Fig. 23: Variation of the ascorbic acid concentration during storage at 40°C</w:t>
      </w:r>
    </w:p>
    <w:p w:rsidR="00B00A03" w:rsidRPr="00FA4577" w:rsidRDefault="00B00A03" w:rsidP="00B00A03">
      <w:pPr>
        <w:rPr>
          <w:rFonts w:ascii="Times New Roman" w:hAnsi="Times New Roman" w:cs="Times New Roman"/>
          <w:b/>
        </w:rPr>
      </w:pPr>
    </w:p>
    <w:p w:rsidR="00961D15" w:rsidRDefault="00961D15" w:rsidP="00B00A03">
      <w:pPr>
        <w:outlineLvl w:val="0"/>
        <w:rPr>
          <w:rFonts w:ascii="Times New Roman" w:hAnsi="Times New Roman" w:cs="Times New Roman"/>
          <w:b/>
          <w:sz w:val="24"/>
          <w:szCs w:val="24"/>
        </w:rPr>
      </w:pPr>
    </w:p>
    <w:p w:rsidR="00B00A03" w:rsidRPr="00153E32" w:rsidRDefault="00B00A03" w:rsidP="00B00A03">
      <w:pPr>
        <w:outlineLvl w:val="0"/>
        <w:rPr>
          <w:rFonts w:ascii="Times New Roman" w:hAnsi="Times New Roman" w:cs="Times New Roman"/>
          <w:b/>
          <w:sz w:val="24"/>
          <w:szCs w:val="24"/>
        </w:rPr>
      </w:pPr>
      <w:r w:rsidRPr="00153E32">
        <w:rPr>
          <w:rFonts w:ascii="Times New Roman" w:hAnsi="Times New Roman" w:cs="Times New Roman"/>
          <w:b/>
          <w:sz w:val="24"/>
          <w:szCs w:val="24"/>
        </w:rPr>
        <w:lastRenderedPageBreak/>
        <w:t>Table 1: Characterizations of syrups</w:t>
      </w:r>
    </w:p>
    <w:tbl>
      <w:tblPr>
        <w:tblW w:w="3820" w:type="dxa"/>
        <w:tblInd w:w="94" w:type="dxa"/>
        <w:tblLook w:val="04A0"/>
      </w:tblPr>
      <w:tblGrid>
        <w:gridCol w:w="2460"/>
        <w:gridCol w:w="680"/>
        <w:gridCol w:w="680"/>
      </w:tblGrid>
      <w:tr w:rsidR="00B00A03" w:rsidRPr="007C476E" w:rsidTr="00F14CA8">
        <w:trPr>
          <w:trHeight w:val="255"/>
        </w:trPr>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Syrup</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pH</w:t>
            </w:r>
          </w:p>
        </w:tc>
        <w:tc>
          <w:tcPr>
            <w:tcW w:w="680" w:type="dxa"/>
            <w:tcBorders>
              <w:top w:val="single" w:sz="4" w:space="0" w:color="auto"/>
              <w:left w:val="single" w:sz="4" w:space="0" w:color="auto"/>
              <w:bottom w:val="single" w:sz="4" w:space="0" w:color="auto"/>
              <w:right w:val="single" w:sz="4" w:space="0" w:color="auto"/>
            </w:tcBorders>
            <w:vAlign w:val="bottom"/>
          </w:tcPr>
          <w:p w:rsidR="00B00A03" w:rsidRPr="007C476E" w:rsidRDefault="00B00A03" w:rsidP="00F14CA8">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°Brix</w:t>
            </w:r>
          </w:p>
        </w:tc>
      </w:tr>
      <w:tr w:rsidR="00B00A03" w:rsidRPr="007C476E" w:rsidTr="00F14CA8">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AA-Control</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2.53</w:t>
            </w:r>
          </w:p>
        </w:tc>
        <w:tc>
          <w:tcPr>
            <w:tcW w:w="680" w:type="dxa"/>
            <w:tcBorders>
              <w:top w:val="nil"/>
              <w:left w:val="single" w:sz="4" w:space="0" w:color="auto"/>
              <w:bottom w:val="single" w:sz="4" w:space="0" w:color="auto"/>
              <w:right w:val="single" w:sz="4" w:space="0" w:color="auto"/>
            </w:tcBorders>
            <w:vAlign w:val="bottom"/>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47.5</w:t>
            </w:r>
          </w:p>
        </w:tc>
      </w:tr>
      <w:tr w:rsidR="00B00A03" w:rsidRPr="007C476E" w:rsidTr="00F14CA8">
        <w:trPr>
          <w:trHeight w:val="255"/>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AA-001% Pycnogenol</w:t>
            </w:r>
          </w:p>
        </w:tc>
        <w:tc>
          <w:tcPr>
            <w:tcW w:w="680" w:type="dxa"/>
            <w:tcBorders>
              <w:top w:val="nil"/>
              <w:left w:val="single" w:sz="4" w:space="0" w:color="auto"/>
              <w:bottom w:val="nil"/>
              <w:right w:val="single" w:sz="4"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2.47</w:t>
            </w:r>
          </w:p>
        </w:tc>
        <w:tc>
          <w:tcPr>
            <w:tcW w:w="680" w:type="dxa"/>
            <w:tcBorders>
              <w:top w:val="nil"/>
              <w:left w:val="single" w:sz="4" w:space="0" w:color="auto"/>
              <w:bottom w:val="nil"/>
              <w:right w:val="single" w:sz="4" w:space="0" w:color="auto"/>
            </w:tcBorders>
            <w:vAlign w:val="bottom"/>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47.4</w:t>
            </w:r>
          </w:p>
        </w:tc>
      </w:tr>
      <w:tr w:rsidR="00B00A03" w:rsidRPr="007C476E" w:rsidTr="00F14CA8">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AA-0.1% Pycnogenol</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2.40</w:t>
            </w:r>
          </w:p>
        </w:tc>
        <w:tc>
          <w:tcPr>
            <w:tcW w:w="680" w:type="dxa"/>
            <w:tcBorders>
              <w:top w:val="single" w:sz="4" w:space="0" w:color="auto"/>
              <w:left w:val="single" w:sz="4" w:space="0" w:color="auto"/>
              <w:bottom w:val="single" w:sz="4" w:space="0" w:color="auto"/>
              <w:right w:val="single" w:sz="4" w:space="0" w:color="auto"/>
            </w:tcBorders>
            <w:vAlign w:val="bottom"/>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47.8</w:t>
            </w:r>
          </w:p>
        </w:tc>
      </w:tr>
      <w:tr w:rsidR="00B00A03" w:rsidRPr="007C476E" w:rsidTr="00F14CA8">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A2P-Control</w:t>
            </w:r>
          </w:p>
        </w:tc>
        <w:tc>
          <w:tcPr>
            <w:tcW w:w="680" w:type="dxa"/>
            <w:tcBorders>
              <w:top w:val="nil"/>
              <w:left w:val="single" w:sz="4" w:space="0" w:color="auto"/>
              <w:bottom w:val="nil"/>
              <w:right w:val="single" w:sz="4"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6.63</w:t>
            </w:r>
          </w:p>
        </w:tc>
        <w:tc>
          <w:tcPr>
            <w:tcW w:w="680" w:type="dxa"/>
            <w:tcBorders>
              <w:top w:val="nil"/>
              <w:left w:val="single" w:sz="4" w:space="0" w:color="auto"/>
              <w:bottom w:val="nil"/>
              <w:right w:val="single" w:sz="4" w:space="0" w:color="auto"/>
            </w:tcBorders>
            <w:vAlign w:val="bottom"/>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47.2</w:t>
            </w:r>
          </w:p>
        </w:tc>
      </w:tr>
      <w:tr w:rsidR="00B00A03" w:rsidRPr="007C476E" w:rsidTr="00F14CA8">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A2P-0.01% Pycnogenol</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6.00</w:t>
            </w:r>
          </w:p>
        </w:tc>
        <w:tc>
          <w:tcPr>
            <w:tcW w:w="680" w:type="dxa"/>
            <w:tcBorders>
              <w:top w:val="single" w:sz="4" w:space="0" w:color="auto"/>
              <w:left w:val="single" w:sz="4" w:space="0" w:color="auto"/>
              <w:bottom w:val="single" w:sz="4" w:space="0" w:color="auto"/>
              <w:right w:val="single" w:sz="4" w:space="0" w:color="auto"/>
            </w:tcBorders>
            <w:vAlign w:val="bottom"/>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47.8</w:t>
            </w:r>
          </w:p>
        </w:tc>
      </w:tr>
      <w:tr w:rsidR="00B00A03" w:rsidRPr="007C476E" w:rsidTr="00F14CA8">
        <w:trPr>
          <w:trHeight w:val="300"/>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A2P-0.1% Pycnogenol</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5.68</w:t>
            </w:r>
          </w:p>
        </w:tc>
        <w:tc>
          <w:tcPr>
            <w:tcW w:w="680" w:type="dxa"/>
            <w:tcBorders>
              <w:top w:val="nil"/>
              <w:left w:val="single" w:sz="4" w:space="0" w:color="auto"/>
              <w:bottom w:val="single" w:sz="4" w:space="0" w:color="auto"/>
              <w:right w:val="single" w:sz="4" w:space="0" w:color="auto"/>
            </w:tcBorders>
            <w:vAlign w:val="bottom"/>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47.0</w:t>
            </w:r>
          </w:p>
        </w:tc>
      </w:tr>
    </w:tbl>
    <w:p w:rsidR="00B00A03" w:rsidRPr="00FA4577" w:rsidRDefault="00B00A03" w:rsidP="00B00A03">
      <w:pPr>
        <w:rPr>
          <w:rFonts w:ascii="Times New Roman" w:hAnsi="Times New Roman" w:cs="Times New Roman"/>
        </w:rPr>
      </w:pPr>
    </w:p>
    <w:p w:rsidR="00B00A03" w:rsidRPr="00FA4577" w:rsidRDefault="00B00A03" w:rsidP="00B00A03">
      <w:pPr>
        <w:jc w:val="center"/>
        <w:rPr>
          <w:rFonts w:ascii="Times New Roman" w:hAnsi="Times New Roman" w:cs="Times New Roman"/>
          <w:b/>
        </w:rPr>
      </w:pPr>
    </w:p>
    <w:p w:rsidR="00B00A03" w:rsidRPr="00153E32" w:rsidRDefault="00B00A03" w:rsidP="00B00A03">
      <w:pPr>
        <w:tabs>
          <w:tab w:val="left" w:pos="1980"/>
        </w:tabs>
        <w:outlineLvl w:val="0"/>
        <w:rPr>
          <w:rFonts w:ascii="Times New Roman" w:hAnsi="Times New Roman" w:cs="Times New Roman"/>
          <w:b/>
          <w:sz w:val="24"/>
          <w:szCs w:val="24"/>
        </w:rPr>
      </w:pPr>
      <w:r w:rsidRPr="00153E32">
        <w:rPr>
          <w:rFonts w:ascii="Times New Roman" w:hAnsi="Times New Roman" w:cs="Times New Roman"/>
          <w:b/>
          <w:sz w:val="24"/>
          <w:szCs w:val="24"/>
        </w:rPr>
        <w:t>Table 2: Changes of pH during storage at 51°C and 40°C in retortable pouches</w:t>
      </w:r>
    </w:p>
    <w:tbl>
      <w:tblPr>
        <w:tblW w:w="6738" w:type="dxa"/>
        <w:tblInd w:w="98" w:type="dxa"/>
        <w:tblLook w:val="04A0"/>
      </w:tblPr>
      <w:tblGrid>
        <w:gridCol w:w="2040"/>
        <w:gridCol w:w="1566"/>
        <w:gridCol w:w="1566"/>
        <w:gridCol w:w="1566"/>
      </w:tblGrid>
      <w:tr w:rsidR="00B00A03" w:rsidRPr="00FA4577" w:rsidTr="00F14CA8">
        <w:trPr>
          <w:trHeight w:val="255"/>
        </w:trPr>
        <w:tc>
          <w:tcPr>
            <w:tcW w:w="2040" w:type="dxa"/>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Treatment</w:t>
            </w:r>
          </w:p>
        </w:tc>
        <w:tc>
          <w:tcPr>
            <w:tcW w:w="469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Storage (days)</w:t>
            </w:r>
          </w:p>
        </w:tc>
      </w:tr>
      <w:tr w:rsidR="00B00A03" w:rsidRPr="00FA4577" w:rsidTr="00F14CA8">
        <w:trPr>
          <w:trHeight w:val="270"/>
        </w:trPr>
        <w:tc>
          <w:tcPr>
            <w:tcW w:w="2040" w:type="dxa"/>
            <w:vMerge/>
            <w:tcBorders>
              <w:top w:val="single" w:sz="8" w:space="0" w:color="auto"/>
              <w:left w:val="single" w:sz="8" w:space="0" w:color="auto"/>
              <w:bottom w:val="single" w:sz="8" w:space="0" w:color="000000"/>
              <w:right w:val="single" w:sz="8" w:space="0" w:color="000000"/>
            </w:tcBorders>
            <w:vAlign w:val="center"/>
            <w:hideMark/>
          </w:tcPr>
          <w:p w:rsidR="00B00A03" w:rsidRPr="00FA4577" w:rsidRDefault="00B00A03" w:rsidP="00F14CA8">
            <w:pPr>
              <w:spacing w:after="0" w:line="240" w:lineRule="auto"/>
              <w:rPr>
                <w:rFonts w:ascii="Times New Roman" w:eastAsia="Times New Roman" w:hAnsi="Times New Roman" w:cs="Times New Roman"/>
                <w:b/>
                <w:bCs/>
                <w:sz w:val="14"/>
                <w:szCs w:val="14"/>
              </w:rPr>
            </w:pPr>
          </w:p>
        </w:tc>
        <w:tc>
          <w:tcPr>
            <w:tcW w:w="1566" w:type="dxa"/>
            <w:tcBorders>
              <w:top w:val="nil"/>
              <w:left w:val="nil"/>
              <w:bottom w:val="single" w:sz="8" w:space="0" w:color="auto"/>
              <w:right w:val="single" w:sz="8" w:space="0" w:color="000000"/>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0</w:t>
            </w:r>
          </w:p>
        </w:tc>
        <w:tc>
          <w:tcPr>
            <w:tcW w:w="1566" w:type="dxa"/>
            <w:tcBorders>
              <w:top w:val="nil"/>
              <w:left w:val="nil"/>
              <w:bottom w:val="single" w:sz="8" w:space="0" w:color="auto"/>
              <w:right w:val="single" w:sz="8" w:space="0" w:color="000000"/>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42 at 51°C</w:t>
            </w:r>
          </w:p>
        </w:tc>
        <w:tc>
          <w:tcPr>
            <w:tcW w:w="1566" w:type="dxa"/>
            <w:tcBorders>
              <w:top w:val="nil"/>
              <w:left w:val="nil"/>
              <w:bottom w:val="single" w:sz="8" w:space="0" w:color="auto"/>
              <w:right w:val="single" w:sz="8" w:space="0" w:color="000000"/>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84 at 40°C</w:t>
            </w:r>
          </w:p>
        </w:tc>
      </w:tr>
      <w:tr w:rsidR="004450A8"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50A8" w:rsidRPr="00FA4577" w:rsidRDefault="004450A8"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Control-AA</w:t>
            </w:r>
          </w:p>
        </w:tc>
        <w:tc>
          <w:tcPr>
            <w:tcW w:w="1566" w:type="dxa"/>
            <w:tcBorders>
              <w:top w:val="nil"/>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3.32</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0.04</w:t>
            </w:r>
          </w:p>
        </w:tc>
        <w:tc>
          <w:tcPr>
            <w:tcW w:w="1566" w:type="dxa"/>
            <w:tcBorders>
              <w:top w:val="nil"/>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3.32</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0.03</w:t>
            </w:r>
          </w:p>
        </w:tc>
        <w:tc>
          <w:tcPr>
            <w:tcW w:w="1566" w:type="dxa"/>
            <w:tcBorders>
              <w:top w:val="nil"/>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3.4</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0.02</w:t>
            </w:r>
          </w:p>
        </w:tc>
      </w:tr>
      <w:tr w:rsidR="004450A8"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50A8" w:rsidRPr="00FA4577" w:rsidRDefault="004450A8"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AA-0.01%Pycnogenol</w:t>
            </w:r>
          </w:p>
        </w:tc>
        <w:tc>
          <w:tcPr>
            <w:tcW w:w="1566" w:type="dxa"/>
            <w:tcBorders>
              <w:top w:val="nil"/>
              <w:left w:val="nil"/>
              <w:bottom w:val="nil"/>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3.33</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0.04</w:t>
            </w:r>
          </w:p>
        </w:tc>
        <w:tc>
          <w:tcPr>
            <w:tcW w:w="1566" w:type="dxa"/>
            <w:tcBorders>
              <w:top w:val="nil"/>
              <w:left w:val="nil"/>
              <w:bottom w:val="nil"/>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3.38</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0.03</w:t>
            </w:r>
          </w:p>
        </w:tc>
        <w:tc>
          <w:tcPr>
            <w:tcW w:w="1566" w:type="dxa"/>
            <w:tcBorders>
              <w:top w:val="nil"/>
              <w:left w:val="nil"/>
              <w:bottom w:val="nil"/>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3.37</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0.01</w:t>
            </w:r>
          </w:p>
        </w:tc>
      </w:tr>
      <w:tr w:rsidR="004450A8"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50A8" w:rsidRPr="00FA4577" w:rsidRDefault="004450A8"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AA-0.1%Pycnognenol</w:t>
            </w:r>
          </w:p>
        </w:tc>
        <w:tc>
          <w:tcPr>
            <w:tcW w:w="1566" w:type="dxa"/>
            <w:tcBorders>
              <w:top w:val="single" w:sz="8" w:space="0" w:color="auto"/>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3.37</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0.03</w:t>
            </w:r>
          </w:p>
        </w:tc>
        <w:tc>
          <w:tcPr>
            <w:tcW w:w="1566" w:type="dxa"/>
            <w:tcBorders>
              <w:top w:val="single" w:sz="8" w:space="0" w:color="auto"/>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3.4</w:t>
            </w:r>
            <w:r>
              <w:rPr>
                <w:rFonts w:ascii="Times New Roman" w:eastAsia="Times New Roman" w:hAnsi="Times New Roman" w:cs="Times New Roman"/>
                <w:sz w:val="14"/>
                <w:szCs w:val="14"/>
              </w:rPr>
              <w:t xml:space="preserve">0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w:t>
            </w:r>
            <w:r>
              <w:rPr>
                <w:rFonts w:ascii="Times New Roman" w:eastAsia="Times New Roman" w:hAnsi="Times New Roman" w:cs="Times New Roman"/>
                <w:sz w:val="14"/>
                <w:szCs w:val="14"/>
              </w:rPr>
              <w:t>.1</w:t>
            </w:r>
          </w:p>
        </w:tc>
        <w:tc>
          <w:tcPr>
            <w:tcW w:w="1566" w:type="dxa"/>
            <w:tcBorders>
              <w:top w:val="single" w:sz="8" w:space="0" w:color="auto"/>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3.33</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0.03</w:t>
            </w:r>
          </w:p>
        </w:tc>
      </w:tr>
      <w:tr w:rsidR="004450A8"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50A8" w:rsidRPr="00FA4577" w:rsidRDefault="004450A8"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Control-A2P</w:t>
            </w:r>
          </w:p>
        </w:tc>
        <w:tc>
          <w:tcPr>
            <w:tcW w:w="1566" w:type="dxa"/>
            <w:tcBorders>
              <w:top w:val="nil"/>
              <w:left w:val="nil"/>
              <w:bottom w:val="nil"/>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3.46</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0.08</w:t>
            </w:r>
          </w:p>
        </w:tc>
        <w:tc>
          <w:tcPr>
            <w:tcW w:w="1566" w:type="dxa"/>
            <w:tcBorders>
              <w:top w:val="nil"/>
              <w:left w:val="nil"/>
              <w:bottom w:val="nil"/>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3.42</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0.16</w:t>
            </w:r>
          </w:p>
        </w:tc>
        <w:tc>
          <w:tcPr>
            <w:tcW w:w="1566" w:type="dxa"/>
            <w:tcBorders>
              <w:top w:val="nil"/>
              <w:left w:val="nil"/>
              <w:bottom w:val="nil"/>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3.44</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0.02</w:t>
            </w:r>
          </w:p>
        </w:tc>
      </w:tr>
      <w:tr w:rsidR="004450A8"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50A8" w:rsidRPr="00FA4577" w:rsidRDefault="004450A8"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A2P-0.01%Pycnogenol</w:t>
            </w:r>
          </w:p>
        </w:tc>
        <w:tc>
          <w:tcPr>
            <w:tcW w:w="1566" w:type="dxa"/>
            <w:tcBorders>
              <w:top w:val="single" w:sz="8" w:space="0" w:color="auto"/>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3.48</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0.01</w:t>
            </w:r>
          </w:p>
        </w:tc>
        <w:tc>
          <w:tcPr>
            <w:tcW w:w="1566" w:type="dxa"/>
            <w:tcBorders>
              <w:top w:val="single" w:sz="8" w:space="0" w:color="auto"/>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3.51</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0.01</w:t>
            </w:r>
          </w:p>
        </w:tc>
        <w:tc>
          <w:tcPr>
            <w:tcW w:w="1566" w:type="dxa"/>
            <w:tcBorders>
              <w:top w:val="single" w:sz="8" w:space="0" w:color="auto"/>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3.45</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0.03</w:t>
            </w:r>
          </w:p>
        </w:tc>
      </w:tr>
      <w:tr w:rsidR="004450A8"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50A8" w:rsidRPr="00FA4577" w:rsidRDefault="004450A8"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A2P-0.1%Pycnogenol</w:t>
            </w:r>
          </w:p>
        </w:tc>
        <w:tc>
          <w:tcPr>
            <w:tcW w:w="1566" w:type="dxa"/>
            <w:tcBorders>
              <w:top w:val="nil"/>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3.53</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0.01</w:t>
            </w:r>
          </w:p>
        </w:tc>
        <w:tc>
          <w:tcPr>
            <w:tcW w:w="1566" w:type="dxa"/>
            <w:tcBorders>
              <w:top w:val="nil"/>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3.47</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0.09</w:t>
            </w:r>
          </w:p>
        </w:tc>
        <w:tc>
          <w:tcPr>
            <w:tcW w:w="1566" w:type="dxa"/>
            <w:tcBorders>
              <w:top w:val="nil"/>
              <w:left w:val="nil"/>
              <w:bottom w:val="single" w:sz="8" w:space="0" w:color="auto"/>
              <w:right w:val="single" w:sz="8" w:space="0" w:color="auto"/>
            </w:tcBorders>
            <w:shd w:val="clear" w:color="auto" w:fill="auto"/>
            <w:noWrap/>
            <w:vAlign w:val="bottom"/>
            <w:hideMark/>
          </w:tcPr>
          <w:p w:rsidR="004450A8" w:rsidRPr="00FA4577" w:rsidRDefault="004450A8"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3.48</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0.04</w:t>
            </w:r>
          </w:p>
        </w:tc>
      </w:tr>
    </w:tbl>
    <w:p w:rsidR="00B00A03" w:rsidRPr="00FA4577" w:rsidRDefault="00B00A03" w:rsidP="00B00A03">
      <w:pPr>
        <w:tabs>
          <w:tab w:val="left" w:pos="1980"/>
        </w:tabs>
        <w:rPr>
          <w:rFonts w:ascii="Times New Roman" w:hAnsi="Times New Roman" w:cs="Times New Roman"/>
          <w:b/>
          <w:sz w:val="14"/>
          <w:szCs w:val="14"/>
        </w:rPr>
      </w:pPr>
    </w:p>
    <w:p w:rsidR="00B00A03" w:rsidRDefault="00B00A03" w:rsidP="00B00A03">
      <w:pPr>
        <w:tabs>
          <w:tab w:val="left" w:pos="1980"/>
        </w:tabs>
        <w:rPr>
          <w:rFonts w:ascii="Times New Roman" w:hAnsi="Times New Roman" w:cs="Times New Roman"/>
          <w:b/>
          <w:sz w:val="14"/>
          <w:szCs w:val="14"/>
        </w:rPr>
      </w:pPr>
    </w:p>
    <w:p w:rsidR="00B00A03" w:rsidRPr="00FA4577" w:rsidRDefault="00B00A03" w:rsidP="00B00A03">
      <w:pPr>
        <w:tabs>
          <w:tab w:val="left" w:pos="1980"/>
        </w:tabs>
        <w:rPr>
          <w:rFonts w:ascii="Times New Roman" w:hAnsi="Times New Roman" w:cs="Times New Roman"/>
          <w:b/>
          <w:sz w:val="14"/>
          <w:szCs w:val="14"/>
        </w:rPr>
      </w:pPr>
    </w:p>
    <w:p w:rsidR="00B00A03" w:rsidRPr="00153E32" w:rsidRDefault="00B00A03" w:rsidP="00B00A03">
      <w:pPr>
        <w:tabs>
          <w:tab w:val="left" w:pos="1980"/>
        </w:tabs>
        <w:outlineLvl w:val="0"/>
        <w:rPr>
          <w:rFonts w:ascii="Times New Roman" w:hAnsi="Times New Roman" w:cs="Times New Roman"/>
          <w:b/>
          <w:sz w:val="24"/>
          <w:szCs w:val="24"/>
        </w:rPr>
      </w:pPr>
      <w:r w:rsidRPr="00153E32">
        <w:rPr>
          <w:rFonts w:ascii="Times New Roman" w:hAnsi="Times New Roman" w:cs="Times New Roman"/>
          <w:b/>
          <w:sz w:val="24"/>
          <w:szCs w:val="24"/>
        </w:rPr>
        <w:t>Table 3: Changes of °Brix during storage at 51°C and 40°C in retortable pouches</w:t>
      </w:r>
    </w:p>
    <w:tbl>
      <w:tblPr>
        <w:tblW w:w="6761" w:type="dxa"/>
        <w:tblInd w:w="98" w:type="dxa"/>
        <w:tblLook w:val="04A0"/>
      </w:tblPr>
      <w:tblGrid>
        <w:gridCol w:w="2040"/>
        <w:gridCol w:w="1628"/>
        <w:gridCol w:w="1628"/>
        <w:gridCol w:w="1465"/>
      </w:tblGrid>
      <w:tr w:rsidR="00B00A03" w:rsidRPr="00FA4577" w:rsidTr="004450A8">
        <w:trPr>
          <w:trHeight w:val="255"/>
        </w:trPr>
        <w:tc>
          <w:tcPr>
            <w:tcW w:w="2040" w:type="dxa"/>
            <w:vMerge w:val="restart"/>
            <w:tcBorders>
              <w:top w:val="single" w:sz="8" w:space="0" w:color="auto"/>
              <w:left w:val="single" w:sz="8" w:space="0" w:color="auto"/>
              <w:bottom w:val="single" w:sz="8" w:space="0" w:color="000000"/>
              <w:right w:val="nil"/>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Treatment</w:t>
            </w:r>
          </w:p>
        </w:tc>
        <w:tc>
          <w:tcPr>
            <w:tcW w:w="4721"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Storage (days)</w:t>
            </w:r>
          </w:p>
        </w:tc>
      </w:tr>
      <w:tr w:rsidR="00B00A03" w:rsidRPr="00FA4577" w:rsidTr="004450A8">
        <w:trPr>
          <w:trHeight w:val="270"/>
        </w:trPr>
        <w:tc>
          <w:tcPr>
            <w:tcW w:w="2040" w:type="dxa"/>
            <w:vMerge/>
            <w:tcBorders>
              <w:top w:val="single" w:sz="8" w:space="0" w:color="auto"/>
              <w:left w:val="single" w:sz="8" w:space="0" w:color="auto"/>
              <w:bottom w:val="single" w:sz="8" w:space="0" w:color="000000"/>
              <w:right w:val="nil"/>
            </w:tcBorders>
            <w:vAlign w:val="center"/>
            <w:hideMark/>
          </w:tcPr>
          <w:p w:rsidR="00B00A03" w:rsidRPr="00FA4577" w:rsidRDefault="00B00A03" w:rsidP="00F14CA8">
            <w:pPr>
              <w:spacing w:after="0" w:line="240" w:lineRule="auto"/>
              <w:rPr>
                <w:rFonts w:ascii="Times New Roman" w:eastAsia="Times New Roman" w:hAnsi="Times New Roman" w:cs="Times New Roman"/>
                <w:b/>
                <w:bCs/>
                <w:sz w:val="14"/>
                <w:szCs w:val="14"/>
              </w:rPr>
            </w:pPr>
          </w:p>
        </w:tc>
        <w:tc>
          <w:tcPr>
            <w:tcW w:w="1628" w:type="dxa"/>
            <w:tcBorders>
              <w:top w:val="nil"/>
              <w:left w:val="single" w:sz="4" w:space="0" w:color="auto"/>
              <w:bottom w:val="single" w:sz="4" w:space="0" w:color="auto"/>
              <w:right w:val="single" w:sz="8" w:space="0" w:color="000000"/>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0</w:t>
            </w:r>
          </w:p>
        </w:tc>
        <w:tc>
          <w:tcPr>
            <w:tcW w:w="1628" w:type="dxa"/>
            <w:tcBorders>
              <w:top w:val="nil"/>
              <w:left w:val="nil"/>
              <w:bottom w:val="single" w:sz="4" w:space="0" w:color="auto"/>
              <w:right w:val="single" w:sz="8" w:space="0" w:color="000000"/>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42 at 51°C</w:t>
            </w:r>
          </w:p>
        </w:tc>
        <w:tc>
          <w:tcPr>
            <w:tcW w:w="1465" w:type="dxa"/>
            <w:tcBorders>
              <w:top w:val="nil"/>
              <w:left w:val="nil"/>
              <w:bottom w:val="single" w:sz="4" w:space="0" w:color="auto"/>
              <w:right w:val="single" w:sz="4" w:space="0" w:color="000000"/>
            </w:tcBorders>
            <w:shd w:val="clear" w:color="auto" w:fill="auto"/>
            <w:noWrap/>
            <w:vAlign w:val="bottom"/>
            <w:hideMark/>
          </w:tcPr>
          <w:p w:rsidR="00B00A03" w:rsidRPr="00FA4577" w:rsidRDefault="00B00A03" w:rsidP="00F14CA8">
            <w:pPr>
              <w:spacing w:after="0" w:line="240" w:lineRule="auto"/>
              <w:jc w:val="center"/>
              <w:rPr>
                <w:rFonts w:ascii="Times New Roman" w:eastAsia="Times New Roman" w:hAnsi="Times New Roman" w:cs="Times New Roman"/>
                <w:b/>
                <w:bCs/>
                <w:sz w:val="14"/>
                <w:szCs w:val="14"/>
              </w:rPr>
            </w:pPr>
            <w:r w:rsidRPr="00FA4577">
              <w:rPr>
                <w:rFonts w:ascii="Times New Roman" w:eastAsia="Times New Roman" w:hAnsi="Times New Roman" w:cs="Times New Roman"/>
                <w:b/>
                <w:bCs/>
                <w:sz w:val="14"/>
                <w:szCs w:val="14"/>
              </w:rPr>
              <w:t>84 at 40°C</w:t>
            </w:r>
          </w:p>
        </w:tc>
      </w:tr>
      <w:tr w:rsidR="00440801"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0801" w:rsidRPr="00FA4577" w:rsidRDefault="00440801"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Control-AA</w:t>
            </w:r>
          </w:p>
        </w:tc>
        <w:tc>
          <w:tcPr>
            <w:tcW w:w="1628"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0801">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18.2 ± </w:t>
            </w:r>
            <w:r w:rsidRPr="00FA4577">
              <w:rPr>
                <w:rFonts w:ascii="Times New Roman" w:eastAsia="Times New Roman" w:hAnsi="Times New Roman" w:cs="Times New Roman"/>
                <w:sz w:val="14"/>
                <w:szCs w:val="14"/>
              </w:rPr>
              <w:t>0</w:t>
            </w:r>
            <w:r>
              <w:rPr>
                <w:rFonts w:ascii="Times New Roman" w:eastAsia="Times New Roman" w:hAnsi="Times New Roman" w:cs="Times New Roman"/>
                <w:sz w:val="14"/>
                <w:szCs w:val="14"/>
              </w:rPr>
              <w:t>.2</w:t>
            </w:r>
          </w:p>
        </w:tc>
        <w:tc>
          <w:tcPr>
            <w:tcW w:w="1628"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18.05</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0.07</w:t>
            </w:r>
          </w:p>
        </w:tc>
        <w:tc>
          <w:tcPr>
            <w:tcW w:w="1465"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0801">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w:t>
            </w:r>
            <w:r>
              <w:rPr>
                <w:rFonts w:ascii="Times New Roman" w:eastAsia="Times New Roman" w:hAnsi="Times New Roman" w:cs="Times New Roman"/>
                <w:sz w:val="14"/>
                <w:szCs w:val="14"/>
              </w:rPr>
              <w:t xml:space="preserve">.0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0.1</w:t>
            </w:r>
          </w:p>
        </w:tc>
      </w:tr>
      <w:tr w:rsidR="00440801"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0801" w:rsidRPr="00FA4577" w:rsidRDefault="00440801"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AA-0.01%Pycnogenol</w:t>
            </w:r>
          </w:p>
        </w:tc>
        <w:tc>
          <w:tcPr>
            <w:tcW w:w="1628"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0801">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18.4 ± </w:t>
            </w:r>
            <w:r w:rsidRPr="00FA4577">
              <w:rPr>
                <w:rFonts w:ascii="Times New Roman" w:eastAsia="Times New Roman" w:hAnsi="Times New Roman" w:cs="Times New Roman"/>
                <w:sz w:val="14"/>
                <w:szCs w:val="14"/>
              </w:rPr>
              <w:t>0.</w:t>
            </w:r>
            <w:r>
              <w:rPr>
                <w:rFonts w:ascii="Times New Roman" w:eastAsia="Times New Roman" w:hAnsi="Times New Roman" w:cs="Times New Roman"/>
                <w:sz w:val="14"/>
                <w:szCs w:val="14"/>
              </w:rPr>
              <w:t>5</w:t>
            </w:r>
          </w:p>
        </w:tc>
        <w:tc>
          <w:tcPr>
            <w:tcW w:w="1628" w:type="dxa"/>
            <w:tcBorders>
              <w:top w:val="nil"/>
              <w:left w:val="nil"/>
              <w:bottom w:val="nil"/>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17.95</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0.07</w:t>
            </w:r>
          </w:p>
        </w:tc>
        <w:tc>
          <w:tcPr>
            <w:tcW w:w="1465" w:type="dxa"/>
            <w:tcBorders>
              <w:top w:val="nil"/>
              <w:left w:val="nil"/>
              <w:bottom w:val="nil"/>
              <w:right w:val="single" w:sz="8" w:space="0" w:color="auto"/>
            </w:tcBorders>
            <w:shd w:val="clear" w:color="auto" w:fill="auto"/>
            <w:noWrap/>
            <w:vAlign w:val="bottom"/>
            <w:hideMark/>
          </w:tcPr>
          <w:p w:rsidR="00440801" w:rsidRPr="00FA4577" w:rsidRDefault="00440801" w:rsidP="00440801">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18.1</w:t>
            </w:r>
            <w:r>
              <w:rPr>
                <w:rFonts w:ascii="Times New Roman" w:eastAsia="Times New Roman" w:hAnsi="Times New Roman" w:cs="Times New Roman"/>
                <w:sz w:val="14"/>
                <w:szCs w:val="14"/>
              </w:rPr>
              <w:t xml:space="preserve">0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0.02</w:t>
            </w:r>
          </w:p>
        </w:tc>
      </w:tr>
      <w:tr w:rsidR="00440801"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0801" w:rsidRPr="00FA4577" w:rsidRDefault="00440801"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AA-0.1%Pycnognenol</w:t>
            </w:r>
          </w:p>
        </w:tc>
        <w:tc>
          <w:tcPr>
            <w:tcW w:w="1628"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18.4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0.5</w:t>
            </w:r>
          </w:p>
        </w:tc>
        <w:tc>
          <w:tcPr>
            <w:tcW w:w="1628" w:type="dxa"/>
            <w:tcBorders>
              <w:top w:val="single" w:sz="8" w:space="0" w:color="auto"/>
              <w:left w:val="nil"/>
              <w:bottom w:val="single" w:sz="8" w:space="0" w:color="auto"/>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18.1</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0.4</w:t>
            </w:r>
          </w:p>
        </w:tc>
        <w:tc>
          <w:tcPr>
            <w:tcW w:w="1465" w:type="dxa"/>
            <w:tcBorders>
              <w:top w:val="single" w:sz="8" w:space="0" w:color="auto"/>
              <w:left w:val="nil"/>
              <w:bottom w:val="single" w:sz="8" w:space="0" w:color="auto"/>
              <w:right w:val="single" w:sz="8" w:space="0" w:color="auto"/>
            </w:tcBorders>
            <w:shd w:val="clear" w:color="auto" w:fill="auto"/>
            <w:noWrap/>
            <w:vAlign w:val="bottom"/>
            <w:hideMark/>
          </w:tcPr>
          <w:p w:rsidR="00440801" w:rsidRPr="00FA4577" w:rsidRDefault="00440801" w:rsidP="00440801">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18.2</w:t>
            </w:r>
            <w:r>
              <w:rPr>
                <w:rFonts w:ascii="Times New Roman" w:eastAsia="Times New Roman" w:hAnsi="Times New Roman" w:cs="Times New Roman"/>
                <w:sz w:val="14"/>
                <w:szCs w:val="14"/>
              </w:rPr>
              <w:t xml:space="preserve">0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0.05</w:t>
            </w:r>
          </w:p>
        </w:tc>
      </w:tr>
      <w:tr w:rsidR="00440801"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0801" w:rsidRPr="00FA4577" w:rsidRDefault="00440801"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Control-A2P</w:t>
            </w:r>
          </w:p>
        </w:tc>
        <w:tc>
          <w:tcPr>
            <w:tcW w:w="1628"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18.8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0.9</w:t>
            </w:r>
          </w:p>
        </w:tc>
        <w:tc>
          <w:tcPr>
            <w:tcW w:w="1628" w:type="dxa"/>
            <w:tcBorders>
              <w:top w:val="nil"/>
              <w:left w:val="nil"/>
              <w:bottom w:val="nil"/>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18.3</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0.4</w:t>
            </w:r>
          </w:p>
        </w:tc>
        <w:tc>
          <w:tcPr>
            <w:tcW w:w="1465" w:type="dxa"/>
            <w:tcBorders>
              <w:top w:val="nil"/>
              <w:left w:val="nil"/>
              <w:bottom w:val="nil"/>
              <w:right w:val="single" w:sz="8" w:space="0" w:color="auto"/>
            </w:tcBorders>
            <w:shd w:val="clear" w:color="auto" w:fill="auto"/>
            <w:noWrap/>
            <w:vAlign w:val="bottom"/>
            <w:hideMark/>
          </w:tcPr>
          <w:p w:rsidR="00440801" w:rsidRPr="00FA4577" w:rsidRDefault="00440801" w:rsidP="00440801">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18.3</w:t>
            </w:r>
            <w:r>
              <w:rPr>
                <w:rFonts w:ascii="Times New Roman" w:eastAsia="Times New Roman" w:hAnsi="Times New Roman" w:cs="Times New Roman"/>
                <w:sz w:val="14"/>
                <w:szCs w:val="14"/>
              </w:rPr>
              <w:t xml:space="preserve">0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0.02</w:t>
            </w:r>
          </w:p>
        </w:tc>
      </w:tr>
      <w:tr w:rsidR="00440801"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0801" w:rsidRPr="00FA4577" w:rsidRDefault="00440801"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A2P-0.01%Pycnogenol</w:t>
            </w:r>
          </w:p>
        </w:tc>
        <w:tc>
          <w:tcPr>
            <w:tcW w:w="1628"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17.6</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0.5</w:t>
            </w:r>
          </w:p>
        </w:tc>
        <w:tc>
          <w:tcPr>
            <w:tcW w:w="1628" w:type="dxa"/>
            <w:tcBorders>
              <w:top w:val="single" w:sz="8" w:space="0" w:color="auto"/>
              <w:left w:val="nil"/>
              <w:bottom w:val="single" w:sz="8" w:space="0" w:color="auto"/>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18.1</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0.1</w:t>
            </w:r>
          </w:p>
        </w:tc>
        <w:tc>
          <w:tcPr>
            <w:tcW w:w="1465" w:type="dxa"/>
            <w:tcBorders>
              <w:top w:val="single" w:sz="8" w:space="0" w:color="auto"/>
              <w:left w:val="nil"/>
              <w:bottom w:val="single" w:sz="8" w:space="0" w:color="auto"/>
              <w:right w:val="single" w:sz="8" w:space="0" w:color="auto"/>
            </w:tcBorders>
            <w:shd w:val="clear" w:color="auto" w:fill="auto"/>
            <w:noWrap/>
            <w:vAlign w:val="bottom"/>
            <w:hideMark/>
          </w:tcPr>
          <w:p w:rsidR="00440801" w:rsidRPr="00FA4577" w:rsidRDefault="00440801" w:rsidP="00440801">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w:t>
            </w:r>
            <w:r>
              <w:rPr>
                <w:rFonts w:ascii="Times New Roman" w:eastAsia="Times New Roman" w:hAnsi="Times New Roman" w:cs="Times New Roman"/>
                <w:sz w:val="14"/>
                <w:szCs w:val="14"/>
              </w:rPr>
              <w:t xml:space="preserve">.01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0.03</w:t>
            </w:r>
          </w:p>
        </w:tc>
      </w:tr>
      <w:tr w:rsidR="00440801" w:rsidRPr="00FA4577" w:rsidTr="00FF4977">
        <w:trPr>
          <w:trHeight w:val="270"/>
        </w:trPr>
        <w:tc>
          <w:tcPr>
            <w:tcW w:w="2040" w:type="dxa"/>
            <w:tcBorders>
              <w:top w:val="nil"/>
              <w:left w:val="single" w:sz="8" w:space="0" w:color="auto"/>
              <w:bottom w:val="single" w:sz="8" w:space="0" w:color="auto"/>
              <w:right w:val="single" w:sz="8" w:space="0" w:color="auto"/>
            </w:tcBorders>
            <w:shd w:val="clear" w:color="auto" w:fill="auto"/>
            <w:noWrap/>
            <w:vAlign w:val="bottom"/>
            <w:hideMark/>
          </w:tcPr>
          <w:p w:rsidR="00440801" w:rsidRPr="00FA4577" w:rsidRDefault="00440801" w:rsidP="00F14CA8">
            <w:pPr>
              <w:spacing w:after="0" w:line="240" w:lineRule="auto"/>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A2P-0.1%Pycnogenol</w:t>
            </w:r>
          </w:p>
        </w:tc>
        <w:tc>
          <w:tcPr>
            <w:tcW w:w="1628"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18.5</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0.7</w:t>
            </w:r>
          </w:p>
        </w:tc>
        <w:tc>
          <w:tcPr>
            <w:tcW w:w="1628"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50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18.2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0.2</w:t>
            </w:r>
          </w:p>
        </w:tc>
        <w:tc>
          <w:tcPr>
            <w:tcW w:w="1465" w:type="dxa"/>
            <w:tcBorders>
              <w:top w:val="nil"/>
              <w:left w:val="nil"/>
              <w:bottom w:val="single" w:sz="8" w:space="0" w:color="auto"/>
              <w:right w:val="single" w:sz="8" w:space="0" w:color="auto"/>
            </w:tcBorders>
            <w:shd w:val="clear" w:color="auto" w:fill="auto"/>
            <w:noWrap/>
            <w:vAlign w:val="bottom"/>
            <w:hideMark/>
          </w:tcPr>
          <w:p w:rsidR="00440801" w:rsidRPr="00FA4577" w:rsidRDefault="00440801" w:rsidP="00440801">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18.2</w:t>
            </w:r>
            <w:r>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0.1</w:t>
            </w:r>
          </w:p>
        </w:tc>
      </w:tr>
    </w:tbl>
    <w:p w:rsidR="00B00A03" w:rsidRPr="00FA4577" w:rsidRDefault="00B00A03" w:rsidP="00B00A03">
      <w:pPr>
        <w:tabs>
          <w:tab w:val="left" w:pos="1980"/>
        </w:tabs>
        <w:rPr>
          <w:rFonts w:ascii="Times New Roman" w:hAnsi="Times New Roman" w:cs="Times New Roman"/>
          <w:b/>
          <w:sz w:val="14"/>
          <w:szCs w:val="14"/>
        </w:rPr>
      </w:pPr>
    </w:p>
    <w:p w:rsidR="00B00A03" w:rsidRPr="00FA4577" w:rsidRDefault="00B00A03" w:rsidP="00B00A03">
      <w:pPr>
        <w:tabs>
          <w:tab w:val="left" w:pos="1980"/>
          <w:tab w:val="left" w:pos="8266"/>
        </w:tabs>
        <w:rPr>
          <w:rFonts w:ascii="Times New Roman" w:hAnsi="Times New Roman" w:cs="Times New Roman"/>
          <w:b/>
          <w:sz w:val="14"/>
          <w:szCs w:val="14"/>
        </w:rPr>
      </w:pPr>
      <w:r w:rsidRPr="00FA4577">
        <w:rPr>
          <w:rFonts w:ascii="Times New Roman" w:hAnsi="Times New Roman" w:cs="Times New Roman"/>
          <w:b/>
          <w:sz w:val="14"/>
          <w:szCs w:val="14"/>
        </w:rPr>
        <w:tab/>
      </w:r>
    </w:p>
    <w:p w:rsidR="00B00A03" w:rsidRPr="00FA4577" w:rsidRDefault="00B00A03" w:rsidP="00B00A03">
      <w:pPr>
        <w:tabs>
          <w:tab w:val="left" w:pos="1980"/>
          <w:tab w:val="left" w:pos="8266"/>
        </w:tabs>
        <w:rPr>
          <w:rFonts w:ascii="Times New Roman" w:hAnsi="Times New Roman" w:cs="Times New Roman"/>
          <w:b/>
          <w:sz w:val="14"/>
          <w:szCs w:val="14"/>
        </w:rPr>
      </w:pPr>
    </w:p>
    <w:p w:rsidR="00B00A03" w:rsidRPr="00FA4577" w:rsidRDefault="00B00A03" w:rsidP="00B00A03">
      <w:pPr>
        <w:tabs>
          <w:tab w:val="left" w:pos="1980"/>
          <w:tab w:val="left" w:pos="8266"/>
        </w:tabs>
        <w:rPr>
          <w:rFonts w:ascii="Times New Roman" w:hAnsi="Times New Roman" w:cs="Times New Roman"/>
          <w:b/>
          <w:sz w:val="14"/>
          <w:szCs w:val="14"/>
        </w:rPr>
      </w:pPr>
    </w:p>
    <w:p w:rsidR="00B00A03" w:rsidRPr="00FA4577" w:rsidRDefault="00B00A03" w:rsidP="00B00A03">
      <w:pPr>
        <w:tabs>
          <w:tab w:val="left" w:pos="1980"/>
          <w:tab w:val="left" w:pos="8266"/>
        </w:tabs>
        <w:rPr>
          <w:rFonts w:ascii="Times New Roman" w:hAnsi="Times New Roman" w:cs="Times New Roman"/>
          <w:b/>
        </w:rPr>
      </w:pPr>
    </w:p>
    <w:p w:rsidR="00B00A03" w:rsidRPr="00FA4577" w:rsidRDefault="00B00A03" w:rsidP="00B00A03">
      <w:pPr>
        <w:tabs>
          <w:tab w:val="left" w:pos="1980"/>
          <w:tab w:val="left" w:pos="8266"/>
        </w:tabs>
        <w:rPr>
          <w:rFonts w:ascii="Times New Roman" w:hAnsi="Times New Roman" w:cs="Times New Roman"/>
          <w:b/>
        </w:rPr>
      </w:pPr>
    </w:p>
    <w:p w:rsidR="00B00A03" w:rsidRPr="00153E32" w:rsidRDefault="00B00A03" w:rsidP="00B00A03">
      <w:pPr>
        <w:spacing w:after="0"/>
        <w:jc w:val="both"/>
        <w:rPr>
          <w:rFonts w:ascii="Times New Roman" w:hAnsi="Times New Roman" w:cs="Times New Roman"/>
          <w:b/>
          <w:sz w:val="24"/>
          <w:szCs w:val="24"/>
        </w:rPr>
      </w:pPr>
      <w:r w:rsidRPr="00153E32">
        <w:rPr>
          <w:rFonts w:ascii="Times New Roman" w:hAnsi="Times New Roman" w:cs="Times New Roman"/>
          <w:b/>
          <w:sz w:val="24"/>
          <w:szCs w:val="24"/>
        </w:rPr>
        <w:lastRenderedPageBreak/>
        <w:t>Table 4: Vitamin C and Pycnogenol concentration effect on L* values at the beginning and at the end of the storage</w:t>
      </w:r>
    </w:p>
    <w:tbl>
      <w:tblPr>
        <w:tblW w:w="0" w:type="auto"/>
        <w:tblInd w:w="94" w:type="dxa"/>
        <w:tblLayout w:type="fixed"/>
        <w:tblLook w:val="04A0"/>
      </w:tblPr>
      <w:tblGrid>
        <w:gridCol w:w="2084"/>
        <w:gridCol w:w="885"/>
        <w:gridCol w:w="1620"/>
        <w:gridCol w:w="1890"/>
        <w:gridCol w:w="1980"/>
      </w:tblGrid>
      <w:tr w:rsidR="00B00A03" w:rsidRPr="007C476E" w:rsidTr="00685114">
        <w:trPr>
          <w:trHeight w:val="255"/>
        </w:trPr>
        <w:tc>
          <w:tcPr>
            <w:tcW w:w="20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Factor</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Levels</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Day 0</w:t>
            </w:r>
          </w:p>
        </w:tc>
        <w:tc>
          <w:tcPr>
            <w:tcW w:w="1890" w:type="dxa"/>
            <w:tcBorders>
              <w:top w:val="single" w:sz="4" w:space="0" w:color="auto"/>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Day 42 (Storage at 51</w:t>
            </w:r>
            <w:r w:rsidR="008858A7">
              <w:rPr>
                <w:rFonts w:ascii="Times New Roman" w:eastAsia="Times New Roman" w:hAnsi="Times New Roman" w:cs="Times New Roman"/>
                <w:b/>
                <w:bCs/>
                <w:sz w:val="14"/>
                <w:szCs w:val="14"/>
              </w:rPr>
              <w:t>°</w:t>
            </w:r>
            <w:r w:rsidRPr="007C476E">
              <w:rPr>
                <w:rFonts w:ascii="Times New Roman" w:eastAsia="Times New Roman" w:hAnsi="Times New Roman" w:cs="Times New Roman"/>
                <w:b/>
                <w:bCs/>
                <w:sz w:val="14"/>
                <w:szCs w:val="14"/>
              </w:rPr>
              <w:t>C)</w:t>
            </w:r>
          </w:p>
        </w:tc>
        <w:tc>
          <w:tcPr>
            <w:tcW w:w="1980" w:type="dxa"/>
            <w:tcBorders>
              <w:top w:val="single" w:sz="4" w:space="0" w:color="auto"/>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Day 84 (Storage at 40</w:t>
            </w:r>
            <w:r w:rsidR="008858A7">
              <w:rPr>
                <w:rFonts w:ascii="Times New Roman" w:eastAsia="Times New Roman" w:hAnsi="Times New Roman" w:cs="Times New Roman"/>
                <w:b/>
                <w:bCs/>
                <w:sz w:val="14"/>
                <w:szCs w:val="14"/>
              </w:rPr>
              <w:t>°</w:t>
            </w:r>
            <w:r w:rsidRPr="007C476E">
              <w:rPr>
                <w:rFonts w:ascii="Times New Roman" w:eastAsia="Times New Roman" w:hAnsi="Times New Roman" w:cs="Times New Roman"/>
                <w:b/>
                <w:bCs/>
                <w:sz w:val="14"/>
                <w:szCs w:val="14"/>
              </w:rPr>
              <w:t>C)</w:t>
            </w:r>
          </w:p>
        </w:tc>
      </w:tr>
      <w:tr w:rsidR="00B00A03" w:rsidRPr="007C476E" w:rsidTr="00685114">
        <w:trPr>
          <w:trHeight w:val="255"/>
        </w:trPr>
        <w:tc>
          <w:tcPr>
            <w:tcW w:w="208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Vitamin C</w:t>
            </w:r>
          </w:p>
        </w:tc>
        <w:tc>
          <w:tcPr>
            <w:tcW w:w="885"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Pr>
                <w:rFonts w:ascii="Times New Roman" w:eastAsia="Times New Roman" w:hAnsi="Times New Roman" w:cs="Times New Roman"/>
                <w:b/>
                <w:bCs/>
                <w:sz w:val="14"/>
                <w:szCs w:val="14"/>
              </w:rPr>
              <w:t>A2P</w:t>
            </w:r>
          </w:p>
        </w:tc>
        <w:tc>
          <w:tcPr>
            <w:tcW w:w="162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51.70</w:t>
            </w:r>
            <w:r w:rsidRPr="007C476E">
              <w:rPr>
                <w:rFonts w:ascii="Times New Roman" w:eastAsia="Times New Roman" w:hAnsi="Times New Roman" w:cs="Times New Roman"/>
                <w:sz w:val="14"/>
                <w:szCs w:val="14"/>
                <w:vertAlign w:val="superscript"/>
              </w:rPr>
              <w:t>a</w:t>
            </w:r>
          </w:p>
        </w:tc>
        <w:tc>
          <w:tcPr>
            <w:tcW w:w="189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43.87</w:t>
            </w:r>
            <w:r w:rsidRPr="007C476E">
              <w:rPr>
                <w:rFonts w:ascii="Times New Roman" w:eastAsia="Times New Roman" w:hAnsi="Times New Roman" w:cs="Times New Roman"/>
                <w:sz w:val="14"/>
                <w:szCs w:val="14"/>
                <w:vertAlign w:val="superscript"/>
              </w:rPr>
              <w:t>a</w:t>
            </w:r>
          </w:p>
        </w:tc>
        <w:tc>
          <w:tcPr>
            <w:tcW w:w="198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48.65</w:t>
            </w:r>
            <w:r w:rsidRPr="007C476E">
              <w:rPr>
                <w:rFonts w:ascii="Times New Roman" w:eastAsia="Times New Roman" w:hAnsi="Times New Roman" w:cs="Times New Roman"/>
                <w:sz w:val="14"/>
                <w:szCs w:val="14"/>
                <w:vertAlign w:val="superscript"/>
              </w:rPr>
              <w:t>a</w:t>
            </w:r>
          </w:p>
        </w:tc>
      </w:tr>
      <w:tr w:rsidR="00B00A03" w:rsidRPr="007C476E" w:rsidTr="00685114">
        <w:trPr>
          <w:trHeight w:val="255"/>
        </w:trPr>
        <w:tc>
          <w:tcPr>
            <w:tcW w:w="2084" w:type="dxa"/>
            <w:vMerge/>
            <w:tcBorders>
              <w:top w:val="nil"/>
              <w:left w:val="single" w:sz="4" w:space="0" w:color="auto"/>
              <w:bottom w:val="single" w:sz="4" w:space="0" w:color="auto"/>
              <w:right w:val="single" w:sz="4" w:space="0" w:color="auto"/>
            </w:tcBorders>
            <w:vAlign w:val="center"/>
            <w:hideMark/>
          </w:tcPr>
          <w:p w:rsidR="00B00A03" w:rsidRPr="007C476E" w:rsidRDefault="00B00A03" w:rsidP="00685114">
            <w:pPr>
              <w:spacing w:after="0" w:line="240" w:lineRule="auto"/>
              <w:rPr>
                <w:rFonts w:ascii="Times New Roman" w:eastAsia="Times New Roman" w:hAnsi="Times New Roman" w:cs="Times New Roman"/>
                <w:b/>
                <w:bCs/>
                <w:sz w:val="14"/>
                <w:szCs w:val="14"/>
              </w:rPr>
            </w:pPr>
          </w:p>
        </w:tc>
        <w:tc>
          <w:tcPr>
            <w:tcW w:w="885"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A</w:t>
            </w:r>
            <w:r>
              <w:rPr>
                <w:rFonts w:ascii="Times New Roman" w:eastAsia="Times New Roman" w:hAnsi="Times New Roman" w:cs="Times New Roman"/>
                <w:b/>
                <w:bCs/>
                <w:sz w:val="14"/>
                <w:szCs w:val="14"/>
              </w:rPr>
              <w:t>A</w:t>
            </w:r>
          </w:p>
        </w:tc>
        <w:tc>
          <w:tcPr>
            <w:tcW w:w="162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51.33</w:t>
            </w:r>
            <w:r w:rsidRPr="007C476E">
              <w:rPr>
                <w:rFonts w:ascii="Times New Roman" w:eastAsia="Times New Roman" w:hAnsi="Times New Roman" w:cs="Times New Roman"/>
                <w:sz w:val="14"/>
                <w:szCs w:val="14"/>
                <w:vertAlign w:val="superscript"/>
              </w:rPr>
              <w:t>a</w:t>
            </w:r>
          </w:p>
        </w:tc>
        <w:tc>
          <w:tcPr>
            <w:tcW w:w="189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42.29</w:t>
            </w:r>
            <w:r w:rsidRPr="007C476E">
              <w:rPr>
                <w:rFonts w:ascii="Times New Roman" w:eastAsia="Times New Roman" w:hAnsi="Times New Roman" w:cs="Times New Roman"/>
                <w:sz w:val="14"/>
                <w:szCs w:val="14"/>
                <w:vertAlign w:val="superscript"/>
              </w:rPr>
              <w:t>b</w:t>
            </w:r>
          </w:p>
        </w:tc>
        <w:tc>
          <w:tcPr>
            <w:tcW w:w="198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46.60</w:t>
            </w:r>
            <w:r w:rsidRPr="007C476E">
              <w:rPr>
                <w:rFonts w:ascii="Times New Roman" w:eastAsia="Times New Roman" w:hAnsi="Times New Roman" w:cs="Times New Roman"/>
                <w:sz w:val="14"/>
                <w:szCs w:val="14"/>
                <w:vertAlign w:val="superscript"/>
              </w:rPr>
              <w:t>b</w:t>
            </w:r>
          </w:p>
        </w:tc>
      </w:tr>
      <w:tr w:rsidR="00B00A03" w:rsidRPr="007C476E" w:rsidTr="00685114">
        <w:trPr>
          <w:trHeight w:val="255"/>
        </w:trPr>
        <w:tc>
          <w:tcPr>
            <w:tcW w:w="2084" w:type="dxa"/>
            <w:vMerge w:val="restart"/>
            <w:tcBorders>
              <w:top w:val="nil"/>
              <w:left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Pycnogel concentration</w:t>
            </w:r>
          </w:p>
        </w:tc>
        <w:tc>
          <w:tcPr>
            <w:tcW w:w="885"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0%</w:t>
            </w:r>
          </w:p>
        </w:tc>
        <w:tc>
          <w:tcPr>
            <w:tcW w:w="162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5</w:t>
            </w:r>
            <w:r>
              <w:rPr>
                <w:rFonts w:ascii="Times New Roman" w:eastAsia="Times New Roman" w:hAnsi="Times New Roman" w:cs="Times New Roman"/>
                <w:sz w:val="14"/>
                <w:szCs w:val="14"/>
              </w:rPr>
              <w:t>1.17</w:t>
            </w:r>
            <w:r w:rsidRPr="007C476E">
              <w:rPr>
                <w:rFonts w:ascii="Times New Roman" w:eastAsia="Times New Roman" w:hAnsi="Times New Roman" w:cs="Times New Roman"/>
                <w:sz w:val="14"/>
                <w:szCs w:val="14"/>
                <w:vertAlign w:val="superscript"/>
              </w:rPr>
              <w:t>a,b</w:t>
            </w:r>
          </w:p>
        </w:tc>
        <w:tc>
          <w:tcPr>
            <w:tcW w:w="189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43.39</w:t>
            </w:r>
            <w:r w:rsidRPr="007C476E">
              <w:rPr>
                <w:rFonts w:ascii="Times New Roman" w:eastAsia="Times New Roman" w:hAnsi="Times New Roman" w:cs="Times New Roman"/>
                <w:sz w:val="14"/>
                <w:szCs w:val="14"/>
                <w:vertAlign w:val="superscript"/>
              </w:rPr>
              <w:t>a</w:t>
            </w:r>
          </w:p>
        </w:tc>
        <w:tc>
          <w:tcPr>
            <w:tcW w:w="198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47.92</w:t>
            </w:r>
            <w:r w:rsidRPr="007C476E">
              <w:rPr>
                <w:rFonts w:ascii="Times New Roman" w:eastAsia="Times New Roman" w:hAnsi="Times New Roman" w:cs="Times New Roman"/>
                <w:sz w:val="14"/>
                <w:szCs w:val="14"/>
                <w:vertAlign w:val="superscript"/>
              </w:rPr>
              <w:t xml:space="preserve"> a</w:t>
            </w:r>
          </w:p>
        </w:tc>
      </w:tr>
      <w:tr w:rsidR="00B00A03" w:rsidRPr="007C476E" w:rsidTr="00685114">
        <w:trPr>
          <w:trHeight w:val="255"/>
        </w:trPr>
        <w:tc>
          <w:tcPr>
            <w:tcW w:w="2084" w:type="dxa"/>
            <w:vMerge/>
            <w:tcBorders>
              <w:left w:val="single" w:sz="4" w:space="0" w:color="auto"/>
              <w:right w:val="single" w:sz="4" w:space="0" w:color="auto"/>
            </w:tcBorders>
            <w:shd w:val="clear" w:color="auto" w:fill="auto"/>
            <w:vAlign w:val="center"/>
            <w:hideMark/>
          </w:tcPr>
          <w:p w:rsidR="00B00A03" w:rsidRPr="007C476E" w:rsidRDefault="00B00A03" w:rsidP="00685114">
            <w:pPr>
              <w:spacing w:after="0" w:line="240" w:lineRule="auto"/>
              <w:rPr>
                <w:rFonts w:ascii="Times New Roman" w:eastAsia="Times New Roman" w:hAnsi="Times New Roman" w:cs="Times New Roman"/>
                <w:b/>
                <w:bCs/>
                <w:sz w:val="14"/>
                <w:szCs w:val="14"/>
              </w:rPr>
            </w:pPr>
          </w:p>
        </w:tc>
        <w:tc>
          <w:tcPr>
            <w:tcW w:w="885"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0.01%</w:t>
            </w:r>
          </w:p>
        </w:tc>
        <w:tc>
          <w:tcPr>
            <w:tcW w:w="162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5</w:t>
            </w:r>
            <w:r>
              <w:rPr>
                <w:rFonts w:ascii="Times New Roman" w:eastAsia="Times New Roman" w:hAnsi="Times New Roman" w:cs="Times New Roman"/>
                <w:sz w:val="14"/>
                <w:szCs w:val="14"/>
              </w:rPr>
              <w:t>2.77</w:t>
            </w:r>
            <w:r w:rsidRPr="007C476E">
              <w:rPr>
                <w:rFonts w:ascii="Times New Roman" w:eastAsia="Times New Roman" w:hAnsi="Times New Roman" w:cs="Times New Roman"/>
                <w:sz w:val="14"/>
                <w:szCs w:val="14"/>
                <w:vertAlign w:val="superscript"/>
              </w:rPr>
              <w:t>a</w:t>
            </w:r>
          </w:p>
        </w:tc>
        <w:tc>
          <w:tcPr>
            <w:tcW w:w="189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43.19</w:t>
            </w:r>
            <w:r w:rsidRPr="007C476E">
              <w:rPr>
                <w:rFonts w:ascii="Times New Roman" w:eastAsia="Times New Roman" w:hAnsi="Times New Roman" w:cs="Times New Roman"/>
                <w:sz w:val="14"/>
                <w:szCs w:val="14"/>
                <w:vertAlign w:val="superscript"/>
              </w:rPr>
              <w:t xml:space="preserve"> a</w:t>
            </w:r>
          </w:p>
        </w:tc>
        <w:tc>
          <w:tcPr>
            <w:tcW w:w="198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47.56</w:t>
            </w:r>
            <w:r w:rsidRPr="007C476E">
              <w:rPr>
                <w:rFonts w:ascii="Times New Roman" w:eastAsia="Times New Roman" w:hAnsi="Times New Roman" w:cs="Times New Roman"/>
                <w:sz w:val="14"/>
                <w:szCs w:val="14"/>
                <w:vertAlign w:val="superscript"/>
              </w:rPr>
              <w:t xml:space="preserve"> a</w:t>
            </w:r>
          </w:p>
        </w:tc>
      </w:tr>
      <w:tr w:rsidR="00B00A03" w:rsidRPr="007C476E" w:rsidTr="00685114">
        <w:trPr>
          <w:trHeight w:val="255"/>
        </w:trPr>
        <w:tc>
          <w:tcPr>
            <w:tcW w:w="2084" w:type="dxa"/>
            <w:vMerge/>
            <w:tcBorders>
              <w:left w:val="single" w:sz="4" w:space="0" w:color="auto"/>
              <w:bottom w:val="single" w:sz="4" w:space="0" w:color="auto"/>
              <w:right w:val="single" w:sz="4" w:space="0" w:color="auto"/>
            </w:tcBorders>
            <w:shd w:val="clear" w:color="auto" w:fill="auto"/>
            <w:vAlign w:val="center"/>
            <w:hideMark/>
          </w:tcPr>
          <w:p w:rsidR="00B00A03" w:rsidRPr="007C476E" w:rsidRDefault="00B00A03" w:rsidP="00685114">
            <w:pPr>
              <w:spacing w:after="0" w:line="240" w:lineRule="auto"/>
              <w:rPr>
                <w:rFonts w:ascii="Times New Roman" w:eastAsia="Times New Roman" w:hAnsi="Times New Roman" w:cs="Times New Roman"/>
                <w:b/>
                <w:bCs/>
                <w:sz w:val="14"/>
                <w:szCs w:val="14"/>
              </w:rPr>
            </w:pPr>
          </w:p>
        </w:tc>
        <w:tc>
          <w:tcPr>
            <w:tcW w:w="885"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0.10%</w:t>
            </w:r>
          </w:p>
        </w:tc>
        <w:tc>
          <w:tcPr>
            <w:tcW w:w="162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5</w:t>
            </w:r>
            <w:r>
              <w:rPr>
                <w:rFonts w:ascii="Times New Roman" w:eastAsia="Times New Roman" w:hAnsi="Times New Roman" w:cs="Times New Roman"/>
                <w:sz w:val="14"/>
                <w:szCs w:val="14"/>
              </w:rPr>
              <w:t>0.60</w:t>
            </w:r>
            <w:r w:rsidRPr="007C476E">
              <w:rPr>
                <w:rFonts w:ascii="Times New Roman" w:eastAsia="Times New Roman" w:hAnsi="Times New Roman" w:cs="Times New Roman"/>
                <w:sz w:val="14"/>
                <w:szCs w:val="14"/>
                <w:vertAlign w:val="superscript"/>
              </w:rPr>
              <w:t>b</w:t>
            </w:r>
          </w:p>
        </w:tc>
        <w:tc>
          <w:tcPr>
            <w:tcW w:w="189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42.66</w:t>
            </w:r>
            <w:r w:rsidRPr="007C476E">
              <w:rPr>
                <w:rFonts w:ascii="Times New Roman" w:eastAsia="Times New Roman" w:hAnsi="Times New Roman" w:cs="Times New Roman"/>
                <w:sz w:val="14"/>
                <w:szCs w:val="14"/>
                <w:vertAlign w:val="superscript"/>
              </w:rPr>
              <w:t xml:space="preserve"> a</w:t>
            </w:r>
          </w:p>
        </w:tc>
        <w:tc>
          <w:tcPr>
            <w:tcW w:w="1980" w:type="dxa"/>
            <w:tcBorders>
              <w:top w:val="nil"/>
              <w:left w:val="nil"/>
              <w:bottom w:val="single" w:sz="4" w:space="0" w:color="auto"/>
              <w:right w:val="single" w:sz="4"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47.20</w:t>
            </w:r>
            <w:r w:rsidRPr="007C476E">
              <w:rPr>
                <w:rFonts w:ascii="Times New Roman" w:eastAsia="Times New Roman" w:hAnsi="Times New Roman" w:cs="Times New Roman"/>
                <w:sz w:val="14"/>
                <w:szCs w:val="14"/>
                <w:vertAlign w:val="superscript"/>
              </w:rPr>
              <w:t xml:space="preserve"> a</w:t>
            </w:r>
          </w:p>
        </w:tc>
      </w:tr>
      <w:tr w:rsidR="00B00A03" w:rsidRPr="007C476E" w:rsidTr="00685114">
        <w:trPr>
          <w:trHeight w:val="188"/>
        </w:trPr>
        <w:tc>
          <w:tcPr>
            <w:tcW w:w="2084" w:type="dxa"/>
            <w:tcBorders>
              <w:top w:val="nil"/>
              <w:left w:val="single" w:sz="4" w:space="0" w:color="auto"/>
              <w:bottom w:val="single" w:sz="4" w:space="0" w:color="auto"/>
              <w:right w:val="single" w:sz="4" w:space="0" w:color="auto"/>
            </w:tcBorders>
            <w:shd w:val="clear" w:color="auto" w:fill="auto"/>
            <w:vAlign w:val="center"/>
            <w:hideMark/>
          </w:tcPr>
          <w:p w:rsidR="00B00A03" w:rsidRPr="007C476E" w:rsidRDefault="00B00A03" w:rsidP="00685114">
            <w:pPr>
              <w:rPr>
                <w:rFonts w:ascii="Times New Roman" w:eastAsia="Times New Roman" w:hAnsi="Times New Roman" w:cs="Times New Roman"/>
                <w:b/>
                <w:bCs/>
                <w:sz w:val="14"/>
                <w:szCs w:val="14"/>
              </w:rPr>
            </w:pPr>
            <w:r>
              <w:rPr>
                <w:rFonts w:ascii="Times New Roman" w:eastAsia="Times New Roman" w:hAnsi="Times New Roman" w:cs="Times New Roman"/>
                <w:b/>
                <w:bCs/>
                <w:sz w:val="14"/>
                <w:szCs w:val="14"/>
              </w:rPr>
              <w:t>Vitamin C*Pycnogenol</w:t>
            </w:r>
          </w:p>
        </w:tc>
        <w:tc>
          <w:tcPr>
            <w:tcW w:w="885" w:type="dxa"/>
            <w:tcBorders>
              <w:top w:val="nil"/>
              <w:left w:val="nil"/>
              <w:bottom w:val="single" w:sz="4" w:space="0" w:color="auto"/>
              <w:right w:val="single" w:sz="4" w:space="0" w:color="auto"/>
            </w:tcBorders>
            <w:shd w:val="clear" w:color="auto" w:fill="auto"/>
            <w:noWrap/>
            <w:vAlign w:val="center"/>
            <w:hideMark/>
          </w:tcPr>
          <w:p w:rsidR="00B00A03" w:rsidRPr="007C476E" w:rsidRDefault="00685114" w:rsidP="00685114">
            <w:pPr>
              <w:jc w:val="center"/>
              <w:rPr>
                <w:rFonts w:ascii="Times New Roman" w:eastAsia="Times New Roman" w:hAnsi="Times New Roman" w:cs="Times New Roman"/>
                <w:b/>
                <w:bCs/>
                <w:sz w:val="14"/>
                <w:szCs w:val="14"/>
              </w:rPr>
            </w:pPr>
            <w:r>
              <w:rPr>
                <w:rFonts w:ascii="Times New Roman" w:eastAsia="Times New Roman" w:hAnsi="Times New Roman" w:cs="Times New Roman"/>
                <w:b/>
                <w:bCs/>
                <w:sz w:val="14"/>
                <w:szCs w:val="14"/>
              </w:rPr>
              <w:t>Interaction</w:t>
            </w:r>
          </w:p>
        </w:tc>
        <w:tc>
          <w:tcPr>
            <w:tcW w:w="1620" w:type="dxa"/>
            <w:tcBorders>
              <w:top w:val="nil"/>
              <w:left w:val="nil"/>
              <w:bottom w:val="single" w:sz="4" w:space="0" w:color="auto"/>
              <w:right w:val="single" w:sz="4" w:space="0" w:color="auto"/>
            </w:tcBorders>
            <w:shd w:val="clear" w:color="auto" w:fill="auto"/>
            <w:noWrap/>
            <w:vAlign w:val="center"/>
            <w:hideMark/>
          </w:tcPr>
          <w:p w:rsidR="00B00A03" w:rsidRPr="00447C0F" w:rsidRDefault="00B00A03" w:rsidP="00685114">
            <w:pPr>
              <w:jc w:val="center"/>
              <w:rPr>
                <w:rFonts w:ascii="Times New Roman" w:eastAsia="Times New Roman" w:hAnsi="Times New Roman" w:cs="Times New Roman"/>
                <w:bCs/>
                <w:sz w:val="14"/>
                <w:szCs w:val="14"/>
              </w:rPr>
            </w:pPr>
            <w:r w:rsidRPr="00447C0F">
              <w:rPr>
                <w:rFonts w:ascii="Times New Roman" w:eastAsia="Times New Roman" w:hAnsi="Times New Roman" w:cs="Times New Roman"/>
                <w:bCs/>
                <w:sz w:val="14"/>
                <w:szCs w:val="14"/>
              </w:rPr>
              <w:t>n.s.</w:t>
            </w:r>
          </w:p>
        </w:tc>
        <w:tc>
          <w:tcPr>
            <w:tcW w:w="1890" w:type="dxa"/>
            <w:tcBorders>
              <w:top w:val="nil"/>
              <w:left w:val="nil"/>
              <w:bottom w:val="single" w:sz="4" w:space="0" w:color="auto"/>
              <w:right w:val="single" w:sz="4" w:space="0" w:color="auto"/>
            </w:tcBorders>
            <w:shd w:val="clear" w:color="auto" w:fill="auto"/>
            <w:noWrap/>
            <w:vAlign w:val="center"/>
            <w:hideMark/>
          </w:tcPr>
          <w:p w:rsidR="00B00A03" w:rsidRPr="00357F6D" w:rsidRDefault="00B00A03" w:rsidP="00685114">
            <w:pPr>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n.s.</w:t>
            </w:r>
          </w:p>
        </w:tc>
        <w:tc>
          <w:tcPr>
            <w:tcW w:w="1980" w:type="dxa"/>
            <w:tcBorders>
              <w:top w:val="nil"/>
              <w:left w:val="nil"/>
              <w:bottom w:val="single" w:sz="4" w:space="0" w:color="auto"/>
              <w:right w:val="single" w:sz="4" w:space="0" w:color="auto"/>
            </w:tcBorders>
            <w:shd w:val="clear" w:color="auto" w:fill="auto"/>
            <w:noWrap/>
            <w:vAlign w:val="center"/>
            <w:hideMark/>
          </w:tcPr>
          <w:p w:rsidR="00B00A03" w:rsidRPr="00357F6D" w:rsidRDefault="00B00A03" w:rsidP="00685114">
            <w:pPr>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n.s.</w:t>
            </w:r>
          </w:p>
        </w:tc>
      </w:tr>
    </w:tbl>
    <w:p w:rsidR="00B00A03" w:rsidRPr="00FA4577" w:rsidRDefault="00B00A03" w:rsidP="00B00A03">
      <w:pPr>
        <w:spacing w:after="0" w:line="240" w:lineRule="auto"/>
        <w:rPr>
          <w:rFonts w:ascii="Times New Roman" w:hAnsi="Times New Roman" w:cs="Times New Roman"/>
          <w:sz w:val="14"/>
          <w:szCs w:val="14"/>
        </w:rPr>
      </w:pPr>
      <w:r w:rsidRPr="00FA4577">
        <w:rPr>
          <w:rFonts w:ascii="Times New Roman" w:hAnsi="Times New Roman" w:cs="Times New Roman"/>
          <w:sz w:val="14"/>
          <w:szCs w:val="14"/>
        </w:rPr>
        <w:t>Different letters indicate significant differences (p&lt;0.0</w:t>
      </w:r>
      <w:r>
        <w:rPr>
          <w:rFonts w:ascii="Times New Roman" w:hAnsi="Times New Roman" w:cs="Times New Roman"/>
          <w:sz w:val="14"/>
          <w:szCs w:val="14"/>
        </w:rPr>
        <w:t>5</w:t>
      </w:r>
      <w:r w:rsidRPr="00FA4577">
        <w:rPr>
          <w:rFonts w:ascii="Times New Roman" w:hAnsi="Times New Roman" w:cs="Times New Roman"/>
          <w:sz w:val="14"/>
          <w:szCs w:val="14"/>
        </w:rPr>
        <w:t>) exist between means of the levels within each factor.</w:t>
      </w:r>
    </w:p>
    <w:p w:rsidR="00B00A03" w:rsidRDefault="00B00A03" w:rsidP="00B00A03">
      <w:pPr>
        <w:spacing w:after="0" w:line="240" w:lineRule="auto"/>
        <w:rPr>
          <w:rFonts w:ascii="Times New Roman" w:hAnsi="Times New Roman" w:cs="Times New Roman"/>
          <w:sz w:val="14"/>
          <w:szCs w:val="14"/>
        </w:rPr>
      </w:pPr>
      <w:proofErr w:type="gramStart"/>
      <w:r>
        <w:rPr>
          <w:rFonts w:ascii="Times New Roman" w:hAnsi="Times New Roman" w:cs="Times New Roman"/>
          <w:sz w:val="14"/>
          <w:szCs w:val="14"/>
        </w:rPr>
        <w:t>n.s</w:t>
      </w:r>
      <w:proofErr w:type="gramEnd"/>
      <w:r>
        <w:rPr>
          <w:rFonts w:ascii="Times New Roman" w:hAnsi="Times New Roman" w:cs="Times New Roman"/>
          <w:sz w:val="14"/>
          <w:szCs w:val="14"/>
        </w:rPr>
        <w:t>. and * correspond to non-significant (p&gt;0.05) and significant (p&lt;0.05) effects due to interaction of CaCl</w:t>
      </w:r>
      <w:r w:rsidRPr="00A70E27">
        <w:rPr>
          <w:rFonts w:ascii="Times New Roman" w:hAnsi="Times New Roman" w:cs="Times New Roman"/>
          <w:sz w:val="14"/>
          <w:szCs w:val="14"/>
          <w:vertAlign w:val="subscript"/>
        </w:rPr>
        <w:t>2</w:t>
      </w:r>
      <w:r>
        <w:rPr>
          <w:rFonts w:ascii="Times New Roman" w:hAnsi="Times New Roman" w:cs="Times New Roman"/>
          <w:sz w:val="14"/>
          <w:szCs w:val="14"/>
        </w:rPr>
        <w:t xml:space="preserve"> and flavonoid, respectively.</w:t>
      </w:r>
    </w:p>
    <w:p w:rsidR="00B00A03" w:rsidRPr="004F6575" w:rsidRDefault="00B00A03" w:rsidP="00B00A03">
      <w:pPr>
        <w:jc w:val="both"/>
        <w:rPr>
          <w:rFonts w:ascii="Times New Roman" w:hAnsi="Times New Roman" w:cs="Times New Roman"/>
          <w:sz w:val="10"/>
          <w:szCs w:val="10"/>
        </w:rPr>
      </w:pPr>
    </w:p>
    <w:p w:rsidR="00AA3EF2" w:rsidRDefault="00B00A03" w:rsidP="00AA3EF2">
      <w:pPr>
        <w:spacing w:after="0"/>
        <w:jc w:val="both"/>
        <w:rPr>
          <w:rFonts w:ascii="Times New Roman" w:hAnsi="Times New Roman" w:cs="Times New Roman"/>
          <w:b/>
          <w:sz w:val="24"/>
          <w:szCs w:val="24"/>
        </w:rPr>
      </w:pPr>
      <w:r w:rsidRPr="00153E32">
        <w:rPr>
          <w:rFonts w:ascii="Times New Roman" w:hAnsi="Times New Roman" w:cs="Times New Roman"/>
          <w:b/>
          <w:sz w:val="24"/>
          <w:szCs w:val="24"/>
        </w:rPr>
        <w:t>Table 5: Vitamin C and Pycnogenol concentration effect on a* values at the beginning and at the end of the storage</w:t>
      </w:r>
    </w:p>
    <w:tbl>
      <w:tblPr>
        <w:tblStyle w:val="TableGrid"/>
        <w:tblW w:w="8478" w:type="dxa"/>
        <w:tblLook w:val="04A0"/>
      </w:tblPr>
      <w:tblGrid>
        <w:gridCol w:w="2178"/>
        <w:gridCol w:w="885"/>
        <w:gridCol w:w="1620"/>
        <w:gridCol w:w="1890"/>
        <w:gridCol w:w="1980"/>
      </w:tblGrid>
      <w:tr w:rsidR="00AA3EF2" w:rsidRPr="007C476E" w:rsidTr="00685114">
        <w:trPr>
          <w:trHeight w:val="270"/>
        </w:trPr>
        <w:tc>
          <w:tcPr>
            <w:tcW w:w="2178" w:type="dxa"/>
            <w:noWrap/>
            <w:vAlign w:val="center"/>
            <w:hideMark/>
          </w:tcPr>
          <w:p w:rsidR="00AA3EF2" w:rsidRPr="007C476E" w:rsidRDefault="00AA3EF2" w:rsidP="00685114">
            <w:pPr>
              <w:jc w:val="center"/>
              <w:rPr>
                <w:rFonts w:ascii="Times New Roman" w:eastAsia="Times New Roman" w:hAnsi="Times New Roman"/>
                <w:b/>
                <w:bCs/>
                <w:sz w:val="14"/>
                <w:szCs w:val="14"/>
              </w:rPr>
            </w:pPr>
            <w:r w:rsidRPr="007C476E">
              <w:rPr>
                <w:rFonts w:ascii="Times New Roman" w:eastAsia="Times New Roman" w:hAnsi="Times New Roman"/>
                <w:b/>
                <w:bCs/>
                <w:sz w:val="14"/>
                <w:szCs w:val="14"/>
              </w:rPr>
              <w:t>Factor</w:t>
            </w:r>
          </w:p>
        </w:tc>
        <w:tc>
          <w:tcPr>
            <w:tcW w:w="810" w:type="dxa"/>
            <w:noWrap/>
            <w:vAlign w:val="center"/>
            <w:hideMark/>
          </w:tcPr>
          <w:p w:rsidR="00AA3EF2" w:rsidRPr="007C476E" w:rsidRDefault="00AA3EF2" w:rsidP="00685114">
            <w:pPr>
              <w:jc w:val="center"/>
              <w:rPr>
                <w:rFonts w:ascii="Times New Roman" w:eastAsia="Times New Roman" w:hAnsi="Times New Roman"/>
                <w:b/>
                <w:bCs/>
                <w:sz w:val="14"/>
                <w:szCs w:val="14"/>
              </w:rPr>
            </w:pPr>
            <w:r w:rsidRPr="007C476E">
              <w:rPr>
                <w:rFonts w:ascii="Times New Roman" w:eastAsia="Times New Roman" w:hAnsi="Times New Roman"/>
                <w:b/>
                <w:bCs/>
                <w:sz w:val="14"/>
                <w:szCs w:val="14"/>
              </w:rPr>
              <w:t>Levels</w:t>
            </w:r>
          </w:p>
        </w:tc>
        <w:tc>
          <w:tcPr>
            <w:tcW w:w="1620" w:type="dxa"/>
            <w:noWrap/>
            <w:vAlign w:val="center"/>
            <w:hideMark/>
          </w:tcPr>
          <w:p w:rsidR="00AA3EF2" w:rsidRPr="007C476E" w:rsidRDefault="00AA3EF2" w:rsidP="00685114">
            <w:pPr>
              <w:jc w:val="center"/>
              <w:rPr>
                <w:rFonts w:ascii="Times New Roman" w:eastAsia="Times New Roman" w:hAnsi="Times New Roman"/>
                <w:b/>
                <w:bCs/>
                <w:sz w:val="14"/>
                <w:szCs w:val="14"/>
              </w:rPr>
            </w:pPr>
            <w:r w:rsidRPr="007C476E">
              <w:rPr>
                <w:rFonts w:ascii="Times New Roman" w:eastAsia="Times New Roman" w:hAnsi="Times New Roman"/>
                <w:b/>
                <w:bCs/>
                <w:sz w:val="14"/>
                <w:szCs w:val="14"/>
              </w:rPr>
              <w:t>Day 0</w:t>
            </w:r>
          </w:p>
        </w:tc>
        <w:tc>
          <w:tcPr>
            <w:tcW w:w="1890" w:type="dxa"/>
            <w:noWrap/>
            <w:vAlign w:val="center"/>
            <w:hideMark/>
          </w:tcPr>
          <w:p w:rsidR="00AA3EF2" w:rsidRPr="007C476E" w:rsidRDefault="00AA3EF2" w:rsidP="00685114">
            <w:pPr>
              <w:jc w:val="center"/>
              <w:rPr>
                <w:rFonts w:ascii="Times New Roman" w:eastAsia="Times New Roman" w:hAnsi="Times New Roman"/>
                <w:b/>
                <w:bCs/>
                <w:sz w:val="14"/>
                <w:szCs w:val="14"/>
              </w:rPr>
            </w:pPr>
            <w:r w:rsidRPr="007C476E">
              <w:rPr>
                <w:rFonts w:ascii="Times New Roman" w:eastAsia="Times New Roman" w:hAnsi="Times New Roman"/>
                <w:b/>
                <w:bCs/>
                <w:sz w:val="14"/>
                <w:szCs w:val="14"/>
              </w:rPr>
              <w:t>Day 42 (Storage at 51</w:t>
            </w:r>
            <w:r w:rsidR="008858A7">
              <w:rPr>
                <w:rFonts w:ascii="Times New Roman" w:eastAsia="Times New Roman" w:hAnsi="Times New Roman"/>
                <w:b/>
                <w:bCs/>
                <w:sz w:val="14"/>
                <w:szCs w:val="14"/>
              </w:rPr>
              <w:t>°</w:t>
            </w:r>
            <w:r w:rsidRPr="007C476E">
              <w:rPr>
                <w:rFonts w:ascii="Times New Roman" w:eastAsia="Times New Roman" w:hAnsi="Times New Roman"/>
                <w:b/>
                <w:bCs/>
                <w:sz w:val="14"/>
                <w:szCs w:val="14"/>
              </w:rPr>
              <w:t>C)</w:t>
            </w:r>
          </w:p>
        </w:tc>
        <w:tc>
          <w:tcPr>
            <w:tcW w:w="1980" w:type="dxa"/>
            <w:noWrap/>
            <w:vAlign w:val="center"/>
            <w:hideMark/>
          </w:tcPr>
          <w:p w:rsidR="00AA3EF2" w:rsidRPr="007C476E" w:rsidRDefault="00AA3EF2" w:rsidP="00685114">
            <w:pPr>
              <w:jc w:val="center"/>
              <w:rPr>
                <w:rFonts w:ascii="Times New Roman" w:eastAsia="Times New Roman" w:hAnsi="Times New Roman"/>
                <w:b/>
                <w:bCs/>
                <w:sz w:val="14"/>
                <w:szCs w:val="14"/>
              </w:rPr>
            </w:pPr>
            <w:r w:rsidRPr="007C476E">
              <w:rPr>
                <w:rFonts w:ascii="Times New Roman" w:eastAsia="Times New Roman" w:hAnsi="Times New Roman"/>
                <w:b/>
                <w:bCs/>
                <w:sz w:val="14"/>
                <w:szCs w:val="14"/>
              </w:rPr>
              <w:t>Day 84 (Storage at 40</w:t>
            </w:r>
            <w:r w:rsidR="008858A7">
              <w:rPr>
                <w:rFonts w:ascii="Times New Roman" w:eastAsia="Times New Roman" w:hAnsi="Times New Roman"/>
                <w:b/>
                <w:bCs/>
                <w:sz w:val="14"/>
                <w:szCs w:val="14"/>
              </w:rPr>
              <w:t>°</w:t>
            </w:r>
            <w:r w:rsidRPr="007C476E">
              <w:rPr>
                <w:rFonts w:ascii="Times New Roman" w:eastAsia="Times New Roman" w:hAnsi="Times New Roman"/>
                <w:b/>
                <w:bCs/>
                <w:sz w:val="14"/>
                <w:szCs w:val="14"/>
              </w:rPr>
              <w:t>C)</w:t>
            </w:r>
          </w:p>
        </w:tc>
      </w:tr>
      <w:tr w:rsidR="00AA3EF2" w:rsidRPr="007C476E" w:rsidTr="00685114">
        <w:trPr>
          <w:trHeight w:val="270"/>
        </w:trPr>
        <w:tc>
          <w:tcPr>
            <w:tcW w:w="2178" w:type="dxa"/>
            <w:vMerge w:val="restart"/>
            <w:noWrap/>
            <w:vAlign w:val="center"/>
            <w:hideMark/>
          </w:tcPr>
          <w:p w:rsidR="00AA3EF2" w:rsidRPr="007C476E" w:rsidRDefault="00AA3EF2" w:rsidP="00685114">
            <w:pPr>
              <w:rPr>
                <w:rFonts w:ascii="Times New Roman" w:eastAsia="Times New Roman" w:hAnsi="Times New Roman"/>
                <w:b/>
                <w:bCs/>
                <w:sz w:val="14"/>
                <w:szCs w:val="14"/>
              </w:rPr>
            </w:pPr>
            <w:r w:rsidRPr="007C476E">
              <w:rPr>
                <w:rFonts w:ascii="Times New Roman" w:eastAsia="Times New Roman" w:hAnsi="Times New Roman"/>
                <w:b/>
                <w:bCs/>
                <w:sz w:val="14"/>
                <w:szCs w:val="14"/>
              </w:rPr>
              <w:t>Vitamin C</w:t>
            </w:r>
          </w:p>
        </w:tc>
        <w:tc>
          <w:tcPr>
            <w:tcW w:w="810" w:type="dxa"/>
            <w:noWrap/>
            <w:vAlign w:val="center"/>
            <w:hideMark/>
          </w:tcPr>
          <w:p w:rsidR="00AA3EF2" w:rsidRPr="007C476E" w:rsidRDefault="00AA3EF2" w:rsidP="00685114">
            <w:pPr>
              <w:jc w:val="center"/>
              <w:rPr>
                <w:rFonts w:ascii="Times New Roman" w:eastAsia="Times New Roman" w:hAnsi="Times New Roman"/>
                <w:b/>
                <w:bCs/>
                <w:sz w:val="14"/>
                <w:szCs w:val="14"/>
              </w:rPr>
            </w:pPr>
            <w:r w:rsidRPr="007C476E">
              <w:rPr>
                <w:rFonts w:ascii="Times New Roman" w:eastAsia="Times New Roman" w:hAnsi="Times New Roman"/>
                <w:b/>
                <w:bCs/>
                <w:sz w:val="14"/>
                <w:szCs w:val="14"/>
              </w:rPr>
              <w:t>A</w:t>
            </w:r>
            <w:r>
              <w:rPr>
                <w:rFonts w:ascii="Times New Roman" w:eastAsia="Times New Roman" w:hAnsi="Times New Roman"/>
                <w:b/>
                <w:bCs/>
                <w:sz w:val="14"/>
                <w:szCs w:val="14"/>
              </w:rPr>
              <w:t>2P</w:t>
            </w:r>
          </w:p>
        </w:tc>
        <w:tc>
          <w:tcPr>
            <w:tcW w:w="1620" w:type="dxa"/>
            <w:noWrap/>
            <w:vAlign w:val="center"/>
            <w:hideMark/>
          </w:tcPr>
          <w:p w:rsidR="00AA3EF2" w:rsidRPr="007C476E" w:rsidRDefault="00AA3EF2" w:rsidP="00685114">
            <w:pPr>
              <w:jc w:val="center"/>
              <w:rPr>
                <w:rFonts w:ascii="Times New Roman" w:eastAsia="Times New Roman" w:hAnsi="Times New Roman"/>
                <w:sz w:val="14"/>
                <w:szCs w:val="14"/>
              </w:rPr>
            </w:pPr>
            <w:r w:rsidRPr="007C476E">
              <w:rPr>
                <w:rFonts w:ascii="Times New Roman" w:eastAsia="Times New Roman" w:hAnsi="Times New Roman"/>
                <w:sz w:val="14"/>
                <w:szCs w:val="14"/>
              </w:rPr>
              <w:t>-0.57</w:t>
            </w:r>
            <w:r w:rsidRPr="007C476E">
              <w:rPr>
                <w:rFonts w:ascii="Times New Roman" w:eastAsia="Times New Roman" w:hAnsi="Times New Roman"/>
                <w:sz w:val="14"/>
                <w:szCs w:val="14"/>
                <w:vertAlign w:val="superscript"/>
              </w:rPr>
              <w:t>a</w:t>
            </w:r>
          </w:p>
        </w:tc>
        <w:tc>
          <w:tcPr>
            <w:tcW w:w="1890" w:type="dxa"/>
            <w:noWrap/>
            <w:vAlign w:val="center"/>
            <w:hideMark/>
          </w:tcPr>
          <w:p w:rsidR="00AA3EF2" w:rsidRPr="007C476E" w:rsidRDefault="00AA3EF2" w:rsidP="00685114">
            <w:pPr>
              <w:jc w:val="center"/>
              <w:rPr>
                <w:rFonts w:ascii="Times New Roman" w:eastAsia="Times New Roman" w:hAnsi="Times New Roman"/>
                <w:sz w:val="14"/>
                <w:szCs w:val="14"/>
              </w:rPr>
            </w:pPr>
            <w:r w:rsidRPr="007C476E">
              <w:rPr>
                <w:rFonts w:ascii="Times New Roman" w:eastAsia="Times New Roman" w:hAnsi="Times New Roman"/>
                <w:sz w:val="14"/>
                <w:szCs w:val="14"/>
              </w:rPr>
              <w:t>7.10</w:t>
            </w:r>
            <w:r w:rsidRPr="007C476E">
              <w:rPr>
                <w:rFonts w:ascii="Times New Roman" w:eastAsia="Times New Roman" w:hAnsi="Times New Roman"/>
                <w:sz w:val="14"/>
                <w:szCs w:val="14"/>
                <w:vertAlign w:val="superscript"/>
              </w:rPr>
              <w:t>a</w:t>
            </w:r>
          </w:p>
        </w:tc>
        <w:tc>
          <w:tcPr>
            <w:tcW w:w="1980" w:type="dxa"/>
            <w:noWrap/>
            <w:vAlign w:val="center"/>
            <w:hideMark/>
          </w:tcPr>
          <w:p w:rsidR="00AA3EF2" w:rsidRPr="007C476E" w:rsidRDefault="00AA3EF2" w:rsidP="00685114">
            <w:pPr>
              <w:jc w:val="center"/>
              <w:rPr>
                <w:rFonts w:ascii="Times New Roman" w:hAnsi="Times New Roman"/>
                <w:sz w:val="14"/>
                <w:szCs w:val="14"/>
              </w:rPr>
            </w:pPr>
            <w:r w:rsidRPr="007C476E">
              <w:rPr>
                <w:rFonts w:ascii="Times New Roman" w:hAnsi="Times New Roman"/>
                <w:sz w:val="14"/>
                <w:szCs w:val="14"/>
              </w:rPr>
              <w:t>2.37</w:t>
            </w:r>
            <w:r w:rsidRPr="007C476E">
              <w:rPr>
                <w:rFonts w:ascii="Times New Roman" w:hAnsi="Times New Roman"/>
                <w:sz w:val="14"/>
                <w:szCs w:val="14"/>
                <w:vertAlign w:val="superscript"/>
              </w:rPr>
              <w:t>a</w:t>
            </w:r>
          </w:p>
        </w:tc>
      </w:tr>
      <w:tr w:rsidR="00AA3EF2" w:rsidRPr="007C476E" w:rsidTr="00685114">
        <w:trPr>
          <w:trHeight w:val="270"/>
        </w:trPr>
        <w:tc>
          <w:tcPr>
            <w:tcW w:w="2178" w:type="dxa"/>
            <w:vMerge/>
            <w:vAlign w:val="center"/>
            <w:hideMark/>
          </w:tcPr>
          <w:p w:rsidR="00AA3EF2" w:rsidRPr="007C476E" w:rsidRDefault="00AA3EF2" w:rsidP="00685114">
            <w:pPr>
              <w:rPr>
                <w:rFonts w:ascii="Times New Roman" w:eastAsia="Times New Roman" w:hAnsi="Times New Roman"/>
                <w:b/>
                <w:bCs/>
                <w:sz w:val="14"/>
                <w:szCs w:val="14"/>
              </w:rPr>
            </w:pPr>
          </w:p>
        </w:tc>
        <w:tc>
          <w:tcPr>
            <w:tcW w:w="810" w:type="dxa"/>
            <w:noWrap/>
            <w:vAlign w:val="center"/>
            <w:hideMark/>
          </w:tcPr>
          <w:p w:rsidR="00AA3EF2" w:rsidRPr="007C476E" w:rsidRDefault="00AA3EF2" w:rsidP="00685114">
            <w:pPr>
              <w:jc w:val="center"/>
              <w:rPr>
                <w:rFonts w:ascii="Times New Roman" w:eastAsia="Times New Roman" w:hAnsi="Times New Roman"/>
                <w:b/>
                <w:bCs/>
                <w:sz w:val="14"/>
                <w:szCs w:val="14"/>
              </w:rPr>
            </w:pPr>
            <w:r>
              <w:rPr>
                <w:rFonts w:ascii="Times New Roman" w:eastAsia="Times New Roman" w:hAnsi="Times New Roman"/>
                <w:b/>
                <w:bCs/>
                <w:sz w:val="14"/>
                <w:szCs w:val="14"/>
              </w:rPr>
              <w:t>AA</w:t>
            </w:r>
          </w:p>
        </w:tc>
        <w:tc>
          <w:tcPr>
            <w:tcW w:w="1620" w:type="dxa"/>
            <w:noWrap/>
            <w:vAlign w:val="center"/>
            <w:hideMark/>
          </w:tcPr>
          <w:p w:rsidR="00AA3EF2" w:rsidRPr="007C476E" w:rsidRDefault="00AA3EF2" w:rsidP="00685114">
            <w:pPr>
              <w:jc w:val="center"/>
              <w:rPr>
                <w:rFonts w:ascii="Times New Roman" w:eastAsia="Times New Roman" w:hAnsi="Times New Roman"/>
                <w:sz w:val="14"/>
                <w:szCs w:val="14"/>
              </w:rPr>
            </w:pPr>
            <w:r w:rsidRPr="007C476E">
              <w:rPr>
                <w:rFonts w:ascii="Times New Roman" w:eastAsia="Times New Roman" w:hAnsi="Times New Roman"/>
                <w:sz w:val="14"/>
                <w:szCs w:val="14"/>
              </w:rPr>
              <w:t>-1.54</w:t>
            </w:r>
            <w:r w:rsidRPr="007C476E">
              <w:rPr>
                <w:rFonts w:ascii="Times New Roman" w:eastAsia="Times New Roman" w:hAnsi="Times New Roman"/>
                <w:sz w:val="14"/>
                <w:szCs w:val="14"/>
                <w:vertAlign w:val="superscript"/>
              </w:rPr>
              <w:t>b</w:t>
            </w:r>
          </w:p>
        </w:tc>
        <w:tc>
          <w:tcPr>
            <w:tcW w:w="1890" w:type="dxa"/>
            <w:noWrap/>
            <w:vAlign w:val="center"/>
            <w:hideMark/>
          </w:tcPr>
          <w:p w:rsidR="00AA3EF2" w:rsidRPr="007C476E" w:rsidRDefault="00AA3EF2" w:rsidP="00685114">
            <w:pPr>
              <w:jc w:val="center"/>
              <w:rPr>
                <w:rFonts w:ascii="Times New Roman" w:eastAsia="Times New Roman" w:hAnsi="Times New Roman"/>
                <w:sz w:val="14"/>
                <w:szCs w:val="14"/>
              </w:rPr>
            </w:pPr>
            <w:r w:rsidRPr="007C476E">
              <w:rPr>
                <w:rFonts w:ascii="Times New Roman" w:eastAsia="Times New Roman" w:hAnsi="Times New Roman"/>
                <w:sz w:val="14"/>
                <w:szCs w:val="14"/>
              </w:rPr>
              <w:t>7.19</w:t>
            </w:r>
            <w:r w:rsidRPr="007C476E">
              <w:rPr>
                <w:rFonts w:ascii="Times New Roman" w:eastAsia="Times New Roman" w:hAnsi="Times New Roman"/>
                <w:sz w:val="14"/>
                <w:szCs w:val="14"/>
                <w:vertAlign w:val="superscript"/>
              </w:rPr>
              <w:t>a</w:t>
            </w:r>
          </w:p>
        </w:tc>
        <w:tc>
          <w:tcPr>
            <w:tcW w:w="1980" w:type="dxa"/>
            <w:noWrap/>
            <w:vAlign w:val="center"/>
            <w:hideMark/>
          </w:tcPr>
          <w:p w:rsidR="00AA3EF2" w:rsidRPr="007C476E" w:rsidRDefault="00AA3EF2" w:rsidP="00685114">
            <w:pPr>
              <w:jc w:val="center"/>
              <w:rPr>
                <w:rFonts w:ascii="Times New Roman" w:hAnsi="Times New Roman"/>
                <w:sz w:val="14"/>
                <w:szCs w:val="14"/>
              </w:rPr>
            </w:pPr>
            <w:r w:rsidRPr="007C476E">
              <w:rPr>
                <w:rFonts w:ascii="Times New Roman" w:hAnsi="Times New Roman"/>
                <w:sz w:val="14"/>
                <w:szCs w:val="14"/>
              </w:rPr>
              <w:t>2.79</w:t>
            </w:r>
            <w:r w:rsidRPr="007C476E">
              <w:rPr>
                <w:rFonts w:ascii="Times New Roman" w:hAnsi="Times New Roman"/>
                <w:sz w:val="14"/>
                <w:szCs w:val="14"/>
                <w:vertAlign w:val="superscript"/>
              </w:rPr>
              <w:t>a</w:t>
            </w:r>
          </w:p>
        </w:tc>
      </w:tr>
      <w:tr w:rsidR="00AA3EF2" w:rsidRPr="007C476E" w:rsidTr="00685114">
        <w:trPr>
          <w:trHeight w:val="270"/>
        </w:trPr>
        <w:tc>
          <w:tcPr>
            <w:tcW w:w="2178" w:type="dxa"/>
            <w:vMerge w:val="restart"/>
            <w:noWrap/>
            <w:vAlign w:val="center"/>
            <w:hideMark/>
          </w:tcPr>
          <w:p w:rsidR="00AA3EF2" w:rsidRPr="007C476E" w:rsidRDefault="00AA3EF2" w:rsidP="00685114">
            <w:pPr>
              <w:rPr>
                <w:rFonts w:ascii="Times New Roman" w:eastAsia="Times New Roman" w:hAnsi="Times New Roman"/>
                <w:b/>
                <w:bCs/>
                <w:sz w:val="14"/>
                <w:szCs w:val="14"/>
              </w:rPr>
            </w:pPr>
            <w:r w:rsidRPr="007C476E">
              <w:rPr>
                <w:rFonts w:ascii="Times New Roman" w:eastAsia="Times New Roman" w:hAnsi="Times New Roman"/>
                <w:b/>
                <w:bCs/>
                <w:sz w:val="14"/>
                <w:szCs w:val="14"/>
              </w:rPr>
              <w:t>Pycnogel concentration</w:t>
            </w:r>
          </w:p>
        </w:tc>
        <w:tc>
          <w:tcPr>
            <w:tcW w:w="810" w:type="dxa"/>
            <w:noWrap/>
            <w:vAlign w:val="center"/>
            <w:hideMark/>
          </w:tcPr>
          <w:p w:rsidR="00AA3EF2" w:rsidRPr="007C476E" w:rsidRDefault="00AA3EF2" w:rsidP="00685114">
            <w:pPr>
              <w:jc w:val="center"/>
              <w:rPr>
                <w:rFonts w:ascii="Times New Roman" w:eastAsia="Times New Roman" w:hAnsi="Times New Roman"/>
                <w:b/>
                <w:bCs/>
                <w:sz w:val="14"/>
                <w:szCs w:val="14"/>
              </w:rPr>
            </w:pPr>
            <w:r w:rsidRPr="007C476E">
              <w:rPr>
                <w:rFonts w:ascii="Times New Roman" w:eastAsia="Times New Roman" w:hAnsi="Times New Roman"/>
                <w:b/>
                <w:bCs/>
                <w:sz w:val="14"/>
                <w:szCs w:val="14"/>
              </w:rPr>
              <w:t>0%</w:t>
            </w:r>
          </w:p>
        </w:tc>
        <w:tc>
          <w:tcPr>
            <w:tcW w:w="1620" w:type="dxa"/>
            <w:noWrap/>
            <w:vAlign w:val="center"/>
            <w:hideMark/>
          </w:tcPr>
          <w:p w:rsidR="00AA3EF2" w:rsidRPr="007C476E" w:rsidRDefault="00AA3EF2" w:rsidP="00685114">
            <w:pPr>
              <w:jc w:val="center"/>
              <w:rPr>
                <w:rFonts w:ascii="Times New Roman" w:eastAsia="Times New Roman" w:hAnsi="Times New Roman"/>
                <w:sz w:val="14"/>
                <w:szCs w:val="14"/>
              </w:rPr>
            </w:pPr>
            <w:r w:rsidRPr="007C476E">
              <w:rPr>
                <w:rFonts w:ascii="Times New Roman" w:eastAsia="Times New Roman" w:hAnsi="Times New Roman"/>
                <w:sz w:val="14"/>
                <w:szCs w:val="14"/>
              </w:rPr>
              <w:t>-2.</w:t>
            </w:r>
            <w:r>
              <w:rPr>
                <w:rFonts w:ascii="Times New Roman" w:eastAsia="Times New Roman" w:hAnsi="Times New Roman"/>
                <w:sz w:val="14"/>
                <w:szCs w:val="14"/>
              </w:rPr>
              <w:t>18</w:t>
            </w:r>
            <w:r w:rsidRPr="007C476E">
              <w:rPr>
                <w:rFonts w:ascii="Times New Roman" w:eastAsia="Times New Roman" w:hAnsi="Times New Roman"/>
                <w:sz w:val="14"/>
                <w:szCs w:val="14"/>
                <w:vertAlign w:val="superscript"/>
              </w:rPr>
              <w:t>b</w:t>
            </w:r>
          </w:p>
        </w:tc>
        <w:tc>
          <w:tcPr>
            <w:tcW w:w="1890" w:type="dxa"/>
            <w:noWrap/>
            <w:vAlign w:val="center"/>
            <w:hideMark/>
          </w:tcPr>
          <w:p w:rsidR="00AA3EF2" w:rsidRPr="007C476E" w:rsidRDefault="00AA3EF2" w:rsidP="00685114">
            <w:pPr>
              <w:jc w:val="center"/>
              <w:rPr>
                <w:rFonts w:ascii="Times New Roman" w:eastAsia="Times New Roman" w:hAnsi="Times New Roman"/>
                <w:sz w:val="14"/>
                <w:szCs w:val="14"/>
              </w:rPr>
            </w:pPr>
            <w:r w:rsidRPr="007C476E">
              <w:rPr>
                <w:rFonts w:ascii="Times New Roman" w:eastAsia="Times New Roman" w:hAnsi="Times New Roman"/>
                <w:sz w:val="14"/>
                <w:szCs w:val="14"/>
              </w:rPr>
              <w:t>6.70</w:t>
            </w:r>
            <w:r w:rsidRPr="007C476E">
              <w:rPr>
                <w:rFonts w:ascii="Times New Roman" w:eastAsia="Times New Roman" w:hAnsi="Times New Roman"/>
                <w:sz w:val="14"/>
                <w:szCs w:val="14"/>
                <w:vertAlign w:val="superscript"/>
              </w:rPr>
              <w:t>b</w:t>
            </w:r>
          </w:p>
        </w:tc>
        <w:tc>
          <w:tcPr>
            <w:tcW w:w="1980" w:type="dxa"/>
            <w:noWrap/>
            <w:vAlign w:val="center"/>
            <w:hideMark/>
          </w:tcPr>
          <w:p w:rsidR="00AA3EF2" w:rsidRPr="007C476E" w:rsidRDefault="00AA3EF2" w:rsidP="00685114">
            <w:pPr>
              <w:jc w:val="center"/>
              <w:rPr>
                <w:rFonts w:ascii="Times New Roman" w:hAnsi="Times New Roman"/>
                <w:sz w:val="14"/>
                <w:szCs w:val="14"/>
              </w:rPr>
            </w:pPr>
            <w:r w:rsidRPr="007C476E">
              <w:rPr>
                <w:rFonts w:ascii="Times New Roman" w:hAnsi="Times New Roman"/>
                <w:sz w:val="14"/>
                <w:szCs w:val="14"/>
              </w:rPr>
              <w:t>30.73</w:t>
            </w:r>
            <w:r w:rsidRPr="007C476E">
              <w:rPr>
                <w:rFonts w:ascii="Times New Roman" w:hAnsi="Times New Roman"/>
                <w:sz w:val="14"/>
                <w:szCs w:val="14"/>
                <w:vertAlign w:val="superscript"/>
              </w:rPr>
              <w:t>a</w:t>
            </w:r>
          </w:p>
        </w:tc>
      </w:tr>
      <w:tr w:rsidR="00AA3EF2" w:rsidRPr="007C476E" w:rsidTr="00685114">
        <w:trPr>
          <w:trHeight w:val="270"/>
        </w:trPr>
        <w:tc>
          <w:tcPr>
            <w:tcW w:w="2178" w:type="dxa"/>
            <w:vMerge/>
            <w:vAlign w:val="center"/>
            <w:hideMark/>
          </w:tcPr>
          <w:p w:rsidR="00AA3EF2" w:rsidRPr="007C476E" w:rsidRDefault="00AA3EF2" w:rsidP="00685114">
            <w:pPr>
              <w:rPr>
                <w:rFonts w:ascii="Times New Roman" w:eastAsia="Times New Roman" w:hAnsi="Times New Roman"/>
                <w:b/>
                <w:bCs/>
                <w:sz w:val="14"/>
                <w:szCs w:val="14"/>
              </w:rPr>
            </w:pPr>
          </w:p>
        </w:tc>
        <w:tc>
          <w:tcPr>
            <w:tcW w:w="810" w:type="dxa"/>
            <w:noWrap/>
            <w:vAlign w:val="center"/>
            <w:hideMark/>
          </w:tcPr>
          <w:p w:rsidR="00AA3EF2" w:rsidRPr="007C476E" w:rsidRDefault="00AA3EF2" w:rsidP="00685114">
            <w:pPr>
              <w:jc w:val="center"/>
              <w:rPr>
                <w:rFonts w:ascii="Times New Roman" w:eastAsia="Times New Roman" w:hAnsi="Times New Roman"/>
                <w:b/>
                <w:bCs/>
                <w:sz w:val="14"/>
                <w:szCs w:val="14"/>
              </w:rPr>
            </w:pPr>
            <w:r w:rsidRPr="007C476E">
              <w:rPr>
                <w:rFonts w:ascii="Times New Roman" w:eastAsia="Times New Roman" w:hAnsi="Times New Roman"/>
                <w:b/>
                <w:bCs/>
                <w:sz w:val="14"/>
                <w:szCs w:val="14"/>
              </w:rPr>
              <w:t>0.01%</w:t>
            </w:r>
          </w:p>
        </w:tc>
        <w:tc>
          <w:tcPr>
            <w:tcW w:w="1620" w:type="dxa"/>
            <w:noWrap/>
            <w:vAlign w:val="center"/>
            <w:hideMark/>
          </w:tcPr>
          <w:p w:rsidR="00AA3EF2" w:rsidRPr="007C476E" w:rsidRDefault="00AA3EF2" w:rsidP="00685114">
            <w:pPr>
              <w:jc w:val="center"/>
              <w:rPr>
                <w:rFonts w:ascii="Times New Roman" w:eastAsia="Times New Roman" w:hAnsi="Times New Roman"/>
                <w:sz w:val="14"/>
                <w:szCs w:val="14"/>
              </w:rPr>
            </w:pPr>
            <w:r>
              <w:rPr>
                <w:rFonts w:ascii="Times New Roman" w:eastAsia="Times New Roman" w:hAnsi="Times New Roman"/>
                <w:sz w:val="14"/>
                <w:szCs w:val="14"/>
              </w:rPr>
              <w:t>-2.03</w:t>
            </w:r>
            <w:r w:rsidRPr="007C476E">
              <w:rPr>
                <w:rFonts w:ascii="Times New Roman" w:eastAsia="Times New Roman" w:hAnsi="Times New Roman"/>
                <w:sz w:val="14"/>
                <w:szCs w:val="14"/>
                <w:vertAlign w:val="superscript"/>
              </w:rPr>
              <w:t>b</w:t>
            </w:r>
          </w:p>
        </w:tc>
        <w:tc>
          <w:tcPr>
            <w:tcW w:w="1890" w:type="dxa"/>
            <w:noWrap/>
            <w:vAlign w:val="center"/>
            <w:hideMark/>
          </w:tcPr>
          <w:p w:rsidR="00AA3EF2" w:rsidRPr="007C476E" w:rsidRDefault="00AA3EF2" w:rsidP="00685114">
            <w:pPr>
              <w:jc w:val="center"/>
              <w:rPr>
                <w:rFonts w:ascii="Times New Roman" w:eastAsia="Times New Roman" w:hAnsi="Times New Roman"/>
                <w:sz w:val="14"/>
                <w:szCs w:val="14"/>
              </w:rPr>
            </w:pPr>
            <w:r w:rsidRPr="007C476E">
              <w:rPr>
                <w:rFonts w:ascii="Times New Roman" w:eastAsia="Times New Roman" w:hAnsi="Times New Roman"/>
                <w:sz w:val="14"/>
                <w:szCs w:val="14"/>
              </w:rPr>
              <w:t>6.59</w:t>
            </w:r>
            <w:r w:rsidRPr="007C476E">
              <w:rPr>
                <w:rFonts w:ascii="Times New Roman" w:eastAsia="Times New Roman" w:hAnsi="Times New Roman"/>
                <w:sz w:val="14"/>
                <w:szCs w:val="14"/>
                <w:vertAlign w:val="superscript"/>
              </w:rPr>
              <w:t>b</w:t>
            </w:r>
          </w:p>
        </w:tc>
        <w:tc>
          <w:tcPr>
            <w:tcW w:w="1980" w:type="dxa"/>
            <w:noWrap/>
            <w:vAlign w:val="center"/>
            <w:hideMark/>
          </w:tcPr>
          <w:p w:rsidR="00AA3EF2" w:rsidRPr="007C476E" w:rsidRDefault="00AA3EF2" w:rsidP="00685114">
            <w:pPr>
              <w:jc w:val="center"/>
              <w:rPr>
                <w:rFonts w:ascii="Times New Roman" w:hAnsi="Times New Roman"/>
                <w:sz w:val="14"/>
                <w:szCs w:val="14"/>
              </w:rPr>
            </w:pPr>
            <w:r w:rsidRPr="007C476E">
              <w:rPr>
                <w:rFonts w:ascii="Times New Roman" w:hAnsi="Times New Roman"/>
                <w:sz w:val="14"/>
                <w:szCs w:val="14"/>
              </w:rPr>
              <w:t>28.11</w:t>
            </w:r>
            <w:r w:rsidRPr="007C476E">
              <w:rPr>
                <w:rFonts w:ascii="Times New Roman" w:hAnsi="Times New Roman"/>
                <w:sz w:val="14"/>
                <w:szCs w:val="14"/>
                <w:vertAlign w:val="superscript"/>
              </w:rPr>
              <w:t>b</w:t>
            </w:r>
          </w:p>
        </w:tc>
      </w:tr>
      <w:tr w:rsidR="00AA3EF2" w:rsidRPr="007C476E" w:rsidTr="00685114">
        <w:trPr>
          <w:trHeight w:val="270"/>
        </w:trPr>
        <w:tc>
          <w:tcPr>
            <w:tcW w:w="2178" w:type="dxa"/>
            <w:vMerge/>
            <w:vAlign w:val="center"/>
            <w:hideMark/>
          </w:tcPr>
          <w:p w:rsidR="00AA3EF2" w:rsidRPr="007C476E" w:rsidRDefault="00AA3EF2" w:rsidP="00685114">
            <w:pPr>
              <w:rPr>
                <w:rFonts w:ascii="Times New Roman" w:eastAsia="Times New Roman" w:hAnsi="Times New Roman"/>
                <w:b/>
                <w:bCs/>
                <w:sz w:val="14"/>
                <w:szCs w:val="14"/>
              </w:rPr>
            </w:pPr>
          </w:p>
        </w:tc>
        <w:tc>
          <w:tcPr>
            <w:tcW w:w="810" w:type="dxa"/>
            <w:noWrap/>
            <w:vAlign w:val="center"/>
            <w:hideMark/>
          </w:tcPr>
          <w:p w:rsidR="00AA3EF2" w:rsidRPr="007C476E" w:rsidRDefault="00AA3EF2" w:rsidP="00685114">
            <w:pPr>
              <w:jc w:val="center"/>
              <w:rPr>
                <w:rFonts w:ascii="Times New Roman" w:eastAsia="Times New Roman" w:hAnsi="Times New Roman"/>
                <w:b/>
                <w:bCs/>
                <w:sz w:val="14"/>
                <w:szCs w:val="14"/>
              </w:rPr>
            </w:pPr>
            <w:r w:rsidRPr="007C476E">
              <w:rPr>
                <w:rFonts w:ascii="Times New Roman" w:eastAsia="Times New Roman" w:hAnsi="Times New Roman"/>
                <w:b/>
                <w:bCs/>
                <w:sz w:val="14"/>
                <w:szCs w:val="14"/>
              </w:rPr>
              <w:t>0.10%</w:t>
            </w:r>
          </w:p>
        </w:tc>
        <w:tc>
          <w:tcPr>
            <w:tcW w:w="1620" w:type="dxa"/>
            <w:noWrap/>
            <w:vAlign w:val="center"/>
            <w:hideMark/>
          </w:tcPr>
          <w:p w:rsidR="00AA3EF2" w:rsidRPr="007C476E" w:rsidRDefault="00AA3EF2" w:rsidP="00685114">
            <w:pPr>
              <w:jc w:val="center"/>
              <w:rPr>
                <w:rFonts w:ascii="Times New Roman" w:eastAsia="Times New Roman" w:hAnsi="Times New Roman"/>
                <w:sz w:val="14"/>
                <w:szCs w:val="14"/>
              </w:rPr>
            </w:pPr>
            <w:r>
              <w:rPr>
                <w:rFonts w:ascii="Times New Roman" w:eastAsia="Times New Roman" w:hAnsi="Times New Roman"/>
                <w:sz w:val="14"/>
                <w:szCs w:val="14"/>
              </w:rPr>
              <w:t>1.04</w:t>
            </w:r>
            <w:r w:rsidRPr="007C476E">
              <w:rPr>
                <w:rFonts w:ascii="Times New Roman" w:eastAsia="Times New Roman" w:hAnsi="Times New Roman"/>
                <w:sz w:val="14"/>
                <w:szCs w:val="14"/>
                <w:vertAlign w:val="superscript"/>
              </w:rPr>
              <w:t>a</w:t>
            </w:r>
          </w:p>
        </w:tc>
        <w:tc>
          <w:tcPr>
            <w:tcW w:w="1890" w:type="dxa"/>
            <w:noWrap/>
            <w:vAlign w:val="center"/>
            <w:hideMark/>
          </w:tcPr>
          <w:p w:rsidR="00AA3EF2" w:rsidRPr="007C476E" w:rsidRDefault="00AA3EF2" w:rsidP="00685114">
            <w:pPr>
              <w:jc w:val="center"/>
              <w:rPr>
                <w:rFonts w:ascii="Times New Roman" w:eastAsia="Times New Roman" w:hAnsi="Times New Roman"/>
                <w:sz w:val="14"/>
                <w:szCs w:val="14"/>
              </w:rPr>
            </w:pPr>
            <w:r w:rsidRPr="007C476E">
              <w:rPr>
                <w:rFonts w:ascii="Times New Roman" w:eastAsia="Times New Roman" w:hAnsi="Times New Roman"/>
                <w:sz w:val="14"/>
                <w:szCs w:val="14"/>
              </w:rPr>
              <w:t>8.14</w:t>
            </w:r>
            <w:r w:rsidRPr="007C476E">
              <w:rPr>
                <w:rFonts w:ascii="Times New Roman" w:eastAsia="Times New Roman" w:hAnsi="Times New Roman"/>
                <w:sz w:val="14"/>
                <w:szCs w:val="14"/>
                <w:vertAlign w:val="superscript"/>
              </w:rPr>
              <w:t>a</w:t>
            </w:r>
          </w:p>
        </w:tc>
        <w:tc>
          <w:tcPr>
            <w:tcW w:w="1980" w:type="dxa"/>
            <w:noWrap/>
            <w:vAlign w:val="center"/>
            <w:hideMark/>
          </w:tcPr>
          <w:p w:rsidR="00AA3EF2" w:rsidRPr="007C476E" w:rsidRDefault="00AA3EF2" w:rsidP="00685114">
            <w:pPr>
              <w:jc w:val="center"/>
              <w:rPr>
                <w:rFonts w:ascii="Times New Roman" w:hAnsi="Times New Roman"/>
                <w:sz w:val="14"/>
                <w:szCs w:val="14"/>
              </w:rPr>
            </w:pPr>
            <w:r w:rsidRPr="007C476E">
              <w:rPr>
                <w:rFonts w:ascii="Times New Roman" w:hAnsi="Times New Roman"/>
                <w:sz w:val="14"/>
                <w:szCs w:val="14"/>
              </w:rPr>
              <w:t>29.55</w:t>
            </w:r>
            <w:r w:rsidRPr="007C476E">
              <w:rPr>
                <w:rFonts w:ascii="Times New Roman" w:hAnsi="Times New Roman"/>
                <w:sz w:val="14"/>
                <w:szCs w:val="14"/>
                <w:vertAlign w:val="superscript"/>
              </w:rPr>
              <w:t>c</w:t>
            </w:r>
          </w:p>
        </w:tc>
      </w:tr>
      <w:tr w:rsidR="00AA3EF2" w:rsidRPr="007C476E" w:rsidTr="00685114">
        <w:trPr>
          <w:trHeight w:val="270"/>
        </w:trPr>
        <w:tc>
          <w:tcPr>
            <w:tcW w:w="2178" w:type="dxa"/>
            <w:noWrap/>
            <w:vAlign w:val="center"/>
            <w:hideMark/>
          </w:tcPr>
          <w:p w:rsidR="00AA3EF2" w:rsidRPr="007C476E" w:rsidRDefault="00AA3EF2" w:rsidP="00685114">
            <w:pPr>
              <w:rPr>
                <w:rFonts w:ascii="Times New Roman" w:eastAsia="Times New Roman" w:hAnsi="Times New Roman"/>
                <w:b/>
                <w:bCs/>
                <w:sz w:val="14"/>
                <w:szCs w:val="14"/>
              </w:rPr>
            </w:pPr>
            <w:r>
              <w:rPr>
                <w:rFonts w:ascii="Times New Roman" w:eastAsia="Times New Roman" w:hAnsi="Times New Roman"/>
                <w:b/>
                <w:bCs/>
                <w:sz w:val="14"/>
                <w:szCs w:val="14"/>
              </w:rPr>
              <w:t>Vitamin C*Pycnogenol</w:t>
            </w:r>
          </w:p>
        </w:tc>
        <w:tc>
          <w:tcPr>
            <w:tcW w:w="810" w:type="dxa"/>
            <w:noWrap/>
            <w:vAlign w:val="center"/>
            <w:hideMark/>
          </w:tcPr>
          <w:p w:rsidR="00AA3EF2" w:rsidRPr="007C476E" w:rsidRDefault="00685114" w:rsidP="00685114">
            <w:pPr>
              <w:jc w:val="center"/>
              <w:rPr>
                <w:rFonts w:ascii="Times New Roman" w:eastAsia="Times New Roman" w:hAnsi="Times New Roman"/>
                <w:b/>
                <w:bCs/>
                <w:sz w:val="14"/>
                <w:szCs w:val="14"/>
              </w:rPr>
            </w:pPr>
            <w:r>
              <w:rPr>
                <w:rFonts w:ascii="Times New Roman" w:eastAsia="Times New Roman" w:hAnsi="Times New Roman"/>
                <w:b/>
                <w:bCs/>
                <w:sz w:val="14"/>
                <w:szCs w:val="14"/>
              </w:rPr>
              <w:t>Interaction</w:t>
            </w:r>
          </w:p>
        </w:tc>
        <w:tc>
          <w:tcPr>
            <w:tcW w:w="1620" w:type="dxa"/>
            <w:noWrap/>
            <w:vAlign w:val="center"/>
            <w:hideMark/>
          </w:tcPr>
          <w:p w:rsidR="00AA3EF2" w:rsidRPr="00447C0F" w:rsidRDefault="00AA3EF2" w:rsidP="00685114">
            <w:pPr>
              <w:jc w:val="center"/>
              <w:rPr>
                <w:rFonts w:ascii="Times New Roman" w:eastAsia="Times New Roman" w:hAnsi="Times New Roman"/>
                <w:bCs/>
                <w:sz w:val="14"/>
                <w:szCs w:val="14"/>
              </w:rPr>
            </w:pPr>
            <w:r w:rsidRPr="00447C0F">
              <w:rPr>
                <w:rFonts w:ascii="Times New Roman" w:eastAsia="Times New Roman" w:hAnsi="Times New Roman"/>
                <w:bCs/>
                <w:sz w:val="14"/>
                <w:szCs w:val="14"/>
              </w:rPr>
              <w:t>n.s.</w:t>
            </w:r>
          </w:p>
        </w:tc>
        <w:tc>
          <w:tcPr>
            <w:tcW w:w="1890" w:type="dxa"/>
            <w:noWrap/>
            <w:vAlign w:val="center"/>
            <w:hideMark/>
          </w:tcPr>
          <w:p w:rsidR="00AA3EF2" w:rsidRPr="00447C0F" w:rsidRDefault="00AA3EF2" w:rsidP="00685114">
            <w:pPr>
              <w:jc w:val="center"/>
              <w:rPr>
                <w:rFonts w:ascii="Times New Roman" w:eastAsia="Times New Roman" w:hAnsi="Times New Roman"/>
                <w:bCs/>
                <w:sz w:val="14"/>
                <w:szCs w:val="14"/>
              </w:rPr>
            </w:pPr>
            <w:r w:rsidRPr="00447C0F">
              <w:rPr>
                <w:rFonts w:ascii="Times New Roman" w:eastAsia="Times New Roman" w:hAnsi="Times New Roman"/>
                <w:bCs/>
                <w:sz w:val="14"/>
                <w:szCs w:val="14"/>
              </w:rPr>
              <w:t>n.s.</w:t>
            </w:r>
          </w:p>
        </w:tc>
        <w:tc>
          <w:tcPr>
            <w:tcW w:w="1980" w:type="dxa"/>
            <w:noWrap/>
            <w:vAlign w:val="center"/>
            <w:hideMark/>
          </w:tcPr>
          <w:p w:rsidR="00AA3EF2" w:rsidRPr="007C476E" w:rsidRDefault="00AA3EF2" w:rsidP="00685114">
            <w:pPr>
              <w:jc w:val="center"/>
              <w:rPr>
                <w:rFonts w:ascii="Times New Roman" w:eastAsia="Times New Roman" w:hAnsi="Times New Roman"/>
                <w:b/>
                <w:bCs/>
                <w:sz w:val="14"/>
                <w:szCs w:val="14"/>
              </w:rPr>
            </w:pPr>
            <w:r>
              <w:rPr>
                <w:rFonts w:ascii="Times New Roman" w:eastAsia="Times New Roman" w:hAnsi="Times New Roman"/>
                <w:b/>
                <w:bCs/>
                <w:sz w:val="14"/>
                <w:szCs w:val="14"/>
              </w:rPr>
              <w:t>*</w:t>
            </w:r>
          </w:p>
        </w:tc>
      </w:tr>
    </w:tbl>
    <w:p w:rsidR="00B00A03" w:rsidRPr="00FA4577" w:rsidRDefault="00B00A03" w:rsidP="00AA3EF2">
      <w:pPr>
        <w:spacing w:after="0"/>
        <w:jc w:val="both"/>
        <w:rPr>
          <w:rFonts w:ascii="Times New Roman" w:hAnsi="Times New Roman" w:cs="Times New Roman"/>
          <w:sz w:val="14"/>
          <w:szCs w:val="14"/>
        </w:rPr>
      </w:pPr>
      <w:r w:rsidRPr="00FA4577">
        <w:rPr>
          <w:rFonts w:ascii="Times New Roman" w:hAnsi="Times New Roman" w:cs="Times New Roman"/>
          <w:sz w:val="14"/>
          <w:szCs w:val="14"/>
        </w:rPr>
        <w:t>Different letters indicate significant differences (p&lt;0.0</w:t>
      </w:r>
      <w:r>
        <w:rPr>
          <w:rFonts w:ascii="Times New Roman" w:hAnsi="Times New Roman" w:cs="Times New Roman"/>
          <w:sz w:val="14"/>
          <w:szCs w:val="14"/>
        </w:rPr>
        <w:t>5</w:t>
      </w:r>
      <w:r w:rsidRPr="00FA4577">
        <w:rPr>
          <w:rFonts w:ascii="Times New Roman" w:hAnsi="Times New Roman" w:cs="Times New Roman"/>
          <w:sz w:val="14"/>
          <w:szCs w:val="14"/>
        </w:rPr>
        <w:t>) exist between means of the levels within each factor.</w:t>
      </w:r>
    </w:p>
    <w:p w:rsidR="00B00A03" w:rsidRDefault="00B00A03" w:rsidP="00B00A03">
      <w:pPr>
        <w:spacing w:after="0" w:line="240" w:lineRule="auto"/>
        <w:rPr>
          <w:rFonts w:ascii="Times New Roman" w:hAnsi="Times New Roman" w:cs="Times New Roman"/>
          <w:sz w:val="14"/>
          <w:szCs w:val="14"/>
        </w:rPr>
      </w:pPr>
      <w:proofErr w:type="gramStart"/>
      <w:r>
        <w:rPr>
          <w:rFonts w:ascii="Times New Roman" w:hAnsi="Times New Roman" w:cs="Times New Roman"/>
          <w:sz w:val="14"/>
          <w:szCs w:val="14"/>
        </w:rPr>
        <w:t>n.s</w:t>
      </w:r>
      <w:proofErr w:type="gramEnd"/>
      <w:r>
        <w:rPr>
          <w:rFonts w:ascii="Times New Roman" w:hAnsi="Times New Roman" w:cs="Times New Roman"/>
          <w:sz w:val="14"/>
          <w:szCs w:val="14"/>
        </w:rPr>
        <w:t>. and * correspond to non-significant (p&gt;0.05) and significant (p&lt;0.05) effects due to interaction of CaCl</w:t>
      </w:r>
      <w:r w:rsidRPr="00A70E27">
        <w:rPr>
          <w:rFonts w:ascii="Times New Roman" w:hAnsi="Times New Roman" w:cs="Times New Roman"/>
          <w:sz w:val="14"/>
          <w:szCs w:val="14"/>
          <w:vertAlign w:val="subscript"/>
        </w:rPr>
        <w:t>2</w:t>
      </w:r>
      <w:r>
        <w:rPr>
          <w:rFonts w:ascii="Times New Roman" w:hAnsi="Times New Roman" w:cs="Times New Roman"/>
          <w:sz w:val="14"/>
          <w:szCs w:val="14"/>
        </w:rPr>
        <w:t xml:space="preserve"> and flavonoid, respectively.</w:t>
      </w:r>
    </w:p>
    <w:p w:rsidR="00B00A03" w:rsidRDefault="00B00A03" w:rsidP="00B00A03">
      <w:pPr>
        <w:spacing w:after="0"/>
        <w:jc w:val="both"/>
        <w:rPr>
          <w:rFonts w:ascii="Times New Roman" w:hAnsi="Times New Roman" w:cs="Times New Roman"/>
          <w:sz w:val="14"/>
          <w:szCs w:val="14"/>
        </w:rPr>
      </w:pPr>
    </w:p>
    <w:p w:rsidR="00B00A03" w:rsidRDefault="00B00A03" w:rsidP="00B00A03">
      <w:pPr>
        <w:spacing w:after="0"/>
        <w:jc w:val="both"/>
        <w:rPr>
          <w:rFonts w:ascii="Times New Roman" w:hAnsi="Times New Roman" w:cs="Times New Roman"/>
          <w:sz w:val="14"/>
          <w:szCs w:val="14"/>
        </w:rPr>
      </w:pPr>
    </w:p>
    <w:p w:rsidR="00B00A03" w:rsidRPr="00153E32" w:rsidRDefault="00B00A03" w:rsidP="00B00A03">
      <w:pPr>
        <w:spacing w:after="0"/>
        <w:jc w:val="both"/>
        <w:rPr>
          <w:rFonts w:ascii="Times New Roman" w:hAnsi="Times New Roman" w:cs="Times New Roman"/>
          <w:b/>
          <w:sz w:val="24"/>
          <w:szCs w:val="24"/>
        </w:rPr>
      </w:pPr>
      <w:r w:rsidRPr="00153E32">
        <w:rPr>
          <w:rFonts w:ascii="Times New Roman" w:hAnsi="Times New Roman" w:cs="Times New Roman"/>
          <w:b/>
          <w:sz w:val="24"/>
          <w:szCs w:val="24"/>
        </w:rPr>
        <w:t>Table 6: Vitamin C and Pycnogenol concentration effect on b* values at the beginning and end of the storage</w:t>
      </w:r>
    </w:p>
    <w:tbl>
      <w:tblPr>
        <w:tblW w:w="8384" w:type="dxa"/>
        <w:tblInd w:w="94" w:type="dxa"/>
        <w:tblLook w:val="04A0"/>
      </w:tblPr>
      <w:tblGrid>
        <w:gridCol w:w="2084"/>
        <w:gridCol w:w="885"/>
        <w:gridCol w:w="1620"/>
        <w:gridCol w:w="1890"/>
        <w:gridCol w:w="1980"/>
      </w:tblGrid>
      <w:tr w:rsidR="00B00A03" w:rsidRPr="007C476E" w:rsidTr="00685114">
        <w:trPr>
          <w:trHeight w:val="270"/>
        </w:trPr>
        <w:tc>
          <w:tcPr>
            <w:tcW w:w="208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Factor</w:t>
            </w:r>
          </w:p>
        </w:tc>
        <w:tc>
          <w:tcPr>
            <w:tcW w:w="810" w:type="dxa"/>
            <w:tcBorders>
              <w:top w:val="single" w:sz="8" w:space="0" w:color="auto"/>
              <w:left w:val="nil"/>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Levels</w:t>
            </w:r>
          </w:p>
        </w:tc>
        <w:tc>
          <w:tcPr>
            <w:tcW w:w="1620" w:type="dxa"/>
            <w:tcBorders>
              <w:top w:val="single" w:sz="8" w:space="0" w:color="auto"/>
              <w:left w:val="nil"/>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Day 0</w:t>
            </w:r>
          </w:p>
        </w:tc>
        <w:tc>
          <w:tcPr>
            <w:tcW w:w="1890" w:type="dxa"/>
            <w:tcBorders>
              <w:top w:val="single" w:sz="8" w:space="0" w:color="auto"/>
              <w:left w:val="nil"/>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Day 42 (Storage at 51</w:t>
            </w:r>
            <w:r w:rsidR="008858A7">
              <w:rPr>
                <w:rFonts w:ascii="Times New Roman" w:eastAsia="Times New Roman" w:hAnsi="Times New Roman" w:cs="Times New Roman"/>
                <w:b/>
                <w:bCs/>
                <w:sz w:val="14"/>
                <w:szCs w:val="14"/>
              </w:rPr>
              <w:t>°</w:t>
            </w:r>
            <w:r w:rsidRPr="007C476E">
              <w:rPr>
                <w:rFonts w:ascii="Times New Roman" w:eastAsia="Times New Roman" w:hAnsi="Times New Roman" w:cs="Times New Roman"/>
                <w:b/>
                <w:bCs/>
                <w:sz w:val="14"/>
                <w:szCs w:val="14"/>
              </w:rPr>
              <w:t>C)</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Day 84 (Storage at 40</w:t>
            </w:r>
            <w:r w:rsidR="008858A7">
              <w:rPr>
                <w:rFonts w:ascii="Times New Roman" w:eastAsia="Times New Roman" w:hAnsi="Times New Roman" w:cs="Times New Roman"/>
                <w:b/>
                <w:bCs/>
                <w:sz w:val="14"/>
                <w:szCs w:val="14"/>
              </w:rPr>
              <w:t>°</w:t>
            </w:r>
            <w:r w:rsidRPr="007C476E">
              <w:rPr>
                <w:rFonts w:ascii="Times New Roman" w:eastAsia="Times New Roman" w:hAnsi="Times New Roman" w:cs="Times New Roman"/>
                <w:b/>
                <w:bCs/>
                <w:sz w:val="14"/>
                <w:szCs w:val="14"/>
              </w:rPr>
              <w:t>C)</w:t>
            </w:r>
          </w:p>
        </w:tc>
      </w:tr>
      <w:tr w:rsidR="00B00A03" w:rsidRPr="007C476E" w:rsidTr="00F14CA8">
        <w:trPr>
          <w:trHeight w:val="270"/>
        </w:trPr>
        <w:tc>
          <w:tcPr>
            <w:tcW w:w="2084"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B00A03" w:rsidRPr="007C476E" w:rsidRDefault="00B00A03" w:rsidP="00F14CA8">
            <w:pPr>
              <w:spacing w:after="0" w:line="240" w:lineRule="auto"/>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Vitamin C</w:t>
            </w:r>
          </w:p>
        </w:tc>
        <w:tc>
          <w:tcPr>
            <w:tcW w:w="81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A</w:t>
            </w:r>
            <w:r>
              <w:rPr>
                <w:rFonts w:ascii="Times New Roman" w:eastAsia="Times New Roman" w:hAnsi="Times New Roman" w:cs="Times New Roman"/>
                <w:b/>
                <w:bCs/>
                <w:sz w:val="14"/>
                <w:szCs w:val="14"/>
              </w:rPr>
              <w:t>2P</w:t>
            </w:r>
          </w:p>
        </w:tc>
        <w:tc>
          <w:tcPr>
            <w:tcW w:w="162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29.56</w:t>
            </w:r>
            <w:r w:rsidRPr="007C476E">
              <w:rPr>
                <w:rFonts w:ascii="Times New Roman" w:eastAsia="Times New Roman" w:hAnsi="Times New Roman" w:cs="Times New Roman"/>
                <w:sz w:val="14"/>
                <w:szCs w:val="14"/>
                <w:vertAlign w:val="superscript"/>
              </w:rPr>
              <w:t>a</w:t>
            </w:r>
          </w:p>
        </w:tc>
        <w:tc>
          <w:tcPr>
            <w:tcW w:w="189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26.05</w:t>
            </w:r>
            <w:r w:rsidRPr="007C476E">
              <w:rPr>
                <w:rFonts w:ascii="Times New Roman" w:eastAsia="Times New Roman" w:hAnsi="Times New Roman" w:cs="Times New Roman"/>
                <w:sz w:val="14"/>
                <w:szCs w:val="14"/>
                <w:vertAlign w:val="superscript"/>
              </w:rPr>
              <w:t>a</w:t>
            </w:r>
          </w:p>
        </w:tc>
        <w:tc>
          <w:tcPr>
            <w:tcW w:w="198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w:t>
            </w:r>
            <w:r>
              <w:rPr>
                <w:rFonts w:ascii="Times New Roman" w:eastAsia="Times New Roman" w:hAnsi="Times New Roman" w:cs="Times New Roman"/>
                <w:sz w:val="14"/>
                <w:szCs w:val="14"/>
              </w:rPr>
              <w:t>8.78</w:t>
            </w:r>
            <w:r w:rsidRPr="007C476E">
              <w:rPr>
                <w:rFonts w:ascii="Times New Roman" w:eastAsia="Times New Roman" w:hAnsi="Times New Roman" w:cs="Times New Roman"/>
                <w:sz w:val="14"/>
                <w:szCs w:val="14"/>
                <w:vertAlign w:val="superscript"/>
              </w:rPr>
              <w:t>a</w:t>
            </w:r>
          </w:p>
        </w:tc>
      </w:tr>
      <w:tr w:rsidR="00B00A03" w:rsidRPr="007C476E" w:rsidTr="00F14CA8">
        <w:trPr>
          <w:trHeight w:val="270"/>
        </w:trPr>
        <w:tc>
          <w:tcPr>
            <w:tcW w:w="2084" w:type="dxa"/>
            <w:vMerge/>
            <w:tcBorders>
              <w:top w:val="nil"/>
              <w:left w:val="single" w:sz="8" w:space="0" w:color="auto"/>
              <w:bottom w:val="single" w:sz="8" w:space="0" w:color="000000"/>
              <w:right w:val="single" w:sz="8" w:space="0" w:color="auto"/>
            </w:tcBorders>
            <w:vAlign w:val="center"/>
            <w:hideMark/>
          </w:tcPr>
          <w:p w:rsidR="00B00A03" w:rsidRPr="007C476E" w:rsidRDefault="00B00A03" w:rsidP="00F14CA8">
            <w:pPr>
              <w:spacing w:after="0" w:line="240" w:lineRule="auto"/>
              <w:rPr>
                <w:rFonts w:ascii="Times New Roman" w:eastAsia="Times New Roman" w:hAnsi="Times New Roman" w:cs="Times New Roman"/>
                <w:b/>
                <w:bCs/>
                <w:sz w:val="14"/>
                <w:szCs w:val="14"/>
              </w:rPr>
            </w:pPr>
          </w:p>
        </w:tc>
        <w:tc>
          <w:tcPr>
            <w:tcW w:w="81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Pr>
                <w:rFonts w:ascii="Times New Roman" w:eastAsia="Times New Roman" w:hAnsi="Times New Roman" w:cs="Times New Roman"/>
                <w:b/>
                <w:bCs/>
                <w:sz w:val="14"/>
                <w:szCs w:val="14"/>
              </w:rPr>
              <w:t>AA</w:t>
            </w:r>
          </w:p>
        </w:tc>
        <w:tc>
          <w:tcPr>
            <w:tcW w:w="162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29.36</w:t>
            </w:r>
            <w:r w:rsidRPr="007C476E">
              <w:rPr>
                <w:rFonts w:ascii="Times New Roman" w:eastAsia="Times New Roman" w:hAnsi="Times New Roman" w:cs="Times New Roman"/>
                <w:sz w:val="14"/>
                <w:szCs w:val="14"/>
                <w:vertAlign w:val="superscript"/>
              </w:rPr>
              <w:t>a</w:t>
            </w:r>
          </w:p>
        </w:tc>
        <w:tc>
          <w:tcPr>
            <w:tcW w:w="189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24.73</w:t>
            </w:r>
            <w:r w:rsidRPr="007C476E">
              <w:rPr>
                <w:rFonts w:ascii="Times New Roman" w:eastAsia="Times New Roman" w:hAnsi="Times New Roman" w:cs="Times New Roman"/>
                <w:sz w:val="14"/>
                <w:szCs w:val="14"/>
                <w:vertAlign w:val="superscript"/>
              </w:rPr>
              <w:t>a</w:t>
            </w:r>
          </w:p>
        </w:tc>
        <w:tc>
          <w:tcPr>
            <w:tcW w:w="198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26.15</w:t>
            </w:r>
            <w:r w:rsidRPr="007C476E">
              <w:rPr>
                <w:rFonts w:ascii="Times New Roman" w:eastAsia="Times New Roman" w:hAnsi="Times New Roman" w:cs="Times New Roman"/>
                <w:sz w:val="14"/>
                <w:szCs w:val="14"/>
                <w:vertAlign w:val="superscript"/>
              </w:rPr>
              <w:t>b</w:t>
            </w:r>
          </w:p>
        </w:tc>
      </w:tr>
      <w:tr w:rsidR="00B00A03" w:rsidRPr="007C476E" w:rsidTr="00F14CA8">
        <w:trPr>
          <w:trHeight w:val="270"/>
        </w:trPr>
        <w:tc>
          <w:tcPr>
            <w:tcW w:w="2084" w:type="dxa"/>
            <w:vMerge w:val="restart"/>
            <w:tcBorders>
              <w:top w:val="nil"/>
              <w:left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Pycnogel concentration</w:t>
            </w:r>
          </w:p>
        </w:tc>
        <w:tc>
          <w:tcPr>
            <w:tcW w:w="81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0%</w:t>
            </w:r>
          </w:p>
        </w:tc>
        <w:tc>
          <w:tcPr>
            <w:tcW w:w="162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29.55</w:t>
            </w:r>
            <w:r w:rsidRPr="007C476E">
              <w:rPr>
                <w:rFonts w:ascii="Times New Roman" w:eastAsia="Times New Roman" w:hAnsi="Times New Roman" w:cs="Times New Roman"/>
                <w:sz w:val="14"/>
                <w:szCs w:val="14"/>
                <w:vertAlign w:val="superscript"/>
              </w:rPr>
              <w:t>a</w:t>
            </w:r>
          </w:p>
        </w:tc>
        <w:tc>
          <w:tcPr>
            <w:tcW w:w="189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25.79</w:t>
            </w:r>
            <w:r w:rsidRPr="007C476E">
              <w:rPr>
                <w:rFonts w:ascii="Times New Roman" w:eastAsia="Times New Roman" w:hAnsi="Times New Roman" w:cs="Times New Roman"/>
                <w:sz w:val="14"/>
                <w:szCs w:val="14"/>
                <w:vertAlign w:val="superscript"/>
              </w:rPr>
              <w:t>a</w:t>
            </w:r>
          </w:p>
        </w:tc>
        <w:tc>
          <w:tcPr>
            <w:tcW w:w="198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26.75</w:t>
            </w:r>
            <w:r w:rsidRPr="007C476E">
              <w:rPr>
                <w:rFonts w:ascii="Times New Roman" w:eastAsia="Times New Roman" w:hAnsi="Times New Roman" w:cs="Times New Roman"/>
                <w:sz w:val="14"/>
                <w:szCs w:val="14"/>
                <w:vertAlign w:val="superscript"/>
              </w:rPr>
              <w:t>a</w:t>
            </w:r>
          </w:p>
        </w:tc>
      </w:tr>
      <w:tr w:rsidR="00B00A03" w:rsidRPr="007C476E" w:rsidTr="00F14CA8">
        <w:trPr>
          <w:trHeight w:val="270"/>
        </w:trPr>
        <w:tc>
          <w:tcPr>
            <w:tcW w:w="2084" w:type="dxa"/>
            <w:vMerge/>
            <w:tcBorders>
              <w:left w:val="single" w:sz="8" w:space="0" w:color="auto"/>
              <w:right w:val="single" w:sz="8" w:space="0" w:color="auto"/>
            </w:tcBorders>
            <w:shd w:val="clear" w:color="auto" w:fill="auto"/>
            <w:vAlign w:val="center"/>
            <w:hideMark/>
          </w:tcPr>
          <w:p w:rsidR="00B00A03" w:rsidRPr="007C476E" w:rsidRDefault="00B00A03" w:rsidP="00F14CA8">
            <w:pPr>
              <w:spacing w:after="0" w:line="240" w:lineRule="auto"/>
              <w:rPr>
                <w:rFonts w:ascii="Times New Roman" w:eastAsia="Times New Roman" w:hAnsi="Times New Roman" w:cs="Times New Roman"/>
                <w:b/>
                <w:bCs/>
                <w:sz w:val="14"/>
                <w:szCs w:val="14"/>
              </w:rPr>
            </w:pPr>
          </w:p>
        </w:tc>
        <w:tc>
          <w:tcPr>
            <w:tcW w:w="81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0.01%</w:t>
            </w:r>
          </w:p>
        </w:tc>
        <w:tc>
          <w:tcPr>
            <w:tcW w:w="162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30.73</w:t>
            </w:r>
            <w:r w:rsidRPr="007C476E">
              <w:rPr>
                <w:rFonts w:ascii="Times New Roman" w:eastAsia="Times New Roman" w:hAnsi="Times New Roman" w:cs="Times New Roman"/>
                <w:sz w:val="14"/>
                <w:szCs w:val="14"/>
                <w:vertAlign w:val="superscript"/>
              </w:rPr>
              <w:t>a</w:t>
            </w:r>
          </w:p>
        </w:tc>
        <w:tc>
          <w:tcPr>
            <w:tcW w:w="189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25.32</w:t>
            </w:r>
            <w:r w:rsidRPr="007C476E">
              <w:rPr>
                <w:rFonts w:ascii="Times New Roman" w:eastAsia="Times New Roman" w:hAnsi="Times New Roman" w:cs="Times New Roman"/>
                <w:sz w:val="14"/>
                <w:szCs w:val="14"/>
                <w:vertAlign w:val="superscript"/>
              </w:rPr>
              <w:t>a</w:t>
            </w:r>
          </w:p>
        </w:tc>
        <w:tc>
          <w:tcPr>
            <w:tcW w:w="198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27.75</w:t>
            </w:r>
            <w:r w:rsidRPr="007C476E">
              <w:rPr>
                <w:rFonts w:ascii="Times New Roman" w:eastAsia="Times New Roman" w:hAnsi="Times New Roman" w:cs="Times New Roman"/>
                <w:sz w:val="14"/>
                <w:szCs w:val="14"/>
                <w:vertAlign w:val="superscript"/>
              </w:rPr>
              <w:t>a</w:t>
            </w:r>
          </w:p>
        </w:tc>
      </w:tr>
      <w:tr w:rsidR="00B00A03" w:rsidRPr="007C476E" w:rsidTr="00F14CA8">
        <w:trPr>
          <w:trHeight w:val="270"/>
        </w:trPr>
        <w:tc>
          <w:tcPr>
            <w:tcW w:w="2084" w:type="dxa"/>
            <w:vMerge/>
            <w:tcBorders>
              <w:left w:val="single" w:sz="8" w:space="0" w:color="auto"/>
              <w:bottom w:val="single" w:sz="8" w:space="0" w:color="000000"/>
              <w:right w:val="single" w:sz="8" w:space="0" w:color="auto"/>
            </w:tcBorders>
            <w:shd w:val="clear" w:color="auto" w:fill="auto"/>
            <w:vAlign w:val="center"/>
            <w:hideMark/>
          </w:tcPr>
          <w:p w:rsidR="00B00A03" w:rsidRPr="007C476E" w:rsidRDefault="00B00A03" w:rsidP="00F14CA8">
            <w:pPr>
              <w:spacing w:after="0" w:line="240" w:lineRule="auto"/>
              <w:rPr>
                <w:rFonts w:ascii="Times New Roman" w:eastAsia="Times New Roman" w:hAnsi="Times New Roman" w:cs="Times New Roman"/>
                <w:b/>
                <w:bCs/>
                <w:sz w:val="14"/>
                <w:szCs w:val="14"/>
              </w:rPr>
            </w:pPr>
          </w:p>
        </w:tc>
        <w:tc>
          <w:tcPr>
            <w:tcW w:w="81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0.10%</w:t>
            </w:r>
          </w:p>
        </w:tc>
        <w:tc>
          <w:tcPr>
            <w:tcW w:w="162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28.12</w:t>
            </w:r>
            <w:r>
              <w:rPr>
                <w:rFonts w:ascii="Times New Roman" w:eastAsia="Times New Roman" w:hAnsi="Times New Roman" w:cs="Times New Roman"/>
                <w:sz w:val="14"/>
                <w:szCs w:val="14"/>
                <w:vertAlign w:val="superscript"/>
              </w:rPr>
              <w:t>a</w:t>
            </w:r>
          </w:p>
        </w:tc>
        <w:tc>
          <w:tcPr>
            <w:tcW w:w="189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25.06</w:t>
            </w:r>
            <w:r w:rsidRPr="007C476E">
              <w:rPr>
                <w:rFonts w:ascii="Times New Roman" w:eastAsia="Times New Roman" w:hAnsi="Times New Roman" w:cs="Times New Roman"/>
                <w:sz w:val="14"/>
                <w:szCs w:val="14"/>
                <w:vertAlign w:val="superscript"/>
              </w:rPr>
              <w:t>a</w:t>
            </w:r>
          </w:p>
        </w:tc>
        <w:tc>
          <w:tcPr>
            <w:tcW w:w="1980" w:type="dxa"/>
            <w:tcBorders>
              <w:top w:val="nil"/>
              <w:left w:val="nil"/>
              <w:bottom w:val="single" w:sz="8" w:space="0" w:color="auto"/>
              <w:right w:val="single" w:sz="8" w:space="0" w:color="auto"/>
            </w:tcBorders>
            <w:shd w:val="clear" w:color="auto" w:fill="auto"/>
            <w:noWrap/>
            <w:vAlign w:val="bottom"/>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27.38</w:t>
            </w:r>
            <w:r w:rsidRPr="007C476E">
              <w:rPr>
                <w:rFonts w:ascii="Times New Roman" w:eastAsia="Times New Roman" w:hAnsi="Times New Roman" w:cs="Times New Roman"/>
                <w:sz w:val="14"/>
                <w:szCs w:val="14"/>
                <w:vertAlign w:val="superscript"/>
              </w:rPr>
              <w:t>a</w:t>
            </w:r>
          </w:p>
        </w:tc>
      </w:tr>
      <w:tr w:rsidR="00B00A03" w:rsidRPr="007C476E" w:rsidTr="00F14CA8">
        <w:trPr>
          <w:trHeight w:val="270"/>
        </w:trPr>
        <w:tc>
          <w:tcPr>
            <w:tcW w:w="2084" w:type="dxa"/>
            <w:tcBorders>
              <w:top w:val="nil"/>
              <w:left w:val="single" w:sz="8" w:space="0" w:color="auto"/>
              <w:bottom w:val="single" w:sz="8" w:space="0" w:color="000000"/>
              <w:right w:val="single" w:sz="8" w:space="0" w:color="auto"/>
            </w:tcBorders>
            <w:shd w:val="clear" w:color="auto" w:fill="auto"/>
            <w:vAlign w:val="center"/>
            <w:hideMark/>
          </w:tcPr>
          <w:p w:rsidR="00B00A03" w:rsidRPr="007C476E" w:rsidRDefault="00B00A03" w:rsidP="00F14CA8">
            <w:pPr>
              <w:spacing w:after="0"/>
              <w:rPr>
                <w:rFonts w:ascii="Times New Roman" w:eastAsia="Times New Roman" w:hAnsi="Times New Roman" w:cs="Times New Roman"/>
                <w:b/>
                <w:bCs/>
                <w:sz w:val="14"/>
                <w:szCs w:val="14"/>
              </w:rPr>
            </w:pPr>
            <w:r>
              <w:rPr>
                <w:rFonts w:ascii="Times New Roman" w:eastAsia="Times New Roman" w:hAnsi="Times New Roman" w:cs="Times New Roman"/>
                <w:b/>
                <w:bCs/>
                <w:sz w:val="14"/>
                <w:szCs w:val="14"/>
              </w:rPr>
              <w:t>Vitamin C*Pycnogenol</w:t>
            </w:r>
          </w:p>
        </w:tc>
        <w:tc>
          <w:tcPr>
            <w:tcW w:w="810" w:type="dxa"/>
            <w:tcBorders>
              <w:top w:val="nil"/>
              <w:left w:val="nil"/>
              <w:bottom w:val="single" w:sz="8" w:space="0" w:color="auto"/>
              <w:right w:val="single" w:sz="8" w:space="0" w:color="auto"/>
            </w:tcBorders>
            <w:shd w:val="clear" w:color="auto" w:fill="auto"/>
            <w:noWrap/>
            <w:vAlign w:val="bottom"/>
            <w:hideMark/>
          </w:tcPr>
          <w:p w:rsidR="00B00A03" w:rsidRPr="007C476E" w:rsidRDefault="00685114" w:rsidP="00685114">
            <w:pPr>
              <w:spacing w:after="0"/>
              <w:jc w:val="center"/>
              <w:rPr>
                <w:rFonts w:ascii="Times New Roman" w:eastAsia="Times New Roman" w:hAnsi="Times New Roman" w:cs="Times New Roman"/>
                <w:b/>
                <w:bCs/>
                <w:sz w:val="14"/>
                <w:szCs w:val="14"/>
              </w:rPr>
            </w:pPr>
            <w:r>
              <w:rPr>
                <w:rFonts w:ascii="Times New Roman" w:eastAsia="Times New Roman" w:hAnsi="Times New Roman" w:cs="Times New Roman"/>
                <w:b/>
                <w:bCs/>
                <w:sz w:val="14"/>
                <w:szCs w:val="14"/>
              </w:rPr>
              <w:t>Interaction</w:t>
            </w:r>
          </w:p>
        </w:tc>
        <w:tc>
          <w:tcPr>
            <w:tcW w:w="1620" w:type="dxa"/>
            <w:tcBorders>
              <w:top w:val="nil"/>
              <w:left w:val="nil"/>
              <w:bottom w:val="single" w:sz="8" w:space="0" w:color="auto"/>
              <w:right w:val="single" w:sz="8" w:space="0" w:color="auto"/>
            </w:tcBorders>
            <w:shd w:val="clear" w:color="auto" w:fill="auto"/>
            <w:noWrap/>
            <w:vAlign w:val="bottom"/>
            <w:hideMark/>
          </w:tcPr>
          <w:p w:rsidR="00B00A03" w:rsidRPr="00447C0F" w:rsidRDefault="00B00A03" w:rsidP="00F14CA8">
            <w:pPr>
              <w:spacing w:after="0"/>
              <w:jc w:val="center"/>
              <w:rPr>
                <w:rFonts w:ascii="Times New Roman" w:eastAsia="Times New Roman" w:hAnsi="Times New Roman" w:cs="Times New Roman"/>
                <w:bCs/>
                <w:sz w:val="14"/>
                <w:szCs w:val="14"/>
              </w:rPr>
            </w:pPr>
            <w:r w:rsidRPr="00447C0F">
              <w:rPr>
                <w:rFonts w:ascii="Times New Roman" w:eastAsia="Times New Roman" w:hAnsi="Times New Roman" w:cs="Times New Roman"/>
                <w:bCs/>
                <w:sz w:val="14"/>
                <w:szCs w:val="14"/>
              </w:rPr>
              <w:t>n.s.</w:t>
            </w:r>
          </w:p>
        </w:tc>
        <w:tc>
          <w:tcPr>
            <w:tcW w:w="1890" w:type="dxa"/>
            <w:tcBorders>
              <w:top w:val="nil"/>
              <w:left w:val="nil"/>
              <w:bottom w:val="single" w:sz="8" w:space="0" w:color="auto"/>
              <w:right w:val="single" w:sz="8" w:space="0" w:color="auto"/>
            </w:tcBorders>
            <w:shd w:val="clear" w:color="auto" w:fill="auto"/>
            <w:noWrap/>
            <w:vAlign w:val="bottom"/>
            <w:hideMark/>
          </w:tcPr>
          <w:p w:rsidR="00B00A03" w:rsidRPr="00840EC0" w:rsidRDefault="00B00A03" w:rsidP="00F14CA8">
            <w:pPr>
              <w:spacing w:after="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n.s.</w:t>
            </w:r>
          </w:p>
        </w:tc>
        <w:tc>
          <w:tcPr>
            <w:tcW w:w="1980" w:type="dxa"/>
            <w:tcBorders>
              <w:top w:val="nil"/>
              <w:left w:val="nil"/>
              <w:bottom w:val="single" w:sz="8" w:space="0" w:color="auto"/>
              <w:right w:val="single" w:sz="8" w:space="0" w:color="auto"/>
            </w:tcBorders>
            <w:shd w:val="clear" w:color="auto" w:fill="auto"/>
            <w:noWrap/>
            <w:vAlign w:val="bottom"/>
            <w:hideMark/>
          </w:tcPr>
          <w:p w:rsidR="00B00A03" w:rsidRPr="00840EC0" w:rsidRDefault="00B00A03" w:rsidP="00F14CA8">
            <w:pPr>
              <w:spacing w:after="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n.s.</w:t>
            </w:r>
          </w:p>
        </w:tc>
      </w:tr>
    </w:tbl>
    <w:p w:rsidR="00B00A03" w:rsidRPr="00FA4577" w:rsidRDefault="00B00A03" w:rsidP="00B00A03">
      <w:pPr>
        <w:spacing w:after="0" w:line="240" w:lineRule="auto"/>
        <w:rPr>
          <w:rFonts w:ascii="Times New Roman" w:hAnsi="Times New Roman" w:cs="Times New Roman"/>
          <w:sz w:val="14"/>
          <w:szCs w:val="14"/>
        </w:rPr>
      </w:pPr>
      <w:r w:rsidRPr="00FA4577">
        <w:rPr>
          <w:rFonts w:ascii="Times New Roman" w:hAnsi="Times New Roman" w:cs="Times New Roman"/>
          <w:sz w:val="14"/>
          <w:szCs w:val="14"/>
        </w:rPr>
        <w:t>Different letters indicate significant differences (p&lt;0.0</w:t>
      </w:r>
      <w:r>
        <w:rPr>
          <w:rFonts w:ascii="Times New Roman" w:hAnsi="Times New Roman" w:cs="Times New Roman"/>
          <w:sz w:val="14"/>
          <w:szCs w:val="14"/>
        </w:rPr>
        <w:t>5</w:t>
      </w:r>
      <w:r w:rsidRPr="00FA4577">
        <w:rPr>
          <w:rFonts w:ascii="Times New Roman" w:hAnsi="Times New Roman" w:cs="Times New Roman"/>
          <w:sz w:val="14"/>
          <w:szCs w:val="14"/>
        </w:rPr>
        <w:t>) exist between means of the levels within each factor.</w:t>
      </w:r>
    </w:p>
    <w:p w:rsidR="00B00A03" w:rsidRDefault="00B00A03" w:rsidP="00B00A03">
      <w:pPr>
        <w:spacing w:after="0" w:line="240" w:lineRule="auto"/>
        <w:rPr>
          <w:rFonts w:ascii="Times New Roman" w:hAnsi="Times New Roman" w:cs="Times New Roman"/>
          <w:sz w:val="14"/>
          <w:szCs w:val="14"/>
        </w:rPr>
      </w:pPr>
      <w:proofErr w:type="gramStart"/>
      <w:r>
        <w:rPr>
          <w:rFonts w:ascii="Times New Roman" w:hAnsi="Times New Roman" w:cs="Times New Roman"/>
          <w:sz w:val="14"/>
          <w:szCs w:val="14"/>
        </w:rPr>
        <w:t>n.s</w:t>
      </w:r>
      <w:proofErr w:type="gramEnd"/>
      <w:r>
        <w:rPr>
          <w:rFonts w:ascii="Times New Roman" w:hAnsi="Times New Roman" w:cs="Times New Roman"/>
          <w:sz w:val="14"/>
          <w:szCs w:val="14"/>
        </w:rPr>
        <w:t>. and * correspond to non-significant (p&gt;0.05) and significant (p&lt;0.05) effects due to interaction of CaCl</w:t>
      </w:r>
      <w:r w:rsidRPr="00A70E27">
        <w:rPr>
          <w:rFonts w:ascii="Times New Roman" w:hAnsi="Times New Roman" w:cs="Times New Roman"/>
          <w:sz w:val="14"/>
          <w:szCs w:val="14"/>
          <w:vertAlign w:val="subscript"/>
        </w:rPr>
        <w:t>2</w:t>
      </w:r>
      <w:r>
        <w:rPr>
          <w:rFonts w:ascii="Times New Roman" w:hAnsi="Times New Roman" w:cs="Times New Roman"/>
          <w:sz w:val="14"/>
          <w:szCs w:val="14"/>
        </w:rPr>
        <w:t xml:space="preserve"> and flavonoid, respectively.</w:t>
      </w:r>
    </w:p>
    <w:p w:rsidR="00B00A03" w:rsidRPr="004F6575" w:rsidRDefault="00B00A03" w:rsidP="00B00A03">
      <w:pPr>
        <w:jc w:val="both"/>
        <w:rPr>
          <w:rFonts w:ascii="Times New Roman" w:hAnsi="Times New Roman" w:cs="Times New Roman"/>
          <w:sz w:val="10"/>
          <w:szCs w:val="10"/>
        </w:rPr>
      </w:pPr>
    </w:p>
    <w:p w:rsidR="00B00A03" w:rsidRPr="00153E32" w:rsidRDefault="00B00A03" w:rsidP="00B00A03">
      <w:pPr>
        <w:spacing w:after="0" w:line="240" w:lineRule="auto"/>
        <w:jc w:val="both"/>
        <w:outlineLvl w:val="0"/>
        <w:rPr>
          <w:rFonts w:ascii="Times New Roman" w:hAnsi="Times New Roman" w:cs="Times New Roman"/>
          <w:b/>
          <w:sz w:val="24"/>
          <w:szCs w:val="24"/>
        </w:rPr>
      </w:pPr>
      <w:r w:rsidRPr="00153E32">
        <w:rPr>
          <w:rFonts w:ascii="Times New Roman" w:hAnsi="Times New Roman" w:cs="Times New Roman"/>
          <w:b/>
          <w:sz w:val="24"/>
          <w:szCs w:val="24"/>
        </w:rPr>
        <w:t>Table 7: Vitamin C and Pycnogenol concentration effect on ∆E* values at the end of the storage</w:t>
      </w:r>
    </w:p>
    <w:tbl>
      <w:tblPr>
        <w:tblW w:w="6674" w:type="dxa"/>
        <w:tblInd w:w="94" w:type="dxa"/>
        <w:tblLook w:val="04A0"/>
      </w:tblPr>
      <w:tblGrid>
        <w:gridCol w:w="2084"/>
        <w:gridCol w:w="885"/>
        <w:gridCol w:w="1890"/>
        <w:gridCol w:w="1890"/>
      </w:tblGrid>
      <w:tr w:rsidR="00B00A03" w:rsidRPr="007C476E" w:rsidTr="00F14CA8">
        <w:trPr>
          <w:trHeight w:val="270"/>
        </w:trPr>
        <w:tc>
          <w:tcPr>
            <w:tcW w:w="208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Factor</w:t>
            </w:r>
          </w:p>
        </w:tc>
        <w:tc>
          <w:tcPr>
            <w:tcW w:w="810" w:type="dxa"/>
            <w:tcBorders>
              <w:top w:val="single" w:sz="8" w:space="0" w:color="auto"/>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Levels</w:t>
            </w:r>
          </w:p>
        </w:tc>
        <w:tc>
          <w:tcPr>
            <w:tcW w:w="1890" w:type="dxa"/>
            <w:tcBorders>
              <w:top w:val="single" w:sz="8" w:space="0" w:color="auto"/>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Day 42 (Storage at 51</w:t>
            </w:r>
            <w:r w:rsidR="008858A7">
              <w:rPr>
                <w:rFonts w:ascii="Times New Roman" w:eastAsia="Times New Roman" w:hAnsi="Times New Roman" w:cs="Times New Roman"/>
                <w:b/>
                <w:bCs/>
                <w:sz w:val="14"/>
                <w:szCs w:val="14"/>
              </w:rPr>
              <w:t>°</w:t>
            </w:r>
            <w:r w:rsidRPr="007C476E">
              <w:rPr>
                <w:rFonts w:ascii="Times New Roman" w:eastAsia="Times New Roman" w:hAnsi="Times New Roman" w:cs="Times New Roman"/>
                <w:b/>
                <w:bCs/>
                <w:sz w:val="14"/>
                <w:szCs w:val="14"/>
              </w:rPr>
              <w:t>C)</w:t>
            </w:r>
          </w:p>
        </w:tc>
        <w:tc>
          <w:tcPr>
            <w:tcW w:w="1890" w:type="dxa"/>
            <w:tcBorders>
              <w:top w:val="single" w:sz="8" w:space="0" w:color="auto"/>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Day 84 (Storage at 40</w:t>
            </w:r>
            <w:r w:rsidR="008858A7">
              <w:rPr>
                <w:rFonts w:ascii="Times New Roman" w:eastAsia="Times New Roman" w:hAnsi="Times New Roman" w:cs="Times New Roman"/>
                <w:b/>
                <w:bCs/>
                <w:sz w:val="14"/>
                <w:szCs w:val="14"/>
              </w:rPr>
              <w:t>°</w:t>
            </w:r>
            <w:r w:rsidRPr="007C476E">
              <w:rPr>
                <w:rFonts w:ascii="Times New Roman" w:eastAsia="Times New Roman" w:hAnsi="Times New Roman" w:cs="Times New Roman"/>
                <w:b/>
                <w:bCs/>
                <w:sz w:val="14"/>
                <w:szCs w:val="14"/>
              </w:rPr>
              <w:t>C)</w:t>
            </w:r>
          </w:p>
        </w:tc>
      </w:tr>
      <w:tr w:rsidR="00B00A03" w:rsidRPr="007C476E" w:rsidTr="00F14CA8">
        <w:trPr>
          <w:trHeight w:val="270"/>
        </w:trPr>
        <w:tc>
          <w:tcPr>
            <w:tcW w:w="208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B00A03" w:rsidRPr="007C476E" w:rsidRDefault="00B00A03" w:rsidP="00F14CA8">
            <w:pPr>
              <w:spacing w:after="0" w:line="240" w:lineRule="auto"/>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Vitamin C</w:t>
            </w:r>
          </w:p>
        </w:tc>
        <w:tc>
          <w:tcPr>
            <w:tcW w:w="81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A</w:t>
            </w:r>
            <w:r>
              <w:rPr>
                <w:rFonts w:ascii="Times New Roman" w:eastAsia="Times New Roman" w:hAnsi="Times New Roman" w:cs="Times New Roman"/>
                <w:b/>
                <w:bCs/>
                <w:sz w:val="14"/>
                <w:szCs w:val="14"/>
              </w:rPr>
              <w:t>2P</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11.47</w:t>
            </w:r>
            <w:r w:rsidRPr="007C476E">
              <w:rPr>
                <w:rFonts w:ascii="Times New Roman" w:eastAsia="Times New Roman" w:hAnsi="Times New Roman" w:cs="Times New Roman"/>
                <w:sz w:val="14"/>
                <w:szCs w:val="14"/>
                <w:vertAlign w:val="superscript"/>
              </w:rPr>
              <w:t>a</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FF4977" w:rsidP="00FF4977">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4.66</w:t>
            </w:r>
            <w:r w:rsidR="00B00A03" w:rsidRPr="007C476E">
              <w:rPr>
                <w:rFonts w:ascii="Times New Roman" w:eastAsia="Times New Roman" w:hAnsi="Times New Roman" w:cs="Times New Roman"/>
                <w:sz w:val="14"/>
                <w:szCs w:val="14"/>
                <w:vertAlign w:val="superscript"/>
              </w:rPr>
              <w:t>a</w:t>
            </w:r>
          </w:p>
        </w:tc>
      </w:tr>
      <w:tr w:rsidR="00B00A03" w:rsidRPr="007C476E" w:rsidTr="00F14CA8">
        <w:trPr>
          <w:trHeight w:val="270"/>
        </w:trPr>
        <w:tc>
          <w:tcPr>
            <w:tcW w:w="2084" w:type="dxa"/>
            <w:vMerge/>
            <w:tcBorders>
              <w:top w:val="nil"/>
              <w:left w:val="single" w:sz="8" w:space="0" w:color="auto"/>
              <w:bottom w:val="single" w:sz="8" w:space="0" w:color="000000"/>
              <w:right w:val="single" w:sz="8" w:space="0" w:color="auto"/>
            </w:tcBorders>
            <w:vAlign w:val="center"/>
            <w:hideMark/>
          </w:tcPr>
          <w:p w:rsidR="00B00A03" w:rsidRPr="007C476E" w:rsidRDefault="00B00A03" w:rsidP="00F14CA8">
            <w:pPr>
              <w:spacing w:after="0" w:line="240" w:lineRule="auto"/>
              <w:rPr>
                <w:rFonts w:ascii="Times New Roman" w:eastAsia="Times New Roman" w:hAnsi="Times New Roman" w:cs="Times New Roman"/>
                <w:b/>
                <w:bCs/>
                <w:sz w:val="14"/>
                <w:szCs w:val="14"/>
              </w:rPr>
            </w:pPr>
          </w:p>
        </w:tc>
        <w:tc>
          <w:tcPr>
            <w:tcW w:w="81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Pr>
                <w:rFonts w:ascii="Times New Roman" w:eastAsia="Times New Roman" w:hAnsi="Times New Roman" w:cs="Times New Roman"/>
                <w:b/>
                <w:bCs/>
                <w:sz w:val="14"/>
                <w:szCs w:val="14"/>
              </w:rPr>
              <w:t>AA</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13.43</w:t>
            </w:r>
            <w:r w:rsidRPr="007C476E">
              <w:rPr>
                <w:rFonts w:ascii="Times New Roman" w:eastAsia="Times New Roman" w:hAnsi="Times New Roman" w:cs="Times New Roman"/>
                <w:sz w:val="14"/>
                <w:szCs w:val="14"/>
                <w:vertAlign w:val="superscript"/>
              </w:rPr>
              <w:t>b</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FF4977" w:rsidP="00F14CA8">
            <w:pPr>
              <w:spacing w:after="0" w:line="240" w:lineRule="auto"/>
              <w:jc w:val="center"/>
              <w:rPr>
                <w:rFonts w:ascii="Times New Roman" w:eastAsia="Times New Roman" w:hAnsi="Times New Roman" w:cs="Times New Roman"/>
                <w:sz w:val="14"/>
                <w:szCs w:val="14"/>
              </w:rPr>
            </w:pPr>
            <w:r w:rsidRPr="00FF4977">
              <w:rPr>
                <w:rFonts w:ascii="Times New Roman" w:eastAsia="Times New Roman" w:hAnsi="Times New Roman" w:cs="Times New Roman"/>
                <w:sz w:val="14"/>
                <w:szCs w:val="14"/>
              </w:rPr>
              <w:t>7.32</w:t>
            </w:r>
            <w:r w:rsidR="00B00A03" w:rsidRPr="007C476E">
              <w:rPr>
                <w:rFonts w:ascii="Times New Roman" w:eastAsia="Times New Roman" w:hAnsi="Times New Roman" w:cs="Times New Roman"/>
                <w:sz w:val="14"/>
                <w:szCs w:val="14"/>
                <w:vertAlign w:val="superscript"/>
              </w:rPr>
              <w:t>b</w:t>
            </w:r>
          </w:p>
        </w:tc>
      </w:tr>
      <w:tr w:rsidR="00B00A03" w:rsidRPr="007C476E" w:rsidTr="00F14CA8">
        <w:trPr>
          <w:trHeight w:val="270"/>
        </w:trPr>
        <w:tc>
          <w:tcPr>
            <w:tcW w:w="2084" w:type="dxa"/>
            <w:vMerge w:val="restart"/>
            <w:tcBorders>
              <w:top w:val="nil"/>
              <w:left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Pycnogel concentration</w:t>
            </w:r>
          </w:p>
        </w:tc>
        <w:tc>
          <w:tcPr>
            <w:tcW w:w="81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0%</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12.15</w:t>
            </w:r>
            <w:r w:rsidRPr="007C476E">
              <w:rPr>
                <w:rFonts w:ascii="Times New Roman" w:eastAsia="Times New Roman" w:hAnsi="Times New Roman" w:cs="Times New Roman"/>
                <w:sz w:val="14"/>
                <w:szCs w:val="14"/>
                <w:vertAlign w:val="superscript"/>
              </w:rPr>
              <w:t>b</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5.69</w:t>
            </w:r>
            <w:r w:rsidRPr="007C476E">
              <w:rPr>
                <w:rFonts w:ascii="Times New Roman" w:eastAsia="Times New Roman" w:hAnsi="Times New Roman" w:cs="Times New Roman"/>
                <w:sz w:val="14"/>
                <w:szCs w:val="14"/>
                <w:vertAlign w:val="superscript"/>
              </w:rPr>
              <w:t>b</w:t>
            </w:r>
          </w:p>
        </w:tc>
      </w:tr>
      <w:tr w:rsidR="00B00A03" w:rsidRPr="007C476E" w:rsidTr="00F14CA8">
        <w:trPr>
          <w:trHeight w:val="270"/>
        </w:trPr>
        <w:tc>
          <w:tcPr>
            <w:tcW w:w="2084" w:type="dxa"/>
            <w:vMerge/>
            <w:tcBorders>
              <w:left w:val="single" w:sz="8" w:space="0" w:color="auto"/>
              <w:right w:val="single" w:sz="8" w:space="0" w:color="auto"/>
            </w:tcBorders>
            <w:shd w:val="clear" w:color="auto" w:fill="auto"/>
            <w:vAlign w:val="center"/>
            <w:hideMark/>
          </w:tcPr>
          <w:p w:rsidR="00B00A03" w:rsidRPr="007C476E" w:rsidRDefault="00B00A03" w:rsidP="00F14CA8">
            <w:pPr>
              <w:spacing w:after="0" w:line="240" w:lineRule="auto"/>
              <w:rPr>
                <w:rFonts w:ascii="Times New Roman" w:eastAsia="Times New Roman" w:hAnsi="Times New Roman" w:cs="Times New Roman"/>
                <w:b/>
                <w:bCs/>
                <w:sz w:val="14"/>
                <w:szCs w:val="14"/>
              </w:rPr>
            </w:pPr>
          </w:p>
        </w:tc>
        <w:tc>
          <w:tcPr>
            <w:tcW w:w="81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0.01%</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14.02</w:t>
            </w:r>
            <w:r w:rsidRPr="007C476E">
              <w:rPr>
                <w:rFonts w:ascii="Times New Roman" w:eastAsia="Times New Roman" w:hAnsi="Times New Roman" w:cs="Times New Roman"/>
                <w:sz w:val="14"/>
                <w:szCs w:val="14"/>
                <w:vertAlign w:val="superscript"/>
              </w:rPr>
              <w:t>b</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7.34</w:t>
            </w:r>
            <w:r w:rsidRPr="007C476E">
              <w:rPr>
                <w:rFonts w:ascii="Times New Roman" w:eastAsia="Times New Roman" w:hAnsi="Times New Roman" w:cs="Times New Roman"/>
                <w:sz w:val="14"/>
                <w:szCs w:val="14"/>
                <w:vertAlign w:val="superscript"/>
              </w:rPr>
              <w:t>a</w:t>
            </w:r>
          </w:p>
        </w:tc>
      </w:tr>
      <w:tr w:rsidR="00B00A03" w:rsidRPr="007C476E" w:rsidTr="00F14CA8">
        <w:trPr>
          <w:trHeight w:val="270"/>
        </w:trPr>
        <w:tc>
          <w:tcPr>
            <w:tcW w:w="2084" w:type="dxa"/>
            <w:vMerge/>
            <w:tcBorders>
              <w:left w:val="single" w:sz="8" w:space="0" w:color="auto"/>
              <w:bottom w:val="single" w:sz="8" w:space="0" w:color="000000"/>
              <w:right w:val="single" w:sz="8" w:space="0" w:color="auto"/>
            </w:tcBorders>
            <w:shd w:val="clear" w:color="auto" w:fill="auto"/>
            <w:vAlign w:val="center"/>
            <w:hideMark/>
          </w:tcPr>
          <w:p w:rsidR="00B00A03" w:rsidRPr="007C476E" w:rsidRDefault="00B00A03" w:rsidP="00F14CA8">
            <w:pPr>
              <w:spacing w:after="0" w:line="240" w:lineRule="auto"/>
              <w:rPr>
                <w:rFonts w:ascii="Times New Roman" w:eastAsia="Times New Roman" w:hAnsi="Times New Roman" w:cs="Times New Roman"/>
                <w:b/>
                <w:bCs/>
                <w:sz w:val="14"/>
                <w:szCs w:val="14"/>
              </w:rPr>
            </w:pPr>
          </w:p>
        </w:tc>
        <w:tc>
          <w:tcPr>
            <w:tcW w:w="81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685114">
            <w:pPr>
              <w:spacing w:after="0" w:line="240" w:lineRule="auto"/>
              <w:jc w:val="center"/>
              <w:rPr>
                <w:rFonts w:ascii="Times New Roman" w:eastAsia="Times New Roman" w:hAnsi="Times New Roman" w:cs="Times New Roman"/>
                <w:b/>
                <w:bCs/>
                <w:sz w:val="14"/>
                <w:szCs w:val="14"/>
              </w:rPr>
            </w:pPr>
            <w:r w:rsidRPr="007C476E">
              <w:rPr>
                <w:rFonts w:ascii="Times New Roman" w:eastAsia="Times New Roman" w:hAnsi="Times New Roman" w:cs="Times New Roman"/>
                <w:b/>
                <w:bCs/>
                <w:sz w:val="14"/>
                <w:szCs w:val="14"/>
              </w:rPr>
              <w:t>0.10%</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11.19</w:t>
            </w:r>
            <w:r w:rsidRPr="007C476E">
              <w:rPr>
                <w:rFonts w:ascii="Times New Roman" w:eastAsia="Times New Roman" w:hAnsi="Times New Roman" w:cs="Times New Roman"/>
                <w:sz w:val="14"/>
                <w:szCs w:val="14"/>
                <w:vertAlign w:val="superscript"/>
              </w:rPr>
              <w:t>a</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7C476E" w:rsidRDefault="00B00A03" w:rsidP="00F14CA8">
            <w:pPr>
              <w:spacing w:after="0" w:line="240" w:lineRule="auto"/>
              <w:jc w:val="center"/>
              <w:rPr>
                <w:rFonts w:ascii="Times New Roman" w:eastAsia="Times New Roman" w:hAnsi="Times New Roman" w:cs="Times New Roman"/>
                <w:sz w:val="14"/>
                <w:szCs w:val="14"/>
              </w:rPr>
            </w:pPr>
            <w:r w:rsidRPr="007C476E">
              <w:rPr>
                <w:rFonts w:ascii="Times New Roman" w:eastAsia="Times New Roman" w:hAnsi="Times New Roman" w:cs="Times New Roman"/>
                <w:sz w:val="14"/>
                <w:szCs w:val="14"/>
              </w:rPr>
              <w:t>5.21</w:t>
            </w:r>
            <w:r w:rsidRPr="007C476E">
              <w:rPr>
                <w:rFonts w:ascii="Times New Roman" w:eastAsia="Times New Roman" w:hAnsi="Times New Roman" w:cs="Times New Roman"/>
                <w:sz w:val="14"/>
                <w:szCs w:val="14"/>
                <w:vertAlign w:val="superscript"/>
              </w:rPr>
              <w:t>b</w:t>
            </w:r>
          </w:p>
        </w:tc>
      </w:tr>
      <w:tr w:rsidR="00B00A03" w:rsidRPr="007C476E" w:rsidTr="00F14CA8">
        <w:trPr>
          <w:trHeight w:val="270"/>
        </w:trPr>
        <w:tc>
          <w:tcPr>
            <w:tcW w:w="2084" w:type="dxa"/>
            <w:tcBorders>
              <w:top w:val="nil"/>
              <w:left w:val="single" w:sz="8" w:space="0" w:color="auto"/>
              <w:bottom w:val="single" w:sz="8" w:space="0" w:color="000000"/>
              <w:right w:val="single" w:sz="8" w:space="0" w:color="auto"/>
            </w:tcBorders>
            <w:shd w:val="clear" w:color="auto" w:fill="auto"/>
            <w:vAlign w:val="center"/>
            <w:hideMark/>
          </w:tcPr>
          <w:p w:rsidR="00B00A03" w:rsidRPr="007C476E" w:rsidRDefault="00B00A03" w:rsidP="00F14CA8">
            <w:pPr>
              <w:spacing w:after="0" w:line="240" w:lineRule="auto"/>
              <w:rPr>
                <w:rFonts w:ascii="Times New Roman" w:eastAsia="Times New Roman" w:hAnsi="Times New Roman" w:cs="Times New Roman"/>
                <w:b/>
                <w:bCs/>
                <w:sz w:val="14"/>
                <w:szCs w:val="14"/>
              </w:rPr>
            </w:pPr>
            <w:r>
              <w:rPr>
                <w:rFonts w:ascii="Times New Roman" w:eastAsia="Times New Roman" w:hAnsi="Times New Roman" w:cs="Times New Roman"/>
                <w:b/>
                <w:bCs/>
                <w:sz w:val="14"/>
                <w:szCs w:val="14"/>
              </w:rPr>
              <w:t>Vitamin C*Pycnogenol</w:t>
            </w:r>
          </w:p>
        </w:tc>
        <w:tc>
          <w:tcPr>
            <w:tcW w:w="810" w:type="dxa"/>
            <w:tcBorders>
              <w:top w:val="nil"/>
              <w:left w:val="nil"/>
              <w:bottom w:val="single" w:sz="8" w:space="0" w:color="auto"/>
              <w:right w:val="single" w:sz="8" w:space="0" w:color="auto"/>
            </w:tcBorders>
            <w:shd w:val="clear" w:color="auto" w:fill="auto"/>
            <w:noWrap/>
            <w:vAlign w:val="center"/>
            <w:hideMark/>
          </w:tcPr>
          <w:p w:rsidR="00B00A03" w:rsidRPr="007C476E" w:rsidRDefault="00685114" w:rsidP="00685114">
            <w:pPr>
              <w:spacing w:after="0" w:line="240" w:lineRule="auto"/>
              <w:jc w:val="center"/>
              <w:rPr>
                <w:rFonts w:ascii="Times New Roman" w:eastAsia="Times New Roman" w:hAnsi="Times New Roman" w:cs="Times New Roman"/>
                <w:b/>
                <w:bCs/>
                <w:sz w:val="14"/>
                <w:szCs w:val="14"/>
              </w:rPr>
            </w:pPr>
            <w:r>
              <w:rPr>
                <w:rFonts w:ascii="Times New Roman" w:eastAsia="Times New Roman" w:hAnsi="Times New Roman" w:cs="Times New Roman"/>
                <w:b/>
                <w:bCs/>
                <w:sz w:val="14"/>
                <w:szCs w:val="14"/>
              </w:rPr>
              <w:t>Interaction</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447C0F" w:rsidRDefault="00B00A03" w:rsidP="00F14CA8">
            <w:pPr>
              <w:spacing w:after="0" w:line="240" w:lineRule="auto"/>
              <w:jc w:val="center"/>
              <w:rPr>
                <w:rFonts w:ascii="Times New Roman" w:eastAsia="Times New Roman" w:hAnsi="Times New Roman" w:cs="Times New Roman"/>
                <w:bCs/>
                <w:sz w:val="14"/>
                <w:szCs w:val="14"/>
              </w:rPr>
            </w:pPr>
            <w:r w:rsidRPr="00447C0F">
              <w:rPr>
                <w:rFonts w:ascii="Times New Roman" w:eastAsia="Times New Roman" w:hAnsi="Times New Roman" w:cs="Times New Roman"/>
                <w:bCs/>
                <w:sz w:val="14"/>
                <w:szCs w:val="14"/>
              </w:rPr>
              <w:t>n.s.</w:t>
            </w:r>
          </w:p>
        </w:tc>
        <w:tc>
          <w:tcPr>
            <w:tcW w:w="1890" w:type="dxa"/>
            <w:tcBorders>
              <w:top w:val="nil"/>
              <w:left w:val="nil"/>
              <w:bottom w:val="single" w:sz="8" w:space="0" w:color="auto"/>
              <w:right w:val="single" w:sz="8" w:space="0" w:color="auto"/>
            </w:tcBorders>
            <w:shd w:val="clear" w:color="auto" w:fill="auto"/>
            <w:noWrap/>
            <w:vAlign w:val="center"/>
            <w:hideMark/>
          </w:tcPr>
          <w:p w:rsidR="00B00A03" w:rsidRPr="00447C0F" w:rsidRDefault="00B00A03" w:rsidP="00F14CA8">
            <w:pPr>
              <w:spacing w:after="0" w:line="240" w:lineRule="auto"/>
              <w:jc w:val="center"/>
              <w:rPr>
                <w:rFonts w:ascii="Times New Roman" w:eastAsia="Times New Roman" w:hAnsi="Times New Roman" w:cs="Times New Roman"/>
                <w:sz w:val="14"/>
                <w:szCs w:val="14"/>
              </w:rPr>
            </w:pPr>
            <w:r w:rsidRPr="00447C0F">
              <w:rPr>
                <w:rFonts w:ascii="Times New Roman" w:eastAsia="Times New Roman" w:hAnsi="Times New Roman" w:cs="Times New Roman"/>
                <w:sz w:val="14"/>
                <w:szCs w:val="14"/>
              </w:rPr>
              <w:t>n.s.</w:t>
            </w:r>
          </w:p>
        </w:tc>
      </w:tr>
    </w:tbl>
    <w:p w:rsidR="00B00A03" w:rsidRPr="00FA4577" w:rsidRDefault="00B00A03" w:rsidP="00B00A03">
      <w:pPr>
        <w:spacing w:after="0" w:line="240" w:lineRule="auto"/>
        <w:rPr>
          <w:rFonts w:ascii="Times New Roman" w:hAnsi="Times New Roman" w:cs="Times New Roman"/>
          <w:sz w:val="14"/>
          <w:szCs w:val="14"/>
        </w:rPr>
      </w:pPr>
      <w:r w:rsidRPr="00FA4577">
        <w:rPr>
          <w:rFonts w:ascii="Times New Roman" w:hAnsi="Times New Roman" w:cs="Times New Roman"/>
          <w:sz w:val="14"/>
          <w:szCs w:val="14"/>
        </w:rPr>
        <w:t>Different letters indicate significant differences (p&lt;0.0</w:t>
      </w:r>
      <w:r>
        <w:rPr>
          <w:rFonts w:ascii="Times New Roman" w:hAnsi="Times New Roman" w:cs="Times New Roman"/>
          <w:sz w:val="14"/>
          <w:szCs w:val="14"/>
        </w:rPr>
        <w:t>5</w:t>
      </w:r>
      <w:r w:rsidRPr="00FA4577">
        <w:rPr>
          <w:rFonts w:ascii="Times New Roman" w:hAnsi="Times New Roman" w:cs="Times New Roman"/>
          <w:sz w:val="14"/>
          <w:szCs w:val="14"/>
        </w:rPr>
        <w:t>) exist between means of the levels within each factor.</w:t>
      </w:r>
    </w:p>
    <w:p w:rsidR="00B00A03" w:rsidRDefault="00B00A03" w:rsidP="00B00A03">
      <w:pPr>
        <w:spacing w:after="0" w:line="240" w:lineRule="auto"/>
        <w:rPr>
          <w:rFonts w:ascii="Times New Roman" w:hAnsi="Times New Roman" w:cs="Times New Roman"/>
          <w:sz w:val="14"/>
          <w:szCs w:val="14"/>
        </w:rPr>
      </w:pPr>
      <w:proofErr w:type="gramStart"/>
      <w:r>
        <w:rPr>
          <w:rFonts w:ascii="Times New Roman" w:hAnsi="Times New Roman" w:cs="Times New Roman"/>
          <w:sz w:val="14"/>
          <w:szCs w:val="14"/>
        </w:rPr>
        <w:t>n.s</w:t>
      </w:r>
      <w:proofErr w:type="gramEnd"/>
      <w:r>
        <w:rPr>
          <w:rFonts w:ascii="Times New Roman" w:hAnsi="Times New Roman" w:cs="Times New Roman"/>
          <w:sz w:val="14"/>
          <w:szCs w:val="14"/>
        </w:rPr>
        <w:t>. and * correspond to non-significant (p&gt;0.05) and significant (p&lt;0.05) effects due to interaction of CaCl</w:t>
      </w:r>
      <w:r w:rsidRPr="00A70E27">
        <w:rPr>
          <w:rFonts w:ascii="Times New Roman" w:hAnsi="Times New Roman" w:cs="Times New Roman"/>
          <w:sz w:val="14"/>
          <w:szCs w:val="14"/>
          <w:vertAlign w:val="subscript"/>
        </w:rPr>
        <w:t>2</w:t>
      </w:r>
      <w:r>
        <w:rPr>
          <w:rFonts w:ascii="Times New Roman" w:hAnsi="Times New Roman" w:cs="Times New Roman"/>
          <w:sz w:val="14"/>
          <w:szCs w:val="14"/>
        </w:rPr>
        <w:t xml:space="preserve"> and flavonoid, respectively.</w:t>
      </w:r>
    </w:p>
    <w:p w:rsidR="00B00A03" w:rsidRPr="00153E32" w:rsidRDefault="00B00A03" w:rsidP="00B00A03">
      <w:pPr>
        <w:outlineLvl w:val="0"/>
        <w:rPr>
          <w:rFonts w:ascii="Times New Roman" w:hAnsi="Times New Roman" w:cs="Times New Roman"/>
          <w:b/>
          <w:sz w:val="24"/>
          <w:szCs w:val="24"/>
        </w:rPr>
      </w:pPr>
      <w:r w:rsidRPr="00153E32">
        <w:rPr>
          <w:rFonts w:ascii="Times New Roman" w:hAnsi="Times New Roman" w:cs="Times New Roman"/>
          <w:b/>
          <w:sz w:val="24"/>
          <w:szCs w:val="24"/>
        </w:rPr>
        <w:lastRenderedPageBreak/>
        <w:t>Table 8: Rate constants of L*, a* and ∆E* parameters</w:t>
      </w:r>
    </w:p>
    <w:tbl>
      <w:tblPr>
        <w:tblW w:w="10260" w:type="dxa"/>
        <w:jc w:val="center"/>
        <w:tblInd w:w="-252" w:type="dxa"/>
        <w:tblLook w:val="04A0"/>
      </w:tblPr>
      <w:tblGrid>
        <w:gridCol w:w="631"/>
        <w:gridCol w:w="652"/>
        <w:gridCol w:w="880"/>
        <w:gridCol w:w="579"/>
        <w:gridCol w:w="1218"/>
        <w:gridCol w:w="540"/>
        <w:gridCol w:w="720"/>
        <w:gridCol w:w="1260"/>
        <w:gridCol w:w="630"/>
        <w:gridCol w:w="671"/>
        <w:gridCol w:w="1219"/>
        <w:gridCol w:w="540"/>
        <w:gridCol w:w="720"/>
      </w:tblGrid>
      <w:tr w:rsidR="00B00A03" w:rsidRPr="00FA4577" w:rsidTr="008858A7">
        <w:trPr>
          <w:trHeight w:val="255"/>
          <w:jc w:val="center"/>
        </w:trPr>
        <w:tc>
          <w:tcPr>
            <w:tcW w:w="63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Treat.</w:t>
            </w:r>
            <w:r w:rsidRPr="00FA4577">
              <w:rPr>
                <w:rFonts w:ascii="Times New Roman" w:eastAsia="Times New Roman" w:hAnsi="Times New Roman" w:cs="Times New Roman"/>
                <w:b/>
                <w:sz w:val="14"/>
                <w:szCs w:val="14"/>
                <w:vertAlign w:val="superscript"/>
              </w:rPr>
              <w:t>a</w:t>
            </w:r>
          </w:p>
        </w:tc>
        <w:tc>
          <w:tcPr>
            <w:tcW w:w="6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Temp.</w:t>
            </w:r>
            <w:r w:rsidRPr="00FA4577">
              <w:rPr>
                <w:rFonts w:ascii="Times New Roman" w:eastAsia="Times New Roman" w:hAnsi="Times New Roman" w:cs="Times New Roman"/>
                <w:b/>
                <w:sz w:val="14"/>
                <w:szCs w:val="14"/>
                <w:vertAlign w:val="superscript"/>
              </w:rPr>
              <w:t>b</w:t>
            </w:r>
          </w:p>
        </w:tc>
        <w:tc>
          <w:tcPr>
            <w:tcW w:w="8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Model</w:t>
            </w:r>
          </w:p>
        </w:tc>
        <w:tc>
          <w:tcPr>
            <w:tcW w:w="57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Para.</w:t>
            </w:r>
            <w:r w:rsidRPr="00FA4577">
              <w:rPr>
                <w:rFonts w:ascii="Times New Roman" w:eastAsia="Times New Roman" w:hAnsi="Times New Roman" w:cs="Times New Roman"/>
                <w:b/>
                <w:sz w:val="14"/>
                <w:szCs w:val="14"/>
                <w:vertAlign w:val="superscript"/>
              </w:rPr>
              <w:t>c</w:t>
            </w:r>
          </w:p>
        </w:tc>
        <w:tc>
          <w:tcPr>
            <w:tcW w:w="2478" w:type="dxa"/>
            <w:gridSpan w:val="3"/>
            <w:tcBorders>
              <w:top w:val="single" w:sz="4" w:space="0" w:color="auto"/>
              <w:left w:val="nil"/>
              <w:bottom w:val="single" w:sz="4" w:space="0" w:color="auto"/>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L*</w:t>
            </w:r>
          </w:p>
        </w:tc>
        <w:tc>
          <w:tcPr>
            <w:tcW w:w="2561" w:type="dxa"/>
            <w:gridSpan w:val="3"/>
            <w:tcBorders>
              <w:top w:val="single" w:sz="4" w:space="0" w:color="auto"/>
              <w:left w:val="nil"/>
              <w:bottom w:val="single" w:sz="4" w:space="0" w:color="auto"/>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a*</w:t>
            </w:r>
          </w:p>
        </w:tc>
        <w:tc>
          <w:tcPr>
            <w:tcW w:w="2479" w:type="dxa"/>
            <w:gridSpan w:val="3"/>
            <w:tcBorders>
              <w:top w:val="single" w:sz="4" w:space="0" w:color="auto"/>
              <w:left w:val="nil"/>
              <w:bottom w:val="single" w:sz="4" w:space="0" w:color="auto"/>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∆E*</w:t>
            </w:r>
          </w:p>
        </w:tc>
      </w:tr>
      <w:tr w:rsidR="00B00A03" w:rsidRPr="00FA4577" w:rsidTr="008858A7">
        <w:trPr>
          <w:trHeight w:val="255"/>
          <w:jc w:val="center"/>
        </w:trPr>
        <w:tc>
          <w:tcPr>
            <w:tcW w:w="631" w:type="dxa"/>
            <w:vMerge/>
            <w:tcBorders>
              <w:top w:val="single" w:sz="4" w:space="0" w:color="auto"/>
              <w:left w:val="single" w:sz="4" w:space="0" w:color="auto"/>
              <w:bottom w:val="single" w:sz="4" w:space="0" w:color="auto"/>
              <w:right w:val="single" w:sz="4" w:space="0" w:color="auto"/>
            </w:tcBorders>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p>
        </w:tc>
        <w:tc>
          <w:tcPr>
            <w:tcW w:w="652" w:type="dxa"/>
            <w:vMerge/>
            <w:tcBorders>
              <w:top w:val="single" w:sz="4" w:space="0" w:color="auto"/>
              <w:left w:val="single" w:sz="4" w:space="0" w:color="auto"/>
              <w:bottom w:val="single" w:sz="4" w:space="0" w:color="auto"/>
              <w:right w:val="single" w:sz="4" w:space="0" w:color="auto"/>
            </w:tcBorders>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p>
        </w:tc>
        <w:tc>
          <w:tcPr>
            <w:tcW w:w="880" w:type="dxa"/>
            <w:vMerge/>
            <w:tcBorders>
              <w:top w:val="single" w:sz="4" w:space="0" w:color="auto"/>
              <w:left w:val="single" w:sz="4" w:space="0" w:color="auto"/>
              <w:bottom w:val="single" w:sz="4" w:space="0" w:color="auto"/>
              <w:right w:val="single" w:sz="4" w:space="0" w:color="auto"/>
            </w:tcBorders>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p>
        </w:tc>
        <w:tc>
          <w:tcPr>
            <w:tcW w:w="579" w:type="dxa"/>
            <w:vMerge/>
            <w:tcBorders>
              <w:top w:val="single" w:sz="4" w:space="0" w:color="auto"/>
              <w:left w:val="single" w:sz="4" w:space="0" w:color="auto"/>
              <w:bottom w:val="single" w:sz="4" w:space="0" w:color="000000"/>
              <w:right w:val="single" w:sz="4" w:space="0" w:color="auto"/>
            </w:tcBorders>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p>
        </w:tc>
        <w:tc>
          <w:tcPr>
            <w:tcW w:w="1218" w:type="dxa"/>
            <w:tcBorders>
              <w:top w:val="single" w:sz="4" w:space="0" w:color="auto"/>
              <w:left w:val="nil"/>
              <w:bottom w:val="single" w:sz="4" w:space="0" w:color="auto"/>
              <w:right w:val="nil"/>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Estimate (day</w:t>
            </w:r>
            <w:r w:rsidRPr="003174F8">
              <w:rPr>
                <w:rFonts w:ascii="Times New Roman" w:eastAsia="Times New Roman" w:hAnsi="Times New Roman" w:cs="Times New Roman"/>
                <w:b/>
                <w:sz w:val="14"/>
                <w:szCs w:val="14"/>
                <w:vertAlign w:val="superscript"/>
              </w:rPr>
              <w:t>-1</w:t>
            </w:r>
            <w:r w:rsidRPr="00FA4577">
              <w:rPr>
                <w:rFonts w:ascii="Times New Roman" w:eastAsia="Times New Roman" w:hAnsi="Times New Roman" w:cs="Times New Roman"/>
                <w:b/>
                <w:sz w:val="14"/>
                <w:szCs w:val="14"/>
              </w:rPr>
              <w:t>)</w:t>
            </w:r>
          </w:p>
        </w:tc>
        <w:tc>
          <w:tcPr>
            <w:tcW w:w="540" w:type="dxa"/>
            <w:tcBorders>
              <w:top w:val="nil"/>
              <w:left w:val="single" w:sz="4" w:space="0" w:color="auto"/>
              <w:bottom w:val="nil"/>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R</w:t>
            </w:r>
            <w:r w:rsidRPr="00FA4577">
              <w:rPr>
                <w:rFonts w:ascii="Times New Roman" w:eastAsia="Times New Roman" w:hAnsi="Times New Roman" w:cs="Times New Roman"/>
                <w:b/>
                <w:sz w:val="14"/>
                <w:szCs w:val="14"/>
                <w:vertAlign w:val="superscript"/>
              </w:rPr>
              <w:t>2</w:t>
            </w:r>
          </w:p>
        </w:tc>
        <w:tc>
          <w:tcPr>
            <w:tcW w:w="720" w:type="dxa"/>
            <w:tcBorders>
              <w:top w:val="nil"/>
              <w:left w:val="nil"/>
              <w:bottom w:val="nil"/>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RMSE</w:t>
            </w:r>
            <w:r w:rsidRPr="00FA4577">
              <w:rPr>
                <w:rFonts w:ascii="Times New Roman" w:eastAsia="Times New Roman" w:hAnsi="Times New Roman" w:cs="Times New Roman"/>
                <w:b/>
                <w:sz w:val="14"/>
                <w:szCs w:val="14"/>
                <w:vertAlign w:val="superscript"/>
              </w:rPr>
              <w:t>d</w:t>
            </w:r>
          </w:p>
        </w:tc>
        <w:tc>
          <w:tcPr>
            <w:tcW w:w="1260" w:type="dxa"/>
            <w:tcBorders>
              <w:top w:val="single" w:sz="4" w:space="0" w:color="auto"/>
              <w:left w:val="nil"/>
              <w:bottom w:val="single" w:sz="4" w:space="0" w:color="auto"/>
              <w:right w:val="nil"/>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Estimate (day</w:t>
            </w:r>
            <w:r w:rsidRPr="003174F8">
              <w:rPr>
                <w:rFonts w:ascii="Times New Roman" w:eastAsia="Times New Roman" w:hAnsi="Times New Roman" w:cs="Times New Roman"/>
                <w:b/>
                <w:sz w:val="14"/>
                <w:szCs w:val="14"/>
                <w:vertAlign w:val="superscript"/>
              </w:rPr>
              <w:t>-1</w:t>
            </w:r>
            <w:r w:rsidRPr="00FA4577">
              <w:rPr>
                <w:rFonts w:ascii="Times New Roman" w:eastAsia="Times New Roman" w:hAnsi="Times New Roman" w:cs="Times New Roman"/>
                <w:b/>
                <w:sz w:val="14"/>
                <w:szCs w:val="14"/>
              </w:rPr>
              <w:t>)</w:t>
            </w:r>
          </w:p>
        </w:tc>
        <w:tc>
          <w:tcPr>
            <w:tcW w:w="630" w:type="dxa"/>
            <w:tcBorders>
              <w:top w:val="nil"/>
              <w:left w:val="single" w:sz="4" w:space="0" w:color="auto"/>
              <w:bottom w:val="nil"/>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R</w:t>
            </w:r>
            <w:r w:rsidRPr="00FA4577">
              <w:rPr>
                <w:rFonts w:ascii="Times New Roman" w:eastAsia="Times New Roman" w:hAnsi="Times New Roman" w:cs="Times New Roman"/>
                <w:b/>
                <w:sz w:val="14"/>
                <w:szCs w:val="14"/>
                <w:vertAlign w:val="superscript"/>
              </w:rPr>
              <w:t>2</w:t>
            </w:r>
          </w:p>
        </w:tc>
        <w:tc>
          <w:tcPr>
            <w:tcW w:w="671" w:type="dxa"/>
            <w:tcBorders>
              <w:top w:val="nil"/>
              <w:left w:val="nil"/>
              <w:bottom w:val="nil"/>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RMSE</w:t>
            </w:r>
            <w:r w:rsidRPr="00FA4577">
              <w:rPr>
                <w:rFonts w:ascii="Times New Roman" w:eastAsia="Times New Roman" w:hAnsi="Times New Roman" w:cs="Times New Roman"/>
                <w:b/>
                <w:sz w:val="14"/>
                <w:szCs w:val="14"/>
                <w:vertAlign w:val="superscript"/>
              </w:rPr>
              <w:t>d</w:t>
            </w:r>
          </w:p>
        </w:tc>
        <w:tc>
          <w:tcPr>
            <w:tcW w:w="1219" w:type="dxa"/>
            <w:tcBorders>
              <w:top w:val="single" w:sz="4" w:space="0" w:color="auto"/>
              <w:left w:val="nil"/>
              <w:bottom w:val="single" w:sz="4" w:space="0" w:color="auto"/>
              <w:right w:val="nil"/>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Estimate (day</w:t>
            </w:r>
            <w:r w:rsidRPr="003174F8">
              <w:rPr>
                <w:rFonts w:ascii="Times New Roman" w:eastAsia="Times New Roman" w:hAnsi="Times New Roman" w:cs="Times New Roman"/>
                <w:b/>
                <w:sz w:val="14"/>
                <w:szCs w:val="14"/>
                <w:vertAlign w:val="superscript"/>
              </w:rPr>
              <w:t>-1</w:t>
            </w:r>
            <w:r w:rsidRPr="00FA4577">
              <w:rPr>
                <w:rFonts w:ascii="Times New Roman" w:eastAsia="Times New Roman" w:hAnsi="Times New Roman" w:cs="Times New Roman"/>
                <w:b/>
                <w:sz w:val="14"/>
                <w:szCs w:val="14"/>
              </w:rPr>
              <w:t>)</w:t>
            </w:r>
          </w:p>
        </w:tc>
        <w:tc>
          <w:tcPr>
            <w:tcW w:w="540" w:type="dxa"/>
            <w:tcBorders>
              <w:top w:val="nil"/>
              <w:left w:val="single" w:sz="4" w:space="0" w:color="auto"/>
              <w:bottom w:val="nil"/>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R</w:t>
            </w:r>
            <w:r w:rsidRPr="00FA4577">
              <w:rPr>
                <w:rFonts w:ascii="Times New Roman" w:eastAsia="Times New Roman" w:hAnsi="Times New Roman" w:cs="Times New Roman"/>
                <w:b/>
                <w:sz w:val="14"/>
                <w:szCs w:val="14"/>
                <w:vertAlign w:val="superscript"/>
              </w:rPr>
              <w:t>2</w:t>
            </w:r>
          </w:p>
        </w:tc>
        <w:tc>
          <w:tcPr>
            <w:tcW w:w="720" w:type="dxa"/>
            <w:tcBorders>
              <w:top w:val="nil"/>
              <w:left w:val="nil"/>
              <w:bottom w:val="nil"/>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RMSE</w:t>
            </w:r>
            <w:r w:rsidRPr="00FA4577">
              <w:rPr>
                <w:rFonts w:ascii="Times New Roman" w:eastAsia="Times New Roman" w:hAnsi="Times New Roman" w:cs="Times New Roman"/>
                <w:b/>
                <w:sz w:val="14"/>
                <w:szCs w:val="14"/>
                <w:vertAlign w:val="superscript"/>
              </w:rPr>
              <w:t>d</w:t>
            </w:r>
          </w:p>
        </w:tc>
      </w:tr>
      <w:tr w:rsidR="00DF6BE1" w:rsidRPr="00FA4577" w:rsidTr="008858A7">
        <w:trPr>
          <w:trHeight w:val="255"/>
          <w:jc w:val="center"/>
        </w:trPr>
        <w:tc>
          <w:tcPr>
            <w:tcW w:w="631" w:type="dxa"/>
            <w:vMerge w:val="restart"/>
            <w:tcBorders>
              <w:top w:val="nil"/>
              <w:left w:val="single" w:sz="4" w:space="0" w:color="auto"/>
              <w:bottom w:val="single" w:sz="4" w:space="0" w:color="000000"/>
              <w:right w:val="nil"/>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w:t>
            </w: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880"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nil"/>
              <w:bottom w:val="nil"/>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DF6BE1" w:rsidRPr="00FA4577" w:rsidRDefault="00DF6BE1"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-0.21</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0.03</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0.92</w:t>
            </w:r>
          </w:p>
        </w:tc>
        <w:tc>
          <w:tcPr>
            <w:tcW w:w="720" w:type="dxa"/>
            <w:tcBorders>
              <w:top w:val="single" w:sz="4" w:space="0" w:color="auto"/>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1.34</w:t>
            </w:r>
          </w:p>
        </w:tc>
        <w:tc>
          <w:tcPr>
            <w:tcW w:w="1260"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0.96</w:t>
            </w:r>
          </w:p>
        </w:tc>
        <w:tc>
          <w:tcPr>
            <w:tcW w:w="671" w:type="dxa"/>
            <w:tcBorders>
              <w:top w:val="single" w:sz="4" w:space="0" w:color="auto"/>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0.63</w:t>
            </w:r>
          </w:p>
        </w:tc>
        <w:tc>
          <w:tcPr>
            <w:tcW w:w="1219"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0.33</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0.05</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0.93</w:t>
            </w:r>
          </w:p>
        </w:tc>
        <w:tc>
          <w:tcPr>
            <w:tcW w:w="720" w:type="dxa"/>
            <w:tcBorders>
              <w:top w:val="single" w:sz="4" w:space="0" w:color="auto"/>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1.89</w:t>
            </w: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single" w:sz="4" w:space="0" w:color="auto"/>
              <w:left w:val="single" w:sz="4" w:space="0" w:color="auto"/>
              <w:bottom w:val="nil"/>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DF6BE1" w:rsidRPr="00FA4577" w:rsidRDefault="00DF6BE1" w:rsidP="000844AC">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2.1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0.62</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0.56</w:t>
            </w:r>
          </w:p>
        </w:tc>
        <w:tc>
          <w:tcPr>
            <w:tcW w:w="1260" w:type="dxa"/>
            <w:tcBorders>
              <w:top w:val="nil"/>
              <w:left w:val="nil"/>
              <w:bottom w:val="nil"/>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0.30</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0.03</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0.42</w:t>
            </w:r>
          </w:p>
        </w:tc>
        <w:tc>
          <w:tcPr>
            <w:tcW w:w="1219" w:type="dxa"/>
            <w:tcBorders>
              <w:top w:val="nil"/>
              <w:left w:val="nil"/>
              <w:bottom w:val="nil"/>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0.77</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0.04</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0.26</w:t>
            </w: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DF6BE1" w:rsidRPr="00FA4577" w:rsidRDefault="00DF6BE1"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0.05</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0.03</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0.05</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880" w:type="dxa"/>
            <w:tcBorders>
              <w:top w:val="nil"/>
              <w:left w:val="nil"/>
              <w:bottom w:val="single" w:sz="4" w:space="0" w:color="auto"/>
              <w:right w:val="nil"/>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-0.04</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w:t>
            </w:r>
            <w:r w:rsidR="005557B4">
              <w:rPr>
                <w:rFonts w:ascii="Times New Roman" w:eastAsia="Times New Roman" w:hAnsi="Times New Roman" w:cs="Times New Roman"/>
                <w:sz w:val="14"/>
                <w:szCs w:val="14"/>
              </w:rPr>
              <w:t>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w:t>
            </w:r>
          </w:p>
        </w:tc>
        <w:tc>
          <w:tcPr>
            <w:tcW w:w="720"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0.68</w:t>
            </w:r>
          </w:p>
        </w:tc>
        <w:tc>
          <w:tcPr>
            <w:tcW w:w="1260"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0.06</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0.004</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p>
        </w:tc>
        <w:tc>
          <w:tcPr>
            <w:tcW w:w="671"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0.30</w:t>
            </w:r>
          </w:p>
        </w:tc>
        <w:tc>
          <w:tcPr>
            <w:tcW w:w="1219"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0.08</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0.82</w:t>
            </w:r>
          </w:p>
        </w:tc>
        <w:tc>
          <w:tcPr>
            <w:tcW w:w="720"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1.56</w:t>
            </w: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DF6BE1" w:rsidRPr="00FA4577" w:rsidRDefault="00DF6BE1" w:rsidP="000844AC">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0.4</w:t>
            </w:r>
            <w:r w:rsidR="005557B4">
              <w:rPr>
                <w:rFonts w:ascii="Times New Roman" w:eastAsia="Times New Roman" w:hAnsi="Times New Roman" w:cs="Times New Roman"/>
                <w:sz w:val="14"/>
                <w:szCs w:val="14"/>
              </w:rPr>
              <w:t>0</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0.63</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0.96</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0.76</w:t>
            </w:r>
          </w:p>
        </w:tc>
        <w:tc>
          <w:tcPr>
            <w:tcW w:w="1260" w:type="dxa"/>
            <w:tcBorders>
              <w:top w:val="nil"/>
              <w:left w:val="nil"/>
              <w:bottom w:val="nil"/>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0.06</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0.005</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0.34</w:t>
            </w:r>
          </w:p>
        </w:tc>
        <w:tc>
          <w:tcPr>
            <w:tcW w:w="1219" w:type="dxa"/>
            <w:tcBorders>
              <w:top w:val="nil"/>
              <w:left w:val="nil"/>
              <w:bottom w:val="nil"/>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0.19</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0.09</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1.24</w:t>
            </w: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0.01</w:t>
            </w:r>
          </w:p>
        </w:tc>
        <w:tc>
          <w:tcPr>
            <w:tcW w:w="54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0.006</w:t>
            </w:r>
          </w:p>
        </w:tc>
        <w:tc>
          <w:tcPr>
            <w:tcW w:w="63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0.03</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r>
      <w:tr w:rsidR="00DF6BE1" w:rsidRPr="00FA4577" w:rsidTr="008858A7">
        <w:trPr>
          <w:trHeight w:val="255"/>
          <w:jc w:val="center"/>
        </w:trPr>
        <w:tc>
          <w:tcPr>
            <w:tcW w:w="631" w:type="dxa"/>
            <w:vMerge w:val="restart"/>
            <w:tcBorders>
              <w:top w:val="nil"/>
              <w:left w:val="single" w:sz="4" w:space="0" w:color="auto"/>
              <w:bottom w:val="single" w:sz="4" w:space="0" w:color="000000"/>
              <w:right w:val="nil"/>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B</w:t>
            </w: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880" w:type="dxa"/>
            <w:tcBorders>
              <w:top w:val="nil"/>
              <w:left w:val="nil"/>
              <w:bottom w:val="single" w:sz="4" w:space="0" w:color="auto"/>
              <w:right w:val="nil"/>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DF6BE1" w:rsidRPr="00FA4577" w:rsidRDefault="00DF6BE1"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-0.23</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0.03</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0.93</w:t>
            </w:r>
          </w:p>
        </w:tc>
        <w:tc>
          <w:tcPr>
            <w:tcW w:w="720"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1.28</w:t>
            </w:r>
          </w:p>
        </w:tc>
        <w:tc>
          <w:tcPr>
            <w:tcW w:w="1260"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0.97</w:t>
            </w:r>
          </w:p>
        </w:tc>
        <w:tc>
          <w:tcPr>
            <w:tcW w:w="671"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0.85</w:t>
            </w:r>
          </w:p>
        </w:tc>
        <w:tc>
          <w:tcPr>
            <w:tcW w:w="1219"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0.34</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0.03</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p>
        </w:tc>
        <w:tc>
          <w:tcPr>
            <w:tcW w:w="720"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1.04</w:t>
            </w: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DF6BE1" w:rsidRPr="00FA4577" w:rsidRDefault="00DF6BE1"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0.37</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1.17</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0.94</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1.42</w:t>
            </w:r>
          </w:p>
        </w:tc>
        <w:tc>
          <w:tcPr>
            <w:tcW w:w="1260" w:type="dxa"/>
            <w:tcBorders>
              <w:top w:val="nil"/>
              <w:left w:val="nil"/>
              <w:bottom w:val="nil"/>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0.27</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0.04</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0.69</w:t>
            </w:r>
          </w:p>
        </w:tc>
        <w:tc>
          <w:tcPr>
            <w:tcW w:w="1219" w:type="dxa"/>
            <w:tcBorders>
              <w:top w:val="nil"/>
              <w:left w:val="nil"/>
              <w:bottom w:val="nil"/>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0.45</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0.07</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0.83</w:t>
            </w: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DF6BE1" w:rsidRPr="00FA4577" w:rsidRDefault="00DF6BE1"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0.03</w:t>
            </w:r>
          </w:p>
        </w:tc>
        <w:tc>
          <w:tcPr>
            <w:tcW w:w="54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w:t>
            </w:r>
            <w:r w:rsidR="008858A7">
              <w:rPr>
                <w:rFonts w:ascii="Times New Roman" w:eastAsia="Times New Roman" w:hAnsi="Times New Roman" w:cs="Times New Roman"/>
                <w:sz w:val="14"/>
                <w:szCs w:val="14"/>
              </w:rPr>
              <w:t>1</w:t>
            </w:r>
          </w:p>
        </w:tc>
        <w:tc>
          <w:tcPr>
            <w:tcW w:w="54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880" w:type="dxa"/>
            <w:tcBorders>
              <w:top w:val="nil"/>
              <w:left w:val="nil"/>
              <w:bottom w:val="single" w:sz="4" w:space="0" w:color="auto"/>
              <w:right w:val="nil"/>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-0.07</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w:t>
            </w:r>
            <w:r w:rsidR="005557B4">
              <w:rPr>
                <w:rFonts w:ascii="Times New Roman" w:eastAsia="Times New Roman" w:hAnsi="Times New Roman" w:cs="Times New Roman"/>
                <w:sz w:val="14"/>
                <w:szCs w:val="14"/>
              </w:rPr>
              <w:t>2</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0.84</w:t>
            </w:r>
          </w:p>
        </w:tc>
        <w:tc>
          <w:tcPr>
            <w:tcW w:w="720"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0.80</w:t>
            </w:r>
          </w:p>
        </w:tc>
        <w:tc>
          <w:tcPr>
            <w:tcW w:w="1260"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0.05</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0.003</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0.24</w:t>
            </w:r>
          </w:p>
        </w:tc>
        <w:tc>
          <w:tcPr>
            <w:tcW w:w="1219"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0.10</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008858A7">
              <w:rPr>
                <w:rFonts w:ascii="Times New Roman" w:eastAsia="Times New Roman" w:hAnsi="Times New Roman" w:cs="Times New Roman"/>
                <w:sz w:val="14"/>
                <w:szCs w:val="14"/>
              </w:rPr>
              <w:t>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0.94</w:t>
            </w:r>
          </w:p>
        </w:tc>
        <w:tc>
          <w:tcPr>
            <w:tcW w:w="720"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1.09</w:t>
            </w: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DF6BE1" w:rsidRPr="00FA4577" w:rsidRDefault="00DF6BE1"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-0.73</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1.0</w:t>
            </w:r>
            <w:r w:rsidR="005557B4">
              <w:rPr>
                <w:rFonts w:ascii="Times New Roman" w:eastAsia="Times New Roman" w:hAnsi="Times New Roman" w:cs="Times New Roman"/>
                <w:sz w:val="14"/>
                <w:szCs w:val="14"/>
              </w:rPr>
              <w:t>5</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0.86</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1.37</w:t>
            </w:r>
          </w:p>
        </w:tc>
        <w:tc>
          <w:tcPr>
            <w:tcW w:w="1260" w:type="dxa"/>
            <w:tcBorders>
              <w:top w:val="nil"/>
              <w:left w:val="nil"/>
              <w:bottom w:val="nil"/>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0.06</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0.001</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0.07</w:t>
            </w:r>
          </w:p>
        </w:tc>
        <w:tc>
          <w:tcPr>
            <w:tcW w:w="1219" w:type="dxa"/>
            <w:tcBorders>
              <w:top w:val="nil"/>
              <w:left w:val="nil"/>
              <w:bottom w:val="nil"/>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0.08</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0.03</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0.94</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1.07</w:t>
            </w:r>
          </w:p>
        </w:tc>
      </w:tr>
      <w:tr w:rsidR="00DF6BE1"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0.02</w:t>
            </w:r>
          </w:p>
        </w:tc>
        <w:tc>
          <w:tcPr>
            <w:tcW w:w="54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0.001</w:t>
            </w:r>
          </w:p>
        </w:tc>
        <w:tc>
          <w:tcPr>
            <w:tcW w:w="63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vMerge/>
            <w:tcBorders>
              <w:top w:val="nil"/>
              <w:left w:val="single" w:sz="4" w:space="0" w:color="auto"/>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p>
        </w:tc>
      </w:tr>
      <w:tr w:rsidR="00DF6BE1" w:rsidRPr="00FA4577" w:rsidTr="008858A7">
        <w:trPr>
          <w:trHeight w:val="255"/>
          <w:jc w:val="center"/>
        </w:trPr>
        <w:tc>
          <w:tcPr>
            <w:tcW w:w="631" w:type="dxa"/>
            <w:vMerge w:val="restart"/>
            <w:tcBorders>
              <w:top w:val="nil"/>
              <w:left w:val="single" w:sz="4" w:space="0" w:color="auto"/>
              <w:bottom w:val="single" w:sz="4" w:space="0" w:color="000000"/>
              <w:right w:val="nil"/>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w:t>
            </w: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880" w:type="dxa"/>
            <w:tcBorders>
              <w:top w:val="nil"/>
              <w:left w:val="nil"/>
              <w:bottom w:val="single" w:sz="4" w:space="0" w:color="auto"/>
              <w:right w:val="nil"/>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DF6BE1" w:rsidRPr="00FA4577" w:rsidRDefault="00DF6BE1"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-0.21</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0.97</w:t>
            </w:r>
          </w:p>
        </w:tc>
        <w:tc>
          <w:tcPr>
            <w:tcW w:w="720"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0.72</w:t>
            </w:r>
          </w:p>
        </w:tc>
        <w:tc>
          <w:tcPr>
            <w:tcW w:w="1260" w:type="dxa"/>
            <w:tcBorders>
              <w:top w:val="nil"/>
              <w:left w:val="nil"/>
              <w:bottom w:val="single" w:sz="4" w:space="0" w:color="auto"/>
              <w:right w:val="nil"/>
            </w:tcBorders>
            <w:shd w:val="clear" w:color="auto" w:fill="auto"/>
            <w:noWrap/>
            <w:vAlign w:val="center"/>
            <w:hideMark/>
          </w:tcPr>
          <w:p w:rsidR="00DF6BE1" w:rsidRPr="00FA4577" w:rsidRDefault="00DF6BE1"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0.18</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0.96</w:t>
            </w:r>
          </w:p>
        </w:tc>
        <w:tc>
          <w:tcPr>
            <w:tcW w:w="671"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0.79</w:t>
            </w:r>
          </w:p>
        </w:tc>
        <w:tc>
          <w:tcPr>
            <w:tcW w:w="1219" w:type="dxa"/>
            <w:tcBorders>
              <w:top w:val="nil"/>
              <w:left w:val="nil"/>
              <w:bottom w:val="single" w:sz="4" w:space="0" w:color="auto"/>
              <w:right w:val="nil"/>
            </w:tcBorders>
            <w:shd w:val="clear" w:color="auto" w:fill="auto"/>
            <w:noWrap/>
            <w:vAlign w:val="center"/>
            <w:hideMark/>
          </w:tcPr>
          <w:p w:rsidR="00DF6BE1" w:rsidRPr="00FA4577" w:rsidRDefault="00DF6BE1"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0.30</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r w:rsidR="000844AC">
              <w:rPr>
                <w:rFonts w:ascii="Times New Roman" w:eastAsia="Times New Roman" w:hAnsi="Times New Roman" w:cs="Times New Roman"/>
                <w:sz w:val="14"/>
                <w:szCs w:val="14"/>
              </w:rPr>
              <w:t xml:space="preserve"> </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tcBorders>
              <w:top w:val="nil"/>
              <w:left w:val="nil"/>
              <w:bottom w:val="single" w:sz="4" w:space="0" w:color="auto"/>
              <w:right w:val="single" w:sz="4" w:space="0" w:color="auto"/>
            </w:tcBorders>
            <w:shd w:val="clear" w:color="auto" w:fill="auto"/>
            <w:noWrap/>
            <w:vAlign w:val="center"/>
            <w:hideMark/>
          </w:tcPr>
          <w:p w:rsidR="00DF6BE1" w:rsidRPr="00FA4577" w:rsidRDefault="00DF6BE1"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0.62</w:t>
            </w:r>
          </w:p>
        </w:tc>
      </w:tr>
      <w:tr w:rsidR="00DB0855"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DB0855" w:rsidRPr="00FA4577" w:rsidRDefault="00DB0855"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-0.07</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0.73</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0.97</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0.83</w:t>
            </w:r>
          </w:p>
        </w:tc>
        <w:tc>
          <w:tcPr>
            <w:tcW w:w="1260" w:type="dxa"/>
            <w:tcBorders>
              <w:top w:val="nil"/>
              <w:left w:val="nil"/>
              <w:bottom w:val="nil"/>
              <w:right w:val="nil"/>
            </w:tcBorders>
            <w:shd w:val="clear" w:color="auto" w:fill="auto"/>
            <w:noWrap/>
            <w:vAlign w:val="center"/>
            <w:hideMark/>
          </w:tcPr>
          <w:p w:rsidR="00DB0855" w:rsidRPr="00FA4577" w:rsidRDefault="00DB0855"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0.20</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0.10</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0.96</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0.90</w:t>
            </w:r>
          </w:p>
        </w:tc>
        <w:tc>
          <w:tcPr>
            <w:tcW w:w="1219" w:type="dxa"/>
            <w:tcBorders>
              <w:top w:val="nil"/>
              <w:left w:val="nil"/>
              <w:bottom w:val="nil"/>
              <w:right w:val="nil"/>
            </w:tcBorders>
            <w:shd w:val="clear" w:color="auto" w:fill="auto"/>
            <w:noWrap/>
            <w:vAlign w:val="center"/>
            <w:hideMark/>
          </w:tcPr>
          <w:p w:rsidR="00DB0855" w:rsidRPr="00FA4577" w:rsidRDefault="00DB0855"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0.37</w:t>
            </w:r>
            <w:r w:rsidR="000844AC">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0.04</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0.49</w:t>
            </w:r>
          </w:p>
        </w:tc>
      </w:tr>
      <w:tr w:rsidR="00DB0855"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DB0855" w:rsidRPr="00FA4577" w:rsidRDefault="00DB0855"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w:t>
            </w:r>
            <w:r w:rsidR="005557B4">
              <w:rPr>
                <w:rFonts w:ascii="Times New Roman" w:eastAsia="Times New Roman" w:hAnsi="Times New Roman" w:cs="Times New Roman"/>
                <w:sz w:val="14"/>
                <w:szCs w:val="14"/>
              </w:rPr>
              <w:t>16</w:t>
            </w:r>
          </w:p>
        </w:tc>
        <w:tc>
          <w:tcPr>
            <w:tcW w:w="540"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DB0855" w:rsidRPr="00FA4577" w:rsidRDefault="00DB0855"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0.019</w:t>
            </w:r>
          </w:p>
        </w:tc>
        <w:tc>
          <w:tcPr>
            <w:tcW w:w="630"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DB0855" w:rsidRPr="008858A7" w:rsidRDefault="00DB0855" w:rsidP="008858A7">
            <w:pPr>
              <w:pStyle w:val="ListParagraph"/>
              <w:numPr>
                <w:ilvl w:val="1"/>
                <w:numId w:val="32"/>
              </w:numPr>
              <w:spacing w:after="0" w:line="240" w:lineRule="auto"/>
              <w:jc w:val="center"/>
              <w:rPr>
                <w:rFonts w:ascii="Times New Roman" w:eastAsia="Times New Roman" w:hAnsi="Times New Roman"/>
                <w:sz w:val="14"/>
                <w:szCs w:val="14"/>
              </w:rPr>
            </w:pPr>
            <w:r w:rsidRPr="008858A7">
              <w:rPr>
                <w:rFonts w:ascii="Times New Roman" w:eastAsia="Times New Roman" w:hAnsi="Times New Roman"/>
                <w:sz w:val="14"/>
                <w:szCs w:val="14"/>
              </w:rPr>
              <w:t>0.01</w:t>
            </w:r>
          </w:p>
        </w:tc>
        <w:tc>
          <w:tcPr>
            <w:tcW w:w="540"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r>
      <w:tr w:rsidR="00DB0855"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880" w:type="dxa"/>
            <w:tcBorders>
              <w:top w:val="nil"/>
              <w:left w:val="nil"/>
              <w:bottom w:val="single" w:sz="4" w:space="0" w:color="auto"/>
              <w:right w:val="nil"/>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DB0855" w:rsidRPr="00FA4577" w:rsidRDefault="00DB0855"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-0.06</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w:t>
            </w:r>
            <w:r w:rsidR="005557B4">
              <w:rPr>
                <w:rFonts w:ascii="Times New Roman" w:eastAsia="Times New Roman" w:hAnsi="Times New Roman" w:cs="Times New Roman"/>
                <w:sz w:val="14"/>
                <w:szCs w:val="14"/>
              </w:rPr>
              <w:t>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0.91</w:t>
            </w:r>
          </w:p>
        </w:tc>
        <w:tc>
          <w:tcPr>
            <w:tcW w:w="720" w:type="dxa"/>
            <w:tcBorders>
              <w:top w:val="nil"/>
              <w:left w:val="nil"/>
              <w:bottom w:val="single" w:sz="4" w:space="0" w:color="auto"/>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0.78</w:t>
            </w:r>
          </w:p>
        </w:tc>
        <w:tc>
          <w:tcPr>
            <w:tcW w:w="1260" w:type="dxa"/>
            <w:tcBorders>
              <w:top w:val="nil"/>
              <w:left w:val="nil"/>
              <w:bottom w:val="single" w:sz="4" w:space="0" w:color="auto"/>
              <w:right w:val="nil"/>
            </w:tcBorders>
            <w:shd w:val="clear" w:color="auto" w:fill="auto"/>
            <w:noWrap/>
            <w:vAlign w:val="center"/>
            <w:hideMark/>
          </w:tcPr>
          <w:p w:rsidR="00DB0855" w:rsidRPr="00FA4577" w:rsidRDefault="00DB0855"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0.05</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0.004</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0.96</w:t>
            </w:r>
          </w:p>
        </w:tc>
        <w:tc>
          <w:tcPr>
            <w:tcW w:w="671" w:type="dxa"/>
            <w:tcBorders>
              <w:top w:val="nil"/>
              <w:left w:val="nil"/>
              <w:bottom w:val="single" w:sz="4" w:space="0" w:color="auto"/>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2.63</w:t>
            </w:r>
          </w:p>
        </w:tc>
        <w:tc>
          <w:tcPr>
            <w:tcW w:w="1219" w:type="dxa"/>
            <w:tcBorders>
              <w:top w:val="nil"/>
              <w:left w:val="nil"/>
              <w:bottom w:val="single" w:sz="4" w:space="0" w:color="auto"/>
              <w:right w:val="nil"/>
            </w:tcBorders>
            <w:shd w:val="clear" w:color="auto" w:fill="auto"/>
            <w:noWrap/>
            <w:vAlign w:val="center"/>
            <w:hideMark/>
          </w:tcPr>
          <w:p w:rsidR="00DB0855" w:rsidRPr="00FA4577" w:rsidRDefault="00DB0855"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0.08</w:t>
            </w:r>
            <w:r w:rsidR="000844AC">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0.96</w:t>
            </w:r>
          </w:p>
        </w:tc>
        <w:tc>
          <w:tcPr>
            <w:tcW w:w="720" w:type="dxa"/>
            <w:tcBorders>
              <w:top w:val="nil"/>
              <w:left w:val="nil"/>
              <w:bottom w:val="single" w:sz="4" w:space="0" w:color="auto"/>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0.72</w:t>
            </w:r>
          </w:p>
        </w:tc>
      </w:tr>
      <w:tr w:rsidR="00DB0855"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DB0855" w:rsidRPr="00FA4577" w:rsidRDefault="00DB0855"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-0.56</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0.73</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0.92</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0.83</w:t>
            </w:r>
          </w:p>
        </w:tc>
        <w:tc>
          <w:tcPr>
            <w:tcW w:w="1260" w:type="dxa"/>
            <w:tcBorders>
              <w:top w:val="nil"/>
              <w:left w:val="nil"/>
              <w:bottom w:val="nil"/>
              <w:right w:val="nil"/>
            </w:tcBorders>
            <w:shd w:val="clear" w:color="auto" w:fill="auto"/>
            <w:noWrap/>
            <w:vAlign w:val="center"/>
            <w:hideMark/>
          </w:tcPr>
          <w:p w:rsidR="00DB0855" w:rsidRPr="00FA4577" w:rsidRDefault="00DB0855"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0.27</w:t>
            </w:r>
          </w:p>
        </w:tc>
        <w:tc>
          <w:tcPr>
            <w:tcW w:w="1219" w:type="dxa"/>
            <w:tcBorders>
              <w:top w:val="nil"/>
              <w:left w:val="nil"/>
              <w:bottom w:val="nil"/>
              <w:right w:val="nil"/>
            </w:tcBorders>
            <w:shd w:val="clear" w:color="auto" w:fill="auto"/>
            <w:noWrap/>
            <w:vAlign w:val="center"/>
            <w:hideMark/>
          </w:tcPr>
          <w:p w:rsidR="00DB0855" w:rsidRPr="00FA4577" w:rsidRDefault="00DB0855"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0.08</w:t>
            </w:r>
            <w:r w:rsidR="000844AC">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0.96</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0.71</w:t>
            </w:r>
          </w:p>
        </w:tc>
      </w:tr>
      <w:tr w:rsidR="00DB0855"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DB0855" w:rsidRPr="00FA4577" w:rsidRDefault="00DB0855"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0844AC" w:rsidRPr="000844AC">
              <w:rPr>
                <w:rFonts w:ascii="Times New Roman" w:eastAsia="Times New Roman" w:hAnsi="Times New Roman" w:cs="Times New Roman"/>
                <w:sz w:val="14"/>
                <w:szCs w:val="14"/>
              </w:rPr>
              <w:t>±</w:t>
            </w:r>
            <w:r w:rsidR="000844AC">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DB0855" w:rsidRPr="00FA4577" w:rsidRDefault="00DB0855"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DB0855" w:rsidRPr="00FA4577" w:rsidRDefault="00DB0855"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1</w:t>
            </w:r>
            <w:r w:rsidR="000844AC">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0.008</w:t>
            </w:r>
          </w:p>
        </w:tc>
        <w:tc>
          <w:tcPr>
            <w:tcW w:w="540" w:type="dxa"/>
            <w:vMerge/>
            <w:tcBorders>
              <w:top w:val="nil"/>
              <w:left w:val="single" w:sz="4" w:space="0" w:color="auto"/>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DB0855" w:rsidRPr="00FA4577" w:rsidRDefault="00DB0855" w:rsidP="00F14CA8">
            <w:pPr>
              <w:spacing w:after="0" w:line="240" w:lineRule="auto"/>
              <w:jc w:val="center"/>
              <w:rPr>
                <w:rFonts w:ascii="Times New Roman" w:eastAsia="Times New Roman" w:hAnsi="Times New Roman" w:cs="Times New Roman"/>
                <w:sz w:val="14"/>
                <w:szCs w:val="14"/>
              </w:rPr>
            </w:pPr>
          </w:p>
        </w:tc>
      </w:tr>
      <w:tr w:rsidR="000844AC" w:rsidRPr="00FA4577" w:rsidTr="008858A7">
        <w:trPr>
          <w:trHeight w:val="255"/>
          <w:jc w:val="center"/>
        </w:trPr>
        <w:tc>
          <w:tcPr>
            <w:tcW w:w="631" w:type="dxa"/>
            <w:vMerge w:val="restart"/>
            <w:tcBorders>
              <w:top w:val="nil"/>
              <w:left w:val="single" w:sz="4" w:space="0" w:color="auto"/>
              <w:bottom w:val="single" w:sz="4" w:space="0" w:color="000000"/>
              <w:right w:val="nil"/>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D</w:t>
            </w: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880" w:type="dxa"/>
            <w:tcBorders>
              <w:top w:val="nil"/>
              <w:left w:val="nil"/>
              <w:bottom w:val="single" w:sz="4" w:space="0" w:color="auto"/>
              <w:right w:val="nil"/>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-0.16</w:t>
            </w:r>
            <w:r>
              <w:rPr>
                <w:rFonts w:ascii="Times New Roman" w:eastAsia="Times New Roman" w:hAnsi="Times New Roman" w:cs="Times New Roman"/>
                <w:sz w:val="14"/>
                <w:szCs w:val="14"/>
              </w:rPr>
              <w:t xml:space="preserve"> </w:t>
            </w:r>
            <w:r w:rsidRPr="000844AC">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0.45</w:t>
            </w: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0.20</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0.29</w:t>
            </w: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0.25</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0.56</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0844AC" w:rsidRPr="00FA4577" w:rsidRDefault="000844AC" w:rsidP="000844AC">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0.04</w:t>
            </w:r>
            <w:r>
              <w:rPr>
                <w:rFonts w:ascii="Times New Roman" w:eastAsia="Times New Roman" w:hAnsi="Times New Roman" w:cs="Times New Roman"/>
                <w:sz w:val="14"/>
                <w:szCs w:val="14"/>
              </w:rPr>
              <w:t xml:space="preserve"> </w:t>
            </w:r>
            <w:r w:rsidRPr="000844AC">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0.60</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0.51</w:t>
            </w:r>
          </w:p>
        </w:tc>
        <w:tc>
          <w:tcPr>
            <w:tcW w:w="1260"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0.18</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0.15</w:t>
            </w:r>
          </w:p>
        </w:tc>
        <w:tc>
          <w:tcPr>
            <w:tcW w:w="1219" w:type="dxa"/>
            <w:tcBorders>
              <w:top w:val="nil"/>
              <w:left w:val="nil"/>
              <w:bottom w:val="nil"/>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0.30</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0.03</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0.50</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0.010</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0.003</w:t>
            </w:r>
          </w:p>
        </w:tc>
        <w:tc>
          <w:tcPr>
            <w:tcW w:w="63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0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w:t>
            </w:r>
            <w:r w:rsidR="008858A7">
              <w:rPr>
                <w:rFonts w:ascii="Times New Roman" w:eastAsia="Times New Roman" w:hAnsi="Times New Roman" w:cs="Times New Roman"/>
                <w:sz w:val="14"/>
                <w:szCs w:val="14"/>
              </w:rPr>
              <w:t>07</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880" w:type="dxa"/>
            <w:tcBorders>
              <w:top w:val="nil"/>
              <w:left w:val="nil"/>
              <w:bottom w:val="single" w:sz="4" w:space="0" w:color="auto"/>
              <w:right w:val="nil"/>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-0.03</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0.95</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0.33</w:t>
            </w: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0.73</w:t>
            </w:r>
          </w:p>
        </w:tc>
        <w:tc>
          <w:tcPr>
            <w:tcW w:w="671"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0.61</w:t>
            </w: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0.05</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0.91</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0.74</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1.01</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0.95</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0.46</w:t>
            </w:r>
          </w:p>
        </w:tc>
        <w:tc>
          <w:tcPr>
            <w:tcW w:w="1260"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0.14</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p>
        </w:tc>
        <w:tc>
          <w:tcPr>
            <w:tcW w:w="1219" w:type="dxa"/>
            <w:tcBorders>
              <w:top w:val="nil"/>
              <w:left w:val="nil"/>
              <w:bottom w:val="nil"/>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0.15</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100</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-0.09</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0.04</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r>
      <w:tr w:rsidR="000844AC" w:rsidRPr="00FA4577" w:rsidTr="008858A7">
        <w:trPr>
          <w:trHeight w:val="255"/>
          <w:jc w:val="center"/>
        </w:trPr>
        <w:tc>
          <w:tcPr>
            <w:tcW w:w="631" w:type="dxa"/>
            <w:vMerge w:val="restart"/>
            <w:tcBorders>
              <w:top w:val="nil"/>
              <w:left w:val="single" w:sz="4" w:space="0" w:color="auto"/>
              <w:bottom w:val="single" w:sz="4" w:space="0" w:color="000000"/>
              <w:right w:val="nil"/>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E</w:t>
            </w: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880" w:type="dxa"/>
            <w:tcBorders>
              <w:top w:val="nil"/>
              <w:left w:val="nil"/>
              <w:bottom w:val="single" w:sz="4" w:space="0" w:color="auto"/>
              <w:right w:val="nil"/>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-0.23</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0.43</w:t>
            </w: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0.19</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0.30</w:t>
            </w: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0.33</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0.29</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-0.71</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0.32</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0.38</w:t>
            </w:r>
          </w:p>
        </w:tc>
        <w:tc>
          <w:tcPr>
            <w:tcW w:w="1260"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0.21</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0.33</w:t>
            </w:r>
          </w:p>
        </w:tc>
        <w:tc>
          <w:tcPr>
            <w:tcW w:w="1219" w:type="dxa"/>
            <w:tcBorders>
              <w:top w:val="nil"/>
              <w:left w:val="nil"/>
              <w:bottom w:val="nil"/>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0.31</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0.26</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0.010</w:t>
            </w:r>
          </w:p>
        </w:tc>
        <w:tc>
          <w:tcPr>
            <w:tcW w:w="63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0.003</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880" w:type="dxa"/>
            <w:tcBorders>
              <w:top w:val="nil"/>
              <w:left w:val="nil"/>
              <w:bottom w:val="single" w:sz="4" w:space="0" w:color="auto"/>
              <w:right w:val="nil"/>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-0.05</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0.93</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0.74</w:t>
            </w: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0.05</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0.92</w:t>
            </w:r>
          </w:p>
        </w:tc>
        <w:tc>
          <w:tcPr>
            <w:tcW w:w="671"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0.59</w:t>
            </w: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0.08</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0.86</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1.49</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1.64</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0.39</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0.20</w:t>
            </w:r>
          </w:p>
        </w:tc>
        <w:tc>
          <w:tcPr>
            <w:tcW w:w="1260"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0.04</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0.95</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0.54</w:t>
            </w:r>
          </w:p>
        </w:tc>
        <w:tc>
          <w:tcPr>
            <w:tcW w:w="1219" w:type="dxa"/>
            <w:tcBorders>
              <w:top w:val="nil"/>
              <w:left w:val="nil"/>
              <w:bottom w:val="nil"/>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6.78</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0.49</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1.00</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0.03</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r>
      <w:tr w:rsidR="000844AC" w:rsidRPr="00FA4577" w:rsidTr="008858A7">
        <w:trPr>
          <w:trHeight w:val="255"/>
          <w:jc w:val="center"/>
        </w:trPr>
        <w:tc>
          <w:tcPr>
            <w:tcW w:w="631" w:type="dxa"/>
            <w:vMerge w:val="restart"/>
            <w:tcBorders>
              <w:top w:val="nil"/>
              <w:left w:val="single" w:sz="4" w:space="0" w:color="auto"/>
              <w:bottom w:val="single" w:sz="4" w:space="0" w:color="000000"/>
              <w:right w:val="nil"/>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F</w:t>
            </w: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880" w:type="dxa"/>
            <w:tcBorders>
              <w:top w:val="nil"/>
              <w:left w:val="nil"/>
              <w:bottom w:val="single" w:sz="4" w:space="0" w:color="auto"/>
              <w:right w:val="nil"/>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-0.17</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0.93</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0.97</w:t>
            </w: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0.15</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0.34</w:t>
            </w: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0.24</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0.96</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0.97</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-1.07</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1.16</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0.94</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1.01</w:t>
            </w:r>
          </w:p>
        </w:tc>
        <w:tc>
          <w:tcPr>
            <w:tcW w:w="1260"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0.16</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0.05</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0.43</w:t>
            </w:r>
          </w:p>
        </w:tc>
        <w:tc>
          <w:tcPr>
            <w:tcW w:w="1219" w:type="dxa"/>
            <w:tcBorders>
              <w:top w:val="nil"/>
              <w:left w:val="nil"/>
              <w:bottom w:val="nil"/>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0.18</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0.05</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0.97</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0.91</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0844AC" w:rsidRPr="005557B4" w:rsidRDefault="000844AC" w:rsidP="005557B4">
            <w:pPr>
              <w:pStyle w:val="ListParagraph"/>
              <w:numPr>
                <w:ilvl w:val="0"/>
                <w:numId w:val="31"/>
              </w:numPr>
              <w:spacing w:after="0" w:line="240" w:lineRule="auto"/>
              <w:jc w:val="center"/>
              <w:rPr>
                <w:rFonts w:ascii="Times New Roman" w:eastAsia="Times New Roman" w:hAnsi="Times New Roman"/>
                <w:sz w:val="14"/>
                <w:szCs w:val="14"/>
              </w:rPr>
            </w:pPr>
            <w:r w:rsidRPr="005557B4">
              <w:rPr>
                <w:rFonts w:ascii="Times New Roman" w:eastAsia="Times New Roman" w:hAnsi="Times New Roman"/>
                <w:sz w:val="14"/>
                <w:szCs w:val="14"/>
              </w:rPr>
              <w:t>0.01</w:t>
            </w:r>
          </w:p>
        </w:tc>
        <w:tc>
          <w:tcPr>
            <w:tcW w:w="63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880" w:type="dxa"/>
            <w:tcBorders>
              <w:top w:val="nil"/>
              <w:left w:val="nil"/>
              <w:bottom w:val="single" w:sz="4" w:space="0" w:color="auto"/>
              <w:right w:val="nil"/>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0.56</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0.76</w:t>
            </w: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0.02</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0.003</w:t>
            </w:r>
          </w:p>
        </w:tc>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0.91</w:t>
            </w:r>
          </w:p>
        </w:tc>
        <w:tc>
          <w:tcPr>
            <w:tcW w:w="671"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0.29</w:t>
            </w: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0.04</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0.91</w:t>
            </w:r>
          </w:p>
        </w:tc>
        <w:tc>
          <w:tcPr>
            <w:tcW w:w="720" w:type="dxa"/>
            <w:tcBorders>
              <w:top w:val="nil"/>
              <w:left w:val="nil"/>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0.54</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val="restart"/>
            <w:tcBorders>
              <w:top w:val="nil"/>
              <w:left w:val="nil"/>
              <w:bottom w:val="single" w:sz="4" w:space="0" w:color="000000"/>
              <w:right w:val="nil"/>
            </w:tcBorders>
            <w:shd w:val="clear" w:color="auto" w:fill="auto"/>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579" w:type="dxa"/>
            <w:tcBorders>
              <w:top w:val="nil"/>
              <w:left w:val="single" w:sz="4" w:space="0" w:color="auto"/>
              <w:bottom w:val="nil"/>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0</w:t>
            </w:r>
          </w:p>
        </w:tc>
        <w:tc>
          <w:tcPr>
            <w:tcW w:w="1218"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0.13</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2.07</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0.56</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0.88</w:t>
            </w:r>
          </w:p>
        </w:tc>
        <w:tc>
          <w:tcPr>
            <w:tcW w:w="1260" w:type="dxa"/>
            <w:tcBorders>
              <w:top w:val="nil"/>
              <w:left w:val="nil"/>
              <w:bottom w:val="nil"/>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0.028</w:t>
            </w:r>
          </w:p>
        </w:tc>
        <w:tc>
          <w:tcPr>
            <w:tcW w:w="63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0.93</w:t>
            </w:r>
          </w:p>
        </w:tc>
        <w:tc>
          <w:tcPr>
            <w:tcW w:w="671"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0.30</w:t>
            </w:r>
          </w:p>
        </w:tc>
        <w:tc>
          <w:tcPr>
            <w:tcW w:w="1219" w:type="dxa"/>
            <w:tcBorders>
              <w:top w:val="nil"/>
              <w:left w:val="nil"/>
              <w:bottom w:val="nil"/>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0.04</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0.91</w:t>
            </w:r>
          </w:p>
        </w:tc>
        <w:tc>
          <w:tcPr>
            <w:tcW w:w="720" w:type="dxa"/>
            <w:vMerge w:val="restart"/>
            <w:tcBorders>
              <w:top w:val="nil"/>
              <w:left w:val="nil"/>
              <w:bottom w:val="single" w:sz="4" w:space="0" w:color="000000"/>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0.44</w:t>
            </w:r>
          </w:p>
        </w:tc>
      </w:tr>
      <w:tr w:rsidR="000844AC" w:rsidRPr="00FA4577" w:rsidTr="008858A7">
        <w:trPr>
          <w:trHeight w:val="255"/>
          <w:jc w:val="center"/>
        </w:trPr>
        <w:tc>
          <w:tcPr>
            <w:tcW w:w="631" w:type="dxa"/>
            <w:vMerge/>
            <w:tcBorders>
              <w:top w:val="nil"/>
              <w:left w:val="single" w:sz="4" w:space="0" w:color="auto"/>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52"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880" w:type="dxa"/>
            <w:vMerge/>
            <w:tcBorders>
              <w:top w:val="nil"/>
              <w:left w:val="nil"/>
              <w:bottom w:val="single" w:sz="4" w:space="0" w:color="000000"/>
              <w:right w:val="nil"/>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r w:rsidRPr="00716E6C">
              <w:rPr>
                <w:rFonts w:ascii="Times New Roman" w:eastAsia="Times New Roman" w:hAnsi="Times New Roman" w:cs="Times New Roman"/>
                <w:sz w:val="14"/>
                <w:szCs w:val="14"/>
                <w:vertAlign w:val="subscript"/>
              </w:rPr>
              <w:t>1</w:t>
            </w:r>
          </w:p>
        </w:tc>
        <w:tc>
          <w:tcPr>
            <w:tcW w:w="1218"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0.042</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60" w:type="dxa"/>
            <w:tcBorders>
              <w:top w:val="nil"/>
              <w:left w:val="nil"/>
              <w:bottom w:val="single" w:sz="4" w:space="0" w:color="auto"/>
              <w:right w:val="nil"/>
            </w:tcBorders>
            <w:shd w:val="clear" w:color="auto" w:fill="auto"/>
            <w:noWrap/>
            <w:vAlign w:val="center"/>
            <w:hideMark/>
          </w:tcPr>
          <w:p w:rsidR="000844AC" w:rsidRPr="00FA4577" w:rsidRDefault="000844AC" w:rsidP="005557B4">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r>
              <w:rPr>
                <w:rFonts w:ascii="Times New Roman" w:eastAsia="Times New Roman" w:hAnsi="Times New Roman" w:cs="Times New Roman"/>
                <w:sz w:val="14"/>
                <w:szCs w:val="14"/>
              </w:rPr>
              <w:t xml:space="preserve"> </w:t>
            </w:r>
            <w:r w:rsidR="005557B4" w:rsidRPr="000844AC">
              <w:rPr>
                <w:rFonts w:ascii="Times New Roman" w:eastAsia="Times New Roman" w:hAnsi="Times New Roman" w:cs="Times New Roman"/>
                <w:sz w:val="14"/>
                <w:szCs w:val="14"/>
              </w:rPr>
              <w:t>±</w:t>
            </w:r>
            <w:r w:rsidR="005557B4">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0.014</w:t>
            </w:r>
          </w:p>
        </w:tc>
        <w:tc>
          <w:tcPr>
            <w:tcW w:w="63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671"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1219" w:type="dxa"/>
            <w:tcBorders>
              <w:top w:val="nil"/>
              <w:left w:val="nil"/>
              <w:bottom w:val="single" w:sz="4" w:space="0" w:color="auto"/>
              <w:right w:val="nil"/>
            </w:tcBorders>
            <w:shd w:val="clear" w:color="auto" w:fill="auto"/>
            <w:noWrap/>
            <w:vAlign w:val="center"/>
            <w:hideMark/>
          </w:tcPr>
          <w:p w:rsidR="000844AC" w:rsidRPr="00FA4577" w:rsidRDefault="000844AC" w:rsidP="008858A7">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 </w:t>
            </w:r>
            <w:r w:rsidR="008858A7" w:rsidRPr="000844AC">
              <w:rPr>
                <w:rFonts w:ascii="Times New Roman" w:eastAsia="Times New Roman" w:hAnsi="Times New Roman" w:cs="Times New Roman"/>
                <w:sz w:val="14"/>
                <w:szCs w:val="14"/>
              </w:rPr>
              <w:t>±</w:t>
            </w:r>
            <w:r w:rsidR="008858A7">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540" w:type="dxa"/>
            <w:vMerge/>
            <w:tcBorders>
              <w:top w:val="nil"/>
              <w:left w:val="single" w:sz="4" w:space="0" w:color="auto"/>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c>
          <w:tcPr>
            <w:tcW w:w="720" w:type="dxa"/>
            <w:vMerge/>
            <w:tcBorders>
              <w:top w:val="nil"/>
              <w:left w:val="nil"/>
              <w:bottom w:val="single" w:sz="4" w:space="0" w:color="000000"/>
              <w:right w:val="single" w:sz="4" w:space="0" w:color="auto"/>
            </w:tcBorders>
            <w:vAlign w:val="center"/>
            <w:hideMark/>
          </w:tcPr>
          <w:p w:rsidR="000844AC" w:rsidRPr="00FA4577" w:rsidRDefault="000844AC" w:rsidP="00F14CA8">
            <w:pPr>
              <w:spacing w:after="0" w:line="240" w:lineRule="auto"/>
              <w:jc w:val="center"/>
              <w:rPr>
                <w:rFonts w:ascii="Times New Roman" w:eastAsia="Times New Roman" w:hAnsi="Times New Roman" w:cs="Times New Roman"/>
                <w:sz w:val="14"/>
                <w:szCs w:val="14"/>
              </w:rPr>
            </w:pPr>
          </w:p>
        </w:tc>
      </w:tr>
    </w:tbl>
    <w:p w:rsidR="00B00A03" w:rsidRPr="00FA4577" w:rsidRDefault="00B00A03" w:rsidP="00B00A03">
      <w:pPr>
        <w:tabs>
          <w:tab w:val="left" w:pos="8266"/>
        </w:tabs>
        <w:spacing w:after="0" w:line="240" w:lineRule="auto"/>
        <w:jc w:val="both"/>
        <w:rPr>
          <w:rFonts w:ascii="Times New Roman" w:hAnsi="Times New Roman" w:cs="Times New Roman"/>
          <w:sz w:val="14"/>
          <w:szCs w:val="14"/>
        </w:rPr>
      </w:pPr>
      <w:proofErr w:type="gramStart"/>
      <w:r w:rsidRPr="00FA4577">
        <w:rPr>
          <w:rFonts w:ascii="Times New Roman" w:hAnsi="Times New Roman" w:cs="Times New Roman"/>
          <w:sz w:val="14"/>
          <w:szCs w:val="14"/>
          <w:vertAlign w:val="superscript"/>
        </w:rPr>
        <w:t>a</w:t>
      </w:r>
      <w:r w:rsidRPr="00FA4577">
        <w:rPr>
          <w:rFonts w:ascii="Times New Roman" w:hAnsi="Times New Roman" w:cs="Times New Roman"/>
          <w:sz w:val="14"/>
          <w:szCs w:val="14"/>
        </w:rPr>
        <w:t>Treat.:</w:t>
      </w:r>
      <w:proofErr w:type="gramEnd"/>
      <w:r w:rsidRPr="00FA4577">
        <w:rPr>
          <w:rFonts w:ascii="Times New Roman" w:hAnsi="Times New Roman" w:cs="Times New Roman"/>
          <w:sz w:val="14"/>
          <w:szCs w:val="14"/>
        </w:rPr>
        <w:t xml:space="preserve"> Treatment; </w:t>
      </w:r>
      <w:r w:rsidRPr="00FA4577">
        <w:rPr>
          <w:rFonts w:ascii="Times New Roman" w:hAnsi="Times New Roman" w:cs="Times New Roman"/>
          <w:sz w:val="14"/>
          <w:szCs w:val="14"/>
          <w:vertAlign w:val="superscript"/>
        </w:rPr>
        <w:t>b</w:t>
      </w:r>
      <w:r w:rsidRPr="00FA4577">
        <w:rPr>
          <w:rFonts w:ascii="Times New Roman" w:hAnsi="Times New Roman" w:cs="Times New Roman"/>
          <w:sz w:val="14"/>
          <w:szCs w:val="14"/>
        </w:rPr>
        <w:t>Temp.: Temperature</w:t>
      </w:r>
      <w:r w:rsidR="00716E6C">
        <w:rPr>
          <w:rFonts w:ascii="Times New Roman" w:hAnsi="Times New Roman" w:cs="Times New Roman"/>
          <w:sz w:val="14"/>
          <w:szCs w:val="14"/>
        </w:rPr>
        <w:t xml:space="preserve"> (°C)</w:t>
      </w:r>
      <w:r w:rsidRPr="00FA4577">
        <w:rPr>
          <w:rFonts w:ascii="Times New Roman" w:hAnsi="Times New Roman" w:cs="Times New Roman"/>
          <w:sz w:val="14"/>
          <w:szCs w:val="14"/>
        </w:rPr>
        <w:t xml:space="preserve">; </w:t>
      </w:r>
      <w:r w:rsidRPr="00FA4577">
        <w:rPr>
          <w:rFonts w:ascii="Times New Roman" w:hAnsi="Times New Roman" w:cs="Times New Roman"/>
          <w:sz w:val="14"/>
          <w:szCs w:val="14"/>
          <w:vertAlign w:val="superscript"/>
        </w:rPr>
        <w:t>c</w:t>
      </w:r>
      <w:r w:rsidRPr="00FA4577">
        <w:rPr>
          <w:rFonts w:ascii="Times New Roman" w:hAnsi="Times New Roman" w:cs="Times New Roman"/>
          <w:sz w:val="14"/>
          <w:szCs w:val="14"/>
        </w:rPr>
        <w:t xml:space="preserve">Para.: Parameter; </w:t>
      </w:r>
      <w:r w:rsidRPr="00FA4577">
        <w:rPr>
          <w:rFonts w:ascii="Times New Roman" w:hAnsi="Times New Roman" w:cs="Times New Roman"/>
          <w:sz w:val="14"/>
          <w:szCs w:val="14"/>
          <w:vertAlign w:val="superscript"/>
        </w:rPr>
        <w:t>D</w:t>
      </w:r>
      <w:r w:rsidRPr="00FA4577">
        <w:rPr>
          <w:rFonts w:ascii="Times New Roman" w:hAnsi="Times New Roman" w:cs="Times New Roman"/>
          <w:sz w:val="14"/>
          <w:szCs w:val="14"/>
        </w:rPr>
        <w:t>RMSE: Root Mean Square</w:t>
      </w:r>
    </w:p>
    <w:p w:rsidR="00B00A03" w:rsidRPr="00FA4577" w:rsidRDefault="00B00A03" w:rsidP="00B00A03">
      <w:pPr>
        <w:rPr>
          <w:rFonts w:ascii="Times New Roman" w:hAnsi="Times New Roman" w:cs="Times New Roman"/>
          <w:b/>
        </w:rPr>
      </w:pPr>
      <w:r w:rsidRPr="00FA4577">
        <w:rPr>
          <w:rFonts w:ascii="Times New Roman" w:hAnsi="Times New Roman" w:cs="Times New Roman"/>
          <w:b/>
        </w:rPr>
        <w:br w:type="page"/>
      </w:r>
    </w:p>
    <w:p w:rsidR="00AA3EF2" w:rsidRDefault="00B00A03" w:rsidP="00AA3EF2">
      <w:pPr>
        <w:spacing w:after="0"/>
        <w:jc w:val="both"/>
        <w:rPr>
          <w:rFonts w:ascii="Times New Roman" w:hAnsi="Times New Roman" w:cs="Times New Roman"/>
          <w:b/>
          <w:sz w:val="24"/>
          <w:szCs w:val="24"/>
        </w:rPr>
      </w:pPr>
      <w:r w:rsidRPr="00153E32">
        <w:rPr>
          <w:rFonts w:ascii="Times New Roman" w:hAnsi="Times New Roman" w:cs="Times New Roman"/>
          <w:b/>
          <w:sz w:val="24"/>
          <w:szCs w:val="24"/>
        </w:rPr>
        <w:lastRenderedPageBreak/>
        <w:t>Table 9: Vitamin C and Pycnogenol concentration effect on browning index values at the beginning and end of the storage</w:t>
      </w:r>
    </w:p>
    <w:tbl>
      <w:tblPr>
        <w:tblStyle w:val="TableGrid"/>
        <w:tblW w:w="8478" w:type="dxa"/>
        <w:tblLook w:val="04A0"/>
      </w:tblPr>
      <w:tblGrid>
        <w:gridCol w:w="2178"/>
        <w:gridCol w:w="885"/>
        <w:gridCol w:w="1620"/>
        <w:gridCol w:w="1890"/>
        <w:gridCol w:w="1980"/>
      </w:tblGrid>
      <w:tr w:rsidR="00AA3EF2" w:rsidRPr="004A4B05" w:rsidTr="00FB46D4">
        <w:trPr>
          <w:trHeight w:val="125"/>
        </w:trPr>
        <w:tc>
          <w:tcPr>
            <w:tcW w:w="2178" w:type="dxa"/>
            <w:noWrap/>
            <w:vAlign w:val="center"/>
            <w:hideMark/>
          </w:tcPr>
          <w:p w:rsidR="00AA3EF2" w:rsidRPr="004A4B05" w:rsidRDefault="00AA3EF2" w:rsidP="00FB46D4">
            <w:pPr>
              <w:jc w:val="center"/>
              <w:rPr>
                <w:rFonts w:ascii="Times New Roman" w:eastAsia="Times New Roman" w:hAnsi="Times New Roman"/>
                <w:b/>
                <w:bCs/>
                <w:sz w:val="14"/>
                <w:szCs w:val="14"/>
              </w:rPr>
            </w:pPr>
            <w:r w:rsidRPr="004A4B05">
              <w:rPr>
                <w:rFonts w:ascii="Times New Roman" w:eastAsia="Times New Roman" w:hAnsi="Times New Roman"/>
                <w:b/>
                <w:bCs/>
                <w:sz w:val="14"/>
                <w:szCs w:val="14"/>
              </w:rPr>
              <w:t>Factor</w:t>
            </w:r>
          </w:p>
        </w:tc>
        <w:tc>
          <w:tcPr>
            <w:tcW w:w="810" w:type="dxa"/>
            <w:noWrap/>
            <w:vAlign w:val="center"/>
            <w:hideMark/>
          </w:tcPr>
          <w:p w:rsidR="00AA3EF2" w:rsidRPr="004A4B05" w:rsidRDefault="00AA3EF2" w:rsidP="00FB46D4">
            <w:pPr>
              <w:jc w:val="center"/>
              <w:rPr>
                <w:rFonts w:ascii="Times New Roman" w:eastAsia="Times New Roman" w:hAnsi="Times New Roman"/>
                <w:b/>
                <w:bCs/>
                <w:sz w:val="14"/>
                <w:szCs w:val="14"/>
              </w:rPr>
            </w:pPr>
            <w:r w:rsidRPr="004A4B05">
              <w:rPr>
                <w:rFonts w:ascii="Times New Roman" w:eastAsia="Times New Roman" w:hAnsi="Times New Roman"/>
                <w:b/>
                <w:bCs/>
                <w:sz w:val="14"/>
                <w:szCs w:val="14"/>
              </w:rPr>
              <w:t>Levels</w:t>
            </w:r>
          </w:p>
        </w:tc>
        <w:tc>
          <w:tcPr>
            <w:tcW w:w="1620" w:type="dxa"/>
            <w:noWrap/>
            <w:vAlign w:val="center"/>
            <w:hideMark/>
          </w:tcPr>
          <w:p w:rsidR="00AA3EF2" w:rsidRPr="004A4B05" w:rsidRDefault="00AA3EF2" w:rsidP="00FB46D4">
            <w:pPr>
              <w:jc w:val="center"/>
              <w:rPr>
                <w:rFonts w:ascii="Times New Roman" w:eastAsia="Times New Roman" w:hAnsi="Times New Roman"/>
                <w:b/>
                <w:bCs/>
                <w:sz w:val="14"/>
                <w:szCs w:val="14"/>
              </w:rPr>
            </w:pPr>
            <w:r w:rsidRPr="004A4B05">
              <w:rPr>
                <w:rFonts w:ascii="Times New Roman" w:eastAsia="Times New Roman" w:hAnsi="Times New Roman"/>
                <w:b/>
                <w:bCs/>
                <w:sz w:val="14"/>
                <w:szCs w:val="14"/>
              </w:rPr>
              <w:t>Day 0</w:t>
            </w:r>
          </w:p>
        </w:tc>
        <w:tc>
          <w:tcPr>
            <w:tcW w:w="1890" w:type="dxa"/>
            <w:noWrap/>
            <w:vAlign w:val="center"/>
            <w:hideMark/>
          </w:tcPr>
          <w:p w:rsidR="00AA3EF2" w:rsidRPr="004A4B05" w:rsidRDefault="00AA3EF2" w:rsidP="00FB46D4">
            <w:pPr>
              <w:jc w:val="center"/>
              <w:rPr>
                <w:rFonts w:ascii="Times New Roman" w:eastAsia="Times New Roman" w:hAnsi="Times New Roman"/>
                <w:b/>
                <w:bCs/>
                <w:sz w:val="14"/>
                <w:szCs w:val="14"/>
              </w:rPr>
            </w:pPr>
            <w:r w:rsidRPr="004A4B05">
              <w:rPr>
                <w:rFonts w:ascii="Times New Roman" w:eastAsia="Times New Roman" w:hAnsi="Times New Roman"/>
                <w:b/>
                <w:bCs/>
                <w:sz w:val="14"/>
                <w:szCs w:val="14"/>
              </w:rPr>
              <w:t>Day 42 (Storage at 51</w:t>
            </w:r>
            <w:r w:rsidR="008858A7">
              <w:rPr>
                <w:rFonts w:ascii="Times New Roman" w:eastAsia="Times New Roman" w:hAnsi="Times New Roman"/>
                <w:b/>
                <w:bCs/>
                <w:sz w:val="14"/>
                <w:szCs w:val="14"/>
              </w:rPr>
              <w:t>°</w:t>
            </w:r>
            <w:r w:rsidRPr="004A4B05">
              <w:rPr>
                <w:rFonts w:ascii="Times New Roman" w:eastAsia="Times New Roman" w:hAnsi="Times New Roman"/>
                <w:b/>
                <w:bCs/>
                <w:sz w:val="14"/>
                <w:szCs w:val="14"/>
              </w:rPr>
              <w:t>C)</w:t>
            </w:r>
          </w:p>
        </w:tc>
        <w:tc>
          <w:tcPr>
            <w:tcW w:w="1980" w:type="dxa"/>
            <w:noWrap/>
            <w:vAlign w:val="center"/>
            <w:hideMark/>
          </w:tcPr>
          <w:p w:rsidR="00AA3EF2" w:rsidRPr="004A4B05" w:rsidRDefault="00AA3EF2" w:rsidP="00FB46D4">
            <w:pPr>
              <w:jc w:val="center"/>
              <w:rPr>
                <w:rFonts w:ascii="Times New Roman" w:eastAsia="Times New Roman" w:hAnsi="Times New Roman"/>
                <w:b/>
                <w:bCs/>
                <w:sz w:val="14"/>
                <w:szCs w:val="14"/>
              </w:rPr>
            </w:pPr>
            <w:r w:rsidRPr="004A4B05">
              <w:rPr>
                <w:rFonts w:ascii="Times New Roman" w:eastAsia="Times New Roman" w:hAnsi="Times New Roman"/>
                <w:b/>
                <w:bCs/>
                <w:sz w:val="14"/>
                <w:szCs w:val="14"/>
              </w:rPr>
              <w:t>Day 84 (Storage at 40</w:t>
            </w:r>
            <w:r w:rsidR="008858A7">
              <w:rPr>
                <w:rFonts w:ascii="Times New Roman" w:eastAsia="Times New Roman" w:hAnsi="Times New Roman"/>
                <w:b/>
                <w:bCs/>
                <w:sz w:val="14"/>
                <w:szCs w:val="14"/>
              </w:rPr>
              <w:t>°</w:t>
            </w:r>
            <w:r w:rsidRPr="004A4B05">
              <w:rPr>
                <w:rFonts w:ascii="Times New Roman" w:eastAsia="Times New Roman" w:hAnsi="Times New Roman"/>
                <w:b/>
                <w:bCs/>
                <w:sz w:val="14"/>
                <w:szCs w:val="14"/>
              </w:rPr>
              <w:t>C)</w:t>
            </w:r>
          </w:p>
        </w:tc>
      </w:tr>
      <w:tr w:rsidR="00AA3EF2" w:rsidRPr="004A4B05" w:rsidTr="00FB46D4">
        <w:trPr>
          <w:trHeight w:val="215"/>
        </w:trPr>
        <w:tc>
          <w:tcPr>
            <w:tcW w:w="2178" w:type="dxa"/>
            <w:vMerge w:val="restart"/>
            <w:noWrap/>
            <w:vAlign w:val="center"/>
            <w:hideMark/>
          </w:tcPr>
          <w:p w:rsidR="00AA3EF2" w:rsidRPr="004A4B05" w:rsidRDefault="00AA3EF2" w:rsidP="00FB46D4">
            <w:pPr>
              <w:rPr>
                <w:rFonts w:ascii="Times New Roman" w:eastAsia="Times New Roman" w:hAnsi="Times New Roman"/>
                <w:b/>
                <w:bCs/>
                <w:sz w:val="14"/>
                <w:szCs w:val="14"/>
              </w:rPr>
            </w:pPr>
            <w:r w:rsidRPr="004A4B05">
              <w:rPr>
                <w:rFonts w:ascii="Times New Roman" w:eastAsia="Times New Roman" w:hAnsi="Times New Roman"/>
                <w:b/>
                <w:bCs/>
                <w:sz w:val="14"/>
                <w:szCs w:val="14"/>
              </w:rPr>
              <w:t>Vitamin C</w:t>
            </w:r>
          </w:p>
        </w:tc>
        <w:tc>
          <w:tcPr>
            <w:tcW w:w="810" w:type="dxa"/>
            <w:noWrap/>
            <w:vAlign w:val="center"/>
            <w:hideMark/>
          </w:tcPr>
          <w:p w:rsidR="00AA3EF2" w:rsidRPr="004A4B05" w:rsidRDefault="00AA3EF2" w:rsidP="00FB46D4">
            <w:pPr>
              <w:jc w:val="center"/>
              <w:rPr>
                <w:rFonts w:ascii="Times New Roman" w:eastAsia="Times New Roman" w:hAnsi="Times New Roman"/>
                <w:b/>
                <w:bCs/>
                <w:sz w:val="14"/>
                <w:szCs w:val="14"/>
              </w:rPr>
            </w:pPr>
            <w:r>
              <w:rPr>
                <w:rFonts w:ascii="Times New Roman" w:eastAsia="Times New Roman" w:hAnsi="Times New Roman"/>
                <w:b/>
                <w:bCs/>
                <w:sz w:val="14"/>
                <w:szCs w:val="14"/>
              </w:rPr>
              <w:t>A2P</w:t>
            </w:r>
          </w:p>
        </w:tc>
        <w:tc>
          <w:tcPr>
            <w:tcW w:w="162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0.023</w:t>
            </w:r>
            <w:r w:rsidRPr="004A4B05">
              <w:rPr>
                <w:rFonts w:ascii="Times New Roman" w:hAnsi="Times New Roman"/>
                <w:sz w:val="14"/>
                <w:szCs w:val="14"/>
                <w:vertAlign w:val="superscript"/>
              </w:rPr>
              <w:t>a</w:t>
            </w:r>
          </w:p>
        </w:tc>
        <w:tc>
          <w:tcPr>
            <w:tcW w:w="189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0.076</w:t>
            </w:r>
            <w:r w:rsidRPr="004A4B05">
              <w:rPr>
                <w:rFonts w:ascii="Times New Roman" w:hAnsi="Times New Roman"/>
                <w:sz w:val="14"/>
                <w:szCs w:val="14"/>
                <w:vertAlign w:val="superscript"/>
              </w:rPr>
              <w:t>a</w:t>
            </w:r>
          </w:p>
        </w:tc>
        <w:tc>
          <w:tcPr>
            <w:tcW w:w="198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0.050</w:t>
            </w:r>
            <w:r w:rsidRPr="004A4B05">
              <w:rPr>
                <w:rFonts w:ascii="Times New Roman" w:hAnsi="Times New Roman"/>
                <w:sz w:val="14"/>
                <w:szCs w:val="14"/>
                <w:vertAlign w:val="superscript"/>
              </w:rPr>
              <w:t>a</w:t>
            </w:r>
          </w:p>
        </w:tc>
      </w:tr>
      <w:tr w:rsidR="00AA3EF2" w:rsidRPr="004A4B05" w:rsidTr="00FB46D4">
        <w:trPr>
          <w:trHeight w:val="206"/>
        </w:trPr>
        <w:tc>
          <w:tcPr>
            <w:tcW w:w="2178" w:type="dxa"/>
            <w:vMerge/>
            <w:vAlign w:val="center"/>
            <w:hideMark/>
          </w:tcPr>
          <w:p w:rsidR="00AA3EF2" w:rsidRPr="004A4B05" w:rsidRDefault="00AA3EF2" w:rsidP="00FB46D4">
            <w:pPr>
              <w:rPr>
                <w:rFonts w:ascii="Times New Roman" w:eastAsia="Times New Roman" w:hAnsi="Times New Roman"/>
                <w:b/>
                <w:bCs/>
                <w:sz w:val="14"/>
                <w:szCs w:val="14"/>
              </w:rPr>
            </w:pPr>
          </w:p>
        </w:tc>
        <w:tc>
          <w:tcPr>
            <w:tcW w:w="810" w:type="dxa"/>
            <w:noWrap/>
            <w:vAlign w:val="center"/>
            <w:hideMark/>
          </w:tcPr>
          <w:p w:rsidR="00AA3EF2" w:rsidRPr="004A4B05" w:rsidRDefault="00AA3EF2" w:rsidP="00FB46D4">
            <w:pPr>
              <w:jc w:val="center"/>
              <w:rPr>
                <w:rFonts w:ascii="Times New Roman" w:eastAsia="Times New Roman" w:hAnsi="Times New Roman"/>
                <w:b/>
                <w:bCs/>
                <w:sz w:val="14"/>
                <w:szCs w:val="14"/>
              </w:rPr>
            </w:pPr>
            <w:r>
              <w:rPr>
                <w:rFonts w:ascii="Times New Roman" w:eastAsia="Times New Roman" w:hAnsi="Times New Roman"/>
                <w:b/>
                <w:bCs/>
                <w:sz w:val="14"/>
                <w:szCs w:val="14"/>
              </w:rPr>
              <w:t>AA</w:t>
            </w:r>
          </w:p>
        </w:tc>
        <w:tc>
          <w:tcPr>
            <w:tcW w:w="162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0.024</w:t>
            </w:r>
            <w:r w:rsidRPr="004A4B05">
              <w:rPr>
                <w:rFonts w:ascii="Times New Roman" w:hAnsi="Times New Roman"/>
                <w:sz w:val="14"/>
                <w:szCs w:val="14"/>
                <w:vertAlign w:val="superscript"/>
              </w:rPr>
              <w:t>a</w:t>
            </w:r>
          </w:p>
        </w:tc>
        <w:tc>
          <w:tcPr>
            <w:tcW w:w="189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0.104</w:t>
            </w:r>
            <w:r w:rsidRPr="004A4B05">
              <w:rPr>
                <w:rFonts w:ascii="Times New Roman" w:hAnsi="Times New Roman"/>
                <w:sz w:val="14"/>
                <w:szCs w:val="14"/>
                <w:vertAlign w:val="superscript"/>
              </w:rPr>
              <w:t>b</w:t>
            </w:r>
          </w:p>
        </w:tc>
        <w:tc>
          <w:tcPr>
            <w:tcW w:w="198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0.053</w:t>
            </w:r>
            <w:r w:rsidRPr="004A4B05">
              <w:rPr>
                <w:rFonts w:ascii="Times New Roman" w:hAnsi="Times New Roman"/>
                <w:sz w:val="14"/>
                <w:szCs w:val="14"/>
                <w:vertAlign w:val="superscript"/>
              </w:rPr>
              <w:t>a</w:t>
            </w:r>
          </w:p>
        </w:tc>
      </w:tr>
      <w:tr w:rsidR="00AA3EF2" w:rsidRPr="004A4B05" w:rsidTr="00FB46D4">
        <w:trPr>
          <w:trHeight w:val="161"/>
        </w:trPr>
        <w:tc>
          <w:tcPr>
            <w:tcW w:w="2178" w:type="dxa"/>
            <w:vMerge w:val="restart"/>
            <w:noWrap/>
            <w:vAlign w:val="center"/>
            <w:hideMark/>
          </w:tcPr>
          <w:p w:rsidR="00AA3EF2" w:rsidRPr="004A4B05" w:rsidRDefault="00AA3EF2" w:rsidP="00FB46D4">
            <w:pPr>
              <w:rPr>
                <w:rFonts w:ascii="Times New Roman" w:eastAsia="Times New Roman" w:hAnsi="Times New Roman"/>
                <w:b/>
                <w:bCs/>
                <w:sz w:val="14"/>
                <w:szCs w:val="14"/>
              </w:rPr>
            </w:pPr>
            <w:r w:rsidRPr="004A4B05">
              <w:rPr>
                <w:rFonts w:ascii="Times New Roman" w:eastAsia="Times New Roman" w:hAnsi="Times New Roman"/>
                <w:b/>
                <w:bCs/>
                <w:sz w:val="14"/>
                <w:szCs w:val="14"/>
              </w:rPr>
              <w:t>Pycnoge</w:t>
            </w:r>
            <w:r>
              <w:rPr>
                <w:rFonts w:ascii="Times New Roman" w:eastAsia="Times New Roman" w:hAnsi="Times New Roman"/>
                <w:b/>
                <w:bCs/>
                <w:sz w:val="14"/>
                <w:szCs w:val="14"/>
              </w:rPr>
              <w:t>no</w:t>
            </w:r>
            <w:r w:rsidRPr="004A4B05">
              <w:rPr>
                <w:rFonts w:ascii="Times New Roman" w:eastAsia="Times New Roman" w:hAnsi="Times New Roman"/>
                <w:b/>
                <w:bCs/>
                <w:sz w:val="14"/>
                <w:szCs w:val="14"/>
              </w:rPr>
              <w:t>l concentration</w:t>
            </w:r>
          </w:p>
        </w:tc>
        <w:tc>
          <w:tcPr>
            <w:tcW w:w="810" w:type="dxa"/>
            <w:noWrap/>
            <w:vAlign w:val="center"/>
            <w:hideMark/>
          </w:tcPr>
          <w:p w:rsidR="00AA3EF2" w:rsidRPr="004A4B05" w:rsidRDefault="00AA3EF2" w:rsidP="00FB46D4">
            <w:pPr>
              <w:jc w:val="center"/>
              <w:rPr>
                <w:rFonts w:ascii="Times New Roman" w:eastAsia="Times New Roman" w:hAnsi="Times New Roman"/>
                <w:b/>
                <w:bCs/>
                <w:sz w:val="14"/>
                <w:szCs w:val="14"/>
              </w:rPr>
            </w:pPr>
            <w:r w:rsidRPr="004A4B05">
              <w:rPr>
                <w:rFonts w:ascii="Times New Roman" w:eastAsia="Times New Roman" w:hAnsi="Times New Roman"/>
                <w:b/>
                <w:bCs/>
                <w:sz w:val="14"/>
                <w:szCs w:val="14"/>
              </w:rPr>
              <w:t>0%</w:t>
            </w:r>
          </w:p>
        </w:tc>
        <w:tc>
          <w:tcPr>
            <w:tcW w:w="162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0.018</w:t>
            </w:r>
            <w:r w:rsidRPr="004A4B05">
              <w:rPr>
                <w:rFonts w:ascii="Times New Roman" w:hAnsi="Times New Roman"/>
                <w:sz w:val="14"/>
                <w:szCs w:val="14"/>
                <w:vertAlign w:val="superscript"/>
              </w:rPr>
              <w:t>a</w:t>
            </w:r>
          </w:p>
        </w:tc>
        <w:tc>
          <w:tcPr>
            <w:tcW w:w="189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0.088</w:t>
            </w:r>
            <w:r w:rsidRPr="004A4B05">
              <w:rPr>
                <w:rFonts w:ascii="Times New Roman" w:hAnsi="Times New Roman"/>
                <w:sz w:val="14"/>
                <w:szCs w:val="14"/>
                <w:vertAlign w:val="superscript"/>
              </w:rPr>
              <w:t>a</w:t>
            </w:r>
          </w:p>
        </w:tc>
        <w:tc>
          <w:tcPr>
            <w:tcW w:w="198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0.041</w:t>
            </w:r>
            <w:r w:rsidRPr="004A4B05">
              <w:rPr>
                <w:rFonts w:ascii="Times New Roman" w:hAnsi="Times New Roman"/>
                <w:sz w:val="14"/>
                <w:szCs w:val="14"/>
                <w:vertAlign w:val="superscript"/>
              </w:rPr>
              <w:t>a</w:t>
            </w:r>
          </w:p>
        </w:tc>
      </w:tr>
      <w:tr w:rsidR="00AA3EF2" w:rsidRPr="004A4B05" w:rsidTr="00FB46D4">
        <w:trPr>
          <w:trHeight w:val="242"/>
        </w:trPr>
        <w:tc>
          <w:tcPr>
            <w:tcW w:w="2178" w:type="dxa"/>
            <w:vMerge/>
            <w:vAlign w:val="center"/>
            <w:hideMark/>
          </w:tcPr>
          <w:p w:rsidR="00AA3EF2" w:rsidRPr="004A4B05" w:rsidRDefault="00AA3EF2" w:rsidP="00FB46D4">
            <w:pPr>
              <w:rPr>
                <w:rFonts w:ascii="Times New Roman" w:eastAsia="Times New Roman" w:hAnsi="Times New Roman"/>
                <w:b/>
                <w:bCs/>
                <w:sz w:val="14"/>
                <w:szCs w:val="14"/>
              </w:rPr>
            </w:pPr>
          </w:p>
        </w:tc>
        <w:tc>
          <w:tcPr>
            <w:tcW w:w="810" w:type="dxa"/>
            <w:noWrap/>
            <w:vAlign w:val="center"/>
            <w:hideMark/>
          </w:tcPr>
          <w:p w:rsidR="00AA3EF2" w:rsidRPr="004A4B05" w:rsidRDefault="00AA3EF2" w:rsidP="00FB46D4">
            <w:pPr>
              <w:jc w:val="center"/>
              <w:rPr>
                <w:rFonts w:ascii="Times New Roman" w:eastAsia="Times New Roman" w:hAnsi="Times New Roman"/>
                <w:b/>
                <w:bCs/>
                <w:sz w:val="14"/>
                <w:szCs w:val="14"/>
              </w:rPr>
            </w:pPr>
            <w:r w:rsidRPr="004A4B05">
              <w:rPr>
                <w:rFonts w:ascii="Times New Roman" w:eastAsia="Times New Roman" w:hAnsi="Times New Roman"/>
                <w:b/>
                <w:bCs/>
                <w:sz w:val="14"/>
                <w:szCs w:val="14"/>
              </w:rPr>
              <w:t>0.01%</w:t>
            </w:r>
          </w:p>
        </w:tc>
        <w:tc>
          <w:tcPr>
            <w:tcW w:w="162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0.023</w:t>
            </w:r>
            <w:r w:rsidRPr="004A4B05">
              <w:rPr>
                <w:rFonts w:ascii="Times New Roman" w:hAnsi="Times New Roman"/>
                <w:sz w:val="14"/>
                <w:szCs w:val="14"/>
                <w:vertAlign w:val="superscript"/>
              </w:rPr>
              <w:t>a</w:t>
            </w:r>
          </w:p>
        </w:tc>
        <w:tc>
          <w:tcPr>
            <w:tcW w:w="189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0.081</w:t>
            </w:r>
            <w:r w:rsidRPr="004A4B05">
              <w:rPr>
                <w:rFonts w:ascii="Times New Roman" w:hAnsi="Times New Roman"/>
                <w:sz w:val="14"/>
                <w:szCs w:val="14"/>
                <w:vertAlign w:val="superscript"/>
              </w:rPr>
              <w:t>a</w:t>
            </w:r>
          </w:p>
        </w:tc>
        <w:tc>
          <w:tcPr>
            <w:tcW w:w="198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0.052</w:t>
            </w:r>
            <w:r w:rsidRPr="004A4B05">
              <w:rPr>
                <w:rFonts w:ascii="Times New Roman" w:hAnsi="Times New Roman"/>
                <w:sz w:val="14"/>
                <w:szCs w:val="14"/>
                <w:vertAlign w:val="superscript"/>
              </w:rPr>
              <w:t>a</w:t>
            </w:r>
          </w:p>
        </w:tc>
      </w:tr>
      <w:tr w:rsidR="00AA3EF2" w:rsidRPr="004A4B05" w:rsidTr="00FB46D4">
        <w:trPr>
          <w:trHeight w:val="152"/>
        </w:trPr>
        <w:tc>
          <w:tcPr>
            <w:tcW w:w="2178" w:type="dxa"/>
            <w:vMerge/>
            <w:vAlign w:val="center"/>
            <w:hideMark/>
          </w:tcPr>
          <w:p w:rsidR="00AA3EF2" w:rsidRPr="004A4B05" w:rsidRDefault="00AA3EF2" w:rsidP="00FB46D4">
            <w:pPr>
              <w:rPr>
                <w:rFonts w:ascii="Times New Roman" w:eastAsia="Times New Roman" w:hAnsi="Times New Roman"/>
                <w:b/>
                <w:bCs/>
                <w:sz w:val="14"/>
                <w:szCs w:val="14"/>
              </w:rPr>
            </w:pPr>
          </w:p>
        </w:tc>
        <w:tc>
          <w:tcPr>
            <w:tcW w:w="810" w:type="dxa"/>
            <w:noWrap/>
            <w:vAlign w:val="center"/>
            <w:hideMark/>
          </w:tcPr>
          <w:p w:rsidR="00AA3EF2" w:rsidRPr="004A4B05" w:rsidRDefault="00AA3EF2" w:rsidP="00FB46D4">
            <w:pPr>
              <w:jc w:val="center"/>
              <w:rPr>
                <w:rFonts w:ascii="Times New Roman" w:eastAsia="Times New Roman" w:hAnsi="Times New Roman"/>
                <w:b/>
                <w:bCs/>
                <w:sz w:val="14"/>
                <w:szCs w:val="14"/>
              </w:rPr>
            </w:pPr>
            <w:r w:rsidRPr="004A4B05">
              <w:rPr>
                <w:rFonts w:ascii="Times New Roman" w:eastAsia="Times New Roman" w:hAnsi="Times New Roman"/>
                <w:b/>
                <w:bCs/>
                <w:sz w:val="14"/>
                <w:szCs w:val="14"/>
              </w:rPr>
              <w:t>0.10%</w:t>
            </w:r>
          </w:p>
        </w:tc>
        <w:tc>
          <w:tcPr>
            <w:tcW w:w="162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0.028</w:t>
            </w:r>
            <w:r>
              <w:rPr>
                <w:rFonts w:ascii="Times New Roman" w:hAnsi="Times New Roman"/>
                <w:sz w:val="14"/>
                <w:szCs w:val="14"/>
                <w:vertAlign w:val="superscript"/>
              </w:rPr>
              <w:t>a</w:t>
            </w:r>
          </w:p>
        </w:tc>
        <w:tc>
          <w:tcPr>
            <w:tcW w:w="189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0.102</w:t>
            </w:r>
            <w:r w:rsidRPr="004A4B05">
              <w:rPr>
                <w:rFonts w:ascii="Times New Roman" w:hAnsi="Times New Roman"/>
                <w:sz w:val="14"/>
                <w:szCs w:val="14"/>
                <w:vertAlign w:val="superscript"/>
              </w:rPr>
              <w:t>a</w:t>
            </w:r>
          </w:p>
        </w:tc>
        <w:tc>
          <w:tcPr>
            <w:tcW w:w="1980" w:type="dxa"/>
            <w:noWrap/>
            <w:vAlign w:val="center"/>
            <w:hideMark/>
          </w:tcPr>
          <w:p w:rsidR="00AA3EF2" w:rsidRPr="004A4B05" w:rsidRDefault="00AA3EF2" w:rsidP="00FB46D4">
            <w:pPr>
              <w:jc w:val="center"/>
              <w:rPr>
                <w:rFonts w:ascii="Times New Roman" w:hAnsi="Times New Roman"/>
                <w:sz w:val="14"/>
                <w:szCs w:val="14"/>
              </w:rPr>
            </w:pPr>
            <w:r w:rsidRPr="004A4B05">
              <w:rPr>
                <w:rFonts w:ascii="Times New Roman" w:hAnsi="Times New Roman"/>
                <w:sz w:val="14"/>
                <w:szCs w:val="14"/>
              </w:rPr>
              <w:t>0.061</w:t>
            </w:r>
            <w:r w:rsidRPr="004A4B05">
              <w:rPr>
                <w:rFonts w:ascii="Times New Roman" w:hAnsi="Times New Roman"/>
                <w:sz w:val="14"/>
                <w:szCs w:val="14"/>
                <w:vertAlign w:val="superscript"/>
              </w:rPr>
              <w:t>a</w:t>
            </w:r>
          </w:p>
        </w:tc>
      </w:tr>
      <w:tr w:rsidR="00AA3EF2" w:rsidRPr="004A4B05" w:rsidTr="00FB46D4">
        <w:trPr>
          <w:trHeight w:val="125"/>
        </w:trPr>
        <w:tc>
          <w:tcPr>
            <w:tcW w:w="2178" w:type="dxa"/>
            <w:noWrap/>
            <w:vAlign w:val="center"/>
            <w:hideMark/>
          </w:tcPr>
          <w:p w:rsidR="00AA3EF2" w:rsidRPr="004A4B05" w:rsidRDefault="00AA3EF2" w:rsidP="00FB46D4">
            <w:pPr>
              <w:rPr>
                <w:rFonts w:ascii="Times New Roman" w:eastAsia="Times New Roman" w:hAnsi="Times New Roman"/>
                <w:b/>
                <w:bCs/>
                <w:sz w:val="14"/>
                <w:szCs w:val="14"/>
              </w:rPr>
            </w:pPr>
            <w:r>
              <w:rPr>
                <w:rFonts w:ascii="Times New Roman" w:eastAsia="Times New Roman" w:hAnsi="Times New Roman"/>
                <w:b/>
                <w:bCs/>
                <w:sz w:val="14"/>
                <w:szCs w:val="14"/>
              </w:rPr>
              <w:t>Vitamin C*Pycnogenol</w:t>
            </w:r>
          </w:p>
        </w:tc>
        <w:tc>
          <w:tcPr>
            <w:tcW w:w="810" w:type="dxa"/>
            <w:noWrap/>
            <w:vAlign w:val="center"/>
            <w:hideMark/>
          </w:tcPr>
          <w:p w:rsidR="00AA3EF2" w:rsidRPr="004A4B05" w:rsidRDefault="00685114" w:rsidP="00FB46D4">
            <w:pPr>
              <w:jc w:val="center"/>
              <w:rPr>
                <w:rFonts w:ascii="Times New Roman" w:eastAsia="Times New Roman" w:hAnsi="Times New Roman"/>
                <w:b/>
                <w:bCs/>
                <w:sz w:val="14"/>
                <w:szCs w:val="14"/>
              </w:rPr>
            </w:pPr>
            <w:r>
              <w:rPr>
                <w:rFonts w:ascii="Times New Roman" w:eastAsia="Times New Roman" w:hAnsi="Times New Roman"/>
                <w:b/>
                <w:bCs/>
                <w:sz w:val="14"/>
                <w:szCs w:val="14"/>
              </w:rPr>
              <w:t>Interaction</w:t>
            </w:r>
          </w:p>
        </w:tc>
        <w:tc>
          <w:tcPr>
            <w:tcW w:w="1620" w:type="dxa"/>
            <w:noWrap/>
            <w:vAlign w:val="center"/>
            <w:hideMark/>
          </w:tcPr>
          <w:p w:rsidR="00AA3EF2" w:rsidRPr="00767C25" w:rsidRDefault="00AA3EF2" w:rsidP="00FB46D4">
            <w:pPr>
              <w:jc w:val="center"/>
              <w:rPr>
                <w:rFonts w:ascii="Times New Roman" w:eastAsia="Times New Roman" w:hAnsi="Times New Roman"/>
                <w:bCs/>
                <w:sz w:val="14"/>
                <w:szCs w:val="14"/>
              </w:rPr>
            </w:pPr>
            <w:r w:rsidRPr="00767C25">
              <w:rPr>
                <w:rFonts w:ascii="Times New Roman" w:eastAsia="Times New Roman" w:hAnsi="Times New Roman"/>
                <w:bCs/>
                <w:sz w:val="14"/>
                <w:szCs w:val="14"/>
              </w:rPr>
              <w:t>n.s.</w:t>
            </w:r>
          </w:p>
        </w:tc>
        <w:tc>
          <w:tcPr>
            <w:tcW w:w="1890" w:type="dxa"/>
            <w:noWrap/>
            <w:vAlign w:val="center"/>
            <w:hideMark/>
          </w:tcPr>
          <w:p w:rsidR="00AA3EF2" w:rsidRPr="00767C25" w:rsidRDefault="00AA3EF2" w:rsidP="00FB46D4">
            <w:pPr>
              <w:jc w:val="center"/>
              <w:rPr>
                <w:rFonts w:ascii="Times New Roman" w:eastAsia="Times New Roman" w:hAnsi="Times New Roman"/>
                <w:bCs/>
                <w:sz w:val="14"/>
                <w:szCs w:val="14"/>
              </w:rPr>
            </w:pPr>
            <w:r>
              <w:rPr>
                <w:rFonts w:ascii="Times New Roman" w:eastAsia="Times New Roman" w:hAnsi="Times New Roman"/>
                <w:bCs/>
                <w:sz w:val="14"/>
                <w:szCs w:val="14"/>
              </w:rPr>
              <w:t>n.s.</w:t>
            </w:r>
          </w:p>
        </w:tc>
        <w:tc>
          <w:tcPr>
            <w:tcW w:w="1980" w:type="dxa"/>
            <w:noWrap/>
            <w:vAlign w:val="center"/>
            <w:hideMark/>
          </w:tcPr>
          <w:p w:rsidR="00AA3EF2" w:rsidRPr="00767C25" w:rsidRDefault="00AA3EF2" w:rsidP="00FB46D4">
            <w:pPr>
              <w:jc w:val="center"/>
              <w:rPr>
                <w:rFonts w:ascii="Times New Roman" w:eastAsia="Times New Roman" w:hAnsi="Times New Roman"/>
                <w:bCs/>
                <w:sz w:val="14"/>
                <w:szCs w:val="14"/>
              </w:rPr>
            </w:pPr>
            <w:r w:rsidRPr="00767C25">
              <w:rPr>
                <w:rFonts w:ascii="Times New Roman" w:eastAsia="Times New Roman" w:hAnsi="Times New Roman"/>
                <w:bCs/>
                <w:sz w:val="14"/>
                <w:szCs w:val="14"/>
              </w:rPr>
              <w:t>n.s.</w:t>
            </w:r>
          </w:p>
        </w:tc>
      </w:tr>
    </w:tbl>
    <w:p w:rsidR="00B00A03" w:rsidRPr="00FA4577" w:rsidRDefault="00B00A03" w:rsidP="00AA3EF2">
      <w:pPr>
        <w:spacing w:after="0"/>
        <w:jc w:val="both"/>
        <w:rPr>
          <w:rFonts w:ascii="Times New Roman" w:hAnsi="Times New Roman" w:cs="Times New Roman"/>
          <w:sz w:val="14"/>
          <w:szCs w:val="14"/>
        </w:rPr>
      </w:pPr>
      <w:r w:rsidRPr="00FA4577">
        <w:rPr>
          <w:rFonts w:ascii="Times New Roman" w:hAnsi="Times New Roman" w:cs="Times New Roman"/>
          <w:sz w:val="14"/>
          <w:szCs w:val="14"/>
        </w:rPr>
        <w:t>Different letters indicate significant differences (p&lt;0.0</w:t>
      </w:r>
      <w:r>
        <w:rPr>
          <w:rFonts w:ascii="Times New Roman" w:hAnsi="Times New Roman" w:cs="Times New Roman"/>
          <w:sz w:val="14"/>
          <w:szCs w:val="14"/>
        </w:rPr>
        <w:t>5</w:t>
      </w:r>
      <w:r w:rsidRPr="00FA4577">
        <w:rPr>
          <w:rFonts w:ascii="Times New Roman" w:hAnsi="Times New Roman" w:cs="Times New Roman"/>
          <w:sz w:val="14"/>
          <w:szCs w:val="14"/>
        </w:rPr>
        <w:t>) exist between means of the levels within each factor.</w:t>
      </w:r>
    </w:p>
    <w:p w:rsidR="00B00A03" w:rsidRDefault="00B00A03" w:rsidP="00B00A03">
      <w:pPr>
        <w:spacing w:after="0" w:line="240" w:lineRule="auto"/>
        <w:rPr>
          <w:rFonts w:ascii="Times New Roman" w:hAnsi="Times New Roman" w:cs="Times New Roman"/>
          <w:sz w:val="14"/>
          <w:szCs w:val="14"/>
        </w:rPr>
      </w:pPr>
      <w:proofErr w:type="gramStart"/>
      <w:r>
        <w:rPr>
          <w:rFonts w:ascii="Times New Roman" w:hAnsi="Times New Roman" w:cs="Times New Roman"/>
          <w:sz w:val="14"/>
          <w:szCs w:val="14"/>
        </w:rPr>
        <w:t>n.s</w:t>
      </w:r>
      <w:proofErr w:type="gramEnd"/>
      <w:r>
        <w:rPr>
          <w:rFonts w:ascii="Times New Roman" w:hAnsi="Times New Roman" w:cs="Times New Roman"/>
          <w:sz w:val="14"/>
          <w:szCs w:val="14"/>
        </w:rPr>
        <w:t>. and * correspond to non-significant (p&gt;0.05) and significant (p&lt;0.05) effects due to interaction of CaCl</w:t>
      </w:r>
      <w:r w:rsidRPr="00A70E27">
        <w:rPr>
          <w:rFonts w:ascii="Times New Roman" w:hAnsi="Times New Roman" w:cs="Times New Roman"/>
          <w:sz w:val="14"/>
          <w:szCs w:val="14"/>
          <w:vertAlign w:val="subscript"/>
        </w:rPr>
        <w:t>2</w:t>
      </w:r>
      <w:r>
        <w:rPr>
          <w:rFonts w:ascii="Times New Roman" w:hAnsi="Times New Roman" w:cs="Times New Roman"/>
          <w:sz w:val="14"/>
          <w:szCs w:val="14"/>
        </w:rPr>
        <w:t xml:space="preserve"> and flavonoid, respectively.</w:t>
      </w:r>
    </w:p>
    <w:p w:rsidR="00B00A03" w:rsidRDefault="00B00A03" w:rsidP="00B00A03">
      <w:pPr>
        <w:jc w:val="both"/>
        <w:rPr>
          <w:rFonts w:ascii="Times New Roman" w:hAnsi="Times New Roman" w:cs="Times New Roman"/>
          <w:sz w:val="14"/>
          <w:szCs w:val="14"/>
        </w:rPr>
      </w:pPr>
    </w:p>
    <w:p w:rsidR="00B00A03" w:rsidRPr="00153E32" w:rsidRDefault="00B00A03" w:rsidP="00B00A03">
      <w:pPr>
        <w:tabs>
          <w:tab w:val="left" w:pos="1980"/>
          <w:tab w:val="left" w:pos="8266"/>
        </w:tabs>
        <w:spacing w:after="0"/>
        <w:outlineLvl w:val="0"/>
        <w:rPr>
          <w:rFonts w:ascii="Times New Roman" w:hAnsi="Times New Roman" w:cs="Times New Roman"/>
          <w:b/>
          <w:sz w:val="24"/>
          <w:szCs w:val="24"/>
        </w:rPr>
      </w:pPr>
      <w:r w:rsidRPr="00153E32">
        <w:rPr>
          <w:rFonts w:ascii="Times New Roman" w:hAnsi="Times New Roman" w:cs="Times New Roman"/>
          <w:b/>
          <w:sz w:val="24"/>
          <w:szCs w:val="24"/>
        </w:rPr>
        <w:t>Table 10: Rate constants of browning index</w:t>
      </w:r>
    </w:p>
    <w:tbl>
      <w:tblPr>
        <w:tblW w:w="7221" w:type="dxa"/>
        <w:tblInd w:w="87" w:type="dxa"/>
        <w:tblLook w:val="04A0"/>
      </w:tblPr>
      <w:tblGrid>
        <w:gridCol w:w="840"/>
        <w:gridCol w:w="760"/>
        <w:gridCol w:w="960"/>
        <w:gridCol w:w="700"/>
        <w:gridCol w:w="2161"/>
        <w:gridCol w:w="810"/>
        <w:gridCol w:w="990"/>
      </w:tblGrid>
      <w:tr w:rsidR="00B00A03" w:rsidRPr="00FA4577" w:rsidTr="00382A78">
        <w:trPr>
          <w:trHeight w:val="341"/>
        </w:trPr>
        <w:tc>
          <w:tcPr>
            <w:tcW w:w="8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Treat.</w:t>
            </w:r>
            <w:r w:rsidRPr="00FA4577">
              <w:rPr>
                <w:rFonts w:ascii="Times New Roman" w:eastAsia="Times New Roman" w:hAnsi="Times New Roman" w:cs="Times New Roman"/>
                <w:b/>
                <w:sz w:val="14"/>
                <w:szCs w:val="14"/>
                <w:vertAlign w:val="superscript"/>
              </w:rPr>
              <w:t>a</w:t>
            </w:r>
          </w:p>
        </w:tc>
        <w:tc>
          <w:tcPr>
            <w:tcW w:w="7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Temp.</w:t>
            </w:r>
            <w:r w:rsidRPr="00FA4577">
              <w:rPr>
                <w:rFonts w:ascii="Times New Roman" w:eastAsia="Times New Roman" w:hAnsi="Times New Roman" w:cs="Times New Roman"/>
                <w:b/>
                <w:sz w:val="14"/>
                <w:szCs w:val="14"/>
                <w:vertAlign w:val="superscript"/>
              </w:rPr>
              <w:t>b</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Model</w:t>
            </w:r>
          </w:p>
        </w:tc>
        <w:tc>
          <w:tcPr>
            <w:tcW w:w="7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Para.</w:t>
            </w:r>
            <w:r w:rsidRPr="00FA4577">
              <w:rPr>
                <w:rFonts w:ascii="Times New Roman" w:eastAsia="Times New Roman" w:hAnsi="Times New Roman" w:cs="Times New Roman"/>
                <w:b/>
                <w:sz w:val="14"/>
                <w:szCs w:val="14"/>
                <w:vertAlign w:val="superscript"/>
              </w:rPr>
              <w:t>c</w:t>
            </w:r>
          </w:p>
        </w:tc>
        <w:tc>
          <w:tcPr>
            <w:tcW w:w="3961" w:type="dxa"/>
            <w:gridSpan w:val="3"/>
            <w:tcBorders>
              <w:top w:val="single" w:sz="4" w:space="0" w:color="auto"/>
              <w:left w:val="nil"/>
              <w:bottom w:val="nil"/>
              <w:right w:val="single" w:sz="4" w:space="0" w:color="000000"/>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Browning index</w:t>
            </w:r>
          </w:p>
        </w:tc>
      </w:tr>
      <w:tr w:rsidR="00B00A03" w:rsidRPr="00FA4577" w:rsidTr="00382A78">
        <w:trPr>
          <w:trHeight w:val="152"/>
        </w:trPr>
        <w:tc>
          <w:tcPr>
            <w:tcW w:w="840" w:type="dxa"/>
            <w:vMerge/>
            <w:tcBorders>
              <w:top w:val="single" w:sz="4" w:space="0" w:color="auto"/>
              <w:left w:val="single" w:sz="4" w:space="0" w:color="auto"/>
              <w:bottom w:val="single" w:sz="4" w:space="0" w:color="auto"/>
              <w:right w:val="single" w:sz="4" w:space="0" w:color="auto"/>
            </w:tcBorders>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p>
        </w:tc>
        <w:tc>
          <w:tcPr>
            <w:tcW w:w="760" w:type="dxa"/>
            <w:vMerge/>
            <w:tcBorders>
              <w:top w:val="single" w:sz="4" w:space="0" w:color="auto"/>
              <w:left w:val="single" w:sz="4" w:space="0" w:color="auto"/>
              <w:bottom w:val="single" w:sz="4" w:space="0" w:color="auto"/>
              <w:right w:val="single" w:sz="4" w:space="0" w:color="auto"/>
            </w:tcBorders>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p>
        </w:tc>
        <w:tc>
          <w:tcPr>
            <w:tcW w:w="2161" w:type="dxa"/>
            <w:tcBorders>
              <w:top w:val="single" w:sz="4" w:space="0" w:color="auto"/>
              <w:left w:val="nil"/>
              <w:bottom w:val="single" w:sz="4" w:space="0" w:color="auto"/>
              <w:right w:val="nil"/>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Estimate (day</w:t>
            </w:r>
            <w:r w:rsidRPr="001C56DE">
              <w:rPr>
                <w:rFonts w:ascii="Times New Roman" w:eastAsia="Times New Roman" w:hAnsi="Times New Roman" w:cs="Times New Roman"/>
                <w:b/>
                <w:sz w:val="14"/>
                <w:szCs w:val="14"/>
                <w:vertAlign w:val="superscript"/>
              </w:rPr>
              <w:t>-1</w:t>
            </w:r>
            <w:r w:rsidRPr="00FA4577">
              <w:rPr>
                <w:rFonts w:ascii="Times New Roman" w:eastAsia="Times New Roman" w:hAnsi="Times New Roman" w:cs="Times New Roman"/>
                <w:b/>
                <w:sz w:val="14"/>
                <w:szCs w:val="14"/>
              </w:rPr>
              <w:t>)</w:t>
            </w:r>
          </w:p>
        </w:tc>
        <w:tc>
          <w:tcPr>
            <w:tcW w:w="810" w:type="dxa"/>
            <w:tcBorders>
              <w:top w:val="single" w:sz="4" w:space="0" w:color="auto"/>
              <w:left w:val="single" w:sz="4" w:space="0" w:color="auto"/>
              <w:bottom w:val="nil"/>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R</w:t>
            </w:r>
            <w:r w:rsidRPr="00FA4577">
              <w:rPr>
                <w:rFonts w:ascii="Times New Roman" w:eastAsia="Times New Roman" w:hAnsi="Times New Roman" w:cs="Times New Roman"/>
                <w:b/>
                <w:sz w:val="14"/>
                <w:szCs w:val="14"/>
                <w:vertAlign w:val="superscript"/>
              </w:rPr>
              <w:t>2</w:t>
            </w:r>
          </w:p>
        </w:tc>
        <w:tc>
          <w:tcPr>
            <w:tcW w:w="990" w:type="dxa"/>
            <w:tcBorders>
              <w:top w:val="single" w:sz="4" w:space="0" w:color="auto"/>
              <w:left w:val="nil"/>
              <w:bottom w:val="nil"/>
              <w:right w:val="single" w:sz="4" w:space="0" w:color="auto"/>
            </w:tcBorders>
            <w:shd w:val="clear" w:color="auto" w:fill="auto"/>
            <w:noWrap/>
            <w:vAlign w:val="center"/>
            <w:hideMark/>
          </w:tcPr>
          <w:p w:rsidR="00B00A03" w:rsidRPr="00FA4577"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RMSE</w:t>
            </w:r>
            <w:r w:rsidRPr="00FA4577">
              <w:rPr>
                <w:rFonts w:ascii="Times New Roman" w:eastAsia="Times New Roman" w:hAnsi="Times New Roman" w:cs="Times New Roman"/>
                <w:b/>
                <w:sz w:val="14"/>
                <w:szCs w:val="14"/>
                <w:vertAlign w:val="superscript"/>
              </w:rPr>
              <w:t>d</w:t>
            </w:r>
          </w:p>
        </w:tc>
      </w:tr>
      <w:tr w:rsidR="001C56DE" w:rsidRPr="00FA4577" w:rsidTr="00382A78">
        <w:trPr>
          <w:trHeight w:val="188"/>
        </w:trPr>
        <w:tc>
          <w:tcPr>
            <w:tcW w:w="8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A</w:t>
            </w: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96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First-order</w:t>
            </w:r>
          </w:p>
        </w:tc>
        <w:tc>
          <w:tcPr>
            <w:tcW w:w="70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0.</w:t>
            </w:r>
            <w:r w:rsidRPr="00382A78">
              <w:rPr>
                <w:rFonts w:ascii="Times New Roman" w:eastAsia="Times New Roman" w:hAnsi="Times New Roman" w:cs="Times New Roman"/>
                <w:sz w:val="14"/>
                <w:szCs w:val="14"/>
              </w:rPr>
              <w:t xml:space="preserve">04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0.94</w:t>
            </w:r>
          </w:p>
        </w:tc>
        <w:tc>
          <w:tcPr>
            <w:tcW w:w="990" w:type="dxa"/>
            <w:tcBorders>
              <w:top w:val="single" w:sz="4" w:space="0" w:color="auto"/>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0.11</w:t>
            </w:r>
          </w:p>
        </w:tc>
      </w:tr>
      <w:tr w:rsidR="001C56DE" w:rsidRPr="00FA4577" w:rsidTr="00382A78">
        <w:trPr>
          <w:trHeight w:val="188"/>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nil"/>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w:t>
            </w:r>
            <w:r>
              <w:rPr>
                <w:rFonts w:ascii="Times New Roman" w:eastAsia="Times New Roman" w:hAnsi="Times New Roman" w:cs="Times New Roman"/>
                <w:sz w:val="14"/>
                <w:szCs w:val="14"/>
              </w:rPr>
              <w:t xml:space="preserve">1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0.001</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0.95</w:t>
            </w:r>
          </w:p>
        </w:tc>
        <w:tc>
          <w:tcPr>
            <w:tcW w:w="990" w:type="dxa"/>
            <w:tcBorders>
              <w:top w:val="single" w:sz="4" w:space="0" w:color="auto"/>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p>
        </w:tc>
      </w:tr>
      <w:tr w:rsidR="001C56DE" w:rsidRPr="00FA4577" w:rsidTr="00382A78">
        <w:trPr>
          <w:trHeight w:val="143"/>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nil"/>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-0.03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single" w:sz="4" w:space="0" w:color="auto"/>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0.0004</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0.0001</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0.75</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0.003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0.002</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0.91</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0.051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0.049</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B</w:t>
            </w: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96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First-order</w:t>
            </w:r>
          </w:p>
        </w:tc>
        <w:tc>
          <w:tcPr>
            <w:tcW w:w="70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0.034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0.002</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nil"/>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0.0009</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0.0001</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nil"/>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-0.013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0.002</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single" w:sz="4" w:space="0" w:color="auto"/>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0.0003</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0.0001</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0.65</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0.023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0.001</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0.93</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0.54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161"/>
        </w:trPr>
        <w:tc>
          <w:tcPr>
            <w:tcW w:w="8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w:t>
            </w: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96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First-order</w:t>
            </w:r>
          </w:p>
        </w:tc>
        <w:tc>
          <w:tcPr>
            <w:tcW w:w="70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0.031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0.004</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0.95</w:t>
            </w: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nil"/>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-0.001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0.002</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0.96</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nil"/>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-0.052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0.028</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single" w:sz="4" w:space="0" w:color="auto"/>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0.0004</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0.0001</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0.76</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-0.001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0.002</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0.87</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-0.04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0.03</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D</w:t>
            </w: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96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First-order</w:t>
            </w:r>
          </w:p>
        </w:tc>
        <w:tc>
          <w:tcPr>
            <w:tcW w:w="70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0.031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0.007</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0.87</w:t>
            </w: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nil"/>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-0.002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0.0009</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nil"/>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-0.12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0.029</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single" w:sz="4" w:space="0" w:color="auto"/>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0.0002</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0.0001</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0.67</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0.0007</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0.0021</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w:t>
            </w:r>
            <w:r>
              <w:rPr>
                <w:rFonts w:ascii="Times New Roman" w:eastAsia="Times New Roman" w:hAnsi="Times New Roman" w:cs="Times New Roman"/>
                <w:sz w:val="14"/>
                <w:szCs w:val="14"/>
              </w:rPr>
              <w:t>0</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0.019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0.06</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E</w:t>
            </w: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96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First-order</w:t>
            </w:r>
          </w:p>
        </w:tc>
        <w:tc>
          <w:tcPr>
            <w:tcW w:w="70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0.026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0.007</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0.85</w:t>
            </w: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nil"/>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-0.0007</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0.0020</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0.86</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nil"/>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-0.04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0.05</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single" w:sz="4" w:space="0" w:color="auto"/>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0.0004</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0.0001</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0.71</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0.0000</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0.0013</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0.72</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-0.009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0.031</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F</w:t>
            </w: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50</w:t>
            </w:r>
          </w:p>
        </w:tc>
        <w:tc>
          <w:tcPr>
            <w:tcW w:w="96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First-order</w:t>
            </w:r>
          </w:p>
        </w:tc>
        <w:tc>
          <w:tcPr>
            <w:tcW w:w="70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0.029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0.002</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nil"/>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0.0004</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0.001</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0.97</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nil"/>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-0.02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0.019</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40</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Zero-order</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w:t>
            </w:r>
          </w:p>
        </w:tc>
        <w:tc>
          <w:tcPr>
            <w:tcW w:w="2161" w:type="dxa"/>
            <w:tcBorders>
              <w:top w:val="single" w:sz="4" w:space="0" w:color="auto"/>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0.0003</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sidRPr="00FA4577">
              <w:rPr>
                <w:rFonts w:ascii="Times New Roman" w:eastAsia="Times New Roman" w:hAnsi="Times New Roman" w:cs="Times New Roman"/>
                <w:sz w:val="14"/>
                <w:szCs w:val="14"/>
              </w:rPr>
              <w:t>0.0001</w:t>
            </w:r>
          </w:p>
        </w:tc>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0.77</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179"/>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Combined model</w:t>
            </w:r>
          </w:p>
        </w:tc>
        <w:tc>
          <w:tcPr>
            <w:tcW w:w="70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k0</w:t>
            </w:r>
          </w:p>
        </w:tc>
        <w:tc>
          <w:tcPr>
            <w:tcW w:w="2161" w:type="dxa"/>
            <w:tcBorders>
              <w:top w:val="nil"/>
              <w:left w:val="nil"/>
              <w:bottom w:val="nil"/>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0.0002</w:t>
            </w:r>
            <w:r>
              <w:rPr>
                <w:rFonts w:ascii="Times New Roman" w:eastAsia="Times New Roman" w:hAnsi="Times New Roman" w:cs="Times New Roman"/>
                <w:sz w:val="14"/>
                <w:szCs w:val="14"/>
              </w:rPr>
              <w:t xml:space="preserve">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0.001</w:t>
            </w:r>
          </w:p>
        </w:tc>
        <w:tc>
          <w:tcPr>
            <w:tcW w:w="810" w:type="dxa"/>
            <w:tcBorders>
              <w:top w:val="nil"/>
              <w:left w:val="single" w:sz="4" w:space="0" w:color="auto"/>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0.77</w:t>
            </w:r>
          </w:p>
        </w:tc>
        <w:tc>
          <w:tcPr>
            <w:tcW w:w="990" w:type="dxa"/>
            <w:tcBorders>
              <w:top w:val="nil"/>
              <w:left w:val="nil"/>
              <w:bottom w:val="nil"/>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0.0</w:t>
            </w:r>
            <w:r>
              <w:rPr>
                <w:rFonts w:ascii="Times New Roman" w:eastAsia="Times New Roman" w:hAnsi="Times New Roman" w:cs="Times New Roman"/>
                <w:sz w:val="14"/>
                <w:szCs w:val="14"/>
              </w:rPr>
              <w:t>1</w:t>
            </w:r>
          </w:p>
        </w:tc>
      </w:tr>
      <w:tr w:rsidR="001C56DE" w:rsidRPr="00FA4577" w:rsidTr="00382A78">
        <w:trPr>
          <w:trHeight w:val="255"/>
        </w:trPr>
        <w:tc>
          <w:tcPr>
            <w:tcW w:w="84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60" w:type="dxa"/>
            <w:vMerge/>
            <w:tcBorders>
              <w:top w:val="nil"/>
              <w:left w:val="single" w:sz="4" w:space="0" w:color="auto"/>
              <w:bottom w:val="single" w:sz="4" w:space="0" w:color="000000"/>
              <w:right w:val="single" w:sz="4" w:space="0" w:color="auto"/>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k1</w:t>
            </w:r>
          </w:p>
        </w:tc>
        <w:tc>
          <w:tcPr>
            <w:tcW w:w="2161" w:type="dxa"/>
            <w:tcBorders>
              <w:top w:val="nil"/>
              <w:left w:val="nil"/>
              <w:bottom w:val="single" w:sz="4" w:space="0" w:color="auto"/>
              <w:right w:val="nil"/>
            </w:tcBorders>
            <w:shd w:val="clear" w:color="auto" w:fill="auto"/>
            <w:noWrap/>
            <w:vAlign w:val="center"/>
            <w:hideMark/>
          </w:tcPr>
          <w:p w:rsidR="001C56DE" w:rsidRPr="00FA4577" w:rsidRDefault="001C56DE" w:rsidP="00382A7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-0.002 </w:t>
            </w:r>
            <w:r w:rsidR="00382A78" w:rsidRPr="00382A78">
              <w:rPr>
                <w:rFonts w:ascii="Times New Roman" w:eastAsia="Times New Roman" w:hAnsi="Times New Roman" w:cs="Times New Roman"/>
                <w:sz w:val="14"/>
                <w:szCs w:val="14"/>
              </w:rPr>
              <w:t>±</w:t>
            </w:r>
            <w:r w:rsidR="00382A78">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0.026</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c>
          <w:tcPr>
            <w:tcW w:w="990" w:type="dxa"/>
            <w:tcBorders>
              <w:top w:val="nil"/>
              <w:left w:val="nil"/>
              <w:bottom w:val="single" w:sz="4" w:space="0" w:color="auto"/>
              <w:right w:val="single" w:sz="4" w:space="0" w:color="auto"/>
            </w:tcBorders>
            <w:shd w:val="clear" w:color="auto" w:fill="auto"/>
            <w:noWrap/>
            <w:vAlign w:val="center"/>
            <w:hideMark/>
          </w:tcPr>
          <w:p w:rsidR="001C56DE" w:rsidRPr="00FA4577" w:rsidRDefault="001C56DE" w:rsidP="00F14CA8">
            <w:pPr>
              <w:spacing w:after="0" w:line="240" w:lineRule="auto"/>
              <w:jc w:val="center"/>
              <w:rPr>
                <w:rFonts w:ascii="Times New Roman" w:eastAsia="Times New Roman" w:hAnsi="Times New Roman" w:cs="Times New Roman"/>
                <w:sz w:val="14"/>
                <w:szCs w:val="14"/>
              </w:rPr>
            </w:pPr>
          </w:p>
        </w:tc>
      </w:tr>
    </w:tbl>
    <w:p w:rsidR="00B00A03" w:rsidRPr="00FA4577" w:rsidRDefault="00B00A03" w:rsidP="00B00A03">
      <w:pPr>
        <w:tabs>
          <w:tab w:val="left" w:pos="8266"/>
        </w:tabs>
        <w:spacing w:after="0" w:line="240" w:lineRule="auto"/>
        <w:jc w:val="both"/>
        <w:rPr>
          <w:rFonts w:ascii="Times New Roman" w:hAnsi="Times New Roman" w:cs="Times New Roman"/>
          <w:sz w:val="14"/>
          <w:szCs w:val="14"/>
        </w:rPr>
      </w:pPr>
      <w:proofErr w:type="gramStart"/>
      <w:r w:rsidRPr="00FA4577">
        <w:rPr>
          <w:rFonts w:ascii="Times New Roman" w:hAnsi="Times New Roman" w:cs="Times New Roman"/>
          <w:sz w:val="14"/>
          <w:szCs w:val="14"/>
          <w:vertAlign w:val="superscript"/>
        </w:rPr>
        <w:t>a</w:t>
      </w:r>
      <w:r w:rsidRPr="00FA4577">
        <w:rPr>
          <w:rFonts w:ascii="Times New Roman" w:hAnsi="Times New Roman" w:cs="Times New Roman"/>
          <w:sz w:val="14"/>
          <w:szCs w:val="14"/>
        </w:rPr>
        <w:t>Treat.:</w:t>
      </w:r>
      <w:proofErr w:type="gramEnd"/>
      <w:r w:rsidRPr="00FA4577">
        <w:rPr>
          <w:rFonts w:ascii="Times New Roman" w:hAnsi="Times New Roman" w:cs="Times New Roman"/>
          <w:sz w:val="14"/>
          <w:szCs w:val="14"/>
        </w:rPr>
        <w:t xml:space="preserve"> Treatment; </w:t>
      </w:r>
      <w:r w:rsidRPr="00FA4577">
        <w:rPr>
          <w:rFonts w:ascii="Times New Roman" w:hAnsi="Times New Roman" w:cs="Times New Roman"/>
          <w:sz w:val="14"/>
          <w:szCs w:val="14"/>
          <w:vertAlign w:val="superscript"/>
        </w:rPr>
        <w:t>b</w:t>
      </w:r>
      <w:r w:rsidRPr="00FA4577">
        <w:rPr>
          <w:rFonts w:ascii="Times New Roman" w:hAnsi="Times New Roman" w:cs="Times New Roman"/>
          <w:sz w:val="14"/>
          <w:szCs w:val="14"/>
        </w:rPr>
        <w:t xml:space="preserve">Temp.: Temperature; </w:t>
      </w:r>
      <w:r w:rsidRPr="00FA4577">
        <w:rPr>
          <w:rFonts w:ascii="Times New Roman" w:hAnsi="Times New Roman" w:cs="Times New Roman"/>
          <w:sz w:val="14"/>
          <w:szCs w:val="14"/>
          <w:vertAlign w:val="superscript"/>
        </w:rPr>
        <w:t>c</w:t>
      </w:r>
      <w:r w:rsidRPr="00FA4577">
        <w:rPr>
          <w:rFonts w:ascii="Times New Roman" w:hAnsi="Times New Roman" w:cs="Times New Roman"/>
          <w:sz w:val="14"/>
          <w:szCs w:val="14"/>
        </w:rPr>
        <w:t xml:space="preserve">Para.: Parameter; </w:t>
      </w:r>
      <w:r w:rsidRPr="00FA4577">
        <w:rPr>
          <w:rFonts w:ascii="Times New Roman" w:hAnsi="Times New Roman" w:cs="Times New Roman"/>
          <w:sz w:val="14"/>
          <w:szCs w:val="14"/>
          <w:vertAlign w:val="superscript"/>
        </w:rPr>
        <w:t>D</w:t>
      </w:r>
      <w:r w:rsidRPr="00FA4577">
        <w:rPr>
          <w:rFonts w:ascii="Times New Roman" w:hAnsi="Times New Roman" w:cs="Times New Roman"/>
          <w:sz w:val="14"/>
          <w:szCs w:val="14"/>
        </w:rPr>
        <w:t>RMSE: Root Mean Square</w:t>
      </w:r>
    </w:p>
    <w:p w:rsidR="00B00A03" w:rsidRPr="00153E32" w:rsidRDefault="00B00A03" w:rsidP="00B00A03">
      <w:pPr>
        <w:spacing w:after="0"/>
        <w:jc w:val="both"/>
        <w:rPr>
          <w:rFonts w:ascii="Times New Roman" w:hAnsi="Times New Roman" w:cs="Times New Roman"/>
          <w:b/>
          <w:sz w:val="24"/>
          <w:szCs w:val="24"/>
        </w:rPr>
      </w:pPr>
      <w:r w:rsidRPr="00153E32">
        <w:rPr>
          <w:rFonts w:ascii="Times New Roman" w:hAnsi="Times New Roman" w:cs="Times New Roman"/>
          <w:b/>
          <w:sz w:val="24"/>
          <w:szCs w:val="24"/>
        </w:rPr>
        <w:lastRenderedPageBreak/>
        <w:t>Table 11: Vitamin C and Pycnogenol concentration effect on vitamin C concentration at the beginning and end of the storage</w:t>
      </w:r>
    </w:p>
    <w:tbl>
      <w:tblPr>
        <w:tblStyle w:val="TableGrid"/>
        <w:tblW w:w="8478" w:type="dxa"/>
        <w:tblLook w:val="04A0"/>
      </w:tblPr>
      <w:tblGrid>
        <w:gridCol w:w="2178"/>
        <w:gridCol w:w="885"/>
        <w:gridCol w:w="1620"/>
        <w:gridCol w:w="1890"/>
        <w:gridCol w:w="1980"/>
      </w:tblGrid>
      <w:tr w:rsidR="00560C33" w:rsidRPr="00FA4577" w:rsidTr="007E11C1">
        <w:trPr>
          <w:trHeight w:val="147"/>
        </w:trPr>
        <w:tc>
          <w:tcPr>
            <w:tcW w:w="2178" w:type="dxa"/>
            <w:noWrap/>
            <w:vAlign w:val="center"/>
            <w:hideMark/>
          </w:tcPr>
          <w:p w:rsidR="00560C33" w:rsidRPr="00FA4577" w:rsidRDefault="00560C33" w:rsidP="007E11C1">
            <w:pPr>
              <w:jc w:val="center"/>
              <w:rPr>
                <w:rFonts w:ascii="Times New Roman" w:eastAsia="Times New Roman" w:hAnsi="Times New Roman"/>
                <w:b/>
                <w:bCs/>
                <w:sz w:val="14"/>
                <w:szCs w:val="14"/>
              </w:rPr>
            </w:pPr>
            <w:r w:rsidRPr="00FA4577">
              <w:rPr>
                <w:rFonts w:ascii="Times New Roman" w:eastAsia="Times New Roman" w:hAnsi="Times New Roman"/>
                <w:b/>
                <w:bCs/>
                <w:sz w:val="14"/>
                <w:szCs w:val="14"/>
              </w:rPr>
              <w:t>Factor</w:t>
            </w:r>
          </w:p>
        </w:tc>
        <w:tc>
          <w:tcPr>
            <w:tcW w:w="810" w:type="dxa"/>
            <w:noWrap/>
            <w:vAlign w:val="center"/>
            <w:hideMark/>
          </w:tcPr>
          <w:p w:rsidR="00560C33" w:rsidRPr="00FA4577" w:rsidRDefault="00560C33" w:rsidP="007E11C1">
            <w:pPr>
              <w:jc w:val="center"/>
              <w:rPr>
                <w:rFonts w:ascii="Times New Roman" w:eastAsia="Times New Roman" w:hAnsi="Times New Roman"/>
                <w:b/>
                <w:bCs/>
                <w:sz w:val="14"/>
                <w:szCs w:val="14"/>
              </w:rPr>
            </w:pPr>
            <w:r w:rsidRPr="00FA4577">
              <w:rPr>
                <w:rFonts w:ascii="Times New Roman" w:eastAsia="Times New Roman" w:hAnsi="Times New Roman"/>
                <w:b/>
                <w:bCs/>
                <w:sz w:val="14"/>
                <w:szCs w:val="14"/>
              </w:rPr>
              <w:t>Levels</w:t>
            </w:r>
          </w:p>
        </w:tc>
        <w:tc>
          <w:tcPr>
            <w:tcW w:w="1620" w:type="dxa"/>
            <w:noWrap/>
            <w:vAlign w:val="center"/>
            <w:hideMark/>
          </w:tcPr>
          <w:p w:rsidR="00560C33" w:rsidRPr="00FA4577" w:rsidRDefault="00560C33" w:rsidP="007E11C1">
            <w:pPr>
              <w:jc w:val="center"/>
              <w:rPr>
                <w:rFonts w:ascii="Times New Roman" w:eastAsia="Times New Roman" w:hAnsi="Times New Roman"/>
                <w:b/>
                <w:bCs/>
                <w:sz w:val="14"/>
                <w:szCs w:val="14"/>
              </w:rPr>
            </w:pPr>
            <w:r w:rsidRPr="00FA4577">
              <w:rPr>
                <w:rFonts w:ascii="Times New Roman" w:eastAsia="Times New Roman" w:hAnsi="Times New Roman"/>
                <w:b/>
                <w:bCs/>
                <w:sz w:val="14"/>
                <w:szCs w:val="14"/>
              </w:rPr>
              <w:t>Day 0</w:t>
            </w:r>
            <w:r>
              <w:rPr>
                <w:rFonts w:ascii="Times New Roman" w:eastAsia="Times New Roman" w:hAnsi="Times New Roman"/>
                <w:b/>
                <w:bCs/>
                <w:sz w:val="14"/>
                <w:szCs w:val="14"/>
              </w:rPr>
              <w:t xml:space="preserve"> (Molar)</w:t>
            </w:r>
          </w:p>
        </w:tc>
        <w:tc>
          <w:tcPr>
            <w:tcW w:w="1890" w:type="dxa"/>
            <w:noWrap/>
            <w:vAlign w:val="center"/>
            <w:hideMark/>
          </w:tcPr>
          <w:p w:rsidR="00560C33" w:rsidRPr="00FA4577" w:rsidRDefault="00560C33" w:rsidP="007E11C1">
            <w:pPr>
              <w:jc w:val="center"/>
              <w:rPr>
                <w:rFonts w:ascii="Times New Roman" w:eastAsia="Times New Roman" w:hAnsi="Times New Roman"/>
                <w:b/>
                <w:bCs/>
                <w:sz w:val="14"/>
                <w:szCs w:val="14"/>
              </w:rPr>
            </w:pPr>
            <w:r w:rsidRPr="00FA4577">
              <w:rPr>
                <w:rFonts w:ascii="Times New Roman" w:eastAsia="Times New Roman" w:hAnsi="Times New Roman"/>
                <w:b/>
                <w:bCs/>
                <w:sz w:val="14"/>
                <w:szCs w:val="14"/>
              </w:rPr>
              <w:t>Day 42 at 51</w:t>
            </w:r>
            <w:r>
              <w:rPr>
                <w:rFonts w:ascii="Times New Roman" w:eastAsia="Times New Roman" w:hAnsi="Times New Roman"/>
                <w:b/>
                <w:bCs/>
                <w:sz w:val="14"/>
                <w:szCs w:val="14"/>
              </w:rPr>
              <w:t>°</w:t>
            </w:r>
            <w:r w:rsidRPr="00FA4577">
              <w:rPr>
                <w:rFonts w:ascii="Times New Roman" w:eastAsia="Times New Roman" w:hAnsi="Times New Roman"/>
                <w:b/>
                <w:bCs/>
                <w:sz w:val="14"/>
                <w:szCs w:val="14"/>
              </w:rPr>
              <w:t>C</w:t>
            </w:r>
            <w:r>
              <w:rPr>
                <w:rFonts w:ascii="Times New Roman" w:eastAsia="Times New Roman" w:hAnsi="Times New Roman"/>
                <w:b/>
                <w:bCs/>
                <w:sz w:val="14"/>
                <w:szCs w:val="14"/>
              </w:rPr>
              <w:t xml:space="preserve"> (Molar)</w:t>
            </w:r>
          </w:p>
        </w:tc>
        <w:tc>
          <w:tcPr>
            <w:tcW w:w="1980" w:type="dxa"/>
            <w:noWrap/>
            <w:vAlign w:val="center"/>
            <w:hideMark/>
          </w:tcPr>
          <w:p w:rsidR="00560C33" w:rsidRPr="00FA4577" w:rsidRDefault="00560C33" w:rsidP="007E11C1">
            <w:pPr>
              <w:jc w:val="center"/>
              <w:rPr>
                <w:rFonts w:ascii="Times New Roman" w:eastAsia="Times New Roman" w:hAnsi="Times New Roman"/>
                <w:b/>
                <w:bCs/>
                <w:sz w:val="14"/>
                <w:szCs w:val="14"/>
              </w:rPr>
            </w:pPr>
            <w:r w:rsidRPr="00FA4577">
              <w:rPr>
                <w:rFonts w:ascii="Times New Roman" w:eastAsia="Times New Roman" w:hAnsi="Times New Roman"/>
                <w:b/>
                <w:bCs/>
                <w:sz w:val="14"/>
                <w:szCs w:val="14"/>
              </w:rPr>
              <w:t>Day 84 at 40</w:t>
            </w:r>
            <w:r>
              <w:rPr>
                <w:rFonts w:ascii="Times New Roman" w:eastAsia="Times New Roman" w:hAnsi="Times New Roman"/>
                <w:b/>
                <w:bCs/>
                <w:sz w:val="14"/>
                <w:szCs w:val="14"/>
              </w:rPr>
              <w:t>°C (Molar)</w:t>
            </w:r>
          </w:p>
        </w:tc>
      </w:tr>
      <w:tr w:rsidR="00560C33" w:rsidRPr="00FA4577" w:rsidTr="007E11C1">
        <w:trPr>
          <w:trHeight w:val="215"/>
        </w:trPr>
        <w:tc>
          <w:tcPr>
            <w:tcW w:w="2178" w:type="dxa"/>
            <w:vMerge w:val="restart"/>
            <w:noWrap/>
            <w:vAlign w:val="center"/>
            <w:hideMark/>
          </w:tcPr>
          <w:p w:rsidR="00560C33" w:rsidRPr="00FA4577" w:rsidRDefault="00560C33" w:rsidP="007E11C1">
            <w:pPr>
              <w:rPr>
                <w:rFonts w:ascii="Times New Roman" w:eastAsia="Times New Roman" w:hAnsi="Times New Roman"/>
                <w:b/>
                <w:bCs/>
                <w:sz w:val="14"/>
                <w:szCs w:val="14"/>
              </w:rPr>
            </w:pPr>
            <w:r w:rsidRPr="00FA4577">
              <w:rPr>
                <w:rFonts w:ascii="Times New Roman" w:eastAsia="Times New Roman" w:hAnsi="Times New Roman"/>
                <w:b/>
                <w:bCs/>
                <w:sz w:val="14"/>
                <w:szCs w:val="14"/>
              </w:rPr>
              <w:t>Vitamin C</w:t>
            </w:r>
          </w:p>
        </w:tc>
        <w:tc>
          <w:tcPr>
            <w:tcW w:w="810" w:type="dxa"/>
            <w:noWrap/>
            <w:vAlign w:val="center"/>
            <w:hideMark/>
          </w:tcPr>
          <w:p w:rsidR="00560C33" w:rsidRPr="00FA4577" w:rsidRDefault="00560C33" w:rsidP="007E11C1">
            <w:pPr>
              <w:jc w:val="center"/>
              <w:rPr>
                <w:rFonts w:ascii="Times New Roman" w:eastAsia="Times New Roman" w:hAnsi="Times New Roman"/>
                <w:b/>
                <w:bCs/>
                <w:sz w:val="14"/>
                <w:szCs w:val="14"/>
              </w:rPr>
            </w:pPr>
            <w:r w:rsidRPr="00FA4577">
              <w:rPr>
                <w:rFonts w:ascii="Times New Roman" w:eastAsia="Times New Roman" w:hAnsi="Times New Roman"/>
                <w:b/>
                <w:bCs/>
                <w:sz w:val="14"/>
                <w:szCs w:val="14"/>
              </w:rPr>
              <w:t>A</w:t>
            </w:r>
            <w:r>
              <w:rPr>
                <w:rFonts w:ascii="Times New Roman" w:eastAsia="Times New Roman" w:hAnsi="Times New Roman"/>
                <w:b/>
                <w:bCs/>
                <w:sz w:val="14"/>
                <w:szCs w:val="14"/>
              </w:rPr>
              <w:t>2P</w:t>
            </w:r>
          </w:p>
        </w:tc>
        <w:tc>
          <w:tcPr>
            <w:tcW w:w="162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0.0033</w:t>
            </w:r>
            <w:r w:rsidRPr="006C71E9">
              <w:rPr>
                <w:rFonts w:ascii="Times New Roman" w:hAnsi="Times New Roman"/>
                <w:sz w:val="14"/>
                <w:szCs w:val="14"/>
                <w:vertAlign w:val="superscript"/>
              </w:rPr>
              <w:t>a</w:t>
            </w:r>
          </w:p>
        </w:tc>
        <w:tc>
          <w:tcPr>
            <w:tcW w:w="189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0.0015</w:t>
            </w:r>
            <w:r w:rsidRPr="00840EC0">
              <w:rPr>
                <w:rFonts w:ascii="Times New Roman" w:hAnsi="Times New Roman"/>
                <w:sz w:val="14"/>
                <w:szCs w:val="14"/>
                <w:vertAlign w:val="superscript"/>
              </w:rPr>
              <w:t>a</w:t>
            </w:r>
          </w:p>
        </w:tc>
        <w:tc>
          <w:tcPr>
            <w:tcW w:w="1980" w:type="dxa"/>
            <w:noWrap/>
            <w:vAlign w:val="center"/>
            <w:hideMark/>
          </w:tcPr>
          <w:p w:rsidR="00560C33" w:rsidRPr="00FA4577" w:rsidRDefault="00560C33" w:rsidP="007E11C1">
            <w:pPr>
              <w:jc w:val="center"/>
              <w:rPr>
                <w:rFonts w:ascii="Times New Roman" w:hAnsi="Times New Roman"/>
                <w:sz w:val="14"/>
                <w:szCs w:val="14"/>
              </w:rPr>
            </w:pPr>
            <w:r>
              <w:rPr>
                <w:rFonts w:ascii="Times New Roman" w:hAnsi="Times New Roman"/>
                <w:sz w:val="14"/>
                <w:szCs w:val="14"/>
              </w:rPr>
              <w:t>0.0022</w:t>
            </w:r>
            <w:r w:rsidRPr="00153E32">
              <w:rPr>
                <w:rFonts w:ascii="Times New Roman" w:hAnsi="Times New Roman"/>
                <w:sz w:val="14"/>
                <w:szCs w:val="14"/>
                <w:vertAlign w:val="superscript"/>
              </w:rPr>
              <w:t>a</w:t>
            </w:r>
          </w:p>
        </w:tc>
      </w:tr>
      <w:tr w:rsidR="00560C33" w:rsidRPr="00FA4577" w:rsidTr="007E11C1">
        <w:trPr>
          <w:trHeight w:val="206"/>
        </w:trPr>
        <w:tc>
          <w:tcPr>
            <w:tcW w:w="2178" w:type="dxa"/>
            <w:vMerge/>
            <w:vAlign w:val="center"/>
            <w:hideMark/>
          </w:tcPr>
          <w:p w:rsidR="00560C33" w:rsidRPr="00FA4577" w:rsidRDefault="00560C33" w:rsidP="007E11C1">
            <w:pPr>
              <w:rPr>
                <w:rFonts w:ascii="Times New Roman" w:eastAsia="Times New Roman" w:hAnsi="Times New Roman"/>
                <w:b/>
                <w:bCs/>
                <w:sz w:val="14"/>
                <w:szCs w:val="14"/>
              </w:rPr>
            </w:pPr>
          </w:p>
        </w:tc>
        <w:tc>
          <w:tcPr>
            <w:tcW w:w="810" w:type="dxa"/>
            <w:noWrap/>
            <w:vAlign w:val="center"/>
            <w:hideMark/>
          </w:tcPr>
          <w:p w:rsidR="00560C33" w:rsidRPr="00FA4577" w:rsidRDefault="00560C33" w:rsidP="007E11C1">
            <w:pPr>
              <w:jc w:val="center"/>
              <w:rPr>
                <w:rFonts w:ascii="Times New Roman" w:eastAsia="Times New Roman" w:hAnsi="Times New Roman"/>
                <w:b/>
                <w:bCs/>
                <w:sz w:val="14"/>
                <w:szCs w:val="14"/>
              </w:rPr>
            </w:pPr>
            <w:r>
              <w:rPr>
                <w:rFonts w:ascii="Times New Roman" w:eastAsia="Times New Roman" w:hAnsi="Times New Roman"/>
                <w:b/>
                <w:bCs/>
                <w:sz w:val="14"/>
                <w:szCs w:val="14"/>
              </w:rPr>
              <w:t>AA</w:t>
            </w:r>
          </w:p>
        </w:tc>
        <w:tc>
          <w:tcPr>
            <w:tcW w:w="162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0.0034</w:t>
            </w:r>
            <w:r w:rsidRPr="006C71E9">
              <w:rPr>
                <w:rFonts w:ascii="Times New Roman" w:hAnsi="Times New Roman"/>
                <w:sz w:val="14"/>
                <w:szCs w:val="14"/>
                <w:vertAlign w:val="superscript"/>
              </w:rPr>
              <w:t>a</w:t>
            </w:r>
          </w:p>
        </w:tc>
        <w:tc>
          <w:tcPr>
            <w:tcW w:w="189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0.0018</w:t>
            </w:r>
            <w:r w:rsidRPr="00840EC0">
              <w:rPr>
                <w:rFonts w:ascii="Times New Roman" w:hAnsi="Times New Roman"/>
                <w:sz w:val="14"/>
                <w:szCs w:val="14"/>
                <w:vertAlign w:val="superscript"/>
              </w:rPr>
              <w:t>b</w:t>
            </w:r>
          </w:p>
        </w:tc>
        <w:tc>
          <w:tcPr>
            <w:tcW w:w="1980" w:type="dxa"/>
            <w:noWrap/>
            <w:vAlign w:val="center"/>
            <w:hideMark/>
          </w:tcPr>
          <w:p w:rsidR="00560C33" w:rsidRPr="00FA4577" w:rsidRDefault="00560C33" w:rsidP="007E11C1">
            <w:pPr>
              <w:jc w:val="center"/>
              <w:rPr>
                <w:rFonts w:ascii="Times New Roman" w:hAnsi="Times New Roman"/>
                <w:sz w:val="14"/>
                <w:szCs w:val="14"/>
              </w:rPr>
            </w:pPr>
            <w:r>
              <w:rPr>
                <w:rFonts w:ascii="Times New Roman" w:hAnsi="Times New Roman"/>
                <w:sz w:val="14"/>
                <w:szCs w:val="14"/>
              </w:rPr>
              <w:t>0.0018</w:t>
            </w:r>
            <w:r w:rsidRPr="00153E32">
              <w:rPr>
                <w:rFonts w:ascii="Times New Roman" w:hAnsi="Times New Roman"/>
                <w:sz w:val="14"/>
                <w:szCs w:val="14"/>
                <w:vertAlign w:val="superscript"/>
              </w:rPr>
              <w:t>a</w:t>
            </w:r>
          </w:p>
        </w:tc>
      </w:tr>
      <w:tr w:rsidR="00560C33" w:rsidRPr="00FA4577" w:rsidTr="007E11C1">
        <w:trPr>
          <w:trHeight w:val="161"/>
        </w:trPr>
        <w:tc>
          <w:tcPr>
            <w:tcW w:w="2178" w:type="dxa"/>
            <w:vMerge w:val="restart"/>
            <w:noWrap/>
            <w:vAlign w:val="center"/>
            <w:hideMark/>
          </w:tcPr>
          <w:p w:rsidR="00560C33" w:rsidRPr="00FA4577" w:rsidRDefault="00560C33" w:rsidP="007E11C1">
            <w:pPr>
              <w:rPr>
                <w:rFonts w:ascii="Times New Roman" w:eastAsia="Times New Roman" w:hAnsi="Times New Roman"/>
                <w:b/>
                <w:bCs/>
                <w:sz w:val="14"/>
                <w:szCs w:val="14"/>
              </w:rPr>
            </w:pPr>
            <w:r w:rsidRPr="00FA4577">
              <w:rPr>
                <w:rFonts w:ascii="Times New Roman" w:eastAsia="Times New Roman" w:hAnsi="Times New Roman"/>
                <w:b/>
                <w:bCs/>
                <w:sz w:val="14"/>
                <w:szCs w:val="14"/>
              </w:rPr>
              <w:t>Pycnogel concentration</w:t>
            </w:r>
          </w:p>
        </w:tc>
        <w:tc>
          <w:tcPr>
            <w:tcW w:w="810" w:type="dxa"/>
            <w:noWrap/>
            <w:vAlign w:val="center"/>
            <w:hideMark/>
          </w:tcPr>
          <w:p w:rsidR="00560C33" w:rsidRPr="00FA4577" w:rsidRDefault="00560C33" w:rsidP="007E11C1">
            <w:pPr>
              <w:jc w:val="center"/>
              <w:rPr>
                <w:rFonts w:ascii="Times New Roman" w:eastAsia="Times New Roman" w:hAnsi="Times New Roman"/>
                <w:b/>
                <w:bCs/>
                <w:sz w:val="14"/>
                <w:szCs w:val="14"/>
              </w:rPr>
            </w:pPr>
            <w:r w:rsidRPr="00FA4577">
              <w:rPr>
                <w:rFonts w:ascii="Times New Roman" w:eastAsia="Times New Roman" w:hAnsi="Times New Roman"/>
                <w:b/>
                <w:bCs/>
                <w:sz w:val="14"/>
                <w:szCs w:val="14"/>
              </w:rPr>
              <w:t>0%</w:t>
            </w:r>
          </w:p>
        </w:tc>
        <w:tc>
          <w:tcPr>
            <w:tcW w:w="162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0.0034</w:t>
            </w:r>
            <w:r w:rsidRPr="006C71E9">
              <w:rPr>
                <w:rFonts w:ascii="Times New Roman" w:hAnsi="Times New Roman"/>
                <w:sz w:val="14"/>
                <w:szCs w:val="14"/>
                <w:vertAlign w:val="superscript"/>
              </w:rPr>
              <w:t>a</w:t>
            </w:r>
          </w:p>
        </w:tc>
        <w:tc>
          <w:tcPr>
            <w:tcW w:w="189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0.0018</w:t>
            </w:r>
            <w:r w:rsidRPr="00840EC0">
              <w:rPr>
                <w:rFonts w:ascii="Times New Roman" w:hAnsi="Times New Roman"/>
                <w:sz w:val="14"/>
                <w:szCs w:val="14"/>
                <w:vertAlign w:val="superscript"/>
              </w:rPr>
              <w:t>a</w:t>
            </w:r>
          </w:p>
        </w:tc>
        <w:tc>
          <w:tcPr>
            <w:tcW w:w="198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0.0024</w:t>
            </w:r>
            <w:r w:rsidRPr="00153E32">
              <w:rPr>
                <w:rFonts w:ascii="Times New Roman" w:hAnsi="Times New Roman"/>
                <w:sz w:val="14"/>
                <w:szCs w:val="14"/>
                <w:vertAlign w:val="superscript"/>
              </w:rPr>
              <w:t>a</w:t>
            </w:r>
          </w:p>
        </w:tc>
      </w:tr>
      <w:tr w:rsidR="00560C33" w:rsidRPr="00FA4577" w:rsidTr="007E11C1">
        <w:trPr>
          <w:trHeight w:val="242"/>
        </w:trPr>
        <w:tc>
          <w:tcPr>
            <w:tcW w:w="2178" w:type="dxa"/>
            <w:vMerge/>
            <w:vAlign w:val="center"/>
            <w:hideMark/>
          </w:tcPr>
          <w:p w:rsidR="00560C33" w:rsidRPr="00FA4577" w:rsidRDefault="00560C33" w:rsidP="007E11C1">
            <w:pPr>
              <w:rPr>
                <w:rFonts w:ascii="Times New Roman" w:eastAsia="Times New Roman" w:hAnsi="Times New Roman"/>
                <w:b/>
                <w:bCs/>
                <w:sz w:val="14"/>
                <w:szCs w:val="14"/>
              </w:rPr>
            </w:pPr>
          </w:p>
        </w:tc>
        <w:tc>
          <w:tcPr>
            <w:tcW w:w="810" w:type="dxa"/>
            <w:noWrap/>
            <w:vAlign w:val="center"/>
            <w:hideMark/>
          </w:tcPr>
          <w:p w:rsidR="00560C33" w:rsidRPr="00FA4577" w:rsidRDefault="00560C33" w:rsidP="007E11C1">
            <w:pPr>
              <w:jc w:val="center"/>
              <w:rPr>
                <w:rFonts w:ascii="Times New Roman" w:eastAsia="Times New Roman" w:hAnsi="Times New Roman"/>
                <w:b/>
                <w:bCs/>
                <w:sz w:val="14"/>
                <w:szCs w:val="14"/>
              </w:rPr>
            </w:pPr>
            <w:r w:rsidRPr="00FA4577">
              <w:rPr>
                <w:rFonts w:ascii="Times New Roman" w:eastAsia="Times New Roman" w:hAnsi="Times New Roman"/>
                <w:b/>
                <w:bCs/>
                <w:sz w:val="14"/>
                <w:szCs w:val="14"/>
              </w:rPr>
              <w:t>0.01%</w:t>
            </w:r>
          </w:p>
        </w:tc>
        <w:tc>
          <w:tcPr>
            <w:tcW w:w="162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0.0034</w:t>
            </w:r>
            <w:r w:rsidRPr="006C71E9">
              <w:rPr>
                <w:rFonts w:ascii="Times New Roman" w:hAnsi="Times New Roman"/>
                <w:sz w:val="14"/>
                <w:szCs w:val="14"/>
                <w:vertAlign w:val="superscript"/>
              </w:rPr>
              <w:t>a</w:t>
            </w:r>
          </w:p>
        </w:tc>
        <w:tc>
          <w:tcPr>
            <w:tcW w:w="189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0.0016</w:t>
            </w:r>
            <w:r w:rsidRPr="00840EC0">
              <w:rPr>
                <w:rFonts w:ascii="Times New Roman" w:hAnsi="Times New Roman"/>
                <w:sz w:val="14"/>
                <w:szCs w:val="14"/>
                <w:vertAlign w:val="superscript"/>
              </w:rPr>
              <w:t>a</w:t>
            </w:r>
          </w:p>
        </w:tc>
        <w:tc>
          <w:tcPr>
            <w:tcW w:w="198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0.0020</w:t>
            </w:r>
            <w:r w:rsidRPr="00153E32">
              <w:rPr>
                <w:rFonts w:ascii="Times New Roman" w:hAnsi="Times New Roman"/>
                <w:sz w:val="14"/>
                <w:szCs w:val="14"/>
                <w:vertAlign w:val="superscript"/>
              </w:rPr>
              <w:t>a</w:t>
            </w:r>
          </w:p>
        </w:tc>
      </w:tr>
      <w:tr w:rsidR="00560C33" w:rsidRPr="00FA4577" w:rsidTr="007E11C1">
        <w:trPr>
          <w:trHeight w:val="152"/>
        </w:trPr>
        <w:tc>
          <w:tcPr>
            <w:tcW w:w="2178" w:type="dxa"/>
            <w:vMerge/>
            <w:vAlign w:val="center"/>
            <w:hideMark/>
          </w:tcPr>
          <w:p w:rsidR="00560C33" w:rsidRPr="00FA4577" w:rsidRDefault="00560C33" w:rsidP="007E11C1">
            <w:pPr>
              <w:rPr>
                <w:rFonts w:ascii="Times New Roman" w:eastAsia="Times New Roman" w:hAnsi="Times New Roman"/>
                <w:b/>
                <w:bCs/>
                <w:sz w:val="14"/>
                <w:szCs w:val="14"/>
              </w:rPr>
            </w:pPr>
          </w:p>
        </w:tc>
        <w:tc>
          <w:tcPr>
            <w:tcW w:w="810" w:type="dxa"/>
            <w:noWrap/>
            <w:vAlign w:val="center"/>
            <w:hideMark/>
          </w:tcPr>
          <w:p w:rsidR="00560C33" w:rsidRPr="00FA4577" w:rsidRDefault="00560C33" w:rsidP="007E11C1">
            <w:pPr>
              <w:jc w:val="center"/>
              <w:rPr>
                <w:rFonts w:ascii="Times New Roman" w:eastAsia="Times New Roman" w:hAnsi="Times New Roman"/>
                <w:b/>
                <w:bCs/>
                <w:sz w:val="14"/>
                <w:szCs w:val="14"/>
              </w:rPr>
            </w:pPr>
            <w:r w:rsidRPr="00FA4577">
              <w:rPr>
                <w:rFonts w:ascii="Times New Roman" w:eastAsia="Times New Roman" w:hAnsi="Times New Roman"/>
                <w:b/>
                <w:bCs/>
                <w:sz w:val="14"/>
                <w:szCs w:val="14"/>
              </w:rPr>
              <w:t>0.10%</w:t>
            </w:r>
          </w:p>
        </w:tc>
        <w:tc>
          <w:tcPr>
            <w:tcW w:w="162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0.0034</w:t>
            </w:r>
            <w:r w:rsidRPr="006C71E9">
              <w:rPr>
                <w:rFonts w:ascii="Times New Roman" w:hAnsi="Times New Roman"/>
                <w:sz w:val="14"/>
                <w:szCs w:val="14"/>
                <w:vertAlign w:val="superscript"/>
              </w:rPr>
              <w:t>a</w:t>
            </w:r>
          </w:p>
        </w:tc>
        <w:tc>
          <w:tcPr>
            <w:tcW w:w="189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0.0016</w:t>
            </w:r>
            <w:r w:rsidRPr="00840EC0">
              <w:rPr>
                <w:rFonts w:ascii="Times New Roman" w:hAnsi="Times New Roman"/>
                <w:sz w:val="14"/>
                <w:szCs w:val="14"/>
                <w:vertAlign w:val="superscript"/>
              </w:rPr>
              <w:t>a</w:t>
            </w:r>
          </w:p>
        </w:tc>
        <w:tc>
          <w:tcPr>
            <w:tcW w:w="1980" w:type="dxa"/>
            <w:noWrap/>
            <w:vAlign w:val="center"/>
            <w:hideMark/>
          </w:tcPr>
          <w:p w:rsidR="00560C33" w:rsidRPr="00FA4577" w:rsidRDefault="00560C33" w:rsidP="007E11C1">
            <w:pPr>
              <w:jc w:val="center"/>
              <w:rPr>
                <w:rFonts w:ascii="Times New Roman" w:hAnsi="Times New Roman"/>
                <w:sz w:val="14"/>
                <w:szCs w:val="14"/>
              </w:rPr>
            </w:pPr>
            <w:r w:rsidRPr="00FA4577">
              <w:rPr>
                <w:rFonts w:ascii="Times New Roman" w:hAnsi="Times New Roman"/>
                <w:sz w:val="14"/>
                <w:szCs w:val="14"/>
              </w:rPr>
              <w:t>0.0019</w:t>
            </w:r>
            <w:r w:rsidRPr="00153E32">
              <w:rPr>
                <w:rFonts w:ascii="Times New Roman" w:hAnsi="Times New Roman"/>
                <w:sz w:val="14"/>
                <w:szCs w:val="14"/>
                <w:vertAlign w:val="superscript"/>
              </w:rPr>
              <w:t>a</w:t>
            </w:r>
          </w:p>
        </w:tc>
      </w:tr>
      <w:tr w:rsidR="00560C33" w:rsidRPr="004A4B05" w:rsidTr="007E11C1">
        <w:trPr>
          <w:trHeight w:val="125"/>
        </w:trPr>
        <w:tc>
          <w:tcPr>
            <w:tcW w:w="2178" w:type="dxa"/>
            <w:noWrap/>
            <w:vAlign w:val="center"/>
            <w:hideMark/>
          </w:tcPr>
          <w:p w:rsidR="00560C33" w:rsidRPr="004A4B05" w:rsidRDefault="00560C33" w:rsidP="007E11C1">
            <w:pPr>
              <w:rPr>
                <w:rFonts w:ascii="Times New Roman" w:eastAsia="Times New Roman" w:hAnsi="Times New Roman"/>
                <w:b/>
                <w:bCs/>
                <w:sz w:val="14"/>
                <w:szCs w:val="14"/>
              </w:rPr>
            </w:pPr>
            <w:r>
              <w:rPr>
                <w:rFonts w:ascii="Times New Roman" w:eastAsia="Times New Roman" w:hAnsi="Times New Roman"/>
                <w:b/>
                <w:bCs/>
                <w:sz w:val="14"/>
                <w:szCs w:val="14"/>
              </w:rPr>
              <w:t>Vitamin C*Pycnogenol</w:t>
            </w:r>
          </w:p>
        </w:tc>
        <w:tc>
          <w:tcPr>
            <w:tcW w:w="810" w:type="dxa"/>
            <w:noWrap/>
            <w:vAlign w:val="center"/>
            <w:hideMark/>
          </w:tcPr>
          <w:p w:rsidR="00560C33" w:rsidRPr="004A4B05" w:rsidRDefault="00685114" w:rsidP="007E11C1">
            <w:pPr>
              <w:jc w:val="center"/>
              <w:rPr>
                <w:rFonts w:ascii="Times New Roman" w:eastAsia="Times New Roman" w:hAnsi="Times New Roman"/>
                <w:b/>
                <w:bCs/>
                <w:sz w:val="14"/>
                <w:szCs w:val="14"/>
              </w:rPr>
            </w:pPr>
            <w:r>
              <w:rPr>
                <w:rFonts w:ascii="Times New Roman" w:eastAsia="Times New Roman" w:hAnsi="Times New Roman"/>
                <w:b/>
                <w:bCs/>
                <w:sz w:val="14"/>
                <w:szCs w:val="14"/>
              </w:rPr>
              <w:t>Interaction</w:t>
            </w:r>
          </w:p>
        </w:tc>
        <w:tc>
          <w:tcPr>
            <w:tcW w:w="1620" w:type="dxa"/>
            <w:noWrap/>
            <w:vAlign w:val="center"/>
            <w:hideMark/>
          </w:tcPr>
          <w:p w:rsidR="00560C33" w:rsidRPr="00767C25" w:rsidRDefault="00560C33" w:rsidP="007E11C1">
            <w:pPr>
              <w:jc w:val="center"/>
              <w:rPr>
                <w:rFonts w:ascii="Times New Roman" w:eastAsia="Times New Roman" w:hAnsi="Times New Roman"/>
                <w:bCs/>
                <w:sz w:val="14"/>
                <w:szCs w:val="14"/>
              </w:rPr>
            </w:pPr>
            <w:r w:rsidRPr="00767C25">
              <w:rPr>
                <w:rFonts w:ascii="Times New Roman" w:eastAsia="Times New Roman" w:hAnsi="Times New Roman"/>
                <w:bCs/>
                <w:sz w:val="14"/>
                <w:szCs w:val="14"/>
              </w:rPr>
              <w:t>n.s.</w:t>
            </w:r>
          </w:p>
        </w:tc>
        <w:tc>
          <w:tcPr>
            <w:tcW w:w="1890" w:type="dxa"/>
            <w:noWrap/>
            <w:vAlign w:val="center"/>
            <w:hideMark/>
          </w:tcPr>
          <w:p w:rsidR="00560C33" w:rsidRPr="00767C25" w:rsidRDefault="00560C33" w:rsidP="007E11C1">
            <w:pPr>
              <w:jc w:val="center"/>
              <w:rPr>
                <w:rFonts w:ascii="Times New Roman" w:eastAsia="Times New Roman" w:hAnsi="Times New Roman"/>
                <w:bCs/>
                <w:sz w:val="14"/>
                <w:szCs w:val="14"/>
              </w:rPr>
            </w:pPr>
            <w:r w:rsidRPr="00767C25">
              <w:rPr>
                <w:rFonts w:ascii="Times New Roman" w:eastAsia="Times New Roman" w:hAnsi="Times New Roman"/>
                <w:bCs/>
                <w:sz w:val="14"/>
                <w:szCs w:val="14"/>
              </w:rPr>
              <w:t>n.s.</w:t>
            </w:r>
          </w:p>
        </w:tc>
        <w:tc>
          <w:tcPr>
            <w:tcW w:w="1980" w:type="dxa"/>
            <w:noWrap/>
            <w:vAlign w:val="center"/>
            <w:hideMark/>
          </w:tcPr>
          <w:p w:rsidR="00560C33" w:rsidRPr="00357F6D" w:rsidRDefault="00560C33" w:rsidP="007E11C1">
            <w:pPr>
              <w:jc w:val="center"/>
              <w:rPr>
                <w:rFonts w:ascii="Times New Roman" w:eastAsia="Times New Roman" w:hAnsi="Times New Roman"/>
                <w:bCs/>
                <w:sz w:val="14"/>
                <w:szCs w:val="14"/>
              </w:rPr>
            </w:pPr>
            <w:r w:rsidRPr="00357F6D">
              <w:rPr>
                <w:rFonts w:ascii="Times New Roman" w:eastAsia="Times New Roman" w:hAnsi="Times New Roman"/>
                <w:bCs/>
                <w:sz w:val="14"/>
                <w:szCs w:val="14"/>
              </w:rPr>
              <w:t>n.s.</w:t>
            </w:r>
          </w:p>
        </w:tc>
      </w:tr>
    </w:tbl>
    <w:p w:rsidR="00B00A03" w:rsidRPr="00FA4577" w:rsidRDefault="00B00A03" w:rsidP="00B00A03">
      <w:pPr>
        <w:spacing w:after="0" w:line="240" w:lineRule="auto"/>
        <w:rPr>
          <w:rFonts w:ascii="Times New Roman" w:hAnsi="Times New Roman" w:cs="Times New Roman"/>
          <w:sz w:val="14"/>
          <w:szCs w:val="14"/>
        </w:rPr>
      </w:pPr>
      <w:r w:rsidRPr="00FA4577">
        <w:rPr>
          <w:rFonts w:ascii="Times New Roman" w:hAnsi="Times New Roman" w:cs="Times New Roman"/>
          <w:sz w:val="14"/>
          <w:szCs w:val="14"/>
        </w:rPr>
        <w:t>Different letters indicate significant differences (p&lt;0.0</w:t>
      </w:r>
      <w:r>
        <w:rPr>
          <w:rFonts w:ascii="Times New Roman" w:hAnsi="Times New Roman" w:cs="Times New Roman"/>
          <w:sz w:val="14"/>
          <w:szCs w:val="14"/>
        </w:rPr>
        <w:t>5</w:t>
      </w:r>
      <w:r w:rsidRPr="00FA4577">
        <w:rPr>
          <w:rFonts w:ascii="Times New Roman" w:hAnsi="Times New Roman" w:cs="Times New Roman"/>
          <w:sz w:val="14"/>
          <w:szCs w:val="14"/>
        </w:rPr>
        <w:t>) exist between means of the levels within each factor.</w:t>
      </w:r>
    </w:p>
    <w:p w:rsidR="00B00A03" w:rsidRDefault="00B00A03" w:rsidP="00B00A03">
      <w:pPr>
        <w:spacing w:after="0" w:line="240" w:lineRule="auto"/>
        <w:rPr>
          <w:rFonts w:ascii="Times New Roman" w:hAnsi="Times New Roman" w:cs="Times New Roman"/>
          <w:sz w:val="14"/>
          <w:szCs w:val="14"/>
        </w:rPr>
      </w:pPr>
      <w:proofErr w:type="gramStart"/>
      <w:r>
        <w:rPr>
          <w:rFonts w:ascii="Times New Roman" w:hAnsi="Times New Roman" w:cs="Times New Roman"/>
          <w:sz w:val="14"/>
          <w:szCs w:val="14"/>
        </w:rPr>
        <w:t>n.s</w:t>
      </w:r>
      <w:proofErr w:type="gramEnd"/>
      <w:r>
        <w:rPr>
          <w:rFonts w:ascii="Times New Roman" w:hAnsi="Times New Roman" w:cs="Times New Roman"/>
          <w:sz w:val="14"/>
          <w:szCs w:val="14"/>
        </w:rPr>
        <w:t>. and * correspond to non-significant (p&gt;0.05) and significant (p&lt;0.05) effects due to interaction of CaCl</w:t>
      </w:r>
      <w:r w:rsidRPr="00A70E27">
        <w:rPr>
          <w:rFonts w:ascii="Times New Roman" w:hAnsi="Times New Roman" w:cs="Times New Roman"/>
          <w:sz w:val="14"/>
          <w:szCs w:val="14"/>
          <w:vertAlign w:val="subscript"/>
        </w:rPr>
        <w:t>2</w:t>
      </w:r>
      <w:r>
        <w:rPr>
          <w:rFonts w:ascii="Times New Roman" w:hAnsi="Times New Roman" w:cs="Times New Roman"/>
          <w:sz w:val="14"/>
          <w:szCs w:val="14"/>
        </w:rPr>
        <w:t xml:space="preserve"> and flavonoid, respectively.</w:t>
      </w:r>
    </w:p>
    <w:p w:rsidR="00B00A03" w:rsidRPr="002D30C5" w:rsidRDefault="00B00A03" w:rsidP="00B00A03">
      <w:pPr>
        <w:tabs>
          <w:tab w:val="left" w:pos="1980"/>
          <w:tab w:val="left" w:pos="8266"/>
        </w:tabs>
        <w:spacing w:after="0"/>
        <w:rPr>
          <w:rFonts w:ascii="Times New Roman" w:hAnsi="Times New Roman" w:cs="Times New Roman"/>
          <w:sz w:val="24"/>
          <w:szCs w:val="24"/>
        </w:rPr>
      </w:pPr>
    </w:p>
    <w:p w:rsidR="00B00A03" w:rsidRPr="00153E32" w:rsidRDefault="00B00A03" w:rsidP="00B00A03">
      <w:pPr>
        <w:spacing w:after="0"/>
        <w:jc w:val="both"/>
        <w:outlineLvl w:val="0"/>
        <w:rPr>
          <w:rFonts w:ascii="Times New Roman" w:hAnsi="Times New Roman" w:cs="Times New Roman"/>
          <w:b/>
          <w:sz w:val="24"/>
          <w:szCs w:val="24"/>
        </w:rPr>
      </w:pPr>
      <w:r w:rsidRPr="00153E32">
        <w:rPr>
          <w:rFonts w:ascii="Times New Roman" w:hAnsi="Times New Roman" w:cs="Times New Roman"/>
          <w:b/>
          <w:sz w:val="24"/>
          <w:szCs w:val="24"/>
        </w:rPr>
        <w:t>Table 12: Rate constants vitamin C</w:t>
      </w:r>
    </w:p>
    <w:tbl>
      <w:tblPr>
        <w:tblW w:w="8558" w:type="dxa"/>
        <w:tblInd w:w="92" w:type="dxa"/>
        <w:tblLook w:val="04A0"/>
      </w:tblPr>
      <w:tblGrid>
        <w:gridCol w:w="960"/>
        <w:gridCol w:w="960"/>
        <w:gridCol w:w="960"/>
        <w:gridCol w:w="960"/>
        <w:gridCol w:w="2476"/>
        <w:gridCol w:w="1279"/>
        <w:gridCol w:w="963"/>
      </w:tblGrid>
      <w:tr w:rsidR="00B00A03" w:rsidRPr="00C64F91" w:rsidTr="00F14CA8">
        <w:trPr>
          <w:trHeight w:val="255"/>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r w:rsidRPr="00C64F91">
              <w:rPr>
                <w:rFonts w:ascii="Times New Roman" w:eastAsia="Times New Roman" w:hAnsi="Times New Roman" w:cs="Times New Roman"/>
                <w:b/>
                <w:sz w:val="14"/>
                <w:szCs w:val="14"/>
              </w:rPr>
              <w:t>Treat.</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r w:rsidRPr="00C64F91">
              <w:rPr>
                <w:rFonts w:ascii="Times New Roman" w:eastAsia="Times New Roman" w:hAnsi="Times New Roman" w:cs="Times New Roman"/>
                <w:b/>
                <w:sz w:val="14"/>
                <w:szCs w:val="14"/>
              </w:rPr>
              <w:t>Temp.</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r w:rsidRPr="00C64F91">
              <w:rPr>
                <w:rFonts w:ascii="Times New Roman" w:eastAsia="Times New Roman" w:hAnsi="Times New Roman" w:cs="Times New Roman"/>
                <w:b/>
                <w:sz w:val="14"/>
                <w:szCs w:val="14"/>
              </w:rPr>
              <w:t>Model</w:t>
            </w:r>
          </w:p>
        </w:tc>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r w:rsidRPr="00C64F91">
              <w:rPr>
                <w:rFonts w:ascii="Times New Roman" w:eastAsia="Times New Roman" w:hAnsi="Times New Roman" w:cs="Times New Roman"/>
                <w:b/>
                <w:sz w:val="14"/>
                <w:szCs w:val="14"/>
              </w:rPr>
              <w:t>Para.</w:t>
            </w:r>
          </w:p>
        </w:tc>
        <w:tc>
          <w:tcPr>
            <w:tcW w:w="4718" w:type="dxa"/>
            <w:gridSpan w:val="3"/>
            <w:tcBorders>
              <w:top w:val="single" w:sz="4" w:space="0" w:color="auto"/>
              <w:left w:val="nil"/>
              <w:bottom w:val="nil"/>
              <w:right w:val="single" w:sz="4" w:space="0" w:color="000000"/>
            </w:tcBorders>
            <w:shd w:val="clear" w:color="auto" w:fill="auto"/>
            <w:noWrap/>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r w:rsidRPr="00FA4577">
              <w:rPr>
                <w:rFonts w:ascii="Times New Roman" w:eastAsia="Times New Roman" w:hAnsi="Times New Roman" w:cs="Times New Roman"/>
                <w:b/>
                <w:sz w:val="14"/>
                <w:szCs w:val="14"/>
              </w:rPr>
              <w:t>Vitamin C</w:t>
            </w:r>
          </w:p>
        </w:tc>
      </w:tr>
      <w:tr w:rsidR="00B00A03" w:rsidRPr="00C64F91" w:rsidTr="00650376">
        <w:trPr>
          <w:trHeight w:val="188"/>
        </w:trPr>
        <w:tc>
          <w:tcPr>
            <w:tcW w:w="960" w:type="dxa"/>
            <w:vMerge/>
            <w:tcBorders>
              <w:top w:val="single" w:sz="4" w:space="0" w:color="auto"/>
              <w:left w:val="single" w:sz="4" w:space="0" w:color="auto"/>
              <w:bottom w:val="single" w:sz="4" w:space="0" w:color="auto"/>
              <w:right w:val="single" w:sz="4" w:space="0" w:color="auto"/>
            </w:tcBorders>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p>
        </w:tc>
        <w:tc>
          <w:tcPr>
            <w:tcW w:w="960" w:type="dxa"/>
            <w:vMerge/>
            <w:tcBorders>
              <w:top w:val="single" w:sz="4" w:space="0" w:color="auto"/>
              <w:left w:val="single" w:sz="4" w:space="0" w:color="auto"/>
              <w:bottom w:val="single" w:sz="4" w:space="0" w:color="000000"/>
              <w:right w:val="single" w:sz="4" w:space="0" w:color="auto"/>
            </w:tcBorders>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p>
        </w:tc>
        <w:tc>
          <w:tcPr>
            <w:tcW w:w="2476" w:type="dxa"/>
            <w:tcBorders>
              <w:top w:val="single" w:sz="4" w:space="0" w:color="auto"/>
              <w:left w:val="nil"/>
              <w:bottom w:val="single" w:sz="4" w:space="0" w:color="auto"/>
              <w:right w:val="nil"/>
            </w:tcBorders>
            <w:shd w:val="clear" w:color="auto" w:fill="auto"/>
            <w:noWrap/>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r w:rsidRPr="00C64F91">
              <w:rPr>
                <w:rFonts w:ascii="Times New Roman" w:eastAsia="Times New Roman" w:hAnsi="Times New Roman" w:cs="Times New Roman"/>
                <w:b/>
                <w:sz w:val="14"/>
                <w:szCs w:val="14"/>
              </w:rPr>
              <w:t>Estimate</w:t>
            </w:r>
            <w:r w:rsidRPr="00FA4577">
              <w:rPr>
                <w:rFonts w:ascii="Times New Roman" w:eastAsia="Times New Roman" w:hAnsi="Times New Roman" w:cs="Times New Roman"/>
                <w:b/>
                <w:sz w:val="14"/>
                <w:szCs w:val="14"/>
              </w:rPr>
              <w:t xml:space="preserve"> (day</w:t>
            </w:r>
            <w:r w:rsidRPr="00F85309">
              <w:rPr>
                <w:rFonts w:ascii="Times New Roman" w:eastAsia="Times New Roman" w:hAnsi="Times New Roman" w:cs="Times New Roman"/>
                <w:b/>
                <w:sz w:val="14"/>
                <w:szCs w:val="14"/>
                <w:vertAlign w:val="superscript"/>
              </w:rPr>
              <w:t>-1</w:t>
            </w:r>
            <w:r w:rsidRPr="00FA4577">
              <w:rPr>
                <w:rFonts w:ascii="Times New Roman" w:eastAsia="Times New Roman" w:hAnsi="Times New Roman" w:cs="Times New Roman"/>
                <w:b/>
                <w:sz w:val="14"/>
                <w:szCs w:val="14"/>
              </w:rPr>
              <w:t>)</w:t>
            </w:r>
          </w:p>
        </w:tc>
        <w:tc>
          <w:tcPr>
            <w:tcW w:w="1279" w:type="dxa"/>
            <w:tcBorders>
              <w:top w:val="single" w:sz="4" w:space="0" w:color="auto"/>
              <w:left w:val="single" w:sz="4" w:space="0" w:color="auto"/>
              <w:bottom w:val="nil"/>
              <w:right w:val="single" w:sz="4" w:space="0" w:color="auto"/>
            </w:tcBorders>
            <w:shd w:val="clear" w:color="auto" w:fill="auto"/>
            <w:noWrap/>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r w:rsidRPr="00C64F91">
              <w:rPr>
                <w:rFonts w:ascii="Times New Roman" w:eastAsia="Times New Roman" w:hAnsi="Times New Roman" w:cs="Times New Roman"/>
                <w:b/>
                <w:sz w:val="14"/>
                <w:szCs w:val="14"/>
              </w:rPr>
              <w:t>R</w:t>
            </w:r>
            <w:r w:rsidRPr="00F85309">
              <w:rPr>
                <w:rFonts w:ascii="Times New Roman" w:eastAsia="Times New Roman" w:hAnsi="Times New Roman" w:cs="Times New Roman"/>
                <w:b/>
                <w:sz w:val="14"/>
                <w:szCs w:val="14"/>
                <w:vertAlign w:val="superscript"/>
              </w:rPr>
              <w:t>2</w:t>
            </w:r>
          </w:p>
        </w:tc>
        <w:tc>
          <w:tcPr>
            <w:tcW w:w="963" w:type="dxa"/>
            <w:tcBorders>
              <w:top w:val="single" w:sz="4" w:space="0" w:color="auto"/>
              <w:left w:val="nil"/>
              <w:bottom w:val="nil"/>
              <w:right w:val="single" w:sz="4" w:space="0" w:color="auto"/>
            </w:tcBorders>
            <w:shd w:val="clear" w:color="auto" w:fill="auto"/>
            <w:noWrap/>
            <w:vAlign w:val="center"/>
            <w:hideMark/>
          </w:tcPr>
          <w:p w:rsidR="00B00A03" w:rsidRPr="00C64F91" w:rsidRDefault="00B00A03" w:rsidP="00F14CA8">
            <w:pPr>
              <w:spacing w:after="0" w:line="240" w:lineRule="auto"/>
              <w:jc w:val="center"/>
              <w:rPr>
                <w:rFonts w:ascii="Times New Roman" w:eastAsia="Times New Roman" w:hAnsi="Times New Roman" w:cs="Times New Roman"/>
                <w:b/>
                <w:sz w:val="14"/>
                <w:szCs w:val="14"/>
              </w:rPr>
            </w:pPr>
            <w:r w:rsidRPr="00C64F91">
              <w:rPr>
                <w:rFonts w:ascii="Times New Roman" w:eastAsia="Times New Roman" w:hAnsi="Times New Roman" w:cs="Times New Roman"/>
                <w:b/>
                <w:sz w:val="14"/>
                <w:szCs w:val="14"/>
              </w:rPr>
              <w:t>RMSE</w:t>
            </w:r>
          </w:p>
        </w:tc>
      </w:tr>
      <w:tr w:rsidR="00382A78" w:rsidRPr="00C64F91" w:rsidTr="00650376">
        <w:trPr>
          <w:trHeight w:val="255"/>
        </w:trPr>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A</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50</w:t>
            </w:r>
          </w:p>
        </w:tc>
        <w:tc>
          <w:tcPr>
            <w:tcW w:w="960" w:type="dxa"/>
            <w:tcBorders>
              <w:top w:val="nil"/>
              <w:left w:val="nil"/>
              <w:bottom w:val="single" w:sz="4" w:space="0" w:color="auto"/>
              <w:right w:val="single" w:sz="4" w:space="0" w:color="auto"/>
            </w:tcBorders>
            <w:shd w:val="clear" w:color="auto" w:fill="auto"/>
            <w:noWrap/>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nil"/>
              <w:left w:val="nil"/>
              <w:bottom w:val="single" w:sz="4" w:space="0" w:color="auto"/>
              <w:right w:val="single" w:sz="4" w:space="0" w:color="auto"/>
            </w:tcBorders>
            <w:shd w:val="clear" w:color="auto" w:fill="auto"/>
            <w:noWrap/>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single" w:sz="4" w:space="0" w:color="auto"/>
              <w:right w:val="nil"/>
            </w:tcBorders>
            <w:shd w:val="clear" w:color="auto" w:fill="auto"/>
            <w:noWrap/>
            <w:vAlign w:val="center"/>
            <w:hideMark/>
          </w:tcPr>
          <w:p w:rsidR="00382A78" w:rsidRPr="00C64F91" w:rsidRDefault="00382A78"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-3.60</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sidR="00650376">
              <w:rPr>
                <w:rFonts w:ascii="Times New Roman" w:eastAsia="Times New Roman" w:hAnsi="Times New Roman" w:cs="Times New Roman"/>
                <w:sz w:val="14"/>
                <w:szCs w:val="14"/>
                <w:vertAlign w:val="superscript"/>
              </w:rPr>
              <w:t xml:space="preserve"> </w:t>
            </w:r>
            <w:r w:rsidR="00650376" w:rsidRPr="00382A78">
              <w:rPr>
                <w:rFonts w:ascii="Times New Roman" w:eastAsia="Times New Roman" w:hAnsi="Times New Roman" w:cs="Times New Roman"/>
                <w:sz w:val="14"/>
                <w:szCs w:val="14"/>
              </w:rPr>
              <w:t>±</w:t>
            </w:r>
            <w:r w:rsidR="00650376">
              <w:rPr>
                <w:rFonts w:ascii="Times New Roman" w:eastAsia="Times New Roman" w:hAnsi="Times New Roman" w:cs="Times New Roman"/>
                <w:sz w:val="14"/>
                <w:szCs w:val="14"/>
              </w:rPr>
              <w:t xml:space="preserve"> </w:t>
            </w:r>
            <w:r w:rsidRPr="00C64F91">
              <w:rPr>
                <w:rFonts w:ascii="Times New Roman" w:eastAsia="Times New Roman" w:hAnsi="Times New Roman" w:cs="Times New Roman"/>
                <w:sz w:val="14"/>
                <w:szCs w:val="14"/>
              </w:rPr>
              <w:t>0</w:t>
            </w:r>
            <w:r>
              <w:rPr>
                <w:rFonts w:ascii="Times New Roman" w:eastAsia="Times New Roman" w:hAnsi="Times New Roman" w:cs="Times New Roman"/>
                <w:sz w:val="14"/>
                <w:szCs w:val="14"/>
              </w:rPr>
              <w:t>.0</w:t>
            </w:r>
          </w:p>
        </w:tc>
        <w:tc>
          <w:tcPr>
            <w:tcW w:w="12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0.82</w:t>
            </w:r>
          </w:p>
        </w:tc>
        <w:tc>
          <w:tcPr>
            <w:tcW w:w="963" w:type="dxa"/>
            <w:tcBorders>
              <w:top w:val="single" w:sz="4" w:space="0" w:color="auto"/>
              <w:left w:val="nil"/>
              <w:bottom w:val="single" w:sz="4" w:space="0" w:color="auto"/>
              <w:right w:val="single" w:sz="4" w:space="0" w:color="auto"/>
            </w:tcBorders>
            <w:shd w:val="clear" w:color="auto" w:fill="auto"/>
            <w:noWrap/>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0.0003</w:t>
            </w:r>
          </w:p>
        </w:tc>
      </w:tr>
      <w:tr w:rsidR="00382A78" w:rsidRPr="00C64F91" w:rsidTr="00650376">
        <w:trPr>
          <w:trHeight w:val="332"/>
        </w:trPr>
        <w:tc>
          <w:tcPr>
            <w:tcW w:w="960" w:type="dxa"/>
            <w:vMerge/>
            <w:tcBorders>
              <w:top w:val="nil"/>
              <w:left w:val="single" w:sz="4" w:space="0" w:color="auto"/>
              <w:bottom w:val="single" w:sz="4" w:space="0" w:color="000000"/>
              <w:right w:val="single" w:sz="4" w:space="0" w:color="auto"/>
            </w:tcBorders>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382A78" w:rsidRPr="00D0188C" w:rsidRDefault="00382A78" w:rsidP="00F14CA8">
            <w:pPr>
              <w:spacing w:after="0" w:line="240" w:lineRule="auto"/>
              <w:jc w:val="center"/>
              <w:rPr>
                <w:rFonts w:ascii="Times New Roman" w:eastAsia="Times New Roman" w:hAnsi="Times New Roman" w:cs="Times New Roman"/>
                <w:sz w:val="14"/>
                <w:szCs w:val="14"/>
                <w:vertAlign w:val="subscript"/>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382A78" w:rsidRPr="00C64F91" w:rsidRDefault="00382A78"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0.020</w:t>
            </w:r>
            <w:r w:rsidR="00650376">
              <w:rPr>
                <w:rFonts w:ascii="Times New Roman" w:eastAsia="Times New Roman" w:hAnsi="Times New Roman" w:cs="Times New Roman"/>
                <w:sz w:val="14"/>
                <w:szCs w:val="14"/>
              </w:rPr>
              <w:t xml:space="preserve"> </w:t>
            </w:r>
            <w:r w:rsidR="00650376" w:rsidRPr="00382A78">
              <w:rPr>
                <w:rFonts w:ascii="Times New Roman" w:eastAsia="Times New Roman" w:hAnsi="Times New Roman" w:cs="Times New Roman"/>
                <w:sz w:val="14"/>
                <w:szCs w:val="14"/>
              </w:rPr>
              <w:t>±</w:t>
            </w:r>
            <w:r w:rsidR="00650376">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0.002</w:t>
            </w:r>
          </w:p>
        </w:tc>
        <w:tc>
          <w:tcPr>
            <w:tcW w:w="127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w:t>
            </w:r>
            <w:r>
              <w:rPr>
                <w:rFonts w:ascii="Times New Roman" w:eastAsia="Times New Roman" w:hAnsi="Times New Roman" w:cs="Times New Roman"/>
                <w:sz w:val="14"/>
                <w:szCs w:val="14"/>
              </w:rPr>
              <w:t>0</w:t>
            </w:r>
          </w:p>
        </w:tc>
        <w:tc>
          <w:tcPr>
            <w:tcW w:w="96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82A78" w:rsidRPr="00C64F91" w:rsidRDefault="00382A78"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3.1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1.2</w:t>
            </w:r>
          </w:p>
        </w:tc>
        <w:tc>
          <w:tcPr>
            <w:tcW w:w="1279"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-1.02</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0.55</w:t>
            </w:r>
          </w:p>
        </w:tc>
        <w:tc>
          <w:tcPr>
            <w:tcW w:w="963" w:type="dxa"/>
            <w:tcBorders>
              <w:top w:val="nil"/>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0.0004</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0.01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0.19</w:t>
            </w:r>
          </w:p>
        </w:tc>
        <w:tc>
          <w:tcPr>
            <w:tcW w:w="1279" w:type="dxa"/>
            <w:vMerge w:val="restart"/>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0.60</w:t>
            </w:r>
          </w:p>
        </w:tc>
        <w:tc>
          <w:tcPr>
            <w:tcW w:w="963" w:type="dxa"/>
            <w:vMerge w:val="restart"/>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0.0004</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11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1.7</w:t>
            </w:r>
          </w:p>
        </w:tc>
        <w:tc>
          <w:tcPr>
            <w:tcW w:w="1279"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152"/>
        </w:trPr>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B</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50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single" w:sz="4" w:space="0" w:color="auto"/>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-3.67</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w:t>
            </w:r>
            <w:r w:rsidRPr="00C64F91">
              <w:rPr>
                <w:rFonts w:ascii="Times New Roman" w:eastAsia="Times New Roman" w:hAnsi="Times New Roman" w:cs="Times New Roman"/>
                <w:sz w:val="14"/>
                <w:szCs w:val="14"/>
              </w:rPr>
              <w:t>0</w:t>
            </w:r>
          </w:p>
        </w:tc>
        <w:tc>
          <w:tcPr>
            <w:tcW w:w="12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w:t>
            </w:r>
            <w:r>
              <w:rPr>
                <w:rFonts w:ascii="Times New Roman" w:eastAsia="Times New Roman" w:hAnsi="Times New Roman" w:cs="Times New Roman"/>
                <w:sz w:val="14"/>
                <w:szCs w:val="14"/>
              </w:rPr>
              <w:t>0</w:t>
            </w:r>
          </w:p>
        </w:tc>
        <w:tc>
          <w:tcPr>
            <w:tcW w:w="963" w:type="dxa"/>
            <w:tcBorders>
              <w:top w:val="single" w:sz="4" w:space="0" w:color="auto"/>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0.0003</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0.020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0.001</w:t>
            </w:r>
          </w:p>
        </w:tc>
        <w:tc>
          <w:tcPr>
            <w:tcW w:w="127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w:t>
            </w:r>
            <w:r>
              <w:rPr>
                <w:rFonts w:ascii="Times New Roman" w:eastAsia="Times New Roman" w:hAnsi="Times New Roman" w:cs="Times New Roman"/>
                <w:sz w:val="14"/>
                <w:szCs w:val="14"/>
              </w:rPr>
              <w:t>0</w:t>
            </w:r>
          </w:p>
        </w:tc>
        <w:tc>
          <w:tcPr>
            <w:tcW w:w="96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0.0001</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2.5</w:t>
            </w:r>
            <w:r>
              <w:rPr>
                <w:rFonts w:ascii="Times New Roman" w:eastAsia="Times New Roman" w:hAnsi="Times New Roman" w:cs="Times New Roman"/>
                <w:sz w:val="14"/>
                <w:szCs w:val="14"/>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0.4</w:t>
            </w:r>
          </w:p>
        </w:tc>
        <w:tc>
          <w:tcPr>
            <w:tcW w:w="1279"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-1.40</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0.96</w:t>
            </w:r>
          </w:p>
        </w:tc>
        <w:tc>
          <w:tcPr>
            <w:tcW w:w="963" w:type="dxa"/>
            <w:tcBorders>
              <w:top w:val="nil"/>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0.0001</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0.008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w:t>
            </w:r>
            <w:r w:rsidRPr="00C64F91">
              <w:rPr>
                <w:rFonts w:ascii="Times New Roman" w:eastAsia="Times New Roman" w:hAnsi="Times New Roman" w:cs="Times New Roman"/>
                <w:sz w:val="14"/>
                <w:szCs w:val="14"/>
              </w:rPr>
              <w:t>0.0003</w:t>
            </w:r>
          </w:p>
        </w:tc>
        <w:tc>
          <w:tcPr>
            <w:tcW w:w="1279" w:type="dxa"/>
            <w:vMerge w:val="restart"/>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963" w:type="dxa"/>
            <w:vMerge w:val="restart"/>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0.0000</w:t>
            </w:r>
          </w:p>
        </w:tc>
      </w:tr>
      <w:tr w:rsidR="00650376" w:rsidRPr="00C64F91" w:rsidTr="00650376">
        <w:trPr>
          <w:trHeight w:val="107"/>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1.86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0.13</w:t>
            </w:r>
          </w:p>
        </w:tc>
        <w:tc>
          <w:tcPr>
            <w:tcW w:w="1279"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C</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50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single" w:sz="4" w:space="0" w:color="auto"/>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-4.52</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0.97</w:t>
            </w:r>
          </w:p>
        </w:tc>
        <w:tc>
          <w:tcPr>
            <w:tcW w:w="963" w:type="dxa"/>
            <w:tcBorders>
              <w:top w:val="single" w:sz="4" w:space="0" w:color="auto"/>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0.021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0.009</w:t>
            </w:r>
          </w:p>
        </w:tc>
        <w:tc>
          <w:tcPr>
            <w:tcW w:w="127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0.98</w:t>
            </w:r>
          </w:p>
        </w:tc>
        <w:tc>
          <w:tcPr>
            <w:tcW w:w="96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1.6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0.34</w:t>
            </w:r>
          </w:p>
        </w:tc>
        <w:tc>
          <w:tcPr>
            <w:tcW w:w="1279"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-1.85</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0.93</w:t>
            </w:r>
          </w:p>
        </w:tc>
        <w:tc>
          <w:tcPr>
            <w:tcW w:w="963" w:type="dxa"/>
            <w:tcBorders>
              <w:top w:val="nil"/>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0.006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0.002</w:t>
            </w:r>
          </w:p>
        </w:tc>
        <w:tc>
          <w:tcPr>
            <w:tcW w:w="1279" w:type="dxa"/>
            <w:vMerge w:val="restart"/>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0.92</w:t>
            </w:r>
          </w:p>
        </w:tc>
        <w:tc>
          <w:tcPr>
            <w:tcW w:w="963" w:type="dxa"/>
            <w:vMerge w:val="restart"/>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0.8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0.34</w:t>
            </w:r>
          </w:p>
        </w:tc>
        <w:tc>
          <w:tcPr>
            <w:tcW w:w="1279"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D</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50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single" w:sz="4" w:space="0" w:color="auto"/>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-4.17</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0.97</w:t>
            </w:r>
          </w:p>
        </w:tc>
        <w:tc>
          <w:tcPr>
            <w:tcW w:w="963" w:type="dxa"/>
            <w:tcBorders>
              <w:top w:val="single" w:sz="4" w:space="0" w:color="auto"/>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0.019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0.002</w:t>
            </w:r>
          </w:p>
        </w:tc>
        <w:tc>
          <w:tcPr>
            <w:tcW w:w="127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0.97</w:t>
            </w:r>
          </w:p>
        </w:tc>
        <w:tc>
          <w:tcPr>
            <w:tcW w:w="96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1.2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0.28</w:t>
            </w:r>
          </w:p>
        </w:tc>
        <w:tc>
          <w:tcPr>
            <w:tcW w:w="1279"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-1.62</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0.93</w:t>
            </w:r>
          </w:p>
        </w:tc>
        <w:tc>
          <w:tcPr>
            <w:tcW w:w="963" w:type="dxa"/>
            <w:tcBorders>
              <w:top w:val="nil"/>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0.004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0.005</w:t>
            </w:r>
          </w:p>
        </w:tc>
        <w:tc>
          <w:tcPr>
            <w:tcW w:w="1279" w:type="dxa"/>
            <w:vMerge w:val="restart"/>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0.93</w:t>
            </w:r>
          </w:p>
        </w:tc>
        <w:tc>
          <w:tcPr>
            <w:tcW w:w="963" w:type="dxa"/>
            <w:vMerge w:val="restart"/>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0.62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0.50</w:t>
            </w:r>
          </w:p>
        </w:tc>
        <w:tc>
          <w:tcPr>
            <w:tcW w:w="1279"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E</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50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single" w:sz="4" w:space="0" w:color="auto"/>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-4.40</w:t>
            </w:r>
            <w:r>
              <w:rPr>
                <w:rFonts w:ascii="Times New Roman" w:eastAsia="Times New Roman" w:hAnsi="Times New Roman" w:cs="Times New Roman"/>
                <w:sz w:val="14"/>
                <w:szCs w:val="14"/>
              </w:rPr>
              <w:t xml:space="preserve"> 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0.99</w:t>
            </w:r>
          </w:p>
        </w:tc>
        <w:tc>
          <w:tcPr>
            <w:tcW w:w="963" w:type="dxa"/>
            <w:tcBorders>
              <w:top w:val="single" w:sz="4" w:space="0" w:color="auto"/>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0.0001</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0.02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0.001</w:t>
            </w:r>
          </w:p>
        </w:tc>
        <w:tc>
          <w:tcPr>
            <w:tcW w:w="127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0.99</w:t>
            </w:r>
          </w:p>
        </w:tc>
        <w:tc>
          <w:tcPr>
            <w:tcW w:w="96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0.0001</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1.5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0.1</w:t>
            </w:r>
          </w:p>
        </w:tc>
        <w:tc>
          <w:tcPr>
            <w:tcW w:w="1279"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-1.90</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0.96</w:t>
            </w:r>
          </w:p>
        </w:tc>
        <w:tc>
          <w:tcPr>
            <w:tcW w:w="963" w:type="dxa"/>
            <w:tcBorders>
              <w:top w:val="single" w:sz="4" w:space="0" w:color="000000"/>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0.008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0.002</w:t>
            </w:r>
          </w:p>
        </w:tc>
        <w:tc>
          <w:tcPr>
            <w:tcW w:w="1279" w:type="dxa"/>
            <w:vMerge w:val="restart"/>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0.97</w:t>
            </w:r>
          </w:p>
        </w:tc>
        <w:tc>
          <w:tcPr>
            <w:tcW w:w="963"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1.13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0.33</w:t>
            </w:r>
          </w:p>
        </w:tc>
        <w:tc>
          <w:tcPr>
            <w:tcW w:w="1279"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nil"/>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F</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50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single" w:sz="4" w:space="0" w:color="auto"/>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-4.05</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0.97</w:t>
            </w:r>
          </w:p>
        </w:tc>
        <w:tc>
          <w:tcPr>
            <w:tcW w:w="963" w:type="dxa"/>
            <w:tcBorders>
              <w:top w:val="single" w:sz="4" w:space="0" w:color="auto"/>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0.016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0.002</w:t>
            </w:r>
          </w:p>
        </w:tc>
        <w:tc>
          <w:tcPr>
            <w:tcW w:w="127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0.95</w:t>
            </w:r>
          </w:p>
        </w:tc>
        <w:tc>
          <w:tcPr>
            <w:tcW w:w="96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0.0001</w:t>
            </w:r>
          </w:p>
        </w:tc>
      </w:tr>
      <w:tr w:rsidR="00650376" w:rsidRPr="00C64F91" w:rsidTr="00650376">
        <w:trPr>
          <w:trHeight w:val="134"/>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0.84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0.12</w:t>
            </w:r>
          </w:p>
        </w:tc>
        <w:tc>
          <w:tcPr>
            <w:tcW w:w="1279"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40</w:t>
            </w:r>
          </w:p>
        </w:tc>
        <w:tc>
          <w:tcPr>
            <w:tcW w:w="960" w:type="dxa"/>
            <w:tcBorders>
              <w:top w:val="nil"/>
              <w:left w:val="nil"/>
              <w:bottom w:val="single" w:sz="4" w:space="0" w:color="auto"/>
              <w:right w:val="nil"/>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Zero-order</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-1.74</w:t>
            </w:r>
            <w:r>
              <w:rPr>
                <w:rFonts w:ascii="Times New Roman" w:eastAsia="Times New Roman" w:hAnsi="Times New Roman" w:cs="Times New Roman"/>
                <w:sz w:val="14"/>
                <w:szCs w:val="14"/>
              </w:rPr>
              <w:t>x10</w:t>
            </w:r>
            <w:r w:rsidRPr="009D0F8A">
              <w:rPr>
                <w:rFonts w:ascii="Times New Roman" w:eastAsia="Times New Roman" w:hAnsi="Times New Roman" w:cs="Times New Roman"/>
                <w:sz w:val="14"/>
                <w:szCs w:val="14"/>
                <w:vertAlign w:val="superscript"/>
              </w:rPr>
              <w:t>-5</w:t>
            </w:r>
            <w:r>
              <w:rPr>
                <w:rFonts w:ascii="Times New Roman" w:eastAsia="Times New Roman" w:hAnsi="Times New Roman" w:cs="Times New Roman"/>
                <w:sz w:val="14"/>
                <w:szCs w:val="14"/>
                <w:vertAlign w:val="superscript"/>
              </w:rPr>
              <w:t xml:space="preserve">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w:t>
            </w:r>
          </w:p>
        </w:tc>
        <w:tc>
          <w:tcPr>
            <w:tcW w:w="1279"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0.94</w:t>
            </w:r>
          </w:p>
        </w:tc>
        <w:tc>
          <w:tcPr>
            <w:tcW w:w="963" w:type="dxa"/>
            <w:tcBorders>
              <w:top w:val="nil"/>
              <w:left w:val="nil"/>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0" w:type="dxa"/>
            <w:vMerge w:val="restart"/>
            <w:tcBorders>
              <w:top w:val="nil"/>
              <w:left w:val="nil"/>
              <w:bottom w:val="single" w:sz="4" w:space="0" w:color="000000"/>
              <w:right w:val="nil"/>
            </w:tcBorders>
            <w:shd w:val="clear" w:color="auto" w:fill="auto"/>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Weibull model</w:t>
            </w:r>
          </w:p>
        </w:tc>
        <w:tc>
          <w:tcPr>
            <w:tcW w:w="960" w:type="dxa"/>
            <w:tcBorders>
              <w:top w:val="nil"/>
              <w:left w:val="single" w:sz="4" w:space="0" w:color="auto"/>
              <w:bottom w:val="nil"/>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k</w:t>
            </w:r>
          </w:p>
        </w:tc>
        <w:tc>
          <w:tcPr>
            <w:tcW w:w="2476" w:type="dxa"/>
            <w:tcBorders>
              <w:top w:val="nil"/>
              <w:left w:val="nil"/>
              <w:bottom w:val="nil"/>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0.008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0.001</w:t>
            </w:r>
          </w:p>
        </w:tc>
        <w:tc>
          <w:tcPr>
            <w:tcW w:w="127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FA4577">
              <w:rPr>
                <w:rFonts w:ascii="Times New Roman" w:eastAsia="Times New Roman" w:hAnsi="Times New Roman" w:cs="Times New Roman"/>
                <w:sz w:val="14"/>
                <w:szCs w:val="14"/>
              </w:rPr>
              <w:t>0.94</w:t>
            </w:r>
          </w:p>
        </w:tc>
        <w:tc>
          <w:tcPr>
            <w:tcW w:w="96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sidRPr="00C64F91">
              <w:rPr>
                <w:rFonts w:ascii="Times New Roman" w:eastAsia="Times New Roman" w:hAnsi="Times New Roman" w:cs="Times New Roman"/>
                <w:sz w:val="14"/>
                <w:szCs w:val="14"/>
              </w:rPr>
              <w:t>0.0002</w:t>
            </w:r>
          </w:p>
        </w:tc>
      </w:tr>
      <w:tr w:rsidR="00650376" w:rsidRPr="00C64F91" w:rsidTr="00650376">
        <w:trPr>
          <w:trHeight w:val="255"/>
        </w:trPr>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rPr>
                <w:rFonts w:ascii="Times New Roman" w:eastAsia="Times New Roman" w:hAnsi="Times New Roman" w:cs="Times New Roman"/>
                <w:sz w:val="14"/>
                <w:szCs w:val="14"/>
              </w:rPr>
            </w:pPr>
          </w:p>
        </w:tc>
        <w:tc>
          <w:tcPr>
            <w:tcW w:w="960"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rPr>
                <w:rFonts w:ascii="Times New Roman" w:eastAsia="Times New Roman" w:hAnsi="Times New Roman" w:cs="Times New Roman"/>
                <w:sz w:val="14"/>
                <w:szCs w:val="14"/>
              </w:rPr>
            </w:pPr>
          </w:p>
        </w:tc>
        <w:tc>
          <w:tcPr>
            <w:tcW w:w="960" w:type="dxa"/>
            <w:vMerge/>
            <w:tcBorders>
              <w:top w:val="nil"/>
              <w:left w:val="nil"/>
              <w:bottom w:val="single" w:sz="4" w:space="0" w:color="000000"/>
              <w:right w:val="nil"/>
            </w:tcBorders>
            <w:vAlign w:val="center"/>
            <w:hideMark/>
          </w:tcPr>
          <w:p w:rsidR="00650376" w:rsidRPr="00C64F91" w:rsidRDefault="00650376" w:rsidP="00F14CA8">
            <w:pPr>
              <w:spacing w:after="0" w:line="240" w:lineRule="auto"/>
              <w:rPr>
                <w:rFonts w:ascii="Times New Roman" w:eastAsia="Times New Roman" w:hAnsi="Times New Roman" w:cs="Times New Roman"/>
                <w:sz w:val="14"/>
                <w:szCs w:val="14"/>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β</w:t>
            </w:r>
          </w:p>
        </w:tc>
        <w:tc>
          <w:tcPr>
            <w:tcW w:w="2476" w:type="dxa"/>
            <w:tcBorders>
              <w:top w:val="nil"/>
              <w:left w:val="nil"/>
              <w:bottom w:val="single" w:sz="4" w:space="0" w:color="auto"/>
              <w:right w:val="nil"/>
            </w:tcBorders>
            <w:shd w:val="clear" w:color="auto" w:fill="auto"/>
            <w:noWrap/>
            <w:vAlign w:val="center"/>
            <w:hideMark/>
          </w:tcPr>
          <w:p w:rsidR="00650376" w:rsidRPr="00C64F91" w:rsidRDefault="00650376" w:rsidP="00650376">
            <w:pPr>
              <w:spacing w:after="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1.7 </w:t>
            </w:r>
            <w:r w:rsidRPr="00382A78">
              <w:rPr>
                <w:rFonts w:ascii="Times New Roman" w:eastAsia="Times New Roman" w:hAnsi="Times New Roman" w:cs="Times New Roman"/>
                <w:sz w:val="14"/>
                <w:szCs w:val="14"/>
              </w:rPr>
              <w:t>±</w:t>
            </w:r>
            <w:r>
              <w:rPr>
                <w:rFonts w:ascii="Times New Roman" w:eastAsia="Times New Roman" w:hAnsi="Times New Roman" w:cs="Times New Roman"/>
                <w:sz w:val="14"/>
                <w:szCs w:val="14"/>
              </w:rPr>
              <w:t xml:space="preserve"> 0.40</w:t>
            </w:r>
          </w:p>
        </w:tc>
        <w:tc>
          <w:tcPr>
            <w:tcW w:w="1279"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c>
          <w:tcPr>
            <w:tcW w:w="963" w:type="dxa"/>
            <w:vMerge/>
            <w:tcBorders>
              <w:top w:val="nil"/>
              <w:left w:val="single" w:sz="4" w:space="0" w:color="auto"/>
              <w:bottom w:val="single" w:sz="4" w:space="0" w:color="000000"/>
              <w:right w:val="single" w:sz="4" w:space="0" w:color="auto"/>
            </w:tcBorders>
            <w:vAlign w:val="center"/>
            <w:hideMark/>
          </w:tcPr>
          <w:p w:rsidR="00650376" w:rsidRPr="00C64F91" w:rsidRDefault="00650376" w:rsidP="00F14CA8">
            <w:pPr>
              <w:spacing w:after="0" w:line="240" w:lineRule="auto"/>
              <w:jc w:val="center"/>
              <w:rPr>
                <w:rFonts w:ascii="Times New Roman" w:eastAsia="Times New Roman" w:hAnsi="Times New Roman" w:cs="Times New Roman"/>
                <w:sz w:val="14"/>
                <w:szCs w:val="14"/>
              </w:rPr>
            </w:pPr>
          </w:p>
        </w:tc>
      </w:tr>
    </w:tbl>
    <w:p w:rsidR="00B00A03" w:rsidRPr="00FA4577" w:rsidRDefault="00B00A03" w:rsidP="00B00A03">
      <w:pPr>
        <w:tabs>
          <w:tab w:val="left" w:pos="8266"/>
        </w:tabs>
        <w:spacing w:after="0" w:line="240" w:lineRule="auto"/>
        <w:jc w:val="both"/>
        <w:rPr>
          <w:rFonts w:ascii="Times New Roman" w:hAnsi="Times New Roman" w:cs="Times New Roman"/>
          <w:sz w:val="14"/>
          <w:szCs w:val="14"/>
        </w:rPr>
      </w:pPr>
      <w:proofErr w:type="gramStart"/>
      <w:r w:rsidRPr="00FA4577">
        <w:rPr>
          <w:rFonts w:ascii="Times New Roman" w:hAnsi="Times New Roman" w:cs="Times New Roman"/>
          <w:sz w:val="14"/>
          <w:szCs w:val="14"/>
          <w:vertAlign w:val="superscript"/>
        </w:rPr>
        <w:t>a</w:t>
      </w:r>
      <w:r w:rsidRPr="00FA4577">
        <w:rPr>
          <w:rFonts w:ascii="Times New Roman" w:hAnsi="Times New Roman" w:cs="Times New Roman"/>
          <w:sz w:val="14"/>
          <w:szCs w:val="14"/>
        </w:rPr>
        <w:t>Treat.:</w:t>
      </w:r>
      <w:proofErr w:type="gramEnd"/>
      <w:r w:rsidRPr="00FA4577">
        <w:rPr>
          <w:rFonts w:ascii="Times New Roman" w:hAnsi="Times New Roman" w:cs="Times New Roman"/>
          <w:sz w:val="14"/>
          <w:szCs w:val="14"/>
        </w:rPr>
        <w:t xml:space="preserve"> Treatment; </w:t>
      </w:r>
      <w:r w:rsidRPr="00FA4577">
        <w:rPr>
          <w:rFonts w:ascii="Times New Roman" w:hAnsi="Times New Roman" w:cs="Times New Roman"/>
          <w:sz w:val="14"/>
          <w:szCs w:val="14"/>
          <w:vertAlign w:val="superscript"/>
        </w:rPr>
        <w:t>b</w:t>
      </w:r>
      <w:r w:rsidRPr="00FA4577">
        <w:rPr>
          <w:rFonts w:ascii="Times New Roman" w:hAnsi="Times New Roman" w:cs="Times New Roman"/>
          <w:sz w:val="14"/>
          <w:szCs w:val="14"/>
        </w:rPr>
        <w:t>Temp.: Temperature</w:t>
      </w:r>
      <w:r w:rsidR="00716E6C">
        <w:rPr>
          <w:rFonts w:ascii="Times New Roman" w:hAnsi="Times New Roman" w:cs="Times New Roman"/>
          <w:sz w:val="14"/>
          <w:szCs w:val="14"/>
        </w:rPr>
        <w:t xml:space="preserve"> (°C)</w:t>
      </w:r>
      <w:r w:rsidRPr="00FA4577">
        <w:rPr>
          <w:rFonts w:ascii="Times New Roman" w:hAnsi="Times New Roman" w:cs="Times New Roman"/>
          <w:sz w:val="14"/>
          <w:szCs w:val="14"/>
        </w:rPr>
        <w:t xml:space="preserve">; </w:t>
      </w:r>
      <w:r w:rsidRPr="00FA4577">
        <w:rPr>
          <w:rFonts w:ascii="Times New Roman" w:hAnsi="Times New Roman" w:cs="Times New Roman"/>
          <w:sz w:val="14"/>
          <w:szCs w:val="14"/>
          <w:vertAlign w:val="superscript"/>
        </w:rPr>
        <w:t>c</w:t>
      </w:r>
      <w:r w:rsidRPr="00FA4577">
        <w:rPr>
          <w:rFonts w:ascii="Times New Roman" w:hAnsi="Times New Roman" w:cs="Times New Roman"/>
          <w:sz w:val="14"/>
          <w:szCs w:val="14"/>
        </w:rPr>
        <w:t xml:space="preserve">Para.: Parameter; </w:t>
      </w:r>
      <w:r w:rsidRPr="00FA4577">
        <w:rPr>
          <w:rFonts w:ascii="Times New Roman" w:hAnsi="Times New Roman" w:cs="Times New Roman"/>
          <w:sz w:val="14"/>
          <w:szCs w:val="14"/>
          <w:vertAlign w:val="superscript"/>
        </w:rPr>
        <w:t>D</w:t>
      </w:r>
      <w:r w:rsidRPr="00FA4577">
        <w:rPr>
          <w:rFonts w:ascii="Times New Roman" w:hAnsi="Times New Roman" w:cs="Times New Roman"/>
          <w:sz w:val="14"/>
          <w:szCs w:val="14"/>
        </w:rPr>
        <w:t>RMSE: Root Mean Square</w:t>
      </w:r>
    </w:p>
    <w:p w:rsidR="00B00A03" w:rsidRPr="00A77A48" w:rsidRDefault="00B00A03" w:rsidP="00B00A03">
      <w:pPr>
        <w:spacing w:after="0" w:line="240" w:lineRule="auto"/>
        <w:ind w:left="720" w:hanging="720"/>
        <w:jc w:val="both"/>
        <w:outlineLvl w:val="0"/>
        <w:rPr>
          <w:rFonts w:ascii="Times New Roman" w:hAnsi="Times New Roman" w:cs="Times New Roman"/>
          <w:b/>
        </w:rPr>
      </w:pPr>
      <w:r>
        <w:rPr>
          <w:rFonts w:ascii="Times New Roman" w:hAnsi="Times New Roman" w:cs="Times New Roman"/>
          <w:b/>
        </w:rPr>
        <w:lastRenderedPageBreak/>
        <w:t>L</w:t>
      </w:r>
      <w:r w:rsidRPr="00A77A48">
        <w:rPr>
          <w:rFonts w:ascii="Times New Roman" w:hAnsi="Times New Roman" w:cs="Times New Roman"/>
          <w:b/>
        </w:rPr>
        <w:t>ITERATURE CITED</w:t>
      </w:r>
    </w:p>
    <w:p w:rsidR="00B00A03" w:rsidRPr="00A77A48" w:rsidRDefault="00B00A03" w:rsidP="00B00A03">
      <w:pPr>
        <w:spacing w:after="0" w:line="240" w:lineRule="auto"/>
        <w:ind w:left="720" w:hanging="720"/>
        <w:jc w:val="both"/>
        <w:rPr>
          <w:rFonts w:ascii="Times New Roman" w:hAnsi="Times New Roman" w:cs="Times New Roman"/>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Ahn J, Gruen IU &amp; Mustapha A. 2006. Effects of plant extracts on microbial growth, color change, and lipid oxidation in cooked beef. Food Microbiology 24(1):7-14.</w:t>
      </w:r>
    </w:p>
    <w:p w:rsidR="00F14CA8" w:rsidRPr="00F20FA4" w:rsidRDefault="00F14CA8" w:rsidP="00F14CA8">
      <w:pPr>
        <w:pStyle w:val="ListParagraph"/>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Arabshahi A &amp; Lund DB. 1985. Considerations in calculating kinetic parameters from experimental data. Journal of Food Process Engineering 7(4):239-251.</w:t>
      </w:r>
    </w:p>
    <w:p w:rsidR="00F14CA8" w:rsidRPr="00F20FA4" w:rsidRDefault="00F14CA8" w:rsidP="00F14CA8">
      <w:pPr>
        <w:pStyle w:val="ListParagraph"/>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Austria R, Semenzato A &amp; Bettero A. 1997. Stability of vitamin C derivatives in solution and topical formulations. Journal of Pharmaceutical and Biomedical Analysis 15(6):795-801.</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Avila IMLB &amp; Silva CLM. 1999. Modelling kinetics of thermal degradation of colour in peach puree. Journal of Food Engineering 39:161-166.</w:t>
      </w:r>
    </w:p>
    <w:p w:rsidR="00F14CA8" w:rsidRPr="00F14CA8" w:rsidRDefault="00F14CA8" w:rsidP="00F14CA8">
      <w:pPr>
        <w:spacing w:after="0" w:line="240" w:lineRule="auto"/>
        <w:jc w:val="both"/>
        <w:rPr>
          <w:rFonts w:ascii="Times New Roman" w:hAnsi="Times New Roman"/>
          <w:noProof/>
          <w:sz w:val="24"/>
          <w:szCs w:val="24"/>
        </w:rPr>
      </w:pPr>
    </w:p>
    <w:p w:rsid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Bors W, Michel C &amp; Schikora S. 1995. Interaction of flavonoids with ascorbate and determination of their univalent redox potentials: a pulse radiolysis study. Free Radical Biology &amp; Medicine 19(1):45-52.</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Buedo AP, Elustondo MP &amp; Urbicain MJ. 2000. Non-enzymatic browning of peach juice concentrate during storage. Innovative Food Science &amp; Emerging Technologies 1(4):255-260.</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Buglione M &amp; Lozano J. 2002. Nonenzymatic browning and chemical changes during grape juice storage. Journal of Food Science 67(4):1538-1543.</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Burdurlu HS, Koca N &amp; Karadeniz F. 2006. Degradation of vitamin C in citrus juice concentrates during storage. Journal of Food Engineering 74(2):211-216.</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Chutintrasri B &amp; Noomhorm A. 200</w:t>
      </w:r>
      <w:r w:rsidR="00CC7D02">
        <w:rPr>
          <w:rFonts w:ascii="Times New Roman" w:hAnsi="Times New Roman"/>
          <w:noProof/>
          <w:sz w:val="24"/>
          <w:szCs w:val="24"/>
        </w:rPr>
        <w:t>7</w:t>
      </w:r>
      <w:r w:rsidRPr="00F14CA8">
        <w:rPr>
          <w:rFonts w:ascii="Times New Roman" w:hAnsi="Times New Roman"/>
          <w:noProof/>
          <w:sz w:val="24"/>
          <w:szCs w:val="24"/>
        </w:rPr>
        <w:t>. Color degradation kinetics of pineapple puree during thermal processing. LWT--Food Science and Technology 40(2):300-306.</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Clark P. 2009. Retort Pouch Foods. Case Studies in Food Engineering: Learning from Experience</w:t>
      </w:r>
      <w:r w:rsidRPr="00F14CA8">
        <w:rPr>
          <w:rFonts w:ascii="Times New Roman" w:hAnsi="Times New Roman"/>
          <w:i/>
          <w:noProof/>
          <w:sz w:val="24"/>
          <w:szCs w:val="24"/>
        </w:rPr>
        <w:t>.</w:t>
      </w:r>
      <w:r w:rsidRPr="00F14CA8">
        <w:rPr>
          <w:rFonts w:ascii="Times New Roman" w:hAnsi="Times New Roman"/>
          <w:noProof/>
          <w:sz w:val="24"/>
          <w:szCs w:val="24"/>
        </w:rPr>
        <w:t xml:space="preserve"> Oak Park, IL.: Springer.</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Clark S, Warner H, Rodriguez JJ, Olivas GI, Sepulveda D, Bruins R &amp; Barbosa-Canovas G. 2002. Residual gas and storage conditions affect sensory quality of diced pears in flexible retortable pouches. Food Quality and Preference 13:153-162.</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Clegg KM. 1964. Nonenzymatic browning of lemon juice. Journal of the Science of Food and Agriculture 15(12):878.</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Cossins E, Lee R &amp; Packer L. 1998. ESR studies of vitamin C regeneration, order of reactivity of natural source phytochemical preparations. Biochemistry and Molecular Biology International 45(3):583-597.</w:t>
      </w:r>
    </w:p>
    <w:p w:rsidR="00F14CA8" w:rsidRP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Craig J, Bowers JA &amp; Seib P. 1991. Sodium tripolyphosphate and sodium ascorbate monophosphate as inhibitors of off-flavor development in cooked, vacuum-packaged, frozen turkey. Journal of Food Science 56(6):1529-1531, 1561.</w:t>
      </w: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lastRenderedPageBreak/>
        <w:t>Craig JA, Bowers JA, Wang X-Y &amp; Seib PA. 1996. Inhibition of lipid oxidation in meats by inorganic phosphate and ascorbate salts. Journal of Food Science 61(5):1062-1067.</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Damasceno LF, Fernandes FAN, Magalhaes MMA &amp; Brito ES. 2007. Non-enzymatic browning in clarified cashew apple juice during thermal treatment: Kinetics and process control. Food Chemistry 106(1):172-179.</w:t>
      </w:r>
    </w:p>
    <w:p w:rsidR="00F14CA8" w:rsidRP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Fennema OR. 1996. Fodd chemistry.</w:t>
      </w:r>
      <w:r w:rsidRPr="00F14CA8">
        <w:rPr>
          <w:rFonts w:ascii="Times New Roman" w:hAnsi="Times New Roman"/>
          <w:i/>
          <w:noProof/>
          <w:sz w:val="24"/>
          <w:szCs w:val="24"/>
        </w:rPr>
        <w:t xml:space="preserve"> </w:t>
      </w:r>
      <w:r w:rsidRPr="00F14CA8">
        <w:rPr>
          <w:rFonts w:ascii="Times New Roman" w:hAnsi="Times New Roman"/>
          <w:noProof/>
          <w:sz w:val="24"/>
          <w:szCs w:val="24"/>
        </w:rPr>
        <w:t>New York: Marcel Dekker, Inc.</w:t>
      </w:r>
    </w:p>
    <w:p w:rsidR="00F14CA8" w:rsidRP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Fermann R &amp; Gripp A. 2004. Stay-C 50-more than just stable vitamin C in your formulation. Cosmetics and toiletries manufacture worldwide:153-157.</w:t>
      </w:r>
    </w:p>
    <w:p w:rsid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FisherScientific. L(+)-Ascorbic Acid, Reagent ACS</w:t>
      </w:r>
      <w:r w:rsidR="00FB5E34">
        <w:rPr>
          <w:rFonts w:ascii="Times New Roman" w:hAnsi="Times New Roman"/>
          <w:noProof/>
          <w:sz w:val="24"/>
          <w:szCs w:val="24"/>
        </w:rPr>
        <w:t xml:space="preserve">; (Accessed 2010 February 14). Available from: </w:t>
      </w:r>
      <w:hyperlink r:id="rId68" w:history="1">
        <w:r w:rsidR="00FB5E34" w:rsidRPr="008E4612">
          <w:rPr>
            <w:rStyle w:val="Hyperlink"/>
            <w:rFonts w:ascii="Times New Roman" w:hAnsi="Times New Roman"/>
            <w:noProof/>
            <w:sz w:val="24"/>
            <w:szCs w:val="24"/>
          </w:rPr>
          <w:t>http://www.fishersci.com/wps/portal/CMSTATIC?href=index.jsp&amp;store=Scientific&amp;segment=scientificStandard</w:t>
        </w:r>
      </w:hyperlink>
      <w:r w:rsidR="00FB5E34">
        <w:rPr>
          <w:rFonts w:ascii="Times New Roman" w:hAnsi="Times New Roman"/>
          <w:noProof/>
          <w:sz w:val="24"/>
          <w:szCs w:val="24"/>
        </w:rPr>
        <w:t>. Form of citation in text: (Fisher Scientific 2010)</w:t>
      </w:r>
    </w:p>
    <w:p w:rsidR="00FB5E34" w:rsidRDefault="00FB5E34"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Garza S, Ibarz A, Pagan J &amp; Giner J. 1999. Non-enzymatic browning in peach puree during heating. Food Research International 32(5):335-343.</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Gokmen V, Kahraman N, Demir N &amp; Acar J. 2000. Enzymatically validated liquid chromatographic method for the determination of ascorbic and dehydroascorbic acids in fruit and vegetables. Journal of Chromatography, A 881(1+2):309-316.</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Gonçalves GMS, Campos M &amp; P.M.B.G. 2009. Shelf life and rheology of emulsions containing vitamin c and its derivatives. Journal of Basic and Applied Pharmaceutical Sciences 30(2):89-94.</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HunterLab. 2008. CIE L*a*b* Color Scale. In: Lab, H., editor). Hunter Associates Laboratory, Inc</w:t>
      </w:r>
      <w:r w:rsidRPr="00F14CA8">
        <w:rPr>
          <w:rFonts w:ascii="Times New Roman" w:hAnsi="Times New Roman"/>
          <w:i/>
          <w:noProof/>
          <w:sz w:val="24"/>
          <w:szCs w:val="24"/>
        </w:rPr>
        <w:t>.</w:t>
      </w:r>
      <w:r w:rsidRPr="00F14CA8">
        <w:rPr>
          <w:rFonts w:ascii="Times New Roman" w:hAnsi="Times New Roman"/>
          <w:noProof/>
          <w:sz w:val="24"/>
          <w:szCs w:val="24"/>
        </w:rPr>
        <w:t xml:space="preserve"> Reston, VA.</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Iacobucci G &amp; Sweeny J, inventors; The Coca-Cola Company, assignee. 1980. Color stable food containing anthocyanic pigments and bio-available vitamin C and process of its production. United States patent 4,208,434.</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Ibarz A, Pagan J &amp; Garza S. 1999. Kinetic models for colour changes in pear puree during heating at relatively high temperatures. Journal of Food Engineering 39:415-422.</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 xml:space="preserve">Klim M &amp; Nagy S. 1988. An improved method to determine nonenzymic browning in citrus juices. </w:t>
      </w:r>
      <w:r w:rsidR="008D3C04" w:rsidRPr="00521C39">
        <w:rPr>
          <w:rFonts w:ascii="Times New Roman" w:hAnsi="Times New Roman"/>
          <w:noProof/>
          <w:sz w:val="24"/>
          <w:szCs w:val="24"/>
          <w:lang w:val="es-ES"/>
        </w:rPr>
        <w:t>J</w:t>
      </w:r>
      <w:r w:rsidR="008D3C04">
        <w:rPr>
          <w:rFonts w:ascii="Times New Roman" w:hAnsi="Times New Roman"/>
          <w:noProof/>
          <w:sz w:val="24"/>
          <w:szCs w:val="24"/>
          <w:lang w:val="es-ES"/>
        </w:rPr>
        <w:t>ournal of</w:t>
      </w:r>
      <w:r w:rsidR="008D3C04" w:rsidRPr="00521C39">
        <w:rPr>
          <w:rFonts w:ascii="Times New Roman" w:hAnsi="Times New Roman"/>
          <w:noProof/>
          <w:sz w:val="24"/>
          <w:szCs w:val="24"/>
          <w:lang w:val="es-ES"/>
        </w:rPr>
        <w:t xml:space="preserve"> Agric</w:t>
      </w:r>
      <w:r w:rsidR="008D3C04">
        <w:rPr>
          <w:rFonts w:ascii="Times New Roman" w:hAnsi="Times New Roman"/>
          <w:noProof/>
          <w:sz w:val="24"/>
          <w:szCs w:val="24"/>
          <w:lang w:val="es-ES"/>
        </w:rPr>
        <w:t xml:space="preserve">ultural and </w:t>
      </w:r>
      <w:r w:rsidR="008D3C04" w:rsidRPr="00521C39">
        <w:rPr>
          <w:rFonts w:ascii="Times New Roman" w:hAnsi="Times New Roman"/>
          <w:noProof/>
          <w:sz w:val="24"/>
          <w:szCs w:val="24"/>
          <w:lang w:val="es-ES"/>
        </w:rPr>
        <w:t xml:space="preserve"> Food Chem</w:t>
      </w:r>
      <w:r w:rsidR="008D3C04">
        <w:rPr>
          <w:rFonts w:ascii="Times New Roman" w:hAnsi="Times New Roman"/>
          <w:noProof/>
          <w:sz w:val="24"/>
          <w:szCs w:val="24"/>
          <w:lang w:val="es-ES"/>
        </w:rPr>
        <w:t>istry</w:t>
      </w:r>
      <w:r w:rsidRPr="00F14CA8">
        <w:rPr>
          <w:rFonts w:ascii="Times New Roman" w:hAnsi="Times New Roman"/>
          <w:noProof/>
          <w:sz w:val="24"/>
          <w:szCs w:val="24"/>
        </w:rPr>
        <w:t xml:space="preserve"> 36(6):1271-1274.</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Kluter RA, Nattress DT, Dunne CP &amp; Popper RD. 1994. Shelf life evaluation of cling peaches in retort pouches. Journal of Food Science 59(4):849-854, 865.</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Kluter RA, Nattress DT, Dunne CP &amp; Popper RD. 1996. Shelf life evaluation of Bartlett pears in retort pouches. Journal of food science 61(6):1297-1302.</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lastRenderedPageBreak/>
        <w:t>Lozano JE &amp; Ibarz A. 1996. Color changes in concentrated fruit pulp during heating at high temperatures. Journal of Food Engineering 31:365-373.</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Manso MC, Oliveira FAR, Oliveira JC &amp; Frias JM. 2001. Modelling ascorbic acid thermal degradation and browning in orange juice under aerobic conditions. International Journal of Food Science and Technology 36(3):303-312.</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Masquelier J, inventor; Societe Civile d'Investigations Pharmacologiques d'Aquitaine, assignee. 1987. Plant extract with a proanthocyanidins content as therapeutic agent having radical scavenger effect and use thereof United States of America patent.</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Mount JR, Zivanovic S, Sams C, Marcy J, O'keefe S, Hefnawy M, Stewart D &amp; Willis L. 2007. Short-Term Project Initial Proposal: Evaluation of Processes and additives Improve Quality and Storage Life of Wet Pack, Mixed Fruit.</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O'Keefe T. 2001. Ascorbic acid and stable ascorbate esters as sources of vitamin C in aquaculture feeds. American Soybean Association (ASA).</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Olivas GI, Rodriguez JJ, Sepulveda DR, Warner H, Clark S &amp; Barbosa-Canovas GV. 2002. Residual gas volume effect on quality of retort pouch wet-pack pears. Journal of Food Process Engineering 25:233-249.</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Park H, Seib PA &amp; Chung OK. 1994. Stabilities of several forms of vitamin C during making and storing of pup-loaves of white pan bread. Cereal Chemistry 71(5):412-417.</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Rattanathanalerk M, Chiewchan N &amp; Srichumpoung W. 2005. Effect of thermal processing on the quality loss of pineapple juice. Journal of Food Engineering 66:259-265.</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Rice-Evans CA &amp; Packer L. 1998. Flavonoids in health and disease.</w:t>
      </w:r>
      <w:r w:rsidRPr="00F14CA8">
        <w:rPr>
          <w:rFonts w:ascii="Times New Roman" w:hAnsi="Times New Roman"/>
          <w:i/>
          <w:noProof/>
          <w:sz w:val="24"/>
          <w:szCs w:val="24"/>
        </w:rPr>
        <w:t xml:space="preserve"> </w:t>
      </w:r>
      <w:r w:rsidRPr="00F14CA8">
        <w:rPr>
          <w:rFonts w:ascii="Times New Roman" w:hAnsi="Times New Roman"/>
          <w:noProof/>
          <w:sz w:val="24"/>
          <w:szCs w:val="24"/>
        </w:rPr>
        <w:t>New York, N.Y.: Marcel Dekker.</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Rodriguez JJ, Olivas GI, Sepulveda DR, Warner H, Clark S &amp; Barbosa-Canovas GV. 2003. Shelf-life study of retort pouch black bean and rice burrito combat rations packaged at selected resiudal gas levels. Journal of food quality 26:409-424.</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Rohdewald P. 2002. A review of the French maritime pine bark extract (Pycnogenol), a herbal medication with a diverse clinical pharmacology. International Journal of Clinical Pharmacology and Therapeutics 40(4):158-168.</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Roig MG, Bello JF, Rivera ZS &amp; Kennedy JF. 2000. Studies on the occurrence of non-enzymic browning during storage of citrus juice. Food Research International 32(9):609-619.</w:t>
      </w: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Ruggeri S, Straniero R, Pacifico S, Aguzzi A &amp; Virgili F. 2008. French marine bark extract pycnogenol as a possible enrichment ingredient for yogurt. Journal of Dairy Science 91(12):4484-4491.</w:t>
      </w:r>
    </w:p>
    <w:p w:rsidR="00F14CA8" w:rsidRDefault="00F14CA8" w:rsidP="00F14CA8">
      <w:pPr>
        <w:spacing w:after="0" w:line="240" w:lineRule="auto"/>
        <w:jc w:val="both"/>
        <w:rPr>
          <w:rFonts w:ascii="Times New Roman" w:hAnsi="Times New Roman"/>
          <w:noProof/>
          <w:sz w:val="24"/>
          <w:szCs w:val="24"/>
        </w:rPr>
      </w:pPr>
    </w:p>
    <w:p w:rsidR="00B00A03"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lastRenderedPageBreak/>
        <w:t>Sigma-Aldrich.</w:t>
      </w:r>
      <w:r w:rsidR="00FB5E34">
        <w:rPr>
          <w:rFonts w:ascii="Times New Roman" w:hAnsi="Times New Roman"/>
          <w:noProof/>
          <w:sz w:val="24"/>
          <w:szCs w:val="24"/>
        </w:rPr>
        <w:t xml:space="preserve"> </w:t>
      </w:r>
      <w:r w:rsidRPr="00F14CA8">
        <w:rPr>
          <w:rFonts w:ascii="Times New Roman" w:hAnsi="Times New Roman"/>
          <w:noProof/>
          <w:sz w:val="24"/>
          <w:szCs w:val="24"/>
        </w:rPr>
        <w:t>2-Phospho</w:t>
      </w:r>
      <w:r w:rsidR="00FB5E34">
        <w:rPr>
          <w:rFonts w:ascii="Times New Roman" w:hAnsi="Times New Roman"/>
          <w:noProof/>
          <w:sz w:val="24"/>
          <w:szCs w:val="24"/>
        </w:rPr>
        <w:t xml:space="preserve">-L-ascorbic acid trisodium salt; (Accessed 2010 Febreary 14) Available from: </w:t>
      </w:r>
      <w:hyperlink r:id="rId69" w:history="1">
        <w:r w:rsidR="00FB5E34" w:rsidRPr="008E4612">
          <w:rPr>
            <w:rStyle w:val="Hyperlink"/>
            <w:rFonts w:ascii="Times New Roman" w:hAnsi="Times New Roman"/>
            <w:noProof/>
            <w:sz w:val="24"/>
            <w:szCs w:val="24"/>
          </w:rPr>
          <w:t>http://www.sigmaaldrich.com/catalog/ProductDetail.do?lang=en&amp;N4=49752|SIGMA&amp;N5=SEARCH_CONCAT_PNO|BRAND_KEY&amp;F=SPEC</w:t>
        </w:r>
      </w:hyperlink>
      <w:r w:rsidRPr="00F14CA8">
        <w:rPr>
          <w:rFonts w:ascii="Times New Roman" w:hAnsi="Times New Roman"/>
          <w:noProof/>
          <w:sz w:val="24"/>
          <w:szCs w:val="24"/>
        </w:rPr>
        <w:t>.</w:t>
      </w:r>
      <w:r w:rsidR="00FB5E34">
        <w:rPr>
          <w:rFonts w:ascii="Times New Roman" w:hAnsi="Times New Roman"/>
          <w:noProof/>
          <w:sz w:val="24"/>
          <w:szCs w:val="24"/>
        </w:rPr>
        <w:t xml:space="preserve"> Form of citation in text: (Sigma-Aldrich, 2010).</w:t>
      </w:r>
    </w:p>
    <w:p w:rsidR="00FB5E34" w:rsidRPr="00F14CA8" w:rsidRDefault="00FB5E34"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Sivonova M, Zitnanova I, Horakova L, Strosova M, Muchova J, Balgavy P, Dobrota D &amp; Durackova Z. 2006. The combined effect of Pycnogenol with ascorbic acid and trolox on the oxidation of lipids and proteins. General Physiology and Biophysics 25(4):379-396.</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Torras MAC, Faura CA, Schonlau F &amp; Rohdewald P. 2005. Antimicrobial activity of pycnogenol. Phytotherapy Research 19(7):647-648.</w:t>
      </w:r>
    </w:p>
    <w:p w:rsidR="00F14CA8" w:rsidRDefault="00F14CA8" w:rsidP="00F14CA8">
      <w:pPr>
        <w:spacing w:after="0" w:line="240" w:lineRule="auto"/>
        <w:jc w:val="both"/>
        <w:rPr>
          <w:rFonts w:ascii="Times New Roman" w:hAnsi="Times New Roman"/>
          <w:noProof/>
          <w:sz w:val="24"/>
          <w:szCs w:val="24"/>
        </w:rPr>
      </w:pPr>
    </w:p>
    <w:p w:rsidR="00B00A03" w:rsidRPr="00F14CA8" w:rsidRDefault="00F14CA8" w:rsidP="00F14CA8">
      <w:pPr>
        <w:spacing w:after="0" w:line="240" w:lineRule="auto"/>
        <w:jc w:val="both"/>
        <w:rPr>
          <w:rFonts w:ascii="Times New Roman" w:hAnsi="Times New Roman"/>
          <w:noProof/>
          <w:sz w:val="24"/>
          <w:szCs w:val="24"/>
        </w:rPr>
      </w:pPr>
      <w:r>
        <w:rPr>
          <w:rFonts w:ascii="Times New Roman" w:hAnsi="Times New Roman"/>
          <w:noProof/>
          <w:sz w:val="24"/>
          <w:szCs w:val="24"/>
        </w:rPr>
        <w:t>V</w:t>
      </w:r>
      <w:r w:rsidR="00B00A03" w:rsidRPr="00F14CA8">
        <w:rPr>
          <w:rFonts w:ascii="Times New Roman" w:hAnsi="Times New Roman"/>
          <w:noProof/>
          <w:sz w:val="24"/>
          <w:szCs w:val="24"/>
        </w:rPr>
        <w:t>an Boekel MAJS. 2008. Kinetic modeling of food quality: a critical review. Comprehensive Reviews in Food Science and Food Safety 7(1):144-158.</w:t>
      </w:r>
    </w:p>
    <w:p w:rsidR="00F14CA8" w:rsidRDefault="00F14CA8" w:rsidP="00F14CA8">
      <w:pPr>
        <w:spacing w:after="0" w:line="240" w:lineRule="auto"/>
        <w:jc w:val="both"/>
        <w:rPr>
          <w:rFonts w:ascii="Times New Roman" w:hAnsi="Times New Roman"/>
          <w:noProof/>
          <w:sz w:val="24"/>
          <w:szCs w:val="24"/>
        </w:rPr>
      </w:pPr>
    </w:p>
    <w:p w:rsidR="00B00A03" w:rsidRPr="00F14CA8" w:rsidRDefault="00B00A03" w:rsidP="00F14CA8">
      <w:pPr>
        <w:spacing w:after="0" w:line="240" w:lineRule="auto"/>
        <w:jc w:val="both"/>
        <w:rPr>
          <w:rFonts w:ascii="Times New Roman" w:hAnsi="Times New Roman"/>
          <w:noProof/>
          <w:sz w:val="24"/>
          <w:szCs w:val="24"/>
        </w:rPr>
      </w:pPr>
      <w:r w:rsidRPr="00F14CA8">
        <w:rPr>
          <w:rFonts w:ascii="Times New Roman" w:hAnsi="Times New Roman"/>
          <w:noProof/>
          <w:sz w:val="24"/>
          <w:szCs w:val="24"/>
        </w:rPr>
        <w:t>Wang XY, Kozempel MG, Hicks KB &amp; Seib PA. 1992. Vitamin C stability during preparation and storage of potato flakes and reconstituted mashed potatoes. Journal of Food Science 57(5):1136-1139.</w:t>
      </w:r>
    </w:p>
    <w:p w:rsidR="00F14CA8" w:rsidRDefault="00F14CA8" w:rsidP="00F14CA8">
      <w:pPr>
        <w:spacing w:line="240" w:lineRule="auto"/>
        <w:jc w:val="both"/>
        <w:rPr>
          <w:rFonts w:ascii="Times New Roman" w:hAnsi="Times New Roman"/>
          <w:noProof/>
          <w:sz w:val="24"/>
          <w:szCs w:val="24"/>
        </w:rPr>
      </w:pPr>
    </w:p>
    <w:p w:rsidR="00B00A03" w:rsidRPr="00F14CA8" w:rsidRDefault="00B00A03" w:rsidP="00F14CA8">
      <w:pPr>
        <w:spacing w:line="240" w:lineRule="auto"/>
        <w:jc w:val="both"/>
        <w:rPr>
          <w:rFonts w:ascii="Times New Roman" w:hAnsi="Times New Roman"/>
          <w:noProof/>
          <w:sz w:val="24"/>
          <w:szCs w:val="24"/>
        </w:rPr>
      </w:pPr>
      <w:r w:rsidRPr="00F14CA8">
        <w:rPr>
          <w:rFonts w:ascii="Times New Roman" w:hAnsi="Times New Roman"/>
          <w:noProof/>
          <w:sz w:val="24"/>
          <w:szCs w:val="24"/>
        </w:rPr>
        <w:t>Wang XY, Seib PA &amp; Ra KS. 1995. L-Ascorbic acid and its 2-phosphorylated derivatives in selected foods: vitamin C fortification and antioxidant properties. Journal of Food Science 60(6):1295-1300.</w:t>
      </w:r>
    </w:p>
    <w:p w:rsidR="00B00A03" w:rsidRDefault="00B00A03" w:rsidP="00B00A03">
      <w:pPr>
        <w:spacing w:line="240" w:lineRule="auto"/>
        <w:jc w:val="both"/>
        <w:rPr>
          <w:rFonts w:ascii="Calibri" w:hAnsi="Calibri" w:cs="Calibri"/>
          <w:noProof/>
        </w:rPr>
      </w:pPr>
    </w:p>
    <w:p w:rsidR="00B00A03" w:rsidRPr="00ED4982" w:rsidRDefault="00B00A03" w:rsidP="00B00A03">
      <w:pPr>
        <w:tabs>
          <w:tab w:val="left" w:pos="8266"/>
        </w:tabs>
        <w:jc w:val="both"/>
        <w:rPr>
          <w:b/>
        </w:rPr>
      </w:pPr>
    </w:p>
    <w:p w:rsidR="00B00A03" w:rsidRDefault="00B00A03" w:rsidP="00B00A03"/>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274675" w:rsidRDefault="00274675"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Pr="00252E90" w:rsidRDefault="00F14CA8" w:rsidP="00F14CA8">
      <w:pPr>
        <w:spacing w:after="0" w:line="360" w:lineRule="auto"/>
        <w:jc w:val="both"/>
        <w:rPr>
          <w:rFonts w:ascii="Times New Roman" w:hAnsi="Times New Roman" w:cs="Times New Roman"/>
          <w:i/>
          <w:sz w:val="24"/>
          <w:szCs w:val="24"/>
        </w:rPr>
      </w:pPr>
      <w:r w:rsidRPr="00252E90">
        <w:rPr>
          <w:rFonts w:ascii="Times New Roman" w:hAnsi="Times New Roman" w:cs="Times New Roman"/>
          <w:b/>
          <w:sz w:val="24"/>
          <w:szCs w:val="24"/>
        </w:rPr>
        <w:lastRenderedPageBreak/>
        <w:t>CHAPTER</w:t>
      </w:r>
      <w:r>
        <w:rPr>
          <w:rFonts w:ascii="Times New Roman" w:hAnsi="Times New Roman" w:cs="Times New Roman"/>
          <w:b/>
          <w:sz w:val="24"/>
          <w:szCs w:val="24"/>
        </w:rPr>
        <w:t xml:space="preserve"> 5</w:t>
      </w:r>
      <w:r w:rsidRPr="00252E90">
        <w:rPr>
          <w:rFonts w:ascii="Times New Roman" w:hAnsi="Times New Roman" w:cs="Times New Roman"/>
          <w:b/>
          <w:sz w:val="24"/>
          <w:szCs w:val="24"/>
        </w:rPr>
        <w:t>: EFFECT OF α-GLUCOSYL RUTIN</w:t>
      </w:r>
      <w:r>
        <w:rPr>
          <w:rFonts w:ascii="Times New Roman" w:hAnsi="Times New Roman" w:cs="Times New Roman"/>
          <w:b/>
          <w:sz w:val="24"/>
          <w:szCs w:val="24"/>
        </w:rPr>
        <w:t>, C</w:t>
      </w:r>
      <w:r w:rsidRPr="00252E90">
        <w:rPr>
          <w:rFonts w:ascii="Times New Roman" w:hAnsi="Times New Roman" w:cs="Times New Roman"/>
          <w:b/>
          <w:sz w:val="24"/>
          <w:szCs w:val="24"/>
        </w:rPr>
        <w:t>ALCIUM CHLORIDE</w:t>
      </w:r>
      <w:r>
        <w:rPr>
          <w:rFonts w:ascii="Times New Roman" w:hAnsi="Times New Roman" w:cs="Times New Roman"/>
          <w:b/>
          <w:sz w:val="24"/>
          <w:szCs w:val="24"/>
        </w:rPr>
        <w:t xml:space="preserve"> AND FRUIT SOURCE</w:t>
      </w:r>
      <w:r w:rsidRPr="00252E90">
        <w:rPr>
          <w:rFonts w:ascii="Times New Roman" w:hAnsi="Times New Roman" w:cs="Times New Roman"/>
          <w:b/>
          <w:sz w:val="24"/>
          <w:szCs w:val="24"/>
        </w:rPr>
        <w:t xml:space="preserve"> ON THE QUALITY OF DICED PEACHES IN FLEXIBLE RETORTABLE POUCHES</w:t>
      </w:r>
    </w:p>
    <w:p w:rsidR="00F14CA8" w:rsidRPr="00252E90" w:rsidRDefault="00F14CA8" w:rsidP="00F14CA8">
      <w:pPr>
        <w:spacing w:after="0" w:line="360" w:lineRule="auto"/>
        <w:jc w:val="both"/>
        <w:rPr>
          <w:rFonts w:ascii="Times New Roman" w:hAnsi="Times New Roman" w:cs="Times New Roman"/>
          <w:b/>
          <w:sz w:val="24"/>
          <w:szCs w:val="24"/>
        </w:rPr>
      </w:pPr>
    </w:p>
    <w:p w:rsidR="00F14CA8" w:rsidRPr="00252E90" w:rsidRDefault="00F14CA8" w:rsidP="00F14CA8">
      <w:pPr>
        <w:rPr>
          <w:rFonts w:ascii="Times New Roman" w:hAnsi="Times New Roman" w:cs="Times New Roman"/>
          <w:b/>
          <w:sz w:val="24"/>
          <w:szCs w:val="24"/>
        </w:rPr>
      </w:pPr>
      <w:r w:rsidRPr="00252E90">
        <w:rPr>
          <w:rFonts w:ascii="Times New Roman" w:hAnsi="Times New Roman" w:cs="Times New Roman"/>
          <w:b/>
          <w:sz w:val="24"/>
          <w:szCs w:val="24"/>
        </w:rPr>
        <w:t>ABSTRACT</w:t>
      </w:r>
    </w:p>
    <w:p w:rsidR="00F14CA8" w:rsidRDefault="00F14CA8" w:rsidP="00F14CA8">
      <w:pPr>
        <w:pStyle w:val="ListParagraph"/>
        <w:spacing w:after="0" w:line="360" w:lineRule="auto"/>
        <w:ind w:left="0" w:firstLine="720"/>
        <w:jc w:val="both"/>
        <w:rPr>
          <w:rFonts w:ascii="Times New Roman" w:hAnsi="Times New Roman"/>
          <w:sz w:val="24"/>
          <w:szCs w:val="24"/>
        </w:rPr>
      </w:pPr>
      <w:r w:rsidRPr="00252E90">
        <w:rPr>
          <w:rFonts w:ascii="Times New Roman" w:hAnsi="Times New Roman"/>
          <w:sz w:val="24"/>
          <w:szCs w:val="24"/>
        </w:rPr>
        <w:t xml:space="preserve">Diced peaches in flexible retortable pouches have been identified as an area of concern due to the darkening produced by ascorbic acid degradation during storage. </w:t>
      </w:r>
      <w:r>
        <w:rPr>
          <w:rFonts w:ascii="Times New Roman" w:hAnsi="Times New Roman"/>
          <w:sz w:val="24"/>
          <w:szCs w:val="24"/>
        </w:rPr>
        <w:t xml:space="preserve"> Experiments were conducted to determine if α-glucosylr</w:t>
      </w:r>
      <w:r w:rsidRPr="00252E90">
        <w:rPr>
          <w:rFonts w:ascii="Times New Roman" w:hAnsi="Times New Roman"/>
          <w:sz w:val="24"/>
          <w:szCs w:val="24"/>
        </w:rPr>
        <w:t xml:space="preserve">utin </w:t>
      </w:r>
      <w:r>
        <w:rPr>
          <w:rFonts w:ascii="Times New Roman" w:hAnsi="Times New Roman"/>
          <w:sz w:val="24"/>
          <w:szCs w:val="24"/>
        </w:rPr>
        <w:t>(α-GR) would delay browning reactions</w:t>
      </w:r>
      <w:r w:rsidRPr="00252E90">
        <w:rPr>
          <w:rFonts w:ascii="Times New Roman" w:hAnsi="Times New Roman"/>
          <w:sz w:val="24"/>
          <w:szCs w:val="24"/>
        </w:rPr>
        <w:t>.</w:t>
      </w:r>
      <w:r>
        <w:rPr>
          <w:rFonts w:ascii="Times New Roman" w:hAnsi="Times New Roman"/>
          <w:sz w:val="24"/>
          <w:szCs w:val="24"/>
        </w:rPr>
        <w:t xml:space="preserve"> </w:t>
      </w:r>
      <w:r w:rsidRPr="00252E90">
        <w:rPr>
          <w:rFonts w:ascii="Times New Roman" w:hAnsi="Times New Roman"/>
          <w:sz w:val="24"/>
          <w:szCs w:val="24"/>
        </w:rPr>
        <w:t xml:space="preserve"> </w:t>
      </w:r>
      <w:proofErr w:type="gramStart"/>
      <w:r>
        <w:rPr>
          <w:rFonts w:ascii="Times New Roman" w:hAnsi="Times New Roman"/>
          <w:sz w:val="24"/>
          <w:szCs w:val="24"/>
        </w:rPr>
        <w:t>α-GR</w:t>
      </w:r>
      <w:proofErr w:type="gramEnd"/>
      <w:r w:rsidRPr="00252E90">
        <w:rPr>
          <w:rFonts w:ascii="Times New Roman" w:hAnsi="Times New Roman"/>
          <w:sz w:val="24"/>
          <w:szCs w:val="24"/>
        </w:rPr>
        <w:t xml:space="preserve"> is a flavonoid manufactured </w:t>
      </w:r>
      <w:r>
        <w:rPr>
          <w:rFonts w:ascii="Times New Roman" w:hAnsi="Times New Roman"/>
          <w:sz w:val="24"/>
          <w:szCs w:val="24"/>
        </w:rPr>
        <w:t xml:space="preserve">through the addition of </w:t>
      </w:r>
      <w:r w:rsidRPr="00252E90">
        <w:rPr>
          <w:rFonts w:ascii="Times New Roman" w:hAnsi="Times New Roman"/>
          <w:sz w:val="24"/>
          <w:szCs w:val="24"/>
        </w:rPr>
        <w:t>a molecule of glucose to rutin</w:t>
      </w:r>
      <w:r>
        <w:rPr>
          <w:rFonts w:ascii="Times New Roman" w:hAnsi="Times New Roman"/>
          <w:sz w:val="24"/>
          <w:szCs w:val="24"/>
        </w:rPr>
        <w:t xml:space="preserve"> to </w:t>
      </w:r>
      <w:r w:rsidRPr="00252E90">
        <w:rPr>
          <w:rFonts w:ascii="Times New Roman" w:hAnsi="Times New Roman"/>
          <w:sz w:val="24"/>
          <w:szCs w:val="24"/>
        </w:rPr>
        <w:t xml:space="preserve">improve its solubility. </w:t>
      </w:r>
      <w:r>
        <w:rPr>
          <w:rFonts w:ascii="Times New Roman" w:hAnsi="Times New Roman"/>
          <w:sz w:val="24"/>
          <w:szCs w:val="24"/>
        </w:rPr>
        <w:t xml:space="preserve"> The use of CaCl</w:t>
      </w:r>
      <w:r w:rsidRPr="00252E90">
        <w:rPr>
          <w:rFonts w:ascii="Times New Roman" w:hAnsi="Times New Roman"/>
          <w:sz w:val="24"/>
          <w:szCs w:val="24"/>
          <w:vertAlign w:val="subscript"/>
        </w:rPr>
        <w:t>2</w:t>
      </w:r>
      <w:r>
        <w:rPr>
          <w:rFonts w:ascii="Times New Roman" w:hAnsi="Times New Roman"/>
          <w:sz w:val="24"/>
          <w:szCs w:val="24"/>
        </w:rPr>
        <w:t xml:space="preserve"> and different fruit sources (fresh, individually quick frozen and canned peaches) were also evaluated.  </w:t>
      </w:r>
      <w:r w:rsidRPr="00252E90">
        <w:rPr>
          <w:rFonts w:ascii="Times New Roman" w:hAnsi="Times New Roman"/>
          <w:sz w:val="24"/>
          <w:szCs w:val="24"/>
        </w:rPr>
        <w:t xml:space="preserve">Samples were stored at 51°C and 40°C for 42 and 270 days, respectively. </w:t>
      </w:r>
      <w:r>
        <w:rPr>
          <w:rFonts w:ascii="Times New Roman" w:hAnsi="Times New Roman"/>
          <w:sz w:val="24"/>
          <w:szCs w:val="24"/>
        </w:rPr>
        <w:t xml:space="preserve"> V</w:t>
      </w:r>
      <w:r w:rsidRPr="00252E90">
        <w:rPr>
          <w:rFonts w:ascii="Times New Roman" w:hAnsi="Times New Roman"/>
          <w:sz w:val="24"/>
          <w:szCs w:val="24"/>
        </w:rPr>
        <w:t>itamin C concentrations, color (CIE</w:t>
      </w:r>
      <w:r>
        <w:rPr>
          <w:rFonts w:ascii="Times New Roman" w:hAnsi="Times New Roman"/>
          <w:sz w:val="24"/>
          <w:szCs w:val="24"/>
        </w:rPr>
        <w:t xml:space="preserve">LAB), </w:t>
      </w:r>
      <w:r w:rsidRPr="00252E90">
        <w:rPr>
          <w:rFonts w:ascii="Times New Roman" w:hAnsi="Times New Roman"/>
          <w:sz w:val="24"/>
          <w:szCs w:val="24"/>
        </w:rPr>
        <w:t>pH and °Brix were m</w:t>
      </w:r>
      <w:r>
        <w:rPr>
          <w:rFonts w:ascii="Times New Roman" w:hAnsi="Times New Roman"/>
          <w:sz w:val="24"/>
          <w:szCs w:val="24"/>
        </w:rPr>
        <w:t>easured during storage</w:t>
      </w:r>
      <w:r w:rsidRPr="00252E90">
        <w:rPr>
          <w:rFonts w:ascii="Times New Roman" w:hAnsi="Times New Roman"/>
          <w:sz w:val="24"/>
          <w:szCs w:val="24"/>
        </w:rPr>
        <w:t xml:space="preserve">. </w:t>
      </w:r>
      <w:r>
        <w:rPr>
          <w:rFonts w:ascii="Times New Roman" w:hAnsi="Times New Roman"/>
          <w:sz w:val="24"/>
          <w:szCs w:val="24"/>
        </w:rPr>
        <w:t xml:space="preserve"> </w:t>
      </w:r>
      <w:r w:rsidRPr="00252E90">
        <w:rPr>
          <w:rFonts w:ascii="Times New Roman" w:hAnsi="Times New Roman"/>
          <w:sz w:val="24"/>
          <w:szCs w:val="24"/>
        </w:rPr>
        <w:t>Rate con</w:t>
      </w:r>
      <w:r>
        <w:rPr>
          <w:rFonts w:ascii="Times New Roman" w:hAnsi="Times New Roman"/>
          <w:sz w:val="24"/>
          <w:szCs w:val="24"/>
        </w:rPr>
        <w:t xml:space="preserve">stants were calculated </w:t>
      </w:r>
      <w:r w:rsidRPr="00252E90">
        <w:rPr>
          <w:rFonts w:ascii="Times New Roman" w:hAnsi="Times New Roman"/>
          <w:sz w:val="24"/>
          <w:szCs w:val="24"/>
        </w:rPr>
        <w:t xml:space="preserve">to compare the different treatments. </w:t>
      </w:r>
      <w:r>
        <w:rPr>
          <w:rFonts w:ascii="Times New Roman" w:hAnsi="Times New Roman"/>
          <w:sz w:val="24"/>
          <w:szCs w:val="24"/>
        </w:rPr>
        <w:t xml:space="preserve"> A complete factorial design was used to determine </w:t>
      </w:r>
      <w:r w:rsidRPr="00252E90">
        <w:rPr>
          <w:rFonts w:ascii="Times New Roman" w:hAnsi="Times New Roman"/>
          <w:sz w:val="24"/>
          <w:szCs w:val="24"/>
        </w:rPr>
        <w:t>effect</w:t>
      </w:r>
      <w:r>
        <w:rPr>
          <w:rFonts w:ascii="Times New Roman" w:hAnsi="Times New Roman"/>
          <w:sz w:val="24"/>
          <w:szCs w:val="24"/>
        </w:rPr>
        <w:t>s</w:t>
      </w:r>
      <w:r w:rsidRPr="00252E90">
        <w:rPr>
          <w:rFonts w:ascii="Times New Roman" w:hAnsi="Times New Roman"/>
          <w:sz w:val="24"/>
          <w:szCs w:val="24"/>
        </w:rPr>
        <w:t xml:space="preserve"> due to the </w:t>
      </w:r>
      <w:r>
        <w:rPr>
          <w:rFonts w:ascii="Times New Roman" w:hAnsi="Times New Roman"/>
          <w:sz w:val="24"/>
          <w:szCs w:val="24"/>
        </w:rPr>
        <w:t>flavonoid or</w:t>
      </w:r>
      <w:r w:rsidRPr="00252E90">
        <w:rPr>
          <w:rFonts w:ascii="Times New Roman" w:hAnsi="Times New Roman"/>
          <w:sz w:val="24"/>
          <w:szCs w:val="24"/>
        </w:rPr>
        <w:t xml:space="preserve"> CaCl</w:t>
      </w:r>
      <w:r w:rsidRPr="00252E90">
        <w:rPr>
          <w:rFonts w:ascii="Times New Roman" w:hAnsi="Times New Roman"/>
          <w:sz w:val="24"/>
          <w:szCs w:val="24"/>
          <w:vertAlign w:val="subscript"/>
        </w:rPr>
        <w:t>2</w:t>
      </w:r>
      <w:r w:rsidRPr="00252E90">
        <w:rPr>
          <w:rFonts w:ascii="Times New Roman" w:hAnsi="Times New Roman"/>
          <w:sz w:val="24"/>
          <w:szCs w:val="24"/>
        </w:rPr>
        <w:t>.</w:t>
      </w:r>
      <w:r>
        <w:rPr>
          <w:rFonts w:ascii="Times New Roman" w:hAnsi="Times New Roman"/>
          <w:sz w:val="24"/>
          <w:szCs w:val="24"/>
        </w:rPr>
        <w:t xml:space="preserve">  At 51°C, the treatments (control, CaCl</w:t>
      </w:r>
      <w:r w:rsidRPr="00252E90">
        <w:rPr>
          <w:rFonts w:ascii="Times New Roman" w:hAnsi="Times New Roman"/>
          <w:sz w:val="24"/>
          <w:szCs w:val="24"/>
          <w:vertAlign w:val="subscript"/>
        </w:rPr>
        <w:t>2</w:t>
      </w:r>
      <w:r>
        <w:rPr>
          <w:rFonts w:ascii="Times New Roman" w:hAnsi="Times New Roman"/>
          <w:sz w:val="24"/>
          <w:szCs w:val="24"/>
        </w:rPr>
        <w:t>, α-GR and CaCl</w:t>
      </w:r>
      <w:r w:rsidRPr="00252E90">
        <w:rPr>
          <w:rFonts w:ascii="Times New Roman" w:hAnsi="Times New Roman"/>
          <w:sz w:val="24"/>
          <w:szCs w:val="24"/>
          <w:vertAlign w:val="subscript"/>
        </w:rPr>
        <w:t>2</w:t>
      </w:r>
      <w:r>
        <w:rPr>
          <w:rFonts w:ascii="Times New Roman" w:hAnsi="Times New Roman"/>
          <w:sz w:val="24"/>
          <w:szCs w:val="24"/>
        </w:rPr>
        <w:t xml:space="preserve">-α-GR) did not slow the rate of AA or color deterioration.  At 40°C, the treatments that had α-GR and </w:t>
      </w:r>
      <w:r w:rsidR="00F85309">
        <w:rPr>
          <w:rFonts w:ascii="Times New Roman" w:hAnsi="Times New Roman"/>
          <w:sz w:val="24"/>
          <w:szCs w:val="24"/>
        </w:rPr>
        <w:t>were</w:t>
      </w:r>
      <w:r>
        <w:rPr>
          <w:rFonts w:ascii="Times New Roman" w:hAnsi="Times New Roman"/>
          <w:sz w:val="24"/>
          <w:szCs w:val="24"/>
        </w:rPr>
        <w:t xml:space="preserve"> made using individually quick frozen or canned peaches had a lower rate of browning and loss of ascorbic acid than the rest of treatments. </w:t>
      </w:r>
    </w:p>
    <w:p w:rsidR="00F14CA8" w:rsidRPr="00252E90" w:rsidRDefault="00F14CA8" w:rsidP="00F14CA8">
      <w:pPr>
        <w:pStyle w:val="ListParagraph"/>
        <w:spacing w:line="360" w:lineRule="auto"/>
        <w:ind w:left="0"/>
        <w:jc w:val="both"/>
        <w:rPr>
          <w:rFonts w:ascii="Times New Roman" w:hAnsi="Times New Roman"/>
          <w:sz w:val="24"/>
          <w:szCs w:val="24"/>
        </w:rPr>
      </w:pPr>
    </w:p>
    <w:p w:rsidR="00F14CA8" w:rsidRPr="00252E90" w:rsidRDefault="00F14CA8" w:rsidP="00FB5E34">
      <w:pPr>
        <w:pStyle w:val="ListParagraph"/>
        <w:spacing w:line="360" w:lineRule="auto"/>
        <w:ind w:left="0"/>
        <w:jc w:val="both"/>
        <w:outlineLvl w:val="0"/>
        <w:rPr>
          <w:rFonts w:ascii="Times New Roman" w:hAnsi="Times New Roman"/>
          <w:b/>
          <w:sz w:val="24"/>
          <w:szCs w:val="24"/>
        </w:rPr>
      </w:pPr>
      <w:r w:rsidRPr="00252E90">
        <w:rPr>
          <w:rFonts w:ascii="Times New Roman" w:hAnsi="Times New Roman"/>
          <w:b/>
          <w:sz w:val="24"/>
          <w:szCs w:val="24"/>
        </w:rPr>
        <w:t>KEYWORDS</w:t>
      </w:r>
      <w:r w:rsidR="00FB5E34">
        <w:rPr>
          <w:rFonts w:ascii="Times New Roman" w:hAnsi="Times New Roman"/>
          <w:b/>
          <w:sz w:val="24"/>
          <w:szCs w:val="24"/>
        </w:rPr>
        <w:t xml:space="preserve">: </w:t>
      </w:r>
      <w:r w:rsidRPr="00252E90">
        <w:rPr>
          <w:rFonts w:ascii="Times New Roman" w:hAnsi="Times New Roman"/>
          <w:sz w:val="24"/>
          <w:szCs w:val="24"/>
        </w:rPr>
        <w:t xml:space="preserve">Ascorbic acid; </w:t>
      </w:r>
      <w:r>
        <w:rPr>
          <w:rFonts w:ascii="Times New Roman" w:hAnsi="Times New Roman"/>
          <w:sz w:val="24"/>
          <w:szCs w:val="24"/>
        </w:rPr>
        <w:t>α-glucosyl</w:t>
      </w:r>
      <w:r w:rsidRPr="00252E90">
        <w:rPr>
          <w:rFonts w:ascii="Times New Roman" w:hAnsi="Times New Roman"/>
          <w:sz w:val="24"/>
          <w:szCs w:val="24"/>
        </w:rPr>
        <w:t>rutin</w:t>
      </w:r>
      <w:r>
        <w:rPr>
          <w:rFonts w:ascii="Times New Roman" w:hAnsi="Times New Roman"/>
          <w:sz w:val="24"/>
          <w:szCs w:val="24"/>
        </w:rPr>
        <w:t>; non-enzymatic browning; retortable pouches; p</w:t>
      </w:r>
      <w:r w:rsidRPr="00252E90">
        <w:rPr>
          <w:rFonts w:ascii="Times New Roman" w:hAnsi="Times New Roman"/>
          <w:sz w:val="24"/>
          <w:szCs w:val="24"/>
        </w:rPr>
        <w:t>eaches.</w:t>
      </w:r>
    </w:p>
    <w:p w:rsidR="00F14CA8" w:rsidRPr="00252E90" w:rsidRDefault="00F14CA8" w:rsidP="00F14CA8">
      <w:pPr>
        <w:rPr>
          <w:rFonts w:ascii="Times New Roman" w:hAnsi="Times New Roman" w:cs="Times New Roman"/>
          <w:b/>
          <w:sz w:val="24"/>
          <w:szCs w:val="24"/>
        </w:rPr>
      </w:pPr>
    </w:p>
    <w:p w:rsidR="00F14CA8" w:rsidRPr="006671ED" w:rsidRDefault="00F14CA8" w:rsidP="00F14CA8">
      <w:pPr>
        <w:rPr>
          <w:rFonts w:ascii="Times New Roman" w:hAnsi="Times New Roman" w:cs="Times New Roman"/>
          <w:b/>
          <w:sz w:val="24"/>
          <w:szCs w:val="24"/>
        </w:rPr>
      </w:pPr>
    </w:p>
    <w:p w:rsidR="00F14CA8" w:rsidRDefault="00F14CA8" w:rsidP="00F14CA8">
      <w:pPr>
        <w:rPr>
          <w:rFonts w:ascii="Times New Roman" w:hAnsi="Times New Roman" w:cs="Times New Roman"/>
          <w:b/>
          <w:sz w:val="24"/>
          <w:szCs w:val="24"/>
        </w:rPr>
      </w:pPr>
    </w:p>
    <w:p w:rsidR="00F14CA8" w:rsidRDefault="00F14CA8" w:rsidP="00F14CA8">
      <w:pPr>
        <w:rPr>
          <w:rFonts w:ascii="Times New Roman" w:hAnsi="Times New Roman" w:cs="Times New Roman"/>
          <w:b/>
          <w:sz w:val="24"/>
          <w:szCs w:val="24"/>
        </w:rPr>
      </w:pPr>
    </w:p>
    <w:p w:rsidR="00F14CA8" w:rsidRDefault="00F14CA8" w:rsidP="00F14CA8">
      <w:pPr>
        <w:rPr>
          <w:rFonts w:ascii="Times New Roman" w:hAnsi="Times New Roman" w:cs="Times New Roman"/>
          <w:b/>
          <w:sz w:val="24"/>
          <w:szCs w:val="24"/>
        </w:rPr>
      </w:pPr>
    </w:p>
    <w:p w:rsidR="00F14CA8" w:rsidRDefault="00F14CA8" w:rsidP="00F14CA8">
      <w:pPr>
        <w:spacing w:after="0" w:line="360" w:lineRule="auto"/>
        <w:jc w:val="both"/>
        <w:rPr>
          <w:rFonts w:ascii="Times New Roman" w:hAnsi="Times New Roman" w:cs="Times New Roman"/>
          <w:b/>
          <w:sz w:val="24"/>
          <w:szCs w:val="24"/>
        </w:rPr>
      </w:pPr>
    </w:p>
    <w:p w:rsidR="00F14CA8" w:rsidRDefault="00F14CA8" w:rsidP="00F14CA8">
      <w:pPr>
        <w:spacing w:after="0" w:line="360" w:lineRule="auto"/>
        <w:jc w:val="both"/>
        <w:rPr>
          <w:rFonts w:ascii="Times New Roman" w:hAnsi="Times New Roman" w:cs="Times New Roman"/>
          <w:b/>
          <w:sz w:val="24"/>
          <w:szCs w:val="24"/>
        </w:rPr>
      </w:pPr>
    </w:p>
    <w:p w:rsidR="00FB5E34" w:rsidRDefault="00FB5E34" w:rsidP="00F14CA8">
      <w:pPr>
        <w:spacing w:after="0" w:line="360" w:lineRule="auto"/>
        <w:jc w:val="both"/>
        <w:rPr>
          <w:rFonts w:ascii="Times New Roman" w:hAnsi="Times New Roman" w:cs="Times New Roman"/>
          <w:b/>
          <w:sz w:val="24"/>
          <w:szCs w:val="24"/>
        </w:rPr>
      </w:pPr>
    </w:p>
    <w:p w:rsidR="00F14CA8" w:rsidRPr="006671ED" w:rsidRDefault="00F14CA8" w:rsidP="00F14CA8">
      <w:pPr>
        <w:spacing w:after="0" w:line="360" w:lineRule="auto"/>
        <w:jc w:val="both"/>
        <w:rPr>
          <w:rFonts w:ascii="Times New Roman" w:hAnsi="Times New Roman" w:cs="Times New Roman"/>
          <w:b/>
          <w:sz w:val="24"/>
          <w:szCs w:val="24"/>
        </w:rPr>
      </w:pPr>
      <w:r w:rsidRPr="006671ED">
        <w:rPr>
          <w:rFonts w:ascii="Times New Roman" w:hAnsi="Times New Roman" w:cs="Times New Roman"/>
          <w:b/>
          <w:sz w:val="24"/>
          <w:szCs w:val="24"/>
        </w:rPr>
        <w:lastRenderedPageBreak/>
        <w:t>INTRODUCTION</w:t>
      </w:r>
    </w:p>
    <w:p w:rsidR="00F14CA8" w:rsidRPr="006671ED" w:rsidRDefault="00F14CA8" w:rsidP="00F14CA8">
      <w:pPr>
        <w:pStyle w:val="ListParagraph"/>
        <w:spacing w:after="0" w:line="360" w:lineRule="auto"/>
        <w:ind w:left="0" w:firstLine="720"/>
        <w:jc w:val="both"/>
        <w:rPr>
          <w:rFonts w:ascii="Times New Roman" w:hAnsi="Times New Roman"/>
          <w:sz w:val="24"/>
          <w:szCs w:val="24"/>
        </w:rPr>
      </w:pPr>
      <w:r w:rsidRPr="006671ED">
        <w:rPr>
          <w:rFonts w:ascii="Times New Roman" w:hAnsi="Times New Roman"/>
          <w:sz w:val="24"/>
          <w:szCs w:val="24"/>
        </w:rPr>
        <w:t xml:space="preserve">Shelf stable fruits have been </w:t>
      </w:r>
      <w:r>
        <w:rPr>
          <w:rFonts w:ascii="Times New Roman" w:hAnsi="Times New Roman"/>
          <w:sz w:val="24"/>
          <w:szCs w:val="24"/>
        </w:rPr>
        <w:t>identified as a problem</w:t>
      </w:r>
      <w:r w:rsidRPr="006671ED">
        <w:rPr>
          <w:rFonts w:ascii="Times New Roman" w:hAnsi="Times New Roman"/>
          <w:sz w:val="24"/>
          <w:szCs w:val="24"/>
        </w:rPr>
        <w:t xml:space="preserve"> due to the appearance of brown pigments</w:t>
      </w:r>
      <w:r>
        <w:rPr>
          <w:rFonts w:ascii="Times New Roman" w:hAnsi="Times New Roman"/>
          <w:sz w:val="24"/>
          <w:szCs w:val="24"/>
        </w:rPr>
        <w:t xml:space="preserve"> resulting from</w:t>
      </w:r>
      <w:r w:rsidRPr="006671ED">
        <w:rPr>
          <w:rFonts w:ascii="Times New Roman" w:hAnsi="Times New Roman"/>
          <w:sz w:val="24"/>
          <w:szCs w:val="24"/>
        </w:rPr>
        <w:t xml:space="preserve"> non-enzymatic reactions. </w:t>
      </w:r>
      <w:r>
        <w:rPr>
          <w:rFonts w:ascii="Times New Roman" w:hAnsi="Times New Roman"/>
          <w:sz w:val="24"/>
          <w:szCs w:val="24"/>
        </w:rPr>
        <w:t xml:space="preserve"> </w:t>
      </w:r>
      <w:r w:rsidRPr="006671ED">
        <w:rPr>
          <w:rFonts w:ascii="Times New Roman" w:hAnsi="Times New Roman"/>
          <w:sz w:val="24"/>
          <w:szCs w:val="24"/>
        </w:rPr>
        <w:t xml:space="preserve">In fact, in acid food products, non-enzymatic browning due to degradation of ascorbic acid (AA) is </w:t>
      </w:r>
      <w:r>
        <w:rPr>
          <w:rFonts w:ascii="Times New Roman" w:hAnsi="Times New Roman"/>
          <w:sz w:val="24"/>
          <w:szCs w:val="24"/>
        </w:rPr>
        <w:t>a</w:t>
      </w:r>
      <w:r w:rsidRPr="006671ED">
        <w:rPr>
          <w:rFonts w:ascii="Times New Roman" w:hAnsi="Times New Roman"/>
          <w:sz w:val="24"/>
          <w:szCs w:val="24"/>
        </w:rPr>
        <w:t xml:space="preserve"> major pathway</w:t>
      </w:r>
      <w:r>
        <w:rPr>
          <w:rFonts w:ascii="Times New Roman" w:hAnsi="Times New Roman"/>
          <w:sz w:val="24"/>
          <w:szCs w:val="24"/>
        </w:rPr>
        <w:t xml:space="preserve"> leading to browning</w:t>
      </w:r>
      <w:r w:rsidRPr="006671ED">
        <w:rPr>
          <w:rFonts w:ascii="Times New Roman" w:hAnsi="Times New Roman"/>
          <w:sz w:val="24"/>
          <w:szCs w:val="24"/>
        </w:rPr>
        <w:t xml:space="preserve"> </w:t>
      </w:r>
      <w:r>
        <w:rPr>
          <w:rFonts w:ascii="Times New Roman" w:hAnsi="Times New Roman"/>
          <w:noProof/>
          <w:sz w:val="24"/>
          <w:szCs w:val="24"/>
        </w:rPr>
        <w:t>(Fennema 1996)</w:t>
      </w:r>
      <w:r w:rsidRPr="006671ED">
        <w:rPr>
          <w:rFonts w:ascii="Times New Roman" w:hAnsi="Times New Roman"/>
          <w:sz w:val="24"/>
          <w:szCs w:val="24"/>
        </w:rPr>
        <w:t xml:space="preserve">. </w:t>
      </w:r>
      <w:r>
        <w:rPr>
          <w:rFonts w:ascii="Times New Roman" w:hAnsi="Times New Roman"/>
          <w:sz w:val="24"/>
          <w:szCs w:val="24"/>
        </w:rPr>
        <w:t xml:space="preserve"> </w:t>
      </w:r>
      <w:r w:rsidRPr="006671ED">
        <w:rPr>
          <w:rFonts w:ascii="Times New Roman" w:hAnsi="Times New Roman"/>
          <w:sz w:val="24"/>
          <w:szCs w:val="24"/>
        </w:rPr>
        <w:t xml:space="preserve">This type of browning </w:t>
      </w:r>
      <w:r>
        <w:rPr>
          <w:rFonts w:ascii="Times New Roman" w:hAnsi="Times New Roman"/>
          <w:sz w:val="24"/>
          <w:szCs w:val="24"/>
        </w:rPr>
        <w:t xml:space="preserve">as well as methods of </w:t>
      </w:r>
      <w:r w:rsidRPr="006671ED">
        <w:rPr>
          <w:rFonts w:ascii="Times New Roman" w:hAnsi="Times New Roman"/>
          <w:sz w:val="24"/>
          <w:szCs w:val="24"/>
        </w:rPr>
        <w:t>delay</w:t>
      </w:r>
      <w:r>
        <w:rPr>
          <w:rFonts w:ascii="Times New Roman" w:hAnsi="Times New Roman"/>
          <w:sz w:val="24"/>
          <w:szCs w:val="24"/>
        </w:rPr>
        <w:t>ing its</w:t>
      </w:r>
      <w:r w:rsidRPr="006671ED">
        <w:rPr>
          <w:rFonts w:ascii="Times New Roman" w:hAnsi="Times New Roman"/>
          <w:sz w:val="24"/>
          <w:szCs w:val="24"/>
        </w:rPr>
        <w:t xml:space="preserve"> appearance</w:t>
      </w:r>
      <w:r>
        <w:rPr>
          <w:rFonts w:ascii="Times New Roman" w:hAnsi="Times New Roman"/>
          <w:sz w:val="24"/>
          <w:szCs w:val="24"/>
        </w:rPr>
        <w:t xml:space="preserve"> </w:t>
      </w:r>
      <w:r w:rsidRPr="006671ED">
        <w:rPr>
          <w:rFonts w:ascii="Times New Roman" w:hAnsi="Times New Roman"/>
          <w:sz w:val="24"/>
          <w:szCs w:val="24"/>
        </w:rPr>
        <w:t xml:space="preserve">have been studied in many food systems such as citrus juices, pears, fruit puree, fruit pulps, among others </w:t>
      </w:r>
      <w:r>
        <w:rPr>
          <w:rFonts w:ascii="Times New Roman" w:hAnsi="Times New Roman"/>
          <w:noProof/>
          <w:sz w:val="24"/>
          <w:szCs w:val="24"/>
        </w:rPr>
        <w:t>(Roig and others 2000; Chutintrasri and Noomhorm 200</w:t>
      </w:r>
      <w:r w:rsidR="00CC7D02">
        <w:rPr>
          <w:rFonts w:ascii="Times New Roman" w:hAnsi="Times New Roman"/>
          <w:noProof/>
          <w:sz w:val="24"/>
          <w:szCs w:val="24"/>
        </w:rPr>
        <w:t>7</w:t>
      </w:r>
      <w:r>
        <w:rPr>
          <w:rFonts w:ascii="Times New Roman" w:hAnsi="Times New Roman"/>
          <w:noProof/>
          <w:sz w:val="24"/>
          <w:szCs w:val="24"/>
        </w:rPr>
        <w:t>; Ibarz and others 1999; Garza and others 1999; Lozano and Ibarz 1996; Buglione and Lozano 2002; Kacem and others 1987)</w:t>
      </w:r>
      <w:r w:rsidRPr="006671ED">
        <w:rPr>
          <w:rFonts w:ascii="Times New Roman" w:hAnsi="Times New Roman"/>
          <w:sz w:val="24"/>
          <w:szCs w:val="24"/>
        </w:rPr>
        <w:t xml:space="preserve">.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ind w:firstLine="720"/>
        <w:jc w:val="both"/>
        <w:rPr>
          <w:rFonts w:ascii="Times New Roman" w:hAnsi="Times New Roman"/>
          <w:sz w:val="24"/>
          <w:szCs w:val="24"/>
        </w:rPr>
      </w:pPr>
      <w:r w:rsidRPr="006671ED">
        <w:rPr>
          <w:rFonts w:ascii="Times New Roman" w:hAnsi="Times New Roman"/>
          <w:sz w:val="24"/>
          <w:szCs w:val="24"/>
        </w:rPr>
        <w:t xml:space="preserve">Non-enzymatic browning due to </w:t>
      </w:r>
      <w:r>
        <w:rPr>
          <w:rFonts w:ascii="Times New Roman" w:hAnsi="Times New Roman"/>
          <w:sz w:val="24"/>
          <w:szCs w:val="24"/>
        </w:rPr>
        <w:t xml:space="preserve">AA degradation </w:t>
      </w:r>
      <w:r w:rsidRPr="006671ED">
        <w:rPr>
          <w:rFonts w:ascii="Times New Roman" w:hAnsi="Times New Roman"/>
          <w:sz w:val="24"/>
          <w:szCs w:val="24"/>
        </w:rPr>
        <w:t xml:space="preserve">has been identified as the principal reason of the short shelf life of diced peaches packaged in retortable pouches. </w:t>
      </w:r>
      <w:r>
        <w:rPr>
          <w:rFonts w:ascii="Times New Roman" w:hAnsi="Times New Roman"/>
          <w:sz w:val="24"/>
          <w:szCs w:val="24"/>
        </w:rPr>
        <w:t xml:space="preserve"> </w:t>
      </w:r>
      <w:r w:rsidRPr="006671ED">
        <w:rPr>
          <w:rFonts w:ascii="Times New Roman" w:hAnsi="Times New Roman"/>
          <w:sz w:val="24"/>
          <w:szCs w:val="24"/>
        </w:rPr>
        <w:t>In fact, this product used to be included by the US army in the Individual Meals Read</w:t>
      </w:r>
      <w:r>
        <w:rPr>
          <w:rFonts w:ascii="Times New Roman" w:hAnsi="Times New Roman"/>
          <w:sz w:val="24"/>
          <w:szCs w:val="24"/>
        </w:rPr>
        <w:t>y-to-Eat (MRE) military rations; however, due to the browning</w:t>
      </w:r>
      <w:r w:rsidRPr="006671ED">
        <w:rPr>
          <w:rFonts w:ascii="Times New Roman" w:hAnsi="Times New Roman"/>
          <w:sz w:val="24"/>
          <w:szCs w:val="24"/>
        </w:rPr>
        <w:t xml:space="preserve"> </w:t>
      </w:r>
      <w:r>
        <w:rPr>
          <w:rFonts w:ascii="Times New Roman" w:hAnsi="Times New Roman"/>
          <w:sz w:val="24"/>
          <w:szCs w:val="24"/>
        </w:rPr>
        <w:t xml:space="preserve">that </w:t>
      </w:r>
      <w:r w:rsidRPr="006671ED">
        <w:rPr>
          <w:rFonts w:ascii="Times New Roman" w:hAnsi="Times New Roman"/>
          <w:sz w:val="24"/>
          <w:szCs w:val="24"/>
        </w:rPr>
        <w:t xml:space="preserve">developed during storage, this item </w:t>
      </w:r>
      <w:r>
        <w:rPr>
          <w:rFonts w:ascii="Times New Roman" w:hAnsi="Times New Roman"/>
          <w:sz w:val="24"/>
          <w:szCs w:val="24"/>
        </w:rPr>
        <w:t xml:space="preserve">was </w:t>
      </w:r>
      <w:r w:rsidRPr="006671ED">
        <w:rPr>
          <w:rFonts w:ascii="Times New Roman" w:hAnsi="Times New Roman"/>
          <w:sz w:val="24"/>
          <w:szCs w:val="24"/>
        </w:rPr>
        <w:t xml:space="preserve">removed. </w:t>
      </w:r>
      <w:r>
        <w:rPr>
          <w:rFonts w:ascii="Times New Roman" w:hAnsi="Times New Roman"/>
          <w:sz w:val="24"/>
          <w:szCs w:val="24"/>
        </w:rPr>
        <w:t xml:space="preserve"> I</w:t>
      </w:r>
      <w:r w:rsidRPr="006671ED">
        <w:rPr>
          <w:rFonts w:ascii="Times New Roman" w:hAnsi="Times New Roman"/>
          <w:sz w:val="24"/>
          <w:szCs w:val="24"/>
        </w:rPr>
        <w:t>mprovement of the shelf life of this product has become a c</w:t>
      </w:r>
      <w:r>
        <w:rPr>
          <w:rFonts w:ascii="Times New Roman" w:hAnsi="Times New Roman"/>
          <w:sz w:val="24"/>
          <w:szCs w:val="24"/>
        </w:rPr>
        <w:t>hallenge, especially because</w:t>
      </w:r>
      <w:r w:rsidRPr="006671ED">
        <w:rPr>
          <w:rFonts w:ascii="Times New Roman" w:hAnsi="Times New Roman"/>
          <w:sz w:val="24"/>
          <w:szCs w:val="24"/>
        </w:rPr>
        <w:t xml:space="preserve"> this item is delivered to areas where refrigeration is not availa</w:t>
      </w:r>
      <w:r>
        <w:rPr>
          <w:rFonts w:ascii="Times New Roman" w:hAnsi="Times New Roman"/>
          <w:sz w:val="24"/>
          <w:szCs w:val="24"/>
        </w:rPr>
        <w:t>ble and ambient</w:t>
      </w:r>
      <w:r w:rsidRPr="006671ED">
        <w:rPr>
          <w:rFonts w:ascii="Times New Roman" w:hAnsi="Times New Roman"/>
          <w:sz w:val="24"/>
          <w:szCs w:val="24"/>
        </w:rPr>
        <w:t xml:space="preserve"> temperatures are high.</w:t>
      </w:r>
      <w:r>
        <w:rPr>
          <w:rFonts w:ascii="Times New Roman" w:hAnsi="Times New Roman"/>
          <w:sz w:val="24"/>
          <w:szCs w:val="24"/>
        </w:rPr>
        <w:t xml:space="preserve"> </w:t>
      </w:r>
      <w:r w:rsidRPr="006671ED">
        <w:rPr>
          <w:rFonts w:ascii="Times New Roman" w:hAnsi="Times New Roman"/>
          <w:sz w:val="24"/>
          <w:szCs w:val="24"/>
        </w:rPr>
        <w:t xml:space="preserve"> Currently, there are just a few studies </w:t>
      </w:r>
      <w:r>
        <w:rPr>
          <w:rFonts w:ascii="Times New Roman" w:hAnsi="Times New Roman"/>
          <w:sz w:val="24"/>
          <w:szCs w:val="24"/>
        </w:rPr>
        <w:t>that have</w:t>
      </w:r>
      <w:r w:rsidRPr="006671ED">
        <w:rPr>
          <w:rFonts w:ascii="Times New Roman" w:hAnsi="Times New Roman"/>
          <w:sz w:val="24"/>
          <w:szCs w:val="24"/>
        </w:rPr>
        <w:t xml:space="preserve"> focused on non-enzymatic browning of food products packaged in retortable pouches </w:t>
      </w:r>
      <w:r>
        <w:rPr>
          <w:rFonts w:ascii="Times New Roman" w:hAnsi="Times New Roman"/>
          <w:noProof/>
          <w:sz w:val="24"/>
          <w:szCs w:val="24"/>
        </w:rPr>
        <w:t>(Clark and others 2002; Kluter and others 1996; Kluter and others 1994; Olivas and others 2002; Rodriguez and others 2003)</w:t>
      </w:r>
      <w:r w:rsidRPr="006671ED">
        <w:rPr>
          <w:rFonts w:ascii="Times New Roman" w:hAnsi="Times New Roman"/>
          <w:sz w:val="24"/>
          <w:szCs w:val="24"/>
        </w:rPr>
        <w:t xml:space="preserve">. </w:t>
      </w:r>
    </w:p>
    <w:p w:rsidR="00F14CA8" w:rsidRPr="006671ED" w:rsidRDefault="00F14CA8" w:rsidP="00F14CA8">
      <w:pPr>
        <w:spacing w:after="0" w:line="360" w:lineRule="auto"/>
        <w:ind w:firstLine="720"/>
        <w:jc w:val="both"/>
        <w:rPr>
          <w:rFonts w:ascii="Times New Roman" w:hAnsi="Times New Roman"/>
          <w:sz w:val="24"/>
          <w:szCs w:val="24"/>
        </w:rPr>
      </w:pPr>
    </w:p>
    <w:p w:rsidR="00F14CA8" w:rsidRPr="006671ED"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sz w:val="24"/>
          <w:szCs w:val="24"/>
        </w:rPr>
        <w:t xml:space="preserve">The use of flavonoids in food systems </w:t>
      </w:r>
      <w:r>
        <w:rPr>
          <w:rFonts w:ascii="Times New Roman" w:hAnsi="Times New Roman"/>
          <w:sz w:val="24"/>
          <w:szCs w:val="24"/>
        </w:rPr>
        <w:t xml:space="preserve">to delay </w:t>
      </w:r>
      <w:r w:rsidRPr="006671ED">
        <w:rPr>
          <w:rFonts w:ascii="Times New Roman" w:hAnsi="Times New Roman"/>
          <w:sz w:val="24"/>
          <w:szCs w:val="24"/>
        </w:rPr>
        <w:t>AA b</w:t>
      </w:r>
      <w:r>
        <w:rPr>
          <w:rFonts w:ascii="Times New Roman" w:hAnsi="Times New Roman"/>
          <w:sz w:val="24"/>
          <w:szCs w:val="24"/>
        </w:rPr>
        <w:t>rowning has not been studied</w:t>
      </w:r>
      <w:r w:rsidRPr="006671ED">
        <w:rPr>
          <w:rFonts w:ascii="Times New Roman" w:hAnsi="Times New Roman"/>
          <w:sz w:val="24"/>
          <w:szCs w:val="24"/>
        </w:rPr>
        <w:t xml:space="preserve">. </w:t>
      </w:r>
      <w:r>
        <w:rPr>
          <w:rFonts w:ascii="Times New Roman" w:hAnsi="Times New Roman"/>
          <w:sz w:val="24"/>
          <w:szCs w:val="24"/>
        </w:rPr>
        <w:t xml:space="preserve"> Flavonoids</w:t>
      </w:r>
      <w:r w:rsidRPr="006671ED">
        <w:rPr>
          <w:rFonts w:ascii="Times New Roman" w:hAnsi="Times New Roman"/>
          <w:sz w:val="24"/>
          <w:szCs w:val="24"/>
        </w:rPr>
        <w:t xml:space="preserve"> are s</w:t>
      </w:r>
      <w:r>
        <w:rPr>
          <w:rFonts w:ascii="Times New Roman" w:hAnsi="Times New Roman"/>
          <w:sz w:val="24"/>
          <w:szCs w:val="24"/>
        </w:rPr>
        <w:t>econdary plant metabolites that</w:t>
      </w:r>
      <w:r w:rsidRPr="006671ED">
        <w:rPr>
          <w:rFonts w:ascii="Times New Roman" w:hAnsi="Times New Roman"/>
          <w:sz w:val="24"/>
          <w:szCs w:val="24"/>
        </w:rPr>
        <w:t xml:space="preserve"> have been shown to have good antioxidant properties, due to their free radical scavenging and metal c</w:t>
      </w:r>
      <w:r>
        <w:rPr>
          <w:rFonts w:ascii="Times New Roman" w:hAnsi="Times New Roman"/>
          <w:sz w:val="24"/>
          <w:szCs w:val="24"/>
        </w:rPr>
        <w:t>helation activities.  T</w:t>
      </w:r>
      <w:r w:rsidRPr="006671ED">
        <w:rPr>
          <w:rFonts w:ascii="Times New Roman" w:hAnsi="Times New Roman"/>
          <w:sz w:val="24"/>
          <w:szCs w:val="24"/>
        </w:rPr>
        <w:t xml:space="preserve">heir protective role against ascorbic acid degradation has been </w:t>
      </w:r>
      <w:r>
        <w:rPr>
          <w:rFonts w:ascii="Times New Roman" w:hAnsi="Times New Roman"/>
          <w:sz w:val="24"/>
          <w:szCs w:val="24"/>
        </w:rPr>
        <w:t>known since 1936, when Szent-Gy</w:t>
      </w:r>
      <w:r w:rsidRPr="00523B68">
        <w:rPr>
          <w:rFonts w:ascii="Times New Roman" w:hAnsi="Times New Roman" w:cs="Times New Roman"/>
          <w:color w:val="000000"/>
          <w:sz w:val="24"/>
          <w:szCs w:val="24"/>
        </w:rPr>
        <w:t>ö</w:t>
      </w:r>
      <w:r w:rsidRPr="006671ED">
        <w:rPr>
          <w:rFonts w:ascii="Times New Roman" w:hAnsi="Times New Roman"/>
          <w:sz w:val="24"/>
          <w:szCs w:val="24"/>
        </w:rPr>
        <w:t xml:space="preserve">rgyi and coworkers found that flavonoids, at that time called Vitamin P, </w:t>
      </w:r>
      <w:r>
        <w:rPr>
          <w:rFonts w:ascii="Times New Roman" w:hAnsi="Times New Roman"/>
          <w:sz w:val="24"/>
          <w:szCs w:val="24"/>
        </w:rPr>
        <w:t>had ascorbate protective properties</w:t>
      </w:r>
      <w:r w:rsidRPr="006671ED">
        <w:rPr>
          <w:rFonts w:ascii="Times New Roman" w:hAnsi="Times New Roman"/>
          <w:sz w:val="24"/>
          <w:szCs w:val="24"/>
        </w:rPr>
        <w:t xml:space="preserve"> </w:t>
      </w:r>
      <w:r>
        <w:rPr>
          <w:rFonts w:ascii="Times New Roman" w:hAnsi="Times New Roman"/>
          <w:noProof/>
          <w:sz w:val="24"/>
          <w:szCs w:val="24"/>
        </w:rPr>
        <w:t>(Rice-Evans and Packer 1998)</w:t>
      </w:r>
      <w:r w:rsidRPr="006671ED">
        <w:rPr>
          <w:rFonts w:ascii="Times New Roman" w:hAnsi="Times New Roman"/>
          <w:sz w:val="24"/>
          <w:szCs w:val="24"/>
        </w:rPr>
        <w:t xml:space="preserve">.  Subsequently, research </w:t>
      </w:r>
      <w:r w:rsidRPr="006671ED">
        <w:rPr>
          <w:rFonts w:ascii="Times New Roman" w:hAnsi="Times New Roman"/>
          <w:i/>
          <w:sz w:val="24"/>
          <w:szCs w:val="24"/>
        </w:rPr>
        <w:t>in-vitro</w:t>
      </w:r>
      <w:r w:rsidRPr="006671ED">
        <w:rPr>
          <w:rFonts w:ascii="Times New Roman" w:hAnsi="Times New Roman"/>
          <w:sz w:val="24"/>
          <w:szCs w:val="24"/>
        </w:rPr>
        <w:t xml:space="preserve"> has confirmed this protective role </w:t>
      </w:r>
      <w:r>
        <w:rPr>
          <w:rFonts w:ascii="Times New Roman" w:hAnsi="Times New Roman"/>
          <w:noProof/>
          <w:sz w:val="24"/>
          <w:szCs w:val="24"/>
        </w:rPr>
        <w:t>(Bors and others 1995; Rice-Evans and Packer 1998; Sivonova and others 2006; Cossins and others 1998)</w:t>
      </w:r>
      <w:r w:rsidRPr="006671ED">
        <w:rPr>
          <w:rFonts w:ascii="Times New Roman" w:hAnsi="Times New Roman"/>
          <w:sz w:val="24"/>
          <w:szCs w:val="24"/>
        </w:rPr>
        <w:t xml:space="preserve">. </w:t>
      </w:r>
      <w:r>
        <w:rPr>
          <w:rFonts w:ascii="Times New Roman" w:hAnsi="Times New Roman"/>
          <w:sz w:val="24"/>
          <w:szCs w:val="24"/>
        </w:rPr>
        <w:t xml:space="preserve"> </w:t>
      </w:r>
      <w:r w:rsidRPr="006671ED">
        <w:rPr>
          <w:rFonts w:ascii="Times New Roman" w:hAnsi="Times New Roman"/>
          <w:sz w:val="24"/>
          <w:szCs w:val="24"/>
        </w:rPr>
        <w:t xml:space="preserve">Also, there is evidence that shows that juices with high </w:t>
      </w:r>
      <w:r>
        <w:rPr>
          <w:rFonts w:ascii="Times New Roman" w:hAnsi="Times New Roman"/>
          <w:sz w:val="24"/>
          <w:szCs w:val="24"/>
        </w:rPr>
        <w:t>levels</w:t>
      </w:r>
      <w:r w:rsidRPr="006671ED">
        <w:rPr>
          <w:rFonts w:ascii="Times New Roman" w:hAnsi="Times New Roman"/>
          <w:sz w:val="24"/>
          <w:szCs w:val="24"/>
        </w:rPr>
        <w:t xml:space="preserve"> of phen</w:t>
      </w:r>
      <w:r>
        <w:rPr>
          <w:rFonts w:ascii="Times New Roman" w:hAnsi="Times New Roman"/>
          <w:sz w:val="24"/>
          <w:szCs w:val="24"/>
        </w:rPr>
        <w:t>olic compounds have</w:t>
      </w:r>
      <w:r w:rsidRPr="006671ED">
        <w:rPr>
          <w:rFonts w:ascii="Times New Roman" w:hAnsi="Times New Roman"/>
          <w:sz w:val="24"/>
          <w:szCs w:val="24"/>
        </w:rPr>
        <w:t xml:space="preserve"> good AA stability </w:t>
      </w:r>
      <w:r>
        <w:rPr>
          <w:rFonts w:ascii="Times New Roman" w:hAnsi="Times New Roman"/>
          <w:noProof/>
          <w:sz w:val="24"/>
          <w:szCs w:val="24"/>
        </w:rPr>
        <w:t>(Clegg and Morton 1968; Rice-Evans and Packer 1998)</w:t>
      </w:r>
      <w:r w:rsidRPr="006671ED">
        <w:rPr>
          <w:rFonts w:ascii="Times New Roman" w:hAnsi="Times New Roman"/>
          <w:sz w:val="24"/>
          <w:szCs w:val="24"/>
        </w:rPr>
        <w:t xml:space="preserve">. </w:t>
      </w:r>
      <w:r>
        <w:rPr>
          <w:rFonts w:ascii="Times New Roman" w:hAnsi="Times New Roman"/>
          <w:sz w:val="24"/>
          <w:szCs w:val="24"/>
        </w:rPr>
        <w:t xml:space="preserve"> </w:t>
      </w:r>
      <w:r w:rsidRPr="006671ED">
        <w:rPr>
          <w:rFonts w:ascii="Times New Roman" w:hAnsi="Times New Roman"/>
          <w:sz w:val="24"/>
          <w:szCs w:val="24"/>
        </w:rPr>
        <w:t xml:space="preserve">Unfortunately, </w:t>
      </w:r>
      <w:r w:rsidRPr="006671ED">
        <w:rPr>
          <w:rFonts w:ascii="Times New Roman" w:hAnsi="Times New Roman" w:cs="Times New Roman"/>
          <w:sz w:val="24"/>
          <w:szCs w:val="24"/>
          <w:lang w:val="es-ES_tradnl"/>
        </w:rPr>
        <w:t xml:space="preserve">the study of flavonoids in food products is hampered by their low solubility. </w:t>
      </w:r>
      <w:r>
        <w:rPr>
          <w:rFonts w:ascii="Times New Roman" w:hAnsi="Times New Roman" w:cs="Times New Roman"/>
          <w:sz w:val="24"/>
          <w:szCs w:val="24"/>
          <w:lang w:val="es-ES_tradnl"/>
        </w:rPr>
        <w:t xml:space="preserve"> </w:t>
      </w:r>
      <w:r w:rsidRPr="006671ED">
        <w:rPr>
          <w:rFonts w:ascii="Times New Roman" w:hAnsi="Times New Roman"/>
          <w:sz w:val="24"/>
          <w:szCs w:val="24"/>
        </w:rPr>
        <w:t xml:space="preserve">In order to counteract this disadvantage, some flavonoids, such as </w:t>
      </w:r>
      <w:r w:rsidRPr="006671ED">
        <w:rPr>
          <w:rFonts w:ascii="Times New Roman" w:hAnsi="Times New Roman" w:cs="Times New Roman"/>
          <w:sz w:val="24"/>
          <w:szCs w:val="24"/>
        </w:rPr>
        <w:t>rutin (</w:t>
      </w:r>
      <w:r w:rsidRPr="006671ED">
        <w:rPr>
          <w:rFonts w:ascii="Times New Roman" w:hAnsi="Times New Roman" w:cs="Times New Roman"/>
          <w:bCs/>
          <w:sz w:val="24"/>
          <w:szCs w:val="24"/>
        </w:rPr>
        <w:t>quercetin-3-</w:t>
      </w:r>
      <w:r w:rsidRPr="006671ED">
        <w:rPr>
          <w:rFonts w:ascii="Times New Roman" w:hAnsi="Times New Roman" w:cs="Times New Roman"/>
          <w:bCs/>
          <w:sz w:val="24"/>
          <w:szCs w:val="24"/>
        </w:rPr>
        <w:lastRenderedPageBreak/>
        <w:t>rutinoside)</w:t>
      </w:r>
      <w:r w:rsidRPr="006671ED">
        <w:rPr>
          <w:rFonts w:ascii="Times New Roman" w:hAnsi="Times New Roman"/>
          <w:sz w:val="24"/>
          <w:szCs w:val="24"/>
        </w:rPr>
        <w:t xml:space="preserve">, have been modified by the addition of glucose groups </w:t>
      </w:r>
      <w:r>
        <w:rPr>
          <w:rFonts w:ascii="Times New Roman" w:hAnsi="Times New Roman"/>
          <w:noProof/>
          <w:sz w:val="24"/>
          <w:szCs w:val="24"/>
        </w:rPr>
        <w:t>(Schonrock and Kruse 2004; Anonymous 2006)</w:t>
      </w:r>
      <w:r w:rsidRPr="006671ED">
        <w:rPr>
          <w:rFonts w:ascii="Times New Roman" w:hAnsi="Times New Roman" w:cs="Times New Roman"/>
          <w:sz w:val="24"/>
          <w:szCs w:val="24"/>
        </w:rPr>
        <w:t>; however, the antioxidant and anti-browning effects of modified flavon</w:t>
      </w:r>
      <w:r>
        <w:rPr>
          <w:rFonts w:ascii="Times New Roman" w:hAnsi="Times New Roman" w:cs="Times New Roman"/>
          <w:sz w:val="24"/>
          <w:szCs w:val="24"/>
        </w:rPr>
        <w:t>oids in actual food systems have</w:t>
      </w:r>
      <w:r w:rsidRPr="006671ED">
        <w:rPr>
          <w:rFonts w:ascii="Times New Roman" w:hAnsi="Times New Roman" w:cs="Times New Roman"/>
          <w:sz w:val="24"/>
          <w:szCs w:val="24"/>
        </w:rPr>
        <w:t xml:space="preserve"> not </w:t>
      </w:r>
      <w:r>
        <w:rPr>
          <w:rFonts w:ascii="Times New Roman" w:hAnsi="Times New Roman" w:cs="Times New Roman"/>
          <w:sz w:val="24"/>
          <w:szCs w:val="24"/>
        </w:rPr>
        <w:t>yet been studied</w:t>
      </w:r>
      <w:r w:rsidRPr="006671ED">
        <w:rPr>
          <w:rFonts w:ascii="Times New Roman" w:hAnsi="Times New Roman" w:cs="Times New Roman"/>
          <w:sz w:val="24"/>
          <w:szCs w:val="24"/>
        </w:rPr>
        <w:t xml:space="preserve">.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 xml:space="preserve">The objective of this research was to evaluate the effect of a water soluble flavonoid, α-glucosylrutin, as an antibrowning agent in diced peaches packaged in </w:t>
      </w:r>
      <w:r>
        <w:rPr>
          <w:rFonts w:ascii="Times New Roman" w:hAnsi="Times New Roman" w:cs="Times New Roman"/>
          <w:sz w:val="24"/>
          <w:szCs w:val="24"/>
        </w:rPr>
        <w:t>retortable pouches</w:t>
      </w:r>
      <w:r w:rsidRPr="006671ED">
        <w:rPr>
          <w:rFonts w:ascii="Times New Roman" w:hAnsi="Times New Roman" w:cs="Times New Roman"/>
          <w:sz w:val="24"/>
          <w:szCs w:val="24"/>
        </w:rPr>
        <w:t>.</w:t>
      </w:r>
      <w:r>
        <w:rPr>
          <w:rFonts w:ascii="Times New Roman" w:hAnsi="Times New Roman" w:cs="Times New Roman"/>
          <w:sz w:val="24"/>
          <w:szCs w:val="24"/>
        </w:rPr>
        <w:t xml:space="preserve"> </w:t>
      </w:r>
      <w:r w:rsidRPr="006671ED">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In addition, we investigated the </w:t>
      </w:r>
      <w:r w:rsidRPr="006671ED">
        <w:rPr>
          <w:rFonts w:ascii="Times New Roman" w:hAnsi="Times New Roman" w:cs="Times New Roman"/>
          <w:sz w:val="24"/>
          <w:szCs w:val="24"/>
          <w:lang w:val="es-ES"/>
        </w:rPr>
        <w:t>e</w:t>
      </w:r>
      <w:r>
        <w:rPr>
          <w:rFonts w:ascii="Times New Roman" w:hAnsi="Times New Roman" w:cs="Times New Roman"/>
          <w:sz w:val="24"/>
          <w:szCs w:val="24"/>
          <w:lang w:val="es-ES"/>
        </w:rPr>
        <w:t>ffects of calcium c</w:t>
      </w:r>
      <w:r w:rsidRPr="006671ED">
        <w:rPr>
          <w:rFonts w:ascii="Times New Roman" w:hAnsi="Times New Roman" w:cs="Times New Roman"/>
          <w:sz w:val="24"/>
          <w:szCs w:val="24"/>
          <w:lang w:val="es-ES"/>
        </w:rPr>
        <w:t>hloride (CaCl</w:t>
      </w:r>
      <w:r w:rsidRPr="006671ED">
        <w:rPr>
          <w:rFonts w:ascii="Times New Roman" w:hAnsi="Times New Roman" w:cs="Times New Roman"/>
          <w:sz w:val="24"/>
          <w:szCs w:val="24"/>
          <w:vertAlign w:val="subscript"/>
          <w:lang w:val="es-ES"/>
        </w:rPr>
        <w:t>2</w:t>
      </w:r>
      <w:r w:rsidRPr="006671ED">
        <w:rPr>
          <w:rFonts w:ascii="Times New Roman" w:hAnsi="Times New Roman" w:cs="Times New Roman"/>
          <w:sz w:val="24"/>
          <w:szCs w:val="24"/>
          <w:lang w:val="es-ES"/>
        </w:rPr>
        <w:t xml:space="preserve">) and fruit source. </w:t>
      </w:r>
      <w:r>
        <w:rPr>
          <w:rFonts w:ascii="Times New Roman" w:hAnsi="Times New Roman" w:cs="Times New Roman"/>
          <w:sz w:val="24"/>
          <w:szCs w:val="24"/>
          <w:lang w:val="es-ES"/>
        </w:rPr>
        <w:t xml:space="preserve"> </w:t>
      </w:r>
      <w:r w:rsidRPr="006671ED">
        <w:rPr>
          <w:rFonts w:ascii="Times New Roman" w:hAnsi="Times New Roman" w:cs="Times New Roman"/>
          <w:sz w:val="24"/>
          <w:szCs w:val="24"/>
          <w:lang w:val="es-ES"/>
        </w:rPr>
        <w:t>CaCl</w:t>
      </w:r>
      <w:r w:rsidRPr="006671ED">
        <w:rPr>
          <w:rFonts w:ascii="Times New Roman" w:hAnsi="Times New Roman" w:cs="Times New Roman"/>
          <w:sz w:val="24"/>
          <w:szCs w:val="24"/>
          <w:vertAlign w:val="subscript"/>
          <w:lang w:val="es-ES"/>
        </w:rPr>
        <w:t>2</w:t>
      </w:r>
      <w:r w:rsidRPr="006671ED">
        <w:rPr>
          <w:rFonts w:ascii="Times New Roman" w:hAnsi="Times New Roman" w:cs="Times New Roman"/>
          <w:sz w:val="24"/>
          <w:szCs w:val="24"/>
          <w:lang w:val="es-ES"/>
        </w:rPr>
        <w:t xml:space="preserve"> is usually a</w:t>
      </w:r>
      <w:r>
        <w:rPr>
          <w:rFonts w:ascii="Times New Roman" w:hAnsi="Times New Roman" w:cs="Times New Roman"/>
          <w:sz w:val="24"/>
          <w:szCs w:val="24"/>
          <w:lang w:val="es-ES"/>
        </w:rPr>
        <w:t>dded to</w:t>
      </w:r>
      <w:r w:rsidRPr="006671ED">
        <w:rPr>
          <w:rFonts w:ascii="Times New Roman" w:hAnsi="Times New Roman" w:cs="Times New Roman"/>
          <w:sz w:val="24"/>
          <w:szCs w:val="24"/>
          <w:lang w:val="es-ES"/>
        </w:rPr>
        <w:t xml:space="preserve"> processed fruits to form insoluble pectates</w:t>
      </w:r>
      <w:r>
        <w:rPr>
          <w:rFonts w:ascii="Times New Roman" w:hAnsi="Times New Roman" w:cs="Times New Roman"/>
          <w:sz w:val="24"/>
          <w:szCs w:val="24"/>
          <w:lang w:val="es-ES"/>
        </w:rPr>
        <w:t>,</w:t>
      </w:r>
      <w:r w:rsidRPr="006671ED">
        <w:rPr>
          <w:rFonts w:ascii="Times New Roman" w:hAnsi="Times New Roman" w:cs="Times New Roman"/>
          <w:sz w:val="24"/>
          <w:szCs w:val="24"/>
          <w:lang w:val="es-ES"/>
        </w:rPr>
        <w:t xml:space="preserve"> which increases the firmmess of food products</w:t>
      </w:r>
      <w:r>
        <w:rPr>
          <w:rFonts w:ascii="Times New Roman" w:hAnsi="Times New Roman" w:cs="Times New Roman"/>
          <w:sz w:val="24"/>
          <w:szCs w:val="24"/>
          <w:lang w:val="es-ES"/>
        </w:rPr>
        <w:t xml:space="preserve"> </w:t>
      </w:r>
      <w:r>
        <w:rPr>
          <w:rFonts w:ascii="Times New Roman" w:hAnsi="Times New Roman" w:cs="Times New Roman"/>
          <w:noProof/>
          <w:sz w:val="24"/>
          <w:szCs w:val="24"/>
          <w:lang w:val="es-ES"/>
        </w:rPr>
        <w:t>(Fellows 2009)</w:t>
      </w:r>
      <w:r w:rsidRPr="006671ED">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 Besides browning, texture deterioration is a problem in MRE peach products during storage.  The browning rates of MRE packaged</w:t>
      </w:r>
      <w:r w:rsidRPr="006671ED">
        <w:rPr>
          <w:rFonts w:ascii="Times New Roman" w:hAnsi="Times New Roman" w:cs="Times New Roman"/>
          <w:sz w:val="24"/>
          <w:szCs w:val="24"/>
          <w:lang w:val="es-ES"/>
        </w:rPr>
        <w:t xml:space="preserve"> fresh and processed peaches (IQF and canned) are of interest since </w:t>
      </w:r>
      <w:r>
        <w:rPr>
          <w:rFonts w:ascii="Times New Roman" w:hAnsi="Times New Roman" w:cs="Times New Roman"/>
          <w:sz w:val="24"/>
          <w:szCs w:val="24"/>
          <w:lang w:val="es-ES"/>
        </w:rPr>
        <w:t>because</w:t>
      </w:r>
      <w:r w:rsidRPr="006671ED">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the </w:t>
      </w:r>
      <w:r w:rsidRPr="006671ED">
        <w:rPr>
          <w:rFonts w:ascii="Times New Roman" w:hAnsi="Times New Roman" w:cs="Times New Roman"/>
          <w:sz w:val="24"/>
          <w:szCs w:val="24"/>
          <w:lang w:val="es-ES"/>
        </w:rPr>
        <w:t xml:space="preserve">US army has contemplated the production of </w:t>
      </w:r>
      <w:r>
        <w:rPr>
          <w:rFonts w:ascii="Times New Roman" w:hAnsi="Times New Roman" w:cs="Times New Roman"/>
          <w:sz w:val="24"/>
          <w:szCs w:val="24"/>
          <w:lang w:val="es-ES"/>
        </w:rPr>
        <w:t xml:space="preserve">MREs from these different </w:t>
      </w:r>
      <w:r w:rsidRPr="006671ED">
        <w:rPr>
          <w:rFonts w:ascii="Times New Roman" w:hAnsi="Times New Roman" w:cs="Times New Roman"/>
          <w:sz w:val="24"/>
          <w:szCs w:val="24"/>
          <w:lang w:val="es-ES"/>
        </w:rPr>
        <w:t>raw materials</w:t>
      </w:r>
      <w:r w:rsidRPr="006671ED">
        <w:rPr>
          <w:rFonts w:ascii="Times New Roman" w:hAnsi="Times New Roman"/>
          <w:sz w:val="24"/>
          <w:szCs w:val="24"/>
        </w:rPr>
        <w:t>.</w:t>
      </w:r>
    </w:p>
    <w:p w:rsidR="00F14CA8" w:rsidRPr="006671ED" w:rsidRDefault="00F14CA8" w:rsidP="00F14CA8">
      <w:pPr>
        <w:rPr>
          <w:rFonts w:ascii="Times New Roman" w:hAnsi="Times New Roman" w:cs="Times New Roman"/>
          <w:b/>
          <w:sz w:val="24"/>
          <w:szCs w:val="24"/>
        </w:rPr>
      </w:pPr>
    </w:p>
    <w:p w:rsidR="00F14CA8" w:rsidRPr="006671ED" w:rsidRDefault="00F14CA8" w:rsidP="00F14CA8">
      <w:pPr>
        <w:rPr>
          <w:rFonts w:ascii="Times New Roman" w:hAnsi="Times New Roman" w:cs="Times New Roman"/>
          <w:b/>
          <w:sz w:val="24"/>
          <w:szCs w:val="24"/>
        </w:rPr>
      </w:pPr>
      <w:r w:rsidRPr="006671ED">
        <w:rPr>
          <w:rFonts w:ascii="Times New Roman" w:hAnsi="Times New Roman" w:cs="Times New Roman"/>
          <w:b/>
          <w:sz w:val="24"/>
          <w:szCs w:val="24"/>
        </w:rPr>
        <w:t>MATERIALS AND METHODS</w:t>
      </w:r>
    </w:p>
    <w:p w:rsidR="00F14CA8" w:rsidRDefault="00F14CA8" w:rsidP="00F14CA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Peaches of a</w:t>
      </w:r>
      <w:r w:rsidRPr="006671ED">
        <w:rPr>
          <w:rFonts w:ascii="Times New Roman" w:hAnsi="Times New Roman" w:cs="Times New Roman"/>
          <w:sz w:val="24"/>
          <w:szCs w:val="24"/>
        </w:rPr>
        <w:t xml:space="preserve"> </w:t>
      </w:r>
      <w:r>
        <w:rPr>
          <w:rFonts w:ascii="Times New Roman" w:hAnsi="Times New Roman" w:cs="Times New Roman"/>
          <w:sz w:val="24"/>
          <w:szCs w:val="24"/>
        </w:rPr>
        <w:t>c</w:t>
      </w:r>
      <w:r w:rsidRPr="006671ED">
        <w:rPr>
          <w:rFonts w:ascii="Times New Roman" w:hAnsi="Times New Roman" w:cs="Times New Roman"/>
          <w:sz w:val="24"/>
          <w:szCs w:val="24"/>
        </w:rPr>
        <w:t>lingstone variety were obtained and processed</w:t>
      </w:r>
      <w:r>
        <w:rPr>
          <w:rFonts w:ascii="Times New Roman" w:hAnsi="Times New Roman" w:cs="Times New Roman"/>
          <w:sz w:val="24"/>
          <w:szCs w:val="24"/>
        </w:rPr>
        <w:t xml:space="preserve"> at</w:t>
      </w:r>
      <w:r w:rsidRPr="006671ED">
        <w:rPr>
          <w:rFonts w:ascii="Times New Roman" w:hAnsi="Times New Roman" w:cs="Times New Roman"/>
          <w:sz w:val="24"/>
          <w:szCs w:val="24"/>
        </w:rPr>
        <w:t xml:space="preserve"> McCall Farm (Effingham, SC)</w:t>
      </w:r>
      <w:r>
        <w:rPr>
          <w:rFonts w:ascii="Times New Roman" w:hAnsi="Times New Roman" w:cs="Times New Roman"/>
          <w:sz w:val="24"/>
          <w:szCs w:val="24"/>
        </w:rPr>
        <w:t xml:space="preserve"> in August, </w:t>
      </w:r>
      <w:r w:rsidRPr="006671ED">
        <w:rPr>
          <w:rFonts w:ascii="Times New Roman" w:hAnsi="Times New Roman" w:cs="Times New Roman"/>
          <w:sz w:val="24"/>
          <w:szCs w:val="24"/>
        </w:rPr>
        <w:t xml:space="preserve">2009. </w:t>
      </w:r>
      <w:r>
        <w:rPr>
          <w:rFonts w:ascii="Times New Roman" w:hAnsi="Times New Roman" w:cs="Times New Roman"/>
          <w:sz w:val="24"/>
          <w:szCs w:val="24"/>
        </w:rPr>
        <w:t xml:space="preserve"> The processing </w:t>
      </w:r>
      <w:r w:rsidRPr="006671ED">
        <w:rPr>
          <w:rFonts w:ascii="Times New Roman" w:hAnsi="Times New Roman" w:cs="Times New Roman"/>
          <w:sz w:val="24"/>
          <w:szCs w:val="24"/>
        </w:rPr>
        <w:t xml:space="preserve">consisted on lye peeling, pitting, washing and dicing. </w:t>
      </w:r>
      <w:r>
        <w:rPr>
          <w:rFonts w:ascii="Times New Roman" w:hAnsi="Times New Roman" w:cs="Times New Roman"/>
          <w:sz w:val="24"/>
          <w:szCs w:val="24"/>
        </w:rPr>
        <w:t xml:space="preserve"> Approximately 1.9 cm chunks were prepared</w:t>
      </w:r>
      <w:r w:rsidRPr="006671ED">
        <w:rPr>
          <w:rFonts w:ascii="Times New Roman" w:hAnsi="Times New Roman" w:cs="Times New Roman"/>
          <w:sz w:val="24"/>
          <w:szCs w:val="24"/>
        </w:rPr>
        <w:t xml:space="preserve"> using a</w:t>
      </w:r>
      <w:r>
        <w:rPr>
          <w:rFonts w:ascii="Times New Roman" w:hAnsi="Times New Roman" w:cs="Times New Roman"/>
          <w:sz w:val="24"/>
          <w:szCs w:val="24"/>
        </w:rPr>
        <w:t xml:space="preserve"> commercial dicer</w:t>
      </w:r>
      <w:r w:rsidRPr="006671ED">
        <w:rPr>
          <w:rFonts w:ascii="Times New Roman" w:hAnsi="Times New Roman" w:cs="Times New Roman"/>
          <w:sz w:val="24"/>
          <w:szCs w:val="24"/>
        </w:rPr>
        <w:t xml:space="preserve"> </w:t>
      </w:r>
      <w:r>
        <w:rPr>
          <w:rFonts w:ascii="Times New Roman" w:hAnsi="Times New Roman" w:cs="Times New Roman"/>
          <w:sz w:val="24"/>
          <w:szCs w:val="24"/>
        </w:rPr>
        <w:t>(</w:t>
      </w:r>
      <w:r w:rsidRPr="006671ED">
        <w:rPr>
          <w:rFonts w:ascii="Times New Roman" w:hAnsi="Times New Roman" w:cs="Times New Roman"/>
          <w:sz w:val="24"/>
          <w:szCs w:val="24"/>
        </w:rPr>
        <w:t>Urschel Dicer</w:t>
      </w:r>
      <w:r>
        <w:rPr>
          <w:rFonts w:ascii="Times New Roman" w:hAnsi="Times New Roman" w:cs="Times New Roman"/>
          <w:sz w:val="24"/>
          <w:szCs w:val="24"/>
        </w:rPr>
        <w:t xml:space="preserve">, </w:t>
      </w:r>
      <w:r w:rsidRPr="006671ED">
        <w:rPr>
          <w:rFonts w:ascii="Times New Roman" w:hAnsi="Times New Roman" w:cs="Times New Roman"/>
          <w:sz w:val="24"/>
          <w:szCs w:val="24"/>
        </w:rPr>
        <w:t>Valparaiso, IN)</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The operations after these steps were </w:t>
      </w:r>
      <w:r>
        <w:rPr>
          <w:rFonts w:ascii="Times New Roman" w:hAnsi="Times New Roman" w:cs="Times New Roman"/>
          <w:sz w:val="24"/>
          <w:szCs w:val="24"/>
        </w:rPr>
        <w:t xml:space="preserve">slightly </w:t>
      </w:r>
      <w:r w:rsidRPr="006671ED">
        <w:rPr>
          <w:rFonts w:ascii="Times New Roman" w:hAnsi="Times New Roman" w:cs="Times New Roman"/>
          <w:sz w:val="24"/>
          <w:szCs w:val="24"/>
        </w:rPr>
        <w:t xml:space="preserve">different for each type of source (fresh, IQF and canned peaches). </w:t>
      </w:r>
    </w:p>
    <w:p w:rsidR="00F14CA8"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Dices for IQF treatment were dipped in an ascorbic acid solution (approximately 1000pm) to inhibit browning.  </w:t>
      </w:r>
      <w:r w:rsidRPr="006671ED">
        <w:rPr>
          <w:rFonts w:ascii="Times New Roman" w:hAnsi="Times New Roman" w:cs="Times New Roman"/>
          <w:sz w:val="24"/>
          <w:szCs w:val="24"/>
        </w:rPr>
        <w:t xml:space="preserve">The dipped dices were drained and conveyed in a </w:t>
      </w:r>
      <w:r>
        <w:rPr>
          <w:rFonts w:ascii="Times New Roman" w:hAnsi="Times New Roman" w:cs="Times New Roman"/>
          <w:sz w:val="24"/>
          <w:szCs w:val="24"/>
        </w:rPr>
        <w:t>blast freezer</w:t>
      </w:r>
      <w:r w:rsidRPr="006671ED">
        <w:rPr>
          <w:rFonts w:ascii="Times New Roman" w:hAnsi="Times New Roman" w:cs="Times New Roman"/>
          <w:sz w:val="24"/>
          <w:szCs w:val="24"/>
        </w:rPr>
        <w:t xml:space="preserve"> tunnel (18.2 meters long</w:t>
      </w:r>
      <w:r>
        <w:rPr>
          <w:rFonts w:ascii="Times New Roman" w:hAnsi="Times New Roman" w:cs="Times New Roman"/>
          <w:sz w:val="24"/>
          <w:szCs w:val="24"/>
        </w:rPr>
        <w:t xml:space="preserve"> x 5.5 meters wide x 5.5 meters</w:t>
      </w:r>
      <w:r w:rsidRPr="006671ED">
        <w:rPr>
          <w:rFonts w:ascii="Times New Roman" w:hAnsi="Times New Roman" w:cs="Times New Roman"/>
          <w:sz w:val="24"/>
          <w:szCs w:val="24"/>
        </w:rPr>
        <w:t xml:space="preserve"> tall) at -40°C. </w:t>
      </w:r>
      <w:r>
        <w:rPr>
          <w:rFonts w:ascii="Times New Roman" w:hAnsi="Times New Roman" w:cs="Times New Roman"/>
          <w:sz w:val="24"/>
          <w:szCs w:val="24"/>
        </w:rPr>
        <w:t xml:space="preserve"> After freezing</w:t>
      </w:r>
      <w:r w:rsidRPr="006671ED">
        <w:rPr>
          <w:rFonts w:ascii="Times New Roman" w:hAnsi="Times New Roman" w:cs="Times New Roman"/>
          <w:sz w:val="24"/>
          <w:szCs w:val="24"/>
        </w:rPr>
        <w:t xml:space="preserve">, the diced peaches were packaged in </w:t>
      </w:r>
      <w:r>
        <w:rPr>
          <w:rFonts w:ascii="Times New Roman" w:hAnsi="Times New Roman" w:cs="Times New Roman"/>
          <w:sz w:val="24"/>
          <w:szCs w:val="24"/>
        </w:rPr>
        <w:t>PET bags in cartoon boxes</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and stored for 40 days at normal commercial freezing temperatures (-18°C).  Dices for canning treatment </w:t>
      </w:r>
      <w:r w:rsidRPr="006671ED">
        <w:rPr>
          <w:rFonts w:ascii="Times New Roman" w:hAnsi="Times New Roman" w:cs="Times New Roman"/>
          <w:sz w:val="24"/>
          <w:szCs w:val="24"/>
        </w:rPr>
        <w:t xml:space="preserve">were </w:t>
      </w:r>
      <w:r>
        <w:rPr>
          <w:rFonts w:ascii="Times New Roman" w:hAnsi="Times New Roman" w:cs="Times New Roman"/>
          <w:sz w:val="24"/>
          <w:szCs w:val="24"/>
        </w:rPr>
        <w:t>placed in N°10 cans coated with enamel.  The diced peaches inside the cans were mixed with syrup composed of sucrose (</w:t>
      </w:r>
      <w:r w:rsidRPr="006546C2">
        <w:rPr>
          <w:rFonts w:ascii="Times New Roman" w:hAnsi="Times New Roman" w:cs="Times New Roman"/>
          <w:sz w:val="24"/>
          <w:szCs w:val="24"/>
        </w:rPr>
        <w:t>21°Brix) and CaCl</w:t>
      </w:r>
      <w:r w:rsidRPr="006546C2">
        <w:rPr>
          <w:rFonts w:ascii="Times New Roman" w:hAnsi="Times New Roman" w:cs="Times New Roman"/>
          <w:sz w:val="24"/>
          <w:szCs w:val="24"/>
          <w:vertAlign w:val="subscript"/>
        </w:rPr>
        <w:t xml:space="preserve">2 </w:t>
      </w:r>
      <w:r w:rsidRPr="006546C2">
        <w:rPr>
          <w:rFonts w:ascii="Times New Roman" w:hAnsi="Times New Roman" w:cs="Times New Roman"/>
          <w:sz w:val="24"/>
          <w:szCs w:val="24"/>
        </w:rPr>
        <w:t xml:space="preserve">(0.5%). </w:t>
      </w:r>
      <w:r>
        <w:rPr>
          <w:rFonts w:ascii="Times New Roman" w:hAnsi="Times New Roman" w:cs="Times New Roman"/>
          <w:sz w:val="24"/>
          <w:szCs w:val="24"/>
        </w:rPr>
        <w:t xml:space="preserve"> </w:t>
      </w:r>
      <w:r w:rsidRPr="006546C2">
        <w:rPr>
          <w:rFonts w:ascii="Times New Roman" w:hAnsi="Times New Roman" w:cs="Times New Roman"/>
          <w:sz w:val="24"/>
          <w:szCs w:val="24"/>
        </w:rPr>
        <w:t xml:space="preserve">The cans were </w:t>
      </w:r>
      <w:r w:rsidRPr="00823D12">
        <w:rPr>
          <w:rFonts w:ascii="Times New Roman" w:hAnsi="Times New Roman" w:cs="Times New Roman"/>
          <w:sz w:val="24"/>
          <w:szCs w:val="24"/>
        </w:rPr>
        <w:t>exhausted, sealed, and retorted using an F-value (z= 10°C, T=100°C) of 6.3 min.</w:t>
      </w:r>
      <w:r w:rsidRPr="006546C2">
        <w:rPr>
          <w:rFonts w:ascii="Times New Roman" w:hAnsi="Times New Roman" w:cs="Times New Roman"/>
          <w:sz w:val="24"/>
          <w:szCs w:val="24"/>
        </w:rPr>
        <w:t xml:space="preserve"> </w:t>
      </w:r>
      <w:r>
        <w:rPr>
          <w:rFonts w:ascii="Times New Roman" w:hAnsi="Times New Roman" w:cs="Times New Roman"/>
          <w:sz w:val="24"/>
          <w:szCs w:val="24"/>
        </w:rPr>
        <w:t xml:space="preserve"> T</w:t>
      </w:r>
      <w:r w:rsidRPr="006546C2">
        <w:rPr>
          <w:rFonts w:ascii="Times New Roman" w:hAnsi="Times New Roman" w:cs="Times New Roman"/>
          <w:sz w:val="24"/>
          <w:szCs w:val="24"/>
        </w:rPr>
        <w:t>he can</w:t>
      </w:r>
      <w:r>
        <w:rPr>
          <w:rFonts w:ascii="Times New Roman" w:hAnsi="Times New Roman" w:cs="Times New Roman"/>
          <w:sz w:val="24"/>
          <w:szCs w:val="24"/>
        </w:rPr>
        <w:t>ned</w:t>
      </w:r>
      <w:r w:rsidRPr="006546C2">
        <w:rPr>
          <w:rFonts w:ascii="Times New Roman" w:hAnsi="Times New Roman" w:cs="Times New Roman"/>
          <w:sz w:val="24"/>
          <w:szCs w:val="24"/>
        </w:rPr>
        <w:t xml:space="preserve"> peaches were stored for 40 days at room temperature</w:t>
      </w:r>
      <w:r>
        <w:rPr>
          <w:rFonts w:ascii="Times New Roman" w:hAnsi="Times New Roman" w:cs="Times New Roman"/>
          <w:sz w:val="24"/>
          <w:szCs w:val="24"/>
        </w:rPr>
        <w:t xml:space="preserve"> before processing into retort pouches</w:t>
      </w:r>
      <w:r w:rsidRPr="006546C2">
        <w:rPr>
          <w:rFonts w:ascii="Times New Roman" w:hAnsi="Times New Roman" w:cs="Times New Roman"/>
          <w:sz w:val="24"/>
          <w:szCs w:val="24"/>
        </w:rPr>
        <w:t>.</w:t>
      </w:r>
      <w:r>
        <w:rPr>
          <w:rFonts w:ascii="Times New Roman" w:hAnsi="Times New Roman" w:cs="Times New Roman"/>
          <w:sz w:val="24"/>
          <w:szCs w:val="24"/>
        </w:rPr>
        <w:t xml:space="preserve">  F</w:t>
      </w:r>
      <w:r w:rsidRPr="006546C2">
        <w:rPr>
          <w:rFonts w:ascii="Times New Roman" w:hAnsi="Times New Roman" w:cs="Times New Roman"/>
          <w:sz w:val="24"/>
          <w:szCs w:val="24"/>
        </w:rPr>
        <w:t>or the fresh source, the peaches</w:t>
      </w:r>
      <w:r>
        <w:rPr>
          <w:rFonts w:ascii="Times New Roman" w:hAnsi="Times New Roman" w:cs="Times New Roman"/>
          <w:sz w:val="24"/>
          <w:szCs w:val="24"/>
        </w:rPr>
        <w:t xml:space="preserve">, after dicing, were placed immediately into of the pouches.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833D3F"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lastRenderedPageBreak/>
        <w:t>The fresh diced peaches in pouches were</w:t>
      </w:r>
      <w:r>
        <w:rPr>
          <w:rFonts w:ascii="Times New Roman" w:hAnsi="Times New Roman" w:cs="Times New Roman"/>
          <w:sz w:val="24"/>
          <w:szCs w:val="24"/>
        </w:rPr>
        <w:t xml:space="preserve"> retorted the same day that the peaches</w:t>
      </w:r>
      <w:r w:rsidRPr="006671ED">
        <w:rPr>
          <w:rFonts w:ascii="Times New Roman" w:hAnsi="Times New Roman" w:cs="Times New Roman"/>
          <w:sz w:val="24"/>
          <w:szCs w:val="24"/>
        </w:rPr>
        <w:t xml:space="preserve"> were </w:t>
      </w:r>
      <w:r>
        <w:rPr>
          <w:rFonts w:ascii="Times New Roman" w:hAnsi="Times New Roman" w:cs="Times New Roman"/>
          <w:sz w:val="24"/>
          <w:szCs w:val="24"/>
        </w:rPr>
        <w:t xml:space="preserve">obtained.  The </w:t>
      </w:r>
      <w:r w:rsidRPr="006671ED">
        <w:rPr>
          <w:rFonts w:ascii="Times New Roman" w:hAnsi="Times New Roman" w:cs="Times New Roman"/>
          <w:sz w:val="24"/>
          <w:szCs w:val="24"/>
        </w:rPr>
        <w:t xml:space="preserve">IQF and canned peaches were processed 40 days later. </w:t>
      </w:r>
      <w:r>
        <w:rPr>
          <w:rFonts w:ascii="Times New Roman" w:hAnsi="Times New Roman" w:cs="Times New Roman"/>
          <w:sz w:val="24"/>
          <w:szCs w:val="24"/>
        </w:rPr>
        <w:t xml:space="preserve"> This was designed to mimic the processes that have been used commercially in the past for MRE peach products.  </w:t>
      </w:r>
      <w:r w:rsidRPr="006671ED">
        <w:rPr>
          <w:rFonts w:ascii="Times New Roman" w:hAnsi="Times New Roman" w:cs="Times New Roman"/>
          <w:sz w:val="24"/>
          <w:szCs w:val="24"/>
        </w:rPr>
        <w:t xml:space="preserve">Canned peaches were drained and </w:t>
      </w:r>
      <w:r>
        <w:rPr>
          <w:rFonts w:ascii="Times New Roman" w:hAnsi="Times New Roman" w:cs="Times New Roman"/>
          <w:sz w:val="24"/>
          <w:szCs w:val="24"/>
        </w:rPr>
        <w:t>placed</w:t>
      </w:r>
      <w:r w:rsidRPr="006671ED">
        <w:rPr>
          <w:rFonts w:ascii="Times New Roman" w:hAnsi="Times New Roman" w:cs="Times New Roman"/>
          <w:sz w:val="24"/>
          <w:szCs w:val="24"/>
        </w:rPr>
        <w:t xml:space="preserve"> in the pouches. </w:t>
      </w:r>
      <w:r>
        <w:rPr>
          <w:rFonts w:ascii="Times New Roman" w:hAnsi="Times New Roman" w:cs="Times New Roman"/>
          <w:sz w:val="24"/>
          <w:szCs w:val="24"/>
        </w:rPr>
        <w:t xml:space="preserve"> The syrup of the cans were retained</w:t>
      </w:r>
      <w:r w:rsidRPr="006671ED">
        <w:rPr>
          <w:rFonts w:ascii="Times New Roman" w:hAnsi="Times New Roman" w:cs="Times New Roman"/>
          <w:sz w:val="24"/>
          <w:szCs w:val="24"/>
        </w:rPr>
        <w:t xml:space="preserve"> and modified to be used </w:t>
      </w:r>
      <w:r>
        <w:rPr>
          <w:rFonts w:ascii="Times New Roman" w:hAnsi="Times New Roman" w:cs="Times New Roman"/>
          <w:sz w:val="24"/>
          <w:szCs w:val="24"/>
        </w:rPr>
        <w:t>in</w:t>
      </w:r>
      <w:r w:rsidRPr="006671ED">
        <w:rPr>
          <w:rFonts w:ascii="Times New Roman" w:hAnsi="Times New Roman" w:cs="Times New Roman"/>
          <w:sz w:val="24"/>
          <w:szCs w:val="24"/>
        </w:rPr>
        <w:t xml:space="preserve"> the pouches of this source.</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 IQF diced peaches were </w:t>
      </w:r>
      <w:r>
        <w:rPr>
          <w:rFonts w:ascii="Times New Roman" w:hAnsi="Times New Roman" w:cs="Times New Roman"/>
          <w:sz w:val="24"/>
          <w:szCs w:val="24"/>
        </w:rPr>
        <w:t xml:space="preserve">placed in </w:t>
      </w:r>
      <w:r w:rsidRPr="006671ED">
        <w:rPr>
          <w:rFonts w:ascii="Times New Roman" w:hAnsi="Times New Roman" w:cs="Times New Roman"/>
          <w:sz w:val="24"/>
          <w:szCs w:val="24"/>
        </w:rPr>
        <w:t>the pouches immediately</w:t>
      </w:r>
      <w:r>
        <w:rPr>
          <w:rFonts w:ascii="Times New Roman" w:hAnsi="Times New Roman" w:cs="Times New Roman"/>
          <w:sz w:val="24"/>
          <w:szCs w:val="24"/>
        </w:rPr>
        <w:t xml:space="preserve"> (no thawing)</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In </w:t>
      </w:r>
      <w:r>
        <w:rPr>
          <w:rFonts w:ascii="Times New Roman" w:hAnsi="Times New Roman" w:cs="Times New Roman"/>
          <w:sz w:val="24"/>
          <w:szCs w:val="24"/>
        </w:rPr>
        <w:t xml:space="preserve">all the sources, </w:t>
      </w:r>
      <w:r w:rsidRPr="006671ED">
        <w:rPr>
          <w:rFonts w:ascii="Times New Roman" w:hAnsi="Times New Roman" w:cs="Times New Roman"/>
          <w:sz w:val="24"/>
          <w:szCs w:val="24"/>
        </w:rPr>
        <w:t>the r</w:t>
      </w:r>
      <w:r>
        <w:rPr>
          <w:rFonts w:ascii="Times New Roman" w:hAnsi="Times New Roman" w:cs="Times New Roman"/>
          <w:sz w:val="24"/>
          <w:szCs w:val="24"/>
        </w:rPr>
        <w:t xml:space="preserve">atio of diced peaches and syrup </w:t>
      </w:r>
      <w:r w:rsidRPr="006671ED">
        <w:rPr>
          <w:rFonts w:ascii="Times New Roman" w:hAnsi="Times New Roman" w:cs="Times New Roman"/>
          <w:sz w:val="24"/>
          <w:szCs w:val="24"/>
        </w:rPr>
        <w:t>was 3:1</w:t>
      </w:r>
      <w:r>
        <w:rPr>
          <w:rFonts w:ascii="Times New Roman" w:hAnsi="Times New Roman" w:cs="Times New Roman"/>
          <w:sz w:val="24"/>
          <w:szCs w:val="24"/>
        </w:rPr>
        <w:t>, w/w</w:t>
      </w:r>
      <w:r w:rsidRPr="006671ED">
        <w:rPr>
          <w:rFonts w:ascii="Times New Roman" w:hAnsi="Times New Roman" w:cs="Times New Roman"/>
          <w:sz w:val="24"/>
          <w:szCs w:val="24"/>
        </w:rPr>
        <w:t>, and the n</w:t>
      </w:r>
      <w:r>
        <w:rPr>
          <w:rFonts w:ascii="Times New Roman" w:hAnsi="Times New Roman" w:cs="Times New Roman"/>
          <w:sz w:val="24"/>
          <w:szCs w:val="24"/>
        </w:rPr>
        <w:t>et pouch content weight was 140</w:t>
      </w:r>
      <w:r w:rsidRPr="006671ED">
        <w:rPr>
          <w:rFonts w:ascii="Times New Roman" w:hAnsi="Times New Roman" w:cs="Times New Roman"/>
          <w:sz w:val="24"/>
          <w:szCs w:val="24"/>
        </w:rPr>
        <w:t xml:space="preserve">g. </w:t>
      </w:r>
      <w:r>
        <w:rPr>
          <w:rFonts w:ascii="Times New Roman" w:hAnsi="Times New Roman" w:cs="Times New Roman"/>
          <w:sz w:val="24"/>
          <w:szCs w:val="24"/>
        </w:rPr>
        <w:t xml:space="preserve"> </w:t>
      </w:r>
      <w:r w:rsidRPr="006671ED">
        <w:rPr>
          <w:rFonts w:ascii="Times New Roman" w:hAnsi="Times New Roman" w:cs="Times New Roman"/>
          <w:sz w:val="24"/>
          <w:szCs w:val="24"/>
        </w:rPr>
        <w:t>Four types of syrup</w:t>
      </w:r>
      <w:r>
        <w:rPr>
          <w:rFonts w:ascii="Times New Roman" w:hAnsi="Times New Roman" w:cs="Times New Roman"/>
          <w:sz w:val="24"/>
          <w:szCs w:val="24"/>
        </w:rPr>
        <w:t>s</w:t>
      </w:r>
      <w:r w:rsidRPr="006671ED">
        <w:rPr>
          <w:rFonts w:ascii="Times New Roman" w:hAnsi="Times New Roman" w:cs="Times New Roman"/>
          <w:sz w:val="24"/>
          <w:szCs w:val="24"/>
        </w:rPr>
        <w:t xml:space="preserve"> corresponding to the four</w:t>
      </w:r>
      <w:r>
        <w:rPr>
          <w:rFonts w:ascii="Times New Roman" w:hAnsi="Times New Roman" w:cs="Times New Roman"/>
          <w:sz w:val="24"/>
          <w:szCs w:val="24"/>
        </w:rPr>
        <w:t xml:space="preserve"> different</w:t>
      </w:r>
      <w:r w:rsidRPr="006671ED">
        <w:rPr>
          <w:rFonts w:ascii="Times New Roman" w:hAnsi="Times New Roman" w:cs="Times New Roman"/>
          <w:sz w:val="24"/>
          <w:szCs w:val="24"/>
        </w:rPr>
        <w:t xml:space="preserve"> types of treatments were prepared. </w:t>
      </w:r>
      <w:r>
        <w:rPr>
          <w:rFonts w:ascii="Times New Roman" w:hAnsi="Times New Roman" w:cs="Times New Roman"/>
          <w:sz w:val="24"/>
          <w:szCs w:val="24"/>
        </w:rPr>
        <w:t xml:space="preserve"> </w:t>
      </w:r>
      <w:r w:rsidRPr="006671ED">
        <w:rPr>
          <w:rFonts w:ascii="Times New Roman" w:hAnsi="Times New Roman" w:cs="Times New Roman"/>
          <w:sz w:val="24"/>
          <w:szCs w:val="24"/>
        </w:rPr>
        <w:t>Syrup 1 was composed of water, sucrose and ascorbic acid while syrup 2 had in addition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(0.5%). </w:t>
      </w:r>
      <w:r>
        <w:rPr>
          <w:rFonts w:ascii="Times New Roman" w:hAnsi="Times New Roman" w:cs="Times New Roman"/>
          <w:sz w:val="24"/>
          <w:szCs w:val="24"/>
        </w:rPr>
        <w:t xml:space="preserve"> </w:t>
      </w:r>
      <w:r w:rsidRPr="006671ED">
        <w:rPr>
          <w:rFonts w:ascii="Times New Roman" w:hAnsi="Times New Roman" w:cs="Times New Roman"/>
          <w:sz w:val="24"/>
          <w:szCs w:val="24"/>
        </w:rPr>
        <w:t>Syrup</w:t>
      </w:r>
      <w:r>
        <w:rPr>
          <w:rFonts w:ascii="Times New Roman" w:hAnsi="Times New Roman" w:cs="Times New Roman"/>
          <w:sz w:val="24"/>
          <w:szCs w:val="24"/>
        </w:rPr>
        <w:t>s</w:t>
      </w:r>
      <w:r w:rsidRPr="006671ED">
        <w:rPr>
          <w:rFonts w:ascii="Times New Roman" w:hAnsi="Times New Roman" w:cs="Times New Roman"/>
          <w:sz w:val="24"/>
          <w:szCs w:val="24"/>
        </w:rPr>
        <w:t xml:space="preserve"> 3 and 4 were composed as 1 and 2 respectively but had in addition the flavonoid α-glucosyl rutin (0.3%</w:t>
      </w:r>
      <w:r>
        <w:rPr>
          <w:rFonts w:ascii="Times New Roman" w:hAnsi="Times New Roman" w:cs="Times New Roman"/>
          <w:sz w:val="24"/>
          <w:szCs w:val="24"/>
        </w:rPr>
        <w:t xml:space="preserve"> w/w</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The amounts of sucrose and ascorbic acid were added to the syrup to reach final </w:t>
      </w:r>
      <w:r w:rsidRPr="00823D12">
        <w:rPr>
          <w:rFonts w:ascii="Times New Roman" w:hAnsi="Times New Roman" w:cs="Times New Roman"/>
          <w:sz w:val="24"/>
          <w:szCs w:val="24"/>
        </w:rPr>
        <w:t xml:space="preserve">concentrations of 18°Brix and 700 ppm of ascorbic acid in each pouch. </w:t>
      </w:r>
      <w:r>
        <w:rPr>
          <w:rFonts w:ascii="Times New Roman" w:hAnsi="Times New Roman" w:cs="Times New Roman"/>
          <w:sz w:val="24"/>
          <w:szCs w:val="24"/>
        </w:rPr>
        <w:t xml:space="preserve"> </w:t>
      </w:r>
      <w:r w:rsidRPr="00823D12">
        <w:rPr>
          <w:rFonts w:ascii="Times New Roman" w:hAnsi="Times New Roman" w:cs="Times New Roman"/>
          <w:sz w:val="24"/>
          <w:szCs w:val="24"/>
        </w:rPr>
        <w:t>After sealing, the pouches were retorted using an F-value (z= 10°C, T=100°C) of 6.3 min.</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After </w:t>
      </w:r>
      <w:r w:rsidRPr="006671ED">
        <w:rPr>
          <w:rFonts w:ascii="Times New Roman" w:hAnsi="Times New Roman" w:cs="Times New Roman"/>
          <w:sz w:val="24"/>
          <w:szCs w:val="24"/>
        </w:rPr>
        <w:t xml:space="preserve">processing, samples were stored at refrigeration (4°C) for 1 month for the fresh and IQF sources, and for 3 months for the canned source. </w:t>
      </w:r>
      <w:r>
        <w:rPr>
          <w:rFonts w:ascii="Times New Roman" w:hAnsi="Times New Roman" w:cs="Times New Roman"/>
          <w:sz w:val="24"/>
          <w:szCs w:val="24"/>
        </w:rPr>
        <w:t xml:space="preserve"> T</w:t>
      </w:r>
      <w:r w:rsidRPr="006671ED">
        <w:rPr>
          <w:rFonts w:ascii="Times New Roman" w:hAnsi="Times New Roman" w:cs="Times New Roman"/>
          <w:sz w:val="24"/>
          <w:szCs w:val="24"/>
        </w:rPr>
        <w:t xml:space="preserve">he samples were </w:t>
      </w:r>
      <w:r>
        <w:rPr>
          <w:rFonts w:ascii="Times New Roman" w:hAnsi="Times New Roman" w:cs="Times New Roman"/>
          <w:sz w:val="24"/>
          <w:szCs w:val="24"/>
        </w:rPr>
        <w:t xml:space="preserve">then </w:t>
      </w:r>
      <w:r w:rsidRPr="006671ED">
        <w:rPr>
          <w:rFonts w:ascii="Times New Roman" w:hAnsi="Times New Roman" w:cs="Times New Roman"/>
          <w:sz w:val="24"/>
          <w:szCs w:val="24"/>
        </w:rPr>
        <w:t>stored at three different temperatures (51</w:t>
      </w:r>
      <w:r>
        <w:rPr>
          <w:rFonts w:ascii="Times New Roman" w:hAnsi="Times New Roman" w:cs="Times New Roman"/>
          <w:sz w:val="24"/>
          <w:szCs w:val="24"/>
        </w:rPr>
        <w:t>°C</w:t>
      </w:r>
      <w:r w:rsidRPr="006671ED">
        <w:rPr>
          <w:rFonts w:ascii="Times New Roman" w:hAnsi="Times New Roman" w:cs="Times New Roman"/>
          <w:sz w:val="24"/>
          <w:szCs w:val="24"/>
        </w:rPr>
        <w:t>, 40</w:t>
      </w:r>
      <w:r>
        <w:rPr>
          <w:rFonts w:ascii="Times New Roman" w:hAnsi="Times New Roman" w:cs="Times New Roman"/>
          <w:sz w:val="24"/>
          <w:szCs w:val="24"/>
        </w:rPr>
        <w:t>°C</w:t>
      </w:r>
      <w:r w:rsidRPr="006671ED">
        <w:rPr>
          <w:rFonts w:ascii="Times New Roman" w:hAnsi="Times New Roman" w:cs="Times New Roman"/>
          <w:sz w:val="24"/>
          <w:szCs w:val="24"/>
        </w:rPr>
        <w:t xml:space="preserve"> and 24°C</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At 51°C, the samples were analyzed at day 0, 14, 28 and 42; at 40°C, they were examined at day 0, 90, 180 and 270 for the fresh and IQF sources while at day 0, 88, 193 and 245 for the canned source.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At 24°C, the analyses were conducted </w:t>
      </w:r>
      <w:r>
        <w:rPr>
          <w:rFonts w:ascii="Times New Roman" w:hAnsi="Times New Roman" w:cs="Times New Roman"/>
          <w:sz w:val="24"/>
          <w:szCs w:val="24"/>
        </w:rPr>
        <w:t xml:space="preserve">at </w:t>
      </w:r>
      <w:r w:rsidRPr="006671ED">
        <w:rPr>
          <w:rFonts w:ascii="Times New Roman" w:hAnsi="Times New Roman" w:cs="Times New Roman"/>
          <w:sz w:val="24"/>
          <w:szCs w:val="24"/>
        </w:rPr>
        <w:t>day 0, 180 and 240 for the fresh source</w:t>
      </w:r>
      <w:r>
        <w:rPr>
          <w:rFonts w:ascii="Times New Roman" w:hAnsi="Times New Roman" w:cs="Times New Roman"/>
          <w:sz w:val="24"/>
          <w:szCs w:val="24"/>
        </w:rPr>
        <w:t xml:space="preserve">, </w:t>
      </w:r>
      <w:r w:rsidRPr="006671ED">
        <w:rPr>
          <w:rFonts w:ascii="Times New Roman" w:hAnsi="Times New Roman" w:cs="Times New Roman"/>
          <w:sz w:val="24"/>
          <w:szCs w:val="24"/>
        </w:rPr>
        <w:t>at day 0, 180 and 295 for the IQF source</w:t>
      </w:r>
      <w:r>
        <w:rPr>
          <w:rFonts w:ascii="Times New Roman" w:hAnsi="Times New Roman" w:cs="Times New Roman"/>
          <w:sz w:val="24"/>
          <w:szCs w:val="24"/>
        </w:rPr>
        <w:t>, and at 0 and 180 days of the canned source</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Three repetitions were prepared for each temperature and treatment.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jc w:val="both"/>
        <w:rPr>
          <w:rFonts w:ascii="Times New Roman" w:hAnsi="Times New Roman" w:cs="Times New Roman"/>
          <w:b/>
          <w:sz w:val="24"/>
          <w:szCs w:val="24"/>
        </w:rPr>
      </w:pPr>
      <w:r w:rsidRPr="006671ED">
        <w:rPr>
          <w:rFonts w:ascii="Times New Roman" w:hAnsi="Times New Roman" w:cs="Times New Roman"/>
          <w:b/>
          <w:sz w:val="24"/>
          <w:szCs w:val="24"/>
        </w:rPr>
        <w:t>Ascorbic acid determination</w:t>
      </w:r>
    </w:p>
    <w:p w:rsidR="00F14CA8" w:rsidRPr="006671ED" w:rsidRDefault="00F14CA8" w:rsidP="00F14CA8">
      <w:pPr>
        <w:pStyle w:val="ListParagraph"/>
        <w:spacing w:line="360" w:lineRule="auto"/>
        <w:ind w:left="0" w:firstLine="708"/>
        <w:jc w:val="both"/>
        <w:rPr>
          <w:rFonts w:ascii="Times New Roman" w:hAnsi="Times New Roman"/>
          <w:sz w:val="24"/>
          <w:szCs w:val="24"/>
        </w:rPr>
      </w:pPr>
      <w:r w:rsidRPr="006671ED">
        <w:rPr>
          <w:rFonts w:ascii="Times New Roman" w:hAnsi="Times New Roman"/>
          <w:sz w:val="24"/>
          <w:szCs w:val="24"/>
        </w:rPr>
        <w:t xml:space="preserve">A high performance liquid chromatography (HPLC) procedure based on an earlier report </w:t>
      </w:r>
      <w:r>
        <w:rPr>
          <w:rFonts w:ascii="Times New Roman" w:hAnsi="Times New Roman"/>
          <w:noProof/>
          <w:sz w:val="24"/>
          <w:szCs w:val="24"/>
        </w:rPr>
        <w:t>(Gokmen and others 2000)</w:t>
      </w:r>
      <w:r w:rsidRPr="006671ED">
        <w:rPr>
          <w:rFonts w:ascii="Times New Roman" w:hAnsi="Times New Roman"/>
          <w:sz w:val="24"/>
          <w:szCs w:val="24"/>
        </w:rPr>
        <w:t xml:space="preserve"> was used to quantify ascorbic acid in the samples. </w:t>
      </w:r>
      <w:r>
        <w:rPr>
          <w:rFonts w:ascii="Times New Roman" w:hAnsi="Times New Roman"/>
          <w:sz w:val="24"/>
          <w:szCs w:val="24"/>
        </w:rPr>
        <w:t xml:space="preserve"> </w:t>
      </w:r>
      <w:r w:rsidRPr="006671ED">
        <w:rPr>
          <w:rFonts w:ascii="Times New Roman" w:hAnsi="Times New Roman"/>
          <w:sz w:val="24"/>
          <w:szCs w:val="24"/>
        </w:rPr>
        <w:t>Diced peaches and syrup, in the same ratio as they were found in each pouch (3:1</w:t>
      </w:r>
      <w:r>
        <w:rPr>
          <w:rFonts w:ascii="Times New Roman" w:hAnsi="Times New Roman"/>
          <w:sz w:val="24"/>
          <w:szCs w:val="24"/>
        </w:rPr>
        <w:t>, w/w</w:t>
      </w:r>
      <w:r w:rsidRPr="006671ED">
        <w:rPr>
          <w:rFonts w:ascii="Times New Roman" w:hAnsi="Times New Roman"/>
          <w:sz w:val="24"/>
          <w:szCs w:val="24"/>
        </w:rPr>
        <w:t>), were combined with a methaphosphoric acid (5%</w:t>
      </w:r>
      <w:r>
        <w:rPr>
          <w:rFonts w:ascii="Times New Roman" w:hAnsi="Times New Roman"/>
          <w:sz w:val="24"/>
          <w:szCs w:val="24"/>
        </w:rPr>
        <w:t>w/v aq.</w:t>
      </w:r>
      <w:r w:rsidRPr="006671ED">
        <w:rPr>
          <w:rFonts w:ascii="Times New Roman" w:hAnsi="Times New Roman"/>
          <w:sz w:val="24"/>
          <w:szCs w:val="24"/>
        </w:rPr>
        <w:t xml:space="preserve">) </w:t>
      </w:r>
      <w:r>
        <w:rPr>
          <w:rFonts w:ascii="Times New Roman" w:hAnsi="Times New Roman"/>
          <w:sz w:val="24"/>
          <w:szCs w:val="24"/>
        </w:rPr>
        <w:t xml:space="preserve">solution </w:t>
      </w:r>
      <w:r w:rsidRPr="006671ED">
        <w:rPr>
          <w:rFonts w:ascii="Times New Roman" w:hAnsi="Times New Roman"/>
          <w:sz w:val="24"/>
          <w:szCs w:val="24"/>
        </w:rPr>
        <w:t>in a ratio of 3:1 (product:methaposphoric acid solution</w:t>
      </w:r>
      <w:r>
        <w:rPr>
          <w:rFonts w:ascii="Times New Roman" w:hAnsi="Times New Roman"/>
          <w:sz w:val="24"/>
          <w:szCs w:val="24"/>
        </w:rPr>
        <w:t>, w/v</w:t>
      </w:r>
      <w:r w:rsidRPr="006671ED">
        <w:rPr>
          <w:rFonts w:ascii="Times New Roman" w:hAnsi="Times New Roman"/>
          <w:sz w:val="24"/>
          <w:szCs w:val="24"/>
        </w:rPr>
        <w:t xml:space="preserve">).  This mixture was homogenized for </w:t>
      </w:r>
      <w:r>
        <w:rPr>
          <w:rFonts w:ascii="Times New Roman" w:hAnsi="Times New Roman"/>
          <w:sz w:val="24"/>
          <w:szCs w:val="24"/>
        </w:rPr>
        <w:t>90 seconds</w:t>
      </w:r>
      <w:r w:rsidRPr="006671ED">
        <w:rPr>
          <w:rFonts w:ascii="Times New Roman" w:hAnsi="Times New Roman"/>
          <w:sz w:val="24"/>
          <w:szCs w:val="24"/>
        </w:rPr>
        <w:t xml:space="preserve"> using a Virtis homogenizer</w:t>
      </w:r>
      <w:r>
        <w:rPr>
          <w:rFonts w:ascii="Times New Roman" w:hAnsi="Times New Roman"/>
          <w:sz w:val="24"/>
          <w:szCs w:val="24"/>
        </w:rPr>
        <w:t>-</w:t>
      </w:r>
      <w:r w:rsidRPr="00DB7AAF">
        <w:rPr>
          <w:rFonts w:ascii="Times New Roman" w:hAnsi="Times New Roman"/>
          <w:sz w:val="24"/>
          <w:szCs w:val="24"/>
        </w:rPr>
        <w:t>Model TP 18/10 (</w:t>
      </w:r>
      <w:r w:rsidRPr="006671ED">
        <w:rPr>
          <w:rFonts w:ascii="Times New Roman" w:hAnsi="Times New Roman"/>
          <w:sz w:val="24"/>
          <w:szCs w:val="24"/>
        </w:rPr>
        <w:t xml:space="preserve">Wilmington, NC) at </w:t>
      </w:r>
      <w:r>
        <w:rPr>
          <w:rFonts w:ascii="Times New Roman" w:hAnsi="Times New Roman"/>
          <w:sz w:val="24"/>
          <w:szCs w:val="24"/>
        </w:rPr>
        <w:t xml:space="preserve">medium </w:t>
      </w:r>
      <w:r w:rsidRPr="006671ED">
        <w:rPr>
          <w:rFonts w:ascii="Times New Roman" w:hAnsi="Times New Roman"/>
          <w:sz w:val="24"/>
          <w:szCs w:val="24"/>
        </w:rPr>
        <w:t>speed.  The homogenized samples were filtered through Whatman No.</w:t>
      </w:r>
      <w:r>
        <w:rPr>
          <w:rFonts w:ascii="Times New Roman" w:hAnsi="Times New Roman"/>
          <w:sz w:val="24"/>
          <w:szCs w:val="24"/>
        </w:rPr>
        <w:t xml:space="preserve"> </w:t>
      </w:r>
      <w:r w:rsidRPr="006671ED">
        <w:rPr>
          <w:rFonts w:ascii="Times New Roman" w:hAnsi="Times New Roman"/>
          <w:sz w:val="24"/>
          <w:szCs w:val="24"/>
        </w:rPr>
        <w:t>4 (</w:t>
      </w:r>
      <w:r>
        <w:rPr>
          <w:rFonts w:ascii="Times New Roman" w:hAnsi="Times New Roman"/>
          <w:sz w:val="24"/>
          <w:szCs w:val="24"/>
        </w:rPr>
        <w:t>Maidstone, UK</w:t>
      </w:r>
      <w:r w:rsidRPr="00DB7AAF">
        <w:rPr>
          <w:rFonts w:ascii="Times New Roman" w:hAnsi="Times New Roman"/>
          <w:sz w:val="24"/>
          <w:szCs w:val="24"/>
        </w:rPr>
        <w:t>)</w:t>
      </w:r>
      <w:r>
        <w:rPr>
          <w:rFonts w:ascii="Times New Roman" w:hAnsi="Times New Roman"/>
          <w:sz w:val="24"/>
          <w:szCs w:val="24"/>
        </w:rPr>
        <w:t xml:space="preserve"> and 0.45 μm </w:t>
      </w:r>
      <w:r w:rsidRPr="006671ED">
        <w:rPr>
          <w:rFonts w:ascii="Times New Roman" w:hAnsi="Times New Roman"/>
          <w:sz w:val="24"/>
          <w:szCs w:val="24"/>
        </w:rPr>
        <w:t>filters</w:t>
      </w:r>
      <w:r>
        <w:rPr>
          <w:rFonts w:ascii="Times New Roman" w:hAnsi="Times New Roman"/>
          <w:sz w:val="24"/>
          <w:szCs w:val="24"/>
        </w:rPr>
        <w:t xml:space="preserve"> (</w:t>
      </w:r>
      <w:r w:rsidRPr="006671ED">
        <w:rPr>
          <w:rFonts w:ascii="Times New Roman" w:hAnsi="Times New Roman"/>
          <w:sz w:val="24"/>
          <w:szCs w:val="24"/>
        </w:rPr>
        <w:t>Millipore</w:t>
      </w:r>
      <w:r>
        <w:rPr>
          <w:rFonts w:ascii="Times New Roman" w:hAnsi="Times New Roman"/>
          <w:sz w:val="24"/>
          <w:szCs w:val="24"/>
        </w:rPr>
        <w:t>, Massachusetts, USA</w:t>
      </w:r>
      <w:r w:rsidRPr="006671ED">
        <w:rPr>
          <w:rFonts w:ascii="Times New Roman" w:hAnsi="Times New Roman"/>
          <w:sz w:val="24"/>
          <w:szCs w:val="24"/>
        </w:rPr>
        <w:t xml:space="preserve">).  </w:t>
      </w:r>
      <w:r w:rsidRPr="006671ED">
        <w:rPr>
          <w:rFonts w:ascii="Times New Roman" w:hAnsi="Times New Roman"/>
          <w:sz w:val="24"/>
          <w:szCs w:val="24"/>
        </w:rPr>
        <w:lastRenderedPageBreak/>
        <w:t>The samples were protected from light during filtration.  The clarified samples were analyzed by high performance liquid chromatography (HPLC).  A model 1200 HPLC consisting of degasser, pump, refrigerated autosampler, column oven</w:t>
      </w:r>
      <w:r>
        <w:rPr>
          <w:rFonts w:ascii="Times New Roman" w:hAnsi="Times New Roman"/>
          <w:sz w:val="24"/>
          <w:szCs w:val="24"/>
        </w:rPr>
        <w:t>,</w:t>
      </w:r>
      <w:r w:rsidRPr="006671ED">
        <w:rPr>
          <w:rFonts w:ascii="Times New Roman" w:hAnsi="Times New Roman"/>
          <w:sz w:val="24"/>
          <w:szCs w:val="24"/>
        </w:rPr>
        <w:t xml:space="preserve"> and diode array ultraviolet-visible (UV-VIS) detector was obtained from Agilent (Santa Clara CA).  The mobile phase was pH 2.4 20mM aqueous phosphate buffer.  The column (L</w:t>
      </w:r>
      <w:r>
        <w:rPr>
          <w:rFonts w:ascii="Times New Roman" w:hAnsi="Times New Roman"/>
          <w:sz w:val="24"/>
          <w:szCs w:val="24"/>
        </w:rPr>
        <w:t xml:space="preserve">una 5μ </w:t>
      </w:r>
      <w:proofErr w:type="gramStart"/>
      <w:r>
        <w:rPr>
          <w:rFonts w:ascii="Times New Roman" w:hAnsi="Times New Roman"/>
          <w:sz w:val="24"/>
          <w:szCs w:val="24"/>
        </w:rPr>
        <w:t>C18(</w:t>
      </w:r>
      <w:proofErr w:type="gramEnd"/>
      <w:r>
        <w:rPr>
          <w:rFonts w:ascii="Times New Roman" w:hAnsi="Times New Roman"/>
          <w:sz w:val="24"/>
          <w:szCs w:val="24"/>
        </w:rPr>
        <w:t>2) 100Ǻ, 250mm x 4.6</w:t>
      </w:r>
      <w:r w:rsidRPr="006671ED">
        <w:rPr>
          <w:rFonts w:ascii="Times New Roman" w:hAnsi="Times New Roman"/>
          <w:sz w:val="24"/>
          <w:szCs w:val="24"/>
        </w:rPr>
        <w:t xml:space="preserve">mm, i.d.) was obtained from Phenomenex (Torrance CA) and was used at a flow rate was 0.5 ml/min.  The detector was </w:t>
      </w:r>
      <w:r>
        <w:rPr>
          <w:rFonts w:ascii="Times New Roman" w:hAnsi="Times New Roman"/>
          <w:sz w:val="24"/>
          <w:szCs w:val="24"/>
        </w:rPr>
        <w:t xml:space="preserve">set </w:t>
      </w:r>
      <w:r w:rsidRPr="006671ED">
        <w:rPr>
          <w:rFonts w:ascii="Times New Roman" w:hAnsi="Times New Roman"/>
          <w:sz w:val="24"/>
          <w:szCs w:val="24"/>
        </w:rPr>
        <w:t xml:space="preserve">to 245nm and UV spectra from 190-300 NM were recorded.   </w:t>
      </w:r>
    </w:p>
    <w:p w:rsidR="00F14CA8" w:rsidRPr="00DB7AAF" w:rsidRDefault="00F14CA8" w:rsidP="00F14CA8">
      <w:pPr>
        <w:pStyle w:val="ListParagraph"/>
        <w:ind w:left="1080"/>
        <w:jc w:val="both"/>
        <w:rPr>
          <w:rFonts w:ascii="Times New Roman" w:hAnsi="Times New Roman"/>
          <w:b/>
          <w:sz w:val="24"/>
          <w:szCs w:val="24"/>
        </w:rPr>
      </w:pPr>
    </w:p>
    <w:p w:rsidR="00F14CA8" w:rsidRPr="00DB7AAF" w:rsidRDefault="00F14CA8" w:rsidP="00F14CA8">
      <w:pPr>
        <w:pStyle w:val="ListParagraph"/>
        <w:spacing w:line="360" w:lineRule="auto"/>
        <w:ind w:left="0"/>
        <w:jc w:val="both"/>
        <w:rPr>
          <w:rFonts w:ascii="Times New Roman" w:hAnsi="Times New Roman"/>
          <w:b/>
          <w:sz w:val="24"/>
          <w:szCs w:val="24"/>
        </w:rPr>
      </w:pPr>
      <w:r w:rsidRPr="00DB7AAF">
        <w:rPr>
          <w:rFonts w:ascii="Times New Roman" w:hAnsi="Times New Roman"/>
          <w:b/>
          <w:sz w:val="24"/>
          <w:szCs w:val="24"/>
        </w:rPr>
        <w:t>Colorimetric Analysis</w:t>
      </w:r>
    </w:p>
    <w:p w:rsidR="00F14CA8" w:rsidRPr="00DB7AAF" w:rsidRDefault="00F14CA8" w:rsidP="00F14CA8">
      <w:pPr>
        <w:pStyle w:val="ListParagraph"/>
        <w:spacing w:after="0" w:line="360" w:lineRule="auto"/>
        <w:ind w:left="0" w:firstLine="708"/>
        <w:jc w:val="both"/>
        <w:rPr>
          <w:rFonts w:ascii="Times New Roman" w:hAnsi="Times New Roman"/>
          <w:sz w:val="24"/>
          <w:szCs w:val="24"/>
        </w:rPr>
      </w:pPr>
      <w:r w:rsidRPr="00DB7AAF">
        <w:rPr>
          <w:rFonts w:ascii="Times New Roman" w:hAnsi="Times New Roman"/>
          <w:sz w:val="24"/>
          <w:szCs w:val="24"/>
        </w:rPr>
        <w:t>A Chroma Meter CR-200 tristimulus color analyzer (Minolta, Osaka, Japan) was calibrated with a standard plate (L*: 97.20, a*: -0.18, b*: 3.75) before each use.  The diced peaches (70</w:t>
      </w:r>
      <w:r w:rsidRPr="00DB7AAF">
        <w:rPr>
          <w:rFonts w:ascii="Times New Roman" w:hAnsi="Times New Roman"/>
          <w:sz w:val="24"/>
          <w:szCs w:val="24"/>
          <w:u w:val="single"/>
        </w:rPr>
        <w:t>+</w:t>
      </w:r>
      <w:r w:rsidRPr="00DB7AAF">
        <w:rPr>
          <w:rFonts w:ascii="Times New Roman" w:hAnsi="Times New Roman"/>
          <w:sz w:val="24"/>
          <w:szCs w:val="24"/>
        </w:rPr>
        <w:t>5 g) were placed inside a glass petri dish (9 cm diameter), and the color was measured from the bottom of the dish.  Before each measure</w:t>
      </w:r>
      <w:r>
        <w:rPr>
          <w:rFonts w:ascii="Times New Roman" w:hAnsi="Times New Roman"/>
          <w:sz w:val="24"/>
          <w:szCs w:val="24"/>
        </w:rPr>
        <w:t>ment</w:t>
      </w:r>
      <w:r w:rsidRPr="00DB7AAF">
        <w:rPr>
          <w:rFonts w:ascii="Times New Roman" w:hAnsi="Times New Roman"/>
          <w:sz w:val="24"/>
          <w:szCs w:val="24"/>
        </w:rPr>
        <w:t>, the measuring head of the colorimeter was covered with a cardboard box to block stray light.  All readings were obtained in the CIELAB scale (L*, a*, b*).  The ∆E*</w:t>
      </w:r>
      <w:r w:rsidRPr="00DB7AAF">
        <w:rPr>
          <w:rFonts w:ascii="Times New Roman" w:hAnsi="Times New Roman"/>
          <w:sz w:val="24"/>
          <w:szCs w:val="24"/>
          <w:vertAlign w:val="subscript"/>
        </w:rPr>
        <w:t xml:space="preserve"> </w:t>
      </w:r>
      <w:r w:rsidRPr="00DB7AAF">
        <w:rPr>
          <w:rFonts w:ascii="Times New Roman" w:hAnsi="Times New Roman"/>
          <w:sz w:val="24"/>
          <w:szCs w:val="24"/>
        </w:rPr>
        <w:t>was calculated in order to quantify the variation of color throughout storage.  ∆E*was defined by the following equation:</w:t>
      </w:r>
    </w:p>
    <w:p w:rsidR="00F14CA8" w:rsidRPr="00DB7AAF" w:rsidRDefault="00F14CA8" w:rsidP="00F14CA8">
      <w:pPr>
        <w:pStyle w:val="ListParagraph"/>
        <w:spacing w:after="0" w:line="360" w:lineRule="auto"/>
        <w:ind w:left="0" w:firstLine="708"/>
        <w:jc w:val="both"/>
        <w:rPr>
          <w:rFonts w:ascii="Times New Roman" w:hAnsi="Times New Roman"/>
          <w:sz w:val="24"/>
          <w:szCs w:val="24"/>
        </w:rPr>
      </w:pPr>
    </w:p>
    <w:p w:rsidR="00F14CA8" w:rsidRPr="00DB7AAF" w:rsidRDefault="00F14CA8" w:rsidP="00F14CA8">
      <w:pPr>
        <w:pStyle w:val="ListParagraph"/>
        <w:spacing w:line="360" w:lineRule="auto"/>
        <w:ind w:left="0"/>
        <w:jc w:val="center"/>
        <w:rPr>
          <w:rFonts w:ascii="Times New Roman" w:hAnsi="Times New Roman"/>
          <w:sz w:val="24"/>
          <w:szCs w:val="24"/>
          <w:vertAlign w:val="subscript"/>
        </w:rPr>
      </w:pP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m:t>
            </m:r>
          </m:sup>
        </m:sSup>
        <m:r>
          <m:rPr>
            <m:sty m:val="p"/>
          </m:rPr>
          <w:rPr>
            <w:rFonts w:ascii="Cambria Math" w:hAnsi="Times New Roman"/>
            <w:sz w:val="24"/>
            <w:szCs w:val="24"/>
            <w:vertAlign w:val="subscript"/>
          </w:rPr>
          <m:t>=</m:t>
        </m:r>
        <m:rad>
          <m:radPr>
            <m:degHide m:val="on"/>
            <m:ctrlPr>
              <w:rPr>
                <w:rFonts w:ascii="Cambria Math" w:hAnsi="Times New Roman"/>
                <w:sz w:val="24"/>
                <w:szCs w:val="24"/>
                <w:vertAlign w:val="subscript"/>
              </w:rPr>
            </m:ctrlPr>
          </m:radPr>
          <m:deg/>
          <m:e>
            <m:d>
              <m:dPr>
                <m:ctrlPr>
                  <w:rPr>
                    <w:rFonts w:ascii="Cambria Math" w:hAnsi="Times New Roman"/>
                    <w:sz w:val="24"/>
                    <w:szCs w:val="24"/>
                    <w:vertAlign w:val="subscript"/>
                  </w:rPr>
                </m:ctrlPr>
              </m:dPr>
              <m:e>
                <m:r>
                  <m:rPr>
                    <m:sty m:val="p"/>
                  </m:rPr>
                  <w:rPr>
                    <w:rFonts w:ascii="Cambria Math" w:hAnsi="Cambria Math"/>
                    <w:sz w:val="24"/>
                    <w:szCs w:val="24"/>
                    <w:vertAlign w:val="subscript"/>
                  </w:rPr>
                  <m:t>∆</m:t>
                </m:r>
                <m:sSup>
                  <m:sSupPr>
                    <m:ctrlPr>
                      <w:rPr>
                        <w:rFonts w:ascii="Cambria Math" w:hAnsi="Times New Roman"/>
                        <w:sz w:val="24"/>
                        <w:szCs w:val="24"/>
                        <w:vertAlign w:val="subscript"/>
                      </w:rPr>
                    </m:ctrlPr>
                  </m:sSupPr>
                  <m:e>
                    <m:r>
                      <m:rPr>
                        <m:sty m:val="p"/>
                      </m:rPr>
                      <w:rPr>
                        <w:rFonts w:ascii="Cambria Math" w:hAnsi="Times New Roman"/>
                        <w:sz w:val="24"/>
                        <w:szCs w:val="24"/>
                        <w:vertAlign w:val="subscript"/>
                      </w:rPr>
                      <m:t>L</m:t>
                    </m:r>
                  </m:e>
                  <m:sup>
                    <m:r>
                      <m:rPr>
                        <m:sty m:val="p"/>
                      </m:rPr>
                      <w:rPr>
                        <w:rFonts w:ascii="Cambria Math" w:hAnsi="Cambria Math" w:cs="Cambria Math"/>
                        <w:sz w:val="24"/>
                        <w:szCs w:val="24"/>
                        <w:vertAlign w:val="subscript"/>
                      </w:rPr>
                      <m:t>*</m:t>
                    </m:r>
                  </m:sup>
                </m:sSup>
              </m:e>
            </m:d>
            <m:r>
              <m:rPr>
                <m:sty m:val="p"/>
              </m:rPr>
              <w:rPr>
                <w:rFonts w:ascii="Cambria Math" w:hAnsi="Times New Roman"/>
                <w:sz w:val="24"/>
                <w:szCs w:val="24"/>
                <w:vertAlign w:val="subscript"/>
              </w:rPr>
              <m:t xml:space="preserve">+ </m:t>
            </m:r>
            <m:d>
              <m:dPr>
                <m:ctrlPr>
                  <w:rPr>
                    <w:rFonts w:ascii="Cambria Math" w:hAnsi="Times New Roman"/>
                    <w:sz w:val="24"/>
                    <w:szCs w:val="24"/>
                    <w:vertAlign w:val="subscript"/>
                  </w:rPr>
                </m:ctrlPr>
              </m:dPr>
              <m:e>
                <m:r>
                  <m:rPr>
                    <m:sty m:val="p"/>
                  </m:rPr>
                  <w:rPr>
                    <w:rFonts w:ascii="Cambria Math" w:hAnsi="Cambria Math"/>
                    <w:sz w:val="24"/>
                    <w:szCs w:val="24"/>
                    <w:vertAlign w:val="subscript"/>
                  </w:rPr>
                  <m:t>∆</m:t>
                </m:r>
                <m:sSup>
                  <m:sSupPr>
                    <m:ctrlPr>
                      <w:rPr>
                        <w:rFonts w:ascii="Cambria Math" w:hAnsi="Times New Roman"/>
                        <w:sz w:val="24"/>
                        <w:szCs w:val="24"/>
                        <w:vertAlign w:val="subscript"/>
                      </w:rPr>
                    </m:ctrlPr>
                  </m:sSupPr>
                  <m:e>
                    <m:r>
                      <m:rPr>
                        <m:sty m:val="p"/>
                      </m:rPr>
                      <w:rPr>
                        <w:rFonts w:ascii="Cambria Math" w:hAnsi="Times New Roman"/>
                        <w:sz w:val="24"/>
                        <w:szCs w:val="24"/>
                        <w:vertAlign w:val="subscript"/>
                      </w:rPr>
                      <m:t>a</m:t>
                    </m:r>
                  </m:e>
                  <m:sup>
                    <m:r>
                      <m:rPr>
                        <m:sty m:val="p"/>
                      </m:rPr>
                      <w:rPr>
                        <w:rFonts w:ascii="Cambria Math" w:hAnsi="Cambria Math" w:cs="Cambria Math"/>
                        <w:sz w:val="24"/>
                        <w:szCs w:val="24"/>
                        <w:vertAlign w:val="subscript"/>
                      </w:rPr>
                      <m:t>*</m:t>
                    </m:r>
                  </m:sup>
                </m:sSup>
              </m:e>
            </m:d>
            <m:r>
              <m:rPr>
                <m:sty m:val="p"/>
              </m:rPr>
              <w:rPr>
                <w:rFonts w:ascii="Cambria Math" w:hAnsi="Times New Roman"/>
                <w:sz w:val="24"/>
                <w:szCs w:val="24"/>
                <w:vertAlign w:val="subscript"/>
              </w:rPr>
              <m:t>+(</m:t>
            </m:r>
            <m:r>
              <m:rPr>
                <m:sty m:val="p"/>
              </m:rPr>
              <w:rPr>
                <w:rFonts w:ascii="Cambria Math" w:hAnsi="Cambria Math"/>
                <w:sz w:val="24"/>
                <w:szCs w:val="24"/>
                <w:vertAlign w:val="subscript"/>
              </w:rPr>
              <m:t>∆</m:t>
            </m:r>
            <m:sSup>
              <m:sSupPr>
                <m:ctrlPr>
                  <w:rPr>
                    <w:rFonts w:ascii="Cambria Math" w:hAnsi="Times New Roman"/>
                    <w:sz w:val="24"/>
                    <w:szCs w:val="24"/>
                    <w:vertAlign w:val="subscript"/>
                  </w:rPr>
                </m:ctrlPr>
              </m:sSupPr>
              <m:e>
                <m:r>
                  <m:rPr>
                    <m:sty m:val="p"/>
                  </m:rPr>
                  <w:rPr>
                    <w:rFonts w:ascii="Cambria Math" w:hAnsi="Times New Roman"/>
                    <w:sz w:val="24"/>
                    <w:szCs w:val="24"/>
                    <w:vertAlign w:val="subscript"/>
                  </w:rPr>
                  <m:t>b</m:t>
                </m:r>
              </m:e>
              <m:sup>
                <m:r>
                  <m:rPr>
                    <m:sty m:val="p"/>
                  </m:rPr>
                  <w:rPr>
                    <w:rFonts w:ascii="Cambria Math" w:hAnsi="Cambria Math" w:cs="Cambria Math"/>
                    <w:sz w:val="24"/>
                    <w:szCs w:val="24"/>
                    <w:vertAlign w:val="subscript"/>
                  </w:rPr>
                  <m:t>*</m:t>
                </m:r>
              </m:sup>
            </m:sSup>
            <m:r>
              <m:rPr>
                <m:sty m:val="p"/>
              </m:rPr>
              <w:rPr>
                <w:rFonts w:ascii="Cambria Math" w:hAnsi="Times New Roman"/>
                <w:sz w:val="24"/>
                <w:szCs w:val="24"/>
                <w:vertAlign w:val="subscript"/>
              </w:rPr>
              <m:t>)</m:t>
            </m:r>
          </m:e>
        </m:rad>
      </m:oMath>
      <w:r w:rsidRPr="00DB7AAF">
        <w:rPr>
          <w:rFonts w:ascii="Times New Roman" w:hAnsi="Times New Roman"/>
          <w:sz w:val="24"/>
          <w:szCs w:val="24"/>
          <w:vertAlign w:val="subscript"/>
        </w:rPr>
        <w:t>.</w:t>
      </w:r>
    </w:p>
    <w:p w:rsidR="00F82E9A" w:rsidRDefault="00F82E9A" w:rsidP="00F14CA8">
      <w:pPr>
        <w:pStyle w:val="ListParagraph"/>
        <w:spacing w:line="360" w:lineRule="auto"/>
        <w:ind w:left="0"/>
        <w:jc w:val="both"/>
        <w:rPr>
          <w:rFonts w:ascii="Times New Roman" w:hAnsi="Times New Roman"/>
          <w:b/>
          <w:sz w:val="24"/>
          <w:szCs w:val="24"/>
        </w:rPr>
      </w:pPr>
    </w:p>
    <w:p w:rsidR="00F14CA8" w:rsidRPr="006671ED" w:rsidRDefault="00F14CA8" w:rsidP="00F14CA8">
      <w:pPr>
        <w:pStyle w:val="ListParagraph"/>
        <w:spacing w:line="360" w:lineRule="auto"/>
        <w:ind w:left="0"/>
        <w:jc w:val="both"/>
        <w:rPr>
          <w:rFonts w:ascii="Times New Roman" w:hAnsi="Times New Roman"/>
          <w:b/>
          <w:sz w:val="24"/>
          <w:szCs w:val="24"/>
        </w:rPr>
      </w:pPr>
      <w:proofErr w:type="gramStart"/>
      <w:r w:rsidRPr="006671ED">
        <w:rPr>
          <w:rFonts w:ascii="Times New Roman" w:hAnsi="Times New Roman"/>
          <w:b/>
          <w:sz w:val="24"/>
          <w:szCs w:val="24"/>
        </w:rPr>
        <w:t>pH</w:t>
      </w:r>
      <w:proofErr w:type="gramEnd"/>
      <w:r w:rsidRPr="006671ED">
        <w:rPr>
          <w:rFonts w:ascii="Times New Roman" w:hAnsi="Times New Roman"/>
          <w:b/>
          <w:sz w:val="24"/>
          <w:szCs w:val="24"/>
        </w:rPr>
        <w:t xml:space="preserve"> and °Brix</w:t>
      </w:r>
    </w:p>
    <w:p w:rsidR="00F14CA8" w:rsidRPr="006671ED" w:rsidRDefault="00F14CA8" w:rsidP="00F14CA8">
      <w:pPr>
        <w:pStyle w:val="ListParagraph"/>
        <w:spacing w:line="360" w:lineRule="auto"/>
        <w:ind w:left="0" w:firstLine="708"/>
        <w:jc w:val="both"/>
        <w:rPr>
          <w:rFonts w:ascii="Times New Roman" w:hAnsi="Times New Roman"/>
          <w:sz w:val="24"/>
          <w:szCs w:val="24"/>
        </w:rPr>
      </w:pPr>
      <w:r w:rsidRPr="006671ED">
        <w:rPr>
          <w:rFonts w:ascii="Times New Roman" w:hAnsi="Times New Roman"/>
          <w:sz w:val="24"/>
          <w:szCs w:val="24"/>
        </w:rPr>
        <w:t>The pH and °Brix were measured directly from the puree after opening the vials. The pH and °Brix were measured using a potentiometer XL-20 (Fisher Scientific) and an Abbe Mark II (Reichertai Inc</w:t>
      </w:r>
      <w:proofErr w:type="gramStart"/>
      <w:r w:rsidRPr="006671ED">
        <w:rPr>
          <w:rFonts w:ascii="Times New Roman" w:hAnsi="Times New Roman"/>
          <w:sz w:val="24"/>
          <w:szCs w:val="24"/>
        </w:rPr>
        <w:t>,.</w:t>
      </w:r>
      <w:proofErr w:type="gramEnd"/>
      <w:r w:rsidRPr="006671ED">
        <w:rPr>
          <w:rFonts w:ascii="Times New Roman" w:hAnsi="Times New Roman"/>
          <w:sz w:val="24"/>
          <w:szCs w:val="24"/>
        </w:rPr>
        <w:t xml:space="preserve"> </w:t>
      </w:r>
      <w:proofErr w:type="gramStart"/>
      <w:r w:rsidRPr="006671ED">
        <w:rPr>
          <w:rFonts w:ascii="Times New Roman" w:hAnsi="Times New Roman"/>
          <w:sz w:val="24"/>
          <w:szCs w:val="24"/>
        </w:rPr>
        <w:t>Buffalo, NY), respectively.</w:t>
      </w:r>
      <w:proofErr w:type="gramEnd"/>
      <w:r w:rsidRPr="006671ED">
        <w:rPr>
          <w:rFonts w:ascii="Times New Roman" w:hAnsi="Times New Roman"/>
          <w:sz w:val="24"/>
          <w:szCs w:val="24"/>
        </w:rPr>
        <w:t xml:space="preserve"> </w:t>
      </w:r>
    </w:p>
    <w:p w:rsidR="00F14CA8" w:rsidRPr="006671ED" w:rsidRDefault="00F14CA8" w:rsidP="00F14CA8">
      <w:pPr>
        <w:pStyle w:val="ListParagraph"/>
        <w:spacing w:line="360" w:lineRule="auto"/>
        <w:ind w:left="0" w:firstLine="708"/>
        <w:jc w:val="both"/>
        <w:rPr>
          <w:rFonts w:ascii="Times New Roman" w:hAnsi="Times New Roman"/>
          <w:b/>
          <w:sz w:val="24"/>
          <w:szCs w:val="24"/>
        </w:rPr>
      </w:pPr>
    </w:p>
    <w:p w:rsidR="00F14CA8" w:rsidRPr="00DB7AAF" w:rsidRDefault="00814929" w:rsidP="00F14CA8">
      <w:pPr>
        <w:pStyle w:val="ListParagraph"/>
        <w:spacing w:line="360" w:lineRule="auto"/>
        <w:ind w:left="0"/>
        <w:jc w:val="both"/>
        <w:rPr>
          <w:rFonts w:ascii="Times New Roman" w:hAnsi="Times New Roman"/>
          <w:b/>
          <w:sz w:val="24"/>
          <w:szCs w:val="24"/>
        </w:rPr>
      </w:pPr>
      <w:r>
        <w:rPr>
          <w:rFonts w:ascii="Times New Roman" w:hAnsi="Times New Roman"/>
          <w:b/>
          <w:sz w:val="24"/>
          <w:szCs w:val="24"/>
        </w:rPr>
        <w:t>Statistical analysis</w:t>
      </w:r>
    </w:p>
    <w:p w:rsidR="00F14CA8" w:rsidRPr="00DB7AAF" w:rsidRDefault="00F14CA8" w:rsidP="00F14CA8">
      <w:pPr>
        <w:pStyle w:val="ListParagraph"/>
        <w:spacing w:after="0" w:line="360" w:lineRule="auto"/>
        <w:ind w:left="0" w:firstLine="708"/>
        <w:jc w:val="both"/>
        <w:rPr>
          <w:rFonts w:ascii="Times New Roman" w:hAnsi="Times New Roman"/>
          <w:sz w:val="24"/>
          <w:szCs w:val="24"/>
        </w:rPr>
      </w:pPr>
      <w:r w:rsidRPr="00DB7AAF">
        <w:rPr>
          <w:rFonts w:ascii="Times New Roman" w:hAnsi="Times New Roman"/>
          <w:sz w:val="24"/>
          <w:szCs w:val="24"/>
        </w:rPr>
        <w:t>The rate constants (</w:t>
      </w:r>
      <w:r w:rsidRPr="00DB7AAF">
        <w:rPr>
          <w:rFonts w:ascii="Times New Roman" w:hAnsi="Times New Roman"/>
          <w:i/>
          <w:sz w:val="24"/>
          <w:szCs w:val="24"/>
        </w:rPr>
        <w:t>k</w:t>
      </w:r>
      <w:r w:rsidRPr="00DB7AAF">
        <w:rPr>
          <w:rFonts w:ascii="Times New Roman" w:hAnsi="Times New Roman"/>
          <w:sz w:val="24"/>
          <w:szCs w:val="24"/>
        </w:rPr>
        <w:t xml:space="preserve">) were obtained by linear regression analysis </w:t>
      </w:r>
      <w:r>
        <w:rPr>
          <w:rFonts w:ascii="Times New Roman" w:hAnsi="Times New Roman"/>
          <w:noProof/>
          <w:sz w:val="24"/>
          <w:szCs w:val="24"/>
        </w:rPr>
        <w:t>(Arabshahi and Lund 1985)</w:t>
      </w:r>
      <w:r w:rsidRPr="00DB7AAF">
        <w:rPr>
          <w:rFonts w:ascii="Times New Roman" w:hAnsi="Times New Roman"/>
          <w:sz w:val="24"/>
          <w:szCs w:val="24"/>
        </w:rPr>
        <w:t xml:space="preserve">.  The color parameters (L*, a*, b* and ∆E*) were evaluated through equations (1), (2), (3) and (4). In the case of ∆E*, instead of equation (4), we applied equation (5) because this parameter, ∆E*, is zero at at day 0 </w:t>
      </w:r>
      <w:r>
        <w:rPr>
          <w:rFonts w:ascii="Times New Roman" w:hAnsi="Times New Roman"/>
          <w:noProof/>
          <w:sz w:val="24"/>
          <w:szCs w:val="24"/>
        </w:rPr>
        <w:t>(Ibarz and others 1999)</w:t>
      </w:r>
      <w:r w:rsidRPr="00DB7AAF">
        <w:rPr>
          <w:rFonts w:ascii="Times New Roman" w:hAnsi="Times New Roman"/>
          <w:sz w:val="24"/>
          <w:szCs w:val="24"/>
        </w:rPr>
        <w:t xml:space="preserve">.  For the </w:t>
      </w:r>
      <w:r w:rsidRPr="00DB7AAF">
        <w:rPr>
          <w:rFonts w:ascii="Times New Roman" w:hAnsi="Times New Roman"/>
          <w:i/>
          <w:sz w:val="24"/>
          <w:szCs w:val="24"/>
        </w:rPr>
        <w:t>k</w:t>
      </w:r>
      <w:r w:rsidRPr="00DB7AAF">
        <w:rPr>
          <w:rFonts w:ascii="Times New Roman" w:hAnsi="Times New Roman"/>
          <w:sz w:val="24"/>
          <w:szCs w:val="24"/>
        </w:rPr>
        <w:t xml:space="preserve"> values of vitamin C degradation, the data collected were fitted using the equations (1), (2), (3) and (6).  The best </w:t>
      </w:r>
      <w:r w:rsidRPr="00DB7AAF">
        <w:rPr>
          <w:rFonts w:ascii="Times New Roman" w:hAnsi="Times New Roman"/>
          <w:sz w:val="24"/>
          <w:szCs w:val="24"/>
        </w:rPr>
        <w:lastRenderedPageBreak/>
        <w:t>kinetic model was chosen after comparison of the coefficients of determination (R</w:t>
      </w:r>
      <w:r w:rsidRPr="00DB7AAF">
        <w:rPr>
          <w:rFonts w:ascii="Times New Roman" w:hAnsi="Times New Roman"/>
          <w:sz w:val="24"/>
          <w:szCs w:val="24"/>
          <w:vertAlign w:val="superscript"/>
        </w:rPr>
        <w:t>2</w:t>
      </w:r>
      <w:r w:rsidRPr="00DB7AAF">
        <w:rPr>
          <w:rFonts w:ascii="Times New Roman" w:hAnsi="Times New Roman"/>
          <w:sz w:val="24"/>
          <w:szCs w:val="24"/>
        </w:rPr>
        <w:t xml:space="preserve">), root mean square error (RMSE) and visual examination of distribution of residuals of plotted data. </w:t>
      </w:r>
    </w:p>
    <w:p w:rsidR="00F14CA8" w:rsidRPr="00DB7AAF" w:rsidRDefault="00F14CA8" w:rsidP="00F14CA8">
      <w:pPr>
        <w:spacing w:after="0" w:line="360" w:lineRule="auto"/>
        <w:jc w:val="both"/>
        <w:rPr>
          <w:rFonts w:ascii="Times New Roman" w:hAnsi="Times New Roman"/>
          <w:sz w:val="24"/>
          <w:szCs w:val="24"/>
        </w:rPr>
      </w:pPr>
    </w:p>
    <w:p w:rsidR="00F14CA8" w:rsidRPr="00DB7AAF" w:rsidRDefault="00F14CA8" w:rsidP="00F14CA8">
      <w:pPr>
        <w:spacing w:after="0" w:line="360" w:lineRule="auto"/>
        <w:jc w:val="both"/>
        <w:outlineLvl w:val="0"/>
        <w:rPr>
          <w:rFonts w:ascii="Times New Roman" w:hAnsi="Times New Roman"/>
          <w:sz w:val="24"/>
          <w:szCs w:val="24"/>
        </w:rPr>
      </w:pPr>
      <w:r w:rsidRPr="00DB7AAF">
        <w:rPr>
          <w:rFonts w:ascii="Times New Roman" w:hAnsi="Times New Roman"/>
          <w:sz w:val="24"/>
          <w:szCs w:val="24"/>
        </w:rPr>
        <w:t>Zero order (eq. 1):</w:t>
      </w:r>
      <w:r w:rsidRPr="00DB7AAF">
        <w:rPr>
          <w:rFonts w:ascii="Times New Roman" w:hAnsi="Times New Roman"/>
          <w:sz w:val="24"/>
          <w:szCs w:val="24"/>
        </w:rPr>
        <w:tab/>
      </w:r>
      <w:r w:rsidRPr="00DB7AAF">
        <w:rPr>
          <w:rFonts w:ascii="Times New Roman" w:hAnsi="Times New Roman"/>
          <w:sz w:val="24"/>
          <w:szCs w:val="24"/>
        </w:rPr>
        <w:tab/>
      </w:r>
      <w:r w:rsidRPr="00DB7AAF">
        <w:rPr>
          <w:rFonts w:ascii="Times New Roman" w:hAnsi="Times New Roman"/>
          <w:sz w:val="24"/>
          <w:szCs w:val="24"/>
        </w:rPr>
        <w:tab/>
      </w:r>
      <w:r w:rsidRPr="00DB7AAF">
        <w:rPr>
          <w:rFonts w:ascii="Times New Roman" w:hAnsi="Times New Roman"/>
          <w:sz w:val="24"/>
          <w:szCs w:val="24"/>
        </w:rPr>
        <w:tab/>
      </w:r>
      <m:oMath>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0</m:t>
            </m:r>
          </m:sub>
        </m:sSub>
        <m:r>
          <w:rPr>
            <w:rFonts w:ascii="Cambria Math" w:hAnsi="Cambria Math"/>
            <w:sz w:val="24"/>
            <w:szCs w:val="24"/>
          </w:rPr>
          <m:t>t</m:t>
        </m:r>
      </m:oMath>
      <w:r w:rsidRPr="00DB7AAF">
        <w:rPr>
          <w:rFonts w:ascii="Times New Roman" w:hAnsi="Times New Roman"/>
          <w:sz w:val="24"/>
          <w:szCs w:val="24"/>
        </w:rPr>
        <w:t xml:space="preserve">  </w:t>
      </w:r>
    </w:p>
    <w:p w:rsidR="00F14CA8" w:rsidRDefault="00F14CA8" w:rsidP="00F14CA8">
      <w:pPr>
        <w:spacing w:after="0" w:line="360" w:lineRule="auto"/>
        <w:jc w:val="both"/>
        <w:rPr>
          <w:rFonts w:ascii="Times New Roman" w:hAnsi="Times New Roman"/>
          <w:sz w:val="24"/>
          <w:szCs w:val="24"/>
        </w:rPr>
      </w:pPr>
    </w:p>
    <w:p w:rsidR="00F14CA8" w:rsidRPr="00DB7AAF" w:rsidRDefault="00F14CA8" w:rsidP="00F14CA8">
      <w:pPr>
        <w:spacing w:after="0" w:line="360" w:lineRule="auto"/>
        <w:jc w:val="both"/>
        <w:rPr>
          <w:rFonts w:ascii="Times New Roman" w:hAnsi="Times New Roman"/>
          <w:sz w:val="24"/>
          <w:szCs w:val="24"/>
        </w:rPr>
      </w:pPr>
      <w:r w:rsidRPr="00DB7AAF">
        <w:rPr>
          <w:rFonts w:ascii="Times New Roman" w:hAnsi="Times New Roman"/>
          <w:sz w:val="24"/>
          <w:szCs w:val="24"/>
        </w:rPr>
        <w:t>First order (eq. 2):</w:t>
      </w:r>
      <w:r w:rsidRPr="00DB7AAF">
        <w:rPr>
          <w:rFonts w:ascii="Times New Roman" w:hAnsi="Times New Roman"/>
          <w:sz w:val="24"/>
          <w:szCs w:val="24"/>
        </w:rPr>
        <w:tab/>
      </w:r>
      <w:r w:rsidRPr="00DB7AAF">
        <w:rPr>
          <w:rFonts w:ascii="Times New Roman" w:hAnsi="Times New Roman"/>
          <w:sz w:val="24"/>
          <w:szCs w:val="24"/>
        </w:rPr>
        <w:tab/>
      </w:r>
      <w:r w:rsidRPr="00DB7AAF">
        <w:rPr>
          <w:rFonts w:ascii="Times New Roman" w:hAnsi="Times New Roman"/>
          <w:sz w:val="24"/>
          <w:szCs w:val="24"/>
        </w:rPr>
        <w:tab/>
      </w:r>
      <w:r w:rsidRPr="00DB7AAF">
        <w:rPr>
          <w:rFonts w:ascii="Times New Roman" w:hAnsi="Times New Roman"/>
          <w:sz w:val="24"/>
          <w:szCs w:val="24"/>
        </w:rPr>
        <w:tab/>
      </w:r>
      <m:oMath>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r>
          <m:rPr>
            <m:sty m:val="p"/>
          </m:rPr>
          <w:rPr>
            <w:rFonts w:ascii="Cambria Math" w:hAnsi="Cambria Math"/>
            <w:sz w:val="24"/>
            <w:szCs w:val="24"/>
          </w:rPr>
          <m:t>exp⁡</m:t>
        </m:r>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1</m:t>
            </m:r>
          </m:sub>
        </m:sSub>
        <m:r>
          <w:rPr>
            <w:rFonts w:ascii="Cambria Math" w:hAnsi="Cambria Math"/>
            <w:sz w:val="24"/>
            <w:szCs w:val="24"/>
          </w:rPr>
          <m:t>t)</m:t>
        </m:r>
      </m:oMath>
    </w:p>
    <w:p w:rsidR="00F14CA8" w:rsidRDefault="00F14CA8" w:rsidP="00F14CA8">
      <w:pPr>
        <w:spacing w:after="0" w:line="360" w:lineRule="auto"/>
        <w:jc w:val="both"/>
        <w:rPr>
          <w:rFonts w:ascii="Times New Roman" w:hAnsi="Times New Roman"/>
          <w:sz w:val="24"/>
          <w:szCs w:val="24"/>
        </w:rPr>
      </w:pPr>
    </w:p>
    <w:p w:rsidR="00F14CA8" w:rsidRPr="00DB7AAF" w:rsidRDefault="00F14CA8" w:rsidP="00F14CA8">
      <w:pPr>
        <w:spacing w:after="0" w:line="360" w:lineRule="auto"/>
        <w:jc w:val="both"/>
        <w:rPr>
          <w:rFonts w:ascii="Times New Roman" w:hAnsi="Times New Roman"/>
          <w:sz w:val="24"/>
          <w:szCs w:val="24"/>
        </w:rPr>
      </w:pPr>
      <w:r w:rsidRPr="00DB7AAF">
        <w:rPr>
          <w:rFonts w:ascii="Times New Roman" w:hAnsi="Times New Roman"/>
          <w:sz w:val="24"/>
          <w:szCs w:val="24"/>
        </w:rPr>
        <w:t xml:space="preserve">Second order (eq. 3): </w:t>
      </w:r>
      <w:r w:rsidRPr="00DB7AAF">
        <w:rPr>
          <w:rFonts w:ascii="Times New Roman" w:hAnsi="Times New Roman"/>
          <w:sz w:val="24"/>
          <w:szCs w:val="24"/>
        </w:rPr>
        <w:tab/>
      </w:r>
      <w:r w:rsidRPr="00DB7AAF">
        <w:rPr>
          <w:rFonts w:ascii="Times New Roman" w:hAnsi="Times New Roman"/>
          <w:sz w:val="24"/>
          <w:szCs w:val="24"/>
        </w:rPr>
        <w:tab/>
      </w:r>
      <w:r w:rsidRPr="00DB7AAF">
        <w:rPr>
          <w:rFonts w:ascii="Times New Roman" w:hAnsi="Times New Roman"/>
          <w:sz w:val="24"/>
          <w:szCs w:val="24"/>
        </w:rPr>
        <w:tab/>
      </w:r>
      <w:r w:rsidRPr="00DB7AAF">
        <w:rPr>
          <w:rFonts w:ascii="Times New Roman" w:hAnsi="Times New Roman"/>
          <w:sz w:val="24"/>
          <w:szCs w:val="24"/>
        </w:rPr>
        <w:tab/>
      </w:r>
      <m:oMath>
        <m:r>
          <w:rPr>
            <w:rFonts w:ascii="Cambria Math" w:hAnsi="Cambria Math"/>
            <w:sz w:val="24"/>
            <w:szCs w:val="24"/>
          </w:rPr>
          <m:t xml:space="preserve">c= </m:t>
        </m:r>
        <m:f>
          <m:fPr>
            <m:ctrlPr>
              <w:rPr>
                <w:rFonts w:ascii="Cambria Math" w:hAnsi="Cambria Math"/>
                <w:i/>
                <w:sz w:val="24"/>
                <w:szCs w:val="24"/>
              </w:rPr>
            </m:ctrlPr>
          </m:fPr>
          <m:num>
            <m:r>
              <w:rPr>
                <w:rFonts w:ascii="Cambria Math" w:hAnsi="Cambria Math"/>
                <w:sz w:val="24"/>
                <w:szCs w:val="24"/>
              </w:rPr>
              <m:t>1</m:t>
            </m:r>
          </m:num>
          <m:den>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den>
                </m:f>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2</m:t>
                </m:r>
              </m:sub>
            </m:sSub>
            <m:r>
              <w:rPr>
                <w:rFonts w:ascii="Cambria Math" w:hAnsi="Cambria Math"/>
                <w:sz w:val="24"/>
                <w:szCs w:val="24"/>
              </w:rPr>
              <m:t>t)</m:t>
            </m:r>
          </m:den>
        </m:f>
      </m:oMath>
    </w:p>
    <w:p w:rsidR="00F14CA8" w:rsidRPr="00DB7AAF" w:rsidRDefault="00F14CA8" w:rsidP="00F14CA8">
      <w:pPr>
        <w:spacing w:after="0" w:line="360" w:lineRule="auto"/>
        <w:jc w:val="both"/>
        <w:rPr>
          <w:rFonts w:ascii="Times New Roman" w:hAnsi="Times New Roman"/>
          <w:sz w:val="24"/>
          <w:szCs w:val="24"/>
        </w:rPr>
      </w:pPr>
    </w:p>
    <w:p w:rsidR="00F14CA8" w:rsidRPr="00DB7AAF" w:rsidRDefault="00F14CA8" w:rsidP="00F14CA8">
      <w:pPr>
        <w:spacing w:after="0" w:line="360" w:lineRule="auto"/>
        <w:jc w:val="both"/>
        <w:rPr>
          <w:rFonts w:ascii="Times New Roman" w:hAnsi="Times New Roman"/>
          <w:sz w:val="24"/>
          <w:szCs w:val="24"/>
        </w:rPr>
      </w:pPr>
      <w:r w:rsidRPr="00DB7AAF">
        <w:rPr>
          <w:rFonts w:ascii="Times New Roman" w:hAnsi="Times New Roman"/>
          <w:sz w:val="24"/>
          <w:szCs w:val="24"/>
        </w:rPr>
        <w:t>Combined kinetics model (eq. 4):</w:t>
      </w:r>
      <w:r w:rsidRPr="00DB7AAF">
        <w:rPr>
          <w:rFonts w:ascii="Times New Roman" w:hAnsi="Times New Roman"/>
          <w:sz w:val="24"/>
          <w:szCs w:val="24"/>
        </w:rPr>
        <w:tab/>
      </w:r>
      <w:r w:rsidRPr="00DB7AAF">
        <w:rPr>
          <w:rFonts w:ascii="Times New Roman" w:hAnsi="Times New Roman"/>
          <w:sz w:val="24"/>
          <w:szCs w:val="24"/>
        </w:rPr>
        <w:tab/>
      </w:r>
      <m:oMath>
        <m:r>
          <w:rPr>
            <w:rFonts w:ascii="Cambria Math" w:hAnsi="Cambria Math"/>
            <w:sz w:val="24"/>
            <w:szCs w:val="24"/>
          </w:rPr>
          <m:t>C=</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0</m:t>
                </m:r>
              </m:sub>
            </m:sSub>
          </m:num>
          <m:den>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1</m:t>
                </m:r>
              </m:sub>
            </m:sSub>
          </m:den>
        </m:f>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e>
        </m:d>
        <m:r>
          <m:rPr>
            <m:sty m:val="p"/>
          </m:rPr>
          <w:rPr>
            <w:rFonts w:ascii="Cambria Math" w:hAnsi="Cambria Math"/>
            <w:sz w:val="24"/>
            <w:szCs w:val="24"/>
          </w:rPr>
          <m:t>exp⁡</m:t>
        </m:r>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1 </m:t>
            </m:r>
          </m:sub>
        </m:sSub>
        <m:r>
          <w:rPr>
            <w:rFonts w:ascii="Cambria Math" w:hAnsi="Cambria Math"/>
            <w:sz w:val="24"/>
            <w:szCs w:val="24"/>
          </w:rPr>
          <m:t>t)</m:t>
        </m:r>
      </m:oMath>
    </w:p>
    <w:p w:rsidR="0034718D" w:rsidRDefault="0034718D" w:rsidP="00F14CA8">
      <w:pPr>
        <w:spacing w:after="0" w:line="360" w:lineRule="auto"/>
        <w:jc w:val="both"/>
        <w:rPr>
          <w:rFonts w:ascii="Times New Roman" w:hAnsi="Times New Roman"/>
          <w:sz w:val="24"/>
          <w:szCs w:val="24"/>
        </w:rPr>
      </w:pPr>
    </w:p>
    <w:p w:rsidR="00F14CA8" w:rsidRPr="00DB7AAF" w:rsidRDefault="00F14CA8" w:rsidP="00F14CA8">
      <w:pPr>
        <w:spacing w:after="0" w:line="360" w:lineRule="auto"/>
        <w:jc w:val="both"/>
        <w:rPr>
          <w:rFonts w:ascii="Times New Roman" w:hAnsi="Times New Roman"/>
          <w:sz w:val="24"/>
          <w:szCs w:val="24"/>
        </w:rPr>
      </w:pPr>
      <w:r w:rsidRPr="00DB7AAF">
        <w:rPr>
          <w:rFonts w:ascii="Times New Roman" w:hAnsi="Times New Roman"/>
          <w:sz w:val="24"/>
          <w:szCs w:val="24"/>
        </w:rPr>
        <w:t xml:space="preserve">Combined kinetics model in ∆E* (eq. 5): </w:t>
      </w:r>
      <w:r w:rsidRPr="00DB7AAF">
        <w:rPr>
          <w:rFonts w:ascii="Times New Roman" w:hAnsi="Times New Roman"/>
          <w:sz w:val="24"/>
          <w:szCs w:val="24"/>
        </w:rPr>
        <w:tab/>
      </w:r>
      <m:oMath>
        <m:r>
          <w:rPr>
            <w:rFonts w:ascii="Cambria Math" w:hAnsi="Cambria Math"/>
            <w:sz w:val="24"/>
            <w:szCs w:val="24"/>
          </w:rPr>
          <m:t>∆E=</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0</m:t>
                </m:r>
              </m:sub>
            </m:sSub>
          </m:num>
          <m:den>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1</m:t>
                </m:r>
              </m:sub>
            </m:sSub>
          </m:den>
        </m:f>
        <m:r>
          <w:rPr>
            <w:rFonts w:ascii="Cambria Math" w:hAnsi="Cambria Math"/>
            <w:sz w:val="24"/>
            <w:szCs w:val="24"/>
          </w:rPr>
          <m:t>(1-</m:t>
        </m:r>
        <m:func>
          <m:funcPr>
            <m:ctrlPr>
              <w:rPr>
                <w:rFonts w:ascii="Cambria Math" w:hAnsi="Cambria Math"/>
                <w:sz w:val="24"/>
                <w:szCs w:val="24"/>
              </w:rPr>
            </m:ctrlPr>
          </m:funcPr>
          <m:fName>
            <m:r>
              <m:rPr>
                <m:sty m:val="p"/>
              </m:rPr>
              <w:rPr>
                <w:rFonts w:ascii="Cambria Math" w:hAnsi="Cambria Math"/>
                <w:sz w:val="24"/>
                <w:szCs w:val="24"/>
              </w:rPr>
              <m:t>exp</m:t>
            </m:r>
          </m:fName>
          <m:e>
            <m:d>
              <m:dPr>
                <m:ctrlPr>
                  <w:rPr>
                    <w:rFonts w:ascii="Cambria Math" w:hAnsi="Cambria Math"/>
                    <w:i/>
                    <w:sz w:val="24"/>
                    <w:szCs w:val="24"/>
                  </w:rPr>
                </m:ctrlPr>
              </m:dPr>
              <m:e>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1 </m:t>
                    </m:r>
                  </m:sub>
                </m:sSub>
                <m:r>
                  <w:rPr>
                    <w:rFonts w:ascii="Cambria Math" w:hAnsi="Cambria Math"/>
                    <w:sz w:val="24"/>
                    <w:szCs w:val="24"/>
                  </w:rPr>
                  <m:t>t</m:t>
                </m:r>
              </m:e>
            </m:d>
            <m:ctrlPr>
              <w:rPr>
                <w:rFonts w:ascii="Cambria Math" w:hAnsi="Cambria Math"/>
                <w:i/>
                <w:sz w:val="24"/>
                <w:szCs w:val="24"/>
              </w:rPr>
            </m:ctrlPr>
          </m:e>
        </m:func>
        <m:r>
          <w:rPr>
            <w:rFonts w:ascii="Cambria Math" w:hAnsi="Cambria Math"/>
            <w:sz w:val="24"/>
            <w:szCs w:val="24"/>
          </w:rPr>
          <m:t>)</m:t>
        </m:r>
      </m:oMath>
    </w:p>
    <w:p w:rsidR="00F14CA8" w:rsidRDefault="00F14CA8" w:rsidP="00F14CA8">
      <w:pPr>
        <w:spacing w:after="0" w:line="360" w:lineRule="auto"/>
        <w:jc w:val="both"/>
        <w:rPr>
          <w:rFonts w:ascii="Times New Roman" w:hAnsi="Times New Roman"/>
          <w:sz w:val="24"/>
          <w:szCs w:val="24"/>
        </w:rPr>
      </w:pPr>
    </w:p>
    <w:p w:rsidR="00F14CA8" w:rsidRPr="00DB7AAF" w:rsidRDefault="00F14CA8" w:rsidP="00F14CA8">
      <w:pPr>
        <w:spacing w:after="0" w:line="360" w:lineRule="auto"/>
        <w:jc w:val="both"/>
        <w:rPr>
          <w:rFonts w:ascii="Times New Roman" w:hAnsi="Times New Roman"/>
          <w:sz w:val="24"/>
          <w:szCs w:val="24"/>
        </w:rPr>
      </w:pPr>
      <w:r w:rsidRPr="00DB7AAF">
        <w:rPr>
          <w:rFonts w:ascii="Times New Roman" w:hAnsi="Times New Roman"/>
          <w:sz w:val="24"/>
          <w:szCs w:val="24"/>
        </w:rPr>
        <w:t>Weibull model (eq. 6):</w:t>
      </w:r>
    </w:p>
    <w:p w:rsidR="00F14CA8" w:rsidRPr="00DB7AAF" w:rsidRDefault="00F14CA8" w:rsidP="00F14CA8">
      <w:pPr>
        <w:pStyle w:val="ListParagraph"/>
        <w:spacing w:after="0" w:line="360" w:lineRule="auto"/>
        <w:jc w:val="both"/>
        <w:rPr>
          <w:rFonts w:ascii="Times New Roman" w:hAnsi="Times New Roman"/>
          <w:sz w:val="24"/>
          <w:szCs w:val="24"/>
        </w:rPr>
      </w:pPr>
      <m:oMathPara>
        <m:oMath>
          <m:r>
            <w:rPr>
              <w:rFonts w:ascii="Cambria Math" w:hAnsi="Cambria Math"/>
              <w:sz w:val="24"/>
              <w:szCs w:val="24"/>
            </w:rPr>
            <m:t>C=</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m:t>
              </m:r>
            </m:sub>
          </m:sSub>
          <m:r>
            <m:rPr>
              <m:sty m:val="p"/>
            </m:rPr>
            <w:rPr>
              <w:rFonts w:ascii="Cambria Math" w:hAnsi="Cambria Math"/>
              <w:sz w:val="24"/>
              <w:szCs w:val="24"/>
            </w:rPr>
            <m:t>exp⁡</m:t>
          </m:r>
          <m:sSup>
            <m:sSupPr>
              <m:ctrlPr>
                <w:rPr>
                  <w:rFonts w:ascii="Cambria Math" w:hAnsi="Cambria Math"/>
                  <w:i/>
                  <w:sz w:val="24"/>
                  <w:szCs w:val="24"/>
                </w:rPr>
              </m:ctrlPr>
            </m:sSupPr>
            <m:e>
              <m:r>
                <m:rPr>
                  <m:sty m:val="p"/>
                </m:rPr>
                <w:rPr>
                  <w:rFonts w:ascii="Cambria Math" w:hAnsi="Cambria Math"/>
                  <w:sz w:val="24"/>
                  <w:szCs w:val="24"/>
                </w:rPr>
                <m:t>⁡</m:t>
              </m:r>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1</m:t>
                  </m:r>
                </m:sub>
              </m:sSub>
              <m:r>
                <w:rPr>
                  <w:rFonts w:ascii="Cambria Math" w:hAnsi="Cambria Math"/>
                  <w:sz w:val="24"/>
                  <w:szCs w:val="24"/>
                </w:rPr>
                <m:t>t)</m:t>
              </m:r>
            </m:e>
            <m:sup>
              <m:r>
                <w:rPr>
                  <w:rFonts w:ascii="Cambria Math" w:hAnsi="Cambria Math"/>
                  <w:sz w:val="24"/>
                  <w:szCs w:val="24"/>
                </w:rPr>
                <m:t>β</m:t>
              </m:r>
            </m:sup>
          </m:sSup>
        </m:oMath>
      </m:oMathPara>
    </w:p>
    <w:p w:rsidR="00F14CA8" w:rsidRDefault="00F14CA8" w:rsidP="00F14CA8">
      <w:pPr>
        <w:pStyle w:val="ListParagraph"/>
        <w:spacing w:after="0" w:line="360" w:lineRule="auto"/>
        <w:ind w:left="0"/>
        <w:jc w:val="both"/>
        <w:rPr>
          <w:rFonts w:ascii="Times New Roman" w:hAnsi="Times New Roman"/>
          <w:sz w:val="24"/>
          <w:szCs w:val="24"/>
        </w:rPr>
      </w:pPr>
    </w:p>
    <w:p w:rsidR="00F14CA8" w:rsidRPr="00DB7AAF" w:rsidRDefault="00F14CA8" w:rsidP="00F14CA8">
      <w:pPr>
        <w:pStyle w:val="ListParagraph"/>
        <w:spacing w:after="0" w:line="360" w:lineRule="auto"/>
        <w:ind w:left="0"/>
        <w:jc w:val="both"/>
        <w:rPr>
          <w:rFonts w:ascii="Times New Roman" w:hAnsi="Times New Roman"/>
          <w:sz w:val="24"/>
          <w:szCs w:val="24"/>
        </w:rPr>
      </w:pPr>
      <w:r w:rsidRPr="00DB7AAF">
        <w:rPr>
          <w:rFonts w:ascii="Times New Roman" w:hAnsi="Times New Roman"/>
          <w:sz w:val="24"/>
          <w:szCs w:val="24"/>
        </w:rPr>
        <w:t>Where:</w:t>
      </w:r>
    </w:p>
    <w:p w:rsidR="00F82E9A" w:rsidRDefault="00F82E9A" w:rsidP="00F14CA8">
      <w:pPr>
        <w:pStyle w:val="ListParagraph"/>
        <w:spacing w:after="0" w:line="360" w:lineRule="auto"/>
        <w:ind w:left="0"/>
        <w:jc w:val="both"/>
        <w:rPr>
          <w:rFonts w:ascii="Times New Roman" w:hAnsi="Times New Roman"/>
          <w:i/>
          <w:sz w:val="24"/>
          <w:szCs w:val="24"/>
        </w:rPr>
        <w:sectPr w:rsidR="00F82E9A" w:rsidSect="00F82E9A">
          <w:type w:val="continuous"/>
          <w:pgSz w:w="12240" w:h="15840"/>
          <w:pgMar w:top="1440" w:right="1440" w:bottom="1440" w:left="1440" w:header="720" w:footer="720" w:gutter="0"/>
          <w:cols w:space="720"/>
          <w:docGrid w:linePitch="360"/>
        </w:sectPr>
      </w:pPr>
    </w:p>
    <w:p w:rsidR="00F14CA8" w:rsidRPr="00DB7AAF" w:rsidRDefault="00F14CA8" w:rsidP="00F14CA8">
      <w:pPr>
        <w:pStyle w:val="ListParagraph"/>
        <w:spacing w:after="0" w:line="360" w:lineRule="auto"/>
        <w:ind w:left="0"/>
        <w:jc w:val="both"/>
        <w:rPr>
          <w:rFonts w:ascii="Times New Roman" w:hAnsi="Times New Roman"/>
          <w:sz w:val="24"/>
          <w:szCs w:val="24"/>
        </w:rPr>
      </w:pPr>
      <w:proofErr w:type="gramStart"/>
      <w:r w:rsidRPr="00DB7AAF">
        <w:rPr>
          <w:rFonts w:ascii="Times New Roman" w:hAnsi="Times New Roman"/>
          <w:i/>
          <w:sz w:val="24"/>
          <w:szCs w:val="24"/>
        </w:rPr>
        <w:lastRenderedPageBreak/>
        <w:t xml:space="preserve">C  </w:t>
      </w:r>
      <w:r w:rsidRPr="00DB7AAF">
        <w:rPr>
          <w:rFonts w:ascii="Times New Roman" w:hAnsi="Times New Roman"/>
          <w:sz w:val="24"/>
          <w:szCs w:val="24"/>
        </w:rPr>
        <w:t>=</w:t>
      </w:r>
      <w:proofErr w:type="gramEnd"/>
      <w:r w:rsidRPr="00DB7AAF">
        <w:rPr>
          <w:rFonts w:ascii="Times New Roman" w:hAnsi="Times New Roman"/>
          <w:sz w:val="24"/>
          <w:szCs w:val="24"/>
        </w:rPr>
        <w:t xml:space="preserve"> Variable content studied at time </w:t>
      </w:r>
      <w:r w:rsidRPr="00DB7AAF">
        <w:rPr>
          <w:rFonts w:ascii="Times New Roman" w:hAnsi="Times New Roman"/>
          <w:i/>
          <w:sz w:val="24"/>
          <w:szCs w:val="24"/>
        </w:rPr>
        <w:t>t</w:t>
      </w:r>
    </w:p>
    <w:p w:rsidR="00F14CA8" w:rsidRPr="00DB7AAF" w:rsidRDefault="00F14CA8" w:rsidP="00F14CA8">
      <w:pPr>
        <w:pStyle w:val="ListParagraph"/>
        <w:spacing w:after="0" w:line="360" w:lineRule="auto"/>
        <w:ind w:left="0"/>
        <w:jc w:val="both"/>
        <w:rPr>
          <w:rFonts w:ascii="Times New Roman" w:hAnsi="Times New Roman"/>
          <w:sz w:val="24"/>
          <w:szCs w:val="24"/>
        </w:rPr>
      </w:pPr>
      <w:r w:rsidRPr="00DB7AAF">
        <w:rPr>
          <w:rFonts w:ascii="Times New Roman" w:hAnsi="Times New Roman"/>
          <w:i/>
          <w:sz w:val="24"/>
          <w:szCs w:val="24"/>
        </w:rPr>
        <w:t>C</w:t>
      </w:r>
      <w:r w:rsidRPr="00DB7AAF">
        <w:rPr>
          <w:rFonts w:ascii="Times New Roman" w:hAnsi="Times New Roman"/>
          <w:i/>
          <w:sz w:val="24"/>
          <w:szCs w:val="24"/>
          <w:vertAlign w:val="subscript"/>
        </w:rPr>
        <w:t>0</w:t>
      </w:r>
      <w:r w:rsidRPr="00DB7AAF">
        <w:rPr>
          <w:rFonts w:ascii="Times New Roman" w:hAnsi="Times New Roman"/>
          <w:sz w:val="24"/>
          <w:szCs w:val="24"/>
          <w:vertAlign w:val="subscript"/>
        </w:rPr>
        <w:t xml:space="preserve"> </w:t>
      </w:r>
      <w:r w:rsidRPr="00DB7AAF">
        <w:rPr>
          <w:rFonts w:ascii="Times New Roman" w:hAnsi="Times New Roman"/>
          <w:sz w:val="24"/>
          <w:szCs w:val="24"/>
        </w:rPr>
        <w:t>= Variable content at time zero</w:t>
      </w:r>
    </w:p>
    <w:p w:rsidR="00F14CA8" w:rsidRPr="00DB7AAF" w:rsidRDefault="00F14CA8" w:rsidP="00F14CA8">
      <w:pPr>
        <w:pStyle w:val="ListParagraph"/>
        <w:spacing w:after="0" w:line="360" w:lineRule="auto"/>
        <w:ind w:left="0"/>
        <w:jc w:val="both"/>
        <w:rPr>
          <w:rFonts w:ascii="Times New Roman" w:hAnsi="Times New Roman"/>
          <w:sz w:val="24"/>
          <w:szCs w:val="24"/>
          <w:vertAlign w:val="subscript"/>
        </w:rPr>
      </w:pPr>
      <w:r w:rsidRPr="00DB7AAF">
        <w:rPr>
          <w:rFonts w:ascii="Times New Roman" w:hAnsi="Times New Roman"/>
          <w:i/>
          <w:sz w:val="24"/>
          <w:szCs w:val="24"/>
        </w:rPr>
        <w:t>k</w:t>
      </w:r>
      <w:r w:rsidRPr="00DB7AAF">
        <w:rPr>
          <w:rFonts w:ascii="Times New Roman" w:hAnsi="Times New Roman"/>
          <w:i/>
          <w:sz w:val="24"/>
          <w:szCs w:val="24"/>
          <w:vertAlign w:val="subscript"/>
        </w:rPr>
        <w:t>0</w:t>
      </w:r>
      <w:r w:rsidRPr="00DB7AAF">
        <w:rPr>
          <w:rFonts w:ascii="Times New Roman" w:hAnsi="Times New Roman"/>
          <w:sz w:val="24"/>
          <w:szCs w:val="24"/>
          <w:vertAlign w:val="subscript"/>
        </w:rPr>
        <w:t xml:space="preserve"> </w:t>
      </w:r>
      <w:r w:rsidRPr="00DB7AAF">
        <w:rPr>
          <w:rFonts w:ascii="Times New Roman" w:hAnsi="Times New Roman"/>
          <w:sz w:val="24"/>
          <w:szCs w:val="24"/>
        </w:rPr>
        <w:t>= Zero order kinetic constant</w:t>
      </w:r>
    </w:p>
    <w:p w:rsidR="00F14CA8" w:rsidRPr="00DB7AAF" w:rsidRDefault="00F14CA8" w:rsidP="00F14CA8">
      <w:pPr>
        <w:pStyle w:val="ListParagraph"/>
        <w:spacing w:after="0" w:line="360" w:lineRule="auto"/>
        <w:ind w:left="0"/>
        <w:jc w:val="both"/>
        <w:rPr>
          <w:rFonts w:ascii="Times New Roman" w:hAnsi="Times New Roman"/>
          <w:sz w:val="24"/>
          <w:szCs w:val="24"/>
        </w:rPr>
      </w:pPr>
      <w:r w:rsidRPr="00DB7AAF">
        <w:rPr>
          <w:rFonts w:ascii="Times New Roman" w:hAnsi="Times New Roman"/>
          <w:i/>
          <w:sz w:val="24"/>
          <w:szCs w:val="24"/>
        </w:rPr>
        <w:t>k</w:t>
      </w:r>
      <w:r w:rsidRPr="00DB7AAF">
        <w:rPr>
          <w:rFonts w:ascii="Times New Roman" w:hAnsi="Times New Roman"/>
          <w:i/>
          <w:sz w:val="24"/>
          <w:szCs w:val="24"/>
          <w:vertAlign w:val="subscript"/>
        </w:rPr>
        <w:t>1</w:t>
      </w:r>
      <w:r w:rsidRPr="00DB7AAF">
        <w:rPr>
          <w:rFonts w:ascii="Times New Roman" w:hAnsi="Times New Roman"/>
          <w:sz w:val="24"/>
          <w:szCs w:val="24"/>
        </w:rPr>
        <w:t xml:space="preserve"> = First order kinetic constant</w:t>
      </w:r>
    </w:p>
    <w:p w:rsidR="00F14CA8" w:rsidRPr="00DB7AAF" w:rsidRDefault="00F14CA8" w:rsidP="00F14CA8">
      <w:pPr>
        <w:pStyle w:val="ListParagraph"/>
        <w:spacing w:after="0" w:line="360" w:lineRule="auto"/>
        <w:ind w:left="0"/>
        <w:jc w:val="both"/>
        <w:rPr>
          <w:rFonts w:ascii="Times New Roman" w:hAnsi="Times New Roman"/>
          <w:sz w:val="24"/>
          <w:szCs w:val="24"/>
        </w:rPr>
      </w:pPr>
      <w:r w:rsidRPr="00DB7AAF">
        <w:rPr>
          <w:rFonts w:ascii="Times New Roman" w:hAnsi="Times New Roman"/>
          <w:i/>
          <w:sz w:val="24"/>
          <w:szCs w:val="24"/>
        </w:rPr>
        <w:t>k</w:t>
      </w:r>
      <w:r w:rsidRPr="00DB7AAF">
        <w:rPr>
          <w:rFonts w:ascii="Times New Roman" w:hAnsi="Times New Roman"/>
          <w:i/>
          <w:sz w:val="24"/>
          <w:szCs w:val="24"/>
          <w:vertAlign w:val="subscript"/>
        </w:rPr>
        <w:t>2</w:t>
      </w:r>
      <w:r w:rsidRPr="00DB7AAF">
        <w:rPr>
          <w:rFonts w:ascii="Times New Roman" w:hAnsi="Times New Roman"/>
          <w:sz w:val="24"/>
          <w:szCs w:val="24"/>
          <w:vertAlign w:val="subscript"/>
        </w:rPr>
        <w:t xml:space="preserve"> </w:t>
      </w:r>
      <w:r w:rsidRPr="00DB7AAF">
        <w:rPr>
          <w:rFonts w:ascii="Times New Roman" w:hAnsi="Times New Roman"/>
          <w:sz w:val="24"/>
          <w:szCs w:val="24"/>
        </w:rPr>
        <w:t>= Second order kinetic constant</w:t>
      </w:r>
    </w:p>
    <w:p w:rsidR="00F14CA8" w:rsidRPr="00DB7AAF" w:rsidRDefault="00F14CA8" w:rsidP="00F14CA8">
      <w:pPr>
        <w:pStyle w:val="ListParagraph"/>
        <w:spacing w:after="0" w:line="360" w:lineRule="auto"/>
        <w:ind w:left="0"/>
        <w:jc w:val="both"/>
        <w:rPr>
          <w:rFonts w:ascii="Times New Roman" w:hAnsi="Times New Roman"/>
          <w:sz w:val="24"/>
          <w:szCs w:val="24"/>
        </w:rPr>
      </w:pPr>
      <w:r w:rsidRPr="00DB7AAF">
        <w:rPr>
          <w:rFonts w:ascii="Times New Roman" w:hAnsi="Times New Roman"/>
          <w:sz w:val="24"/>
          <w:szCs w:val="24"/>
        </w:rPr>
        <w:t>β = Shape parameter</w:t>
      </w:r>
    </w:p>
    <w:p w:rsidR="00F14CA8" w:rsidRPr="00DB7AAF" w:rsidRDefault="00F14CA8" w:rsidP="00F14CA8">
      <w:pPr>
        <w:pStyle w:val="ListParagraph"/>
        <w:spacing w:after="0" w:line="360" w:lineRule="auto"/>
        <w:ind w:left="0"/>
        <w:jc w:val="both"/>
        <w:rPr>
          <w:rFonts w:ascii="Times New Roman" w:hAnsi="Times New Roman"/>
          <w:sz w:val="24"/>
          <w:szCs w:val="24"/>
        </w:rPr>
      </w:pPr>
      <w:proofErr w:type="gramStart"/>
      <w:r w:rsidRPr="00DB7AAF">
        <w:rPr>
          <w:rFonts w:ascii="Times New Roman" w:hAnsi="Times New Roman"/>
          <w:i/>
          <w:sz w:val="24"/>
          <w:szCs w:val="24"/>
        </w:rPr>
        <w:t xml:space="preserve">t </w:t>
      </w:r>
      <w:r w:rsidRPr="00DB7AAF">
        <w:rPr>
          <w:rFonts w:ascii="Times New Roman" w:hAnsi="Times New Roman"/>
          <w:sz w:val="24"/>
          <w:szCs w:val="24"/>
        </w:rPr>
        <w:t xml:space="preserve"> =</w:t>
      </w:r>
      <w:proofErr w:type="gramEnd"/>
      <w:r w:rsidRPr="00DB7AAF">
        <w:rPr>
          <w:rFonts w:ascii="Times New Roman" w:hAnsi="Times New Roman"/>
          <w:sz w:val="24"/>
          <w:szCs w:val="24"/>
        </w:rPr>
        <w:t xml:space="preserve"> time</w:t>
      </w:r>
    </w:p>
    <w:p w:rsidR="00F82E9A" w:rsidRDefault="00F82E9A" w:rsidP="00F14CA8">
      <w:pPr>
        <w:pStyle w:val="ListParagraph"/>
        <w:spacing w:after="0" w:line="360" w:lineRule="auto"/>
        <w:ind w:left="0"/>
        <w:jc w:val="both"/>
        <w:rPr>
          <w:rFonts w:ascii="Times New Roman" w:hAnsi="Times New Roman"/>
          <w:sz w:val="24"/>
          <w:szCs w:val="24"/>
          <w:vertAlign w:val="subscript"/>
        </w:rPr>
        <w:sectPr w:rsidR="00F82E9A" w:rsidSect="00F82E9A">
          <w:type w:val="continuous"/>
          <w:pgSz w:w="12240" w:h="15840"/>
          <w:pgMar w:top="1440" w:right="1440" w:bottom="1440" w:left="1440" w:header="720" w:footer="720" w:gutter="0"/>
          <w:cols w:space="720"/>
          <w:docGrid w:linePitch="360"/>
        </w:sectPr>
      </w:pPr>
    </w:p>
    <w:p w:rsidR="00F14CA8" w:rsidRDefault="00F14CA8" w:rsidP="00F14CA8">
      <w:pPr>
        <w:pStyle w:val="ListParagraph"/>
        <w:spacing w:after="0" w:line="360" w:lineRule="auto"/>
        <w:ind w:left="0"/>
        <w:jc w:val="both"/>
        <w:rPr>
          <w:rFonts w:ascii="Times New Roman" w:hAnsi="Times New Roman"/>
          <w:sz w:val="24"/>
          <w:szCs w:val="24"/>
          <w:vertAlign w:val="subscript"/>
        </w:rPr>
      </w:pPr>
    </w:p>
    <w:p w:rsidR="00F14CA8" w:rsidRPr="0025744F" w:rsidRDefault="00F14CA8" w:rsidP="00F14CA8">
      <w:pPr>
        <w:pStyle w:val="ListParagraph"/>
        <w:spacing w:line="360" w:lineRule="auto"/>
        <w:ind w:left="0" w:firstLine="708"/>
        <w:jc w:val="both"/>
        <w:rPr>
          <w:rFonts w:ascii="Times New Roman" w:hAnsi="Times New Roman"/>
          <w:sz w:val="24"/>
          <w:szCs w:val="24"/>
        </w:rPr>
      </w:pPr>
      <w:r w:rsidRPr="00DB7AAF">
        <w:rPr>
          <w:rFonts w:ascii="Times New Roman" w:hAnsi="Times New Roman"/>
          <w:sz w:val="24"/>
          <w:szCs w:val="24"/>
        </w:rPr>
        <w:t xml:space="preserve">The fitting process for the equations (1), (2) and (3) was done by using linear regression in JMP 8.0 (SAS Institute, Cary, NC).  Equations (4), (5) and (6) were solved by non linear techniques using Statgraphics Plus v. 5.1 (Statgraphics, Warrenton, VA). </w:t>
      </w:r>
      <w:r>
        <w:rPr>
          <w:rFonts w:ascii="Times New Roman" w:hAnsi="Times New Roman"/>
          <w:sz w:val="24"/>
          <w:szCs w:val="24"/>
        </w:rPr>
        <w:t xml:space="preserve"> </w:t>
      </w:r>
      <w:r w:rsidRPr="00DB7AAF">
        <w:rPr>
          <w:rFonts w:ascii="Times New Roman" w:hAnsi="Times New Roman"/>
          <w:sz w:val="24"/>
          <w:szCs w:val="24"/>
        </w:rPr>
        <w:t xml:space="preserve">A complete factorial design </w:t>
      </w:r>
      <w:r>
        <w:rPr>
          <w:rFonts w:ascii="Times New Roman" w:hAnsi="Times New Roman"/>
          <w:sz w:val="24"/>
          <w:szCs w:val="24"/>
        </w:rPr>
        <w:t xml:space="preserve">using </w:t>
      </w:r>
      <w:r w:rsidRPr="00DB7AAF">
        <w:rPr>
          <w:rFonts w:ascii="Times New Roman" w:hAnsi="Times New Roman"/>
          <w:sz w:val="24"/>
          <w:szCs w:val="24"/>
        </w:rPr>
        <w:t>JMP 8.0 (SAS Institute, Cary, NC)</w:t>
      </w:r>
      <w:r>
        <w:rPr>
          <w:rFonts w:ascii="Times New Roman" w:hAnsi="Times New Roman"/>
          <w:sz w:val="24"/>
          <w:szCs w:val="24"/>
        </w:rPr>
        <w:t xml:space="preserve"> </w:t>
      </w:r>
      <w:r w:rsidRPr="00DB7AAF">
        <w:rPr>
          <w:rFonts w:ascii="Times New Roman" w:hAnsi="Times New Roman"/>
          <w:sz w:val="24"/>
          <w:szCs w:val="24"/>
        </w:rPr>
        <w:t xml:space="preserve">was </w:t>
      </w:r>
      <w:r>
        <w:rPr>
          <w:rFonts w:ascii="Times New Roman" w:hAnsi="Times New Roman"/>
          <w:sz w:val="24"/>
          <w:szCs w:val="24"/>
        </w:rPr>
        <w:t>conducted</w:t>
      </w:r>
      <w:r w:rsidRPr="00DB7AAF">
        <w:rPr>
          <w:rFonts w:ascii="Times New Roman" w:hAnsi="Times New Roman"/>
          <w:sz w:val="24"/>
          <w:szCs w:val="24"/>
        </w:rPr>
        <w:t xml:space="preserve"> to determine if there were </w:t>
      </w:r>
      <w:r w:rsidRPr="00DB7AAF">
        <w:rPr>
          <w:rFonts w:ascii="Times New Roman" w:hAnsi="Times New Roman"/>
          <w:sz w:val="24"/>
          <w:szCs w:val="24"/>
        </w:rPr>
        <w:lastRenderedPageBreak/>
        <w:t xml:space="preserve">significant effects due to the </w:t>
      </w:r>
      <w:r>
        <w:rPr>
          <w:rFonts w:ascii="Times New Roman" w:hAnsi="Times New Roman"/>
          <w:sz w:val="24"/>
          <w:szCs w:val="24"/>
        </w:rPr>
        <w:t>CaCl</w:t>
      </w:r>
      <w:r w:rsidRPr="001B61C3">
        <w:rPr>
          <w:rFonts w:ascii="Times New Roman" w:hAnsi="Times New Roman"/>
          <w:sz w:val="24"/>
          <w:szCs w:val="24"/>
          <w:vertAlign w:val="subscript"/>
        </w:rPr>
        <w:t>2</w:t>
      </w:r>
      <w:r>
        <w:rPr>
          <w:rFonts w:ascii="Times New Roman" w:hAnsi="Times New Roman"/>
          <w:sz w:val="24"/>
          <w:szCs w:val="24"/>
          <w:vertAlign w:val="subscript"/>
        </w:rPr>
        <w:t xml:space="preserve"> </w:t>
      </w:r>
      <w:r>
        <w:rPr>
          <w:rFonts w:ascii="Times New Roman" w:hAnsi="Times New Roman"/>
          <w:sz w:val="24"/>
          <w:szCs w:val="24"/>
        </w:rPr>
        <w:t>or α-glucosylrutin. Tukey´s HSD was used to</w:t>
      </w:r>
      <w:r w:rsidRPr="0025744F">
        <w:rPr>
          <w:rFonts w:ascii="Times New Roman" w:hAnsi="Times New Roman"/>
          <w:sz w:val="24"/>
          <w:szCs w:val="24"/>
        </w:rPr>
        <w:t xml:space="preserve"> evaluate the differences among each treatment. </w:t>
      </w:r>
    </w:p>
    <w:p w:rsidR="00F14CA8" w:rsidRPr="00EF121F" w:rsidRDefault="00F14CA8" w:rsidP="00F14CA8">
      <w:pPr>
        <w:pStyle w:val="ListParagraph"/>
        <w:spacing w:line="360" w:lineRule="auto"/>
        <w:ind w:left="0" w:firstLine="708"/>
        <w:jc w:val="both"/>
        <w:rPr>
          <w:rFonts w:ascii="Times New Roman" w:hAnsi="Times New Roman"/>
          <w:sz w:val="24"/>
          <w:szCs w:val="24"/>
        </w:rPr>
        <w:sectPr w:rsidR="00F14CA8" w:rsidRPr="00EF121F" w:rsidSect="00F82E9A">
          <w:type w:val="continuous"/>
          <w:pgSz w:w="12240" w:h="15840"/>
          <w:pgMar w:top="1440" w:right="1440" w:bottom="1440" w:left="1440" w:header="720" w:footer="720" w:gutter="0"/>
          <w:cols w:space="720"/>
          <w:docGrid w:linePitch="360"/>
        </w:sectPr>
      </w:pPr>
    </w:p>
    <w:p w:rsidR="00F14CA8" w:rsidRPr="00DB7AAF" w:rsidRDefault="00F14CA8" w:rsidP="00F14CA8">
      <w:pPr>
        <w:pStyle w:val="ListParagraph"/>
        <w:spacing w:line="360" w:lineRule="auto"/>
        <w:ind w:left="0"/>
        <w:jc w:val="both"/>
        <w:rPr>
          <w:rFonts w:ascii="Times New Roman" w:hAnsi="Times New Roman"/>
          <w:sz w:val="24"/>
          <w:szCs w:val="24"/>
          <w:vertAlign w:val="subscript"/>
        </w:rPr>
      </w:pPr>
    </w:p>
    <w:p w:rsidR="00F14CA8" w:rsidRPr="006671ED" w:rsidRDefault="00F14CA8" w:rsidP="00F14CA8">
      <w:pPr>
        <w:spacing w:after="0" w:line="360" w:lineRule="auto"/>
        <w:jc w:val="both"/>
        <w:rPr>
          <w:rFonts w:ascii="Times New Roman" w:hAnsi="Times New Roman" w:cs="Times New Roman"/>
          <w:b/>
          <w:sz w:val="24"/>
          <w:szCs w:val="24"/>
        </w:rPr>
      </w:pPr>
      <w:r w:rsidRPr="006671ED">
        <w:rPr>
          <w:rFonts w:ascii="Times New Roman" w:hAnsi="Times New Roman" w:cs="Times New Roman"/>
          <w:b/>
          <w:sz w:val="24"/>
          <w:szCs w:val="24"/>
        </w:rPr>
        <w:t>RESULTS AND DISCUSSION</w:t>
      </w:r>
    </w:p>
    <w:p w:rsidR="00F14CA8" w:rsidRPr="006671ED"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sz w:val="24"/>
          <w:szCs w:val="24"/>
        </w:rPr>
        <w:t xml:space="preserve">The L*, a* and b* parameters indicate how dark/light, red/green and yellow/blue the samples are, respectively </w:t>
      </w:r>
      <w:r>
        <w:rPr>
          <w:rFonts w:ascii="Times New Roman" w:hAnsi="Times New Roman"/>
          <w:noProof/>
          <w:sz w:val="24"/>
          <w:szCs w:val="24"/>
        </w:rPr>
        <w:t>(HunterLab 2008)</w:t>
      </w:r>
      <w:r w:rsidRPr="006671ED">
        <w:rPr>
          <w:rFonts w:ascii="Times New Roman" w:hAnsi="Times New Roman"/>
          <w:sz w:val="24"/>
          <w:szCs w:val="24"/>
        </w:rPr>
        <w:t>.</w:t>
      </w:r>
      <w:r>
        <w:rPr>
          <w:rFonts w:ascii="Times New Roman" w:hAnsi="Times New Roman"/>
          <w:sz w:val="24"/>
          <w:szCs w:val="24"/>
        </w:rPr>
        <w:t xml:space="preserve"> </w:t>
      </w:r>
      <w:r w:rsidRPr="006671ED">
        <w:rPr>
          <w:rFonts w:ascii="Times New Roman" w:hAnsi="Times New Roman"/>
          <w:sz w:val="24"/>
          <w:szCs w:val="24"/>
        </w:rPr>
        <w:t xml:space="preserve"> </w:t>
      </w:r>
      <w:r w:rsidRPr="006671ED">
        <w:rPr>
          <w:rFonts w:ascii="Times New Roman" w:hAnsi="Times New Roman" w:cs="Times New Roman"/>
          <w:sz w:val="24"/>
          <w:szCs w:val="24"/>
        </w:rPr>
        <w:t xml:space="preserve">∆E* indicates the size of the color difference in reference to the color measured at day 0. </w:t>
      </w:r>
      <w:r>
        <w:rPr>
          <w:rFonts w:ascii="Times New Roman" w:hAnsi="Times New Roman" w:cs="Times New Roman"/>
          <w:sz w:val="24"/>
          <w:szCs w:val="24"/>
        </w:rPr>
        <w:t xml:space="preserve"> </w:t>
      </w:r>
      <w:r w:rsidRPr="006671ED">
        <w:rPr>
          <w:rFonts w:ascii="Times New Roman" w:hAnsi="Times New Roman" w:cs="Times New Roman"/>
          <w:sz w:val="24"/>
          <w:szCs w:val="24"/>
        </w:rPr>
        <w:t>The variation of these parameters throughout the storage are shown from Fig</w:t>
      </w:r>
      <w:r>
        <w:rPr>
          <w:rFonts w:ascii="Times New Roman" w:hAnsi="Times New Roman" w:cs="Times New Roman"/>
          <w:sz w:val="24"/>
          <w:szCs w:val="24"/>
        </w:rPr>
        <w:t>s</w:t>
      </w:r>
      <w:r w:rsidRPr="006671ED">
        <w:rPr>
          <w:rFonts w:ascii="Times New Roman" w:hAnsi="Times New Roman" w:cs="Times New Roman"/>
          <w:sz w:val="24"/>
          <w:szCs w:val="24"/>
        </w:rPr>
        <w:t>. 1 to 8 for the three types of pouches (A: pouches made of fresh peaches; B: pouches made of IQF peaches; C: pouches made of canned pe</w:t>
      </w:r>
      <w:r>
        <w:rPr>
          <w:rFonts w:ascii="Times New Roman" w:hAnsi="Times New Roman" w:cs="Times New Roman"/>
          <w:sz w:val="24"/>
          <w:szCs w:val="24"/>
        </w:rPr>
        <w:t>aches) and for each treatment (c</w:t>
      </w:r>
      <w:r w:rsidRPr="006671ED">
        <w:rPr>
          <w:rFonts w:ascii="Times New Roman" w:hAnsi="Times New Roman" w:cs="Times New Roman"/>
          <w:sz w:val="24"/>
          <w:szCs w:val="24"/>
        </w:rPr>
        <w:t>ontrol,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flavonoid,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-flavonoid). </w:t>
      </w:r>
      <w:r>
        <w:rPr>
          <w:rFonts w:ascii="Times New Roman" w:hAnsi="Times New Roman" w:cs="Times New Roman"/>
          <w:sz w:val="24"/>
          <w:szCs w:val="24"/>
        </w:rPr>
        <w:t xml:space="preserve"> </w:t>
      </w:r>
      <w:r w:rsidRPr="006671ED">
        <w:rPr>
          <w:rFonts w:ascii="Times New Roman" w:hAnsi="Times New Roman" w:cs="Times New Roman"/>
          <w:sz w:val="24"/>
          <w:szCs w:val="24"/>
        </w:rPr>
        <w:t>Table 1 shows the pH and °Brix values at the beginning and e</w:t>
      </w:r>
      <w:r>
        <w:rPr>
          <w:rFonts w:ascii="Times New Roman" w:hAnsi="Times New Roman" w:cs="Times New Roman"/>
          <w:sz w:val="24"/>
          <w:szCs w:val="24"/>
        </w:rPr>
        <w:t>nd of the 51°C and 40°C storage</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Table 2 shows the factorial analysis design at the beginning and end of the storage at 51°C and 40°C.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This design was </w:t>
      </w:r>
      <w:r>
        <w:rPr>
          <w:rFonts w:ascii="Times New Roman" w:hAnsi="Times New Roman" w:cs="Times New Roman"/>
          <w:sz w:val="24"/>
          <w:szCs w:val="24"/>
        </w:rPr>
        <w:t>conducted</w:t>
      </w:r>
      <w:r w:rsidRPr="006671ED">
        <w:rPr>
          <w:rFonts w:ascii="Times New Roman" w:hAnsi="Times New Roman" w:cs="Times New Roman"/>
          <w:sz w:val="24"/>
          <w:szCs w:val="24"/>
        </w:rPr>
        <w:t xml:space="preserve"> </w:t>
      </w:r>
      <w:r>
        <w:rPr>
          <w:rFonts w:ascii="Times New Roman" w:hAnsi="Times New Roman" w:cs="Times New Roman"/>
          <w:sz w:val="24"/>
          <w:szCs w:val="24"/>
        </w:rPr>
        <w:t>to determine</w:t>
      </w:r>
      <w:r w:rsidRPr="006671ED">
        <w:rPr>
          <w:rFonts w:ascii="Times New Roman" w:hAnsi="Times New Roman" w:cs="Times New Roman"/>
          <w:sz w:val="24"/>
          <w:szCs w:val="24"/>
        </w:rPr>
        <w:t xml:space="preserve"> if there were effects due to the addition of CaCl</w:t>
      </w:r>
      <w:r w:rsidRPr="00523B68">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and flavonoid or interaction between these factors.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In addition, Table 3 shows the rate constants </w:t>
      </w:r>
      <w:r w:rsidRPr="006671ED">
        <w:rPr>
          <w:rFonts w:ascii="Times New Roman" w:hAnsi="Times New Roman" w:cs="Times New Roman"/>
          <w:i/>
          <w:sz w:val="24"/>
          <w:szCs w:val="24"/>
        </w:rPr>
        <w:t>(k)</w:t>
      </w:r>
      <w:r w:rsidRPr="006671ED">
        <w:rPr>
          <w:rFonts w:ascii="Times New Roman" w:hAnsi="Times New Roman" w:cs="Times New Roman"/>
          <w:sz w:val="24"/>
          <w:szCs w:val="24"/>
        </w:rPr>
        <w:t xml:space="preserve"> of each</w:t>
      </w:r>
      <w:r>
        <w:rPr>
          <w:rFonts w:ascii="Times New Roman" w:hAnsi="Times New Roman" w:cs="Times New Roman"/>
          <w:sz w:val="24"/>
          <w:szCs w:val="24"/>
        </w:rPr>
        <w:t xml:space="preserve"> of the parameters measured</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These </w:t>
      </w:r>
      <w:r w:rsidRPr="006671ED">
        <w:rPr>
          <w:rFonts w:ascii="Times New Roman" w:hAnsi="Times New Roman" w:cs="Times New Roman"/>
          <w:i/>
          <w:sz w:val="24"/>
          <w:szCs w:val="24"/>
        </w:rPr>
        <w:t>k</w:t>
      </w:r>
      <w:r w:rsidRPr="006671ED">
        <w:rPr>
          <w:rFonts w:ascii="Times New Roman" w:hAnsi="Times New Roman" w:cs="Times New Roman"/>
          <w:sz w:val="24"/>
          <w:szCs w:val="24"/>
        </w:rPr>
        <w:t xml:space="preserve"> values were calculated from the zero order models. </w:t>
      </w:r>
      <w:r>
        <w:rPr>
          <w:rFonts w:ascii="Times New Roman" w:hAnsi="Times New Roman" w:cs="Times New Roman"/>
          <w:sz w:val="24"/>
          <w:szCs w:val="24"/>
        </w:rPr>
        <w:t xml:space="preserve"> As noted earlier</w:t>
      </w:r>
      <w:r w:rsidRPr="006671ED">
        <w:rPr>
          <w:rFonts w:ascii="Times New Roman" w:hAnsi="Times New Roman" w:cs="Times New Roman"/>
          <w:sz w:val="24"/>
          <w:szCs w:val="24"/>
        </w:rPr>
        <w:t xml:space="preserve">, </w:t>
      </w:r>
      <w:r>
        <w:rPr>
          <w:rFonts w:ascii="Times New Roman" w:hAnsi="Times New Roman" w:cs="Times New Roman"/>
          <w:sz w:val="24"/>
          <w:szCs w:val="24"/>
        </w:rPr>
        <w:t>different models were applied to</w:t>
      </w:r>
      <w:r w:rsidRPr="006671ED">
        <w:rPr>
          <w:rFonts w:ascii="Times New Roman" w:hAnsi="Times New Roman" w:cs="Times New Roman"/>
          <w:sz w:val="24"/>
          <w:szCs w:val="24"/>
        </w:rPr>
        <w:t xml:space="preserve"> the data (zero, first, second and combined order model</w:t>
      </w:r>
      <w:r>
        <w:rPr>
          <w:rFonts w:ascii="Times New Roman" w:hAnsi="Times New Roman" w:cs="Times New Roman"/>
          <w:sz w:val="24"/>
          <w:szCs w:val="24"/>
        </w:rPr>
        <w:t>s</w:t>
      </w:r>
      <w:r w:rsidRPr="006671ED">
        <w:rPr>
          <w:rFonts w:ascii="Times New Roman" w:hAnsi="Times New Roman" w:cs="Times New Roman"/>
          <w:sz w:val="24"/>
          <w:szCs w:val="24"/>
        </w:rPr>
        <w:t xml:space="preserve">); however, </w:t>
      </w:r>
      <w:r>
        <w:rPr>
          <w:rFonts w:ascii="Times New Roman" w:hAnsi="Times New Roman" w:cs="Times New Roman"/>
          <w:sz w:val="24"/>
          <w:szCs w:val="24"/>
        </w:rPr>
        <w:t>the zero order was the one that had</w:t>
      </w:r>
      <w:r w:rsidRPr="006671ED">
        <w:rPr>
          <w:rFonts w:ascii="Times New Roman" w:hAnsi="Times New Roman" w:cs="Times New Roman"/>
          <w:sz w:val="24"/>
          <w:szCs w:val="24"/>
        </w:rPr>
        <w:t xml:space="preserve"> the highest R</w:t>
      </w:r>
      <w:r w:rsidRPr="006671ED">
        <w:rPr>
          <w:rFonts w:ascii="Times New Roman" w:hAnsi="Times New Roman" w:cs="Times New Roman"/>
          <w:sz w:val="24"/>
          <w:szCs w:val="24"/>
          <w:vertAlign w:val="superscript"/>
        </w:rPr>
        <w:t>2</w:t>
      </w:r>
      <w:r w:rsidRPr="006671ED">
        <w:rPr>
          <w:rFonts w:ascii="Times New Roman" w:hAnsi="Times New Roman" w:cs="Times New Roman"/>
          <w:sz w:val="24"/>
          <w:szCs w:val="24"/>
        </w:rPr>
        <w:t xml:space="preserve"> and lowest root mean square error (RMSE).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Results from samples stored at 24°C </w:t>
      </w:r>
      <w:r>
        <w:rPr>
          <w:rFonts w:ascii="Times New Roman" w:hAnsi="Times New Roman" w:cs="Times New Roman"/>
          <w:sz w:val="24"/>
          <w:szCs w:val="24"/>
        </w:rPr>
        <w:t>are not included since there were no</w:t>
      </w:r>
      <w:r w:rsidRPr="006671ED">
        <w:rPr>
          <w:rFonts w:ascii="Times New Roman" w:hAnsi="Times New Roman" w:cs="Times New Roman"/>
          <w:sz w:val="24"/>
          <w:szCs w:val="24"/>
        </w:rPr>
        <w:t xml:space="preserve"> changes of ch</w:t>
      </w:r>
      <w:r>
        <w:rPr>
          <w:rFonts w:ascii="Times New Roman" w:hAnsi="Times New Roman" w:cs="Times New Roman"/>
          <w:sz w:val="24"/>
          <w:szCs w:val="24"/>
        </w:rPr>
        <w:t>emical importance during the storage period examined</w:t>
      </w:r>
      <w:r w:rsidRPr="006671ED">
        <w:rPr>
          <w:rFonts w:ascii="Times New Roman" w:hAnsi="Times New Roman" w:cs="Times New Roman"/>
          <w:sz w:val="24"/>
          <w:szCs w:val="24"/>
        </w:rPr>
        <w:t xml:space="preserve">.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jc w:val="both"/>
        <w:rPr>
          <w:rFonts w:ascii="Times New Roman" w:hAnsi="Times New Roman" w:cs="Times New Roman"/>
          <w:b/>
          <w:i/>
          <w:sz w:val="24"/>
          <w:szCs w:val="24"/>
        </w:rPr>
      </w:pPr>
      <w:proofErr w:type="gramStart"/>
      <w:r w:rsidRPr="006671ED">
        <w:rPr>
          <w:rFonts w:ascii="Times New Roman" w:hAnsi="Times New Roman" w:cs="Times New Roman"/>
          <w:b/>
          <w:i/>
          <w:sz w:val="24"/>
          <w:szCs w:val="24"/>
        </w:rPr>
        <w:t>pH</w:t>
      </w:r>
      <w:proofErr w:type="gramEnd"/>
      <w:r w:rsidRPr="006671ED">
        <w:rPr>
          <w:rFonts w:ascii="Times New Roman" w:hAnsi="Times New Roman" w:cs="Times New Roman"/>
          <w:b/>
          <w:i/>
          <w:sz w:val="24"/>
          <w:szCs w:val="24"/>
        </w:rPr>
        <w:t xml:space="preserve"> and °Brix during storage</w:t>
      </w:r>
    </w:p>
    <w:p w:rsidR="00F14CA8" w:rsidRPr="006671ED" w:rsidRDefault="00F14CA8" w:rsidP="00F14CA8">
      <w:pPr>
        <w:spacing w:after="0" w:line="360" w:lineRule="auto"/>
        <w:jc w:val="both"/>
        <w:rPr>
          <w:rFonts w:ascii="Times New Roman" w:hAnsi="Times New Roman"/>
          <w:sz w:val="24"/>
          <w:szCs w:val="24"/>
        </w:rPr>
      </w:pPr>
      <w:r w:rsidRPr="006671ED">
        <w:rPr>
          <w:rFonts w:ascii="Times New Roman" w:hAnsi="Times New Roman" w:cs="Times New Roman"/>
          <w:sz w:val="24"/>
          <w:szCs w:val="24"/>
        </w:rPr>
        <w:tab/>
      </w:r>
      <w:r w:rsidRPr="006671ED">
        <w:rPr>
          <w:rFonts w:ascii="Times New Roman" w:hAnsi="Times New Roman"/>
          <w:sz w:val="24"/>
          <w:szCs w:val="24"/>
        </w:rPr>
        <w:t xml:space="preserve">Table 1 shows the pH and °Brix values at the beginning and end of storage for each temperature.  No significant changes of chemical importance in pH and °Brix were observed at </w:t>
      </w:r>
      <w:r>
        <w:rPr>
          <w:rFonts w:ascii="Times New Roman" w:hAnsi="Times New Roman"/>
          <w:sz w:val="24"/>
          <w:szCs w:val="24"/>
        </w:rPr>
        <w:t>either</w:t>
      </w:r>
      <w:r w:rsidRPr="006671ED">
        <w:rPr>
          <w:rFonts w:ascii="Times New Roman" w:hAnsi="Times New Roman"/>
          <w:sz w:val="24"/>
          <w:szCs w:val="24"/>
        </w:rPr>
        <w:t xml:space="preserve"> temperature. </w:t>
      </w:r>
      <w:r>
        <w:rPr>
          <w:rFonts w:ascii="Times New Roman" w:hAnsi="Times New Roman"/>
          <w:sz w:val="24"/>
          <w:szCs w:val="24"/>
        </w:rPr>
        <w:t xml:space="preserve"> It has been suggested</w:t>
      </w:r>
      <w:r w:rsidRPr="006671ED">
        <w:rPr>
          <w:rFonts w:ascii="Times New Roman" w:hAnsi="Times New Roman"/>
          <w:sz w:val="24"/>
          <w:szCs w:val="24"/>
        </w:rPr>
        <w:t xml:space="preserve"> that </w:t>
      </w:r>
      <w:r>
        <w:rPr>
          <w:rFonts w:ascii="Times New Roman" w:hAnsi="Times New Roman"/>
          <w:sz w:val="24"/>
          <w:szCs w:val="24"/>
        </w:rPr>
        <w:t xml:space="preserve">the </w:t>
      </w:r>
      <w:r w:rsidRPr="006671ED">
        <w:rPr>
          <w:rFonts w:ascii="Times New Roman" w:hAnsi="Times New Roman"/>
          <w:sz w:val="24"/>
          <w:szCs w:val="24"/>
        </w:rPr>
        <w:t xml:space="preserve">pH may decrease during non-enzymatic browning, due to the appearance of carbonyl compounds </w:t>
      </w:r>
      <w:r>
        <w:rPr>
          <w:rFonts w:ascii="Times New Roman" w:hAnsi="Times New Roman"/>
          <w:noProof/>
          <w:sz w:val="24"/>
          <w:szCs w:val="24"/>
        </w:rPr>
        <w:t>(Roig and others 2000)</w:t>
      </w:r>
      <w:r w:rsidRPr="006671ED">
        <w:rPr>
          <w:rFonts w:ascii="Times New Roman" w:hAnsi="Times New Roman"/>
          <w:sz w:val="24"/>
          <w:szCs w:val="24"/>
        </w:rPr>
        <w:t xml:space="preserve">. </w:t>
      </w:r>
      <w:r>
        <w:rPr>
          <w:rFonts w:ascii="Times New Roman" w:hAnsi="Times New Roman"/>
          <w:sz w:val="24"/>
          <w:szCs w:val="24"/>
        </w:rPr>
        <w:t xml:space="preserve"> </w:t>
      </w:r>
      <w:r w:rsidRPr="006671ED">
        <w:rPr>
          <w:rFonts w:ascii="Times New Roman" w:hAnsi="Times New Roman"/>
          <w:sz w:val="24"/>
          <w:szCs w:val="24"/>
        </w:rPr>
        <w:t xml:space="preserve">On the other </w:t>
      </w:r>
      <w:r>
        <w:rPr>
          <w:rFonts w:ascii="Times New Roman" w:hAnsi="Times New Roman"/>
          <w:sz w:val="24"/>
          <w:szCs w:val="24"/>
        </w:rPr>
        <w:t>hand, it has also been reported</w:t>
      </w:r>
      <w:r w:rsidRPr="006671ED">
        <w:rPr>
          <w:rFonts w:ascii="Times New Roman" w:hAnsi="Times New Roman"/>
          <w:sz w:val="24"/>
          <w:szCs w:val="24"/>
        </w:rPr>
        <w:t xml:space="preserve"> </w:t>
      </w:r>
      <w:r>
        <w:rPr>
          <w:rFonts w:ascii="Times New Roman" w:hAnsi="Times New Roman"/>
          <w:sz w:val="24"/>
          <w:szCs w:val="24"/>
        </w:rPr>
        <w:t xml:space="preserve">that </w:t>
      </w:r>
      <w:r w:rsidRPr="006671ED">
        <w:rPr>
          <w:rFonts w:ascii="Times New Roman" w:hAnsi="Times New Roman"/>
          <w:sz w:val="24"/>
          <w:szCs w:val="24"/>
        </w:rPr>
        <w:t xml:space="preserve">pH </w:t>
      </w:r>
      <w:r>
        <w:rPr>
          <w:rFonts w:ascii="Times New Roman" w:hAnsi="Times New Roman"/>
          <w:sz w:val="24"/>
          <w:szCs w:val="24"/>
        </w:rPr>
        <w:t xml:space="preserve">may increase </w:t>
      </w:r>
      <w:r w:rsidRPr="006671ED">
        <w:rPr>
          <w:rFonts w:ascii="Times New Roman" w:hAnsi="Times New Roman"/>
          <w:sz w:val="24"/>
          <w:szCs w:val="24"/>
        </w:rPr>
        <w:t xml:space="preserve">during storage of retort pouch wet-pack pears </w:t>
      </w:r>
      <w:r>
        <w:rPr>
          <w:rFonts w:ascii="Times New Roman" w:hAnsi="Times New Roman"/>
          <w:noProof/>
          <w:sz w:val="24"/>
          <w:szCs w:val="24"/>
        </w:rPr>
        <w:t>(Olivas and others 2002)</w:t>
      </w:r>
      <w:r w:rsidRPr="006671ED">
        <w:rPr>
          <w:rFonts w:ascii="Times New Roman" w:hAnsi="Times New Roman"/>
          <w:sz w:val="24"/>
          <w:szCs w:val="24"/>
        </w:rPr>
        <w:t xml:space="preserve">. </w:t>
      </w:r>
      <w:r>
        <w:rPr>
          <w:rFonts w:ascii="Times New Roman" w:hAnsi="Times New Roman"/>
          <w:sz w:val="24"/>
          <w:szCs w:val="24"/>
        </w:rPr>
        <w:t xml:space="preserve"> </w:t>
      </w:r>
      <w:r w:rsidRPr="006671ED">
        <w:rPr>
          <w:rFonts w:ascii="Times New Roman" w:hAnsi="Times New Roman"/>
          <w:sz w:val="24"/>
          <w:szCs w:val="24"/>
        </w:rPr>
        <w:t>In orange juice packed in tetra</w:t>
      </w:r>
      <w:r>
        <w:rPr>
          <w:rFonts w:ascii="Times New Roman" w:hAnsi="Times New Roman"/>
          <w:sz w:val="24"/>
          <w:szCs w:val="24"/>
        </w:rPr>
        <w:t>brick</w:t>
      </w:r>
      <w:r w:rsidRPr="006671ED">
        <w:rPr>
          <w:rFonts w:ascii="Times New Roman" w:hAnsi="Times New Roman"/>
          <w:sz w:val="24"/>
          <w:szCs w:val="24"/>
        </w:rPr>
        <w:t xml:space="preserve"> cartons</w:t>
      </w:r>
      <w:r>
        <w:rPr>
          <w:rFonts w:ascii="Times New Roman" w:hAnsi="Times New Roman"/>
          <w:sz w:val="24"/>
          <w:szCs w:val="24"/>
        </w:rPr>
        <w:t xml:space="preserve"> stored at </w:t>
      </w:r>
      <w:r w:rsidRPr="006671ED">
        <w:rPr>
          <w:rFonts w:ascii="Times New Roman" w:hAnsi="Times New Roman"/>
          <w:sz w:val="24"/>
          <w:szCs w:val="24"/>
        </w:rPr>
        <w:t xml:space="preserve">temperatures between 4°C-105°C, a pH of 3.65 was maintained </w:t>
      </w:r>
      <w:r>
        <w:rPr>
          <w:rFonts w:ascii="Times New Roman" w:hAnsi="Times New Roman"/>
          <w:noProof/>
          <w:sz w:val="24"/>
          <w:szCs w:val="24"/>
        </w:rPr>
        <w:t>(Roig and others 2000)</w:t>
      </w:r>
      <w:r w:rsidRPr="006671ED">
        <w:rPr>
          <w:rFonts w:ascii="Times New Roman" w:hAnsi="Times New Roman"/>
          <w:sz w:val="24"/>
          <w:szCs w:val="24"/>
        </w:rPr>
        <w:t xml:space="preserve">. </w:t>
      </w:r>
      <w:r>
        <w:rPr>
          <w:rFonts w:ascii="Times New Roman" w:hAnsi="Times New Roman"/>
          <w:sz w:val="24"/>
          <w:szCs w:val="24"/>
        </w:rPr>
        <w:t xml:space="preserve"> </w:t>
      </w:r>
      <w:r w:rsidRPr="006671ED">
        <w:rPr>
          <w:rFonts w:ascii="Times New Roman" w:hAnsi="Times New Roman"/>
          <w:sz w:val="24"/>
          <w:szCs w:val="24"/>
        </w:rPr>
        <w:t xml:space="preserve">No changes in °Brix were observed in cashew apple (pH 4.4) during heating at temperatures from 88°C-121°C; in fact, this </w:t>
      </w:r>
      <w:r>
        <w:rPr>
          <w:rFonts w:ascii="Times New Roman" w:hAnsi="Times New Roman"/>
          <w:sz w:val="24"/>
          <w:szCs w:val="24"/>
        </w:rPr>
        <w:t>paper also shows constant levels</w:t>
      </w:r>
      <w:r w:rsidRPr="006671ED">
        <w:rPr>
          <w:rFonts w:ascii="Times New Roman" w:hAnsi="Times New Roman"/>
          <w:sz w:val="24"/>
          <w:szCs w:val="24"/>
        </w:rPr>
        <w:t xml:space="preserve"> of reducing and total sugars </w:t>
      </w:r>
      <w:r>
        <w:rPr>
          <w:rFonts w:ascii="Times New Roman" w:hAnsi="Times New Roman"/>
          <w:sz w:val="24"/>
          <w:szCs w:val="24"/>
        </w:rPr>
        <w:t xml:space="preserve">during storage, </w:t>
      </w:r>
      <w:r w:rsidRPr="006671ED">
        <w:rPr>
          <w:rFonts w:ascii="Times New Roman" w:hAnsi="Times New Roman"/>
          <w:sz w:val="24"/>
          <w:szCs w:val="24"/>
        </w:rPr>
        <w:t>which suggests t</w:t>
      </w:r>
      <w:r>
        <w:rPr>
          <w:rFonts w:ascii="Times New Roman" w:hAnsi="Times New Roman"/>
          <w:sz w:val="24"/>
          <w:szCs w:val="24"/>
        </w:rPr>
        <w:t xml:space="preserve">here was no significant </w:t>
      </w:r>
      <w:r w:rsidRPr="006671ED">
        <w:rPr>
          <w:rFonts w:ascii="Times New Roman" w:hAnsi="Times New Roman"/>
          <w:sz w:val="24"/>
          <w:szCs w:val="24"/>
        </w:rPr>
        <w:t xml:space="preserve">participation of sugars in the non-enzymatic </w:t>
      </w:r>
      <w:r w:rsidRPr="006671ED">
        <w:rPr>
          <w:rFonts w:ascii="Times New Roman" w:hAnsi="Times New Roman"/>
          <w:sz w:val="24"/>
          <w:szCs w:val="24"/>
        </w:rPr>
        <w:lastRenderedPageBreak/>
        <w:t xml:space="preserve">reactions </w:t>
      </w:r>
      <w:r>
        <w:rPr>
          <w:rFonts w:ascii="Times New Roman" w:hAnsi="Times New Roman"/>
          <w:noProof/>
          <w:sz w:val="24"/>
          <w:szCs w:val="24"/>
        </w:rPr>
        <w:t>(Damasceno and others 2007)</w:t>
      </w:r>
      <w:r>
        <w:rPr>
          <w:rFonts w:ascii="Times New Roman" w:hAnsi="Times New Roman"/>
          <w:sz w:val="24"/>
          <w:szCs w:val="24"/>
        </w:rPr>
        <w:t>.  R</w:t>
      </w:r>
      <w:r w:rsidRPr="006671ED">
        <w:rPr>
          <w:rFonts w:ascii="Times New Roman" w:hAnsi="Times New Roman"/>
          <w:sz w:val="24"/>
          <w:szCs w:val="24"/>
        </w:rPr>
        <w:t xml:space="preserve">eactions of reducing sugars and amino acids cause maillard reactions, which is a type of non-enzymatic browning favored by a more alkaline pH environment </w:t>
      </w:r>
      <w:r>
        <w:rPr>
          <w:rFonts w:ascii="Times New Roman" w:hAnsi="Times New Roman"/>
          <w:noProof/>
          <w:sz w:val="24"/>
          <w:szCs w:val="24"/>
        </w:rPr>
        <w:t>(Fennema 1996)</w:t>
      </w:r>
      <w:r w:rsidRPr="006671ED">
        <w:rPr>
          <w:rFonts w:ascii="Times New Roman" w:hAnsi="Times New Roman"/>
          <w:sz w:val="24"/>
          <w:szCs w:val="24"/>
        </w:rPr>
        <w:t xml:space="preserve">. </w:t>
      </w:r>
    </w:p>
    <w:p w:rsidR="00F14CA8" w:rsidRPr="006671ED" w:rsidRDefault="00F14CA8" w:rsidP="00F14CA8">
      <w:pPr>
        <w:spacing w:after="0"/>
        <w:jc w:val="both"/>
        <w:outlineLvl w:val="0"/>
        <w:rPr>
          <w:rFonts w:ascii="Times New Roman" w:hAnsi="Times New Roman" w:cs="Times New Roman"/>
          <w:b/>
          <w:i/>
          <w:sz w:val="24"/>
          <w:szCs w:val="24"/>
        </w:rPr>
      </w:pPr>
    </w:p>
    <w:p w:rsidR="00F14CA8" w:rsidRPr="006671ED" w:rsidRDefault="00F14CA8" w:rsidP="00F14CA8">
      <w:pPr>
        <w:spacing w:after="0"/>
        <w:jc w:val="both"/>
        <w:outlineLvl w:val="0"/>
        <w:rPr>
          <w:rFonts w:ascii="Times New Roman" w:hAnsi="Times New Roman" w:cs="Times New Roman"/>
          <w:b/>
          <w:i/>
          <w:sz w:val="24"/>
          <w:szCs w:val="24"/>
        </w:rPr>
      </w:pPr>
      <w:r w:rsidRPr="006671ED">
        <w:rPr>
          <w:rFonts w:ascii="Times New Roman" w:hAnsi="Times New Roman" w:cs="Times New Roman"/>
          <w:b/>
          <w:i/>
          <w:sz w:val="24"/>
          <w:szCs w:val="24"/>
        </w:rPr>
        <w:t>Effect of the source of fruit</w:t>
      </w:r>
    </w:p>
    <w:p w:rsidR="00F14CA8" w:rsidRPr="00823D12" w:rsidRDefault="00F14CA8" w:rsidP="00F14CA8">
      <w:pPr>
        <w:spacing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 xml:space="preserve">At day 0, Fig. 1 shows that treatments of the canned source </w:t>
      </w:r>
      <w:r>
        <w:rPr>
          <w:rFonts w:ascii="Times New Roman" w:hAnsi="Times New Roman" w:cs="Times New Roman"/>
          <w:sz w:val="24"/>
          <w:szCs w:val="24"/>
        </w:rPr>
        <w:t xml:space="preserve">peaches have </w:t>
      </w:r>
      <w:r w:rsidRPr="006671ED">
        <w:rPr>
          <w:rFonts w:ascii="Times New Roman" w:hAnsi="Times New Roman" w:cs="Times New Roman"/>
          <w:sz w:val="24"/>
          <w:szCs w:val="24"/>
        </w:rPr>
        <w:t xml:space="preserve">lower L* values </w:t>
      </w:r>
      <w:r>
        <w:rPr>
          <w:rFonts w:ascii="Times New Roman" w:hAnsi="Times New Roman" w:cs="Times New Roman"/>
          <w:sz w:val="24"/>
          <w:szCs w:val="24"/>
        </w:rPr>
        <w:t>than the other</w:t>
      </w:r>
      <w:r w:rsidRPr="006671ED">
        <w:rPr>
          <w:rFonts w:ascii="Times New Roman" w:hAnsi="Times New Roman" w:cs="Times New Roman"/>
          <w:sz w:val="24"/>
          <w:szCs w:val="24"/>
        </w:rPr>
        <w:t xml:space="preserve"> sources. </w:t>
      </w:r>
      <w:r>
        <w:rPr>
          <w:rFonts w:ascii="Times New Roman" w:hAnsi="Times New Roman" w:cs="Times New Roman"/>
          <w:sz w:val="24"/>
          <w:szCs w:val="24"/>
        </w:rPr>
        <w:t xml:space="preserve"> T</w:t>
      </w:r>
      <w:r w:rsidRPr="006671ED">
        <w:rPr>
          <w:rFonts w:ascii="Times New Roman" w:hAnsi="Times New Roman" w:cs="Times New Roman"/>
          <w:sz w:val="24"/>
          <w:szCs w:val="24"/>
        </w:rPr>
        <w:t xml:space="preserve">his can be attributed to the double heat treatment of the diced peaches in this group. </w:t>
      </w:r>
      <w:r>
        <w:rPr>
          <w:rFonts w:ascii="Times New Roman" w:hAnsi="Times New Roman" w:cs="Times New Roman"/>
          <w:sz w:val="24"/>
          <w:szCs w:val="24"/>
        </w:rPr>
        <w:t xml:space="preserve"> </w:t>
      </w:r>
      <w:r w:rsidRPr="006671ED">
        <w:rPr>
          <w:rFonts w:ascii="Times New Roman" w:hAnsi="Times New Roman" w:cs="Times New Roman"/>
          <w:sz w:val="24"/>
          <w:szCs w:val="24"/>
        </w:rPr>
        <w:t>It is known that high temperatures have an effect on the pigments in fruits; indeed, carotenoids are converted from 5</w:t>
      </w:r>
      <w:proofErr w:type="gramStart"/>
      <w:r w:rsidRPr="006671ED">
        <w:rPr>
          <w:rFonts w:ascii="Times New Roman" w:hAnsi="Times New Roman" w:cs="Times New Roman"/>
          <w:sz w:val="24"/>
          <w:szCs w:val="24"/>
        </w:rPr>
        <w:t>,6</w:t>
      </w:r>
      <w:proofErr w:type="gramEnd"/>
      <w:r w:rsidRPr="006671ED">
        <w:rPr>
          <w:rFonts w:ascii="Times New Roman" w:hAnsi="Times New Roman" w:cs="Times New Roman"/>
          <w:sz w:val="24"/>
          <w:szCs w:val="24"/>
        </w:rPr>
        <w:t xml:space="preserve">-expoxides to </w:t>
      </w:r>
      <w:r>
        <w:rPr>
          <w:rFonts w:ascii="Times New Roman" w:hAnsi="Times New Roman" w:cs="Times New Roman"/>
          <w:sz w:val="24"/>
          <w:szCs w:val="24"/>
        </w:rPr>
        <w:t>5,8-epoxides, and</w:t>
      </w:r>
      <w:r w:rsidRPr="006671ED">
        <w:rPr>
          <w:rFonts w:ascii="Times New Roman" w:hAnsi="Times New Roman" w:cs="Times New Roman"/>
          <w:sz w:val="24"/>
          <w:szCs w:val="24"/>
        </w:rPr>
        <w:t xml:space="preserve"> 5,8-e</w:t>
      </w:r>
      <w:r>
        <w:rPr>
          <w:rFonts w:ascii="Times New Roman" w:hAnsi="Times New Roman" w:cs="Times New Roman"/>
          <w:sz w:val="24"/>
          <w:szCs w:val="24"/>
        </w:rPr>
        <w:t>poxide is less intensely colored than the original carotenoid</w:t>
      </w:r>
      <w:r w:rsidRPr="006671ED">
        <w:rPr>
          <w:rFonts w:ascii="Times New Roman" w:hAnsi="Times New Roman" w:cs="Times New Roman"/>
          <w:sz w:val="24"/>
          <w:szCs w:val="24"/>
        </w:rPr>
        <w:t xml:space="preserve"> </w:t>
      </w:r>
      <w:r>
        <w:rPr>
          <w:rFonts w:ascii="Times New Roman" w:hAnsi="Times New Roman" w:cs="Times New Roman"/>
          <w:noProof/>
          <w:sz w:val="24"/>
          <w:szCs w:val="24"/>
        </w:rPr>
        <w:t>(Fellows 2009)</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Also, it is know</w:t>
      </w:r>
      <w:r w:rsidR="00F85309">
        <w:rPr>
          <w:rFonts w:ascii="Times New Roman" w:hAnsi="Times New Roman" w:cs="Times New Roman"/>
          <w:sz w:val="24"/>
          <w:szCs w:val="24"/>
        </w:rPr>
        <w:t>n</w:t>
      </w:r>
      <w:r w:rsidRPr="006671ED">
        <w:rPr>
          <w:rFonts w:ascii="Times New Roman" w:hAnsi="Times New Roman" w:cs="Times New Roman"/>
          <w:sz w:val="24"/>
          <w:szCs w:val="24"/>
        </w:rPr>
        <w:t xml:space="preserve"> that heat steriliza</w:t>
      </w:r>
      <w:r>
        <w:rPr>
          <w:rFonts w:ascii="Times New Roman" w:hAnsi="Times New Roman" w:cs="Times New Roman"/>
          <w:sz w:val="24"/>
          <w:szCs w:val="24"/>
        </w:rPr>
        <w:t>tion produces cis/trans isomerizat</w:t>
      </w:r>
      <w:r w:rsidRPr="006671ED">
        <w:rPr>
          <w:rFonts w:ascii="Times New Roman" w:hAnsi="Times New Roman" w:cs="Times New Roman"/>
          <w:sz w:val="24"/>
          <w:szCs w:val="24"/>
        </w:rPr>
        <w:t>ion</w:t>
      </w:r>
      <w:r>
        <w:rPr>
          <w:rFonts w:ascii="Times New Roman" w:hAnsi="Times New Roman" w:cs="Times New Roman"/>
          <w:sz w:val="24"/>
          <w:szCs w:val="24"/>
        </w:rPr>
        <w:t xml:space="preserve"> of carotenoids</w:t>
      </w:r>
      <w:r w:rsidRPr="006671ED">
        <w:rPr>
          <w:rFonts w:ascii="Times New Roman" w:hAnsi="Times New Roman" w:cs="Times New Roman"/>
          <w:sz w:val="24"/>
          <w:szCs w:val="24"/>
        </w:rPr>
        <w:t xml:space="preserve"> </w:t>
      </w:r>
      <w:r>
        <w:rPr>
          <w:rFonts w:ascii="Times New Roman" w:hAnsi="Times New Roman" w:cs="Times New Roman"/>
          <w:noProof/>
          <w:sz w:val="24"/>
          <w:szCs w:val="24"/>
        </w:rPr>
        <w:t>(Fennema 1996)</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In a</w:t>
      </w:r>
      <w:r>
        <w:rPr>
          <w:rFonts w:ascii="Times New Roman" w:hAnsi="Times New Roman" w:cs="Times New Roman"/>
          <w:sz w:val="24"/>
          <w:szCs w:val="24"/>
        </w:rPr>
        <w:t xml:space="preserve"> study comparing</w:t>
      </w:r>
      <w:r w:rsidRPr="006671ED">
        <w:rPr>
          <w:rFonts w:ascii="Times New Roman" w:hAnsi="Times New Roman" w:cs="Times New Roman"/>
          <w:sz w:val="24"/>
          <w:szCs w:val="24"/>
        </w:rPr>
        <w:t xml:space="preserve"> fresh </w:t>
      </w:r>
      <w:r>
        <w:rPr>
          <w:rFonts w:ascii="Times New Roman" w:hAnsi="Times New Roman" w:cs="Times New Roman"/>
          <w:sz w:val="24"/>
          <w:szCs w:val="24"/>
        </w:rPr>
        <w:t>and canned peaches, it was reported</w:t>
      </w:r>
      <w:r w:rsidRPr="006671ED">
        <w:rPr>
          <w:rFonts w:ascii="Times New Roman" w:hAnsi="Times New Roman" w:cs="Times New Roman"/>
          <w:sz w:val="24"/>
          <w:szCs w:val="24"/>
        </w:rPr>
        <w:t xml:space="preserve"> that canned peaches had higher amounts of 9-cis β-carotene </w:t>
      </w:r>
      <w:r>
        <w:rPr>
          <w:rFonts w:ascii="Times New Roman" w:hAnsi="Times New Roman" w:cs="Times New Roman"/>
          <w:noProof/>
          <w:sz w:val="24"/>
          <w:szCs w:val="24"/>
        </w:rPr>
        <w:t>(Chandler and Schwartz 1987)</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In addition to the effect of canning, at day 0</w:t>
      </w:r>
      <w:r>
        <w:rPr>
          <w:rFonts w:ascii="Times New Roman" w:hAnsi="Times New Roman" w:cs="Times New Roman"/>
          <w:sz w:val="24"/>
          <w:szCs w:val="24"/>
        </w:rPr>
        <w:t xml:space="preserve"> we</w:t>
      </w:r>
      <w:r w:rsidRPr="006671ED">
        <w:rPr>
          <w:rFonts w:ascii="Times New Roman" w:hAnsi="Times New Roman" w:cs="Times New Roman"/>
          <w:sz w:val="24"/>
          <w:szCs w:val="24"/>
        </w:rPr>
        <w:t xml:space="preserve"> observe</w:t>
      </w:r>
      <w:r>
        <w:rPr>
          <w:rFonts w:ascii="Times New Roman" w:hAnsi="Times New Roman" w:cs="Times New Roman"/>
          <w:sz w:val="24"/>
          <w:szCs w:val="24"/>
        </w:rPr>
        <w:t>d</w:t>
      </w:r>
      <w:r w:rsidRPr="006671ED">
        <w:rPr>
          <w:rFonts w:ascii="Times New Roman" w:hAnsi="Times New Roman" w:cs="Times New Roman"/>
          <w:sz w:val="24"/>
          <w:szCs w:val="24"/>
        </w:rPr>
        <w:t xml:space="preserve"> that L* values from treatments made with fresh peaches </w:t>
      </w:r>
      <w:r>
        <w:rPr>
          <w:rFonts w:ascii="Times New Roman" w:hAnsi="Times New Roman" w:cs="Times New Roman"/>
          <w:sz w:val="24"/>
          <w:szCs w:val="24"/>
        </w:rPr>
        <w:t>are less precise than those of other treatments</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This </w:t>
      </w:r>
      <w:r w:rsidRPr="006671ED">
        <w:rPr>
          <w:rFonts w:ascii="Times New Roman" w:hAnsi="Times New Roman" w:cs="Times New Roman"/>
          <w:sz w:val="24"/>
          <w:szCs w:val="24"/>
        </w:rPr>
        <w:t xml:space="preserve">can be attributed to the high variability on the initial color of fresh-diced peaches.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In fact, during the filling of </w:t>
      </w:r>
      <w:r>
        <w:rPr>
          <w:rFonts w:ascii="Times New Roman" w:hAnsi="Times New Roman" w:cs="Times New Roman"/>
          <w:sz w:val="24"/>
          <w:szCs w:val="24"/>
        </w:rPr>
        <w:t xml:space="preserve">retort pouches with </w:t>
      </w:r>
      <w:r w:rsidRPr="006671ED">
        <w:rPr>
          <w:rFonts w:ascii="Times New Roman" w:hAnsi="Times New Roman" w:cs="Times New Roman"/>
          <w:sz w:val="24"/>
          <w:szCs w:val="24"/>
        </w:rPr>
        <w:t xml:space="preserve">fresh peaches, </w:t>
      </w:r>
      <w:r>
        <w:rPr>
          <w:rFonts w:ascii="Times New Roman" w:hAnsi="Times New Roman" w:cs="Times New Roman"/>
          <w:sz w:val="24"/>
          <w:szCs w:val="24"/>
        </w:rPr>
        <w:t xml:space="preserve">some </w:t>
      </w:r>
      <w:r w:rsidRPr="006671ED">
        <w:rPr>
          <w:rFonts w:ascii="Times New Roman" w:hAnsi="Times New Roman" w:cs="Times New Roman"/>
          <w:sz w:val="24"/>
          <w:szCs w:val="24"/>
        </w:rPr>
        <w:t xml:space="preserve">enzymatic browning </w:t>
      </w:r>
      <w:r>
        <w:rPr>
          <w:rFonts w:ascii="Times New Roman" w:hAnsi="Times New Roman" w:cs="Times New Roman"/>
          <w:sz w:val="24"/>
          <w:szCs w:val="24"/>
        </w:rPr>
        <w:t xml:space="preserve">may have </w:t>
      </w:r>
      <w:r w:rsidRPr="006671ED">
        <w:rPr>
          <w:rFonts w:ascii="Times New Roman" w:hAnsi="Times New Roman" w:cs="Times New Roman"/>
          <w:sz w:val="24"/>
          <w:szCs w:val="24"/>
        </w:rPr>
        <w:t>occurred since no treatme</w:t>
      </w:r>
      <w:r>
        <w:rPr>
          <w:rFonts w:ascii="Times New Roman" w:hAnsi="Times New Roman" w:cs="Times New Roman"/>
          <w:sz w:val="24"/>
          <w:szCs w:val="24"/>
        </w:rPr>
        <w:t xml:space="preserve">nt was used to avoid </w:t>
      </w:r>
      <w:r w:rsidRPr="006671ED">
        <w:rPr>
          <w:rFonts w:ascii="Times New Roman" w:hAnsi="Times New Roman" w:cs="Times New Roman"/>
          <w:sz w:val="24"/>
          <w:szCs w:val="24"/>
        </w:rPr>
        <w:t xml:space="preserve">phenoloxidase </w:t>
      </w:r>
      <w:r>
        <w:rPr>
          <w:rFonts w:ascii="Times New Roman" w:hAnsi="Times New Roman" w:cs="Times New Roman"/>
          <w:sz w:val="24"/>
          <w:szCs w:val="24"/>
        </w:rPr>
        <w:t>(PO) activity</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This could also </w:t>
      </w:r>
      <w:r>
        <w:rPr>
          <w:rFonts w:ascii="Times New Roman" w:hAnsi="Times New Roman" w:cs="Times New Roman"/>
          <w:sz w:val="24"/>
          <w:szCs w:val="24"/>
        </w:rPr>
        <w:t xml:space="preserve">have </w:t>
      </w:r>
      <w:r w:rsidRPr="006671ED">
        <w:rPr>
          <w:rFonts w:ascii="Times New Roman" w:hAnsi="Times New Roman" w:cs="Times New Roman"/>
          <w:sz w:val="24"/>
          <w:szCs w:val="24"/>
        </w:rPr>
        <w:t>cause</w:t>
      </w:r>
      <w:r>
        <w:rPr>
          <w:rFonts w:ascii="Times New Roman" w:hAnsi="Times New Roman" w:cs="Times New Roman"/>
          <w:sz w:val="24"/>
          <w:szCs w:val="24"/>
        </w:rPr>
        <w:t>d</w:t>
      </w:r>
      <w:r w:rsidRPr="006671ED">
        <w:rPr>
          <w:rFonts w:ascii="Times New Roman" w:hAnsi="Times New Roman" w:cs="Times New Roman"/>
          <w:sz w:val="24"/>
          <w:szCs w:val="24"/>
        </w:rPr>
        <w:t xml:space="preserve"> the higher a* value of the treatment composed of flavonoid alone in the fresh source (Fig. 4). </w:t>
      </w:r>
      <w:r>
        <w:rPr>
          <w:rFonts w:ascii="Times New Roman" w:hAnsi="Times New Roman" w:cs="Times New Roman"/>
          <w:sz w:val="24"/>
          <w:szCs w:val="24"/>
        </w:rPr>
        <w:t xml:space="preserve"> </w:t>
      </w:r>
      <w:r w:rsidRPr="006671ED">
        <w:rPr>
          <w:rFonts w:ascii="Times New Roman" w:hAnsi="Times New Roman" w:cs="Times New Roman"/>
          <w:sz w:val="24"/>
          <w:szCs w:val="24"/>
        </w:rPr>
        <w:t>In contrast,</w:t>
      </w:r>
      <w:r>
        <w:rPr>
          <w:rFonts w:ascii="Times New Roman" w:hAnsi="Times New Roman" w:cs="Times New Roman"/>
          <w:sz w:val="24"/>
          <w:szCs w:val="24"/>
        </w:rPr>
        <w:t xml:space="preserve"> before freezing</w:t>
      </w:r>
      <w:r w:rsidRPr="006671ED">
        <w:rPr>
          <w:rFonts w:ascii="Times New Roman" w:hAnsi="Times New Roman" w:cs="Times New Roman"/>
          <w:sz w:val="24"/>
          <w:szCs w:val="24"/>
        </w:rPr>
        <w:t xml:space="preserve"> the </w:t>
      </w:r>
      <w:r>
        <w:rPr>
          <w:rFonts w:ascii="Times New Roman" w:hAnsi="Times New Roman" w:cs="Times New Roman"/>
          <w:sz w:val="24"/>
          <w:szCs w:val="24"/>
        </w:rPr>
        <w:t xml:space="preserve">IQF </w:t>
      </w:r>
      <w:r w:rsidRPr="006671ED">
        <w:rPr>
          <w:rFonts w:ascii="Times New Roman" w:hAnsi="Times New Roman" w:cs="Times New Roman"/>
          <w:sz w:val="24"/>
          <w:szCs w:val="24"/>
        </w:rPr>
        <w:t>dices were dipped in an ascorbic so</w:t>
      </w:r>
      <w:r>
        <w:rPr>
          <w:rFonts w:ascii="Times New Roman" w:hAnsi="Times New Roman" w:cs="Times New Roman"/>
          <w:sz w:val="24"/>
          <w:szCs w:val="24"/>
        </w:rPr>
        <w:t>lution that may have</w:t>
      </w:r>
      <w:r w:rsidRPr="006671ED">
        <w:rPr>
          <w:rFonts w:ascii="Times New Roman" w:hAnsi="Times New Roman" w:cs="Times New Roman"/>
          <w:sz w:val="24"/>
          <w:szCs w:val="24"/>
        </w:rPr>
        <w:t xml:space="preserve"> </w:t>
      </w:r>
      <w:r w:rsidRPr="00823D12">
        <w:rPr>
          <w:rFonts w:ascii="Times New Roman" w:hAnsi="Times New Roman" w:cs="Times New Roman"/>
          <w:sz w:val="24"/>
          <w:szCs w:val="24"/>
        </w:rPr>
        <w:t xml:space="preserve">inhibited the action of PO.  Ascorbic acid was used as an inhibitor of PO because this compound can regenerate the phenol compounds avoiding the enzymatic browning </w:t>
      </w:r>
      <w:r w:rsidRPr="00823D12">
        <w:rPr>
          <w:rFonts w:ascii="Times New Roman" w:hAnsi="Times New Roman" w:cs="Times New Roman"/>
          <w:noProof/>
          <w:sz w:val="24"/>
          <w:szCs w:val="24"/>
        </w:rPr>
        <w:t>(Cheftel and Cheftel 1992)</w:t>
      </w:r>
      <w:r w:rsidRPr="00823D12">
        <w:rPr>
          <w:rFonts w:ascii="Times New Roman" w:hAnsi="Times New Roman" w:cs="Times New Roman"/>
          <w:sz w:val="24"/>
          <w:szCs w:val="24"/>
        </w:rPr>
        <w:t>.  Final</w:t>
      </w:r>
      <w:r>
        <w:rPr>
          <w:rFonts w:ascii="Times New Roman" w:hAnsi="Times New Roman" w:cs="Times New Roman"/>
          <w:sz w:val="24"/>
          <w:szCs w:val="24"/>
        </w:rPr>
        <w:t>ly, the peaches from the can</w:t>
      </w:r>
      <w:r w:rsidRPr="00823D12">
        <w:rPr>
          <w:rFonts w:ascii="Times New Roman" w:hAnsi="Times New Roman" w:cs="Times New Roman"/>
          <w:sz w:val="24"/>
          <w:szCs w:val="24"/>
        </w:rPr>
        <w:t xml:space="preserve"> source were likely not affected by PO due to the much faster filling operation because the number of cans to be filled was lower than the number of pouches for the fresh source. </w:t>
      </w:r>
      <w:r>
        <w:rPr>
          <w:rFonts w:ascii="Times New Roman" w:hAnsi="Times New Roman" w:cs="Times New Roman"/>
          <w:sz w:val="24"/>
          <w:szCs w:val="24"/>
        </w:rPr>
        <w:t xml:space="preserve"> </w:t>
      </w:r>
      <w:r w:rsidRPr="00823D12">
        <w:rPr>
          <w:rFonts w:ascii="Times New Roman" w:hAnsi="Times New Roman" w:cs="Times New Roman"/>
          <w:sz w:val="24"/>
          <w:szCs w:val="24"/>
        </w:rPr>
        <w:t xml:space="preserve">In fact, each can contained approximately 850 g. of diced peaches, which corresponds approximately to the peach content of 8 pouches.  This unbalanced design (IQF peaches were dipped in an AA bath after dicing while fresh and canned peaches were not) was used because </w:t>
      </w:r>
      <w:r>
        <w:rPr>
          <w:rFonts w:ascii="Times New Roman" w:hAnsi="Times New Roman" w:cs="Times New Roman"/>
          <w:sz w:val="24"/>
          <w:szCs w:val="24"/>
        </w:rPr>
        <w:t>each of the processes have</w:t>
      </w:r>
      <w:r w:rsidRPr="00823D12">
        <w:rPr>
          <w:rFonts w:ascii="Times New Roman" w:hAnsi="Times New Roman" w:cs="Times New Roman"/>
          <w:sz w:val="24"/>
          <w:szCs w:val="24"/>
        </w:rPr>
        <w:t xml:space="preserve"> been used commercially for the peach processing for the MRE pouches</w:t>
      </w:r>
      <w:r>
        <w:rPr>
          <w:rFonts w:ascii="Times New Roman" w:hAnsi="Times New Roman" w:cs="Times New Roman"/>
          <w:sz w:val="24"/>
          <w:szCs w:val="24"/>
        </w:rPr>
        <w:t xml:space="preserve"> in the past</w:t>
      </w:r>
      <w:r w:rsidRPr="00823D12">
        <w:rPr>
          <w:rFonts w:ascii="Times New Roman" w:hAnsi="Times New Roman" w:cs="Times New Roman"/>
          <w:sz w:val="24"/>
          <w:szCs w:val="24"/>
        </w:rPr>
        <w:t xml:space="preserve">.    </w:t>
      </w:r>
    </w:p>
    <w:p w:rsidR="00F14CA8" w:rsidRDefault="00F14CA8" w:rsidP="00F14CA8">
      <w:pPr>
        <w:spacing w:after="0" w:line="360" w:lineRule="auto"/>
        <w:ind w:firstLine="720"/>
        <w:jc w:val="both"/>
        <w:rPr>
          <w:rFonts w:ascii="Times New Roman" w:hAnsi="Times New Roman" w:cs="Times New Roman"/>
          <w:sz w:val="24"/>
          <w:szCs w:val="24"/>
        </w:rPr>
      </w:pPr>
    </w:p>
    <w:p w:rsidR="00F14CA8" w:rsidRPr="00823D12"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 xml:space="preserve">The IQF treatments </w:t>
      </w:r>
      <w:r>
        <w:rPr>
          <w:rFonts w:ascii="Times New Roman" w:hAnsi="Times New Roman" w:cs="Times New Roman"/>
          <w:sz w:val="24"/>
          <w:szCs w:val="24"/>
        </w:rPr>
        <w:t>had</w:t>
      </w:r>
      <w:r w:rsidRPr="006671ED">
        <w:rPr>
          <w:rFonts w:ascii="Times New Roman" w:hAnsi="Times New Roman" w:cs="Times New Roman"/>
          <w:sz w:val="24"/>
          <w:szCs w:val="24"/>
        </w:rPr>
        <w:t xml:space="preserve"> the highest a* (more brownish) and lowest b* (more yellowness) values of the three </w:t>
      </w:r>
      <w:r>
        <w:rPr>
          <w:rFonts w:ascii="Times New Roman" w:hAnsi="Times New Roman" w:cs="Times New Roman"/>
          <w:sz w:val="24"/>
          <w:szCs w:val="24"/>
        </w:rPr>
        <w:t xml:space="preserve">peach </w:t>
      </w:r>
      <w:r w:rsidRPr="006671ED">
        <w:rPr>
          <w:rFonts w:ascii="Times New Roman" w:hAnsi="Times New Roman" w:cs="Times New Roman"/>
          <w:sz w:val="24"/>
          <w:szCs w:val="24"/>
        </w:rPr>
        <w:t xml:space="preserve">sources (Fig. 3 and 5). </w:t>
      </w:r>
      <w:r>
        <w:rPr>
          <w:rFonts w:ascii="Times New Roman" w:hAnsi="Times New Roman" w:cs="Times New Roman"/>
          <w:sz w:val="24"/>
          <w:szCs w:val="24"/>
        </w:rPr>
        <w:t xml:space="preserve"> As mentioned earlier</w:t>
      </w:r>
      <w:r w:rsidRPr="006671ED">
        <w:rPr>
          <w:rFonts w:ascii="Times New Roman" w:hAnsi="Times New Roman" w:cs="Times New Roman"/>
          <w:sz w:val="24"/>
          <w:szCs w:val="24"/>
        </w:rPr>
        <w:t xml:space="preserve">, the color of the pouches </w:t>
      </w:r>
      <w:r w:rsidRPr="006671ED">
        <w:rPr>
          <w:rFonts w:ascii="Times New Roman" w:hAnsi="Times New Roman" w:cs="Times New Roman"/>
          <w:sz w:val="24"/>
          <w:szCs w:val="24"/>
        </w:rPr>
        <w:lastRenderedPageBreak/>
        <w:t>made of fresh and canned sources were influenced by the enzymatic browning and canning sterilization, respective</w:t>
      </w:r>
      <w:r>
        <w:rPr>
          <w:rFonts w:ascii="Times New Roman" w:hAnsi="Times New Roman" w:cs="Times New Roman"/>
          <w:sz w:val="24"/>
          <w:szCs w:val="24"/>
        </w:rPr>
        <w:t>ly.   H</w:t>
      </w:r>
      <w:r w:rsidRPr="006671ED">
        <w:rPr>
          <w:rFonts w:ascii="Times New Roman" w:hAnsi="Times New Roman" w:cs="Times New Roman"/>
          <w:sz w:val="24"/>
          <w:szCs w:val="24"/>
        </w:rPr>
        <w:t xml:space="preserve">owever, </w:t>
      </w:r>
      <w:r>
        <w:rPr>
          <w:rFonts w:ascii="Times New Roman" w:hAnsi="Times New Roman" w:cs="Times New Roman"/>
          <w:sz w:val="24"/>
          <w:szCs w:val="24"/>
        </w:rPr>
        <w:t xml:space="preserve">for peaches processed with </w:t>
      </w:r>
      <w:r w:rsidRPr="006671ED">
        <w:rPr>
          <w:rFonts w:ascii="Times New Roman" w:hAnsi="Times New Roman" w:cs="Times New Roman"/>
          <w:sz w:val="24"/>
          <w:szCs w:val="24"/>
        </w:rPr>
        <w:t xml:space="preserve">IQF </w:t>
      </w:r>
      <w:r>
        <w:rPr>
          <w:rFonts w:ascii="Times New Roman" w:hAnsi="Times New Roman" w:cs="Times New Roman"/>
          <w:sz w:val="24"/>
          <w:szCs w:val="24"/>
        </w:rPr>
        <w:t>freezing</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it is possible that </w:t>
      </w:r>
      <w:r w:rsidRPr="006671ED">
        <w:rPr>
          <w:rFonts w:ascii="Times New Roman" w:hAnsi="Times New Roman" w:cs="Times New Roman"/>
          <w:sz w:val="24"/>
          <w:szCs w:val="24"/>
        </w:rPr>
        <w:t>the frozen storage and the type of thawing may produce color changes</w:t>
      </w:r>
      <w:r>
        <w:rPr>
          <w:rFonts w:ascii="Times New Roman" w:hAnsi="Times New Roman" w:cs="Times New Roman"/>
          <w:sz w:val="24"/>
          <w:szCs w:val="24"/>
        </w:rPr>
        <w:t xml:space="preserve"> as well</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As we noted in the methods</w:t>
      </w:r>
      <w:r w:rsidRPr="00823D12">
        <w:rPr>
          <w:rFonts w:ascii="Times New Roman" w:hAnsi="Times New Roman" w:cs="Times New Roman"/>
          <w:sz w:val="24"/>
          <w:szCs w:val="24"/>
        </w:rPr>
        <w:t xml:space="preserve">, an air-blast freezer was used.  This type of freezer uses recycled air which can cause freezer burn and oxidative changes as well as dehydration losses in IQF products </w:t>
      </w:r>
      <w:r w:rsidRPr="00823D12">
        <w:rPr>
          <w:rFonts w:ascii="Times New Roman" w:hAnsi="Times New Roman" w:cs="Times New Roman"/>
          <w:noProof/>
          <w:sz w:val="24"/>
          <w:szCs w:val="24"/>
        </w:rPr>
        <w:t>(Fellows 2009)</w:t>
      </w:r>
      <w:r w:rsidRPr="00823D12">
        <w:rPr>
          <w:rFonts w:ascii="Times New Roman" w:hAnsi="Times New Roman" w:cs="Times New Roman"/>
          <w:sz w:val="24"/>
          <w:szCs w:val="24"/>
        </w:rPr>
        <w:t xml:space="preserve">.  Furthermore, the frozen storage can also produce degradation of pigments due to the activity of enzymes such as lipoxygenases and PO </w:t>
      </w:r>
      <w:r w:rsidRPr="00823D12">
        <w:rPr>
          <w:rFonts w:ascii="Times New Roman" w:hAnsi="Times New Roman" w:cs="Times New Roman"/>
          <w:noProof/>
          <w:sz w:val="24"/>
          <w:szCs w:val="24"/>
        </w:rPr>
        <w:t>(Fellows 2009)</w:t>
      </w:r>
      <w:r w:rsidRPr="00823D12">
        <w:rPr>
          <w:rFonts w:ascii="Times New Roman" w:hAnsi="Times New Roman" w:cs="Times New Roman"/>
          <w:sz w:val="24"/>
          <w:szCs w:val="24"/>
        </w:rPr>
        <w:t xml:space="preserve">.  Finally, it is important to note that thawing can produce critical changes if not done properly </w:t>
      </w:r>
      <w:r w:rsidRPr="00823D12">
        <w:rPr>
          <w:rFonts w:ascii="Times New Roman" w:hAnsi="Times New Roman" w:cs="Times New Roman"/>
          <w:noProof/>
          <w:sz w:val="24"/>
          <w:szCs w:val="24"/>
        </w:rPr>
        <w:t>(Li and Sun 2002)</w:t>
      </w:r>
      <w:r w:rsidRPr="00823D12">
        <w:rPr>
          <w:rFonts w:ascii="Times New Roman" w:hAnsi="Times New Roman" w:cs="Times New Roman"/>
          <w:sz w:val="24"/>
          <w:szCs w:val="24"/>
        </w:rPr>
        <w:t xml:space="preserve">.  In our research, since diced peaches were placed in the pouches while frozen, the thawing largely occurred in the retort.  In general, it is recommended to use low temperatures for thawing to ensure food </w:t>
      </w:r>
      <w:proofErr w:type="gramStart"/>
      <w:r w:rsidRPr="00823D12">
        <w:rPr>
          <w:rFonts w:ascii="Times New Roman" w:hAnsi="Times New Roman" w:cs="Times New Roman"/>
          <w:sz w:val="24"/>
          <w:szCs w:val="24"/>
        </w:rPr>
        <w:t xml:space="preserve">quality  </w:t>
      </w:r>
      <w:r w:rsidRPr="00823D12">
        <w:rPr>
          <w:rFonts w:ascii="Times New Roman" w:hAnsi="Times New Roman" w:cs="Times New Roman"/>
          <w:noProof/>
          <w:sz w:val="24"/>
          <w:szCs w:val="24"/>
        </w:rPr>
        <w:t>(</w:t>
      </w:r>
      <w:proofErr w:type="gramEnd"/>
      <w:r w:rsidRPr="00823D12">
        <w:rPr>
          <w:rFonts w:ascii="Times New Roman" w:hAnsi="Times New Roman" w:cs="Times New Roman"/>
          <w:noProof/>
          <w:sz w:val="24"/>
          <w:szCs w:val="24"/>
        </w:rPr>
        <w:t>Li and Sun 2002)</w:t>
      </w:r>
      <w:r w:rsidRPr="00823D12">
        <w:rPr>
          <w:rFonts w:ascii="Times New Roman" w:hAnsi="Times New Roman" w:cs="Times New Roman"/>
          <w:sz w:val="24"/>
          <w:szCs w:val="24"/>
        </w:rPr>
        <w:t xml:space="preserve">.  A previous study on clingstone peaches packed in retort pouches found that, using a sensory panel for color assessment, the color quality was higher for IQF than for fresh source peaches at day 0 </w:t>
      </w:r>
      <w:r w:rsidRPr="00823D12">
        <w:rPr>
          <w:rFonts w:ascii="Times New Roman" w:hAnsi="Times New Roman" w:cs="Times New Roman"/>
          <w:noProof/>
          <w:sz w:val="24"/>
          <w:szCs w:val="24"/>
        </w:rPr>
        <w:t>(Kluter and others 1994)</w:t>
      </w:r>
      <w:r w:rsidRPr="00823D12">
        <w:rPr>
          <w:rFonts w:ascii="Times New Roman" w:hAnsi="Times New Roman" w:cs="Times New Roman"/>
          <w:sz w:val="24"/>
          <w:szCs w:val="24"/>
        </w:rPr>
        <w:t xml:space="preserve">.  This study mentions a difference on the quality between pouches made of fresh and IQF peaches since the former were probably not as ripe as the latter.  Also, the authors mention that the levels of enzyme content in the fresh peaches were higher than in the IQF peaches. Finally, in comparison with our research, this published study included a blanching operation before freezing, and a partial thaw and rinse of the sliced peaches before placing them inside the pouches.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jc w:val="both"/>
        <w:outlineLvl w:val="0"/>
        <w:rPr>
          <w:rFonts w:ascii="Times New Roman" w:hAnsi="Times New Roman" w:cs="Times New Roman"/>
          <w:sz w:val="24"/>
          <w:szCs w:val="24"/>
        </w:rPr>
      </w:pPr>
      <w:r w:rsidRPr="006671ED">
        <w:rPr>
          <w:rFonts w:ascii="Times New Roman" w:hAnsi="Times New Roman" w:cs="Times New Roman"/>
          <w:sz w:val="24"/>
          <w:szCs w:val="24"/>
        </w:rPr>
        <w:tab/>
        <w:t>As we can s</w:t>
      </w:r>
      <w:r>
        <w:rPr>
          <w:rFonts w:ascii="Times New Roman" w:hAnsi="Times New Roman" w:cs="Times New Roman"/>
          <w:sz w:val="24"/>
          <w:szCs w:val="24"/>
        </w:rPr>
        <w:t xml:space="preserve">ee </w:t>
      </w:r>
      <w:r w:rsidRPr="00823D12">
        <w:rPr>
          <w:rFonts w:ascii="Times New Roman" w:hAnsi="Times New Roman" w:cs="Times New Roman"/>
          <w:sz w:val="24"/>
          <w:szCs w:val="24"/>
        </w:rPr>
        <w:t>in Fig. 9, the initial level of ascorbic acid from the canned source was the highest.  In fact, pouches made of fresh, IQF and canned peaches at day 0 had concentrations of 581</w:t>
      </w:r>
      <w:r w:rsidRPr="00B60E4F">
        <w:rPr>
          <w:rFonts w:ascii="MS Gothic" w:eastAsia="MS Gothic"/>
          <w:color w:val="000000"/>
        </w:rPr>
        <w:t>±</w:t>
      </w:r>
      <w:r w:rsidRPr="00823D12">
        <w:rPr>
          <w:rFonts w:ascii="Times New Roman" w:hAnsi="Times New Roman" w:cs="Times New Roman"/>
          <w:sz w:val="24"/>
          <w:szCs w:val="24"/>
        </w:rPr>
        <w:t>16, 488</w:t>
      </w:r>
      <w:r w:rsidRPr="00C84BA2">
        <w:rPr>
          <w:rFonts w:ascii="MS Gothic" w:eastAsia="MS Gothic"/>
          <w:color w:val="000000"/>
        </w:rPr>
        <w:t>±</w:t>
      </w:r>
      <w:r w:rsidRPr="00823D12">
        <w:rPr>
          <w:rFonts w:ascii="Times New Roman" w:hAnsi="Times New Roman" w:cs="Times New Roman"/>
          <w:sz w:val="24"/>
          <w:szCs w:val="24"/>
        </w:rPr>
        <w:t>20, and 875</w:t>
      </w:r>
      <w:r w:rsidRPr="00D22577">
        <w:rPr>
          <w:rFonts w:ascii="MS Gothic" w:eastAsia="MS Gothic"/>
          <w:color w:val="000000"/>
        </w:rPr>
        <w:t>±</w:t>
      </w:r>
      <w:r w:rsidRPr="00823D12">
        <w:rPr>
          <w:rFonts w:ascii="Times New Roman" w:hAnsi="Times New Roman" w:cs="Times New Roman"/>
          <w:sz w:val="24"/>
          <w:szCs w:val="24"/>
        </w:rPr>
        <w:t>124 ppm of AA, respectively.  This difference in the canned source is most probably due to experiment error during the preparation of the syrups.  The initial ascorbic acid was estimated using a test kit and ascorbic acid added to produce a final concentration of ~700ppm in the final product (syrup + peaches).  The difference is important because there is evidence that AA concentration has an effect on the degree of browning.  For example, in aseptically packaged orange juice stored at 24°C for 24 weeks, samples containing</w:t>
      </w:r>
      <w:r w:rsidRPr="006671ED">
        <w:rPr>
          <w:rFonts w:ascii="Times New Roman" w:hAnsi="Times New Roman" w:cs="Times New Roman"/>
          <w:sz w:val="24"/>
          <w:szCs w:val="24"/>
        </w:rPr>
        <w:t xml:space="preserve"> higher concentrations of AA developed more browning.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In this research, the AA concentrations evaluated were 718, 300 and 42 ppm </w:t>
      </w:r>
      <w:r>
        <w:rPr>
          <w:rFonts w:ascii="Times New Roman" w:hAnsi="Times New Roman" w:cs="Times New Roman"/>
          <w:noProof/>
          <w:sz w:val="24"/>
          <w:szCs w:val="24"/>
        </w:rPr>
        <w:t>(Kacem and others 1987)</w:t>
      </w:r>
      <w:r w:rsidRPr="006671ED">
        <w:rPr>
          <w:rFonts w:ascii="Times New Roman" w:hAnsi="Times New Roman" w:cs="Times New Roman"/>
          <w:sz w:val="24"/>
          <w:szCs w:val="24"/>
        </w:rPr>
        <w:t xml:space="preserve">.  </w:t>
      </w:r>
    </w:p>
    <w:p w:rsidR="00F14CA8" w:rsidRPr="006671ED" w:rsidRDefault="00F14CA8" w:rsidP="00F14CA8">
      <w:pPr>
        <w:spacing w:after="0" w:line="360" w:lineRule="auto"/>
        <w:jc w:val="both"/>
        <w:outlineLvl w:val="0"/>
        <w:rPr>
          <w:rFonts w:ascii="Times New Roman" w:hAnsi="Times New Roman" w:cs="Times New Roman"/>
          <w:sz w:val="24"/>
          <w:szCs w:val="24"/>
        </w:rPr>
      </w:pPr>
    </w:p>
    <w:p w:rsidR="00F14CA8" w:rsidRPr="00823D12" w:rsidRDefault="00F14CA8" w:rsidP="00F14CA8">
      <w:pPr>
        <w:spacing w:after="0" w:line="360" w:lineRule="auto"/>
        <w:ind w:firstLine="720"/>
        <w:jc w:val="both"/>
        <w:outlineLvl w:val="0"/>
        <w:rPr>
          <w:rFonts w:ascii="Times New Roman" w:hAnsi="Times New Roman" w:cs="Times New Roman"/>
          <w:sz w:val="24"/>
          <w:szCs w:val="24"/>
        </w:rPr>
      </w:pPr>
      <w:r w:rsidRPr="006671ED">
        <w:rPr>
          <w:rFonts w:ascii="Times New Roman" w:hAnsi="Times New Roman" w:cs="Times New Roman"/>
          <w:sz w:val="24"/>
          <w:szCs w:val="24"/>
        </w:rPr>
        <w:lastRenderedPageBreak/>
        <w:t xml:space="preserve">Even though, in general, all sources of peaches had similar </w:t>
      </w:r>
      <w:r>
        <w:rPr>
          <w:rFonts w:ascii="Times New Roman" w:hAnsi="Times New Roman" w:cs="Times New Roman"/>
          <w:sz w:val="24"/>
          <w:szCs w:val="24"/>
        </w:rPr>
        <w:t>trends</w:t>
      </w:r>
      <w:r w:rsidRPr="006671ED">
        <w:rPr>
          <w:rFonts w:ascii="Times New Roman" w:hAnsi="Times New Roman" w:cs="Times New Roman"/>
          <w:sz w:val="24"/>
          <w:szCs w:val="24"/>
        </w:rPr>
        <w:t xml:space="preserve"> at both temperat</w:t>
      </w:r>
      <w:r>
        <w:rPr>
          <w:rFonts w:ascii="Times New Roman" w:hAnsi="Times New Roman" w:cs="Times New Roman"/>
          <w:sz w:val="24"/>
          <w:szCs w:val="24"/>
        </w:rPr>
        <w:t xml:space="preserve">ures (51°C and 40°C) in </w:t>
      </w:r>
      <w:r w:rsidRPr="006671ED">
        <w:rPr>
          <w:rFonts w:ascii="Times New Roman" w:hAnsi="Times New Roman" w:cs="Times New Roman"/>
          <w:sz w:val="24"/>
          <w:szCs w:val="24"/>
        </w:rPr>
        <w:t xml:space="preserve">measured characteristics (L*, a*, b*, </w:t>
      </w:r>
      <w:r>
        <w:rPr>
          <w:rFonts w:ascii="Times New Roman" w:hAnsi="Times New Roman" w:cs="Times New Roman"/>
          <w:sz w:val="24"/>
          <w:szCs w:val="24"/>
        </w:rPr>
        <w:t>∆</w:t>
      </w:r>
      <w:r w:rsidRPr="006671ED">
        <w:rPr>
          <w:rFonts w:ascii="Times New Roman" w:hAnsi="Times New Roman" w:cs="Times New Roman"/>
          <w:sz w:val="24"/>
          <w:szCs w:val="24"/>
        </w:rPr>
        <w:t xml:space="preserve">E* and ascorbic acid concentration), differences in the values </w:t>
      </w:r>
      <w:r>
        <w:rPr>
          <w:rFonts w:ascii="Times New Roman" w:hAnsi="Times New Roman" w:cs="Times New Roman"/>
          <w:sz w:val="24"/>
          <w:szCs w:val="24"/>
        </w:rPr>
        <w:t xml:space="preserve">reached </w:t>
      </w:r>
      <w:r w:rsidRPr="006671ED">
        <w:rPr>
          <w:rFonts w:ascii="Times New Roman" w:hAnsi="Times New Roman" w:cs="Times New Roman"/>
          <w:sz w:val="24"/>
          <w:szCs w:val="24"/>
        </w:rPr>
        <w:t xml:space="preserve">at the end of the storage were observed. </w:t>
      </w:r>
      <w:r>
        <w:rPr>
          <w:rFonts w:ascii="Times New Roman" w:hAnsi="Times New Roman" w:cs="Times New Roman"/>
          <w:sz w:val="24"/>
          <w:szCs w:val="24"/>
        </w:rPr>
        <w:t xml:space="preserve"> I</w:t>
      </w:r>
      <w:r w:rsidRPr="006671ED">
        <w:rPr>
          <w:rFonts w:ascii="Times New Roman" w:hAnsi="Times New Roman" w:cs="Times New Roman"/>
          <w:sz w:val="24"/>
          <w:szCs w:val="24"/>
        </w:rPr>
        <w:t xml:space="preserve">n Table </w:t>
      </w:r>
      <w:r>
        <w:rPr>
          <w:rFonts w:ascii="Times New Roman" w:hAnsi="Times New Roman" w:cs="Times New Roman"/>
          <w:sz w:val="24"/>
          <w:szCs w:val="24"/>
        </w:rPr>
        <w:t xml:space="preserve">3, </w:t>
      </w:r>
      <w:r w:rsidRPr="006671ED">
        <w:rPr>
          <w:rFonts w:ascii="Times New Roman" w:hAnsi="Times New Roman" w:cs="Times New Roman"/>
          <w:sz w:val="24"/>
          <w:szCs w:val="24"/>
        </w:rPr>
        <w:t xml:space="preserve">the </w:t>
      </w:r>
      <w:r w:rsidRPr="006671ED">
        <w:rPr>
          <w:rFonts w:ascii="Times New Roman" w:hAnsi="Times New Roman" w:cs="Times New Roman"/>
          <w:i/>
          <w:sz w:val="24"/>
          <w:szCs w:val="24"/>
        </w:rPr>
        <w:t xml:space="preserve">k </w:t>
      </w:r>
      <w:r w:rsidRPr="006671ED">
        <w:rPr>
          <w:rFonts w:ascii="Times New Roman" w:hAnsi="Times New Roman" w:cs="Times New Roman"/>
          <w:sz w:val="24"/>
          <w:szCs w:val="24"/>
        </w:rPr>
        <w:t>values of IQF treatments were higher than fresh and canned treatments.</w:t>
      </w:r>
      <w:r>
        <w:rPr>
          <w:rFonts w:ascii="Times New Roman" w:hAnsi="Times New Roman" w:cs="Times New Roman"/>
          <w:sz w:val="24"/>
          <w:szCs w:val="24"/>
        </w:rPr>
        <w:t xml:space="preserve">  Peaches from t</w:t>
      </w:r>
      <w:r w:rsidRPr="006671ED">
        <w:rPr>
          <w:rFonts w:ascii="Times New Roman" w:hAnsi="Times New Roman" w:cs="Times New Roman"/>
          <w:sz w:val="24"/>
          <w:szCs w:val="24"/>
        </w:rPr>
        <w:t xml:space="preserve">he IQF source tended to </w:t>
      </w:r>
      <w:r>
        <w:rPr>
          <w:rFonts w:ascii="Times New Roman" w:hAnsi="Times New Roman" w:cs="Times New Roman"/>
          <w:sz w:val="24"/>
          <w:szCs w:val="24"/>
        </w:rPr>
        <w:t xml:space="preserve">have </w:t>
      </w:r>
      <w:r w:rsidRPr="00823D12">
        <w:rPr>
          <w:rFonts w:ascii="Times New Roman" w:hAnsi="Times New Roman" w:cs="Times New Roman"/>
          <w:sz w:val="24"/>
          <w:szCs w:val="24"/>
        </w:rPr>
        <w:t xml:space="preserve">higher rates of the detrimental reactions.  This contradicts the result given in a previous study where, at the end of storage at 38°C for 15 months and 21°C storage for 36 months, pouches made of IQF diced peaches had higher quality than pouches made of fresh peaches </w:t>
      </w:r>
      <w:r w:rsidRPr="00823D12">
        <w:rPr>
          <w:rFonts w:ascii="Times New Roman" w:hAnsi="Times New Roman" w:cs="Times New Roman"/>
          <w:noProof/>
          <w:sz w:val="24"/>
          <w:szCs w:val="24"/>
        </w:rPr>
        <w:t>(Kluter and others 1994)</w:t>
      </w:r>
      <w:r w:rsidRPr="00823D12">
        <w:rPr>
          <w:rFonts w:ascii="Times New Roman" w:hAnsi="Times New Roman" w:cs="Times New Roman"/>
          <w:sz w:val="24"/>
          <w:szCs w:val="24"/>
        </w:rPr>
        <w:t xml:space="preserve">.  However, as we mentioned before, this published study mentions lower initial quality on the fresh source due to the probably lower ripeness and higher enzyme levels than the IQF peaches. </w:t>
      </w:r>
      <w:r>
        <w:rPr>
          <w:rFonts w:ascii="Times New Roman" w:hAnsi="Times New Roman" w:cs="Times New Roman"/>
          <w:sz w:val="24"/>
          <w:szCs w:val="24"/>
        </w:rPr>
        <w:t xml:space="preserve"> </w:t>
      </w:r>
      <w:r w:rsidRPr="00823D12">
        <w:rPr>
          <w:rFonts w:ascii="Times New Roman" w:hAnsi="Times New Roman" w:cs="Times New Roman"/>
          <w:sz w:val="24"/>
          <w:szCs w:val="24"/>
        </w:rPr>
        <w:t xml:space="preserve">In our study, all peaches had the same degree of ripeness; consequently, we believe that the differences were attributed to the process. </w:t>
      </w:r>
      <w:r>
        <w:rPr>
          <w:rFonts w:ascii="Times New Roman" w:hAnsi="Times New Roman" w:cs="Times New Roman"/>
          <w:sz w:val="24"/>
          <w:szCs w:val="24"/>
        </w:rPr>
        <w:t xml:space="preserve"> </w:t>
      </w:r>
      <w:r w:rsidRPr="00823D12">
        <w:rPr>
          <w:rFonts w:ascii="Times New Roman" w:hAnsi="Times New Roman" w:cs="Times New Roman"/>
          <w:sz w:val="24"/>
          <w:szCs w:val="24"/>
        </w:rPr>
        <w:t xml:space="preserve">In fact, in a study in peaches and mangoes, it was shown that air-blast freezing provoked higher cell damage than other types of freezing (cryogenic and high-pressure shift freezing) </w:t>
      </w:r>
      <w:r w:rsidRPr="00823D12">
        <w:rPr>
          <w:rFonts w:ascii="Times New Roman" w:hAnsi="Times New Roman" w:cs="Times New Roman"/>
          <w:noProof/>
          <w:sz w:val="24"/>
          <w:szCs w:val="24"/>
        </w:rPr>
        <w:t>(Otero and others 2000)</w:t>
      </w:r>
      <w:r w:rsidRPr="00823D12">
        <w:rPr>
          <w:rFonts w:ascii="Times New Roman" w:hAnsi="Times New Roman" w:cs="Times New Roman"/>
          <w:sz w:val="24"/>
          <w:szCs w:val="24"/>
        </w:rPr>
        <w:t xml:space="preserve">. Also, the quick thawing realized inside of the pouches could also provoked damage in the internal cell structure. </w:t>
      </w:r>
    </w:p>
    <w:p w:rsidR="00F14CA8" w:rsidRPr="00FD2486" w:rsidRDefault="00F14CA8" w:rsidP="00F14CA8">
      <w:pPr>
        <w:spacing w:after="0" w:line="360" w:lineRule="auto"/>
        <w:ind w:firstLine="720"/>
        <w:jc w:val="both"/>
        <w:outlineLvl w:val="0"/>
        <w:rPr>
          <w:rFonts w:ascii="Times New Roman" w:hAnsi="Times New Roman" w:cs="Times New Roman"/>
          <w:color w:val="FF0000"/>
          <w:sz w:val="24"/>
          <w:szCs w:val="24"/>
        </w:rPr>
      </w:pPr>
    </w:p>
    <w:p w:rsidR="00F14CA8" w:rsidRPr="006671ED" w:rsidRDefault="00F14CA8" w:rsidP="00F14CA8">
      <w:pPr>
        <w:spacing w:after="0" w:line="360" w:lineRule="auto"/>
        <w:jc w:val="both"/>
        <w:outlineLvl w:val="0"/>
        <w:rPr>
          <w:rFonts w:ascii="Times New Roman" w:hAnsi="Times New Roman" w:cs="Times New Roman"/>
          <w:b/>
          <w:i/>
          <w:sz w:val="24"/>
          <w:szCs w:val="24"/>
        </w:rPr>
      </w:pPr>
      <w:r w:rsidRPr="006671ED">
        <w:rPr>
          <w:rFonts w:ascii="Times New Roman" w:hAnsi="Times New Roman" w:cs="Times New Roman"/>
          <w:b/>
          <w:i/>
          <w:sz w:val="24"/>
          <w:szCs w:val="24"/>
        </w:rPr>
        <w:t>Effect of CaCl</w:t>
      </w:r>
      <w:r w:rsidRPr="006671ED">
        <w:rPr>
          <w:rFonts w:ascii="Times New Roman" w:hAnsi="Times New Roman" w:cs="Times New Roman"/>
          <w:b/>
          <w:i/>
          <w:sz w:val="24"/>
          <w:szCs w:val="24"/>
          <w:vertAlign w:val="subscript"/>
        </w:rPr>
        <w:t>2</w:t>
      </w:r>
      <w:r w:rsidRPr="006671ED">
        <w:rPr>
          <w:rFonts w:ascii="Times New Roman" w:hAnsi="Times New Roman" w:cs="Times New Roman"/>
          <w:b/>
          <w:i/>
          <w:sz w:val="24"/>
          <w:szCs w:val="24"/>
        </w:rPr>
        <w:t xml:space="preserve"> </w:t>
      </w:r>
    </w:p>
    <w:p w:rsidR="00F14CA8" w:rsidRPr="006671ED" w:rsidRDefault="00F14CA8" w:rsidP="00F14CA8">
      <w:pPr>
        <w:spacing w:after="0" w:line="360" w:lineRule="auto"/>
        <w:jc w:val="both"/>
        <w:outlineLvl w:val="0"/>
        <w:rPr>
          <w:rFonts w:ascii="Times New Roman" w:hAnsi="Times New Roman" w:cs="Times New Roman"/>
          <w:sz w:val="24"/>
          <w:szCs w:val="24"/>
        </w:rPr>
      </w:pPr>
      <w:r w:rsidRPr="006671ED">
        <w:rPr>
          <w:rFonts w:ascii="Times New Roman" w:hAnsi="Times New Roman" w:cs="Times New Roman"/>
          <w:sz w:val="24"/>
          <w:szCs w:val="24"/>
        </w:rPr>
        <w:tab/>
        <w:t>Table 2 shows that</w:t>
      </w:r>
      <w:r>
        <w:rPr>
          <w:rFonts w:ascii="Times New Roman" w:hAnsi="Times New Roman" w:cs="Times New Roman"/>
          <w:sz w:val="24"/>
          <w:szCs w:val="24"/>
        </w:rPr>
        <w:t>,</w:t>
      </w:r>
      <w:r w:rsidRPr="006671ED">
        <w:rPr>
          <w:rFonts w:ascii="Times New Roman" w:hAnsi="Times New Roman" w:cs="Times New Roman"/>
          <w:sz w:val="24"/>
          <w:szCs w:val="24"/>
        </w:rPr>
        <w:t xml:space="preserve"> at day 0 in the treatments within the fresh source, there were significant effects (p&lt;0.05) due to CaCl</w:t>
      </w:r>
      <w:r w:rsidRPr="006671ED">
        <w:rPr>
          <w:rFonts w:ascii="Times New Roman" w:hAnsi="Times New Roman" w:cs="Times New Roman"/>
          <w:sz w:val="24"/>
          <w:szCs w:val="24"/>
          <w:vertAlign w:val="subscript"/>
        </w:rPr>
        <w:t xml:space="preserve">2 </w:t>
      </w:r>
      <w:r>
        <w:rPr>
          <w:rFonts w:ascii="Times New Roman" w:hAnsi="Times New Roman" w:cs="Times New Roman"/>
          <w:sz w:val="24"/>
          <w:szCs w:val="24"/>
        </w:rPr>
        <w:t>o</w:t>
      </w:r>
      <w:r w:rsidRPr="006671ED">
        <w:rPr>
          <w:rFonts w:ascii="Times New Roman" w:hAnsi="Times New Roman" w:cs="Times New Roman"/>
          <w:sz w:val="24"/>
          <w:szCs w:val="24"/>
        </w:rPr>
        <w:t xml:space="preserve">n the L* value. </w:t>
      </w:r>
      <w:r>
        <w:rPr>
          <w:rFonts w:ascii="Times New Roman" w:hAnsi="Times New Roman" w:cs="Times New Roman"/>
          <w:sz w:val="24"/>
          <w:szCs w:val="24"/>
        </w:rPr>
        <w:t xml:space="preserve"> </w:t>
      </w:r>
      <w:r w:rsidRPr="006671ED">
        <w:rPr>
          <w:rFonts w:ascii="Times New Roman" w:hAnsi="Times New Roman" w:cs="Times New Roman"/>
          <w:sz w:val="24"/>
          <w:szCs w:val="24"/>
        </w:rPr>
        <w:t>We do not believe that this difference was due to the presence of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instead, we think that this difference was due to the high variability on the color of the fresh peaches, which </w:t>
      </w:r>
      <w:r>
        <w:rPr>
          <w:rFonts w:ascii="Times New Roman" w:hAnsi="Times New Roman" w:cs="Times New Roman"/>
          <w:sz w:val="24"/>
          <w:szCs w:val="24"/>
        </w:rPr>
        <w:t>was discussed earlier in relation to enzymatic browning</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In the other sources (IQF and canned peaches) no significant effects (p&gt;0.05) due to the presence of CaCl</w:t>
      </w:r>
      <w:r w:rsidRPr="006671ED">
        <w:rPr>
          <w:rFonts w:ascii="Times New Roman" w:hAnsi="Times New Roman" w:cs="Times New Roman"/>
          <w:sz w:val="24"/>
          <w:szCs w:val="24"/>
          <w:vertAlign w:val="subscript"/>
        </w:rPr>
        <w:t>2</w:t>
      </w:r>
      <w:r>
        <w:rPr>
          <w:rFonts w:ascii="Times New Roman" w:hAnsi="Times New Roman" w:cs="Times New Roman"/>
          <w:sz w:val="24"/>
          <w:szCs w:val="24"/>
        </w:rPr>
        <w:t xml:space="preserve"> were observed</w:t>
      </w:r>
      <w:r w:rsidRPr="006671ED">
        <w:rPr>
          <w:rFonts w:ascii="Times New Roman" w:hAnsi="Times New Roman" w:cs="Times New Roman"/>
          <w:sz w:val="24"/>
          <w:szCs w:val="24"/>
        </w:rPr>
        <w:t xml:space="preserve">. </w:t>
      </w:r>
    </w:p>
    <w:p w:rsidR="00F14CA8" w:rsidRPr="006671ED" w:rsidRDefault="00F14CA8" w:rsidP="00F14CA8">
      <w:pPr>
        <w:spacing w:after="0" w:line="360" w:lineRule="auto"/>
        <w:jc w:val="both"/>
        <w:rPr>
          <w:rFonts w:ascii="Times New Roman" w:hAnsi="Times New Roman" w:cs="Times New Roman"/>
          <w:sz w:val="24"/>
          <w:szCs w:val="24"/>
        </w:rPr>
      </w:pPr>
    </w:p>
    <w:p w:rsidR="00F14CA8" w:rsidRPr="006671ED"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 xml:space="preserve">At 51°C, among the treatments within each source, there were differences in the rate constants (Table 3). </w:t>
      </w:r>
      <w:r>
        <w:rPr>
          <w:rFonts w:ascii="Times New Roman" w:hAnsi="Times New Roman" w:cs="Times New Roman"/>
          <w:sz w:val="24"/>
          <w:szCs w:val="24"/>
        </w:rPr>
        <w:t xml:space="preserve"> For example, among</w:t>
      </w:r>
      <w:r w:rsidRPr="006671ED">
        <w:rPr>
          <w:rFonts w:ascii="Times New Roman" w:hAnsi="Times New Roman" w:cs="Times New Roman"/>
          <w:sz w:val="24"/>
          <w:szCs w:val="24"/>
        </w:rPr>
        <w:t xml:space="preserve"> the L* values, the two treatments composed of IQF peaches and CaCl</w:t>
      </w:r>
      <w:r w:rsidRPr="006671ED">
        <w:rPr>
          <w:rFonts w:ascii="Times New Roman" w:hAnsi="Times New Roman" w:cs="Times New Roman"/>
          <w:sz w:val="24"/>
          <w:szCs w:val="24"/>
          <w:vertAlign w:val="subscript"/>
        </w:rPr>
        <w:t>2</w:t>
      </w:r>
      <w:r>
        <w:rPr>
          <w:rFonts w:ascii="Times New Roman" w:hAnsi="Times New Roman" w:cs="Times New Roman"/>
          <w:sz w:val="24"/>
          <w:szCs w:val="24"/>
        </w:rPr>
        <w:t xml:space="preserve">, and </w:t>
      </w:r>
      <w:r w:rsidRPr="006671ED">
        <w:rPr>
          <w:rFonts w:ascii="Times New Roman" w:hAnsi="Times New Roman" w:cs="Times New Roman"/>
          <w:sz w:val="24"/>
          <w:szCs w:val="24"/>
        </w:rPr>
        <w:t>canned peaches and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alone </w:t>
      </w:r>
      <w:r>
        <w:rPr>
          <w:rFonts w:ascii="Times New Roman" w:hAnsi="Times New Roman" w:cs="Times New Roman"/>
          <w:sz w:val="24"/>
          <w:szCs w:val="24"/>
        </w:rPr>
        <w:t>had</w:t>
      </w:r>
      <w:r w:rsidRPr="006671ED">
        <w:rPr>
          <w:rFonts w:ascii="Times New Roman" w:hAnsi="Times New Roman" w:cs="Times New Roman"/>
          <w:sz w:val="24"/>
          <w:szCs w:val="24"/>
        </w:rPr>
        <w:t xml:space="preserve"> higher </w:t>
      </w:r>
      <w:r w:rsidRPr="006671ED">
        <w:rPr>
          <w:rFonts w:ascii="Times New Roman" w:hAnsi="Times New Roman" w:cs="Times New Roman"/>
          <w:i/>
          <w:sz w:val="24"/>
          <w:szCs w:val="24"/>
        </w:rPr>
        <w:t>k</w:t>
      </w:r>
      <w:r w:rsidRPr="006671ED">
        <w:rPr>
          <w:rFonts w:ascii="Times New Roman" w:hAnsi="Times New Roman" w:cs="Times New Roman"/>
          <w:sz w:val="24"/>
          <w:szCs w:val="24"/>
        </w:rPr>
        <w:t xml:space="preserve"> values. </w:t>
      </w:r>
      <w:r>
        <w:rPr>
          <w:rFonts w:ascii="Times New Roman" w:hAnsi="Times New Roman" w:cs="Times New Roman"/>
          <w:sz w:val="24"/>
          <w:szCs w:val="24"/>
        </w:rPr>
        <w:t xml:space="preserve"> </w:t>
      </w:r>
      <w:r w:rsidRPr="006671ED">
        <w:rPr>
          <w:rFonts w:ascii="Times New Roman" w:hAnsi="Times New Roman" w:cs="Times New Roman"/>
          <w:sz w:val="24"/>
          <w:szCs w:val="24"/>
        </w:rPr>
        <w:t>Similar effects due to CaCl</w:t>
      </w:r>
      <w:r w:rsidRPr="006671ED">
        <w:rPr>
          <w:rFonts w:ascii="Times New Roman" w:hAnsi="Times New Roman" w:cs="Times New Roman"/>
          <w:sz w:val="24"/>
          <w:szCs w:val="24"/>
          <w:vertAlign w:val="subscript"/>
        </w:rPr>
        <w:t>2</w:t>
      </w:r>
      <w:r>
        <w:rPr>
          <w:rFonts w:ascii="Times New Roman" w:hAnsi="Times New Roman" w:cs="Times New Roman"/>
          <w:sz w:val="24"/>
          <w:szCs w:val="24"/>
        </w:rPr>
        <w:t xml:space="preserve"> were observed for</w:t>
      </w:r>
      <w:r w:rsidRPr="006671ED">
        <w:rPr>
          <w:rFonts w:ascii="Times New Roman" w:hAnsi="Times New Roman" w:cs="Times New Roman"/>
          <w:sz w:val="24"/>
          <w:szCs w:val="24"/>
        </w:rPr>
        <w:t xml:space="preserve"> </w:t>
      </w:r>
      <w:proofErr w:type="gramStart"/>
      <w:r w:rsidRPr="006671ED">
        <w:rPr>
          <w:rFonts w:ascii="Times New Roman" w:hAnsi="Times New Roman" w:cs="Times New Roman"/>
          <w:sz w:val="24"/>
          <w:szCs w:val="24"/>
        </w:rPr>
        <w:t>the a</w:t>
      </w:r>
      <w:proofErr w:type="gramEnd"/>
      <w:r w:rsidRPr="006671ED">
        <w:rPr>
          <w:rFonts w:ascii="Times New Roman" w:hAnsi="Times New Roman" w:cs="Times New Roman"/>
          <w:sz w:val="24"/>
          <w:szCs w:val="24"/>
        </w:rPr>
        <w:t>* and ∆E* parameters</w:t>
      </w:r>
      <w:r>
        <w:rPr>
          <w:rFonts w:ascii="Times New Roman" w:hAnsi="Times New Roman" w:cs="Times New Roman"/>
          <w:sz w:val="24"/>
          <w:szCs w:val="24"/>
        </w:rPr>
        <w:t>,</w:t>
      </w:r>
      <w:r w:rsidRPr="006671ED">
        <w:rPr>
          <w:rFonts w:ascii="Times New Roman" w:hAnsi="Times New Roman" w:cs="Times New Roman"/>
          <w:sz w:val="24"/>
          <w:szCs w:val="24"/>
        </w:rPr>
        <w:t xml:space="preserve"> since among the treatments of fr</w:t>
      </w:r>
      <w:r>
        <w:rPr>
          <w:rFonts w:ascii="Times New Roman" w:hAnsi="Times New Roman" w:cs="Times New Roman"/>
          <w:sz w:val="24"/>
          <w:szCs w:val="24"/>
        </w:rPr>
        <w:t xml:space="preserve">esh and IQF sources, those that </w:t>
      </w:r>
      <w:r w:rsidRPr="006671ED">
        <w:rPr>
          <w:rFonts w:ascii="Times New Roman" w:hAnsi="Times New Roman" w:cs="Times New Roman"/>
          <w:sz w:val="24"/>
          <w:szCs w:val="24"/>
        </w:rPr>
        <w:t>had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alone</w:t>
      </w:r>
      <w:r>
        <w:rPr>
          <w:rFonts w:ascii="Times New Roman" w:hAnsi="Times New Roman" w:cs="Times New Roman"/>
          <w:sz w:val="24"/>
          <w:szCs w:val="24"/>
        </w:rPr>
        <w:t xml:space="preserve"> had</w:t>
      </w:r>
      <w:r w:rsidRPr="006671ED">
        <w:rPr>
          <w:rFonts w:ascii="Times New Roman" w:hAnsi="Times New Roman" w:cs="Times New Roman"/>
          <w:sz w:val="24"/>
          <w:szCs w:val="24"/>
        </w:rPr>
        <w:t xml:space="preserve"> higher </w:t>
      </w:r>
      <w:r w:rsidRPr="006671ED">
        <w:rPr>
          <w:rFonts w:ascii="Times New Roman" w:hAnsi="Times New Roman" w:cs="Times New Roman"/>
          <w:i/>
          <w:sz w:val="24"/>
          <w:szCs w:val="24"/>
        </w:rPr>
        <w:t>k</w:t>
      </w:r>
      <w:r w:rsidRPr="006671ED">
        <w:rPr>
          <w:rFonts w:ascii="Times New Roman" w:hAnsi="Times New Roman" w:cs="Times New Roman"/>
          <w:sz w:val="24"/>
          <w:szCs w:val="24"/>
        </w:rPr>
        <w:t xml:space="preserve"> values</w:t>
      </w:r>
      <w:r>
        <w:rPr>
          <w:rFonts w:ascii="Times New Roman" w:hAnsi="Times New Roman" w:cs="Times New Roman"/>
          <w:sz w:val="24"/>
          <w:szCs w:val="24"/>
        </w:rPr>
        <w:t xml:space="preserve"> as well</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Finally, in the AA analysis, Table 3 shows that within each source, all treatments </w:t>
      </w:r>
      <w:r>
        <w:rPr>
          <w:rFonts w:ascii="Times New Roman" w:hAnsi="Times New Roman" w:cs="Times New Roman"/>
          <w:sz w:val="24"/>
          <w:szCs w:val="24"/>
        </w:rPr>
        <w:t>had</w:t>
      </w:r>
      <w:r w:rsidRPr="006671ED">
        <w:rPr>
          <w:rFonts w:ascii="Times New Roman" w:hAnsi="Times New Roman" w:cs="Times New Roman"/>
          <w:sz w:val="24"/>
          <w:szCs w:val="24"/>
        </w:rPr>
        <w:t xml:space="preserve"> similar rate constants</w:t>
      </w:r>
      <w:r>
        <w:rPr>
          <w:rFonts w:ascii="Times New Roman" w:hAnsi="Times New Roman" w:cs="Times New Roman"/>
          <w:sz w:val="24"/>
          <w:szCs w:val="24"/>
        </w:rPr>
        <w:t>,</w:t>
      </w:r>
      <w:r w:rsidRPr="006671ED">
        <w:rPr>
          <w:rFonts w:ascii="Times New Roman" w:hAnsi="Times New Roman" w:cs="Times New Roman"/>
          <w:sz w:val="24"/>
          <w:szCs w:val="24"/>
        </w:rPr>
        <w:t xml:space="preserve"> with the exception of the treatments composed of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alone in the canned source and the treatment </w:t>
      </w:r>
      <w:r w:rsidRPr="006671ED">
        <w:rPr>
          <w:rFonts w:ascii="Times New Roman" w:hAnsi="Times New Roman" w:cs="Times New Roman"/>
          <w:sz w:val="24"/>
          <w:szCs w:val="24"/>
        </w:rPr>
        <w:lastRenderedPageBreak/>
        <w:t>made of IQF-</w:t>
      </w:r>
      <w:r>
        <w:rPr>
          <w:rFonts w:ascii="Times New Roman" w:hAnsi="Times New Roman"/>
          <w:sz w:val="24"/>
          <w:szCs w:val="24"/>
        </w:rPr>
        <w:t>α-GR</w:t>
      </w:r>
      <w:r w:rsidRPr="006671ED">
        <w:rPr>
          <w:rFonts w:ascii="Times New Roman" w:hAnsi="Times New Roman" w:cs="Times New Roman"/>
          <w:sz w:val="24"/>
          <w:szCs w:val="24"/>
        </w:rPr>
        <w:t>-CaCl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At 40°C, similar results were obtained. </w:t>
      </w:r>
      <w:r>
        <w:rPr>
          <w:rFonts w:ascii="Times New Roman" w:hAnsi="Times New Roman" w:cs="Times New Roman"/>
          <w:sz w:val="24"/>
          <w:szCs w:val="24"/>
        </w:rPr>
        <w:t xml:space="preserve"> </w:t>
      </w:r>
      <w:r w:rsidR="009903D3">
        <w:rPr>
          <w:rFonts w:ascii="Times New Roman" w:hAnsi="Times New Roman" w:cs="Times New Roman"/>
          <w:sz w:val="24"/>
          <w:szCs w:val="24"/>
        </w:rPr>
        <w:t>In fact, Table 3</w:t>
      </w:r>
      <w:r>
        <w:rPr>
          <w:rFonts w:ascii="Times New Roman" w:hAnsi="Times New Roman" w:cs="Times New Roman"/>
          <w:sz w:val="24"/>
          <w:szCs w:val="24"/>
        </w:rPr>
        <w:t xml:space="preserve"> shows that for</w:t>
      </w:r>
      <w:r w:rsidRPr="006671ED">
        <w:rPr>
          <w:rFonts w:ascii="Times New Roman" w:hAnsi="Times New Roman" w:cs="Times New Roman"/>
          <w:sz w:val="24"/>
          <w:szCs w:val="24"/>
        </w:rPr>
        <w:t xml:space="preserve"> L* values, within the treatments of IQF and canned peaches</w:t>
      </w:r>
      <w:r>
        <w:rPr>
          <w:rFonts w:ascii="Times New Roman" w:hAnsi="Times New Roman" w:cs="Times New Roman"/>
          <w:sz w:val="24"/>
          <w:szCs w:val="24"/>
        </w:rPr>
        <w:t>, those composed of</w:t>
      </w:r>
      <w:r w:rsidRPr="006671ED">
        <w:rPr>
          <w:rFonts w:ascii="Times New Roman" w:hAnsi="Times New Roman" w:cs="Times New Roman"/>
          <w:sz w:val="24"/>
          <w:szCs w:val="24"/>
        </w:rPr>
        <w:t xml:space="preserve">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and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w:t>
      </w:r>
      <w:r>
        <w:rPr>
          <w:rFonts w:ascii="Times New Roman" w:hAnsi="Times New Roman"/>
          <w:sz w:val="24"/>
          <w:szCs w:val="24"/>
        </w:rPr>
        <w:t xml:space="preserve">α-GR had </w:t>
      </w:r>
      <w:r>
        <w:rPr>
          <w:rFonts w:ascii="Times New Roman" w:hAnsi="Times New Roman" w:cs="Times New Roman"/>
          <w:sz w:val="24"/>
          <w:szCs w:val="24"/>
        </w:rPr>
        <w:t>h</w:t>
      </w:r>
      <w:r w:rsidRPr="006671ED">
        <w:rPr>
          <w:rFonts w:ascii="Times New Roman" w:hAnsi="Times New Roman" w:cs="Times New Roman"/>
          <w:sz w:val="24"/>
          <w:szCs w:val="24"/>
        </w:rPr>
        <w:t>igher rate</w:t>
      </w:r>
      <w:r>
        <w:rPr>
          <w:rFonts w:ascii="Times New Roman" w:hAnsi="Times New Roman" w:cs="Times New Roman"/>
          <w:sz w:val="24"/>
          <w:szCs w:val="24"/>
        </w:rPr>
        <w:t>s</w:t>
      </w:r>
      <w:r w:rsidRPr="006671ED">
        <w:rPr>
          <w:rFonts w:ascii="Times New Roman" w:hAnsi="Times New Roman" w:cs="Times New Roman"/>
          <w:sz w:val="24"/>
          <w:szCs w:val="24"/>
        </w:rPr>
        <w:t xml:space="preserve"> of darkening. </w:t>
      </w:r>
      <w:r>
        <w:rPr>
          <w:rFonts w:ascii="Times New Roman" w:hAnsi="Times New Roman" w:cs="Times New Roman"/>
          <w:sz w:val="24"/>
          <w:szCs w:val="24"/>
        </w:rPr>
        <w:t xml:space="preserve"> Similar results were observed for the ∆E* parameter. </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w:t>
      </w:r>
      <w:r w:rsidRPr="006671ED">
        <w:rPr>
          <w:rFonts w:ascii="Times New Roman" w:hAnsi="Times New Roman" w:cs="Times New Roman"/>
          <w:sz w:val="24"/>
          <w:szCs w:val="24"/>
        </w:rPr>
        <w:t xml:space="preserve">ithin the canned source, the </w:t>
      </w:r>
      <w:r>
        <w:rPr>
          <w:rFonts w:ascii="Times New Roman" w:hAnsi="Times New Roman" w:cs="Times New Roman"/>
          <w:sz w:val="24"/>
          <w:szCs w:val="24"/>
        </w:rPr>
        <w:t>treatment composed of</w:t>
      </w:r>
      <w:r w:rsidRPr="006671ED">
        <w:rPr>
          <w:rFonts w:ascii="Times New Roman" w:hAnsi="Times New Roman" w:cs="Times New Roman"/>
          <w:sz w:val="24"/>
          <w:szCs w:val="24"/>
        </w:rPr>
        <w:t xml:space="preserve"> CaCl</w:t>
      </w:r>
      <w:r w:rsidRPr="0030037E">
        <w:rPr>
          <w:rFonts w:ascii="Times New Roman" w:hAnsi="Times New Roman" w:cs="Times New Roman"/>
          <w:sz w:val="24"/>
          <w:szCs w:val="24"/>
          <w:vertAlign w:val="subscript"/>
        </w:rPr>
        <w:t>2</w:t>
      </w:r>
      <w:r>
        <w:rPr>
          <w:rFonts w:ascii="Times New Roman" w:hAnsi="Times New Roman" w:cs="Times New Roman"/>
          <w:sz w:val="24"/>
          <w:szCs w:val="24"/>
        </w:rPr>
        <w:t xml:space="preserve"> alone had a</w:t>
      </w:r>
      <w:r w:rsidRPr="006671ED">
        <w:rPr>
          <w:rFonts w:ascii="Times New Roman" w:hAnsi="Times New Roman" w:cs="Times New Roman"/>
          <w:sz w:val="24"/>
          <w:szCs w:val="24"/>
        </w:rPr>
        <w:t xml:space="preserve"> higher rate of </w:t>
      </w:r>
      <w:r>
        <w:rPr>
          <w:rFonts w:ascii="Times New Roman" w:hAnsi="Times New Roman" w:cs="Times New Roman"/>
          <w:sz w:val="24"/>
          <w:szCs w:val="24"/>
        </w:rPr>
        <w:t>AA loss</w:t>
      </w:r>
      <w:r w:rsidRPr="006671ED">
        <w:rPr>
          <w:rFonts w:ascii="Times New Roman" w:hAnsi="Times New Roman" w:cs="Times New Roman"/>
          <w:sz w:val="24"/>
          <w:szCs w:val="24"/>
        </w:rPr>
        <w:t xml:space="preserve">.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 xml:space="preserve">The differences in </w:t>
      </w:r>
      <w:r w:rsidRPr="006671ED">
        <w:rPr>
          <w:rFonts w:ascii="Times New Roman" w:hAnsi="Times New Roman" w:cs="Times New Roman"/>
          <w:i/>
          <w:sz w:val="24"/>
          <w:szCs w:val="24"/>
        </w:rPr>
        <w:t>k</w:t>
      </w:r>
      <w:r w:rsidRPr="006671ED">
        <w:rPr>
          <w:rFonts w:ascii="Times New Roman" w:hAnsi="Times New Roman" w:cs="Times New Roman"/>
          <w:sz w:val="24"/>
          <w:szCs w:val="24"/>
        </w:rPr>
        <w:t xml:space="preserve"> values due to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are correlated with the results shown in Table 2. Here we observe that at the end of the 51°C storage, </w:t>
      </w:r>
      <w:r>
        <w:rPr>
          <w:rFonts w:ascii="Times New Roman" w:hAnsi="Times New Roman" w:cs="Times New Roman"/>
          <w:sz w:val="24"/>
          <w:szCs w:val="24"/>
        </w:rPr>
        <w:t>in the IQF and canned sources</w:t>
      </w:r>
      <w:r w:rsidRPr="006671ED">
        <w:rPr>
          <w:rFonts w:ascii="Times New Roman" w:hAnsi="Times New Roman" w:cs="Times New Roman"/>
          <w:sz w:val="24"/>
          <w:szCs w:val="24"/>
        </w:rPr>
        <w:t>, CaCl</w:t>
      </w:r>
      <w:r w:rsidRPr="006671ED">
        <w:rPr>
          <w:rFonts w:ascii="Times New Roman" w:hAnsi="Times New Roman" w:cs="Times New Roman"/>
          <w:sz w:val="24"/>
          <w:szCs w:val="24"/>
          <w:vertAlign w:val="subscript"/>
        </w:rPr>
        <w:t>2</w:t>
      </w:r>
      <w:r>
        <w:rPr>
          <w:rFonts w:ascii="Times New Roman" w:hAnsi="Times New Roman" w:cs="Times New Roman"/>
          <w:sz w:val="24"/>
          <w:szCs w:val="24"/>
        </w:rPr>
        <w:t xml:space="preserve"> </w:t>
      </w:r>
      <w:r w:rsidR="00CB7EB5">
        <w:rPr>
          <w:rFonts w:ascii="Times New Roman" w:hAnsi="Times New Roman" w:cs="Times New Roman"/>
          <w:sz w:val="24"/>
          <w:szCs w:val="24"/>
        </w:rPr>
        <w:t xml:space="preserve">provoked </w:t>
      </w:r>
      <w:r>
        <w:rPr>
          <w:rFonts w:ascii="Times New Roman" w:hAnsi="Times New Roman" w:cs="Times New Roman"/>
          <w:sz w:val="24"/>
          <w:szCs w:val="24"/>
        </w:rPr>
        <w:t>a higher darkness</w:t>
      </w:r>
      <w:r w:rsidRPr="006671ED">
        <w:rPr>
          <w:rFonts w:ascii="Times New Roman" w:hAnsi="Times New Roman" w:cs="Times New Roman"/>
          <w:sz w:val="24"/>
          <w:szCs w:val="24"/>
        </w:rPr>
        <w:t xml:space="preserve"> (lower L* values), higher reddish color (higher a* value)</w:t>
      </w:r>
      <w:r>
        <w:rPr>
          <w:rFonts w:ascii="Times New Roman" w:hAnsi="Times New Roman" w:cs="Times New Roman"/>
          <w:sz w:val="24"/>
          <w:szCs w:val="24"/>
        </w:rPr>
        <w:t>, higher color change (higher ∆E*), and lower AA levels (p&lt;0.05).  For the b* values, CaCl</w:t>
      </w:r>
      <w:r w:rsidRPr="00C735B0">
        <w:rPr>
          <w:rFonts w:ascii="Times New Roman" w:hAnsi="Times New Roman" w:cs="Times New Roman"/>
          <w:sz w:val="24"/>
          <w:szCs w:val="24"/>
          <w:vertAlign w:val="subscript"/>
        </w:rPr>
        <w:t>2</w:t>
      </w:r>
      <w:r>
        <w:rPr>
          <w:rFonts w:ascii="Times New Roman" w:hAnsi="Times New Roman" w:cs="Times New Roman"/>
          <w:sz w:val="24"/>
          <w:szCs w:val="24"/>
        </w:rPr>
        <w:t xml:space="preserve"> produced lower yellowness; however, the only significant difference (p&lt;0.05) was seen in the canned source.  For the fresh source, significant interactions (p&lt;0.05) between CaCl</w:t>
      </w:r>
      <w:r w:rsidRPr="00C735B0">
        <w:rPr>
          <w:rFonts w:ascii="Times New Roman" w:hAnsi="Times New Roman" w:cs="Times New Roman"/>
          <w:sz w:val="24"/>
          <w:szCs w:val="24"/>
          <w:vertAlign w:val="subscript"/>
        </w:rPr>
        <w:t>2</w:t>
      </w:r>
      <w:r>
        <w:rPr>
          <w:rFonts w:ascii="Times New Roman" w:hAnsi="Times New Roman" w:cs="Times New Roman"/>
          <w:sz w:val="24"/>
          <w:szCs w:val="24"/>
        </w:rPr>
        <w:t xml:space="preserve"> and flavonoid were observed in all parameters studied with the exception of the </w:t>
      </w:r>
      <w:r w:rsidR="00775193">
        <w:rPr>
          <w:rFonts w:ascii="Times New Roman" w:hAnsi="Times New Roman" w:cs="Times New Roman"/>
          <w:sz w:val="24"/>
          <w:szCs w:val="24"/>
        </w:rPr>
        <w:t xml:space="preserve">L* and </w:t>
      </w:r>
      <w:r>
        <w:rPr>
          <w:rFonts w:ascii="Times New Roman" w:hAnsi="Times New Roman" w:cs="Times New Roman"/>
          <w:sz w:val="24"/>
          <w:szCs w:val="24"/>
        </w:rPr>
        <w:t xml:space="preserve">b* values.  </w:t>
      </w:r>
      <w:r w:rsidRPr="006671ED">
        <w:rPr>
          <w:rFonts w:ascii="Times New Roman" w:hAnsi="Times New Roman" w:cs="Times New Roman"/>
          <w:sz w:val="24"/>
          <w:szCs w:val="24"/>
        </w:rPr>
        <w:t xml:space="preserve">At the end of the 40°C storage, </w:t>
      </w:r>
      <w:r>
        <w:rPr>
          <w:rFonts w:ascii="Times New Roman" w:hAnsi="Times New Roman" w:cs="Times New Roman"/>
          <w:sz w:val="24"/>
          <w:szCs w:val="24"/>
        </w:rPr>
        <w:t>CaCl</w:t>
      </w:r>
      <w:r w:rsidRPr="00C735B0">
        <w:rPr>
          <w:rFonts w:ascii="Times New Roman" w:hAnsi="Times New Roman" w:cs="Times New Roman"/>
          <w:sz w:val="24"/>
          <w:szCs w:val="24"/>
          <w:vertAlign w:val="subscript"/>
        </w:rPr>
        <w:t>2</w:t>
      </w:r>
      <w:r>
        <w:rPr>
          <w:rFonts w:ascii="Times New Roman" w:hAnsi="Times New Roman" w:cs="Times New Roman"/>
          <w:sz w:val="24"/>
          <w:szCs w:val="24"/>
        </w:rPr>
        <w:t xml:space="preserve"> did not have an effect on any of the parameters for the fresh source; however, in the IQF source, significant interactions (p&lt;0.05) between CaCl</w:t>
      </w:r>
      <w:r w:rsidRPr="0030037E">
        <w:rPr>
          <w:rFonts w:ascii="Times New Roman" w:hAnsi="Times New Roman" w:cs="Times New Roman"/>
          <w:sz w:val="24"/>
          <w:szCs w:val="24"/>
          <w:vertAlign w:val="subscript"/>
        </w:rPr>
        <w:t>2</w:t>
      </w:r>
      <w:r>
        <w:rPr>
          <w:rFonts w:ascii="Times New Roman" w:hAnsi="Times New Roman" w:cs="Times New Roman"/>
          <w:sz w:val="24"/>
          <w:szCs w:val="24"/>
        </w:rPr>
        <w:t xml:space="preserve"> and </w:t>
      </w:r>
      <w:r>
        <w:rPr>
          <w:rFonts w:ascii="Times New Roman" w:hAnsi="Times New Roman"/>
          <w:sz w:val="24"/>
          <w:szCs w:val="24"/>
        </w:rPr>
        <w:t xml:space="preserve">α-GR </w:t>
      </w:r>
      <w:r>
        <w:rPr>
          <w:rFonts w:ascii="Times New Roman" w:hAnsi="Times New Roman" w:cs="Times New Roman"/>
          <w:sz w:val="24"/>
          <w:szCs w:val="24"/>
        </w:rPr>
        <w:t xml:space="preserve">were obtained for all parameters with the exception of </w:t>
      </w:r>
      <w:proofErr w:type="gramStart"/>
      <w:r>
        <w:rPr>
          <w:rFonts w:ascii="Times New Roman" w:hAnsi="Times New Roman" w:cs="Times New Roman"/>
          <w:sz w:val="24"/>
          <w:szCs w:val="24"/>
        </w:rPr>
        <w:t>the a</w:t>
      </w:r>
      <w:proofErr w:type="gramEnd"/>
      <w:r>
        <w:rPr>
          <w:rFonts w:ascii="Times New Roman" w:hAnsi="Times New Roman" w:cs="Times New Roman"/>
          <w:sz w:val="24"/>
          <w:szCs w:val="24"/>
        </w:rPr>
        <w:t>* value.  Finally, in the canned source, significant interactions (p&lt;0.05) were seen with the exception of a* and b* values; in fact, in these last parameters, CaCl</w:t>
      </w:r>
      <w:r w:rsidRPr="00C735B0">
        <w:rPr>
          <w:rFonts w:ascii="Times New Roman" w:hAnsi="Times New Roman" w:cs="Times New Roman"/>
          <w:sz w:val="24"/>
          <w:szCs w:val="24"/>
          <w:vertAlign w:val="subscript"/>
        </w:rPr>
        <w:t>2</w:t>
      </w:r>
      <w:r>
        <w:rPr>
          <w:rFonts w:ascii="Times New Roman" w:hAnsi="Times New Roman" w:cs="Times New Roman"/>
          <w:sz w:val="24"/>
          <w:szCs w:val="24"/>
        </w:rPr>
        <w:t xml:space="preserve"> produced significant higher a* and lower b* values (p&lt;0.05). </w:t>
      </w:r>
    </w:p>
    <w:p w:rsidR="00F14CA8"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In the results explained above, we can observe that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accelerated the rate of non</w:t>
      </w:r>
      <w:r>
        <w:rPr>
          <w:rFonts w:ascii="Times New Roman" w:hAnsi="Times New Roman" w:cs="Times New Roman"/>
          <w:sz w:val="24"/>
          <w:szCs w:val="24"/>
        </w:rPr>
        <w:t>-</w:t>
      </w:r>
      <w:r w:rsidRPr="006671ED">
        <w:rPr>
          <w:rFonts w:ascii="Times New Roman" w:hAnsi="Times New Roman" w:cs="Times New Roman"/>
          <w:sz w:val="24"/>
          <w:szCs w:val="24"/>
        </w:rPr>
        <w:t xml:space="preserve">enzymatic browning.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The </w:t>
      </w:r>
      <w:r>
        <w:rPr>
          <w:rFonts w:ascii="Times New Roman" w:hAnsi="Times New Roman" w:cs="Times New Roman"/>
          <w:sz w:val="24"/>
          <w:szCs w:val="24"/>
        </w:rPr>
        <w:t xml:space="preserve">reported </w:t>
      </w:r>
      <w:r w:rsidRPr="006671ED">
        <w:rPr>
          <w:rFonts w:ascii="Times New Roman" w:hAnsi="Times New Roman" w:cs="Times New Roman"/>
          <w:sz w:val="24"/>
          <w:szCs w:val="24"/>
        </w:rPr>
        <w:t>effect of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in non-enzymatic browning reaction </w:t>
      </w:r>
      <w:r>
        <w:rPr>
          <w:rFonts w:ascii="Times New Roman" w:hAnsi="Times New Roman" w:cs="Times New Roman"/>
          <w:sz w:val="24"/>
          <w:szCs w:val="24"/>
        </w:rPr>
        <w:t>is</w:t>
      </w:r>
      <w:r w:rsidRPr="006671ED">
        <w:rPr>
          <w:rFonts w:ascii="Times New Roman" w:hAnsi="Times New Roman" w:cs="Times New Roman"/>
          <w:sz w:val="24"/>
          <w:szCs w:val="24"/>
        </w:rPr>
        <w:t xml:space="preserve"> contradictory, according to different studies. </w:t>
      </w:r>
      <w:r>
        <w:rPr>
          <w:rFonts w:ascii="Times New Roman" w:hAnsi="Times New Roman" w:cs="Times New Roman"/>
          <w:sz w:val="24"/>
          <w:szCs w:val="24"/>
        </w:rPr>
        <w:t xml:space="preserve"> </w:t>
      </w:r>
      <w:r w:rsidRPr="006671ED">
        <w:rPr>
          <w:rFonts w:ascii="Times New Roman" w:hAnsi="Times New Roman" w:cs="Times New Roman"/>
          <w:sz w:val="24"/>
          <w:szCs w:val="24"/>
        </w:rPr>
        <w:t>Fo</w:t>
      </w:r>
      <w:r>
        <w:rPr>
          <w:rFonts w:ascii="Times New Roman" w:hAnsi="Times New Roman" w:cs="Times New Roman"/>
          <w:sz w:val="24"/>
          <w:szCs w:val="24"/>
        </w:rPr>
        <w:t>r example, it was observed</w:t>
      </w:r>
      <w:r w:rsidRPr="006671ED">
        <w:rPr>
          <w:rFonts w:ascii="Times New Roman" w:hAnsi="Times New Roman" w:cs="Times New Roman"/>
          <w:sz w:val="24"/>
          <w:szCs w:val="24"/>
        </w:rPr>
        <w:t xml:space="preserve"> that the pre-treatment of tomato slices with 1%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(dipping solution) caused a lower degree of non-enzymatic browning after dehydration and storage of tomato powder</w:t>
      </w:r>
      <w:r>
        <w:rPr>
          <w:rFonts w:ascii="Times New Roman" w:hAnsi="Times New Roman" w:cs="Times New Roman"/>
          <w:sz w:val="24"/>
          <w:szCs w:val="24"/>
        </w:rPr>
        <w:t>.  These authors note</w:t>
      </w:r>
      <w:r w:rsidRPr="006671ED">
        <w:rPr>
          <w:rFonts w:ascii="Times New Roman" w:hAnsi="Times New Roman" w:cs="Times New Roman"/>
          <w:sz w:val="24"/>
          <w:szCs w:val="24"/>
        </w:rPr>
        <w:t xml:space="preserve"> that it has been reported that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can either block amino groups or can chelate organic substances, resulting in </w:t>
      </w:r>
      <w:r>
        <w:rPr>
          <w:rFonts w:ascii="Times New Roman" w:hAnsi="Times New Roman" w:cs="Times New Roman"/>
          <w:sz w:val="24"/>
          <w:szCs w:val="24"/>
        </w:rPr>
        <w:t>a control of browning reactions</w:t>
      </w:r>
      <w:r w:rsidRPr="006671ED">
        <w:rPr>
          <w:rFonts w:ascii="Times New Roman" w:hAnsi="Times New Roman" w:cs="Times New Roman"/>
          <w:sz w:val="24"/>
          <w:szCs w:val="24"/>
        </w:rPr>
        <w:t xml:space="preserve"> </w:t>
      </w:r>
      <w:r>
        <w:rPr>
          <w:rFonts w:ascii="Times New Roman" w:hAnsi="Times New Roman" w:cs="Times New Roman"/>
          <w:noProof/>
          <w:sz w:val="24"/>
          <w:szCs w:val="24"/>
        </w:rPr>
        <w:t>(Ghavidel and Davoodi 2010)</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On the other hand, in dried apples, the pre-treatment of apple with a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dipping solution i</w:t>
      </w:r>
      <w:r>
        <w:rPr>
          <w:rFonts w:ascii="Times New Roman" w:hAnsi="Times New Roman" w:cs="Times New Roman"/>
          <w:sz w:val="24"/>
          <w:szCs w:val="24"/>
        </w:rPr>
        <w:t>ncreased</w:t>
      </w:r>
      <w:r w:rsidRPr="006671ED">
        <w:rPr>
          <w:rFonts w:ascii="Times New Roman" w:hAnsi="Times New Roman" w:cs="Times New Roman"/>
          <w:sz w:val="24"/>
          <w:szCs w:val="24"/>
        </w:rPr>
        <w:t xml:space="preserve"> the non-enzymatic browning (in terms of L* value) when the concentrations were increased from 0.5% to 5% </w:t>
      </w:r>
      <w:r>
        <w:rPr>
          <w:rFonts w:ascii="Times New Roman" w:hAnsi="Times New Roman" w:cs="Times New Roman"/>
          <w:noProof/>
          <w:sz w:val="24"/>
          <w:szCs w:val="24"/>
        </w:rPr>
        <w:t>(Bolin and Steele 1987)</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It is our hypothesis</w:t>
      </w:r>
      <w:r w:rsidRPr="006671ED">
        <w:rPr>
          <w:rFonts w:ascii="Times New Roman" w:hAnsi="Times New Roman" w:cs="Times New Roman"/>
          <w:sz w:val="24"/>
          <w:szCs w:val="24"/>
        </w:rPr>
        <w:t xml:space="preserve"> that CaCl</w:t>
      </w:r>
      <w:r w:rsidRPr="006671ED">
        <w:rPr>
          <w:rFonts w:ascii="Times New Roman" w:hAnsi="Times New Roman" w:cs="Times New Roman"/>
          <w:sz w:val="24"/>
          <w:szCs w:val="24"/>
          <w:vertAlign w:val="subscript"/>
        </w:rPr>
        <w:t>2</w:t>
      </w:r>
      <w:r>
        <w:rPr>
          <w:rFonts w:ascii="Times New Roman" w:hAnsi="Times New Roman" w:cs="Times New Roman"/>
          <w:sz w:val="24"/>
          <w:szCs w:val="24"/>
        </w:rPr>
        <w:t xml:space="preserve"> increased</w:t>
      </w:r>
      <w:r w:rsidRPr="006671ED">
        <w:rPr>
          <w:rFonts w:ascii="Times New Roman" w:hAnsi="Times New Roman" w:cs="Times New Roman"/>
          <w:sz w:val="24"/>
          <w:szCs w:val="24"/>
        </w:rPr>
        <w:t xml:space="preserve"> the rate of darkening in </w:t>
      </w:r>
      <w:r>
        <w:rPr>
          <w:rFonts w:ascii="Times New Roman" w:hAnsi="Times New Roman" w:cs="Times New Roman"/>
          <w:sz w:val="24"/>
          <w:szCs w:val="24"/>
        </w:rPr>
        <w:t xml:space="preserve">our systems due to the </w:t>
      </w:r>
      <w:r w:rsidRPr="006671ED">
        <w:rPr>
          <w:rFonts w:ascii="Times New Roman" w:hAnsi="Times New Roman" w:cs="Times New Roman"/>
          <w:sz w:val="24"/>
          <w:szCs w:val="24"/>
        </w:rPr>
        <w:t xml:space="preserve">oxidation of phenol compounds by this salt, </w:t>
      </w:r>
      <w:r>
        <w:rPr>
          <w:rFonts w:ascii="Times New Roman" w:hAnsi="Times New Roman" w:cs="Times New Roman"/>
          <w:sz w:val="24"/>
          <w:szCs w:val="24"/>
        </w:rPr>
        <w:t xml:space="preserve">with further reaction and </w:t>
      </w:r>
      <w:r w:rsidRPr="006671ED">
        <w:rPr>
          <w:rFonts w:ascii="Times New Roman" w:hAnsi="Times New Roman" w:cs="Times New Roman"/>
          <w:sz w:val="24"/>
          <w:szCs w:val="24"/>
        </w:rPr>
        <w:t xml:space="preserve">polymerization of the quinones. </w:t>
      </w:r>
      <w:r>
        <w:rPr>
          <w:rFonts w:ascii="Times New Roman" w:hAnsi="Times New Roman" w:cs="Times New Roman"/>
          <w:sz w:val="24"/>
          <w:szCs w:val="24"/>
        </w:rPr>
        <w:t xml:space="preserve"> In previous research o</w:t>
      </w:r>
      <w:r w:rsidRPr="006671ED">
        <w:rPr>
          <w:rFonts w:ascii="Times New Roman" w:hAnsi="Times New Roman" w:cs="Times New Roman"/>
          <w:sz w:val="24"/>
          <w:szCs w:val="24"/>
        </w:rPr>
        <w:t>n fresh pineapples, the application of a dipping solution (2% of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for 10 and 20 min resulted in a reduction of internal browning since not only the </w:t>
      </w:r>
      <w:r w:rsidRPr="006671ED">
        <w:rPr>
          <w:rFonts w:ascii="Times New Roman" w:hAnsi="Times New Roman" w:cs="Times New Roman"/>
          <w:sz w:val="24"/>
          <w:szCs w:val="24"/>
        </w:rPr>
        <w:lastRenderedPageBreak/>
        <w:t>PO were inhibited</w:t>
      </w:r>
      <w:r>
        <w:rPr>
          <w:rFonts w:ascii="Times New Roman" w:hAnsi="Times New Roman" w:cs="Times New Roman"/>
          <w:sz w:val="24"/>
          <w:szCs w:val="24"/>
        </w:rPr>
        <w:t>,</w:t>
      </w:r>
      <w:r w:rsidRPr="006671ED">
        <w:rPr>
          <w:rFonts w:ascii="Times New Roman" w:hAnsi="Times New Roman" w:cs="Times New Roman"/>
          <w:sz w:val="24"/>
          <w:szCs w:val="24"/>
        </w:rPr>
        <w:t xml:space="preserve"> but also the total content of phenolic compounds were reduced </w:t>
      </w:r>
      <w:r>
        <w:rPr>
          <w:rFonts w:ascii="Times New Roman" w:hAnsi="Times New Roman" w:cs="Times New Roman"/>
          <w:noProof/>
          <w:sz w:val="24"/>
          <w:szCs w:val="24"/>
        </w:rPr>
        <w:t>(Botrel and others 2000)</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In a more </w:t>
      </w:r>
      <w:r>
        <w:rPr>
          <w:rFonts w:ascii="Times New Roman" w:hAnsi="Times New Roman" w:cs="Times New Roman"/>
          <w:sz w:val="24"/>
          <w:szCs w:val="24"/>
        </w:rPr>
        <w:t>detailed study on</w:t>
      </w:r>
      <w:r w:rsidRPr="006671ED">
        <w:rPr>
          <w:rFonts w:ascii="Times New Roman" w:hAnsi="Times New Roman" w:cs="Times New Roman"/>
          <w:sz w:val="24"/>
          <w:szCs w:val="24"/>
        </w:rPr>
        <w:t xml:space="preserve"> the mechanisms of the inhibition of enzymatic reactions by sodium chloride, it was obtained that this salt inactivated PO and oxidized chlorogenic acid in a buffer system at pH of 4.6 </w:t>
      </w:r>
      <w:r>
        <w:rPr>
          <w:rFonts w:ascii="Times New Roman" w:hAnsi="Times New Roman" w:cs="Times New Roman"/>
          <w:noProof/>
          <w:sz w:val="24"/>
          <w:szCs w:val="24"/>
        </w:rPr>
        <w:t>(He and others 2008)</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These authors noted</w:t>
      </w:r>
      <w:r w:rsidRPr="006671ED">
        <w:rPr>
          <w:rFonts w:ascii="Times New Roman" w:hAnsi="Times New Roman" w:cs="Times New Roman"/>
          <w:sz w:val="24"/>
          <w:szCs w:val="24"/>
        </w:rPr>
        <w:t xml:space="preserve"> that the quinones formed after oxidation of chlorogenic acid did not polymerize</w:t>
      </w:r>
      <w:r>
        <w:rPr>
          <w:rFonts w:ascii="Times New Roman" w:hAnsi="Times New Roman" w:cs="Times New Roman"/>
          <w:sz w:val="24"/>
          <w:szCs w:val="24"/>
        </w:rPr>
        <w:t xml:space="preserve">; consequently, </w:t>
      </w:r>
      <w:r w:rsidRPr="006671ED">
        <w:rPr>
          <w:rFonts w:ascii="Times New Roman" w:hAnsi="Times New Roman" w:cs="Times New Roman"/>
          <w:sz w:val="24"/>
          <w:szCs w:val="24"/>
        </w:rPr>
        <w:t xml:space="preserve">no browning </w:t>
      </w:r>
      <w:r>
        <w:rPr>
          <w:rFonts w:ascii="Times New Roman" w:hAnsi="Times New Roman" w:cs="Times New Roman"/>
          <w:sz w:val="24"/>
          <w:szCs w:val="24"/>
        </w:rPr>
        <w:t>occurred</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We believe </w:t>
      </w:r>
      <w:r>
        <w:rPr>
          <w:rFonts w:ascii="Times New Roman" w:hAnsi="Times New Roman" w:cs="Times New Roman"/>
          <w:sz w:val="24"/>
          <w:szCs w:val="24"/>
        </w:rPr>
        <w:t xml:space="preserve">it likely </w:t>
      </w:r>
      <w:r w:rsidRPr="006671ED">
        <w:rPr>
          <w:rFonts w:ascii="Times New Roman" w:hAnsi="Times New Roman" w:cs="Times New Roman"/>
          <w:sz w:val="24"/>
          <w:szCs w:val="24"/>
        </w:rPr>
        <w:t>that in our peach systems,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oxidized phenol compounds to quinones, which later reacted with other compounds, such as amino</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acids, </w:t>
      </w:r>
      <w:r>
        <w:rPr>
          <w:rFonts w:ascii="Times New Roman" w:hAnsi="Times New Roman" w:cs="Times New Roman"/>
          <w:sz w:val="24"/>
          <w:szCs w:val="24"/>
        </w:rPr>
        <w:t>increasing</w:t>
      </w:r>
      <w:r w:rsidRPr="006671ED">
        <w:rPr>
          <w:rFonts w:ascii="Times New Roman" w:hAnsi="Times New Roman" w:cs="Times New Roman"/>
          <w:sz w:val="24"/>
          <w:szCs w:val="24"/>
        </w:rPr>
        <w:t xml:space="preserve"> the rate of darkening.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In fact, it is known that </w:t>
      </w:r>
      <w:r>
        <w:rPr>
          <w:rFonts w:ascii="Times New Roman" w:hAnsi="Times New Roman" w:cs="Times New Roman"/>
          <w:sz w:val="24"/>
          <w:szCs w:val="24"/>
        </w:rPr>
        <w:t xml:space="preserve">compounds resulting from the reaction of </w:t>
      </w:r>
      <w:r w:rsidRPr="006671ED">
        <w:rPr>
          <w:rFonts w:ascii="Times New Roman" w:hAnsi="Times New Roman" w:cs="Times New Roman"/>
          <w:sz w:val="24"/>
          <w:szCs w:val="24"/>
        </w:rPr>
        <w:t>quinone</w:t>
      </w:r>
      <w:r>
        <w:rPr>
          <w:rFonts w:ascii="Times New Roman" w:hAnsi="Times New Roman" w:cs="Times New Roman"/>
          <w:sz w:val="24"/>
          <w:szCs w:val="24"/>
        </w:rPr>
        <w:t xml:space="preserve">s and </w:t>
      </w:r>
      <w:r w:rsidRPr="006671ED">
        <w:rPr>
          <w:rFonts w:ascii="Times New Roman" w:hAnsi="Times New Roman" w:cs="Times New Roman"/>
          <w:sz w:val="24"/>
          <w:szCs w:val="24"/>
        </w:rPr>
        <w:t>amino</w:t>
      </w:r>
      <w:r>
        <w:rPr>
          <w:rFonts w:ascii="Times New Roman" w:hAnsi="Times New Roman" w:cs="Times New Roman"/>
          <w:sz w:val="24"/>
          <w:szCs w:val="24"/>
        </w:rPr>
        <w:t xml:space="preserve"> acids </w:t>
      </w:r>
      <w:r w:rsidRPr="006671ED">
        <w:rPr>
          <w:rFonts w:ascii="Times New Roman" w:hAnsi="Times New Roman" w:cs="Times New Roman"/>
          <w:sz w:val="24"/>
          <w:szCs w:val="24"/>
        </w:rPr>
        <w:t>are c</w:t>
      </w:r>
      <w:r>
        <w:rPr>
          <w:rFonts w:ascii="Times New Roman" w:hAnsi="Times New Roman" w:cs="Times New Roman"/>
          <w:sz w:val="24"/>
          <w:szCs w:val="24"/>
        </w:rPr>
        <w:t>olo</w:t>
      </w:r>
      <w:r w:rsidRPr="006671ED">
        <w:rPr>
          <w:rFonts w:ascii="Times New Roman" w:hAnsi="Times New Roman" w:cs="Times New Roman"/>
          <w:sz w:val="24"/>
          <w:szCs w:val="24"/>
        </w:rPr>
        <w:t xml:space="preserve">red </w:t>
      </w:r>
      <w:r>
        <w:rPr>
          <w:rFonts w:ascii="Times New Roman" w:hAnsi="Times New Roman" w:cs="Times New Roman"/>
          <w:noProof/>
          <w:sz w:val="24"/>
          <w:szCs w:val="24"/>
        </w:rPr>
        <w:t>(Bittner 2006)</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In peach cans stored at 37°C, the decrease in leucoanthocyanin (phenol compound) was presented at the same time </w:t>
      </w:r>
      <w:r>
        <w:rPr>
          <w:rFonts w:ascii="Times New Roman" w:hAnsi="Times New Roman" w:cs="Times New Roman"/>
          <w:sz w:val="24"/>
          <w:szCs w:val="24"/>
        </w:rPr>
        <w:t>as an increase in</w:t>
      </w:r>
      <w:r w:rsidRPr="006671ED">
        <w:rPr>
          <w:rFonts w:ascii="Times New Roman" w:hAnsi="Times New Roman" w:cs="Times New Roman"/>
          <w:sz w:val="24"/>
          <w:szCs w:val="24"/>
        </w:rPr>
        <w:t xml:space="preserve"> browning </w:t>
      </w:r>
      <w:r>
        <w:rPr>
          <w:rFonts w:ascii="Times New Roman" w:hAnsi="Times New Roman" w:cs="Times New Roman"/>
          <w:noProof/>
          <w:sz w:val="24"/>
          <w:szCs w:val="24"/>
        </w:rPr>
        <w:t>(Luh and Phithakpol 1972)</w:t>
      </w:r>
      <w:r w:rsidRPr="006671ED">
        <w:rPr>
          <w:rFonts w:ascii="Times New Roman" w:hAnsi="Times New Roman" w:cs="Times New Roman"/>
          <w:sz w:val="24"/>
          <w:szCs w:val="24"/>
        </w:rPr>
        <w:t xml:space="preserve">.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jc w:val="both"/>
        <w:rPr>
          <w:rFonts w:ascii="Times New Roman" w:hAnsi="Times New Roman" w:cs="Times New Roman"/>
          <w:b/>
          <w:i/>
          <w:sz w:val="24"/>
          <w:szCs w:val="24"/>
        </w:rPr>
      </w:pPr>
      <w:r w:rsidRPr="006671ED">
        <w:rPr>
          <w:rFonts w:ascii="Times New Roman" w:hAnsi="Times New Roman" w:cs="Times New Roman"/>
          <w:b/>
          <w:i/>
          <w:sz w:val="24"/>
          <w:szCs w:val="24"/>
        </w:rPr>
        <w:t>Effec</w:t>
      </w:r>
      <w:r w:rsidRPr="003F7497">
        <w:rPr>
          <w:rFonts w:ascii="Times New Roman" w:hAnsi="Times New Roman" w:cs="Times New Roman"/>
          <w:b/>
          <w:i/>
          <w:sz w:val="24"/>
          <w:szCs w:val="24"/>
        </w:rPr>
        <w:t xml:space="preserve">t of </w:t>
      </w:r>
      <w:r w:rsidRPr="003F7497">
        <w:rPr>
          <w:rFonts w:ascii="Times New Roman" w:hAnsi="Times New Roman"/>
          <w:b/>
          <w:i/>
          <w:sz w:val="24"/>
          <w:szCs w:val="24"/>
        </w:rPr>
        <w:t>α-GR</w:t>
      </w:r>
    </w:p>
    <w:p w:rsidR="00F14CA8" w:rsidRPr="006671ED"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 xml:space="preserve">Initially (day 0), the only significant effect (p&lt;0.05) due to the presence of flavonoid was </w:t>
      </w:r>
      <w:r>
        <w:rPr>
          <w:rFonts w:ascii="Times New Roman" w:hAnsi="Times New Roman" w:cs="Times New Roman"/>
          <w:sz w:val="24"/>
          <w:szCs w:val="24"/>
        </w:rPr>
        <w:t>observed</w:t>
      </w:r>
      <w:r w:rsidRPr="006671ED">
        <w:rPr>
          <w:rFonts w:ascii="Times New Roman" w:hAnsi="Times New Roman" w:cs="Times New Roman"/>
          <w:sz w:val="24"/>
          <w:szCs w:val="24"/>
        </w:rPr>
        <w:t xml:space="preserve"> in the </w:t>
      </w:r>
      <w:r>
        <w:rPr>
          <w:rFonts w:ascii="Times New Roman" w:hAnsi="Times New Roman" w:cs="Times New Roman"/>
          <w:sz w:val="24"/>
          <w:szCs w:val="24"/>
        </w:rPr>
        <w:t>fresh source for</w:t>
      </w:r>
      <w:r w:rsidRPr="006671ED">
        <w:rPr>
          <w:rFonts w:ascii="Times New Roman" w:hAnsi="Times New Roman" w:cs="Times New Roman"/>
          <w:sz w:val="24"/>
          <w:szCs w:val="24"/>
        </w:rPr>
        <w:t xml:space="preserve"> </w:t>
      </w:r>
      <w:proofErr w:type="gramStart"/>
      <w:r w:rsidRPr="006671ED">
        <w:rPr>
          <w:rFonts w:ascii="Times New Roman" w:hAnsi="Times New Roman" w:cs="Times New Roman"/>
          <w:sz w:val="24"/>
          <w:szCs w:val="24"/>
        </w:rPr>
        <w:t>the a</w:t>
      </w:r>
      <w:proofErr w:type="gramEnd"/>
      <w:r w:rsidRPr="006671ED">
        <w:rPr>
          <w:rFonts w:ascii="Times New Roman" w:hAnsi="Times New Roman" w:cs="Times New Roman"/>
          <w:sz w:val="24"/>
          <w:szCs w:val="24"/>
        </w:rPr>
        <w:t xml:space="preserve">* parameter (Table 2). </w:t>
      </w:r>
      <w:r>
        <w:rPr>
          <w:rFonts w:ascii="Times New Roman" w:hAnsi="Times New Roman" w:cs="Times New Roman"/>
          <w:sz w:val="24"/>
          <w:szCs w:val="24"/>
        </w:rPr>
        <w:t xml:space="preserve"> As discussed earlier</w:t>
      </w:r>
      <w:r w:rsidRPr="006671ED">
        <w:rPr>
          <w:rFonts w:ascii="Times New Roman" w:hAnsi="Times New Roman" w:cs="Times New Roman"/>
          <w:sz w:val="24"/>
          <w:szCs w:val="24"/>
        </w:rPr>
        <w:t>, we believe that this was due to the high variabili</w:t>
      </w:r>
      <w:r>
        <w:rPr>
          <w:rFonts w:ascii="Times New Roman" w:hAnsi="Times New Roman" w:cs="Times New Roman"/>
          <w:sz w:val="24"/>
          <w:szCs w:val="24"/>
        </w:rPr>
        <w:t xml:space="preserve">ty on the initial color as a result of </w:t>
      </w:r>
      <w:r w:rsidRPr="006671ED">
        <w:rPr>
          <w:rFonts w:ascii="Times New Roman" w:hAnsi="Times New Roman" w:cs="Times New Roman"/>
          <w:sz w:val="24"/>
          <w:szCs w:val="24"/>
        </w:rPr>
        <w:t xml:space="preserve">the activity of the PO enzymes before packaging.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 xml:space="preserve">Table 3 shows that </w:t>
      </w:r>
      <w:r>
        <w:rPr>
          <w:rFonts w:ascii="Times New Roman" w:hAnsi="Times New Roman"/>
          <w:sz w:val="24"/>
          <w:szCs w:val="24"/>
        </w:rPr>
        <w:t xml:space="preserve">α-GR </w:t>
      </w:r>
      <w:r w:rsidRPr="006671ED">
        <w:rPr>
          <w:rFonts w:ascii="Times New Roman" w:hAnsi="Times New Roman" w:cs="Times New Roman"/>
          <w:sz w:val="24"/>
          <w:szCs w:val="24"/>
        </w:rPr>
        <w:t xml:space="preserve">did not </w:t>
      </w:r>
      <w:r>
        <w:rPr>
          <w:rFonts w:ascii="Times New Roman" w:hAnsi="Times New Roman" w:cs="Times New Roman"/>
          <w:sz w:val="24"/>
          <w:szCs w:val="24"/>
        </w:rPr>
        <w:t>have an effect on</w:t>
      </w:r>
      <w:r w:rsidRPr="006671ED">
        <w:rPr>
          <w:rFonts w:ascii="Times New Roman" w:hAnsi="Times New Roman" w:cs="Times New Roman"/>
          <w:sz w:val="24"/>
          <w:szCs w:val="24"/>
        </w:rPr>
        <w:t xml:space="preserve"> the rate con</w:t>
      </w:r>
      <w:r>
        <w:rPr>
          <w:rFonts w:ascii="Times New Roman" w:hAnsi="Times New Roman" w:cs="Times New Roman"/>
          <w:sz w:val="24"/>
          <w:szCs w:val="24"/>
        </w:rPr>
        <w:t>stants of</w:t>
      </w:r>
      <w:r w:rsidRPr="006671ED">
        <w:rPr>
          <w:rFonts w:ascii="Times New Roman" w:hAnsi="Times New Roman" w:cs="Times New Roman"/>
          <w:sz w:val="24"/>
          <w:szCs w:val="24"/>
        </w:rPr>
        <w:t xml:space="preserve"> any of the studied parameter at 51°C of storage.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However, at 40°C, effects were seen within the treatments made of IQF and canned sources.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For example, within IQF pouches, the treatment which had </w:t>
      </w:r>
      <w:r>
        <w:rPr>
          <w:rFonts w:ascii="Times New Roman" w:hAnsi="Times New Roman"/>
          <w:sz w:val="24"/>
          <w:szCs w:val="24"/>
        </w:rPr>
        <w:t xml:space="preserve">α-GR </w:t>
      </w:r>
      <w:r w:rsidRPr="006671ED">
        <w:rPr>
          <w:rFonts w:ascii="Times New Roman" w:hAnsi="Times New Roman" w:cs="Times New Roman"/>
          <w:sz w:val="24"/>
          <w:szCs w:val="24"/>
        </w:rPr>
        <w:t xml:space="preserve">alone </w:t>
      </w:r>
      <w:r>
        <w:rPr>
          <w:rFonts w:ascii="Times New Roman" w:hAnsi="Times New Roman" w:cs="Times New Roman"/>
          <w:sz w:val="24"/>
          <w:szCs w:val="24"/>
        </w:rPr>
        <w:t>had</w:t>
      </w:r>
      <w:r w:rsidRPr="006671ED">
        <w:rPr>
          <w:rFonts w:ascii="Times New Roman" w:hAnsi="Times New Roman" w:cs="Times New Roman"/>
          <w:sz w:val="24"/>
          <w:szCs w:val="24"/>
        </w:rPr>
        <w:t xml:space="preserve"> the lowest </w:t>
      </w:r>
      <w:r w:rsidRPr="006671ED">
        <w:rPr>
          <w:rFonts w:ascii="Times New Roman" w:hAnsi="Times New Roman" w:cs="Times New Roman"/>
          <w:i/>
          <w:sz w:val="24"/>
          <w:szCs w:val="24"/>
        </w:rPr>
        <w:t>k</w:t>
      </w:r>
      <w:r>
        <w:rPr>
          <w:rFonts w:ascii="Times New Roman" w:hAnsi="Times New Roman" w:cs="Times New Roman"/>
          <w:sz w:val="24"/>
          <w:szCs w:val="24"/>
        </w:rPr>
        <w:t xml:space="preserve"> values for</w:t>
      </w:r>
      <w:r w:rsidRPr="006671ED">
        <w:rPr>
          <w:rFonts w:ascii="Times New Roman" w:hAnsi="Times New Roman" w:cs="Times New Roman"/>
          <w:sz w:val="24"/>
          <w:szCs w:val="24"/>
        </w:rPr>
        <w:t xml:space="preserve"> L*, a* and ∆E* parameters</w:t>
      </w:r>
      <w:r>
        <w:rPr>
          <w:rFonts w:ascii="Times New Roman" w:hAnsi="Times New Roman" w:cs="Times New Roman"/>
          <w:sz w:val="24"/>
          <w:szCs w:val="24"/>
        </w:rPr>
        <w:t>, as well</w:t>
      </w:r>
      <w:r w:rsidRPr="006671ED">
        <w:rPr>
          <w:rFonts w:ascii="Times New Roman" w:hAnsi="Times New Roman" w:cs="Times New Roman"/>
          <w:sz w:val="24"/>
          <w:szCs w:val="24"/>
        </w:rPr>
        <w:t xml:space="preserve"> AA degradation. In pouches made of the canned source, the lowest rate of darkening was also presented by the same t</w:t>
      </w:r>
      <w:r w:rsidR="00775193">
        <w:rPr>
          <w:rFonts w:ascii="Times New Roman" w:hAnsi="Times New Roman" w:cs="Times New Roman"/>
          <w:sz w:val="24"/>
          <w:szCs w:val="24"/>
        </w:rPr>
        <w:t xml:space="preserve">reatment (flavonoid alone) for </w:t>
      </w:r>
      <w:r w:rsidRPr="006671ED">
        <w:rPr>
          <w:rFonts w:ascii="Times New Roman" w:hAnsi="Times New Roman" w:cs="Times New Roman"/>
          <w:sz w:val="24"/>
          <w:szCs w:val="24"/>
        </w:rPr>
        <w:t xml:space="preserve">∆E* values.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Table 2</w:t>
      </w:r>
      <w:r w:rsidR="00775193">
        <w:rPr>
          <w:rFonts w:ascii="Times New Roman" w:hAnsi="Times New Roman" w:cs="Times New Roman"/>
          <w:sz w:val="24"/>
          <w:szCs w:val="24"/>
        </w:rPr>
        <w:t xml:space="preserve"> shows that </w:t>
      </w:r>
      <w:r w:rsidRPr="006671ED">
        <w:rPr>
          <w:rFonts w:ascii="Times New Roman" w:hAnsi="Times New Roman" w:cs="Times New Roman"/>
          <w:sz w:val="24"/>
          <w:szCs w:val="24"/>
        </w:rPr>
        <w:t xml:space="preserve">at the end of the </w:t>
      </w:r>
      <w:r>
        <w:rPr>
          <w:rFonts w:ascii="Times New Roman" w:hAnsi="Times New Roman" w:cs="Times New Roman"/>
          <w:sz w:val="24"/>
          <w:szCs w:val="24"/>
        </w:rPr>
        <w:t xml:space="preserve">51°C storage, </w:t>
      </w:r>
      <w:r>
        <w:rPr>
          <w:rFonts w:ascii="Times New Roman" w:hAnsi="Times New Roman"/>
          <w:sz w:val="24"/>
          <w:szCs w:val="24"/>
        </w:rPr>
        <w:t>α-GR</w:t>
      </w:r>
      <w:r>
        <w:rPr>
          <w:rFonts w:ascii="Times New Roman" w:hAnsi="Times New Roman" w:cs="Times New Roman"/>
          <w:sz w:val="24"/>
          <w:szCs w:val="24"/>
        </w:rPr>
        <w:t xml:space="preserve"> caused a significantly lower browning (p&lt;0.05) (lower a*) in the IQF source.  In the canned source, </w:t>
      </w:r>
      <w:r>
        <w:rPr>
          <w:rFonts w:ascii="Times New Roman" w:hAnsi="Times New Roman"/>
          <w:sz w:val="24"/>
          <w:szCs w:val="24"/>
        </w:rPr>
        <w:t>α-GR</w:t>
      </w:r>
      <w:r>
        <w:rPr>
          <w:rFonts w:ascii="Times New Roman" w:hAnsi="Times New Roman" w:cs="Times New Roman"/>
          <w:sz w:val="24"/>
          <w:szCs w:val="24"/>
        </w:rPr>
        <w:t xml:space="preserve"> produced a significantly (p&lt;0.05) higher yellowness (higher b*) and lower change of color (lower ∆E*).  At 40°C, in </w:t>
      </w:r>
      <w:r w:rsidRPr="006671ED">
        <w:rPr>
          <w:rFonts w:ascii="Times New Roman" w:hAnsi="Times New Roman" w:cs="Times New Roman"/>
          <w:sz w:val="24"/>
          <w:szCs w:val="24"/>
        </w:rPr>
        <w:t>the presence of flavonoid</w:t>
      </w:r>
      <w:r>
        <w:rPr>
          <w:rFonts w:ascii="Times New Roman" w:hAnsi="Times New Roman" w:cs="Times New Roman"/>
          <w:sz w:val="24"/>
          <w:szCs w:val="24"/>
        </w:rPr>
        <w:t>, there was a</w:t>
      </w:r>
      <w:r w:rsidRPr="006671ED">
        <w:rPr>
          <w:rFonts w:ascii="Times New Roman" w:hAnsi="Times New Roman" w:cs="Times New Roman"/>
          <w:sz w:val="24"/>
          <w:szCs w:val="24"/>
        </w:rPr>
        <w:t xml:space="preserve"> significant</w:t>
      </w:r>
      <w:r>
        <w:rPr>
          <w:rFonts w:ascii="Times New Roman" w:hAnsi="Times New Roman" w:cs="Times New Roman"/>
          <w:sz w:val="24"/>
          <w:szCs w:val="24"/>
        </w:rPr>
        <w:t>ly (p&lt;0.05)</w:t>
      </w:r>
      <w:r w:rsidRPr="006671ED">
        <w:rPr>
          <w:rFonts w:ascii="Times New Roman" w:hAnsi="Times New Roman" w:cs="Times New Roman"/>
          <w:sz w:val="24"/>
          <w:szCs w:val="24"/>
        </w:rPr>
        <w:t xml:space="preserve"> </w:t>
      </w:r>
      <w:r>
        <w:rPr>
          <w:rFonts w:ascii="Times New Roman" w:hAnsi="Times New Roman" w:cs="Times New Roman"/>
          <w:sz w:val="24"/>
          <w:szCs w:val="24"/>
        </w:rPr>
        <w:t>lower browning (lower a* value)</w:t>
      </w:r>
      <w:r w:rsidRPr="006671ED">
        <w:rPr>
          <w:rFonts w:ascii="Times New Roman" w:hAnsi="Times New Roman" w:cs="Times New Roman"/>
          <w:sz w:val="24"/>
          <w:szCs w:val="24"/>
        </w:rPr>
        <w:t xml:space="preserve"> in </w:t>
      </w:r>
      <w:r>
        <w:rPr>
          <w:rFonts w:ascii="Times New Roman" w:hAnsi="Times New Roman" w:cs="Times New Roman"/>
          <w:sz w:val="24"/>
          <w:szCs w:val="24"/>
        </w:rPr>
        <w:t>t</w:t>
      </w:r>
      <w:r w:rsidRPr="006671ED">
        <w:rPr>
          <w:rFonts w:ascii="Times New Roman" w:hAnsi="Times New Roman" w:cs="Times New Roman"/>
          <w:sz w:val="24"/>
          <w:szCs w:val="24"/>
        </w:rPr>
        <w:t xml:space="preserve">he IQF </w:t>
      </w:r>
      <w:r>
        <w:rPr>
          <w:rFonts w:ascii="Times New Roman" w:hAnsi="Times New Roman" w:cs="Times New Roman"/>
          <w:sz w:val="24"/>
          <w:szCs w:val="24"/>
        </w:rPr>
        <w:t xml:space="preserve">and canned </w:t>
      </w:r>
      <w:r w:rsidRPr="006671ED">
        <w:rPr>
          <w:rFonts w:ascii="Times New Roman" w:hAnsi="Times New Roman" w:cs="Times New Roman"/>
          <w:sz w:val="24"/>
          <w:szCs w:val="24"/>
        </w:rPr>
        <w:t>source</w:t>
      </w:r>
      <w:r>
        <w:rPr>
          <w:rFonts w:ascii="Times New Roman" w:hAnsi="Times New Roman" w:cs="Times New Roman"/>
          <w:sz w:val="24"/>
          <w:szCs w:val="24"/>
        </w:rPr>
        <w:t>s</w:t>
      </w:r>
      <w:r w:rsidRPr="006671ED">
        <w:rPr>
          <w:rFonts w:ascii="Times New Roman" w:hAnsi="Times New Roman" w:cs="Times New Roman"/>
          <w:sz w:val="24"/>
          <w:szCs w:val="24"/>
        </w:rPr>
        <w:t xml:space="preserve">. </w:t>
      </w:r>
      <w:r>
        <w:rPr>
          <w:rFonts w:ascii="Times New Roman" w:hAnsi="Times New Roman" w:cs="Times New Roman"/>
          <w:sz w:val="24"/>
          <w:szCs w:val="24"/>
        </w:rPr>
        <w:t>Significant interactions (p&lt;0.05) between CaCl</w:t>
      </w:r>
      <w:r w:rsidRPr="00E75120">
        <w:rPr>
          <w:rFonts w:ascii="Times New Roman" w:hAnsi="Times New Roman" w:cs="Times New Roman"/>
          <w:sz w:val="24"/>
          <w:szCs w:val="24"/>
          <w:vertAlign w:val="subscript"/>
        </w:rPr>
        <w:t>2</w:t>
      </w:r>
      <w:r>
        <w:rPr>
          <w:rFonts w:ascii="Times New Roman" w:hAnsi="Times New Roman" w:cs="Times New Roman"/>
          <w:sz w:val="24"/>
          <w:szCs w:val="24"/>
        </w:rPr>
        <w:t xml:space="preserve"> and </w:t>
      </w:r>
      <w:r>
        <w:rPr>
          <w:rFonts w:ascii="Times New Roman" w:hAnsi="Times New Roman" w:cs="Times New Roman"/>
          <w:sz w:val="24"/>
          <w:szCs w:val="24"/>
        </w:rPr>
        <w:lastRenderedPageBreak/>
        <w:t>flavonoid were presented in most of the studied parameters</w:t>
      </w:r>
      <w:r w:rsidR="00835D6D">
        <w:rPr>
          <w:rFonts w:ascii="Times New Roman" w:hAnsi="Times New Roman" w:cs="Times New Roman"/>
          <w:sz w:val="24"/>
          <w:szCs w:val="24"/>
        </w:rPr>
        <w:t xml:space="preserve"> in the IQF and canned sources</w:t>
      </w:r>
      <w:r>
        <w:rPr>
          <w:rFonts w:ascii="Times New Roman" w:hAnsi="Times New Roman" w:cs="Times New Roman"/>
          <w:sz w:val="24"/>
          <w:szCs w:val="24"/>
        </w:rPr>
        <w:t xml:space="preserve">, as we can see in Table 2. </w:t>
      </w:r>
    </w:p>
    <w:p w:rsidR="00F14CA8" w:rsidRPr="006671ED" w:rsidRDefault="00F14CA8" w:rsidP="00F14CA8">
      <w:pPr>
        <w:spacing w:after="0" w:line="360" w:lineRule="auto"/>
        <w:ind w:firstLine="720"/>
        <w:jc w:val="both"/>
        <w:rPr>
          <w:rFonts w:ascii="Times New Roman" w:hAnsi="Times New Roman" w:cs="Times New Roman"/>
          <w:sz w:val="24"/>
          <w:szCs w:val="24"/>
        </w:rPr>
      </w:pPr>
    </w:p>
    <w:p w:rsidR="00F14CA8" w:rsidRPr="006671ED" w:rsidRDefault="00F14CA8" w:rsidP="00F14CA8">
      <w:pPr>
        <w:spacing w:after="0" w:line="360" w:lineRule="auto"/>
        <w:ind w:firstLine="720"/>
        <w:jc w:val="both"/>
        <w:rPr>
          <w:rFonts w:ascii="Times New Roman" w:hAnsi="Times New Roman" w:cs="Times New Roman"/>
          <w:sz w:val="24"/>
          <w:szCs w:val="24"/>
        </w:rPr>
      </w:pPr>
      <w:r w:rsidRPr="006671ED">
        <w:rPr>
          <w:rFonts w:ascii="Times New Roman" w:hAnsi="Times New Roman" w:cs="Times New Roman"/>
          <w:sz w:val="24"/>
          <w:szCs w:val="24"/>
        </w:rPr>
        <w:t xml:space="preserve">The reason why the </w:t>
      </w:r>
      <w:r>
        <w:rPr>
          <w:rFonts w:ascii="Times New Roman" w:hAnsi="Times New Roman"/>
          <w:sz w:val="24"/>
          <w:szCs w:val="24"/>
        </w:rPr>
        <w:t>α-GR</w:t>
      </w:r>
      <w:r w:rsidRPr="006671ED">
        <w:rPr>
          <w:rFonts w:ascii="Times New Roman" w:hAnsi="Times New Roman" w:cs="Times New Roman"/>
          <w:sz w:val="24"/>
          <w:szCs w:val="24"/>
        </w:rPr>
        <w:t xml:space="preserve"> did not </w:t>
      </w:r>
      <w:r>
        <w:rPr>
          <w:rFonts w:ascii="Times New Roman" w:hAnsi="Times New Roman" w:cs="Times New Roman"/>
          <w:sz w:val="24"/>
          <w:szCs w:val="24"/>
        </w:rPr>
        <w:t>have an effect on the pouches made from</w:t>
      </w:r>
      <w:r w:rsidRPr="006671ED">
        <w:rPr>
          <w:rFonts w:ascii="Times New Roman" w:hAnsi="Times New Roman" w:cs="Times New Roman"/>
          <w:sz w:val="24"/>
          <w:szCs w:val="24"/>
        </w:rPr>
        <w:t xml:space="preserve"> fresh source can be attributed to the fact that PO catalyzed the flavonoid oxidation before th</w:t>
      </w:r>
      <w:r>
        <w:rPr>
          <w:rFonts w:ascii="Times New Roman" w:hAnsi="Times New Roman" w:cs="Times New Roman"/>
          <w:sz w:val="24"/>
          <w:szCs w:val="24"/>
        </w:rPr>
        <w:t>is</w:t>
      </w:r>
      <w:r w:rsidRPr="006671ED">
        <w:rPr>
          <w:rFonts w:ascii="Times New Roman" w:hAnsi="Times New Roman" w:cs="Times New Roman"/>
          <w:sz w:val="24"/>
          <w:szCs w:val="24"/>
        </w:rPr>
        <w:t xml:space="preserve"> enzyme could be denatured in the heat sterilization. As we know, different compounds from the groups of mono, di or polyphenols can act as substrates in the enzymatic reactions </w:t>
      </w:r>
      <w:r>
        <w:rPr>
          <w:rFonts w:ascii="Times New Roman" w:hAnsi="Times New Roman" w:cs="Times New Roman"/>
          <w:noProof/>
          <w:sz w:val="24"/>
          <w:szCs w:val="24"/>
        </w:rPr>
        <w:t>(Cheftel and Cheftel 1992)</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Also, it has been </w:t>
      </w:r>
      <w:r>
        <w:rPr>
          <w:rFonts w:ascii="Times New Roman" w:hAnsi="Times New Roman" w:cs="Times New Roman"/>
          <w:sz w:val="24"/>
          <w:szCs w:val="24"/>
        </w:rPr>
        <w:t>reported</w:t>
      </w:r>
      <w:r w:rsidRPr="006671ED">
        <w:rPr>
          <w:rFonts w:ascii="Times New Roman" w:hAnsi="Times New Roman" w:cs="Times New Roman"/>
          <w:sz w:val="24"/>
          <w:szCs w:val="24"/>
        </w:rPr>
        <w:t xml:space="preserve"> that PO from two varieties of peaches were able to </w:t>
      </w:r>
      <w:r>
        <w:rPr>
          <w:rFonts w:ascii="Times New Roman" w:hAnsi="Times New Roman" w:cs="Times New Roman"/>
          <w:sz w:val="24"/>
          <w:szCs w:val="24"/>
        </w:rPr>
        <w:t>oxidized q</w:t>
      </w:r>
      <w:r w:rsidRPr="006671ED">
        <w:rPr>
          <w:rFonts w:ascii="Times New Roman" w:hAnsi="Times New Roman" w:cs="Times New Roman"/>
          <w:sz w:val="24"/>
          <w:szCs w:val="24"/>
        </w:rPr>
        <w:t xml:space="preserve">uercetin </w:t>
      </w:r>
      <w:r>
        <w:rPr>
          <w:rFonts w:ascii="Times New Roman" w:hAnsi="Times New Roman" w:cs="Times New Roman"/>
          <w:noProof/>
          <w:sz w:val="24"/>
          <w:szCs w:val="24"/>
        </w:rPr>
        <w:t>(Garro and Gasull 2010)</w:t>
      </w:r>
      <w:r>
        <w:rPr>
          <w:rFonts w:ascii="Times New Roman" w:hAnsi="Times New Roman" w:cs="Times New Roman"/>
          <w:sz w:val="24"/>
          <w:szCs w:val="24"/>
        </w:rPr>
        <w:t>, which is a chemical component of rutin.</w:t>
      </w:r>
    </w:p>
    <w:p w:rsidR="00F14CA8" w:rsidRPr="00F82E9A" w:rsidRDefault="00F14CA8" w:rsidP="00F14CA8">
      <w:pPr>
        <w:spacing w:after="0" w:line="360" w:lineRule="auto"/>
        <w:ind w:firstLine="720"/>
        <w:jc w:val="both"/>
        <w:rPr>
          <w:rFonts w:ascii="Times New Roman" w:hAnsi="Times New Roman" w:cs="Times New Roman"/>
          <w:sz w:val="28"/>
          <w:szCs w:val="28"/>
        </w:rPr>
      </w:pPr>
    </w:p>
    <w:p w:rsidR="00F14CA8" w:rsidRPr="006671ED" w:rsidRDefault="00F14CA8" w:rsidP="00F14CA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As mentioned earlier</w:t>
      </w:r>
      <w:r w:rsidRPr="006671ED">
        <w:rPr>
          <w:rFonts w:ascii="Times New Roman" w:hAnsi="Times New Roman" w:cs="Times New Roman"/>
          <w:sz w:val="24"/>
          <w:szCs w:val="24"/>
        </w:rPr>
        <w:t xml:space="preserve">, even though in IQF and canned sources there was a desired effect due to the presence of </w:t>
      </w:r>
      <w:r>
        <w:rPr>
          <w:rFonts w:ascii="Times New Roman" w:hAnsi="Times New Roman"/>
          <w:sz w:val="24"/>
          <w:szCs w:val="24"/>
        </w:rPr>
        <w:t>α-GR</w:t>
      </w:r>
      <w:r w:rsidRPr="006671ED">
        <w:rPr>
          <w:rFonts w:ascii="Times New Roman" w:hAnsi="Times New Roman" w:cs="Times New Roman"/>
          <w:sz w:val="24"/>
          <w:szCs w:val="24"/>
        </w:rPr>
        <w:t xml:space="preserve">, this was not </w:t>
      </w:r>
      <w:r>
        <w:rPr>
          <w:rFonts w:ascii="Times New Roman" w:hAnsi="Times New Roman" w:cs="Times New Roman"/>
          <w:sz w:val="24"/>
          <w:szCs w:val="24"/>
        </w:rPr>
        <w:t>observed</w:t>
      </w:r>
      <w:r w:rsidRPr="006671ED">
        <w:rPr>
          <w:rFonts w:ascii="Times New Roman" w:hAnsi="Times New Roman" w:cs="Times New Roman"/>
          <w:sz w:val="24"/>
          <w:szCs w:val="24"/>
        </w:rPr>
        <w:t xml:space="preserve"> in the treatment which </w:t>
      </w:r>
      <w:r>
        <w:rPr>
          <w:rFonts w:ascii="Times New Roman" w:hAnsi="Times New Roman" w:cs="Times New Roman"/>
          <w:sz w:val="24"/>
          <w:szCs w:val="24"/>
        </w:rPr>
        <w:t xml:space="preserve">also had </w:t>
      </w:r>
      <w:r w:rsidRPr="006671ED">
        <w:rPr>
          <w:rFonts w:ascii="Times New Roman" w:hAnsi="Times New Roman" w:cs="Times New Roman"/>
          <w:sz w:val="24"/>
          <w:szCs w:val="24"/>
        </w:rPr>
        <w:t>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671ED">
        <w:rPr>
          <w:rFonts w:ascii="Times New Roman" w:hAnsi="Times New Roman" w:cs="Times New Roman"/>
          <w:sz w:val="24"/>
          <w:szCs w:val="24"/>
        </w:rPr>
        <w:t xml:space="preserve">The reason can be attributed to the possible oxidation of </w:t>
      </w:r>
      <w:r>
        <w:rPr>
          <w:rFonts w:ascii="Times New Roman" w:hAnsi="Times New Roman"/>
          <w:sz w:val="24"/>
          <w:szCs w:val="24"/>
        </w:rPr>
        <w:t>α-GR</w:t>
      </w:r>
      <w:r w:rsidRPr="006671ED">
        <w:rPr>
          <w:rFonts w:ascii="Times New Roman" w:hAnsi="Times New Roman" w:cs="Times New Roman"/>
          <w:sz w:val="24"/>
          <w:szCs w:val="24"/>
        </w:rPr>
        <w:t xml:space="preserve"> by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w:t>
      </w:r>
      <w:r>
        <w:rPr>
          <w:rFonts w:ascii="Times New Roman" w:hAnsi="Times New Roman" w:cs="Times New Roman"/>
          <w:sz w:val="24"/>
          <w:szCs w:val="24"/>
        </w:rPr>
        <w:t xml:space="preserve"> As </w:t>
      </w:r>
      <w:r w:rsidRPr="006671ED">
        <w:rPr>
          <w:rFonts w:ascii="Times New Roman" w:hAnsi="Times New Roman" w:cs="Times New Roman"/>
          <w:sz w:val="24"/>
          <w:szCs w:val="24"/>
        </w:rPr>
        <w:t>discussed</w:t>
      </w:r>
      <w:r>
        <w:rPr>
          <w:rFonts w:ascii="Times New Roman" w:hAnsi="Times New Roman" w:cs="Times New Roman"/>
          <w:sz w:val="24"/>
          <w:szCs w:val="24"/>
        </w:rPr>
        <w:t xml:space="preserve"> earlier</w:t>
      </w:r>
      <w:r w:rsidRPr="006671ED">
        <w:rPr>
          <w:rFonts w:ascii="Times New Roman" w:hAnsi="Times New Roman" w:cs="Times New Roman"/>
          <w:sz w:val="24"/>
          <w:szCs w:val="24"/>
        </w:rPr>
        <w:t>, CaCl</w:t>
      </w:r>
      <w:r w:rsidRPr="006671ED">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was able to reduce the total phenol content in pineapples </w:t>
      </w:r>
      <w:r>
        <w:rPr>
          <w:rFonts w:ascii="Times New Roman" w:hAnsi="Times New Roman" w:cs="Times New Roman"/>
          <w:noProof/>
          <w:sz w:val="24"/>
          <w:szCs w:val="24"/>
        </w:rPr>
        <w:t>(Botrel and others 2000)</w:t>
      </w:r>
      <w:r>
        <w:rPr>
          <w:rFonts w:ascii="Times New Roman" w:hAnsi="Times New Roman" w:cs="Times New Roman"/>
          <w:sz w:val="24"/>
          <w:szCs w:val="24"/>
        </w:rPr>
        <w:t xml:space="preserve"> and </w:t>
      </w:r>
      <w:r w:rsidRPr="006671ED">
        <w:rPr>
          <w:rFonts w:ascii="Times New Roman" w:hAnsi="Times New Roman" w:cs="Times New Roman"/>
          <w:sz w:val="24"/>
          <w:szCs w:val="24"/>
        </w:rPr>
        <w:t xml:space="preserve">sodium chloride was able to oxidized chlorogenic acid in a buffer at pH of 4.6 </w:t>
      </w:r>
      <w:r>
        <w:rPr>
          <w:rFonts w:ascii="Times New Roman" w:hAnsi="Times New Roman" w:cs="Times New Roman"/>
          <w:noProof/>
          <w:sz w:val="24"/>
          <w:szCs w:val="24"/>
        </w:rPr>
        <w:t>(He and others 2008)</w:t>
      </w:r>
      <w:r w:rsidRPr="006671ED">
        <w:rPr>
          <w:rFonts w:ascii="Times New Roman" w:hAnsi="Times New Roman" w:cs="Times New Roman"/>
          <w:sz w:val="24"/>
          <w:szCs w:val="24"/>
        </w:rPr>
        <w:t>.</w:t>
      </w:r>
      <w:r>
        <w:rPr>
          <w:rFonts w:ascii="Times New Roman" w:hAnsi="Times New Roman" w:cs="Times New Roman"/>
          <w:sz w:val="24"/>
          <w:szCs w:val="24"/>
        </w:rPr>
        <w:t xml:space="preserve"> This could also explain why there were</w:t>
      </w:r>
      <w:r w:rsidRPr="006671ED">
        <w:rPr>
          <w:rFonts w:ascii="Times New Roman" w:hAnsi="Times New Roman" w:cs="Times New Roman"/>
          <w:sz w:val="24"/>
          <w:szCs w:val="24"/>
        </w:rPr>
        <w:t xml:space="preserve"> significant interactions (p&lt;0.05) between flavonoids and CaCl</w:t>
      </w:r>
      <w:r w:rsidRPr="00103D36">
        <w:rPr>
          <w:rFonts w:ascii="Times New Roman" w:hAnsi="Times New Roman" w:cs="Times New Roman"/>
          <w:sz w:val="24"/>
          <w:szCs w:val="24"/>
          <w:vertAlign w:val="subscript"/>
        </w:rPr>
        <w:t>2</w:t>
      </w:r>
      <w:r w:rsidRPr="006671ED">
        <w:rPr>
          <w:rFonts w:ascii="Times New Roman" w:hAnsi="Times New Roman" w:cs="Times New Roman"/>
          <w:sz w:val="24"/>
          <w:szCs w:val="24"/>
        </w:rPr>
        <w:t xml:space="preserve"> in some of the studied parameters.</w:t>
      </w:r>
    </w:p>
    <w:p w:rsidR="00F14CA8" w:rsidRPr="00F82E9A" w:rsidRDefault="00F14CA8" w:rsidP="00F14CA8">
      <w:pPr>
        <w:spacing w:after="0" w:line="360" w:lineRule="auto"/>
        <w:ind w:firstLine="720"/>
        <w:jc w:val="both"/>
        <w:rPr>
          <w:rFonts w:ascii="Times New Roman" w:hAnsi="Times New Roman" w:cs="Times New Roman"/>
          <w:sz w:val="28"/>
          <w:szCs w:val="28"/>
        </w:rPr>
      </w:pPr>
    </w:p>
    <w:p w:rsidR="00F14CA8" w:rsidRDefault="00F14CA8" w:rsidP="000C09DC">
      <w:pPr>
        <w:pStyle w:val="ListParagraph"/>
        <w:spacing w:after="0" w:line="360" w:lineRule="auto"/>
        <w:ind w:left="0" w:firstLine="708"/>
        <w:jc w:val="both"/>
        <w:rPr>
          <w:rFonts w:ascii="Times New Roman" w:hAnsi="Times New Roman"/>
          <w:sz w:val="24"/>
          <w:szCs w:val="24"/>
        </w:rPr>
      </w:pPr>
      <w:r w:rsidRPr="006671ED">
        <w:rPr>
          <w:rFonts w:ascii="Times New Roman" w:hAnsi="Times New Roman"/>
          <w:sz w:val="24"/>
          <w:szCs w:val="24"/>
        </w:rPr>
        <w:t xml:space="preserve">In the results presented above, we can also observe that the flavonoid exerted a </w:t>
      </w:r>
      <w:r>
        <w:rPr>
          <w:rFonts w:ascii="Times New Roman" w:hAnsi="Times New Roman"/>
          <w:sz w:val="24"/>
          <w:szCs w:val="24"/>
        </w:rPr>
        <w:t>stronger</w:t>
      </w:r>
      <w:r w:rsidRPr="006671ED">
        <w:rPr>
          <w:rFonts w:ascii="Times New Roman" w:hAnsi="Times New Roman"/>
          <w:sz w:val="24"/>
          <w:szCs w:val="24"/>
        </w:rPr>
        <w:t xml:space="preserve"> effect in the IQF than in the canned peaches. </w:t>
      </w:r>
      <w:r>
        <w:rPr>
          <w:rFonts w:ascii="Times New Roman" w:hAnsi="Times New Roman"/>
          <w:sz w:val="24"/>
          <w:szCs w:val="24"/>
        </w:rPr>
        <w:t xml:space="preserve"> We can attribute this</w:t>
      </w:r>
      <w:r w:rsidRPr="006671ED">
        <w:rPr>
          <w:rFonts w:ascii="Times New Roman" w:hAnsi="Times New Roman"/>
          <w:sz w:val="24"/>
          <w:szCs w:val="24"/>
        </w:rPr>
        <w:t xml:space="preserve"> to the high</w:t>
      </w:r>
      <w:r>
        <w:rPr>
          <w:rFonts w:ascii="Times New Roman" w:hAnsi="Times New Roman"/>
          <w:sz w:val="24"/>
          <w:szCs w:val="24"/>
        </w:rPr>
        <w:t>er concentration of AA present</w:t>
      </w:r>
      <w:r w:rsidRPr="006671ED">
        <w:rPr>
          <w:rFonts w:ascii="Times New Roman" w:hAnsi="Times New Roman"/>
          <w:sz w:val="24"/>
          <w:szCs w:val="24"/>
        </w:rPr>
        <w:t xml:space="preserve"> in </w:t>
      </w:r>
      <w:r>
        <w:rPr>
          <w:rFonts w:ascii="Times New Roman" w:hAnsi="Times New Roman"/>
          <w:sz w:val="24"/>
          <w:szCs w:val="24"/>
        </w:rPr>
        <w:t xml:space="preserve">the </w:t>
      </w:r>
      <w:r w:rsidRPr="006671ED">
        <w:rPr>
          <w:rFonts w:ascii="Times New Roman" w:hAnsi="Times New Roman"/>
          <w:sz w:val="24"/>
          <w:szCs w:val="24"/>
        </w:rPr>
        <w:t xml:space="preserve">canned treatments. In fact, the canned source </w:t>
      </w:r>
      <w:r>
        <w:rPr>
          <w:rFonts w:ascii="Times New Roman" w:hAnsi="Times New Roman"/>
          <w:sz w:val="24"/>
          <w:szCs w:val="24"/>
        </w:rPr>
        <w:t>had almost double</w:t>
      </w:r>
      <w:r w:rsidRPr="006671ED">
        <w:rPr>
          <w:rFonts w:ascii="Times New Roman" w:hAnsi="Times New Roman"/>
          <w:sz w:val="24"/>
          <w:szCs w:val="24"/>
        </w:rPr>
        <w:t xml:space="preserve"> the </w:t>
      </w:r>
      <w:r>
        <w:rPr>
          <w:rFonts w:ascii="Times New Roman" w:hAnsi="Times New Roman"/>
          <w:sz w:val="24"/>
          <w:szCs w:val="24"/>
        </w:rPr>
        <w:t xml:space="preserve">AA </w:t>
      </w:r>
      <w:r w:rsidRPr="006671ED">
        <w:rPr>
          <w:rFonts w:ascii="Times New Roman" w:hAnsi="Times New Roman"/>
          <w:sz w:val="24"/>
          <w:szCs w:val="24"/>
        </w:rPr>
        <w:t xml:space="preserve">concentration </w:t>
      </w:r>
      <w:r>
        <w:rPr>
          <w:rFonts w:ascii="Times New Roman" w:hAnsi="Times New Roman"/>
          <w:sz w:val="24"/>
          <w:szCs w:val="24"/>
        </w:rPr>
        <w:t>compared to</w:t>
      </w:r>
      <w:r w:rsidRPr="006671ED">
        <w:rPr>
          <w:rFonts w:ascii="Times New Roman" w:hAnsi="Times New Roman"/>
          <w:sz w:val="24"/>
          <w:szCs w:val="24"/>
        </w:rPr>
        <w:t xml:space="preserve"> the IQF source. </w:t>
      </w:r>
      <w:r>
        <w:rPr>
          <w:rFonts w:ascii="Times New Roman" w:hAnsi="Times New Roman"/>
          <w:sz w:val="24"/>
          <w:szCs w:val="24"/>
        </w:rPr>
        <w:t xml:space="preserve"> There is evidence that</w:t>
      </w:r>
      <w:r w:rsidRPr="006671ED">
        <w:rPr>
          <w:rFonts w:ascii="Times New Roman" w:hAnsi="Times New Roman"/>
          <w:sz w:val="24"/>
          <w:szCs w:val="24"/>
        </w:rPr>
        <w:t xml:space="preserve"> shows that higher concentration</w:t>
      </w:r>
      <w:r>
        <w:rPr>
          <w:rFonts w:ascii="Times New Roman" w:hAnsi="Times New Roman"/>
          <w:sz w:val="24"/>
          <w:szCs w:val="24"/>
        </w:rPr>
        <w:t xml:space="preserve">s of AA in orange drinks packaged in polyethylene bags corresponded to </w:t>
      </w:r>
      <w:r w:rsidRPr="006671ED">
        <w:rPr>
          <w:rFonts w:ascii="Times New Roman" w:hAnsi="Times New Roman"/>
          <w:sz w:val="24"/>
          <w:szCs w:val="24"/>
        </w:rPr>
        <w:t>more browning development</w:t>
      </w:r>
      <w:r>
        <w:rPr>
          <w:rFonts w:ascii="Times New Roman" w:hAnsi="Times New Roman"/>
          <w:sz w:val="24"/>
          <w:szCs w:val="24"/>
        </w:rPr>
        <w:t xml:space="preserve"> after </w:t>
      </w:r>
      <w:r w:rsidRPr="00823D12">
        <w:rPr>
          <w:rFonts w:ascii="Times New Roman" w:hAnsi="Times New Roman"/>
          <w:sz w:val="24"/>
          <w:szCs w:val="24"/>
        </w:rPr>
        <w:t xml:space="preserve">20 weeks of storage at 24°C </w:t>
      </w:r>
      <w:r w:rsidRPr="00823D12">
        <w:rPr>
          <w:rFonts w:ascii="Times New Roman" w:hAnsi="Times New Roman"/>
          <w:noProof/>
          <w:sz w:val="24"/>
          <w:szCs w:val="24"/>
        </w:rPr>
        <w:t>(Kacem and others 1987)</w:t>
      </w:r>
      <w:r w:rsidRPr="00823D12">
        <w:rPr>
          <w:rFonts w:ascii="Times New Roman" w:hAnsi="Times New Roman"/>
          <w:sz w:val="24"/>
          <w:szCs w:val="24"/>
        </w:rPr>
        <w:t xml:space="preserve">. </w:t>
      </w:r>
      <w:r>
        <w:rPr>
          <w:rFonts w:ascii="Times New Roman" w:hAnsi="Times New Roman"/>
          <w:sz w:val="24"/>
          <w:szCs w:val="24"/>
        </w:rPr>
        <w:t xml:space="preserve"> </w:t>
      </w:r>
      <w:r w:rsidRPr="00823D12">
        <w:rPr>
          <w:rFonts w:ascii="Times New Roman" w:hAnsi="Times New Roman"/>
          <w:sz w:val="24"/>
          <w:szCs w:val="24"/>
        </w:rPr>
        <w:t xml:space="preserve">In fact the absorbance (420nm) measures were ~0.70, ~0.40, 0.15 for the 718, 300 and 42 ppm of AA, respectively. </w:t>
      </w:r>
      <w:r>
        <w:rPr>
          <w:rFonts w:ascii="Times New Roman" w:hAnsi="Times New Roman"/>
          <w:sz w:val="24"/>
          <w:szCs w:val="24"/>
        </w:rPr>
        <w:t xml:space="preserve"> </w:t>
      </w:r>
      <w:r w:rsidRPr="00823D12">
        <w:rPr>
          <w:rFonts w:ascii="Times New Roman" w:hAnsi="Times New Roman"/>
          <w:sz w:val="24"/>
          <w:szCs w:val="24"/>
        </w:rPr>
        <w:t xml:space="preserve">The same study done in retort pouches did not show so high differences probably due to the absence </w:t>
      </w:r>
      <w:r>
        <w:rPr>
          <w:rFonts w:ascii="Times New Roman" w:hAnsi="Times New Roman"/>
          <w:sz w:val="24"/>
          <w:szCs w:val="24"/>
        </w:rPr>
        <w:t>of oxygen; however, the results</w:t>
      </w:r>
      <w:r w:rsidRPr="00823D12">
        <w:rPr>
          <w:rFonts w:ascii="Times New Roman" w:hAnsi="Times New Roman"/>
          <w:sz w:val="24"/>
          <w:szCs w:val="24"/>
        </w:rPr>
        <w:t xml:space="preserve"> still show a difference between the drinks which had 42 ppm (~0.12 absorbance) and the drinks which had 300 and 718 ppm (~0.2 absorbance) after the same period of storage. </w:t>
      </w:r>
      <w:r>
        <w:rPr>
          <w:rFonts w:ascii="Times New Roman" w:hAnsi="Times New Roman"/>
          <w:sz w:val="24"/>
          <w:szCs w:val="24"/>
        </w:rPr>
        <w:t xml:space="preserve"> A</w:t>
      </w:r>
      <w:r w:rsidRPr="00823D12">
        <w:rPr>
          <w:rFonts w:ascii="Times New Roman" w:hAnsi="Times New Roman"/>
          <w:sz w:val="24"/>
          <w:szCs w:val="24"/>
        </w:rPr>
        <w:t xml:space="preserve"> model solution of orange juice packaged in vials and stored at 50°C with headspace for 60 days also showed the contribution of the concentration </w:t>
      </w:r>
      <w:r w:rsidRPr="00823D12">
        <w:rPr>
          <w:rFonts w:ascii="Times New Roman" w:hAnsi="Times New Roman"/>
          <w:sz w:val="24"/>
          <w:szCs w:val="24"/>
        </w:rPr>
        <w:lastRenderedPageBreak/>
        <w:t xml:space="preserve">of AA in the developed browning. </w:t>
      </w:r>
      <w:r>
        <w:rPr>
          <w:rFonts w:ascii="Times New Roman" w:hAnsi="Times New Roman"/>
          <w:sz w:val="24"/>
          <w:szCs w:val="24"/>
        </w:rPr>
        <w:t xml:space="preserve"> </w:t>
      </w:r>
      <w:r w:rsidRPr="00823D12">
        <w:rPr>
          <w:rFonts w:ascii="Times New Roman" w:hAnsi="Times New Roman"/>
          <w:sz w:val="24"/>
          <w:szCs w:val="24"/>
        </w:rPr>
        <w:t xml:space="preserve">In fact, these results show absorbance (420 nm) of 0.19, 2.29, 3.72 and 4.62 for the 300, 7700, 10700 and 11400 ppm of AA </w:t>
      </w:r>
      <w:r w:rsidRPr="00823D12">
        <w:rPr>
          <w:rFonts w:ascii="Times New Roman" w:hAnsi="Times New Roman"/>
          <w:noProof/>
          <w:sz w:val="24"/>
          <w:szCs w:val="24"/>
        </w:rPr>
        <w:t>(Shinoda and others 2004)</w:t>
      </w:r>
      <w:r w:rsidRPr="00823D12">
        <w:rPr>
          <w:rFonts w:ascii="Times New Roman" w:hAnsi="Times New Roman"/>
          <w:sz w:val="24"/>
          <w:szCs w:val="24"/>
        </w:rPr>
        <w:t xml:space="preserve">. </w:t>
      </w:r>
    </w:p>
    <w:p w:rsidR="000C09DC" w:rsidRPr="00F82E9A" w:rsidRDefault="000C09DC" w:rsidP="000C09DC">
      <w:pPr>
        <w:pStyle w:val="ListParagraph"/>
        <w:spacing w:after="0" w:line="360" w:lineRule="auto"/>
        <w:ind w:left="0" w:firstLine="708"/>
        <w:jc w:val="both"/>
        <w:rPr>
          <w:rFonts w:ascii="Times New Roman" w:hAnsi="Times New Roman"/>
          <w:sz w:val="28"/>
          <w:szCs w:val="28"/>
        </w:rPr>
      </w:pPr>
    </w:p>
    <w:p w:rsidR="00F14CA8" w:rsidRPr="000C09DC" w:rsidRDefault="000C09DC" w:rsidP="000C09DC">
      <w:pPr>
        <w:spacing w:after="0" w:line="360" w:lineRule="auto"/>
        <w:jc w:val="both"/>
        <w:rPr>
          <w:rFonts w:ascii="Times New Roman" w:hAnsi="Times New Roman"/>
          <w:b/>
          <w:sz w:val="24"/>
          <w:szCs w:val="24"/>
        </w:rPr>
      </w:pPr>
      <w:r w:rsidRPr="000C09DC">
        <w:rPr>
          <w:rFonts w:ascii="Times New Roman" w:hAnsi="Times New Roman"/>
          <w:b/>
          <w:sz w:val="24"/>
          <w:szCs w:val="24"/>
        </w:rPr>
        <w:t>CONCLUSION</w:t>
      </w:r>
    </w:p>
    <w:p w:rsidR="000C09DC" w:rsidRDefault="000C09DC" w:rsidP="000C09DC">
      <w:pPr>
        <w:pStyle w:val="ListParagraph"/>
        <w:spacing w:after="0" w:line="360" w:lineRule="auto"/>
        <w:ind w:left="0" w:firstLine="720"/>
        <w:jc w:val="both"/>
        <w:rPr>
          <w:rFonts w:ascii="Times New Roman" w:hAnsi="Times New Roman"/>
          <w:sz w:val="24"/>
          <w:szCs w:val="24"/>
        </w:rPr>
      </w:pPr>
      <w:proofErr w:type="gramStart"/>
      <w:r>
        <w:rPr>
          <w:rFonts w:ascii="Times New Roman" w:hAnsi="Times New Roman"/>
          <w:sz w:val="24"/>
          <w:szCs w:val="24"/>
        </w:rPr>
        <w:t>α-Glucosylrutin</w:t>
      </w:r>
      <w:proofErr w:type="gramEnd"/>
      <w:r>
        <w:rPr>
          <w:rFonts w:ascii="Times New Roman" w:hAnsi="Times New Roman"/>
          <w:sz w:val="24"/>
          <w:szCs w:val="24"/>
        </w:rPr>
        <w:t xml:space="preserve"> was added in systems made of diced peaches and syrup packaged in retortable pouches to prevent ascorbic acid browning.</w:t>
      </w:r>
      <w:r w:rsidRPr="00252E90">
        <w:rPr>
          <w:rFonts w:ascii="Times New Roman" w:hAnsi="Times New Roman"/>
          <w:sz w:val="24"/>
          <w:szCs w:val="24"/>
        </w:rPr>
        <w:t xml:space="preserve"> </w:t>
      </w:r>
      <w:r>
        <w:rPr>
          <w:rFonts w:ascii="Times New Roman" w:hAnsi="Times New Roman"/>
          <w:sz w:val="24"/>
          <w:szCs w:val="24"/>
        </w:rPr>
        <w:t xml:space="preserve"> The use of CaCl</w:t>
      </w:r>
      <w:r w:rsidRPr="00252E90">
        <w:rPr>
          <w:rFonts w:ascii="Times New Roman" w:hAnsi="Times New Roman"/>
          <w:sz w:val="24"/>
          <w:szCs w:val="24"/>
          <w:vertAlign w:val="subscript"/>
        </w:rPr>
        <w:t>2</w:t>
      </w:r>
      <w:r>
        <w:rPr>
          <w:rFonts w:ascii="Times New Roman" w:hAnsi="Times New Roman"/>
          <w:sz w:val="24"/>
          <w:szCs w:val="24"/>
        </w:rPr>
        <w:t xml:space="preserve"> and different fruit sources (fresh, individually quick frozen and canned peaches) were also evaluated.  </w:t>
      </w:r>
      <w:r w:rsidRPr="00252E90">
        <w:rPr>
          <w:rFonts w:ascii="Times New Roman" w:hAnsi="Times New Roman"/>
          <w:sz w:val="24"/>
          <w:szCs w:val="24"/>
        </w:rPr>
        <w:t xml:space="preserve">Samples were stored at 51°C and 40°C for 42 and 270 days, respectively. </w:t>
      </w:r>
      <w:r>
        <w:rPr>
          <w:rFonts w:ascii="Times New Roman" w:hAnsi="Times New Roman"/>
          <w:sz w:val="24"/>
          <w:szCs w:val="24"/>
        </w:rPr>
        <w:t xml:space="preserve"> V</w:t>
      </w:r>
      <w:r w:rsidRPr="00252E90">
        <w:rPr>
          <w:rFonts w:ascii="Times New Roman" w:hAnsi="Times New Roman"/>
          <w:sz w:val="24"/>
          <w:szCs w:val="24"/>
        </w:rPr>
        <w:t>itamin C concentrations</w:t>
      </w:r>
      <w:r>
        <w:rPr>
          <w:rFonts w:ascii="Times New Roman" w:hAnsi="Times New Roman"/>
          <w:sz w:val="24"/>
          <w:szCs w:val="24"/>
        </w:rPr>
        <w:t xml:space="preserve"> and</w:t>
      </w:r>
      <w:r w:rsidRPr="00252E90">
        <w:rPr>
          <w:rFonts w:ascii="Times New Roman" w:hAnsi="Times New Roman"/>
          <w:sz w:val="24"/>
          <w:szCs w:val="24"/>
        </w:rPr>
        <w:t xml:space="preserve"> color (CIE</w:t>
      </w:r>
      <w:r>
        <w:rPr>
          <w:rFonts w:ascii="Times New Roman" w:hAnsi="Times New Roman"/>
          <w:sz w:val="24"/>
          <w:szCs w:val="24"/>
        </w:rPr>
        <w:t>LAB)</w:t>
      </w:r>
      <w:r w:rsidRPr="00252E90">
        <w:rPr>
          <w:rFonts w:ascii="Times New Roman" w:hAnsi="Times New Roman"/>
          <w:sz w:val="24"/>
          <w:szCs w:val="24"/>
        </w:rPr>
        <w:t xml:space="preserve"> were m</w:t>
      </w:r>
      <w:r>
        <w:rPr>
          <w:rFonts w:ascii="Times New Roman" w:hAnsi="Times New Roman"/>
          <w:sz w:val="24"/>
          <w:szCs w:val="24"/>
        </w:rPr>
        <w:t>easured during storage</w:t>
      </w:r>
      <w:r w:rsidRPr="00252E90">
        <w:rPr>
          <w:rFonts w:ascii="Times New Roman" w:hAnsi="Times New Roman"/>
          <w:sz w:val="24"/>
          <w:szCs w:val="24"/>
        </w:rPr>
        <w:t xml:space="preserve">. </w:t>
      </w:r>
      <w:r>
        <w:rPr>
          <w:rFonts w:ascii="Times New Roman" w:hAnsi="Times New Roman"/>
          <w:sz w:val="24"/>
          <w:szCs w:val="24"/>
        </w:rPr>
        <w:t xml:space="preserve"> </w:t>
      </w:r>
      <w:r w:rsidRPr="00252E90">
        <w:rPr>
          <w:rFonts w:ascii="Times New Roman" w:hAnsi="Times New Roman"/>
          <w:sz w:val="24"/>
          <w:szCs w:val="24"/>
        </w:rPr>
        <w:t>Rate con</w:t>
      </w:r>
      <w:r>
        <w:rPr>
          <w:rFonts w:ascii="Times New Roman" w:hAnsi="Times New Roman"/>
          <w:sz w:val="24"/>
          <w:szCs w:val="24"/>
        </w:rPr>
        <w:t xml:space="preserve">stants were calculated </w:t>
      </w:r>
      <w:r w:rsidRPr="00252E90">
        <w:rPr>
          <w:rFonts w:ascii="Times New Roman" w:hAnsi="Times New Roman"/>
          <w:sz w:val="24"/>
          <w:szCs w:val="24"/>
        </w:rPr>
        <w:t xml:space="preserve">to compare the different treatments. </w:t>
      </w:r>
      <w:r>
        <w:rPr>
          <w:rFonts w:ascii="Times New Roman" w:hAnsi="Times New Roman"/>
          <w:sz w:val="24"/>
          <w:szCs w:val="24"/>
        </w:rPr>
        <w:t xml:space="preserve"> A complete factorial design was used to determine </w:t>
      </w:r>
      <w:r w:rsidRPr="00252E90">
        <w:rPr>
          <w:rFonts w:ascii="Times New Roman" w:hAnsi="Times New Roman"/>
          <w:sz w:val="24"/>
          <w:szCs w:val="24"/>
        </w:rPr>
        <w:t>effect</w:t>
      </w:r>
      <w:r>
        <w:rPr>
          <w:rFonts w:ascii="Times New Roman" w:hAnsi="Times New Roman"/>
          <w:sz w:val="24"/>
          <w:szCs w:val="24"/>
        </w:rPr>
        <w:t>s</w:t>
      </w:r>
      <w:r w:rsidRPr="00252E90">
        <w:rPr>
          <w:rFonts w:ascii="Times New Roman" w:hAnsi="Times New Roman"/>
          <w:sz w:val="24"/>
          <w:szCs w:val="24"/>
        </w:rPr>
        <w:t xml:space="preserve"> due to the </w:t>
      </w:r>
      <w:r>
        <w:rPr>
          <w:rFonts w:ascii="Times New Roman" w:hAnsi="Times New Roman"/>
          <w:sz w:val="24"/>
          <w:szCs w:val="24"/>
        </w:rPr>
        <w:t>flavonoid or</w:t>
      </w:r>
      <w:r w:rsidRPr="00252E90">
        <w:rPr>
          <w:rFonts w:ascii="Times New Roman" w:hAnsi="Times New Roman"/>
          <w:sz w:val="24"/>
          <w:szCs w:val="24"/>
        </w:rPr>
        <w:t xml:space="preserve"> CaCl</w:t>
      </w:r>
      <w:r w:rsidRPr="00252E90">
        <w:rPr>
          <w:rFonts w:ascii="Times New Roman" w:hAnsi="Times New Roman"/>
          <w:sz w:val="24"/>
          <w:szCs w:val="24"/>
          <w:vertAlign w:val="subscript"/>
        </w:rPr>
        <w:t>2</w:t>
      </w:r>
      <w:r w:rsidRPr="00252E90">
        <w:rPr>
          <w:rFonts w:ascii="Times New Roman" w:hAnsi="Times New Roman"/>
          <w:sz w:val="24"/>
          <w:szCs w:val="24"/>
        </w:rPr>
        <w:t>.</w:t>
      </w:r>
      <w:r>
        <w:rPr>
          <w:rFonts w:ascii="Times New Roman" w:hAnsi="Times New Roman"/>
          <w:sz w:val="24"/>
          <w:szCs w:val="24"/>
        </w:rPr>
        <w:t xml:space="preserve">  At 51°C, the treatments (control, CaCl</w:t>
      </w:r>
      <w:r w:rsidRPr="00252E90">
        <w:rPr>
          <w:rFonts w:ascii="Times New Roman" w:hAnsi="Times New Roman"/>
          <w:sz w:val="24"/>
          <w:szCs w:val="24"/>
          <w:vertAlign w:val="subscript"/>
        </w:rPr>
        <w:t>2</w:t>
      </w:r>
      <w:r>
        <w:rPr>
          <w:rFonts w:ascii="Times New Roman" w:hAnsi="Times New Roman"/>
          <w:sz w:val="24"/>
          <w:szCs w:val="24"/>
        </w:rPr>
        <w:t>, α-GR and CaCl</w:t>
      </w:r>
      <w:r w:rsidRPr="00252E90">
        <w:rPr>
          <w:rFonts w:ascii="Times New Roman" w:hAnsi="Times New Roman"/>
          <w:sz w:val="24"/>
          <w:szCs w:val="24"/>
          <w:vertAlign w:val="subscript"/>
        </w:rPr>
        <w:t>2</w:t>
      </w:r>
      <w:r>
        <w:rPr>
          <w:rFonts w:ascii="Times New Roman" w:hAnsi="Times New Roman"/>
          <w:sz w:val="24"/>
          <w:szCs w:val="24"/>
        </w:rPr>
        <w:t xml:space="preserve">-α-GR) did not slow the rate of AA or color deterioration.  At 40°C, the treatments that had α-GR and </w:t>
      </w:r>
      <w:r w:rsidR="00F85309">
        <w:rPr>
          <w:rFonts w:ascii="Times New Roman" w:hAnsi="Times New Roman"/>
          <w:sz w:val="24"/>
          <w:szCs w:val="24"/>
        </w:rPr>
        <w:t>were</w:t>
      </w:r>
      <w:r>
        <w:rPr>
          <w:rFonts w:ascii="Times New Roman" w:hAnsi="Times New Roman"/>
          <w:sz w:val="24"/>
          <w:szCs w:val="24"/>
        </w:rPr>
        <w:t xml:space="preserve"> made using individually quick frozen or canned peaches had a lower rate of browning and loss of ascorbic acid than the rest of treatments.  There is evidence which suggests that CaCl</w:t>
      </w:r>
      <w:r w:rsidRPr="00183D2F">
        <w:rPr>
          <w:rFonts w:ascii="Times New Roman" w:hAnsi="Times New Roman"/>
          <w:sz w:val="24"/>
          <w:szCs w:val="24"/>
          <w:vertAlign w:val="subscript"/>
        </w:rPr>
        <w:t>2</w:t>
      </w:r>
      <w:r>
        <w:rPr>
          <w:rFonts w:ascii="Times New Roman" w:hAnsi="Times New Roman"/>
          <w:sz w:val="24"/>
          <w:szCs w:val="24"/>
        </w:rPr>
        <w:t xml:space="preserve"> could promote ascorbic acid browning under the evaluated conditions. </w:t>
      </w:r>
    </w:p>
    <w:p w:rsidR="00F14CA8" w:rsidRDefault="00F14CA8" w:rsidP="00F14CA8">
      <w:pPr>
        <w:rPr>
          <w:rFonts w:ascii="Times New Roman" w:hAnsi="Times New Roman" w:cs="Times New Roman"/>
          <w:sz w:val="24"/>
          <w:szCs w:val="24"/>
        </w:rPr>
      </w:pPr>
    </w:p>
    <w:p w:rsidR="00F14CA8" w:rsidRDefault="00F14CA8" w:rsidP="00F14CA8">
      <w:pPr>
        <w:rPr>
          <w:rFonts w:ascii="Times New Roman" w:hAnsi="Times New Roman" w:cs="Times New Roman"/>
          <w:b/>
        </w:rPr>
      </w:pPr>
    </w:p>
    <w:p w:rsidR="00F14CA8" w:rsidRDefault="00F14CA8" w:rsidP="00F14CA8">
      <w:pPr>
        <w:rPr>
          <w:rFonts w:ascii="Times New Roman" w:hAnsi="Times New Roman" w:cs="Times New Roman"/>
          <w:b/>
        </w:rPr>
      </w:pPr>
      <w:r>
        <w:rPr>
          <w:rFonts w:ascii="Times New Roman" w:hAnsi="Times New Roman" w:cs="Times New Roman"/>
          <w:b/>
        </w:rPr>
        <w:br w:type="page"/>
      </w:r>
    </w:p>
    <w:p w:rsidR="00F14CA8" w:rsidRDefault="00D50EC7" w:rsidP="00F14CA8">
      <w:pPr>
        <w:jc w:val="center"/>
        <w:rPr>
          <w:rFonts w:ascii="Times New Roman" w:hAnsi="Times New Roman" w:cs="Times New Roman"/>
        </w:rPr>
      </w:pPr>
      <w:r>
        <w:rPr>
          <w:rFonts w:ascii="Times New Roman" w:hAnsi="Times New Roman" w:cs="Times New Roman"/>
          <w:noProof/>
        </w:rPr>
        <w:lastRenderedPageBreak/>
        <w:pict>
          <v:shape id="Text Box 2" o:spid="_x0000_s1028" type="#_x0000_t202" style="position:absolute;left:0;text-align:left;margin-left:310.85pt;margin-top:5.3pt;width:24.7pt;height:17.3pt;z-index:25164236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" strokecolor="white [3212]">
            <v:textbox>
              <w:txbxContent>
                <w:p w:rsidR="00CC7D02" w:rsidRPr="000C0EE0" w:rsidRDefault="00CC7D02" w:rsidP="00F14CA8">
                  <w:pPr>
                    <w:rPr>
                      <w:rFonts w:ascii="Times New Roman" w:hAnsi="Times New Roman" w:cs="Times New Roman"/>
                    </w:rPr>
                  </w:pPr>
                  <w:r w:rsidRPr="000C0EE0">
                    <w:rPr>
                      <w:rFonts w:ascii="Times New Roman" w:hAnsi="Times New Roman" w:cs="Times New Roman"/>
                    </w:rPr>
                    <w:t>A</w:t>
                  </w:r>
                </w:p>
              </w:txbxContent>
            </v:textbox>
          </v:shape>
        </w:pict>
      </w:r>
      <w:r w:rsidR="00F14CA8" w:rsidRPr="000C10F2">
        <w:rPr>
          <w:rFonts w:ascii="Times New Roman" w:hAnsi="Times New Roman" w:cs="Times New Roman"/>
          <w:noProof/>
        </w:rPr>
        <w:drawing>
          <wp:inline distT="0" distB="0" distL="0" distR="0">
            <wp:extent cx="2632841" cy="2056768"/>
            <wp:effectExtent l="0" t="0" r="8890" b="635"/>
            <wp:docPr id="13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3" o:spid="_x0000_s1029" type="#_x0000_t202" style="position:absolute;left:0;text-align:left;margin-left:316.8pt;margin-top:12.7pt;width:30.05pt;height:24.4pt;z-index:25164339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r w:rsidR="00F14CA8" w:rsidRPr="005A0C66">
        <w:rPr>
          <w:rFonts w:ascii="Times New Roman" w:hAnsi="Times New Roman" w:cs="Times New Roman"/>
          <w:noProof/>
        </w:rPr>
        <w:drawing>
          <wp:inline distT="0" distB="0" distL="0" distR="0">
            <wp:extent cx="2647790" cy="2087215"/>
            <wp:effectExtent l="0" t="0" r="0" b="0"/>
            <wp:docPr id="13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4" o:spid="_x0000_s1030" type="#_x0000_t202" style="position:absolute;left:0;text-align:left;margin-left:324.45pt;margin-top:10.85pt;width:24.7pt;height:17.3pt;z-index:25164441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5A0C66">
        <w:rPr>
          <w:rFonts w:ascii="Times New Roman" w:hAnsi="Times New Roman" w:cs="Times New Roman"/>
          <w:noProof/>
        </w:rPr>
        <w:drawing>
          <wp:inline distT="0" distB="0" distL="0" distR="0">
            <wp:extent cx="2647790" cy="2095984"/>
            <wp:effectExtent l="0" t="0" r="0" b="0"/>
            <wp:docPr id="13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0C548C" w:rsidRDefault="000C548C" w:rsidP="000C548C">
      <w:pPr>
        <w:rPr>
          <w:rFonts w:ascii="Times New Roman" w:hAnsi="Times New Roman" w:cs="Times New Roman"/>
          <w:b/>
        </w:rPr>
      </w:pPr>
      <w:r w:rsidRPr="00493242">
        <w:rPr>
          <w:rFonts w:ascii="Times New Roman" w:hAnsi="Times New Roman" w:cs="Times New Roman"/>
          <w:b/>
        </w:rPr>
        <w:t xml:space="preserve">Fig. 1: </w:t>
      </w:r>
      <w:r>
        <w:rPr>
          <w:rFonts w:ascii="Times New Roman" w:hAnsi="Times New Roman" w:cs="Times New Roman"/>
          <w:b/>
        </w:rPr>
        <w:t>Effect of treatment on</w:t>
      </w:r>
      <w:r w:rsidRPr="00493242">
        <w:rPr>
          <w:rFonts w:ascii="Times New Roman" w:hAnsi="Times New Roman" w:cs="Times New Roman"/>
          <w:b/>
        </w:rPr>
        <w:t xml:space="preserve"> L* value during storage at 51°</w:t>
      </w:r>
      <w:r>
        <w:rPr>
          <w:rFonts w:ascii="Times New Roman" w:hAnsi="Times New Roman" w:cs="Times New Roman"/>
          <w:b/>
        </w:rPr>
        <w:t xml:space="preserve">C. 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 C: Pouches made of canned peaches</w:t>
      </w:r>
    </w:p>
    <w:p w:rsidR="000C548C" w:rsidRDefault="000C548C" w:rsidP="00F14CA8">
      <w:pPr>
        <w:jc w:val="both"/>
        <w:rPr>
          <w:rFonts w:ascii="Times New Roman" w:hAnsi="Times New Roman" w:cs="Times New Roman"/>
          <w:b/>
        </w:rPr>
      </w:pPr>
    </w:p>
    <w:p w:rsidR="00F14CA8" w:rsidRDefault="00D50EC7" w:rsidP="00F14CA8">
      <w:pPr>
        <w:jc w:val="center"/>
        <w:rPr>
          <w:rFonts w:ascii="Times New Roman" w:hAnsi="Times New Roman" w:cs="Times New Roman"/>
        </w:rPr>
      </w:pPr>
      <w:r>
        <w:rPr>
          <w:rFonts w:ascii="Times New Roman" w:hAnsi="Times New Roman" w:cs="Times New Roman"/>
          <w:noProof/>
        </w:rPr>
        <w:lastRenderedPageBreak/>
        <w:pict>
          <v:shape id="Text Box 5" o:spid="_x0000_s1031" type="#_x0000_t202" style="position:absolute;left:0;text-align:left;margin-left:315.95pt;margin-top:6.65pt;width:24.7pt;height:17.3pt;z-index:25164544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" strokecolor="white [3212]">
            <v:textbox style="mso-next-textbox:#Text Box 5">
              <w:txbxContent>
                <w:p w:rsidR="00CC7D02" w:rsidRPr="000C0EE0" w:rsidRDefault="00CC7D02" w:rsidP="00F14CA8">
                  <w:pPr>
                    <w:rPr>
                      <w:rFonts w:ascii="Times New Roman" w:hAnsi="Times New Roman" w:cs="Times New Roman"/>
                    </w:rPr>
                  </w:pPr>
                  <w:r w:rsidRPr="000C0EE0">
                    <w:rPr>
                      <w:rFonts w:ascii="Times New Roman" w:hAnsi="Times New Roman" w:cs="Times New Roman"/>
                    </w:rPr>
                    <w:t>A</w:t>
                  </w:r>
                </w:p>
              </w:txbxContent>
            </v:textbox>
          </v:shape>
        </w:pict>
      </w:r>
      <w:r w:rsidR="00F14CA8" w:rsidRPr="00BA553A">
        <w:rPr>
          <w:rFonts w:ascii="Times New Roman" w:hAnsi="Times New Roman" w:cs="Times New Roman"/>
          <w:noProof/>
        </w:rPr>
        <w:drawing>
          <wp:inline distT="0" distB="0" distL="0" distR="0">
            <wp:extent cx="2713219" cy="2068643"/>
            <wp:effectExtent l="0" t="0" r="0" b="0"/>
            <wp:docPr id="13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6" o:spid="_x0000_s1032" type="#_x0000_t202" style="position:absolute;left:0;text-align:left;margin-left:317.95pt;margin-top:14.45pt;width:30.05pt;height:24.4pt;z-index:251646464;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r w:rsidR="00F14CA8" w:rsidRPr="00BA553A">
        <w:rPr>
          <w:rFonts w:ascii="Times New Roman" w:hAnsi="Times New Roman" w:cs="Times New Roman"/>
          <w:noProof/>
        </w:rPr>
        <w:drawing>
          <wp:inline distT="0" distB="0" distL="0" distR="0">
            <wp:extent cx="2705100" cy="2056840"/>
            <wp:effectExtent l="0" t="0" r="0" b="0"/>
            <wp:docPr id="13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7" o:spid="_x0000_s1033" type="#_x0000_t202" style="position:absolute;left:0;text-align:left;margin-left:320.5pt;margin-top:12.4pt;width:24.7pt;height:17.3pt;z-index:25164748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17586F">
        <w:rPr>
          <w:rFonts w:ascii="Times New Roman" w:hAnsi="Times New Roman" w:cs="Times New Roman"/>
          <w:noProof/>
        </w:rPr>
        <w:drawing>
          <wp:inline distT="0" distB="0" distL="0" distR="0">
            <wp:extent cx="2908092" cy="2053652"/>
            <wp:effectExtent l="0" t="0" r="0" b="0"/>
            <wp:docPr id="161"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F14CA8" w:rsidRDefault="00F14CA8" w:rsidP="00F14CA8">
      <w:pPr>
        <w:jc w:val="center"/>
        <w:rPr>
          <w:rFonts w:ascii="Times New Roman" w:hAnsi="Times New Roman" w:cs="Times New Roman"/>
        </w:rPr>
      </w:pPr>
    </w:p>
    <w:p w:rsidR="000C548C" w:rsidRDefault="000C548C" w:rsidP="000C548C">
      <w:pPr>
        <w:jc w:val="both"/>
        <w:rPr>
          <w:rFonts w:ascii="Times New Roman" w:hAnsi="Times New Roman" w:cs="Times New Roman"/>
          <w:b/>
        </w:rPr>
      </w:pPr>
      <w:r w:rsidRPr="00493242">
        <w:rPr>
          <w:rFonts w:ascii="Times New Roman" w:hAnsi="Times New Roman" w:cs="Times New Roman"/>
          <w:b/>
        </w:rPr>
        <w:t>Fig.</w:t>
      </w:r>
      <w:r>
        <w:rPr>
          <w:rFonts w:ascii="Times New Roman" w:hAnsi="Times New Roman" w:cs="Times New Roman"/>
          <w:b/>
        </w:rPr>
        <w:t xml:space="preserve"> 2</w:t>
      </w:r>
      <w:r w:rsidRPr="00493242">
        <w:rPr>
          <w:rFonts w:ascii="Times New Roman" w:hAnsi="Times New Roman" w:cs="Times New Roman"/>
          <w:b/>
        </w:rPr>
        <w:t xml:space="preserve">: </w:t>
      </w:r>
      <w:r>
        <w:rPr>
          <w:rFonts w:ascii="Times New Roman" w:hAnsi="Times New Roman" w:cs="Times New Roman"/>
          <w:b/>
        </w:rPr>
        <w:t>Effect of treatment on</w:t>
      </w:r>
      <w:r w:rsidRPr="00493242">
        <w:rPr>
          <w:rFonts w:ascii="Times New Roman" w:hAnsi="Times New Roman" w:cs="Times New Roman"/>
          <w:b/>
        </w:rPr>
        <w:t xml:space="preserve"> L* value during storage at 40°C</w:t>
      </w:r>
      <w:r>
        <w:rPr>
          <w:rFonts w:ascii="Times New Roman" w:hAnsi="Times New Roman" w:cs="Times New Roman"/>
          <w:b/>
        </w:rPr>
        <w:t xml:space="preserve">. 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 C: Pouches made of canned peaches</w:t>
      </w:r>
    </w:p>
    <w:p w:rsidR="000C548C" w:rsidRDefault="000C548C" w:rsidP="00F14CA8">
      <w:pPr>
        <w:jc w:val="both"/>
        <w:rPr>
          <w:rFonts w:ascii="Times New Roman" w:hAnsi="Times New Roman" w:cs="Times New Roman"/>
          <w:b/>
        </w:rPr>
      </w:pPr>
    </w:p>
    <w:p w:rsidR="00F14CA8" w:rsidRDefault="00D50EC7" w:rsidP="00F14CA8">
      <w:pPr>
        <w:jc w:val="center"/>
        <w:rPr>
          <w:rFonts w:ascii="Times New Roman" w:hAnsi="Times New Roman" w:cs="Times New Roman"/>
        </w:rPr>
      </w:pPr>
      <w:r>
        <w:rPr>
          <w:rFonts w:ascii="Times New Roman" w:hAnsi="Times New Roman" w:cs="Times New Roman"/>
          <w:noProof/>
        </w:rPr>
        <w:lastRenderedPageBreak/>
        <w:pict>
          <v:shape id="_x0000_s1058" type="#_x0000_t202" style="position:absolute;left:0;text-align:left;margin-left:321.15pt;margin-top:14.3pt;width:24.7pt;height:17.3pt;z-index:25167308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" strokecolor="white [3212]">
            <v:textbox style="mso-next-textbox:#_x0000_s1058">
              <w:txbxContent>
                <w:p w:rsidR="00CC7D02" w:rsidRPr="000C0EE0" w:rsidRDefault="00CC7D02" w:rsidP="0092485D">
                  <w:pPr>
                    <w:rPr>
                      <w:rFonts w:ascii="Times New Roman" w:hAnsi="Times New Roman" w:cs="Times New Roman"/>
                    </w:rPr>
                  </w:pPr>
                  <w:r w:rsidRPr="000C0EE0">
                    <w:rPr>
                      <w:rFonts w:ascii="Times New Roman" w:hAnsi="Times New Roman" w:cs="Times New Roman"/>
                    </w:rPr>
                    <w:t>A</w:t>
                  </w:r>
                </w:p>
              </w:txbxContent>
            </v:textbox>
          </v:shape>
        </w:pict>
      </w:r>
      <w:r w:rsidR="00F14CA8" w:rsidRPr="0044329E">
        <w:rPr>
          <w:rFonts w:ascii="Times New Roman" w:hAnsi="Times New Roman" w:cs="Times New Roman"/>
          <w:noProof/>
        </w:rPr>
        <w:drawing>
          <wp:inline distT="0" distB="0" distL="0" distR="0">
            <wp:extent cx="2632841" cy="2170776"/>
            <wp:effectExtent l="0" t="0" r="0" b="0"/>
            <wp:docPr id="13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16" o:spid="_x0000_s1040" type="#_x0000_t202" style="position:absolute;left:0;text-align:left;margin-left:319.8pt;margin-top:21.15pt;width:30.05pt;height:24.4pt;z-index:25164851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p>
    <w:p w:rsidR="00F14CA8" w:rsidRDefault="00F14CA8" w:rsidP="00F14CA8">
      <w:pPr>
        <w:jc w:val="center"/>
        <w:rPr>
          <w:rFonts w:ascii="Times New Roman" w:hAnsi="Times New Roman" w:cs="Times New Roman"/>
        </w:rPr>
      </w:pPr>
      <w:r w:rsidRPr="0044329E">
        <w:rPr>
          <w:rFonts w:ascii="Times New Roman" w:hAnsi="Times New Roman" w:cs="Times New Roman"/>
          <w:noProof/>
        </w:rPr>
        <w:drawing>
          <wp:inline distT="0" distB="0" distL="0" distR="0">
            <wp:extent cx="2767851" cy="2135738"/>
            <wp:effectExtent l="0" t="0" r="0" b="0"/>
            <wp:docPr id="13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4" o:spid="_x0000_s1048" type="#_x0000_t202" style="position:absolute;left:0;text-align:left;margin-left:322.25pt;margin-top:5.5pt;width:24.7pt;height:17.3pt;z-index:25164953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44329E">
        <w:rPr>
          <w:rFonts w:ascii="Times New Roman" w:hAnsi="Times New Roman" w:cs="Times New Roman"/>
          <w:noProof/>
        </w:rPr>
        <w:drawing>
          <wp:inline distT="0" distB="0" distL="0" distR="0">
            <wp:extent cx="2767851" cy="2048038"/>
            <wp:effectExtent l="0" t="0" r="0" b="0"/>
            <wp:docPr id="13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0C548C" w:rsidRDefault="000C548C" w:rsidP="000C548C">
      <w:pPr>
        <w:jc w:val="both"/>
        <w:rPr>
          <w:rFonts w:ascii="Times New Roman" w:hAnsi="Times New Roman" w:cs="Times New Roman"/>
          <w:noProof/>
        </w:rPr>
      </w:pPr>
      <w:r w:rsidRPr="00493242">
        <w:rPr>
          <w:rFonts w:ascii="Times New Roman" w:hAnsi="Times New Roman" w:cs="Times New Roman"/>
          <w:b/>
        </w:rPr>
        <w:t xml:space="preserve">Fig. </w:t>
      </w:r>
      <w:r>
        <w:rPr>
          <w:rFonts w:ascii="Times New Roman" w:hAnsi="Times New Roman" w:cs="Times New Roman"/>
          <w:b/>
        </w:rPr>
        <w:t>3</w:t>
      </w:r>
      <w:r w:rsidRPr="00493242">
        <w:rPr>
          <w:rFonts w:ascii="Times New Roman" w:hAnsi="Times New Roman" w:cs="Times New Roman"/>
          <w:b/>
        </w:rPr>
        <w:t xml:space="preserve">: </w:t>
      </w:r>
      <w:r>
        <w:rPr>
          <w:rFonts w:ascii="Times New Roman" w:hAnsi="Times New Roman" w:cs="Times New Roman"/>
          <w:b/>
        </w:rPr>
        <w:t>Effect of treatment on</w:t>
      </w:r>
      <w:r w:rsidRPr="00493242">
        <w:rPr>
          <w:rFonts w:ascii="Times New Roman" w:hAnsi="Times New Roman" w:cs="Times New Roman"/>
          <w:b/>
        </w:rPr>
        <w:t xml:space="preserve"> a* value during storage at 51°C </w:t>
      </w:r>
      <w:r>
        <w:rPr>
          <w:rFonts w:ascii="Times New Roman" w:hAnsi="Times New Roman" w:cs="Times New Roman"/>
          <w:b/>
        </w:rPr>
        <w:t xml:space="preserve">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 C: Pouches made of canned peaches</w:t>
      </w:r>
      <w:r w:rsidRPr="0044329E">
        <w:rPr>
          <w:rFonts w:ascii="Times New Roman" w:hAnsi="Times New Roman" w:cs="Times New Roman"/>
          <w:noProof/>
        </w:rPr>
        <w:t xml:space="preserve"> </w:t>
      </w:r>
    </w:p>
    <w:p w:rsidR="000C548C" w:rsidRDefault="000C548C" w:rsidP="00F14CA8">
      <w:pPr>
        <w:jc w:val="both"/>
        <w:rPr>
          <w:rFonts w:ascii="Times New Roman" w:hAnsi="Times New Roman" w:cs="Times New Roman"/>
          <w:b/>
        </w:rPr>
      </w:pPr>
    </w:p>
    <w:p w:rsidR="00F14CA8" w:rsidRDefault="00D50EC7" w:rsidP="00F14CA8">
      <w:pPr>
        <w:jc w:val="center"/>
        <w:rPr>
          <w:rFonts w:ascii="Times New Roman" w:hAnsi="Times New Roman" w:cs="Times New Roman"/>
        </w:rPr>
      </w:pPr>
      <w:r>
        <w:rPr>
          <w:rFonts w:ascii="Times New Roman" w:hAnsi="Times New Roman" w:cs="Times New Roman"/>
          <w:noProof/>
        </w:rPr>
        <w:lastRenderedPageBreak/>
        <w:pict>
          <v:shape id="Text Box 9" o:spid="_x0000_s1035" type="#_x0000_t202" style="position:absolute;left:0;text-align:left;margin-left:335.15pt;margin-top:12.4pt;width:24.7pt;height:17.3pt;z-index:25165056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" strokecolor="white [3212]">
            <v:textbox>
              <w:txbxContent>
                <w:p w:rsidR="00CC7D02" w:rsidRPr="000C0EE0" w:rsidRDefault="00CC7D02" w:rsidP="00F14CA8">
                  <w:pPr>
                    <w:rPr>
                      <w:rFonts w:ascii="Times New Roman" w:hAnsi="Times New Roman" w:cs="Times New Roman"/>
                    </w:rPr>
                  </w:pPr>
                  <w:r w:rsidRPr="000C0EE0">
                    <w:rPr>
                      <w:rFonts w:ascii="Times New Roman" w:hAnsi="Times New Roman" w:cs="Times New Roman"/>
                    </w:rPr>
                    <w:t>A</w:t>
                  </w:r>
                </w:p>
              </w:txbxContent>
            </v:textbox>
          </v:shape>
        </w:pict>
      </w:r>
      <w:r w:rsidR="00F14CA8" w:rsidRPr="00F26A4B">
        <w:rPr>
          <w:rFonts w:ascii="Times New Roman" w:hAnsi="Times New Roman" w:cs="Times New Roman"/>
          <w:noProof/>
        </w:rPr>
        <w:drawing>
          <wp:inline distT="0" distB="0" distL="0" distR="0">
            <wp:extent cx="2724150" cy="2122714"/>
            <wp:effectExtent l="0" t="0" r="0" b="0"/>
            <wp:docPr id="13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17" o:spid="_x0000_s1041" type="#_x0000_t202" style="position:absolute;left:0;text-align:left;margin-left:335.15pt;margin-top:4.9pt;width:30.05pt;height:24.4pt;z-index:251651584;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r w:rsidR="00F14CA8" w:rsidRPr="00F26A4B">
        <w:rPr>
          <w:rFonts w:ascii="Times New Roman" w:hAnsi="Times New Roman" w:cs="Times New Roman"/>
          <w:noProof/>
        </w:rPr>
        <w:drawing>
          <wp:inline distT="0" distB="0" distL="0" distR="0">
            <wp:extent cx="3042139" cy="2074985"/>
            <wp:effectExtent l="0" t="0" r="0" b="0"/>
            <wp:docPr id="13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5" o:spid="_x0000_s1049" type="#_x0000_t202" style="position:absolute;left:0;text-align:left;margin-left:336.85pt;margin-top:8.6pt;width:24.7pt;height:17.3pt;z-index:25165260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17586F">
        <w:rPr>
          <w:rFonts w:ascii="Times New Roman" w:hAnsi="Times New Roman" w:cs="Times New Roman"/>
          <w:noProof/>
        </w:rPr>
        <w:drawing>
          <wp:inline distT="0" distB="0" distL="0" distR="0">
            <wp:extent cx="3042138" cy="2162908"/>
            <wp:effectExtent l="0" t="0" r="0" b="0"/>
            <wp:docPr id="162"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0C548C" w:rsidRDefault="000C548C" w:rsidP="000C548C">
      <w:pPr>
        <w:jc w:val="both"/>
        <w:rPr>
          <w:rFonts w:ascii="Times New Roman" w:hAnsi="Times New Roman" w:cs="Times New Roman"/>
          <w:noProof/>
        </w:rPr>
      </w:pPr>
      <w:r w:rsidRPr="00493242">
        <w:rPr>
          <w:rFonts w:ascii="Times New Roman" w:hAnsi="Times New Roman" w:cs="Times New Roman"/>
          <w:b/>
        </w:rPr>
        <w:t xml:space="preserve">Fig. </w:t>
      </w:r>
      <w:r>
        <w:rPr>
          <w:rFonts w:ascii="Times New Roman" w:hAnsi="Times New Roman" w:cs="Times New Roman"/>
          <w:b/>
        </w:rPr>
        <w:t>4</w:t>
      </w:r>
      <w:r w:rsidRPr="00493242">
        <w:rPr>
          <w:rFonts w:ascii="Times New Roman" w:hAnsi="Times New Roman" w:cs="Times New Roman"/>
          <w:b/>
        </w:rPr>
        <w:t xml:space="preserve">: </w:t>
      </w:r>
      <w:r>
        <w:rPr>
          <w:rFonts w:ascii="Times New Roman" w:hAnsi="Times New Roman" w:cs="Times New Roman"/>
          <w:b/>
        </w:rPr>
        <w:t xml:space="preserve">Effect of treatment on </w:t>
      </w:r>
      <w:r w:rsidRPr="00493242">
        <w:rPr>
          <w:rFonts w:ascii="Times New Roman" w:hAnsi="Times New Roman" w:cs="Times New Roman"/>
          <w:b/>
        </w:rPr>
        <w:t xml:space="preserve">a* value during storage at </w:t>
      </w:r>
      <w:r>
        <w:rPr>
          <w:rFonts w:ascii="Times New Roman" w:hAnsi="Times New Roman" w:cs="Times New Roman"/>
          <w:b/>
        </w:rPr>
        <w:t>40</w:t>
      </w:r>
      <w:r w:rsidRPr="00493242">
        <w:rPr>
          <w:rFonts w:ascii="Times New Roman" w:hAnsi="Times New Roman" w:cs="Times New Roman"/>
          <w:b/>
        </w:rPr>
        <w:t xml:space="preserve">°C </w:t>
      </w:r>
      <w:r>
        <w:rPr>
          <w:rFonts w:ascii="Times New Roman" w:hAnsi="Times New Roman" w:cs="Times New Roman"/>
          <w:b/>
        </w:rPr>
        <w:t xml:space="preserve">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 C: Pouches made of canned peaches</w:t>
      </w:r>
      <w:r w:rsidRPr="0044329E">
        <w:rPr>
          <w:rFonts w:ascii="Times New Roman" w:hAnsi="Times New Roman" w:cs="Times New Roman"/>
          <w:noProof/>
        </w:rPr>
        <w:t xml:space="preserve"> </w:t>
      </w:r>
    </w:p>
    <w:p w:rsidR="000C548C" w:rsidRDefault="000C548C" w:rsidP="00F14CA8">
      <w:pPr>
        <w:jc w:val="both"/>
        <w:rPr>
          <w:rFonts w:ascii="Times New Roman" w:hAnsi="Times New Roman" w:cs="Times New Roman"/>
          <w:b/>
        </w:rPr>
      </w:pPr>
    </w:p>
    <w:p w:rsidR="00F14CA8" w:rsidRDefault="00D50EC7" w:rsidP="00F14CA8">
      <w:pPr>
        <w:jc w:val="center"/>
        <w:rPr>
          <w:rFonts w:ascii="Times New Roman" w:hAnsi="Times New Roman" w:cs="Times New Roman"/>
        </w:rPr>
      </w:pPr>
      <w:r w:rsidRPr="00D50EC7">
        <w:rPr>
          <w:rFonts w:ascii="Times New Roman" w:hAnsi="Times New Roman" w:cs="Times New Roman"/>
          <w:b/>
          <w:noProof/>
        </w:rPr>
        <w:lastRenderedPageBreak/>
        <w:pict>
          <v:shape id="Text Box 10" o:spid="_x0000_s1026" type="#_x0000_t202" style="position:absolute;left:0;text-align:left;margin-left:332.2pt;margin-top:11.05pt;width:24.7pt;height:26.7pt;z-index:25165363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" strokecolor="white [3212]">
            <v:textbox>
              <w:txbxContent>
                <w:p w:rsidR="00CC7D02" w:rsidRPr="000C0EE0" w:rsidRDefault="00CC7D02" w:rsidP="00F14CA8">
                  <w:pPr>
                    <w:rPr>
                      <w:rFonts w:ascii="Times New Roman" w:hAnsi="Times New Roman" w:cs="Times New Roman"/>
                    </w:rPr>
                  </w:pPr>
                  <w:r w:rsidRPr="000C0EE0">
                    <w:rPr>
                      <w:rFonts w:ascii="Times New Roman" w:hAnsi="Times New Roman" w:cs="Times New Roman"/>
                    </w:rPr>
                    <w:t>A</w:t>
                  </w:r>
                </w:p>
              </w:txbxContent>
            </v:textbox>
          </v:shape>
        </w:pict>
      </w:r>
      <w:r w:rsidR="00F14CA8" w:rsidRPr="0044329E">
        <w:rPr>
          <w:rFonts w:ascii="Times New Roman" w:hAnsi="Times New Roman" w:cs="Times New Roman"/>
          <w:noProof/>
        </w:rPr>
        <w:drawing>
          <wp:inline distT="0" distB="0" distL="0" distR="0">
            <wp:extent cx="2644588" cy="2164685"/>
            <wp:effectExtent l="0" t="0" r="0" b="0"/>
            <wp:docPr id="14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18" o:spid="_x0000_s1042" type="#_x0000_t202" style="position:absolute;left:0;text-align:left;margin-left:334.75pt;margin-top:20.2pt;width:30.05pt;height:24.4pt;z-index:25165465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r w:rsidR="00F14CA8" w:rsidRPr="0044329E">
        <w:rPr>
          <w:rFonts w:ascii="Times New Roman" w:hAnsi="Times New Roman" w:cs="Times New Roman"/>
          <w:noProof/>
        </w:rPr>
        <w:drawing>
          <wp:inline distT="0" distB="0" distL="0" distR="0">
            <wp:extent cx="2632580" cy="2063376"/>
            <wp:effectExtent l="0" t="0" r="0" b="0"/>
            <wp:docPr id="14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6" o:spid="_x0000_s1050" type="#_x0000_t202" style="position:absolute;left:0;text-align:left;margin-left:336.2pt;margin-top:17.65pt;width:24.7pt;height:17.3pt;z-index:25165568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44329E">
        <w:rPr>
          <w:rFonts w:ascii="Times New Roman" w:hAnsi="Times New Roman" w:cs="Times New Roman"/>
          <w:noProof/>
        </w:rPr>
        <w:drawing>
          <wp:inline distT="0" distB="0" distL="0" distR="0">
            <wp:extent cx="2632580" cy="2063376"/>
            <wp:effectExtent l="0" t="0" r="0" b="0"/>
            <wp:docPr id="14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0C548C" w:rsidRDefault="000C548C" w:rsidP="000C548C">
      <w:pPr>
        <w:jc w:val="both"/>
        <w:rPr>
          <w:rFonts w:ascii="Times New Roman" w:hAnsi="Times New Roman" w:cs="Times New Roman"/>
          <w:noProof/>
        </w:rPr>
      </w:pPr>
      <w:r w:rsidRPr="00493242">
        <w:rPr>
          <w:rFonts w:ascii="Times New Roman" w:hAnsi="Times New Roman" w:cs="Times New Roman"/>
          <w:b/>
        </w:rPr>
        <w:t xml:space="preserve">Fig. </w:t>
      </w:r>
      <w:r>
        <w:rPr>
          <w:rFonts w:ascii="Times New Roman" w:hAnsi="Times New Roman" w:cs="Times New Roman"/>
          <w:b/>
        </w:rPr>
        <w:t>5</w:t>
      </w:r>
      <w:r w:rsidRPr="00493242">
        <w:rPr>
          <w:rFonts w:ascii="Times New Roman" w:hAnsi="Times New Roman" w:cs="Times New Roman"/>
          <w:b/>
        </w:rPr>
        <w:t xml:space="preserve">: </w:t>
      </w:r>
      <w:r>
        <w:rPr>
          <w:rFonts w:ascii="Times New Roman" w:hAnsi="Times New Roman" w:cs="Times New Roman"/>
          <w:b/>
        </w:rPr>
        <w:t>Effect of treatment on</w:t>
      </w:r>
      <w:r w:rsidRPr="00493242">
        <w:rPr>
          <w:rFonts w:ascii="Times New Roman" w:hAnsi="Times New Roman" w:cs="Times New Roman"/>
          <w:b/>
        </w:rPr>
        <w:t xml:space="preserve"> b* value during </w:t>
      </w:r>
      <w:r>
        <w:rPr>
          <w:rFonts w:ascii="Times New Roman" w:hAnsi="Times New Roman" w:cs="Times New Roman"/>
          <w:b/>
        </w:rPr>
        <w:t xml:space="preserve">storage at 51°C. 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 C: Pouches made of canned peaches</w:t>
      </w:r>
      <w:r w:rsidRPr="0044329E">
        <w:rPr>
          <w:rFonts w:ascii="Times New Roman" w:hAnsi="Times New Roman" w:cs="Times New Roman"/>
          <w:noProof/>
        </w:rPr>
        <w:t xml:space="preserve"> </w:t>
      </w:r>
    </w:p>
    <w:p w:rsidR="000C548C" w:rsidRDefault="000C548C" w:rsidP="00F14CA8">
      <w:pPr>
        <w:jc w:val="both"/>
        <w:rPr>
          <w:rFonts w:ascii="Times New Roman" w:hAnsi="Times New Roman" w:cs="Times New Roman"/>
          <w:b/>
        </w:rPr>
      </w:pPr>
    </w:p>
    <w:p w:rsidR="00F14CA8" w:rsidRDefault="00D50EC7" w:rsidP="00F14CA8">
      <w:pPr>
        <w:jc w:val="center"/>
        <w:rPr>
          <w:rFonts w:ascii="Times New Roman" w:hAnsi="Times New Roman" w:cs="Times New Roman"/>
        </w:rPr>
      </w:pPr>
      <w:r>
        <w:rPr>
          <w:rFonts w:ascii="Times New Roman" w:hAnsi="Times New Roman" w:cs="Times New Roman"/>
          <w:noProof/>
        </w:rPr>
        <w:lastRenderedPageBreak/>
        <w:pict>
          <v:shape id="Text Box 11" o:spid="_x0000_s1027" type="#_x0000_t202" style="position:absolute;left:0;text-align:left;margin-left:333.8pt;margin-top:12.5pt;width:24.7pt;height:17.3pt;z-index:251656704;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" strokecolor="white [3212]">
            <v:textbox>
              <w:txbxContent>
                <w:p w:rsidR="00CC7D02" w:rsidRPr="000C0EE0" w:rsidRDefault="00CC7D02" w:rsidP="00F14CA8">
                  <w:pPr>
                    <w:rPr>
                      <w:rFonts w:ascii="Times New Roman" w:hAnsi="Times New Roman" w:cs="Times New Roman"/>
                    </w:rPr>
                  </w:pPr>
                  <w:r w:rsidRPr="000C0EE0">
                    <w:rPr>
                      <w:rFonts w:ascii="Times New Roman" w:hAnsi="Times New Roman" w:cs="Times New Roman"/>
                    </w:rPr>
                    <w:t>A</w:t>
                  </w:r>
                </w:p>
              </w:txbxContent>
            </v:textbox>
          </v:shape>
        </w:pict>
      </w:r>
      <w:r w:rsidR="00F14CA8" w:rsidRPr="00527A01">
        <w:rPr>
          <w:rFonts w:ascii="Times New Roman" w:hAnsi="Times New Roman" w:cs="Times New Roman"/>
          <w:noProof/>
        </w:rPr>
        <w:drawing>
          <wp:inline distT="0" distB="0" distL="0" distR="0">
            <wp:extent cx="2705100" cy="2075090"/>
            <wp:effectExtent l="0" t="0" r="0" b="0"/>
            <wp:docPr id="14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19" o:spid="_x0000_s1043" type="#_x0000_t202" style="position:absolute;left:0;text-align:left;margin-left:334.95pt;margin-top:10.4pt;width:30.05pt;height:24.4pt;z-index:25165772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r w:rsidR="00F14CA8" w:rsidRPr="00527A01">
        <w:rPr>
          <w:rFonts w:ascii="Times New Roman" w:hAnsi="Times New Roman" w:cs="Times New Roman"/>
          <w:noProof/>
        </w:rPr>
        <w:drawing>
          <wp:inline distT="0" distB="0" distL="0" distR="0">
            <wp:extent cx="3069265" cy="1835888"/>
            <wp:effectExtent l="0" t="0" r="0" b="0"/>
            <wp:docPr id="144"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F14CA8" w:rsidRDefault="00F14CA8" w:rsidP="00F14CA8">
      <w:pPr>
        <w:jc w:val="center"/>
        <w:rPr>
          <w:rFonts w:ascii="Times New Roman" w:hAnsi="Times New Roman" w:cs="Times New Roman"/>
        </w:rPr>
      </w:pPr>
    </w:p>
    <w:p w:rsidR="00F14CA8" w:rsidRDefault="00F14CA8" w:rsidP="00F14CA8">
      <w:pP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7" o:spid="_x0000_s1051" type="#_x0000_t202" style="position:absolute;left:0;text-align:left;margin-left:337.5pt;margin-top:22.55pt;width:24.7pt;height:17.3pt;z-index:25165875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17586F">
        <w:rPr>
          <w:rFonts w:ascii="Times New Roman" w:hAnsi="Times New Roman" w:cs="Times New Roman"/>
          <w:noProof/>
        </w:rPr>
        <w:drawing>
          <wp:inline distT="0" distB="0" distL="0" distR="0">
            <wp:extent cx="3217985" cy="2162908"/>
            <wp:effectExtent l="0" t="0" r="0" b="0"/>
            <wp:docPr id="163"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0C548C" w:rsidRDefault="000C548C" w:rsidP="000C548C">
      <w:pPr>
        <w:jc w:val="both"/>
        <w:rPr>
          <w:rFonts w:ascii="Times New Roman" w:hAnsi="Times New Roman" w:cs="Times New Roman"/>
          <w:noProof/>
        </w:rPr>
      </w:pPr>
      <w:r w:rsidRPr="00493242">
        <w:rPr>
          <w:rFonts w:ascii="Times New Roman" w:hAnsi="Times New Roman" w:cs="Times New Roman"/>
          <w:b/>
        </w:rPr>
        <w:t xml:space="preserve">Fig. </w:t>
      </w:r>
      <w:r>
        <w:rPr>
          <w:rFonts w:ascii="Times New Roman" w:hAnsi="Times New Roman" w:cs="Times New Roman"/>
          <w:b/>
        </w:rPr>
        <w:t>6</w:t>
      </w:r>
      <w:r w:rsidRPr="00493242">
        <w:rPr>
          <w:rFonts w:ascii="Times New Roman" w:hAnsi="Times New Roman" w:cs="Times New Roman"/>
          <w:b/>
        </w:rPr>
        <w:t xml:space="preserve">: </w:t>
      </w:r>
      <w:r>
        <w:rPr>
          <w:rFonts w:ascii="Times New Roman" w:hAnsi="Times New Roman" w:cs="Times New Roman"/>
          <w:b/>
        </w:rPr>
        <w:t>Effect of treatment on</w:t>
      </w:r>
      <w:r w:rsidRPr="00493242">
        <w:rPr>
          <w:rFonts w:ascii="Times New Roman" w:hAnsi="Times New Roman" w:cs="Times New Roman"/>
          <w:b/>
        </w:rPr>
        <w:t xml:space="preserve"> b* value during </w:t>
      </w:r>
      <w:r>
        <w:rPr>
          <w:rFonts w:ascii="Times New Roman" w:hAnsi="Times New Roman" w:cs="Times New Roman"/>
          <w:b/>
        </w:rPr>
        <w:t xml:space="preserve">storage at 40°C. 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 C: Pouches made of canned peaches</w:t>
      </w:r>
      <w:r w:rsidRPr="0044329E">
        <w:rPr>
          <w:rFonts w:ascii="Times New Roman" w:hAnsi="Times New Roman" w:cs="Times New Roman"/>
          <w:noProof/>
        </w:rPr>
        <w:t xml:space="preserve"> </w:t>
      </w:r>
    </w:p>
    <w:p w:rsidR="000C548C" w:rsidRDefault="000C548C" w:rsidP="00F14CA8">
      <w:pPr>
        <w:jc w:val="both"/>
        <w:rPr>
          <w:rFonts w:ascii="Times New Roman" w:hAnsi="Times New Roman" w:cs="Times New Roman"/>
          <w:b/>
        </w:rPr>
      </w:pPr>
    </w:p>
    <w:p w:rsidR="00F14CA8" w:rsidRDefault="00D50EC7" w:rsidP="00F14CA8">
      <w:pPr>
        <w:jc w:val="center"/>
        <w:rPr>
          <w:rFonts w:ascii="Times New Roman" w:hAnsi="Times New Roman" w:cs="Times New Roman"/>
        </w:rPr>
      </w:pPr>
      <w:r>
        <w:rPr>
          <w:rFonts w:ascii="Times New Roman" w:hAnsi="Times New Roman" w:cs="Times New Roman"/>
          <w:noProof/>
        </w:rPr>
        <w:lastRenderedPageBreak/>
        <w:pict>
          <v:shape id="Text Box 12" o:spid="_x0000_s1036" type="#_x0000_t202" style="position:absolute;left:0;text-align:left;margin-left:333.9pt;margin-top:11.45pt;width:24.7pt;height:17.3pt;z-index:25165977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" strokecolor="white [3212]">
            <v:textbox>
              <w:txbxContent>
                <w:p w:rsidR="00CC7D02" w:rsidRPr="000C0EE0" w:rsidRDefault="00CC7D02" w:rsidP="00F14CA8">
                  <w:pPr>
                    <w:rPr>
                      <w:rFonts w:ascii="Times New Roman" w:hAnsi="Times New Roman" w:cs="Times New Roman"/>
                    </w:rPr>
                  </w:pPr>
                  <w:r w:rsidRPr="000C0EE0">
                    <w:rPr>
                      <w:rFonts w:ascii="Times New Roman" w:hAnsi="Times New Roman" w:cs="Times New Roman"/>
                    </w:rPr>
                    <w:t>A</w:t>
                  </w:r>
                </w:p>
              </w:txbxContent>
            </v:textbox>
          </v:shape>
        </w:pict>
      </w:r>
      <w:r w:rsidR="00F14CA8" w:rsidRPr="006A254C">
        <w:rPr>
          <w:rFonts w:ascii="Times New Roman" w:hAnsi="Times New Roman" w:cs="Times New Roman"/>
          <w:noProof/>
        </w:rPr>
        <w:drawing>
          <wp:inline distT="0" distB="0" distL="0" distR="0">
            <wp:extent cx="2669436" cy="2095012"/>
            <wp:effectExtent l="0" t="0" r="0" b="0"/>
            <wp:docPr id="174"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0" o:spid="_x0000_s1044" type="#_x0000_t202" style="position:absolute;left:0;text-align:left;margin-left:338.95pt;margin-top:11.6pt;width:30.05pt;height:24.4pt;z-index:25166080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r w:rsidR="00F14CA8" w:rsidRPr="0017586F">
        <w:rPr>
          <w:rFonts w:ascii="Times New Roman" w:hAnsi="Times New Roman" w:cs="Times New Roman"/>
          <w:noProof/>
        </w:rPr>
        <w:drawing>
          <wp:inline distT="0" distB="0" distL="0" distR="0">
            <wp:extent cx="2725615" cy="2022231"/>
            <wp:effectExtent l="0" t="0" r="0" b="0"/>
            <wp:docPr id="164"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963BCF" w:rsidRDefault="00963BCF"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8" o:spid="_x0000_s1052" type="#_x0000_t202" style="position:absolute;left:0;text-align:left;margin-left:339.7pt;margin-top:33.9pt;width:24.7pt;height:17.3pt;z-index:251661824;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17586F">
        <w:rPr>
          <w:rFonts w:ascii="Times New Roman" w:hAnsi="Times New Roman" w:cs="Times New Roman"/>
          <w:noProof/>
        </w:rPr>
        <w:drawing>
          <wp:inline distT="0" distB="0" distL="0" distR="0">
            <wp:extent cx="2628900" cy="2357438"/>
            <wp:effectExtent l="0" t="0" r="0" b="0"/>
            <wp:docPr id="165"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F14CA8" w:rsidRDefault="00F14CA8" w:rsidP="00F14CA8">
      <w:pPr>
        <w:rPr>
          <w:rFonts w:ascii="Times New Roman" w:hAnsi="Times New Roman" w:cs="Times New Roman"/>
        </w:rPr>
      </w:pPr>
    </w:p>
    <w:p w:rsidR="000C548C" w:rsidRDefault="000C548C" w:rsidP="000C548C">
      <w:pPr>
        <w:jc w:val="both"/>
        <w:rPr>
          <w:rFonts w:ascii="Times New Roman" w:hAnsi="Times New Roman" w:cs="Times New Roman"/>
          <w:b/>
        </w:rPr>
      </w:pPr>
      <w:r w:rsidRPr="00493242">
        <w:rPr>
          <w:rFonts w:ascii="Times New Roman" w:hAnsi="Times New Roman" w:cs="Times New Roman"/>
          <w:b/>
        </w:rPr>
        <w:t xml:space="preserve">Fig. </w:t>
      </w:r>
      <w:r>
        <w:rPr>
          <w:rFonts w:ascii="Times New Roman" w:hAnsi="Times New Roman" w:cs="Times New Roman"/>
          <w:b/>
        </w:rPr>
        <w:t>7</w:t>
      </w:r>
      <w:r w:rsidRPr="00493242">
        <w:rPr>
          <w:rFonts w:ascii="Times New Roman" w:hAnsi="Times New Roman" w:cs="Times New Roman"/>
          <w:b/>
        </w:rPr>
        <w:t xml:space="preserve">: </w:t>
      </w:r>
      <w:r>
        <w:rPr>
          <w:rFonts w:ascii="Times New Roman" w:hAnsi="Times New Roman" w:cs="Times New Roman"/>
          <w:b/>
        </w:rPr>
        <w:t>Effect of treatment on ∆E</w:t>
      </w:r>
      <w:r w:rsidRPr="00493242">
        <w:rPr>
          <w:rFonts w:ascii="Times New Roman" w:hAnsi="Times New Roman" w:cs="Times New Roman"/>
          <w:b/>
        </w:rPr>
        <w:t xml:space="preserve">* value during </w:t>
      </w:r>
      <w:r>
        <w:rPr>
          <w:rFonts w:ascii="Times New Roman" w:hAnsi="Times New Roman" w:cs="Times New Roman"/>
          <w:b/>
        </w:rPr>
        <w:t xml:space="preserve">storage at 51°C. 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w:t>
      </w:r>
      <w:r w:rsidRPr="0044329E">
        <w:rPr>
          <w:rFonts w:ascii="Times New Roman" w:hAnsi="Times New Roman" w:cs="Times New Roman"/>
          <w:noProof/>
        </w:rPr>
        <w:t xml:space="preserve"> </w:t>
      </w:r>
      <w:r>
        <w:rPr>
          <w:rFonts w:ascii="Times New Roman" w:hAnsi="Times New Roman" w:cs="Times New Roman"/>
          <w:b/>
        </w:rPr>
        <w:t>C: Pouches made of canned peaches</w:t>
      </w:r>
    </w:p>
    <w:p w:rsidR="00F14CA8" w:rsidRDefault="00F14CA8" w:rsidP="00F14CA8">
      <w:pP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lastRenderedPageBreak/>
        <w:pict>
          <v:shape id="Text Box 13" o:spid="_x0000_s1037" type="#_x0000_t202" style="position:absolute;left:0;text-align:left;margin-left:338.25pt;margin-top:24.3pt;width:24.7pt;height:17.3pt;z-index:25166284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" strokecolor="white [3212]">
            <v:textbox>
              <w:txbxContent>
                <w:p w:rsidR="00CC7D02" w:rsidRPr="000C0EE0" w:rsidRDefault="00CC7D02" w:rsidP="00F14CA8">
                  <w:pPr>
                    <w:rPr>
                      <w:rFonts w:ascii="Times New Roman" w:hAnsi="Times New Roman" w:cs="Times New Roman"/>
                    </w:rPr>
                  </w:pPr>
                  <w:r w:rsidRPr="000C0EE0">
                    <w:rPr>
                      <w:rFonts w:ascii="Times New Roman" w:hAnsi="Times New Roman" w:cs="Times New Roman"/>
                    </w:rPr>
                    <w:t>A</w:t>
                  </w:r>
                </w:p>
              </w:txbxContent>
            </v:textbox>
          </v:shape>
        </w:pict>
      </w:r>
      <w:r w:rsidR="00F14CA8" w:rsidRPr="005A1802">
        <w:rPr>
          <w:rFonts w:ascii="Times New Roman" w:hAnsi="Times New Roman" w:cs="Times New Roman"/>
          <w:noProof/>
        </w:rPr>
        <w:drawing>
          <wp:inline distT="0" distB="0" distL="0" distR="0">
            <wp:extent cx="2714625" cy="2228850"/>
            <wp:effectExtent l="0" t="0" r="0" b="0"/>
            <wp:docPr id="175"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1" o:spid="_x0000_s1045" type="#_x0000_t202" style="position:absolute;left:0;text-align:left;margin-left:342.1pt;margin-top:9.1pt;width:30.05pt;height:24.4pt;z-index:25166387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r w:rsidR="00F14CA8" w:rsidRPr="0017586F">
        <w:rPr>
          <w:rFonts w:ascii="Times New Roman" w:hAnsi="Times New Roman" w:cs="Times New Roman"/>
          <w:noProof/>
        </w:rPr>
        <w:drawing>
          <wp:inline distT="0" distB="0" distL="0" distR="0">
            <wp:extent cx="3042139" cy="1934308"/>
            <wp:effectExtent l="0" t="0" r="0" b="0"/>
            <wp:docPr id="166"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9" o:spid="_x0000_s1053" type="#_x0000_t202" style="position:absolute;left:0;text-align:left;margin-left:337.5pt;margin-top:19.55pt;width:24.7pt;height:17.3pt;z-index:25166489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17586F">
        <w:rPr>
          <w:rFonts w:ascii="Times New Roman" w:hAnsi="Times New Roman" w:cs="Times New Roman"/>
          <w:noProof/>
        </w:rPr>
        <w:drawing>
          <wp:inline distT="0" distB="0" distL="0" distR="0">
            <wp:extent cx="3042139" cy="2145323"/>
            <wp:effectExtent l="0" t="0" r="0" b="0"/>
            <wp:docPr id="167"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0C548C" w:rsidRDefault="000C548C" w:rsidP="000C548C">
      <w:pPr>
        <w:jc w:val="both"/>
        <w:rPr>
          <w:rFonts w:ascii="Times New Roman" w:hAnsi="Times New Roman" w:cs="Times New Roman"/>
          <w:noProof/>
        </w:rPr>
      </w:pPr>
      <w:r w:rsidRPr="00493242">
        <w:rPr>
          <w:rFonts w:ascii="Times New Roman" w:hAnsi="Times New Roman" w:cs="Times New Roman"/>
          <w:b/>
        </w:rPr>
        <w:t xml:space="preserve">Fig. </w:t>
      </w:r>
      <w:r>
        <w:rPr>
          <w:rFonts w:ascii="Times New Roman" w:hAnsi="Times New Roman" w:cs="Times New Roman"/>
          <w:b/>
        </w:rPr>
        <w:t>8</w:t>
      </w:r>
      <w:r w:rsidRPr="00493242">
        <w:rPr>
          <w:rFonts w:ascii="Times New Roman" w:hAnsi="Times New Roman" w:cs="Times New Roman"/>
          <w:b/>
        </w:rPr>
        <w:t xml:space="preserve">: </w:t>
      </w:r>
      <w:r>
        <w:rPr>
          <w:rFonts w:ascii="Times New Roman" w:hAnsi="Times New Roman" w:cs="Times New Roman"/>
          <w:b/>
        </w:rPr>
        <w:t>Effect of treatment on ∆E</w:t>
      </w:r>
      <w:r w:rsidRPr="00493242">
        <w:rPr>
          <w:rFonts w:ascii="Times New Roman" w:hAnsi="Times New Roman" w:cs="Times New Roman"/>
          <w:b/>
        </w:rPr>
        <w:t xml:space="preserve">* value during </w:t>
      </w:r>
      <w:r>
        <w:rPr>
          <w:rFonts w:ascii="Times New Roman" w:hAnsi="Times New Roman" w:cs="Times New Roman"/>
          <w:b/>
        </w:rPr>
        <w:t xml:space="preserve">storage at 40°C. 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w:t>
      </w:r>
      <w:r w:rsidRPr="0044329E">
        <w:rPr>
          <w:rFonts w:ascii="Times New Roman" w:hAnsi="Times New Roman" w:cs="Times New Roman"/>
          <w:noProof/>
        </w:rPr>
        <w:t xml:space="preserve"> </w:t>
      </w:r>
      <w:r>
        <w:rPr>
          <w:rFonts w:ascii="Times New Roman" w:hAnsi="Times New Roman" w:cs="Times New Roman"/>
          <w:b/>
        </w:rPr>
        <w:t>C: Pouches made of canned peaches</w:t>
      </w:r>
    </w:p>
    <w:p w:rsidR="00F14CA8" w:rsidRDefault="00F14CA8" w:rsidP="00F14CA8">
      <w:pPr>
        <w:jc w:val="center"/>
        <w:rPr>
          <w:rFonts w:ascii="Times New Roman" w:hAnsi="Times New Roman" w:cs="Times New Roman"/>
          <w:b/>
        </w:rPr>
      </w:pPr>
    </w:p>
    <w:p w:rsidR="00F14CA8" w:rsidRDefault="00D50EC7" w:rsidP="00F14CA8">
      <w:pPr>
        <w:jc w:val="center"/>
        <w:rPr>
          <w:rFonts w:ascii="Times New Roman" w:hAnsi="Times New Roman" w:cs="Times New Roman"/>
        </w:rPr>
      </w:pPr>
      <w:r>
        <w:rPr>
          <w:rFonts w:ascii="Times New Roman" w:hAnsi="Times New Roman" w:cs="Times New Roman"/>
          <w:noProof/>
        </w:rPr>
        <w:lastRenderedPageBreak/>
        <w:pict>
          <v:shape id="Text Box 14" o:spid="_x0000_s1038" type="#_x0000_t202" style="position:absolute;left:0;text-align:left;margin-left:326.5pt;margin-top:17.35pt;width:24.7pt;height:17.3pt;z-index:25166592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" strokecolor="white [3212]">
            <v:textbox>
              <w:txbxContent>
                <w:p w:rsidR="00CC7D02" w:rsidRPr="000C0EE0" w:rsidRDefault="00CC7D02" w:rsidP="00F14CA8">
                  <w:pPr>
                    <w:rPr>
                      <w:rFonts w:ascii="Times New Roman" w:hAnsi="Times New Roman" w:cs="Times New Roman"/>
                    </w:rPr>
                  </w:pPr>
                  <w:r w:rsidRPr="000C0EE0">
                    <w:rPr>
                      <w:rFonts w:ascii="Times New Roman" w:hAnsi="Times New Roman" w:cs="Times New Roman"/>
                    </w:rPr>
                    <w:t>A</w:t>
                  </w:r>
                </w:p>
              </w:txbxContent>
            </v:textbox>
          </v:shape>
        </w:pict>
      </w:r>
      <w:r w:rsidR="00F14CA8" w:rsidRPr="00174369">
        <w:rPr>
          <w:rFonts w:ascii="Times New Roman" w:hAnsi="Times New Roman" w:cs="Times New Roman"/>
          <w:noProof/>
        </w:rPr>
        <w:drawing>
          <wp:inline distT="0" distB="0" distL="0" distR="0">
            <wp:extent cx="2601532" cy="2125014"/>
            <wp:effectExtent l="0" t="0" r="0" b="0"/>
            <wp:docPr id="145" name="Chart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2" o:spid="_x0000_s1046" type="#_x0000_t202" style="position:absolute;left:0;text-align:left;margin-left:326.5pt;margin-top:11.45pt;width:30.05pt;height:24.4pt;z-index:251666944;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r w:rsidR="00F14CA8" w:rsidRPr="00174369">
        <w:rPr>
          <w:rFonts w:ascii="Times New Roman" w:hAnsi="Times New Roman" w:cs="Times New Roman"/>
          <w:noProof/>
        </w:rPr>
        <w:drawing>
          <wp:inline distT="0" distB="0" distL="0" distR="0">
            <wp:extent cx="2704563" cy="2176530"/>
            <wp:effectExtent l="0" t="0" r="0" b="0"/>
            <wp:docPr id="146" name="Chart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30" o:spid="_x0000_s1054" type="#_x0000_t202" style="position:absolute;left:0;text-align:left;margin-left:330.5pt;margin-top:27.5pt;width:24.7pt;height:17.3pt;z-index:25166796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174369">
        <w:rPr>
          <w:rFonts w:ascii="Times New Roman" w:hAnsi="Times New Roman" w:cs="Times New Roman"/>
          <w:noProof/>
        </w:rPr>
        <w:drawing>
          <wp:inline distT="0" distB="0" distL="0" distR="0">
            <wp:extent cx="2843213" cy="2057400"/>
            <wp:effectExtent l="0" t="0" r="0" b="0"/>
            <wp:docPr id="14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0C548C" w:rsidRDefault="000C548C" w:rsidP="00F14CA8">
      <w:pPr>
        <w:jc w:val="both"/>
        <w:rPr>
          <w:rFonts w:ascii="Times New Roman" w:hAnsi="Times New Roman" w:cs="Times New Roman"/>
          <w:b/>
        </w:rPr>
      </w:pPr>
    </w:p>
    <w:p w:rsidR="000C548C" w:rsidRDefault="000C548C" w:rsidP="000C548C">
      <w:pPr>
        <w:jc w:val="both"/>
        <w:rPr>
          <w:rFonts w:ascii="Times New Roman" w:hAnsi="Times New Roman" w:cs="Times New Roman"/>
          <w:b/>
        </w:rPr>
      </w:pPr>
      <w:r w:rsidRPr="00493242">
        <w:rPr>
          <w:rFonts w:ascii="Times New Roman" w:hAnsi="Times New Roman" w:cs="Times New Roman"/>
          <w:b/>
        </w:rPr>
        <w:t xml:space="preserve">Fig. </w:t>
      </w:r>
      <w:r>
        <w:rPr>
          <w:rFonts w:ascii="Times New Roman" w:hAnsi="Times New Roman" w:cs="Times New Roman"/>
          <w:b/>
        </w:rPr>
        <w:t>9</w:t>
      </w:r>
      <w:r w:rsidRPr="00493242">
        <w:rPr>
          <w:rFonts w:ascii="Times New Roman" w:hAnsi="Times New Roman" w:cs="Times New Roman"/>
          <w:b/>
        </w:rPr>
        <w:t xml:space="preserve">: </w:t>
      </w:r>
      <w:r>
        <w:rPr>
          <w:rFonts w:ascii="Times New Roman" w:hAnsi="Times New Roman" w:cs="Times New Roman"/>
          <w:b/>
        </w:rPr>
        <w:t>Effect of treatment on ascorbic acid concentration</w:t>
      </w:r>
      <w:r w:rsidRPr="00493242">
        <w:rPr>
          <w:rFonts w:ascii="Times New Roman" w:hAnsi="Times New Roman" w:cs="Times New Roman"/>
          <w:b/>
        </w:rPr>
        <w:t xml:space="preserve"> during </w:t>
      </w:r>
      <w:r>
        <w:rPr>
          <w:rFonts w:ascii="Times New Roman" w:hAnsi="Times New Roman" w:cs="Times New Roman"/>
          <w:b/>
        </w:rPr>
        <w:t xml:space="preserve">storage at 51°C. 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w:t>
      </w:r>
      <w:r w:rsidRPr="0044329E">
        <w:rPr>
          <w:rFonts w:ascii="Times New Roman" w:hAnsi="Times New Roman" w:cs="Times New Roman"/>
          <w:noProof/>
        </w:rPr>
        <w:t xml:space="preserve"> </w:t>
      </w:r>
      <w:r>
        <w:rPr>
          <w:rFonts w:ascii="Times New Roman" w:hAnsi="Times New Roman" w:cs="Times New Roman"/>
          <w:b/>
        </w:rPr>
        <w:t>C: Pouches made of canned peaches</w:t>
      </w:r>
    </w:p>
    <w:p w:rsidR="000C548C" w:rsidRDefault="000C548C" w:rsidP="00F14CA8">
      <w:pPr>
        <w:jc w:val="both"/>
        <w:rPr>
          <w:rFonts w:ascii="Times New Roman" w:hAnsi="Times New Roman" w:cs="Times New Roman"/>
          <w:b/>
        </w:rPr>
      </w:pPr>
    </w:p>
    <w:p w:rsidR="00F14CA8" w:rsidRDefault="00D50EC7" w:rsidP="00F14CA8">
      <w:pPr>
        <w:jc w:val="center"/>
        <w:rPr>
          <w:rFonts w:ascii="Times New Roman" w:hAnsi="Times New Roman" w:cs="Times New Roman"/>
        </w:rPr>
      </w:pPr>
      <w:r>
        <w:rPr>
          <w:rFonts w:ascii="Times New Roman" w:hAnsi="Times New Roman" w:cs="Times New Roman"/>
          <w:noProof/>
        </w:rPr>
        <w:lastRenderedPageBreak/>
        <w:pict>
          <v:shape id="Text Box 15" o:spid="_x0000_s1039" type="#_x0000_t202" style="position:absolute;left:0;text-align:left;margin-left:331.8pt;margin-top:5.3pt;width:24.7pt;height:17.3pt;z-index:25166899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" strokecolor="white [3212]">
            <v:textbox>
              <w:txbxContent>
                <w:p w:rsidR="00CC7D02" w:rsidRPr="000C0EE0" w:rsidRDefault="00CC7D02" w:rsidP="00F14CA8">
                  <w:pPr>
                    <w:rPr>
                      <w:rFonts w:ascii="Times New Roman" w:hAnsi="Times New Roman" w:cs="Times New Roman"/>
                    </w:rPr>
                  </w:pPr>
                  <w:r w:rsidRPr="000C0EE0">
                    <w:rPr>
                      <w:rFonts w:ascii="Times New Roman" w:hAnsi="Times New Roman" w:cs="Times New Roman"/>
                    </w:rPr>
                    <w:t>A</w:t>
                  </w:r>
                </w:p>
              </w:txbxContent>
            </v:textbox>
          </v:shape>
        </w:pict>
      </w:r>
      <w:r w:rsidR="00F14CA8" w:rsidRPr="00481C2E">
        <w:rPr>
          <w:rFonts w:ascii="Times New Roman" w:hAnsi="Times New Roman" w:cs="Times New Roman"/>
          <w:noProof/>
        </w:rPr>
        <w:drawing>
          <wp:inline distT="0" distB="0" distL="0" distR="0">
            <wp:extent cx="2711302" cy="1988289"/>
            <wp:effectExtent l="0" t="0" r="0" b="0"/>
            <wp:docPr id="189" name="Chart 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23" o:spid="_x0000_s1047" type="#_x0000_t202" style="position:absolute;left:0;text-align:left;margin-left:330.65pt;margin-top:8.4pt;width:30.05pt;height:24.4pt;z-index:25167001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 xml:space="preserve"> B</w:t>
                  </w:r>
                </w:p>
              </w:txbxContent>
            </v:textbox>
          </v:shape>
        </w:pict>
      </w:r>
      <w:r w:rsidR="00F14CA8" w:rsidRPr="00481C2E">
        <w:rPr>
          <w:rFonts w:ascii="Times New Roman" w:hAnsi="Times New Roman" w:cs="Times New Roman"/>
          <w:noProof/>
        </w:rPr>
        <w:drawing>
          <wp:inline distT="0" distB="0" distL="0" distR="0">
            <wp:extent cx="2743200" cy="1992573"/>
            <wp:effectExtent l="0" t="0" r="0" b="0"/>
            <wp:docPr id="190"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F14CA8" w:rsidRDefault="00F14CA8" w:rsidP="00F14CA8">
      <w:pPr>
        <w:jc w:val="center"/>
        <w:rPr>
          <w:rFonts w:ascii="Times New Roman" w:hAnsi="Times New Roman" w:cs="Times New Roman"/>
        </w:rPr>
      </w:pPr>
    </w:p>
    <w:p w:rsidR="00F14CA8" w:rsidRDefault="00D50EC7" w:rsidP="00F14CA8">
      <w:pPr>
        <w:jc w:val="center"/>
        <w:rPr>
          <w:rFonts w:ascii="Times New Roman" w:hAnsi="Times New Roman" w:cs="Times New Roman"/>
        </w:rPr>
      </w:pPr>
      <w:r>
        <w:rPr>
          <w:rFonts w:ascii="Times New Roman" w:hAnsi="Times New Roman" w:cs="Times New Roman"/>
          <w:noProof/>
        </w:rPr>
        <w:pict>
          <v:shape id="Text Box 31" o:spid="_x0000_s1055" type="#_x0000_t202" style="position:absolute;left:0;text-align:left;margin-left:333.7pt;margin-top:16.25pt;width:24.7pt;height:17.3pt;z-index:25167104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" strokecolor="white [3212]">
            <v:textbox>
              <w:txbxContent>
                <w:p w:rsidR="00CC7D02" w:rsidRPr="000C0EE0" w:rsidRDefault="00CC7D02" w:rsidP="00F14CA8">
                  <w:pPr>
                    <w:rPr>
                      <w:rFonts w:ascii="Times New Roman" w:hAnsi="Times New Roman" w:cs="Times New Roman"/>
                    </w:rPr>
                  </w:pPr>
                  <w:r>
                    <w:rPr>
                      <w:rFonts w:ascii="Times New Roman" w:hAnsi="Times New Roman" w:cs="Times New Roman"/>
                    </w:rPr>
                    <w:t>C</w:t>
                  </w:r>
                </w:p>
              </w:txbxContent>
            </v:textbox>
          </v:shape>
        </w:pict>
      </w:r>
      <w:r w:rsidR="00F14CA8" w:rsidRPr="007F323F">
        <w:rPr>
          <w:rFonts w:ascii="Times New Roman" w:hAnsi="Times New Roman" w:cs="Times New Roman"/>
          <w:noProof/>
        </w:rPr>
        <w:drawing>
          <wp:inline distT="0" distB="0" distL="0" distR="0">
            <wp:extent cx="2935224" cy="2441448"/>
            <wp:effectExtent l="0" t="0" r="0" b="0"/>
            <wp:docPr id="148"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0C548C" w:rsidRDefault="000C548C" w:rsidP="000C548C">
      <w:pPr>
        <w:tabs>
          <w:tab w:val="left" w:pos="0"/>
        </w:tabs>
        <w:jc w:val="both"/>
        <w:rPr>
          <w:rFonts w:ascii="Times New Roman" w:hAnsi="Times New Roman" w:cs="Times New Roman"/>
          <w:b/>
        </w:rPr>
      </w:pPr>
      <w:r w:rsidRPr="00493242">
        <w:rPr>
          <w:rFonts w:ascii="Times New Roman" w:hAnsi="Times New Roman" w:cs="Times New Roman"/>
          <w:b/>
        </w:rPr>
        <w:t xml:space="preserve">Fig. </w:t>
      </w:r>
      <w:r>
        <w:rPr>
          <w:rFonts w:ascii="Times New Roman" w:hAnsi="Times New Roman" w:cs="Times New Roman"/>
          <w:b/>
        </w:rPr>
        <w:t>10:  Effect of treatment on the ascorbic acid concentration</w:t>
      </w:r>
      <w:r w:rsidRPr="00493242">
        <w:rPr>
          <w:rFonts w:ascii="Times New Roman" w:hAnsi="Times New Roman" w:cs="Times New Roman"/>
          <w:b/>
        </w:rPr>
        <w:t xml:space="preserve"> during </w:t>
      </w:r>
      <w:r>
        <w:rPr>
          <w:rFonts w:ascii="Times New Roman" w:hAnsi="Times New Roman" w:cs="Times New Roman"/>
          <w:b/>
        </w:rPr>
        <w:t xml:space="preserve">storage at 40°C. A: Pouches made of fresh peaches; B: </w:t>
      </w:r>
      <w:r w:rsidRPr="00493242">
        <w:rPr>
          <w:rFonts w:ascii="Times New Roman" w:hAnsi="Times New Roman" w:cs="Times New Roman"/>
          <w:b/>
        </w:rPr>
        <w:t xml:space="preserve"> </w:t>
      </w:r>
      <w:r>
        <w:rPr>
          <w:rFonts w:ascii="Times New Roman" w:hAnsi="Times New Roman" w:cs="Times New Roman"/>
          <w:b/>
        </w:rPr>
        <w:t xml:space="preserve">Pouches made of IQF </w:t>
      </w:r>
      <w:r w:rsidRPr="00493242">
        <w:rPr>
          <w:rFonts w:ascii="Times New Roman" w:hAnsi="Times New Roman" w:cs="Times New Roman"/>
          <w:b/>
        </w:rPr>
        <w:t>peaches</w:t>
      </w:r>
      <w:r>
        <w:rPr>
          <w:rFonts w:ascii="Times New Roman" w:hAnsi="Times New Roman" w:cs="Times New Roman"/>
          <w:b/>
        </w:rPr>
        <w:t>;</w:t>
      </w:r>
      <w:r w:rsidRPr="0044329E">
        <w:rPr>
          <w:rFonts w:ascii="Times New Roman" w:hAnsi="Times New Roman" w:cs="Times New Roman"/>
          <w:noProof/>
        </w:rPr>
        <w:t xml:space="preserve"> </w:t>
      </w:r>
      <w:r>
        <w:rPr>
          <w:rFonts w:ascii="Times New Roman" w:hAnsi="Times New Roman" w:cs="Times New Roman"/>
          <w:b/>
        </w:rPr>
        <w:t>C: Pouches made of canned peaches</w:t>
      </w:r>
    </w:p>
    <w:p w:rsidR="000C548C" w:rsidRDefault="000C548C" w:rsidP="00F14CA8">
      <w:pPr>
        <w:tabs>
          <w:tab w:val="left" w:pos="0"/>
        </w:tabs>
        <w:jc w:val="both"/>
        <w:rPr>
          <w:rFonts w:ascii="Times New Roman" w:hAnsi="Times New Roman"/>
          <w:b/>
        </w:rPr>
      </w:pPr>
    </w:p>
    <w:p w:rsidR="00F14CA8" w:rsidRDefault="000C548C" w:rsidP="00F14CA8">
      <w:pPr>
        <w:tabs>
          <w:tab w:val="left" w:pos="0"/>
        </w:tabs>
        <w:jc w:val="both"/>
        <w:rPr>
          <w:rFonts w:ascii="Times New Roman" w:hAnsi="Times New Roman" w:cs="Times New Roman"/>
        </w:rPr>
      </w:pPr>
      <w:r>
        <w:rPr>
          <w:rFonts w:ascii="Times New Roman" w:hAnsi="Times New Roman"/>
          <w:b/>
        </w:rPr>
        <w:lastRenderedPageBreak/>
        <w:tab/>
      </w:r>
      <w:r w:rsidR="00F14CA8" w:rsidRPr="00712D48">
        <w:rPr>
          <w:rFonts w:ascii="Times New Roman" w:hAnsi="Times New Roman"/>
          <w:b/>
        </w:rPr>
        <w:t>Table 1: pH and °Brix values at the beginning and at the end of storage</w:t>
      </w:r>
    </w:p>
    <w:tbl>
      <w:tblPr>
        <w:tblW w:w="7596" w:type="dxa"/>
        <w:jc w:val="center"/>
        <w:tblInd w:w="90" w:type="dxa"/>
        <w:tblLook w:val="04A0"/>
      </w:tblPr>
      <w:tblGrid>
        <w:gridCol w:w="960"/>
        <w:gridCol w:w="960"/>
        <w:gridCol w:w="1414"/>
        <w:gridCol w:w="1376"/>
        <w:gridCol w:w="1480"/>
        <w:gridCol w:w="1406"/>
      </w:tblGrid>
      <w:tr w:rsidR="00F14CA8" w:rsidRPr="00E9109B" w:rsidTr="0079315C">
        <w:trPr>
          <w:trHeight w:val="315"/>
          <w:jc w:val="center"/>
        </w:trPr>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Parameter</w:t>
            </w:r>
          </w:p>
        </w:tc>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Source</w:t>
            </w:r>
          </w:p>
        </w:tc>
        <w:tc>
          <w:tcPr>
            <w:tcW w:w="1414"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Treatment</w:t>
            </w:r>
          </w:p>
        </w:tc>
        <w:tc>
          <w:tcPr>
            <w:tcW w:w="4262" w:type="dxa"/>
            <w:gridSpan w:val="3"/>
            <w:tcBorders>
              <w:top w:val="single" w:sz="8" w:space="0" w:color="auto"/>
              <w:left w:val="nil"/>
              <w:bottom w:val="single" w:sz="8" w:space="0" w:color="auto"/>
              <w:right w:val="single" w:sz="8"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Period of Storage</w:t>
            </w:r>
          </w:p>
        </w:tc>
      </w:tr>
      <w:tr w:rsidR="00F14CA8" w:rsidRPr="00E9109B" w:rsidTr="0079315C">
        <w:trPr>
          <w:trHeight w:val="315"/>
          <w:jc w:val="center"/>
        </w:trPr>
        <w:tc>
          <w:tcPr>
            <w:tcW w:w="960" w:type="dxa"/>
            <w:vMerge/>
            <w:tcBorders>
              <w:top w:val="single" w:sz="8" w:space="0" w:color="auto"/>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rPr>
                <w:rFonts w:ascii="Times New Roman" w:eastAsia="Times New Roman" w:hAnsi="Times New Roman" w:cs="Times New Roman"/>
                <w:b/>
                <w:bCs/>
                <w:color w:val="000000"/>
                <w:sz w:val="14"/>
                <w:szCs w:val="14"/>
              </w:rPr>
            </w:pPr>
          </w:p>
        </w:tc>
        <w:tc>
          <w:tcPr>
            <w:tcW w:w="960" w:type="dxa"/>
            <w:vMerge/>
            <w:tcBorders>
              <w:top w:val="single" w:sz="8" w:space="0" w:color="auto"/>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rPr>
                <w:rFonts w:ascii="Times New Roman" w:eastAsia="Times New Roman" w:hAnsi="Times New Roman" w:cs="Times New Roman"/>
                <w:b/>
                <w:bCs/>
                <w:color w:val="000000"/>
                <w:sz w:val="14"/>
                <w:szCs w:val="14"/>
              </w:rPr>
            </w:pPr>
          </w:p>
        </w:tc>
        <w:tc>
          <w:tcPr>
            <w:tcW w:w="1414" w:type="dxa"/>
            <w:vMerge/>
            <w:tcBorders>
              <w:top w:val="single" w:sz="8" w:space="0" w:color="auto"/>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rPr>
                <w:rFonts w:ascii="Times New Roman" w:eastAsia="Times New Roman" w:hAnsi="Times New Roman" w:cs="Times New Roman"/>
                <w:b/>
                <w:bCs/>
                <w:color w:val="000000"/>
                <w:sz w:val="14"/>
                <w:szCs w:val="14"/>
              </w:rPr>
            </w:pPr>
          </w:p>
        </w:tc>
        <w:tc>
          <w:tcPr>
            <w:tcW w:w="1376" w:type="dxa"/>
            <w:tcBorders>
              <w:top w:val="single" w:sz="8" w:space="0" w:color="auto"/>
              <w:left w:val="nil"/>
              <w:bottom w:val="single" w:sz="8" w:space="0" w:color="auto"/>
              <w:right w:val="single" w:sz="8"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Beginning</w:t>
            </w:r>
          </w:p>
        </w:tc>
        <w:tc>
          <w:tcPr>
            <w:tcW w:w="1480" w:type="dxa"/>
            <w:tcBorders>
              <w:top w:val="single" w:sz="8" w:space="0" w:color="auto"/>
              <w:left w:val="nil"/>
              <w:bottom w:val="single" w:sz="8" w:space="0" w:color="auto"/>
              <w:right w:val="single" w:sz="8"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End (51°C)</w:t>
            </w:r>
          </w:p>
        </w:tc>
        <w:tc>
          <w:tcPr>
            <w:tcW w:w="1406" w:type="dxa"/>
            <w:tcBorders>
              <w:top w:val="single" w:sz="8" w:space="0" w:color="auto"/>
              <w:left w:val="nil"/>
              <w:bottom w:val="single" w:sz="8" w:space="0" w:color="auto"/>
              <w:right w:val="single" w:sz="8"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End (40°C)</w:t>
            </w:r>
          </w:p>
        </w:tc>
      </w:tr>
      <w:tr w:rsidR="0079315C" w:rsidRPr="00E9109B" w:rsidTr="00940D75">
        <w:trPr>
          <w:trHeight w:val="315"/>
          <w:jc w:val="center"/>
        </w:trPr>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79315C" w:rsidRPr="00E9109B" w:rsidRDefault="0079315C"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pH</w:t>
            </w: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79315C" w:rsidRPr="00E9109B" w:rsidRDefault="0079315C"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Fresh</w:t>
            </w:r>
          </w:p>
        </w:tc>
        <w:tc>
          <w:tcPr>
            <w:tcW w:w="1414" w:type="dxa"/>
            <w:tcBorders>
              <w:top w:val="nil"/>
              <w:left w:val="nil"/>
              <w:bottom w:val="single" w:sz="8" w:space="0" w:color="auto"/>
              <w:right w:val="single" w:sz="8" w:space="0" w:color="auto"/>
            </w:tcBorders>
            <w:shd w:val="clear" w:color="auto" w:fill="auto"/>
            <w:noWrap/>
            <w:vAlign w:val="bottom"/>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Control</w:t>
            </w:r>
          </w:p>
        </w:tc>
        <w:tc>
          <w:tcPr>
            <w:tcW w:w="1376" w:type="dxa"/>
            <w:tcBorders>
              <w:top w:val="nil"/>
              <w:left w:val="nil"/>
              <w:bottom w:val="single" w:sz="8" w:space="0" w:color="auto"/>
              <w:right w:val="single" w:sz="8" w:space="0" w:color="auto"/>
            </w:tcBorders>
            <w:shd w:val="clear" w:color="auto" w:fill="auto"/>
            <w:noWrap/>
            <w:vAlign w:val="bottom"/>
            <w:hideMark/>
          </w:tcPr>
          <w:p w:rsidR="0079315C" w:rsidRPr="00E9109B" w:rsidRDefault="0079315C" w:rsidP="0079315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4.05 </w:t>
            </w:r>
            <w:r w:rsidR="00891E49" w:rsidRPr="00E9109B">
              <w:rPr>
                <w:rFonts w:ascii="Times New Roman" w:eastAsia="Times New Roman" w:hAnsi="Times New Roman" w:cs="Times New Roman"/>
                <w:sz w:val="14"/>
                <w:szCs w:val="14"/>
              </w:rPr>
              <w:t>±</w:t>
            </w:r>
            <w:r w:rsidRPr="00E9109B">
              <w:rPr>
                <w:rFonts w:ascii="Times New Roman" w:eastAsia="Times New Roman" w:hAnsi="Times New Roman" w:cs="Times New Roman"/>
                <w:color w:val="000000"/>
                <w:sz w:val="14"/>
                <w:szCs w:val="14"/>
              </w:rPr>
              <w:t xml:space="preserve"> 0.05</w:t>
            </w:r>
          </w:p>
        </w:tc>
        <w:tc>
          <w:tcPr>
            <w:tcW w:w="1480" w:type="dxa"/>
            <w:tcBorders>
              <w:top w:val="nil"/>
              <w:left w:val="nil"/>
              <w:bottom w:val="single" w:sz="8" w:space="0" w:color="auto"/>
              <w:right w:val="nil"/>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3.87 ±</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0.02</w:t>
            </w:r>
          </w:p>
        </w:tc>
        <w:tc>
          <w:tcPr>
            <w:tcW w:w="1406" w:type="dxa"/>
            <w:tcBorders>
              <w:top w:val="nil"/>
              <w:left w:val="single" w:sz="8" w:space="0" w:color="auto"/>
              <w:bottom w:val="nil"/>
              <w:right w:val="single" w:sz="8" w:space="0" w:color="auto"/>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3.91</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0.05</w:t>
            </w:r>
          </w:p>
        </w:tc>
      </w:tr>
      <w:tr w:rsidR="0079315C" w:rsidRPr="00E9109B" w:rsidTr="00354C6D">
        <w:trPr>
          <w:trHeight w:val="367"/>
          <w:jc w:val="center"/>
        </w:trPr>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1414" w:type="dxa"/>
            <w:tcBorders>
              <w:top w:val="nil"/>
              <w:left w:val="nil"/>
              <w:bottom w:val="nil"/>
              <w:right w:val="single" w:sz="8" w:space="0" w:color="auto"/>
            </w:tcBorders>
            <w:shd w:val="clear" w:color="auto" w:fill="auto"/>
            <w:noWrap/>
            <w:vAlign w:val="bottom"/>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1376" w:type="dxa"/>
            <w:tcBorders>
              <w:top w:val="nil"/>
              <w:left w:val="nil"/>
              <w:bottom w:val="nil"/>
              <w:right w:val="single" w:sz="8" w:space="0" w:color="auto"/>
            </w:tcBorders>
            <w:shd w:val="clear" w:color="auto" w:fill="auto"/>
            <w:noWrap/>
            <w:vAlign w:val="bottom"/>
            <w:hideMark/>
          </w:tcPr>
          <w:p w:rsidR="0079315C" w:rsidRPr="00E9109B" w:rsidRDefault="0079315C" w:rsidP="0079315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3.47 </w:t>
            </w:r>
            <w:r w:rsidR="00891E49" w:rsidRPr="00E9109B">
              <w:rPr>
                <w:rFonts w:ascii="Times New Roman" w:eastAsia="Times New Roman" w:hAnsi="Times New Roman" w:cs="Times New Roman"/>
                <w:sz w:val="14"/>
                <w:szCs w:val="14"/>
              </w:rPr>
              <w:t>±</w:t>
            </w:r>
            <w:r w:rsidRPr="00E9109B">
              <w:rPr>
                <w:rFonts w:ascii="Times New Roman" w:eastAsia="Times New Roman" w:hAnsi="Times New Roman" w:cs="Times New Roman"/>
                <w:color w:val="000000"/>
                <w:sz w:val="14"/>
                <w:szCs w:val="14"/>
              </w:rPr>
              <w:t>0.04</w:t>
            </w:r>
          </w:p>
        </w:tc>
        <w:tc>
          <w:tcPr>
            <w:tcW w:w="1480" w:type="dxa"/>
            <w:tcBorders>
              <w:top w:val="nil"/>
              <w:left w:val="nil"/>
              <w:bottom w:val="nil"/>
              <w:right w:val="nil"/>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3.58</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0.05</w:t>
            </w:r>
          </w:p>
        </w:tc>
        <w:tc>
          <w:tcPr>
            <w:tcW w:w="140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3.50</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0.04</w:t>
            </w:r>
          </w:p>
        </w:tc>
      </w:tr>
      <w:tr w:rsidR="0079315C"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r w:rsidRPr="00E9109B">
              <w:rPr>
                <w:rFonts w:ascii="Times New Roman" w:hAnsi="Times New Roman"/>
                <w:sz w:val="14"/>
                <w:szCs w:val="14"/>
              </w:rPr>
              <w:t>α-GR</w:t>
            </w:r>
          </w:p>
        </w:tc>
        <w:tc>
          <w:tcPr>
            <w:tcW w:w="1376" w:type="dxa"/>
            <w:tcBorders>
              <w:top w:val="single" w:sz="8" w:space="0" w:color="auto"/>
              <w:left w:val="nil"/>
              <w:bottom w:val="single" w:sz="8" w:space="0" w:color="auto"/>
              <w:right w:val="single" w:sz="8" w:space="0" w:color="auto"/>
            </w:tcBorders>
            <w:shd w:val="clear" w:color="auto" w:fill="auto"/>
            <w:noWrap/>
            <w:vAlign w:val="bottom"/>
            <w:hideMark/>
          </w:tcPr>
          <w:p w:rsidR="0079315C" w:rsidRPr="00E9109B" w:rsidRDefault="0079315C" w:rsidP="0079315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3.95 ± 0.09</w:t>
            </w:r>
          </w:p>
        </w:tc>
        <w:tc>
          <w:tcPr>
            <w:tcW w:w="1480" w:type="dxa"/>
            <w:tcBorders>
              <w:top w:val="single" w:sz="8" w:space="0" w:color="auto"/>
              <w:left w:val="nil"/>
              <w:bottom w:val="single" w:sz="8" w:space="0" w:color="auto"/>
              <w:right w:val="nil"/>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3.95</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0.04</w:t>
            </w:r>
          </w:p>
        </w:tc>
        <w:tc>
          <w:tcPr>
            <w:tcW w:w="1406" w:type="dxa"/>
            <w:tcBorders>
              <w:top w:val="nil"/>
              <w:left w:val="single" w:sz="8" w:space="0" w:color="auto"/>
              <w:bottom w:val="nil"/>
              <w:right w:val="single" w:sz="8" w:space="0" w:color="auto"/>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3.80</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0.03</w:t>
            </w:r>
          </w:p>
        </w:tc>
      </w:tr>
      <w:tr w:rsidR="0079315C"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1414" w:type="dxa"/>
            <w:tcBorders>
              <w:top w:val="nil"/>
              <w:left w:val="nil"/>
              <w:bottom w:val="single" w:sz="8" w:space="0" w:color="auto"/>
              <w:right w:val="single" w:sz="8" w:space="0" w:color="auto"/>
            </w:tcBorders>
            <w:shd w:val="clear" w:color="auto" w:fill="auto"/>
            <w:noWrap/>
            <w:vAlign w:val="bottom"/>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r w:rsidRPr="00E9109B">
              <w:rPr>
                <w:rFonts w:ascii="Times New Roman" w:eastAsia="Times New Roman" w:hAnsi="Times New Roman" w:cs="Times New Roman"/>
                <w:color w:val="000000"/>
                <w:sz w:val="14"/>
                <w:szCs w:val="14"/>
              </w:rPr>
              <w:t>-</w:t>
            </w:r>
            <w:r w:rsidRPr="00E9109B">
              <w:rPr>
                <w:rFonts w:ascii="Times New Roman" w:hAnsi="Times New Roman"/>
                <w:sz w:val="14"/>
                <w:szCs w:val="14"/>
              </w:rPr>
              <w:t>α-GR</w:t>
            </w:r>
          </w:p>
        </w:tc>
        <w:tc>
          <w:tcPr>
            <w:tcW w:w="1376" w:type="dxa"/>
            <w:tcBorders>
              <w:top w:val="nil"/>
              <w:left w:val="nil"/>
              <w:bottom w:val="single" w:sz="8" w:space="0" w:color="auto"/>
              <w:right w:val="single" w:sz="8" w:space="0" w:color="auto"/>
            </w:tcBorders>
            <w:shd w:val="clear" w:color="auto" w:fill="auto"/>
            <w:noWrap/>
            <w:vAlign w:val="bottom"/>
            <w:hideMark/>
          </w:tcPr>
          <w:p w:rsidR="0079315C" w:rsidRPr="00E9109B" w:rsidRDefault="0079315C" w:rsidP="0079315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3.55 ± 0.07</w:t>
            </w:r>
          </w:p>
        </w:tc>
        <w:tc>
          <w:tcPr>
            <w:tcW w:w="1480" w:type="dxa"/>
            <w:tcBorders>
              <w:top w:val="nil"/>
              <w:left w:val="nil"/>
              <w:bottom w:val="single" w:sz="8" w:space="0" w:color="auto"/>
              <w:right w:val="nil"/>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3.71</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0.16</w:t>
            </w:r>
          </w:p>
        </w:tc>
        <w:tc>
          <w:tcPr>
            <w:tcW w:w="140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3.40</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0.04</w:t>
            </w:r>
          </w:p>
        </w:tc>
      </w:tr>
      <w:tr w:rsidR="0079315C"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79315C" w:rsidRPr="00E9109B" w:rsidRDefault="0079315C"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IQF</w:t>
            </w:r>
          </w:p>
        </w:tc>
        <w:tc>
          <w:tcPr>
            <w:tcW w:w="1414" w:type="dxa"/>
            <w:tcBorders>
              <w:top w:val="nil"/>
              <w:left w:val="nil"/>
              <w:bottom w:val="nil"/>
              <w:right w:val="single" w:sz="8" w:space="0" w:color="auto"/>
            </w:tcBorders>
            <w:shd w:val="clear" w:color="auto" w:fill="auto"/>
            <w:noWrap/>
            <w:vAlign w:val="bottom"/>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Control</w:t>
            </w:r>
          </w:p>
        </w:tc>
        <w:tc>
          <w:tcPr>
            <w:tcW w:w="1376" w:type="dxa"/>
            <w:tcBorders>
              <w:top w:val="nil"/>
              <w:left w:val="nil"/>
              <w:bottom w:val="single" w:sz="8" w:space="0" w:color="auto"/>
              <w:right w:val="single" w:sz="8" w:space="0" w:color="auto"/>
            </w:tcBorders>
            <w:shd w:val="clear" w:color="auto" w:fill="auto"/>
            <w:noWrap/>
            <w:vAlign w:val="bottom"/>
            <w:hideMark/>
          </w:tcPr>
          <w:p w:rsidR="0079315C" w:rsidRPr="00E9109B" w:rsidRDefault="0079315C" w:rsidP="0079315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3.52 ± 0.07</w:t>
            </w:r>
          </w:p>
        </w:tc>
        <w:tc>
          <w:tcPr>
            <w:tcW w:w="1480" w:type="dxa"/>
            <w:tcBorders>
              <w:top w:val="nil"/>
              <w:left w:val="nil"/>
              <w:bottom w:val="single" w:sz="8" w:space="0" w:color="auto"/>
              <w:right w:val="nil"/>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3.45</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0.1</w:t>
            </w:r>
          </w:p>
        </w:tc>
        <w:tc>
          <w:tcPr>
            <w:tcW w:w="1406" w:type="dxa"/>
            <w:tcBorders>
              <w:top w:val="nil"/>
              <w:left w:val="single" w:sz="8" w:space="0" w:color="auto"/>
              <w:bottom w:val="nil"/>
              <w:right w:val="single" w:sz="8" w:space="0" w:color="auto"/>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3.35</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0.01</w:t>
            </w:r>
          </w:p>
        </w:tc>
      </w:tr>
      <w:tr w:rsidR="0079315C"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1376" w:type="dxa"/>
            <w:tcBorders>
              <w:top w:val="nil"/>
              <w:left w:val="nil"/>
              <w:bottom w:val="nil"/>
              <w:right w:val="single" w:sz="8" w:space="0" w:color="auto"/>
            </w:tcBorders>
            <w:shd w:val="clear" w:color="auto" w:fill="auto"/>
            <w:noWrap/>
            <w:vAlign w:val="bottom"/>
            <w:hideMark/>
          </w:tcPr>
          <w:p w:rsidR="0079315C" w:rsidRPr="00E9109B" w:rsidRDefault="0079315C" w:rsidP="0079315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4.11 ± 0.06</w:t>
            </w:r>
          </w:p>
        </w:tc>
        <w:tc>
          <w:tcPr>
            <w:tcW w:w="1480" w:type="dxa"/>
            <w:tcBorders>
              <w:top w:val="nil"/>
              <w:left w:val="nil"/>
              <w:bottom w:val="nil"/>
              <w:right w:val="nil"/>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4.08</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0.01</w:t>
            </w:r>
          </w:p>
        </w:tc>
        <w:tc>
          <w:tcPr>
            <w:tcW w:w="140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3.76</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0.02</w:t>
            </w:r>
          </w:p>
        </w:tc>
      </w:tr>
      <w:tr w:rsidR="0079315C"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p>
        </w:tc>
        <w:tc>
          <w:tcPr>
            <w:tcW w:w="1414" w:type="dxa"/>
            <w:tcBorders>
              <w:top w:val="nil"/>
              <w:left w:val="nil"/>
              <w:bottom w:val="nil"/>
              <w:right w:val="single" w:sz="8" w:space="0" w:color="auto"/>
            </w:tcBorders>
            <w:shd w:val="clear" w:color="auto" w:fill="auto"/>
            <w:noWrap/>
            <w:vAlign w:val="bottom"/>
            <w:hideMark/>
          </w:tcPr>
          <w:p w:rsidR="0079315C" w:rsidRPr="00E9109B" w:rsidRDefault="0079315C" w:rsidP="00F14CA8">
            <w:pPr>
              <w:spacing w:after="0" w:line="240" w:lineRule="auto"/>
              <w:rPr>
                <w:rFonts w:ascii="Times New Roman" w:eastAsia="Times New Roman" w:hAnsi="Times New Roman" w:cs="Times New Roman"/>
                <w:color w:val="000000"/>
                <w:sz w:val="14"/>
                <w:szCs w:val="14"/>
              </w:rPr>
            </w:pPr>
            <w:r w:rsidRPr="00E9109B">
              <w:rPr>
                <w:rFonts w:ascii="Times New Roman" w:hAnsi="Times New Roman"/>
                <w:sz w:val="14"/>
                <w:szCs w:val="14"/>
              </w:rPr>
              <w:t>α-GR</w:t>
            </w:r>
          </w:p>
        </w:tc>
        <w:tc>
          <w:tcPr>
            <w:tcW w:w="1376" w:type="dxa"/>
            <w:tcBorders>
              <w:top w:val="single" w:sz="8" w:space="0" w:color="auto"/>
              <w:left w:val="nil"/>
              <w:bottom w:val="single" w:sz="8" w:space="0" w:color="auto"/>
              <w:right w:val="single" w:sz="8" w:space="0" w:color="auto"/>
            </w:tcBorders>
            <w:shd w:val="clear" w:color="auto" w:fill="auto"/>
            <w:noWrap/>
            <w:vAlign w:val="bottom"/>
            <w:hideMark/>
          </w:tcPr>
          <w:p w:rsidR="0079315C" w:rsidRPr="00E9109B" w:rsidRDefault="0079315C" w:rsidP="0079315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4.00 ± 0.20</w:t>
            </w:r>
          </w:p>
        </w:tc>
        <w:tc>
          <w:tcPr>
            <w:tcW w:w="1480" w:type="dxa"/>
            <w:tcBorders>
              <w:top w:val="single" w:sz="8" w:space="0" w:color="auto"/>
              <w:left w:val="nil"/>
              <w:bottom w:val="single" w:sz="8" w:space="0" w:color="auto"/>
              <w:right w:val="nil"/>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4.04</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0.01</w:t>
            </w:r>
          </w:p>
        </w:tc>
        <w:tc>
          <w:tcPr>
            <w:tcW w:w="1406" w:type="dxa"/>
            <w:tcBorders>
              <w:top w:val="nil"/>
              <w:left w:val="single" w:sz="8" w:space="0" w:color="auto"/>
              <w:bottom w:val="nil"/>
              <w:right w:val="single" w:sz="8" w:space="0" w:color="auto"/>
            </w:tcBorders>
            <w:shd w:val="clear" w:color="auto" w:fill="auto"/>
            <w:noWrap/>
            <w:vAlign w:val="bottom"/>
            <w:hideMark/>
          </w:tcPr>
          <w:p w:rsidR="0079315C" w:rsidRPr="00E9109B" w:rsidRDefault="0079315C"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3.87</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354C6D"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0.04</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r w:rsidRPr="00E9109B">
              <w:rPr>
                <w:rFonts w:ascii="Times New Roman" w:eastAsia="Times New Roman" w:hAnsi="Times New Roman" w:cs="Times New Roman"/>
                <w:color w:val="000000"/>
                <w:sz w:val="14"/>
                <w:szCs w:val="14"/>
              </w:rPr>
              <w:t>-</w:t>
            </w:r>
            <w:r w:rsidRPr="00E9109B">
              <w:rPr>
                <w:rFonts w:ascii="Times New Roman" w:hAnsi="Times New Roman"/>
                <w:sz w:val="14"/>
                <w:szCs w:val="14"/>
              </w:rPr>
              <w:t>α-GR</w:t>
            </w:r>
          </w:p>
        </w:tc>
        <w:tc>
          <w:tcPr>
            <w:tcW w:w="1376"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3.40 ± 0.07</w:t>
            </w:r>
          </w:p>
        </w:tc>
        <w:tc>
          <w:tcPr>
            <w:tcW w:w="1480" w:type="dxa"/>
            <w:tcBorders>
              <w:top w:val="nil"/>
              <w:left w:val="nil"/>
              <w:bottom w:val="nil"/>
              <w:right w:val="nil"/>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3.52 ± 0.03</w:t>
            </w:r>
          </w:p>
        </w:tc>
        <w:tc>
          <w:tcPr>
            <w:tcW w:w="140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3.30 ± 0.03</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354C6D" w:rsidRPr="00E9109B" w:rsidRDefault="00354C6D"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Canned</w:t>
            </w:r>
          </w:p>
        </w:tc>
        <w:tc>
          <w:tcPr>
            <w:tcW w:w="1414" w:type="dxa"/>
            <w:tcBorders>
              <w:top w:val="nil"/>
              <w:left w:val="nil"/>
              <w:bottom w:val="nil"/>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Control</w:t>
            </w:r>
          </w:p>
        </w:tc>
        <w:tc>
          <w:tcPr>
            <w:tcW w:w="137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3.48 ± 0.14</w:t>
            </w:r>
          </w:p>
        </w:tc>
        <w:tc>
          <w:tcPr>
            <w:tcW w:w="1480" w:type="dxa"/>
            <w:tcBorders>
              <w:top w:val="single" w:sz="8" w:space="0" w:color="auto"/>
              <w:left w:val="nil"/>
              <w:bottom w:val="single" w:sz="8" w:space="0" w:color="auto"/>
              <w:right w:val="nil"/>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3.52 ± 0.02</w:t>
            </w:r>
          </w:p>
        </w:tc>
        <w:tc>
          <w:tcPr>
            <w:tcW w:w="1406" w:type="dxa"/>
            <w:tcBorders>
              <w:top w:val="nil"/>
              <w:left w:val="single" w:sz="8" w:space="0" w:color="auto"/>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3.47 ± 0.11</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1376"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3.92 ± 0.02</w:t>
            </w:r>
          </w:p>
        </w:tc>
        <w:tc>
          <w:tcPr>
            <w:tcW w:w="1480" w:type="dxa"/>
            <w:tcBorders>
              <w:top w:val="nil"/>
              <w:left w:val="nil"/>
              <w:bottom w:val="single" w:sz="8" w:space="0" w:color="auto"/>
              <w:right w:val="nil"/>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3.94 ± 0.02</w:t>
            </w:r>
          </w:p>
        </w:tc>
        <w:tc>
          <w:tcPr>
            <w:tcW w:w="140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3.86 ± 0.13</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nil"/>
              <w:left w:val="nil"/>
              <w:bottom w:val="nil"/>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hAnsi="Times New Roman"/>
                <w:sz w:val="14"/>
                <w:szCs w:val="14"/>
              </w:rPr>
              <w:t>α-GR</w:t>
            </w:r>
          </w:p>
        </w:tc>
        <w:tc>
          <w:tcPr>
            <w:tcW w:w="1376"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3.97 ± 0.02</w:t>
            </w:r>
          </w:p>
        </w:tc>
        <w:tc>
          <w:tcPr>
            <w:tcW w:w="1480" w:type="dxa"/>
            <w:tcBorders>
              <w:top w:val="nil"/>
              <w:left w:val="nil"/>
              <w:bottom w:val="nil"/>
              <w:right w:val="nil"/>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3.92 ± 0.09</w:t>
            </w:r>
          </w:p>
        </w:tc>
        <w:tc>
          <w:tcPr>
            <w:tcW w:w="1406" w:type="dxa"/>
            <w:tcBorders>
              <w:top w:val="nil"/>
              <w:left w:val="single" w:sz="8" w:space="0" w:color="auto"/>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3.90 ± 0.04</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r w:rsidRPr="00E9109B">
              <w:rPr>
                <w:rFonts w:ascii="Times New Roman" w:eastAsia="Times New Roman" w:hAnsi="Times New Roman" w:cs="Times New Roman"/>
                <w:color w:val="000000"/>
                <w:sz w:val="14"/>
                <w:szCs w:val="14"/>
              </w:rPr>
              <w:t>-</w:t>
            </w:r>
            <w:r w:rsidRPr="00E9109B">
              <w:rPr>
                <w:rFonts w:ascii="Times New Roman" w:hAnsi="Times New Roman"/>
                <w:sz w:val="14"/>
                <w:szCs w:val="14"/>
              </w:rPr>
              <w:t>α-GR</w:t>
            </w:r>
          </w:p>
        </w:tc>
        <w:tc>
          <w:tcPr>
            <w:tcW w:w="137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3.58 ± 0.06</w:t>
            </w:r>
          </w:p>
        </w:tc>
        <w:tc>
          <w:tcPr>
            <w:tcW w:w="1480" w:type="dxa"/>
            <w:tcBorders>
              <w:top w:val="single" w:sz="8" w:space="0" w:color="auto"/>
              <w:left w:val="nil"/>
              <w:bottom w:val="single" w:sz="8" w:space="0" w:color="auto"/>
              <w:right w:val="nil"/>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3.43 ± 0.04</w:t>
            </w:r>
          </w:p>
        </w:tc>
        <w:tc>
          <w:tcPr>
            <w:tcW w:w="1406" w:type="dxa"/>
            <w:tcBorders>
              <w:top w:val="nil"/>
              <w:left w:val="single" w:sz="8" w:space="0" w:color="auto"/>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3.41 ± 0.17</w:t>
            </w:r>
          </w:p>
        </w:tc>
      </w:tr>
      <w:tr w:rsidR="00354C6D" w:rsidRPr="00E9109B" w:rsidTr="00940D75">
        <w:trPr>
          <w:trHeight w:val="315"/>
          <w:jc w:val="center"/>
        </w:trPr>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354C6D" w:rsidRPr="00E9109B" w:rsidRDefault="00354C6D"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Brix</w:t>
            </w: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354C6D" w:rsidRPr="00E9109B" w:rsidRDefault="00354C6D"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Fresh</w:t>
            </w:r>
          </w:p>
        </w:tc>
        <w:tc>
          <w:tcPr>
            <w:tcW w:w="1414" w:type="dxa"/>
            <w:tcBorders>
              <w:top w:val="nil"/>
              <w:left w:val="nil"/>
              <w:bottom w:val="nil"/>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Control</w:t>
            </w:r>
          </w:p>
        </w:tc>
        <w:tc>
          <w:tcPr>
            <w:tcW w:w="1376"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17.47 ± 0.35</w:t>
            </w:r>
          </w:p>
        </w:tc>
        <w:tc>
          <w:tcPr>
            <w:tcW w:w="1480"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17.33 ± 0.12</w:t>
            </w:r>
          </w:p>
        </w:tc>
        <w:tc>
          <w:tcPr>
            <w:tcW w:w="1406"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18.10 ± 0.71</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1376"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16.70 ± 0.72</w:t>
            </w:r>
          </w:p>
        </w:tc>
        <w:tc>
          <w:tcPr>
            <w:tcW w:w="1480"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17.30 ± 0.36</w:t>
            </w:r>
          </w:p>
        </w:tc>
        <w:tc>
          <w:tcPr>
            <w:tcW w:w="140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16.40 ± 0.6</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nil"/>
              <w:left w:val="nil"/>
              <w:bottom w:val="nil"/>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hAnsi="Times New Roman"/>
                <w:sz w:val="14"/>
                <w:szCs w:val="14"/>
              </w:rPr>
              <w:t>α-GR</w:t>
            </w:r>
          </w:p>
        </w:tc>
        <w:tc>
          <w:tcPr>
            <w:tcW w:w="137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17.43 ± 0.06 </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17.40 ± 0.2</w:t>
            </w:r>
          </w:p>
        </w:tc>
        <w:tc>
          <w:tcPr>
            <w:tcW w:w="1406"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17.30 ± 0.87</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r w:rsidRPr="00E9109B">
              <w:rPr>
                <w:rFonts w:ascii="Times New Roman" w:eastAsia="Times New Roman" w:hAnsi="Times New Roman" w:cs="Times New Roman"/>
                <w:color w:val="000000"/>
                <w:sz w:val="14"/>
                <w:szCs w:val="14"/>
              </w:rPr>
              <w:t>-</w:t>
            </w:r>
            <w:r w:rsidRPr="00E9109B">
              <w:rPr>
                <w:rFonts w:ascii="Times New Roman" w:hAnsi="Times New Roman"/>
                <w:sz w:val="14"/>
                <w:szCs w:val="14"/>
              </w:rPr>
              <w:t>α-GR</w:t>
            </w:r>
          </w:p>
        </w:tc>
        <w:tc>
          <w:tcPr>
            <w:tcW w:w="1376"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17.30 ± 0.52</w:t>
            </w:r>
          </w:p>
        </w:tc>
        <w:tc>
          <w:tcPr>
            <w:tcW w:w="1480"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18.53 ± 0.71</w:t>
            </w:r>
          </w:p>
        </w:tc>
        <w:tc>
          <w:tcPr>
            <w:tcW w:w="140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10.00 ± 0.76</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354C6D" w:rsidRPr="00E9109B" w:rsidRDefault="00354C6D"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IQF</w:t>
            </w:r>
          </w:p>
        </w:tc>
        <w:tc>
          <w:tcPr>
            <w:tcW w:w="1414" w:type="dxa"/>
            <w:tcBorders>
              <w:top w:val="nil"/>
              <w:left w:val="nil"/>
              <w:bottom w:val="nil"/>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Control</w:t>
            </w:r>
          </w:p>
        </w:tc>
        <w:tc>
          <w:tcPr>
            <w:tcW w:w="1376"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18.23 ± 0.61</w:t>
            </w:r>
          </w:p>
        </w:tc>
        <w:tc>
          <w:tcPr>
            <w:tcW w:w="1480"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19.45 ± 0.49</w:t>
            </w:r>
          </w:p>
        </w:tc>
        <w:tc>
          <w:tcPr>
            <w:tcW w:w="1406"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18.80 ± 0.31</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1376"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18.43 ± 0.15</w:t>
            </w:r>
          </w:p>
        </w:tc>
        <w:tc>
          <w:tcPr>
            <w:tcW w:w="1480"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19.10 ± 0.71</w:t>
            </w:r>
          </w:p>
        </w:tc>
        <w:tc>
          <w:tcPr>
            <w:tcW w:w="140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18.70 ± 0.45</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nil"/>
              <w:left w:val="nil"/>
              <w:bottom w:val="nil"/>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hAnsi="Times New Roman"/>
                <w:sz w:val="14"/>
                <w:szCs w:val="14"/>
              </w:rPr>
              <w:t>α-GR</w:t>
            </w:r>
          </w:p>
        </w:tc>
        <w:tc>
          <w:tcPr>
            <w:tcW w:w="137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18.40 ± 0.36</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18.70 ± 0.14</w:t>
            </w:r>
          </w:p>
        </w:tc>
        <w:tc>
          <w:tcPr>
            <w:tcW w:w="1406"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18.50 ± 0.13</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r w:rsidRPr="00E9109B">
              <w:rPr>
                <w:rFonts w:ascii="Times New Roman" w:eastAsia="Times New Roman" w:hAnsi="Times New Roman" w:cs="Times New Roman"/>
                <w:color w:val="000000"/>
                <w:sz w:val="14"/>
                <w:szCs w:val="14"/>
              </w:rPr>
              <w:t>-</w:t>
            </w:r>
            <w:r w:rsidRPr="00E9109B">
              <w:rPr>
                <w:rFonts w:ascii="Times New Roman" w:hAnsi="Times New Roman"/>
                <w:sz w:val="14"/>
                <w:szCs w:val="14"/>
              </w:rPr>
              <w:t>α-GR</w:t>
            </w:r>
          </w:p>
        </w:tc>
        <w:tc>
          <w:tcPr>
            <w:tcW w:w="1376"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18.17 ± 0.64</w:t>
            </w:r>
          </w:p>
        </w:tc>
        <w:tc>
          <w:tcPr>
            <w:tcW w:w="1480" w:type="dxa"/>
            <w:tcBorders>
              <w:top w:val="nil"/>
              <w:left w:val="nil"/>
              <w:bottom w:val="nil"/>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19.60 ± 1.13</w:t>
            </w:r>
          </w:p>
        </w:tc>
        <w:tc>
          <w:tcPr>
            <w:tcW w:w="140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354C6D">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18.46 ± 0.34</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354C6D" w:rsidRPr="00E9109B" w:rsidRDefault="00354C6D"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Canned</w:t>
            </w:r>
          </w:p>
        </w:tc>
        <w:tc>
          <w:tcPr>
            <w:tcW w:w="1414" w:type="dxa"/>
            <w:tcBorders>
              <w:top w:val="nil"/>
              <w:left w:val="nil"/>
              <w:bottom w:val="nil"/>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Control</w:t>
            </w:r>
          </w:p>
        </w:tc>
        <w:tc>
          <w:tcPr>
            <w:tcW w:w="137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21.47</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0.84</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20.77</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0.9</w:t>
            </w:r>
          </w:p>
        </w:tc>
        <w:tc>
          <w:tcPr>
            <w:tcW w:w="1406" w:type="dxa"/>
            <w:tcBorders>
              <w:top w:val="nil"/>
              <w:left w:val="nil"/>
              <w:bottom w:val="nil"/>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20.56</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0.75</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1376"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19.77</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0.67</w:t>
            </w:r>
          </w:p>
        </w:tc>
        <w:tc>
          <w:tcPr>
            <w:tcW w:w="1480"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19.87</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0.67</w:t>
            </w:r>
          </w:p>
        </w:tc>
        <w:tc>
          <w:tcPr>
            <w:tcW w:w="140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19.80</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0.72</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nil"/>
              <w:left w:val="nil"/>
              <w:bottom w:val="nil"/>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hAnsi="Times New Roman"/>
                <w:sz w:val="14"/>
                <w:szCs w:val="14"/>
              </w:rPr>
              <w:t>α-GR</w:t>
            </w:r>
          </w:p>
        </w:tc>
        <w:tc>
          <w:tcPr>
            <w:tcW w:w="1376" w:type="dxa"/>
            <w:tcBorders>
              <w:top w:val="nil"/>
              <w:left w:val="nil"/>
              <w:bottom w:val="nil"/>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20.00</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0.57</w:t>
            </w:r>
          </w:p>
        </w:tc>
        <w:tc>
          <w:tcPr>
            <w:tcW w:w="1480" w:type="dxa"/>
            <w:tcBorders>
              <w:top w:val="nil"/>
              <w:left w:val="nil"/>
              <w:bottom w:val="nil"/>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19.13</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0.61</w:t>
            </w:r>
          </w:p>
        </w:tc>
        <w:tc>
          <w:tcPr>
            <w:tcW w:w="1406"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19.40</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0.65</w:t>
            </w:r>
          </w:p>
        </w:tc>
      </w:tr>
      <w:tr w:rsidR="00354C6D" w:rsidRPr="00E9109B" w:rsidTr="00940D75">
        <w:trPr>
          <w:trHeight w:val="315"/>
          <w:jc w:val="center"/>
        </w:trPr>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960" w:type="dxa"/>
            <w:vMerge/>
            <w:tcBorders>
              <w:top w:val="nil"/>
              <w:left w:val="single" w:sz="8" w:space="0" w:color="auto"/>
              <w:bottom w:val="single" w:sz="8" w:space="0" w:color="000000"/>
              <w:right w:val="single" w:sz="8" w:space="0" w:color="auto"/>
            </w:tcBorders>
            <w:vAlign w:val="center"/>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p>
        </w:tc>
        <w:tc>
          <w:tcPr>
            <w:tcW w:w="1414"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F14CA8">
            <w:pPr>
              <w:spacing w:after="0" w:line="240" w:lineRule="auto"/>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r w:rsidRPr="00E9109B">
              <w:rPr>
                <w:rFonts w:ascii="Times New Roman" w:eastAsia="Times New Roman" w:hAnsi="Times New Roman" w:cs="Times New Roman"/>
                <w:color w:val="000000"/>
                <w:sz w:val="14"/>
                <w:szCs w:val="14"/>
              </w:rPr>
              <w:t>-</w:t>
            </w:r>
            <w:r w:rsidRPr="00E9109B">
              <w:rPr>
                <w:rFonts w:ascii="Times New Roman" w:hAnsi="Times New Roman"/>
                <w:sz w:val="14"/>
                <w:szCs w:val="14"/>
              </w:rPr>
              <w:t>α-GR</w:t>
            </w:r>
          </w:p>
        </w:tc>
        <w:tc>
          <w:tcPr>
            <w:tcW w:w="1376"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21.17</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0.61</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20.27</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0.81</w:t>
            </w:r>
          </w:p>
        </w:tc>
        <w:tc>
          <w:tcPr>
            <w:tcW w:w="1406" w:type="dxa"/>
            <w:tcBorders>
              <w:top w:val="nil"/>
              <w:left w:val="nil"/>
              <w:bottom w:val="single" w:sz="8" w:space="0" w:color="auto"/>
              <w:right w:val="single" w:sz="8" w:space="0" w:color="auto"/>
            </w:tcBorders>
            <w:shd w:val="clear" w:color="auto" w:fill="auto"/>
            <w:noWrap/>
            <w:vAlign w:val="bottom"/>
            <w:hideMark/>
          </w:tcPr>
          <w:p w:rsidR="00354C6D" w:rsidRPr="00E9109B" w:rsidRDefault="00354C6D" w:rsidP="00891E49">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21.40</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w:t>
            </w:r>
            <w:r w:rsidR="00891E49"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0.78</w:t>
            </w:r>
          </w:p>
        </w:tc>
      </w:tr>
    </w:tbl>
    <w:p w:rsidR="00F14CA8" w:rsidRDefault="00F14CA8" w:rsidP="00F14CA8">
      <w:pPr>
        <w:jc w:val="both"/>
        <w:rPr>
          <w:rFonts w:ascii="Times New Roman" w:hAnsi="Times New Roman" w:cs="Times New Roman"/>
        </w:rPr>
        <w:sectPr w:rsidR="00F14CA8" w:rsidSect="00F14CA8">
          <w:type w:val="continuous"/>
          <w:pgSz w:w="12240" w:h="15840"/>
          <w:pgMar w:top="1440" w:right="1440" w:bottom="1440" w:left="1440" w:header="720" w:footer="720" w:gutter="0"/>
          <w:cols w:space="720"/>
          <w:docGrid w:linePitch="360"/>
        </w:sectPr>
      </w:pPr>
    </w:p>
    <w:p w:rsidR="00F14CA8" w:rsidRPr="00B70AEE" w:rsidRDefault="00F14CA8" w:rsidP="00F14CA8">
      <w:pPr>
        <w:jc w:val="both"/>
        <w:rPr>
          <w:rFonts w:ascii="Times New Roman" w:hAnsi="Times New Roman" w:cs="Times New Roman"/>
          <w:b/>
          <w:sz w:val="24"/>
          <w:szCs w:val="24"/>
        </w:rPr>
      </w:pPr>
      <w:r w:rsidRPr="00B70AEE">
        <w:rPr>
          <w:rFonts w:ascii="Times New Roman" w:hAnsi="Times New Roman" w:cs="Times New Roman"/>
          <w:b/>
          <w:sz w:val="24"/>
          <w:szCs w:val="24"/>
        </w:rPr>
        <w:lastRenderedPageBreak/>
        <w:t>Table 2: CaCl</w:t>
      </w:r>
      <w:r w:rsidRPr="003624D5">
        <w:rPr>
          <w:rFonts w:ascii="Times New Roman" w:hAnsi="Times New Roman" w:cs="Times New Roman"/>
          <w:b/>
          <w:sz w:val="24"/>
          <w:szCs w:val="24"/>
          <w:vertAlign w:val="subscript"/>
        </w:rPr>
        <w:t>2</w:t>
      </w:r>
      <w:r w:rsidRPr="00B70AEE">
        <w:rPr>
          <w:rFonts w:ascii="Times New Roman" w:hAnsi="Times New Roman" w:cs="Times New Roman"/>
          <w:b/>
          <w:sz w:val="24"/>
          <w:szCs w:val="24"/>
        </w:rPr>
        <w:t xml:space="preserve"> and</w:t>
      </w:r>
      <w:r w:rsidRPr="003624D5">
        <w:rPr>
          <w:rFonts w:ascii="Times New Roman" w:hAnsi="Times New Roman" w:cs="Times New Roman"/>
          <w:b/>
          <w:sz w:val="24"/>
          <w:szCs w:val="24"/>
        </w:rPr>
        <w:t xml:space="preserve"> </w:t>
      </w:r>
      <w:r w:rsidRPr="003624D5">
        <w:rPr>
          <w:rFonts w:ascii="Times New Roman" w:hAnsi="Times New Roman"/>
          <w:b/>
          <w:sz w:val="24"/>
          <w:szCs w:val="24"/>
        </w:rPr>
        <w:t xml:space="preserve">α-GR </w:t>
      </w:r>
      <w:r w:rsidRPr="00B70AEE">
        <w:rPr>
          <w:rFonts w:ascii="Times New Roman" w:hAnsi="Times New Roman" w:cs="Times New Roman"/>
          <w:b/>
          <w:sz w:val="24"/>
          <w:szCs w:val="24"/>
        </w:rPr>
        <w:t>effects on the color parameters and ascorbic acid concentration at the beginning and end of storages</w:t>
      </w:r>
    </w:p>
    <w:tbl>
      <w:tblPr>
        <w:tblW w:w="13335" w:type="dxa"/>
        <w:tblInd w:w="95" w:type="dxa"/>
        <w:tblLook w:val="04A0"/>
      </w:tblPr>
      <w:tblGrid>
        <w:gridCol w:w="960"/>
        <w:gridCol w:w="1483"/>
        <w:gridCol w:w="720"/>
        <w:gridCol w:w="720"/>
        <w:gridCol w:w="671"/>
        <w:gridCol w:w="719"/>
        <w:gridCol w:w="572"/>
        <w:gridCol w:w="719"/>
        <w:gridCol w:w="709"/>
        <w:gridCol w:w="576"/>
        <w:gridCol w:w="709"/>
        <w:gridCol w:w="709"/>
        <w:gridCol w:w="709"/>
        <w:gridCol w:w="709"/>
        <w:gridCol w:w="576"/>
        <w:gridCol w:w="709"/>
        <w:gridCol w:w="709"/>
        <w:gridCol w:w="656"/>
      </w:tblGrid>
      <w:tr w:rsidR="00F14CA8" w:rsidRPr="00E9109B" w:rsidTr="00F14CA8">
        <w:trPr>
          <w:trHeight w:val="315"/>
        </w:trPr>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Source</w:t>
            </w:r>
          </w:p>
        </w:tc>
        <w:tc>
          <w:tcPr>
            <w:tcW w:w="148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Factor</w:t>
            </w:r>
          </w:p>
        </w:tc>
        <w:tc>
          <w:tcPr>
            <w:tcW w:w="720" w:type="dxa"/>
            <w:vMerge w:val="restart"/>
            <w:tcBorders>
              <w:top w:val="single" w:sz="8" w:space="0" w:color="auto"/>
              <w:left w:val="nil"/>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Levels</w:t>
            </w:r>
          </w:p>
        </w:tc>
        <w:tc>
          <w:tcPr>
            <w:tcW w:w="3401"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Beginning</w:t>
            </w:r>
          </w:p>
        </w:tc>
        <w:tc>
          <w:tcPr>
            <w:tcW w:w="3412" w:type="dxa"/>
            <w:gridSpan w:val="5"/>
            <w:tcBorders>
              <w:top w:val="single" w:sz="8" w:space="0" w:color="auto"/>
              <w:left w:val="nil"/>
              <w:bottom w:val="single" w:sz="8" w:space="0" w:color="auto"/>
              <w:right w:val="single" w:sz="8"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End at 51°C</w:t>
            </w:r>
          </w:p>
        </w:tc>
        <w:tc>
          <w:tcPr>
            <w:tcW w:w="3359" w:type="dxa"/>
            <w:gridSpan w:val="5"/>
            <w:tcBorders>
              <w:top w:val="single" w:sz="8" w:space="0" w:color="auto"/>
              <w:left w:val="nil"/>
              <w:bottom w:val="single" w:sz="8" w:space="0" w:color="auto"/>
              <w:right w:val="single" w:sz="8"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End at 40°C</w:t>
            </w:r>
          </w:p>
        </w:tc>
      </w:tr>
      <w:tr w:rsidR="00F14CA8" w:rsidRPr="00E9109B" w:rsidTr="00F14CA8">
        <w:trPr>
          <w:trHeight w:val="315"/>
        </w:trPr>
        <w:tc>
          <w:tcPr>
            <w:tcW w:w="960" w:type="dxa"/>
            <w:vMerge/>
            <w:tcBorders>
              <w:top w:val="single" w:sz="8" w:space="0" w:color="auto"/>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tcBorders>
              <w:top w:val="single" w:sz="8" w:space="0" w:color="auto"/>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720" w:type="dxa"/>
            <w:vMerge/>
            <w:tcBorders>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L*</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b*</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w:t>
            </w:r>
            <w:r w:rsidR="00F14CA8" w:rsidRPr="00E9109B">
              <w:rPr>
                <w:rFonts w:ascii="Times New Roman" w:eastAsia="Times New Roman" w:hAnsi="Times New Roman" w:cs="Times New Roman"/>
                <w:b/>
                <w:bCs/>
                <w:color w:val="000000"/>
                <w:sz w:val="14"/>
                <w:szCs w:val="14"/>
              </w:rPr>
              <w:t>E</w:t>
            </w:r>
            <w:r w:rsidRPr="00E9109B">
              <w:rPr>
                <w:rFonts w:ascii="Times New Roman" w:eastAsia="Times New Roman" w:hAnsi="Times New Roman" w:cs="Times New Roman"/>
                <w:b/>
                <w:bCs/>
                <w:color w:val="000000"/>
                <w:sz w:val="14"/>
                <w:szCs w:val="14"/>
              </w:rPr>
              <w:t>*</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AA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L*</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b*</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w:t>
            </w:r>
            <w:r w:rsidR="00F14CA8" w:rsidRPr="00E9109B">
              <w:rPr>
                <w:rFonts w:ascii="Times New Roman" w:eastAsia="Times New Roman" w:hAnsi="Times New Roman" w:cs="Times New Roman"/>
                <w:b/>
                <w:bCs/>
                <w:color w:val="000000"/>
                <w:sz w:val="14"/>
                <w:szCs w:val="14"/>
              </w:rPr>
              <w:t>E</w:t>
            </w:r>
            <w:r w:rsidRPr="00E9109B">
              <w:rPr>
                <w:rFonts w:ascii="Times New Roman" w:eastAsia="Times New Roman" w:hAnsi="Times New Roman" w:cs="Times New Roman"/>
                <w:b/>
                <w:bCs/>
                <w:color w:val="000000"/>
                <w:sz w:val="14"/>
                <w:szCs w:val="14"/>
              </w:rPr>
              <w:t>*</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AA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L*</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b*</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w:t>
            </w:r>
            <w:r w:rsidR="00F14CA8" w:rsidRPr="00E9109B">
              <w:rPr>
                <w:rFonts w:ascii="Times New Roman" w:eastAsia="Times New Roman" w:hAnsi="Times New Roman" w:cs="Times New Roman"/>
                <w:b/>
                <w:bCs/>
                <w:color w:val="000000"/>
                <w:sz w:val="14"/>
                <w:szCs w:val="14"/>
              </w:rPr>
              <w:t>E</w:t>
            </w:r>
            <w:r w:rsidRPr="00E9109B">
              <w:rPr>
                <w:rFonts w:ascii="Times New Roman" w:eastAsia="Times New Roman" w:hAnsi="Times New Roman" w:cs="Times New Roman"/>
                <w:b/>
                <w:bCs/>
                <w:color w:val="000000"/>
                <w:sz w:val="14"/>
                <w:szCs w:val="14"/>
              </w:rPr>
              <w:t>*</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AA</w:t>
            </w:r>
          </w:p>
        </w:tc>
      </w:tr>
      <w:tr w:rsidR="00F14CA8" w:rsidRPr="00E9109B" w:rsidTr="00F14CA8">
        <w:trPr>
          <w:trHeight w:val="315"/>
        </w:trPr>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Fresh</w:t>
            </w:r>
          </w:p>
        </w:tc>
        <w:tc>
          <w:tcPr>
            <w:tcW w:w="1483" w:type="dxa"/>
            <w:vMerge w:val="restart"/>
            <w:tcBorders>
              <w:top w:val="nil"/>
              <w:left w:val="single" w:sz="8" w:space="0" w:color="auto"/>
              <w:bottom w:val="single" w:sz="8" w:space="0" w:color="000000"/>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CaCl</w:t>
            </w:r>
            <w:r w:rsidRPr="00E9109B">
              <w:rPr>
                <w:rFonts w:ascii="Times New Roman" w:eastAsia="Times New Roman" w:hAnsi="Times New Roman" w:cs="Times New Roman"/>
                <w:b/>
                <w:bCs/>
                <w:color w:val="000000"/>
                <w:sz w:val="14"/>
                <w:szCs w:val="14"/>
                <w:vertAlign w:val="subscript"/>
              </w:rPr>
              <w:t>2</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47.9</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0.28</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28.7</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596.4</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41.5</w:t>
            </w:r>
            <w:r w:rsidRPr="00E9109B">
              <w:rPr>
                <w:rFonts w:ascii="Times New Roman" w:eastAsia="Times New Roman" w:hAnsi="Times New Roman" w:cs="Times New Roman"/>
                <w:color w:val="000000"/>
                <w:sz w:val="14"/>
                <w:szCs w:val="14"/>
                <w:vertAlign w:val="superscript"/>
              </w:rPr>
              <w:t>a</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1.91</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26.</w:t>
            </w:r>
            <w:r w:rsidR="00206238" w:rsidRPr="00E9109B">
              <w:rPr>
                <w:rFonts w:ascii="Times New Roman" w:eastAsia="Times New Roman" w:hAnsi="Times New Roman" w:cs="Times New Roman"/>
                <w:color w:val="000000"/>
                <w:sz w:val="14"/>
                <w:szCs w:val="14"/>
              </w:rPr>
              <w:t>4</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7.9</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301.8</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40.4</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2.6</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24.</w:t>
            </w:r>
            <w:r w:rsidR="00206238" w:rsidRPr="00E9109B">
              <w:rPr>
                <w:rFonts w:ascii="Times New Roman" w:eastAsia="Times New Roman" w:hAnsi="Times New Roman" w:cs="Times New Roman"/>
                <w:color w:val="000000"/>
                <w:sz w:val="14"/>
                <w:szCs w:val="14"/>
              </w:rPr>
              <w:t>2</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9.8</w:t>
            </w:r>
            <w:r w:rsidRPr="00E9109B">
              <w:rPr>
                <w:rFonts w:ascii="Times New Roman" w:eastAsia="Times New Roman" w:hAnsi="Times New Roman" w:cs="Times New Roman"/>
                <w:color w:val="000000"/>
                <w:sz w:val="14"/>
                <w:szCs w:val="14"/>
                <w:vertAlign w:val="superscript"/>
              </w:rPr>
              <w:t>a</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173.9</w:t>
            </w:r>
            <w:r w:rsidRPr="00E9109B">
              <w:rPr>
                <w:rFonts w:ascii="Times New Roman" w:eastAsia="Times New Roman" w:hAnsi="Times New Roman" w:cs="Times New Roman"/>
                <w:color w:val="000000"/>
                <w:sz w:val="14"/>
                <w:szCs w:val="14"/>
                <w:vertAlign w:val="superscript"/>
              </w:rPr>
              <w:t>a</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tcBorders>
              <w:top w:val="nil"/>
              <w:left w:val="single" w:sz="8" w:space="0" w:color="auto"/>
              <w:bottom w:val="single" w:sz="8" w:space="0" w:color="000000"/>
              <w:right w:val="nil"/>
            </w:tcBorders>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0.50%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44.9</w:t>
            </w:r>
            <w:r w:rsidR="00F14CA8" w:rsidRPr="00E9109B">
              <w:rPr>
                <w:rFonts w:ascii="Times New Roman" w:eastAsia="Times New Roman" w:hAnsi="Times New Roman" w:cs="Times New Roman"/>
                <w:color w:val="000000"/>
                <w:sz w:val="14"/>
                <w:szCs w:val="14"/>
                <w:vertAlign w:val="superscript"/>
              </w:rPr>
              <w:t>b</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-0.89</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25.0</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593.3</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39.2</w:t>
            </w:r>
            <w:r w:rsidR="00F14CA8" w:rsidRPr="00E9109B">
              <w:rPr>
                <w:rFonts w:ascii="Times New Roman" w:eastAsia="Times New Roman" w:hAnsi="Times New Roman" w:cs="Times New Roman"/>
                <w:color w:val="000000"/>
                <w:sz w:val="14"/>
                <w:szCs w:val="14"/>
                <w:vertAlign w:val="superscript"/>
              </w:rPr>
              <w:t>b</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3.14</w:t>
            </w:r>
            <w:r w:rsidRPr="00E9109B">
              <w:rPr>
                <w:rFonts w:ascii="Times New Roman" w:eastAsia="Times New Roman" w:hAnsi="Times New Roman" w:cs="Times New Roman"/>
                <w:color w:val="000000"/>
                <w:sz w:val="14"/>
                <w:szCs w:val="14"/>
                <w:vertAlign w:val="superscript"/>
              </w:rPr>
              <w:t>b</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24.6</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7.3</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262.3</w:t>
            </w:r>
            <w:r w:rsidRPr="00E9109B">
              <w:rPr>
                <w:rFonts w:ascii="Times New Roman" w:eastAsia="Times New Roman" w:hAnsi="Times New Roman" w:cs="Times New Roman"/>
                <w:color w:val="000000"/>
                <w:sz w:val="14"/>
                <w:szCs w:val="14"/>
                <w:vertAlign w:val="superscript"/>
              </w:rPr>
              <w:t>b</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38.3</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3.1</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22.9</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8.1</w:t>
            </w:r>
            <w:r w:rsidRPr="00E9109B">
              <w:rPr>
                <w:rFonts w:ascii="Times New Roman" w:eastAsia="Times New Roman" w:hAnsi="Times New Roman" w:cs="Times New Roman"/>
                <w:color w:val="000000"/>
                <w:sz w:val="14"/>
                <w:szCs w:val="14"/>
                <w:vertAlign w:val="superscript"/>
              </w:rPr>
              <w:t>a</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146.3</w:t>
            </w:r>
            <w:r w:rsidRPr="00E9109B">
              <w:rPr>
                <w:rFonts w:ascii="Times New Roman" w:eastAsia="Times New Roman" w:hAnsi="Times New Roman" w:cs="Times New Roman"/>
                <w:color w:val="000000"/>
                <w:sz w:val="14"/>
                <w:szCs w:val="14"/>
                <w:vertAlign w:val="superscript"/>
              </w:rPr>
              <w:t>a</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val="restart"/>
            <w:tcBorders>
              <w:top w:val="nil"/>
              <w:left w:val="single" w:sz="8" w:space="0" w:color="auto"/>
              <w:bottom w:val="single" w:sz="8" w:space="0" w:color="000000"/>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hAnsi="Times New Roman"/>
                <w:b/>
                <w:sz w:val="14"/>
                <w:szCs w:val="14"/>
              </w:rPr>
              <w:t>α-GR</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47.1</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-1.03</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27.</w:t>
            </w:r>
            <w:r w:rsidR="00F14CA8" w:rsidRPr="00E9109B">
              <w:rPr>
                <w:rFonts w:ascii="Times New Roman" w:eastAsia="Times New Roman" w:hAnsi="Times New Roman" w:cs="Times New Roman"/>
                <w:color w:val="000000"/>
                <w:sz w:val="14"/>
                <w:szCs w:val="14"/>
              </w:rPr>
              <w:t>0</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586.5</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40.8</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3.00</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25.9</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7.9</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281.5</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39.8</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2.7</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23.4</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9.2</w:t>
            </w:r>
            <w:r w:rsidR="00F14CA8" w:rsidRPr="00E9109B">
              <w:rPr>
                <w:rFonts w:ascii="Times New Roman" w:eastAsia="Times New Roman" w:hAnsi="Times New Roman" w:cs="Times New Roman"/>
                <w:color w:val="000000"/>
                <w:sz w:val="14"/>
                <w:szCs w:val="14"/>
                <w:vertAlign w:val="superscript"/>
              </w:rPr>
              <w:t>a</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167.6</w:t>
            </w:r>
            <w:r w:rsidRPr="00E9109B">
              <w:rPr>
                <w:rFonts w:ascii="Times New Roman" w:eastAsia="Times New Roman" w:hAnsi="Times New Roman" w:cs="Times New Roman"/>
                <w:color w:val="000000"/>
                <w:sz w:val="14"/>
                <w:szCs w:val="14"/>
                <w:vertAlign w:val="superscript"/>
              </w:rPr>
              <w:t>a</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tcBorders>
              <w:top w:val="nil"/>
              <w:left w:val="single" w:sz="8" w:space="0" w:color="auto"/>
              <w:bottom w:val="single" w:sz="8" w:space="0" w:color="000000"/>
              <w:right w:val="nil"/>
            </w:tcBorders>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0.30%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45.7</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0.42</w:t>
            </w:r>
            <w:r w:rsidRPr="00E9109B">
              <w:rPr>
                <w:rFonts w:ascii="Times New Roman" w:eastAsia="Times New Roman" w:hAnsi="Times New Roman" w:cs="Times New Roman"/>
                <w:color w:val="000000"/>
                <w:sz w:val="14"/>
                <w:szCs w:val="14"/>
                <w:vertAlign w:val="superscript"/>
              </w:rPr>
              <w:t>b</w:t>
            </w:r>
          </w:p>
        </w:tc>
        <w:tc>
          <w:tcPr>
            <w:tcW w:w="719" w:type="dxa"/>
            <w:tcBorders>
              <w:top w:val="nil"/>
              <w:left w:val="nil"/>
              <w:bottom w:val="single" w:sz="8" w:space="0" w:color="auto"/>
              <w:right w:val="nil"/>
            </w:tcBorders>
            <w:shd w:val="clear" w:color="auto" w:fill="auto"/>
            <w:noWrap/>
            <w:vAlign w:val="center"/>
            <w:hideMark/>
          </w:tcPr>
          <w:p w:rsidR="00F14CA8" w:rsidRPr="00E9109B" w:rsidRDefault="00F14CA8" w:rsidP="001C0A75">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26.6</w:t>
            </w:r>
            <w:r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603.2</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39.9</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2.05</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25.1</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7.1</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282.6</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38.9</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2.9</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23.7</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8.7</w:t>
            </w:r>
            <w:r w:rsidR="00F14CA8" w:rsidRPr="00E9109B">
              <w:rPr>
                <w:rFonts w:ascii="Times New Roman" w:eastAsia="Times New Roman" w:hAnsi="Times New Roman" w:cs="Times New Roman"/>
                <w:color w:val="000000"/>
                <w:sz w:val="14"/>
                <w:szCs w:val="14"/>
                <w:vertAlign w:val="superscript"/>
              </w:rPr>
              <w:t>a</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152.6</w:t>
            </w:r>
            <w:r w:rsidRPr="00E9109B">
              <w:rPr>
                <w:rFonts w:ascii="Times New Roman" w:eastAsia="Times New Roman" w:hAnsi="Times New Roman" w:cs="Times New Roman"/>
                <w:color w:val="000000"/>
                <w:sz w:val="14"/>
                <w:szCs w:val="14"/>
                <w:vertAlign w:val="superscript"/>
              </w:rPr>
              <w:t>a</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CaCl</w:t>
            </w:r>
            <w:r w:rsidRPr="00E9109B">
              <w:rPr>
                <w:rFonts w:ascii="Times New Roman" w:eastAsia="Times New Roman" w:hAnsi="Times New Roman" w:cs="Times New Roman"/>
                <w:b/>
                <w:bCs/>
                <w:color w:val="000000"/>
                <w:sz w:val="14"/>
                <w:szCs w:val="14"/>
                <w:vertAlign w:val="subscript"/>
              </w:rPr>
              <w:t>2</w:t>
            </w:r>
            <w:r w:rsidRPr="00E9109B">
              <w:rPr>
                <w:rFonts w:ascii="Times New Roman" w:eastAsia="Times New Roman" w:hAnsi="Times New Roman" w:cs="Times New Roman"/>
                <w:b/>
                <w:bCs/>
                <w:color w:val="000000"/>
                <w:sz w:val="14"/>
                <w:szCs w:val="14"/>
              </w:rPr>
              <w:t>*</w:t>
            </w:r>
            <w:r w:rsidRPr="00E9109B">
              <w:rPr>
                <w:rFonts w:ascii="Times New Roman" w:hAnsi="Times New Roman"/>
                <w:b/>
                <w:sz w:val="14"/>
                <w:szCs w:val="14"/>
              </w:rPr>
              <w:t>α-GR</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1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r>
      <w:tr w:rsidR="00F14CA8" w:rsidRPr="00E9109B" w:rsidTr="00F14CA8">
        <w:trPr>
          <w:trHeight w:val="315"/>
        </w:trPr>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IQF</w:t>
            </w:r>
          </w:p>
        </w:tc>
        <w:tc>
          <w:tcPr>
            <w:tcW w:w="1483" w:type="dxa"/>
            <w:vMerge w:val="restart"/>
            <w:tcBorders>
              <w:top w:val="nil"/>
              <w:left w:val="single" w:sz="8" w:space="0" w:color="auto"/>
              <w:bottom w:val="single" w:sz="8" w:space="0" w:color="000000"/>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CaCl</w:t>
            </w:r>
            <w:r w:rsidRPr="00E9109B">
              <w:rPr>
                <w:rFonts w:ascii="Times New Roman" w:eastAsia="Times New Roman" w:hAnsi="Times New Roman" w:cs="Times New Roman"/>
                <w:b/>
                <w:bCs/>
                <w:color w:val="000000"/>
                <w:sz w:val="14"/>
                <w:szCs w:val="14"/>
                <w:vertAlign w:val="subscript"/>
              </w:rPr>
              <w:t>2</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46.2</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2.14</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33.5</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501.7</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39.4</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5.14</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26.9</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10.1</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160.5</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37.5</w:t>
            </w:r>
            <w:r w:rsidRPr="00E9109B">
              <w:rPr>
                <w:rFonts w:ascii="Times New Roman" w:eastAsia="Times New Roman" w:hAnsi="Times New Roman" w:cs="Times New Roman"/>
                <w:color w:val="000000"/>
                <w:sz w:val="14"/>
                <w:szCs w:val="14"/>
                <w:vertAlign w:val="superscript"/>
              </w:rPr>
              <w:t>a</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5.8</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24.2</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13.3</w:t>
            </w:r>
            <w:r w:rsidRPr="00E9109B">
              <w:rPr>
                <w:rFonts w:ascii="Times New Roman" w:eastAsia="Times New Roman" w:hAnsi="Times New Roman" w:cs="Times New Roman"/>
                <w:color w:val="000000"/>
                <w:sz w:val="14"/>
                <w:szCs w:val="14"/>
                <w:vertAlign w:val="superscript"/>
              </w:rPr>
              <w:t>a</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84.8</w:t>
            </w:r>
            <w:r w:rsidRPr="00E9109B">
              <w:rPr>
                <w:rFonts w:ascii="Times New Roman" w:eastAsia="Times New Roman" w:hAnsi="Times New Roman" w:cs="Times New Roman"/>
                <w:color w:val="000000"/>
                <w:sz w:val="14"/>
                <w:szCs w:val="14"/>
                <w:vertAlign w:val="superscript"/>
              </w:rPr>
              <w:t>a</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tcBorders>
              <w:top w:val="nil"/>
              <w:left w:val="single" w:sz="8" w:space="0" w:color="auto"/>
              <w:bottom w:val="single" w:sz="8" w:space="0" w:color="000000"/>
              <w:right w:val="nil"/>
            </w:tcBorders>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0.50%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45.9</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1.98</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33.6</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471.9</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36.6</w:t>
            </w:r>
            <w:r w:rsidR="00F14CA8" w:rsidRPr="00E9109B">
              <w:rPr>
                <w:rFonts w:ascii="Times New Roman" w:eastAsia="Times New Roman" w:hAnsi="Times New Roman" w:cs="Times New Roman"/>
                <w:color w:val="000000"/>
                <w:sz w:val="14"/>
                <w:szCs w:val="14"/>
                <w:vertAlign w:val="superscript"/>
              </w:rPr>
              <w:t>b</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6.67</w:t>
            </w:r>
            <w:r w:rsidRPr="00E9109B">
              <w:rPr>
                <w:rFonts w:ascii="Times New Roman" w:eastAsia="Times New Roman" w:hAnsi="Times New Roman" w:cs="Times New Roman"/>
                <w:color w:val="000000"/>
                <w:sz w:val="14"/>
                <w:szCs w:val="14"/>
                <w:vertAlign w:val="superscript"/>
              </w:rPr>
              <w:t>b</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23.7</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13.5</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136.7</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30.1</w:t>
            </w:r>
            <w:r w:rsidR="00F14CA8" w:rsidRPr="00E9109B">
              <w:rPr>
                <w:rFonts w:ascii="Times New Roman" w:eastAsia="Times New Roman" w:hAnsi="Times New Roman" w:cs="Times New Roman"/>
                <w:color w:val="000000"/>
                <w:sz w:val="14"/>
                <w:szCs w:val="14"/>
                <w:vertAlign w:val="superscript"/>
              </w:rPr>
              <w:t>b</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6.2</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14.7</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25.1</w:t>
            </w:r>
            <w:r w:rsidR="00F14CA8" w:rsidRPr="00E9109B">
              <w:rPr>
                <w:rFonts w:ascii="Times New Roman" w:eastAsia="Times New Roman" w:hAnsi="Times New Roman" w:cs="Times New Roman"/>
                <w:color w:val="000000"/>
                <w:sz w:val="14"/>
                <w:szCs w:val="14"/>
                <w:vertAlign w:val="superscript"/>
              </w:rPr>
              <w:t>b</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Pr="00E9109B">
              <w:rPr>
                <w:rFonts w:ascii="Times New Roman" w:eastAsia="Times New Roman" w:hAnsi="Times New Roman" w:cs="Times New Roman"/>
                <w:color w:val="000000"/>
                <w:sz w:val="14"/>
                <w:szCs w:val="14"/>
                <w:vertAlign w:val="superscript"/>
              </w:rPr>
              <w:t>b</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val="restart"/>
            <w:tcBorders>
              <w:top w:val="nil"/>
              <w:left w:val="single" w:sz="8" w:space="0" w:color="auto"/>
              <w:bottom w:val="single" w:sz="8" w:space="0" w:color="000000"/>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hAnsi="Times New Roman"/>
                <w:b/>
                <w:sz w:val="14"/>
                <w:szCs w:val="14"/>
              </w:rPr>
              <w:t>α-GR</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46.3</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2.35</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33.4</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486.2</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38.2</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6.34</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25.3</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12.2</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159.0</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32.8</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7.4</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18.5</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20.8</w:t>
            </w:r>
            <w:r w:rsidRPr="00E9109B">
              <w:rPr>
                <w:rFonts w:ascii="Times New Roman" w:eastAsia="Times New Roman" w:hAnsi="Times New Roman" w:cs="Times New Roman"/>
                <w:color w:val="000000"/>
                <w:sz w:val="14"/>
                <w:szCs w:val="14"/>
                <w:vertAlign w:val="superscript"/>
              </w:rPr>
              <w:t>a</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Pr="00E9109B">
              <w:rPr>
                <w:rFonts w:ascii="Times New Roman" w:eastAsia="Times New Roman" w:hAnsi="Times New Roman" w:cs="Times New Roman"/>
                <w:color w:val="000000"/>
                <w:sz w:val="14"/>
                <w:szCs w:val="14"/>
                <w:vertAlign w:val="superscript"/>
              </w:rPr>
              <w:t>a</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tcBorders>
              <w:top w:val="nil"/>
              <w:left w:val="single" w:sz="8" w:space="0" w:color="auto"/>
              <w:bottom w:val="single" w:sz="8" w:space="0" w:color="000000"/>
              <w:right w:val="nil"/>
            </w:tcBorders>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0.30%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45.8</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1.77</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33.7</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490.5</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37.8</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5.48</w:t>
            </w:r>
            <w:r w:rsidRPr="00E9109B">
              <w:rPr>
                <w:rFonts w:ascii="Times New Roman" w:eastAsia="Times New Roman" w:hAnsi="Times New Roman" w:cs="Times New Roman"/>
                <w:color w:val="000000"/>
                <w:sz w:val="14"/>
                <w:szCs w:val="14"/>
                <w:vertAlign w:val="superscript"/>
              </w:rPr>
              <w:t>b</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25.3</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11.8</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138.2</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34.9</w:t>
            </w:r>
            <w:r w:rsidR="00F14CA8" w:rsidRPr="00E9109B">
              <w:rPr>
                <w:rFonts w:ascii="Times New Roman" w:eastAsia="Times New Roman" w:hAnsi="Times New Roman" w:cs="Times New Roman"/>
                <w:color w:val="000000"/>
                <w:sz w:val="14"/>
                <w:szCs w:val="14"/>
                <w:vertAlign w:val="superscript"/>
              </w:rPr>
              <w:t>b</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4.6</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20.4</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17.6</w:t>
            </w:r>
            <w:r w:rsidRPr="00E9109B">
              <w:rPr>
                <w:rFonts w:ascii="Times New Roman" w:eastAsia="Times New Roman" w:hAnsi="Times New Roman" w:cs="Times New Roman"/>
                <w:color w:val="000000"/>
                <w:sz w:val="14"/>
                <w:szCs w:val="14"/>
                <w:vertAlign w:val="superscript"/>
              </w:rPr>
              <w:t>b</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84.8</w:t>
            </w:r>
            <w:r w:rsidRPr="00E9109B">
              <w:rPr>
                <w:rFonts w:ascii="Times New Roman" w:eastAsia="Times New Roman" w:hAnsi="Times New Roman" w:cs="Times New Roman"/>
                <w:color w:val="000000"/>
                <w:sz w:val="14"/>
                <w:szCs w:val="14"/>
                <w:vertAlign w:val="superscript"/>
              </w:rPr>
              <w:t>b</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CaCl</w:t>
            </w:r>
            <w:r w:rsidRPr="00E9109B">
              <w:rPr>
                <w:rFonts w:ascii="Times New Roman" w:eastAsia="Times New Roman" w:hAnsi="Times New Roman" w:cs="Times New Roman"/>
                <w:b/>
                <w:bCs/>
                <w:color w:val="000000"/>
                <w:sz w:val="14"/>
                <w:szCs w:val="14"/>
                <w:vertAlign w:val="subscript"/>
              </w:rPr>
              <w:t>2</w:t>
            </w:r>
            <w:r w:rsidRPr="00E9109B">
              <w:rPr>
                <w:rFonts w:ascii="Times New Roman" w:eastAsia="Times New Roman" w:hAnsi="Times New Roman" w:cs="Times New Roman"/>
                <w:b/>
                <w:bCs/>
                <w:color w:val="000000"/>
                <w:sz w:val="14"/>
                <w:szCs w:val="14"/>
              </w:rPr>
              <w:t>*</w:t>
            </w:r>
            <w:r w:rsidRPr="00E9109B">
              <w:rPr>
                <w:rFonts w:ascii="Times New Roman" w:hAnsi="Times New Roman"/>
                <w:b/>
                <w:sz w:val="14"/>
                <w:szCs w:val="14"/>
              </w:rPr>
              <w:t>α-GR</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1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r>
      <w:tr w:rsidR="00F14CA8" w:rsidRPr="00E9109B" w:rsidTr="00F14CA8">
        <w:trPr>
          <w:trHeight w:val="315"/>
        </w:trPr>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Canned</w:t>
            </w:r>
          </w:p>
        </w:tc>
        <w:tc>
          <w:tcPr>
            <w:tcW w:w="1483" w:type="dxa"/>
            <w:vMerge w:val="restart"/>
            <w:tcBorders>
              <w:top w:val="nil"/>
              <w:left w:val="single" w:sz="8" w:space="0" w:color="auto"/>
              <w:bottom w:val="single" w:sz="8" w:space="0" w:color="000000"/>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CaCl</w:t>
            </w:r>
            <w:r w:rsidRPr="00E9109B">
              <w:rPr>
                <w:rFonts w:ascii="Times New Roman" w:eastAsia="Times New Roman" w:hAnsi="Times New Roman" w:cs="Times New Roman"/>
                <w:b/>
                <w:bCs/>
                <w:color w:val="000000"/>
                <w:sz w:val="14"/>
                <w:szCs w:val="14"/>
                <w:vertAlign w:val="subscript"/>
              </w:rPr>
              <w:t>2</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43.6</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vertAlign w:val="superscript"/>
              </w:rPr>
            </w:pPr>
            <w:r w:rsidRPr="00E9109B">
              <w:rPr>
                <w:rFonts w:ascii="Times New Roman" w:eastAsia="Times New Roman" w:hAnsi="Times New Roman" w:cs="Times New Roman"/>
                <w:color w:val="000000"/>
                <w:sz w:val="14"/>
                <w:szCs w:val="14"/>
              </w:rPr>
              <w:t>-0.70</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28.5</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865.1</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38.7</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2.74</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25.9</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6.7</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463.0</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39.1</w:t>
            </w:r>
            <w:r w:rsidRPr="00E9109B">
              <w:rPr>
                <w:rFonts w:ascii="Times New Roman" w:eastAsia="Times New Roman" w:hAnsi="Times New Roman" w:cs="Times New Roman"/>
                <w:color w:val="000000"/>
                <w:sz w:val="14"/>
                <w:szCs w:val="14"/>
                <w:vertAlign w:val="superscript"/>
              </w:rPr>
              <w:t>a</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25.8</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7.2</w:t>
            </w:r>
            <w:r w:rsidR="00F14CA8" w:rsidRPr="00E9109B">
              <w:rPr>
                <w:rFonts w:ascii="Times New Roman" w:eastAsia="Times New Roman" w:hAnsi="Times New Roman" w:cs="Times New Roman"/>
                <w:color w:val="000000"/>
                <w:sz w:val="14"/>
                <w:szCs w:val="14"/>
                <w:vertAlign w:val="superscript"/>
              </w:rPr>
              <w:t>a</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257.6</w:t>
            </w:r>
            <w:r w:rsidRPr="00E9109B">
              <w:rPr>
                <w:rFonts w:ascii="Times New Roman" w:eastAsia="Times New Roman" w:hAnsi="Times New Roman" w:cs="Times New Roman"/>
                <w:color w:val="000000"/>
                <w:sz w:val="14"/>
                <w:szCs w:val="14"/>
                <w:vertAlign w:val="superscript"/>
              </w:rPr>
              <w:t>a</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tcBorders>
              <w:top w:val="nil"/>
              <w:left w:val="single" w:sz="8" w:space="0" w:color="auto"/>
              <w:bottom w:val="single" w:sz="8" w:space="0" w:color="000000"/>
              <w:right w:val="nil"/>
            </w:tcBorders>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0.50%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43.1</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0.13</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27.8</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844.0</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36.6</w:t>
            </w:r>
            <w:r w:rsidR="00F14CA8" w:rsidRPr="00E9109B">
              <w:rPr>
                <w:rFonts w:ascii="Times New Roman" w:eastAsia="Times New Roman" w:hAnsi="Times New Roman" w:cs="Times New Roman"/>
                <w:color w:val="000000"/>
                <w:sz w:val="14"/>
                <w:szCs w:val="14"/>
                <w:vertAlign w:val="superscript"/>
              </w:rPr>
              <w:t>b</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3.91</w:t>
            </w:r>
            <w:r w:rsidRPr="00E9109B">
              <w:rPr>
                <w:rFonts w:ascii="Times New Roman" w:eastAsia="Times New Roman" w:hAnsi="Times New Roman" w:cs="Times New Roman"/>
                <w:color w:val="000000"/>
                <w:sz w:val="14"/>
                <w:szCs w:val="14"/>
                <w:vertAlign w:val="superscript"/>
              </w:rPr>
              <w:t>b</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21.7</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9.7</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380.5</w:t>
            </w:r>
            <w:r w:rsidRPr="00E9109B">
              <w:rPr>
                <w:rFonts w:ascii="Times New Roman" w:eastAsia="Times New Roman" w:hAnsi="Times New Roman" w:cs="Times New Roman"/>
                <w:color w:val="000000"/>
                <w:sz w:val="14"/>
                <w:szCs w:val="14"/>
                <w:vertAlign w:val="superscript"/>
              </w:rPr>
              <w:t>b</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34.9</w:t>
            </w:r>
            <w:r w:rsidR="00F14CA8" w:rsidRPr="00E9109B">
              <w:rPr>
                <w:rFonts w:ascii="Times New Roman" w:eastAsia="Times New Roman" w:hAnsi="Times New Roman" w:cs="Times New Roman"/>
                <w:color w:val="000000"/>
                <w:sz w:val="14"/>
                <w:szCs w:val="14"/>
                <w:vertAlign w:val="superscript"/>
              </w:rPr>
              <w:t>b</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4.5</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21.0</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11.5</w:t>
            </w:r>
            <w:r w:rsidRPr="00E9109B">
              <w:rPr>
                <w:rFonts w:ascii="Times New Roman" w:eastAsia="Times New Roman" w:hAnsi="Times New Roman" w:cs="Times New Roman"/>
                <w:color w:val="000000"/>
                <w:sz w:val="14"/>
                <w:szCs w:val="14"/>
                <w:vertAlign w:val="superscript"/>
              </w:rPr>
              <w:t>b</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144.2</w:t>
            </w:r>
            <w:r w:rsidRPr="00E9109B">
              <w:rPr>
                <w:rFonts w:ascii="Times New Roman" w:eastAsia="Times New Roman" w:hAnsi="Times New Roman" w:cs="Times New Roman"/>
                <w:color w:val="000000"/>
                <w:sz w:val="14"/>
                <w:szCs w:val="14"/>
                <w:vertAlign w:val="superscript"/>
              </w:rPr>
              <w:t>b</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val="restart"/>
            <w:tcBorders>
              <w:top w:val="nil"/>
              <w:left w:val="single" w:sz="8" w:space="0" w:color="auto"/>
              <w:bottom w:val="single" w:sz="8" w:space="0" w:color="000000"/>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hAnsi="Times New Roman"/>
                <w:b/>
                <w:sz w:val="14"/>
                <w:szCs w:val="14"/>
              </w:rPr>
              <w:t>α-GR</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43.7</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-0.25</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28.3</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885.3</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36.9</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3.28</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22.3</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9.7</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431.6</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37.1</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4.4</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23.5</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9.5</w:t>
            </w:r>
            <w:r w:rsidR="00F14CA8" w:rsidRPr="00E9109B">
              <w:rPr>
                <w:rFonts w:ascii="Times New Roman" w:eastAsia="Times New Roman" w:hAnsi="Times New Roman" w:cs="Times New Roman"/>
                <w:color w:val="000000"/>
                <w:sz w:val="14"/>
                <w:szCs w:val="14"/>
                <w:vertAlign w:val="superscript"/>
              </w:rPr>
              <w:t>a</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184.8</w:t>
            </w:r>
            <w:r w:rsidRPr="00E9109B">
              <w:rPr>
                <w:rFonts w:ascii="Times New Roman" w:eastAsia="Times New Roman" w:hAnsi="Times New Roman" w:cs="Times New Roman"/>
                <w:color w:val="000000"/>
                <w:sz w:val="14"/>
                <w:szCs w:val="14"/>
                <w:vertAlign w:val="superscript"/>
              </w:rPr>
              <w:t>a</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vMerge/>
            <w:tcBorders>
              <w:top w:val="nil"/>
              <w:left w:val="single" w:sz="8" w:space="0" w:color="auto"/>
              <w:bottom w:val="single" w:sz="8" w:space="0" w:color="000000"/>
              <w:right w:val="nil"/>
            </w:tcBorders>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0.30%</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43.1</w:t>
            </w:r>
            <w:r w:rsidR="00F14CA8" w:rsidRPr="00E9109B">
              <w:rPr>
                <w:rFonts w:ascii="Times New Roman" w:eastAsia="Times New Roman" w:hAnsi="Times New Roman" w:cs="Times New Roman"/>
                <w:color w:val="000000"/>
                <w:sz w:val="14"/>
                <w:szCs w:val="14"/>
                <w:vertAlign w:val="superscript"/>
              </w:rPr>
              <w:t>a</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-0.32</w:t>
            </w:r>
            <w:r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nil"/>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27.9</w:t>
            </w:r>
            <w:r w:rsidR="00F14CA8" w:rsidRPr="00E9109B">
              <w:rPr>
                <w:rFonts w:ascii="Times New Roman" w:eastAsia="Times New Roman" w:hAnsi="Times New Roman" w:cs="Times New Roman"/>
                <w:color w:val="000000"/>
                <w:sz w:val="14"/>
                <w:szCs w:val="14"/>
                <w:vertAlign w:val="superscript"/>
              </w:rPr>
              <w:t>a</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1C0A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w:t>
            </w:r>
            <w:r w:rsidR="00F14CA8" w:rsidRPr="00E9109B">
              <w:rPr>
                <w:rFonts w:ascii="Times New Roman" w:eastAsia="Times New Roman" w:hAnsi="Times New Roman" w:cs="Times New Roman"/>
                <w:color w:val="000000"/>
                <w:sz w:val="14"/>
                <w:szCs w:val="14"/>
                <w:vertAlign w:val="superscript"/>
              </w:rPr>
              <w:t>a</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823.8</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38.1</w:t>
            </w:r>
            <w:r w:rsidR="00F14CA8" w:rsidRPr="00E9109B">
              <w:rPr>
                <w:rFonts w:ascii="Times New Roman" w:eastAsia="Times New Roman" w:hAnsi="Times New Roman" w:cs="Times New Roman"/>
                <w:color w:val="000000"/>
                <w:sz w:val="14"/>
                <w:szCs w:val="14"/>
                <w:vertAlign w:val="superscript"/>
              </w:rPr>
              <w:t>a</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3.46</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24.8</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nil"/>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7.2</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411.9</w:t>
            </w:r>
            <w:r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37.0</w:t>
            </w:r>
            <w:r w:rsidRPr="00E9109B">
              <w:rPr>
                <w:rFonts w:ascii="Times New Roman" w:eastAsia="Times New Roman" w:hAnsi="Times New Roman" w:cs="Times New Roman"/>
                <w:color w:val="000000"/>
                <w:sz w:val="14"/>
                <w:szCs w:val="14"/>
                <w:vertAlign w:val="superscript"/>
              </w:rPr>
              <w:t>a</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3.9</w:t>
            </w:r>
            <w:r w:rsidR="00F14CA8" w:rsidRPr="00E9109B">
              <w:rPr>
                <w:rFonts w:ascii="Times New Roman" w:eastAsia="Times New Roman" w:hAnsi="Times New Roman" w:cs="Times New Roman"/>
                <w:color w:val="000000"/>
                <w:sz w:val="14"/>
                <w:szCs w:val="14"/>
                <w:vertAlign w:val="superscript"/>
              </w:rPr>
              <w:t>b</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20623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23.3</w:t>
            </w:r>
            <w:r w:rsidR="00F14CA8" w:rsidRPr="00E9109B">
              <w:rPr>
                <w:rFonts w:ascii="Times New Roman" w:eastAsia="Times New Roman" w:hAnsi="Times New Roman" w:cs="Times New Roman"/>
                <w:color w:val="000000"/>
                <w:sz w:val="14"/>
                <w:szCs w:val="14"/>
                <w:vertAlign w:val="superscript"/>
              </w:rPr>
              <w:t>a</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206238" w:rsidP="0020623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9.3</w:t>
            </w:r>
            <w:r w:rsidR="00F14CA8" w:rsidRPr="00E9109B">
              <w:rPr>
                <w:rFonts w:ascii="Times New Roman" w:eastAsia="Times New Roman" w:hAnsi="Times New Roman" w:cs="Times New Roman"/>
                <w:color w:val="000000"/>
                <w:sz w:val="14"/>
                <w:szCs w:val="14"/>
                <w:vertAlign w:val="superscript"/>
              </w:rPr>
              <w:t>a</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217.0</w:t>
            </w:r>
            <w:r w:rsidRPr="00E9109B">
              <w:rPr>
                <w:rFonts w:ascii="Times New Roman" w:eastAsia="Times New Roman" w:hAnsi="Times New Roman" w:cs="Times New Roman"/>
                <w:color w:val="000000"/>
                <w:sz w:val="14"/>
                <w:szCs w:val="14"/>
                <w:vertAlign w:val="superscript"/>
              </w:rPr>
              <w:t>b</w:t>
            </w:r>
          </w:p>
        </w:tc>
      </w:tr>
      <w:tr w:rsidR="00F14CA8" w:rsidRPr="00E9109B" w:rsidTr="00F14CA8">
        <w:trPr>
          <w:trHeight w:val="315"/>
        </w:trPr>
        <w:tc>
          <w:tcPr>
            <w:tcW w:w="960" w:type="dxa"/>
            <w:vMerge/>
            <w:tcBorders>
              <w:top w:val="nil"/>
              <w:left w:val="single" w:sz="8"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483"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CaCl</w:t>
            </w:r>
            <w:r w:rsidRPr="00E9109B">
              <w:rPr>
                <w:rFonts w:ascii="Times New Roman" w:eastAsia="Times New Roman" w:hAnsi="Times New Roman" w:cs="Times New Roman"/>
                <w:b/>
                <w:bCs/>
                <w:color w:val="000000"/>
                <w:sz w:val="14"/>
                <w:szCs w:val="14"/>
                <w:vertAlign w:val="subscript"/>
              </w:rPr>
              <w:t>2</w:t>
            </w:r>
            <w:r w:rsidRPr="00E9109B">
              <w:rPr>
                <w:rFonts w:ascii="Times New Roman" w:eastAsia="Times New Roman" w:hAnsi="Times New Roman" w:cs="Times New Roman"/>
                <w:b/>
                <w:bCs/>
                <w:color w:val="000000"/>
                <w:sz w:val="14"/>
                <w:szCs w:val="14"/>
              </w:rPr>
              <w:t>*</w:t>
            </w:r>
            <w:r w:rsidRPr="00E9109B">
              <w:rPr>
                <w:rFonts w:ascii="Times New Roman" w:hAnsi="Times New Roman"/>
                <w:b/>
                <w:sz w:val="14"/>
                <w:szCs w:val="14"/>
              </w:rPr>
              <w:t>α-GR</w:t>
            </w: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both"/>
              <w:rPr>
                <w:rFonts w:ascii="Times New Roman" w:eastAsia="Times New Roman" w:hAnsi="Times New Roman" w:cs="Times New Roman"/>
                <w:color w:val="000000"/>
                <w:sz w:val="14"/>
                <w:szCs w:val="14"/>
              </w:rPr>
            </w:pPr>
          </w:p>
        </w:tc>
        <w:tc>
          <w:tcPr>
            <w:tcW w:w="720"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671"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1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color w:val="000000"/>
                <w:sz w:val="14"/>
                <w:szCs w:val="14"/>
              </w:rPr>
            </w:pPr>
            <w:r w:rsidRPr="00E9109B">
              <w:rPr>
                <w:rFonts w:ascii="Times New Roman" w:eastAsia="Times New Roman" w:hAnsi="Times New Roman" w:cs="Times New Roman"/>
                <w:color w:val="000000"/>
                <w:sz w:val="14"/>
                <w:szCs w:val="14"/>
              </w:rPr>
              <w:t>n.s.</w:t>
            </w:r>
          </w:p>
        </w:tc>
        <w:tc>
          <w:tcPr>
            <w:tcW w:w="572"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1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576"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nil"/>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c>
          <w:tcPr>
            <w:tcW w:w="576" w:type="dxa"/>
            <w:tcBorders>
              <w:top w:val="nil"/>
              <w:left w:val="single" w:sz="8" w:space="0" w:color="auto"/>
              <w:bottom w:val="single" w:sz="8"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n.s.</w:t>
            </w:r>
          </w:p>
        </w:tc>
        <w:tc>
          <w:tcPr>
            <w:tcW w:w="709"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c>
          <w:tcPr>
            <w:tcW w:w="656" w:type="dxa"/>
            <w:tcBorders>
              <w:top w:val="nil"/>
              <w:left w:val="nil"/>
              <w:bottom w:val="single" w:sz="8" w:space="0" w:color="auto"/>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w:t>
            </w:r>
          </w:p>
        </w:tc>
      </w:tr>
    </w:tbl>
    <w:p w:rsidR="00F14CA8" w:rsidRPr="00FA4577" w:rsidRDefault="00F14CA8" w:rsidP="00F14CA8">
      <w:pPr>
        <w:spacing w:after="0" w:line="240" w:lineRule="auto"/>
        <w:rPr>
          <w:rFonts w:ascii="Times New Roman" w:hAnsi="Times New Roman" w:cs="Times New Roman"/>
          <w:sz w:val="14"/>
          <w:szCs w:val="14"/>
        </w:rPr>
      </w:pPr>
      <w:r w:rsidRPr="00FA4577">
        <w:rPr>
          <w:rFonts w:ascii="Times New Roman" w:hAnsi="Times New Roman" w:cs="Times New Roman"/>
          <w:sz w:val="14"/>
          <w:szCs w:val="14"/>
        </w:rPr>
        <w:t>Different letters indicate significant differences (p&lt;0.0</w:t>
      </w:r>
      <w:r>
        <w:rPr>
          <w:rFonts w:ascii="Times New Roman" w:hAnsi="Times New Roman" w:cs="Times New Roman"/>
          <w:sz w:val="14"/>
          <w:szCs w:val="14"/>
        </w:rPr>
        <w:t>5</w:t>
      </w:r>
      <w:r w:rsidRPr="00FA4577">
        <w:rPr>
          <w:rFonts w:ascii="Times New Roman" w:hAnsi="Times New Roman" w:cs="Times New Roman"/>
          <w:sz w:val="14"/>
          <w:szCs w:val="14"/>
        </w:rPr>
        <w:t>) exist between means of the levels within each factor.</w:t>
      </w:r>
    </w:p>
    <w:p w:rsidR="00F14CA8" w:rsidRDefault="00F14CA8" w:rsidP="00F14CA8">
      <w:pPr>
        <w:spacing w:after="0" w:line="240" w:lineRule="auto"/>
        <w:rPr>
          <w:rFonts w:ascii="Times New Roman" w:hAnsi="Times New Roman" w:cs="Times New Roman"/>
          <w:sz w:val="14"/>
          <w:szCs w:val="14"/>
        </w:rPr>
      </w:pPr>
      <w:proofErr w:type="gramStart"/>
      <w:r>
        <w:rPr>
          <w:rFonts w:ascii="Times New Roman" w:hAnsi="Times New Roman" w:cs="Times New Roman"/>
          <w:sz w:val="14"/>
          <w:szCs w:val="14"/>
        </w:rPr>
        <w:t>n.s</w:t>
      </w:r>
      <w:proofErr w:type="gramEnd"/>
      <w:r>
        <w:rPr>
          <w:rFonts w:ascii="Times New Roman" w:hAnsi="Times New Roman" w:cs="Times New Roman"/>
          <w:sz w:val="14"/>
          <w:szCs w:val="14"/>
        </w:rPr>
        <w:t>. and * correspond to non-significant (p&gt;0.05) and significant (p&lt;0.05) effects due to interaction of CaCl</w:t>
      </w:r>
      <w:r w:rsidRPr="00A70E27">
        <w:rPr>
          <w:rFonts w:ascii="Times New Roman" w:hAnsi="Times New Roman" w:cs="Times New Roman"/>
          <w:sz w:val="14"/>
          <w:szCs w:val="14"/>
          <w:vertAlign w:val="subscript"/>
        </w:rPr>
        <w:t>2</w:t>
      </w:r>
      <w:r>
        <w:rPr>
          <w:rFonts w:ascii="Times New Roman" w:hAnsi="Times New Roman" w:cs="Times New Roman"/>
          <w:sz w:val="14"/>
          <w:szCs w:val="14"/>
        </w:rPr>
        <w:t xml:space="preserve"> and flavonoid, respectively.</w:t>
      </w:r>
    </w:p>
    <w:p w:rsidR="00F14CA8" w:rsidRDefault="00F14CA8" w:rsidP="00F14CA8">
      <w:pPr>
        <w:jc w:val="both"/>
        <w:rPr>
          <w:rFonts w:ascii="Times New Roman" w:hAnsi="Times New Roman" w:cs="Times New Roman"/>
          <w:sz w:val="14"/>
          <w:szCs w:val="14"/>
        </w:rPr>
      </w:pPr>
    </w:p>
    <w:p w:rsidR="00F14CA8" w:rsidRDefault="00F14CA8" w:rsidP="00F14CA8">
      <w:pPr>
        <w:jc w:val="both"/>
        <w:rPr>
          <w:rFonts w:ascii="Times New Roman" w:hAnsi="Times New Roman" w:cs="Times New Roman"/>
          <w:sz w:val="14"/>
          <w:szCs w:val="14"/>
        </w:rPr>
      </w:pPr>
    </w:p>
    <w:p w:rsidR="00F14CA8" w:rsidRDefault="00F14CA8" w:rsidP="00F14CA8">
      <w:pPr>
        <w:jc w:val="both"/>
        <w:rPr>
          <w:rFonts w:ascii="Times New Roman" w:hAnsi="Times New Roman" w:cs="Times New Roman"/>
          <w:sz w:val="14"/>
          <w:szCs w:val="14"/>
        </w:rPr>
      </w:pPr>
    </w:p>
    <w:p w:rsidR="00F14CA8" w:rsidRDefault="00F14CA8" w:rsidP="00F14CA8">
      <w:pPr>
        <w:jc w:val="both"/>
        <w:rPr>
          <w:rFonts w:ascii="Times New Roman" w:hAnsi="Times New Roman" w:cs="Times New Roman"/>
          <w:sz w:val="14"/>
          <w:szCs w:val="14"/>
        </w:rPr>
      </w:pPr>
    </w:p>
    <w:p w:rsidR="00F14CA8" w:rsidRDefault="00F14CA8" w:rsidP="00F14CA8">
      <w:pPr>
        <w:jc w:val="both"/>
        <w:rPr>
          <w:rFonts w:ascii="Times New Roman" w:hAnsi="Times New Roman" w:cs="Times New Roman"/>
          <w:sz w:val="14"/>
          <w:szCs w:val="14"/>
        </w:rPr>
      </w:pPr>
    </w:p>
    <w:p w:rsidR="00F14CA8" w:rsidRDefault="00F14CA8" w:rsidP="00F14CA8">
      <w:pPr>
        <w:jc w:val="both"/>
        <w:rPr>
          <w:rFonts w:ascii="Times New Roman" w:hAnsi="Times New Roman" w:cs="Times New Roman"/>
          <w:sz w:val="14"/>
          <w:szCs w:val="14"/>
        </w:rPr>
      </w:pPr>
    </w:p>
    <w:p w:rsidR="00F14CA8" w:rsidRDefault="00F14CA8" w:rsidP="00F14CA8">
      <w:pPr>
        <w:rPr>
          <w:rFonts w:ascii="Times New Roman" w:hAnsi="Times New Roman" w:cs="Times New Roman"/>
          <w:b/>
          <w:sz w:val="24"/>
          <w:szCs w:val="24"/>
        </w:rPr>
      </w:pPr>
      <w:r>
        <w:rPr>
          <w:rFonts w:ascii="Times New Roman" w:hAnsi="Times New Roman" w:cs="Times New Roman"/>
          <w:b/>
          <w:sz w:val="24"/>
          <w:szCs w:val="24"/>
        </w:rPr>
        <w:br w:type="page"/>
      </w:r>
    </w:p>
    <w:p w:rsidR="00F14CA8" w:rsidRPr="00A70E27" w:rsidRDefault="00F14CA8" w:rsidP="00F14CA8">
      <w:pPr>
        <w:jc w:val="both"/>
        <w:rPr>
          <w:rFonts w:ascii="Times New Roman" w:hAnsi="Times New Roman" w:cs="Times New Roman"/>
          <w:b/>
          <w:sz w:val="24"/>
          <w:szCs w:val="24"/>
        </w:rPr>
      </w:pPr>
      <w:r w:rsidRPr="00A70E27">
        <w:rPr>
          <w:rFonts w:ascii="Times New Roman" w:hAnsi="Times New Roman" w:cs="Times New Roman"/>
          <w:b/>
          <w:sz w:val="24"/>
          <w:szCs w:val="24"/>
        </w:rPr>
        <w:lastRenderedPageBreak/>
        <w:t>Table 3: Rate constants of L*, a*, ∆E* and ascorbic acid</w:t>
      </w:r>
    </w:p>
    <w:tbl>
      <w:tblPr>
        <w:tblW w:w="13681" w:type="dxa"/>
        <w:tblInd w:w="90" w:type="dxa"/>
        <w:tblLook w:val="04A0"/>
      </w:tblPr>
      <w:tblGrid>
        <w:gridCol w:w="750"/>
        <w:gridCol w:w="1060"/>
        <w:gridCol w:w="711"/>
        <w:gridCol w:w="1570"/>
        <w:gridCol w:w="496"/>
        <w:gridCol w:w="745"/>
        <w:gridCol w:w="1459"/>
        <w:gridCol w:w="496"/>
        <w:gridCol w:w="719"/>
        <w:gridCol w:w="1595"/>
        <w:gridCol w:w="514"/>
        <w:gridCol w:w="812"/>
        <w:gridCol w:w="1493"/>
        <w:gridCol w:w="496"/>
        <w:gridCol w:w="765"/>
      </w:tblGrid>
      <w:tr w:rsidR="00F14CA8" w:rsidRPr="00E9109B" w:rsidTr="00F14CA8">
        <w:trPr>
          <w:trHeight w:val="300"/>
        </w:trPr>
        <w:tc>
          <w:tcPr>
            <w:tcW w:w="75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Source</w:t>
            </w:r>
          </w:p>
        </w:tc>
        <w:tc>
          <w:tcPr>
            <w:tcW w:w="1060" w:type="dxa"/>
            <w:vMerge w:val="restart"/>
            <w:tcBorders>
              <w:top w:val="single" w:sz="4" w:space="0" w:color="auto"/>
              <w:left w:val="single" w:sz="4" w:space="0" w:color="auto"/>
              <w:bottom w:val="single" w:sz="8" w:space="0" w:color="000000"/>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Treatment</w:t>
            </w:r>
          </w:p>
        </w:tc>
        <w:tc>
          <w:tcPr>
            <w:tcW w:w="3522" w:type="dxa"/>
            <w:gridSpan w:val="4"/>
            <w:tcBorders>
              <w:top w:val="single" w:sz="8" w:space="0" w:color="auto"/>
              <w:left w:val="nil"/>
              <w:bottom w:val="single" w:sz="4" w:space="0" w:color="auto"/>
              <w:right w:val="single" w:sz="8"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L*</w:t>
            </w:r>
          </w:p>
        </w:tc>
        <w:tc>
          <w:tcPr>
            <w:tcW w:w="2674" w:type="dxa"/>
            <w:gridSpan w:val="3"/>
            <w:tcBorders>
              <w:top w:val="single" w:sz="8" w:space="0" w:color="auto"/>
              <w:left w:val="nil"/>
              <w:bottom w:val="single" w:sz="4" w:space="0" w:color="auto"/>
              <w:right w:val="single" w:sz="8"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a*</w:t>
            </w:r>
          </w:p>
        </w:tc>
        <w:tc>
          <w:tcPr>
            <w:tcW w:w="2921" w:type="dxa"/>
            <w:gridSpan w:val="3"/>
            <w:tcBorders>
              <w:top w:val="single" w:sz="8" w:space="0" w:color="auto"/>
              <w:left w:val="nil"/>
              <w:bottom w:val="single" w:sz="4" w:space="0" w:color="auto"/>
              <w:right w:val="nil"/>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∆E*</w:t>
            </w:r>
          </w:p>
        </w:tc>
        <w:tc>
          <w:tcPr>
            <w:tcW w:w="2754"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Ascorbic Acid</w:t>
            </w:r>
          </w:p>
        </w:tc>
      </w:tr>
      <w:tr w:rsidR="00F14CA8" w:rsidRPr="00E9109B" w:rsidTr="00F14CA8">
        <w:trPr>
          <w:trHeight w:val="315"/>
        </w:trPr>
        <w:tc>
          <w:tcPr>
            <w:tcW w:w="750" w:type="dxa"/>
            <w:vMerge/>
            <w:tcBorders>
              <w:top w:val="single" w:sz="4" w:space="0" w:color="auto"/>
              <w:left w:val="single" w:sz="4" w:space="0" w:color="auto"/>
              <w:bottom w:val="single" w:sz="4" w:space="0" w:color="000000"/>
              <w:right w:val="single" w:sz="4"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tcBorders>
              <w:top w:val="single" w:sz="4" w:space="0" w:color="auto"/>
              <w:left w:val="single" w:sz="4" w:space="0" w:color="auto"/>
              <w:bottom w:val="single" w:sz="8" w:space="0" w:color="000000"/>
              <w:right w:val="single" w:sz="8" w:space="0" w:color="auto"/>
            </w:tcBorders>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p>
        </w:tc>
        <w:tc>
          <w:tcPr>
            <w:tcW w:w="711" w:type="dxa"/>
            <w:tcBorders>
              <w:top w:val="nil"/>
              <w:left w:val="nil"/>
              <w:bottom w:val="nil"/>
              <w:right w:val="single" w:sz="4"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Temp.</w:t>
            </w:r>
          </w:p>
        </w:tc>
        <w:tc>
          <w:tcPr>
            <w:tcW w:w="1570" w:type="dxa"/>
            <w:tcBorders>
              <w:top w:val="single" w:sz="4" w:space="0" w:color="auto"/>
              <w:left w:val="nil"/>
              <w:bottom w:val="nil"/>
              <w:right w:val="single" w:sz="4"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k (day</w:t>
            </w:r>
            <w:r w:rsidRPr="00E9109B">
              <w:rPr>
                <w:rFonts w:ascii="Times New Roman" w:eastAsia="Times New Roman" w:hAnsi="Times New Roman" w:cs="Times New Roman"/>
                <w:b/>
                <w:bCs/>
                <w:color w:val="000000"/>
                <w:sz w:val="14"/>
                <w:szCs w:val="14"/>
                <w:vertAlign w:val="superscript"/>
              </w:rPr>
              <w:t>-1</w:t>
            </w:r>
            <w:r w:rsidRPr="00E9109B">
              <w:rPr>
                <w:rFonts w:ascii="Times New Roman" w:eastAsia="Times New Roman" w:hAnsi="Times New Roman" w:cs="Times New Roman"/>
                <w:b/>
                <w:bCs/>
                <w:color w:val="000000"/>
                <w:sz w:val="14"/>
                <w:szCs w:val="14"/>
              </w:rPr>
              <w:t>)</w:t>
            </w:r>
          </w:p>
        </w:tc>
        <w:tc>
          <w:tcPr>
            <w:tcW w:w="496" w:type="dxa"/>
            <w:tcBorders>
              <w:top w:val="nil"/>
              <w:left w:val="nil"/>
              <w:bottom w:val="nil"/>
              <w:right w:val="single" w:sz="4"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R</w:t>
            </w:r>
            <w:r w:rsidRPr="00E9109B">
              <w:rPr>
                <w:rFonts w:ascii="Times New Roman" w:eastAsia="Times New Roman" w:hAnsi="Times New Roman" w:cs="Times New Roman"/>
                <w:b/>
                <w:bCs/>
                <w:color w:val="000000"/>
                <w:sz w:val="14"/>
                <w:szCs w:val="14"/>
                <w:vertAlign w:val="superscript"/>
              </w:rPr>
              <w:t>2</w:t>
            </w:r>
          </w:p>
        </w:tc>
        <w:tc>
          <w:tcPr>
            <w:tcW w:w="745" w:type="dxa"/>
            <w:tcBorders>
              <w:top w:val="nil"/>
              <w:left w:val="nil"/>
              <w:bottom w:val="nil"/>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RMSE</w:t>
            </w:r>
          </w:p>
        </w:tc>
        <w:tc>
          <w:tcPr>
            <w:tcW w:w="1459" w:type="dxa"/>
            <w:tcBorders>
              <w:top w:val="single" w:sz="4" w:space="0" w:color="auto"/>
              <w:left w:val="nil"/>
              <w:bottom w:val="nil"/>
              <w:right w:val="single" w:sz="4"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k (day</w:t>
            </w:r>
            <w:r w:rsidRPr="00E9109B">
              <w:rPr>
                <w:rFonts w:ascii="Times New Roman" w:eastAsia="Times New Roman" w:hAnsi="Times New Roman" w:cs="Times New Roman"/>
                <w:b/>
                <w:bCs/>
                <w:color w:val="000000"/>
                <w:sz w:val="14"/>
                <w:szCs w:val="14"/>
                <w:vertAlign w:val="superscript"/>
              </w:rPr>
              <w:t>-1</w:t>
            </w:r>
            <w:r w:rsidRPr="00E9109B">
              <w:rPr>
                <w:rFonts w:ascii="Times New Roman" w:eastAsia="Times New Roman" w:hAnsi="Times New Roman" w:cs="Times New Roman"/>
                <w:b/>
                <w:bCs/>
                <w:color w:val="000000"/>
                <w:sz w:val="14"/>
                <w:szCs w:val="14"/>
              </w:rPr>
              <w:t>)</w:t>
            </w:r>
          </w:p>
        </w:tc>
        <w:tc>
          <w:tcPr>
            <w:tcW w:w="496" w:type="dxa"/>
            <w:tcBorders>
              <w:top w:val="nil"/>
              <w:left w:val="nil"/>
              <w:bottom w:val="nil"/>
              <w:right w:val="single" w:sz="4"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R</w:t>
            </w:r>
            <w:r w:rsidRPr="00E9109B">
              <w:rPr>
                <w:rFonts w:ascii="Times New Roman" w:eastAsia="Times New Roman" w:hAnsi="Times New Roman" w:cs="Times New Roman"/>
                <w:b/>
                <w:bCs/>
                <w:color w:val="000000"/>
                <w:sz w:val="14"/>
                <w:szCs w:val="14"/>
                <w:vertAlign w:val="superscript"/>
              </w:rPr>
              <w:t>2</w:t>
            </w:r>
          </w:p>
        </w:tc>
        <w:tc>
          <w:tcPr>
            <w:tcW w:w="719" w:type="dxa"/>
            <w:tcBorders>
              <w:top w:val="nil"/>
              <w:left w:val="nil"/>
              <w:bottom w:val="nil"/>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RMSE</w:t>
            </w:r>
          </w:p>
        </w:tc>
        <w:tc>
          <w:tcPr>
            <w:tcW w:w="1595" w:type="dxa"/>
            <w:tcBorders>
              <w:top w:val="single" w:sz="4" w:space="0" w:color="auto"/>
              <w:left w:val="nil"/>
              <w:bottom w:val="nil"/>
              <w:right w:val="single" w:sz="4"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k (day</w:t>
            </w:r>
            <w:r w:rsidRPr="00E9109B">
              <w:rPr>
                <w:rFonts w:ascii="Times New Roman" w:eastAsia="Times New Roman" w:hAnsi="Times New Roman" w:cs="Times New Roman"/>
                <w:b/>
                <w:bCs/>
                <w:color w:val="000000"/>
                <w:sz w:val="14"/>
                <w:szCs w:val="14"/>
                <w:vertAlign w:val="superscript"/>
              </w:rPr>
              <w:t>-1</w:t>
            </w:r>
            <w:r w:rsidRPr="00E9109B">
              <w:rPr>
                <w:rFonts w:ascii="Times New Roman" w:eastAsia="Times New Roman" w:hAnsi="Times New Roman" w:cs="Times New Roman"/>
                <w:b/>
                <w:bCs/>
                <w:color w:val="000000"/>
                <w:sz w:val="14"/>
                <w:szCs w:val="14"/>
              </w:rPr>
              <w:t>)</w:t>
            </w:r>
          </w:p>
        </w:tc>
        <w:tc>
          <w:tcPr>
            <w:tcW w:w="514" w:type="dxa"/>
            <w:tcBorders>
              <w:top w:val="nil"/>
              <w:left w:val="nil"/>
              <w:bottom w:val="nil"/>
              <w:right w:val="single" w:sz="4"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R</w:t>
            </w:r>
            <w:r w:rsidRPr="00E9109B">
              <w:rPr>
                <w:rFonts w:ascii="Times New Roman" w:eastAsia="Times New Roman" w:hAnsi="Times New Roman" w:cs="Times New Roman"/>
                <w:b/>
                <w:bCs/>
                <w:color w:val="000000"/>
                <w:sz w:val="14"/>
                <w:szCs w:val="14"/>
                <w:vertAlign w:val="superscript"/>
              </w:rPr>
              <w:t>2</w:t>
            </w:r>
          </w:p>
        </w:tc>
        <w:tc>
          <w:tcPr>
            <w:tcW w:w="812" w:type="dxa"/>
            <w:tcBorders>
              <w:top w:val="nil"/>
              <w:left w:val="nil"/>
              <w:bottom w:val="nil"/>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RMSE</w:t>
            </w:r>
          </w:p>
        </w:tc>
        <w:tc>
          <w:tcPr>
            <w:tcW w:w="1493" w:type="dxa"/>
            <w:tcBorders>
              <w:top w:val="single" w:sz="4" w:space="0" w:color="auto"/>
              <w:left w:val="nil"/>
              <w:bottom w:val="nil"/>
              <w:right w:val="single" w:sz="4" w:space="0" w:color="000000"/>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k (day</w:t>
            </w:r>
            <w:r w:rsidRPr="00E9109B">
              <w:rPr>
                <w:rFonts w:ascii="Times New Roman" w:eastAsia="Times New Roman" w:hAnsi="Times New Roman" w:cs="Times New Roman"/>
                <w:b/>
                <w:bCs/>
                <w:color w:val="000000"/>
                <w:sz w:val="14"/>
                <w:szCs w:val="14"/>
                <w:vertAlign w:val="superscript"/>
              </w:rPr>
              <w:t>-1</w:t>
            </w:r>
            <w:r w:rsidRPr="00E9109B">
              <w:rPr>
                <w:rFonts w:ascii="Times New Roman" w:eastAsia="Times New Roman" w:hAnsi="Times New Roman" w:cs="Times New Roman"/>
                <w:b/>
                <w:bCs/>
                <w:color w:val="000000"/>
                <w:sz w:val="14"/>
                <w:szCs w:val="14"/>
              </w:rPr>
              <w:t>)</w:t>
            </w:r>
          </w:p>
        </w:tc>
        <w:tc>
          <w:tcPr>
            <w:tcW w:w="496" w:type="dxa"/>
            <w:tcBorders>
              <w:top w:val="nil"/>
              <w:left w:val="nil"/>
              <w:bottom w:val="nil"/>
              <w:right w:val="single" w:sz="4"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R</w:t>
            </w:r>
            <w:r w:rsidRPr="00E9109B">
              <w:rPr>
                <w:rFonts w:ascii="Times New Roman" w:eastAsia="Times New Roman" w:hAnsi="Times New Roman" w:cs="Times New Roman"/>
                <w:b/>
                <w:bCs/>
                <w:color w:val="000000"/>
                <w:sz w:val="14"/>
                <w:szCs w:val="14"/>
                <w:vertAlign w:val="superscript"/>
              </w:rPr>
              <w:t>2</w:t>
            </w:r>
          </w:p>
        </w:tc>
        <w:tc>
          <w:tcPr>
            <w:tcW w:w="765" w:type="dxa"/>
            <w:tcBorders>
              <w:top w:val="nil"/>
              <w:left w:val="nil"/>
              <w:bottom w:val="nil"/>
              <w:right w:val="single" w:sz="8" w:space="0" w:color="auto"/>
            </w:tcBorders>
            <w:shd w:val="clear" w:color="auto" w:fill="auto"/>
            <w:noWrap/>
            <w:vAlign w:val="center"/>
            <w:hideMark/>
          </w:tcPr>
          <w:p w:rsidR="00F14CA8" w:rsidRPr="00E9109B" w:rsidRDefault="00F14CA8"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RMSE</w:t>
            </w:r>
          </w:p>
        </w:tc>
      </w:tr>
      <w:tr w:rsidR="00342C5A" w:rsidRPr="00E9109B" w:rsidTr="00924E92">
        <w:trPr>
          <w:trHeight w:val="300"/>
        </w:trPr>
        <w:tc>
          <w:tcPr>
            <w:tcW w:w="750" w:type="dxa"/>
            <w:vMerge w:val="restart"/>
            <w:tcBorders>
              <w:top w:val="nil"/>
              <w:left w:val="single" w:sz="4" w:space="0" w:color="auto"/>
              <w:bottom w:val="single" w:sz="4" w:space="0" w:color="auto"/>
              <w:right w:val="nil"/>
            </w:tcBorders>
            <w:shd w:val="clear" w:color="auto" w:fill="auto"/>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Fresh</w:t>
            </w:r>
          </w:p>
        </w:tc>
        <w:tc>
          <w:tcPr>
            <w:tcW w:w="1060" w:type="dxa"/>
            <w:vMerge w:val="restart"/>
            <w:tcBorders>
              <w:top w:val="nil"/>
              <w:left w:val="single" w:sz="8" w:space="0" w:color="auto"/>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Control</w:t>
            </w:r>
          </w:p>
        </w:tc>
        <w:tc>
          <w:tcPr>
            <w:tcW w:w="71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-0.15 ± 0.02</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0.86</w:t>
            </w:r>
          </w:p>
        </w:tc>
        <w:tc>
          <w:tcPr>
            <w:tcW w:w="745"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1.03</w:t>
            </w:r>
          </w:p>
        </w:tc>
        <w:tc>
          <w:tcPr>
            <w:tcW w:w="1459"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0.06 ± 0.01</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0.72</w:t>
            </w:r>
          </w:p>
        </w:tc>
        <w:tc>
          <w:tcPr>
            <w:tcW w:w="719"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0.67</w:t>
            </w:r>
          </w:p>
        </w:tc>
        <w:tc>
          <w:tcPr>
            <w:tcW w:w="1595"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0.18 ± 0.02</w:t>
            </w:r>
          </w:p>
        </w:tc>
        <w:tc>
          <w:tcPr>
            <w:tcW w:w="514"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0.88</w:t>
            </w:r>
          </w:p>
        </w:tc>
        <w:tc>
          <w:tcPr>
            <w:tcW w:w="812"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1.12</w:t>
            </w:r>
          </w:p>
        </w:tc>
        <w:tc>
          <w:tcPr>
            <w:tcW w:w="1493"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-6.6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0.5</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0.96</w:t>
            </w:r>
          </w:p>
        </w:tc>
        <w:tc>
          <w:tcPr>
            <w:tcW w:w="765"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24.80</w:t>
            </w:r>
          </w:p>
        </w:tc>
      </w:tr>
      <w:tr w:rsidR="00342C5A" w:rsidRPr="00E9109B" w:rsidTr="00924E92">
        <w:trPr>
          <w:trHeight w:val="315"/>
        </w:trPr>
        <w:tc>
          <w:tcPr>
            <w:tcW w:w="75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tcBorders>
              <w:top w:val="nil"/>
              <w:left w:val="single" w:sz="8"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940D75">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-0.03 ± 0.003</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0.90</w:t>
            </w:r>
          </w:p>
        </w:tc>
        <w:tc>
          <w:tcPr>
            <w:tcW w:w="745"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0.92</w:t>
            </w:r>
          </w:p>
        </w:tc>
        <w:tc>
          <w:tcPr>
            <w:tcW w:w="1459"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0.014 ± 0.003</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0.68</w:t>
            </w:r>
          </w:p>
        </w:tc>
        <w:tc>
          <w:tcPr>
            <w:tcW w:w="719"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1.05</w:t>
            </w:r>
          </w:p>
        </w:tc>
        <w:tc>
          <w:tcPr>
            <w:tcW w:w="1595" w:type="dxa"/>
            <w:tcBorders>
              <w:top w:val="nil"/>
              <w:left w:val="nil"/>
              <w:bottom w:val="nil"/>
              <w:right w:val="nil"/>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0.03 ± 0.003</w:t>
            </w:r>
          </w:p>
        </w:tc>
        <w:tc>
          <w:tcPr>
            <w:tcW w:w="514" w:type="dxa"/>
            <w:tcBorders>
              <w:top w:val="nil"/>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0.92</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1.07</w:t>
            </w:r>
          </w:p>
        </w:tc>
        <w:tc>
          <w:tcPr>
            <w:tcW w:w="1493" w:type="dxa"/>
            <w:tcBorders>
              <w:top w:val="single" w:sz="4" w:space="0" w:color="auto"/>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-1.6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0.1</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38.88</w:t>
            </w:r>
          </w:p>
        </w:tc>
      </w:tr>
      <w:tr w:rsidR="00342C5A" w:rsidRPr="00E9109B" w:rsidTr="00924E92">
        <w:trPr>
          <w:trHeight w:val="300"/>
        </w:trPr>
        <w:tc>
          <w:tcPr>
            <w:tcW w:w="75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val="restart"/>
            <w:tcBorders>
              <w:top w:val="single" w:sz="8" w:space="0" w:color="auto"/>
              <w:left w:val="single" w:sz="8" w:space="0" w:color="auto"/>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CaCl2</w:t>
            </w:r>
          </w:p>
        </w:tc>
        <w:tc>
          <w:tcPr>
            <w:tcW w:w="71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-0.14 ± 0.03</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0.69</w:t>
            </w:r>
          </w:p>
        </w:tc>
        <w:tc>
          <w:tcPr>
            <w:tcW w:w="745"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1.57</w:t>
            </w:r>
          </w:p>
        </w:tc>
        <w:tc>
          <w:tcPr>
            <w:tcW w:w="1459"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0.13 ± 0.01</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0.69</w:t>
            </w:r>
          </w:p>
        </w:tc>
        <w:tc>
          <w:tcPr>
            <w:tcW w:w="719"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1.57</w:t>
            </w:r>
          </w:p>
        </w:tc>
        <w:tc>
          <w:tcPr>
            <w:tcW w:w="1595" w:type="dxa"/>
            <w:tcBorders>
              <w:top w:val="single" w:sz="8" w:space="0" w:color="auto"/>
              <w:left w:val="single" w:sz="4" w:space="0" w:color="auto"/>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0.19 ± 0.02</w:t>
            </w:r>
          </w:p>
        </w:tc>
        <w:tc>
          <w:tcPr>
            <w:tcW w:w="514"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w:t>
            </w:r>
          </w:p>
        </w:tc>
        <w:tc>
          <w:tcPr>
            <w:tcW w:w="812"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1.06</w:t>
            </w:r>
          </w:p>
        </w:tc>
        <w:tc>
          <w:tcPr>
            <w:tcW w:w="1493"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-8.2 </w:t>
            </w:r>
            <w:r w:rsidR="000C548C" w:rsidRPr="00E9109B">
              <w:rPr>
                <w:rFonts w:ascii="Times New Roman" w:eastAsia="Times New Roman" w:hAnsi="Times New Roman" w:cs="Times New Roman"/>
                <w:color w:val="000000"/>
                <w:sz w:val="14"/>
                <w:szCs w:val="14"/>
              </w:rPr>
              <w:t>± 0</w:t>
            </w:r>
            <w:r w:rsidRPr="00E9109B">
              <w:rPr>
                <w:rFonts w:ascii="Times New Roman" w:eastAsia="Times New Roman" w:hAnsi="Times New Roman" w:cs="Times New Roman"/>
                <w:color w:val="000000"/>
                <w:sz w:val="14"/>
                <w:szCs w:val="14"/>
              </w:rPr>
              <w:t>.5</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0.97</w:t>
            </w:r>
          </w:p>
        </w:tc>
        <w:tc>
          <w:tcPr>
            <w:tcW w:w="765"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24.41</w:t>
            </w:r>
          </w:p>
        </w:tc>
      </w:tr>
      <w:tr w:rsidR="00342C5A" w:rsidRPr="00E9109B" w:rsidTr="00924E92">
        <w:trPr>
          <w:trHeight w:val="300"/>
        </w:trPr>
        <w:tc>
          <w:tcPr>
            <w:tcW w:w="75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tcBorders>
              <w:top w:val="single" w:sz="8" w:space="0" w:color="auto"/>
              <w:left w:val="single" w:sz="8"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-0.03 ± 0.01</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0.76</w:t>
            </w:r>
          </w:p>
        </w:tc>
        <w:tc>
          <w:tcPr>
            <w:tcW w:w="745" w:type="dxa"/>
            <w:tcBorders>
              <w:top w:val="nil"/>
              <w:left w:val="nil"/>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1.67</w:t>
            </w:r>
          </w:p>
        </w:tc>
        <w:tc>
          <w:tcPr>
            <w:tcW w:w="1459" w:type="dxa"/>
            <w:tcBorders>
              <w:top w:val="nil"/>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0.016 ± 0.002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0.84</w:t>
            </w:r>
          </w:p>
        </w:tc>
        <w:tc>
          <w:tcPr>
            <w:tcW w:w="719"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0.77</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0.03 ± 0.01</w:t>
            </w:r>
          </w:p>
        </w:tc>
        <w:tc>
          <w:tcPr>
            <w:tcW w:w="514"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0.74</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1.93</w:t>
            </w:r>
          </w:p>
        </w:tc>
        <w:tc>
          <w:tcPr>
            <w:tcW w:w="1493"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-1.6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0.1</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40.10</w:t>
            </w:r>
          </w:p>
        </w:tc>
      </w:tr>
      <w:tr w:rsidR="00342C5A" w:rsidRPr="00E9109B" w:rsidTr="00924E92">
        <w:trPr>
          <w:trHeight w:val="300"/>
        </w:trPr>
        <w:tc>
          <w:tcPr>
            <w:tcW w:w="75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val="restart"/>
            <w:tcBorders>
              <w:top w:val="nil"/>
              <w:left w:val="single" w:sz="4" w:space="0" w:color="auto"/>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hAnsi="Times New Roman"/>
                <w:sz w:val="14"/>
                <w:szCs w:val="14"/>
              </w:rPr>
              <w:t>α-GR</w:t>
            </w: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-0.15 ± 0.03</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0.79</w:t>
            </w:r>
          </w:p>
        </w:tc>
        <w:tc>
          <w:tcPr>
            <w:tcW w:w="745"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1.37</w:t>
            </w:r>
          </w:p>
        </w:tc>
        <w:tc>
          <w:tcPr>
            <w:tcW w:w="1459" w:type="dxa"/>
            <w:tcBorders>
              <w:top w:val="nil"/>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0.11 ± 0.02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0.89</w:t>
            </w:r>
          </w:p>
        </w:tc>
        <w:tc>
          <w:tcPr>
            <w:tcW w:w="719"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0.54</w:t>
            </w:r>
          </w:p>
        </w:tc>
        <w:tc>
          <w:tcPr>
            <w:tcW w:w="1595" w:type="dxa"/>
            <w:tcBorders>
              <w:top w:val="nil"/>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0.15 ± 0.01</w:t>
            </w:r>
          </w:p>
        </w:tc>
        <w:tc>
          <w:tcPr>
            <w:tcW w:w="514"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0.92</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0.77</w:t>
            </w:r>
          </w:p>
        </w:tc>
        <w:tc>
          <w:tcPr>
            <w:tcW w:w="1493" w:type="dxa"/>
            <w:tcBorders>
              <w:top w:val="nil"/>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-7.7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0.5</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0.97</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24.47</w:t>
            </w:r>
          </w:p>
        </w:tc>
      </w:tr>
      <w:tr w:rsidR="00342C5A" w:rsidRPr="00E9109B" w:rsidTr="00924E92">
        <w:trPr>
          <w:trHeight w:val="315"/>
        </w:trPr>
        <w:tc>
          <w:tcPr>
            <w:tcW w:w="75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nil"/>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-0.03 ± 0.01</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0.74</w:t>
            </w:r>
          </w:p>
        </w:tc>
        <w:tc>
          <w:tcPr>
            <w:tcW w:w="745" w:type="dxa"/>
            <w:tcBorders>
              <w:top w:val="nil"/>
              <w:left w:val="nil"/>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1.49</w:t>
            </w:r>
          </w:p>
        </w:tc>
        <w:tc>
          <w:tcPr>
            <w:tcW w:w="14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0.022 ± 0.006</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0.67</w:t>
            </w:r>
          </w:p>
        </w:tc>
        <w:tc>
          <w:tcPr>
            <w:tcW w:w="719"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1.25</w:t>
            </w:r>
          </w:p>
        </w:tc>
        <w:tc>
          <w:tcPr>
            <w:tcW w:w="1595" w:type="dxa"/>
            <w:tcBorders>
              <w:top w:val="nil"/>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0.03 ± 0.01</w:t>
            </w:r>
          </w:p>
        </w:tc>
        <w:tc>
          <w:tcPr>
            <w:tcW w:w="514"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0.83</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1.44</w:t>
            </w:r>
          </w:p>
        </w:tc>
        <w:tc>
          <w:tcPr>
            <w:tcW w:w="1493"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-1.9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65.70</w:t>
            </w:r>
          </w:p>
        </w:tc>
      </w:tr>
      <w:tr w:rsidR="00342C5A" w:rsidRPr="00E9109B" w:rsidTr="00924E92">
        <w:trPr>
          <w:trHeight w:val="300"/>
        </w:trPr>
        <w:tc>
          <w:tcPr>
            <w:tcW w:w="75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val="restart"/>
            <w:tcBorders>
              <w:top w:val="single" w:sz="8" w:space="0" w:color="auto"/>
              <w:left w:val="single" w:sz="8" w:space="0" w:color="auto"/>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hAnsi="Times New Roman"/>
                <w:sz w:val="14"/>
                <w:szCs w:val="14"/>
              </w:rPr>
              <w:t>α-GR</w:t>
            </w: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71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-0.13 ± 0.03</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0.74</w:t>
            </w:r>
          </w:p>
        </w:tc>
        <w:tc>
          <w:tcPr>
            <w:tcW w:w="745"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1.33</w:t>
            </w:r>
          </w:p>
        </w:tc>
        <w:tc>
          <w:tcPr>
            <w:tcW w:w="1459" w:type="dxa"/>
            <w:tcBorders>
              <w:top w:val="nil"/>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0.06 ± 0.01</w:t>
            </w:r>
          </w:p>
        </w:tc>
        <w:tc>
          <w:tcPr>
            <w:tcW w:w="496" w:type="dxa"/>
            <w:tcBorders>
              <w:top w:val="nil"/>
              <w:left w:val="nil"/>
              <w:bottom w:val="nil"/>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0.69</w:t>
            </w:r>
          </w:p>
        </w:tc>
        <w:tc>
          <w:tcPr>
            <w:tcW w:w="719" w:type="dxa"/>
            <w:tcBorders>
              <w:top w:val="nil"/>
              <w:left w:val="nil"/>
              <w:bottom w:val="nil"/>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0.78</w:t>
            </w:r>
          </w:p>
        </w:tc>
        <w:tc>
          <w:tcPr>
            <w:tcW w:w="1595" w:type="dxa"/>
            <w:tcBorders>
              <w:top w:val="nil"/>
              <w:left w:val="single" w:sz="4" w:space="0" w:color="auto"/>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0.14 ± 0.01</w:t>
            </w:r>
          </w:p>
        </w:tc>
        <w:tc>
          <w:tcPr>
            <w:tcW w:w="514"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0.98</w:t>
            </w:r>
          </w:p>
        </w:tc>
        <w:tc>
          <w:tcPr>
            <w:tcW w:w="812"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0.32</w:t>
            </w:r>
          </w:p>
        </w:tc>
        <w:tc>
          <w:tcPr>
            <w:tcW w:w="1493"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-7.2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0.5</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765"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29.45</w:t>
            </w:r>
          </w:p>
        </w:tc>
      </w:tr>
      <w:tr w:rsidR="00342C5A" w:rsidRPr="00E9109B" w:rsidTr="00924E92">
        <w:trPr>
          <w:trHeight w:val="300"/>
        </w:trPr>
        <w:tc>
          <w:tcPr>
            <w:tcW w:w="75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tcBorders>
              <w:top w:val="single" w:sz="8" w:space="0" w:color="auto"/>
              <w:left w:val="single" w:sz="8"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-0.03 ± 0.01</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0.70</w:t>
            </w:r>
          </w:p>
        </w:tc>
        <w:tc>
          <w:tcPr>
            <w:tcW w:w="745" w:type="dxa"/>
            <w:tcBorders>
              <w:top w:val="nil"/>
              <w:left w:val="nil"/>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1.82</w:t>
            </w:r>
          </w:p>
        </w:tc>
        <w:tc>
          <w:tcPr>
            <w:tcW w:w="1459"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0.016 ± 0.003</w:t>
            </w:r>
          </w:p>
        </w:tc>
        <w:tc>
          <w:tcPr>
            <w:tcW w:w="496"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0.76</w:t>
            </w:r>
          </w:p>
        </w:tc>
        <w:tc>
          <w:tcPr>
            <w:tcW w:w="719" w:type="dxa"/>
            <w:tcBorders>
              <w:top w:val="single" w:sz="4"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0.98</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0.03 ± 0.01</w:t>
            </w:r>
          </w:p>
        </w:tc>
        <w:tc>
          <w:tcPr>
            <w:tcW w:w="514"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0.72</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1.99</w:t>
            </w:r>
          </w:p>
        </w:tc>
        <w:tc>
          <w:tcPr>
            <w:tcW w:w="1493"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-1.8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0.94</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51.40</w:t>
            </w:r>
          </w:p>
        </w:tc>
      </w:tr>
      <w:tr w:rsidR="00342C5A" w:rsidRPr="00E9109B" w:rsidTr="00924E92">
        <w:trPr>
          <w:trHeight w:val="315"/>
        </w:trPr>
        <w:tc>
          <w:tcPr>
            <w:tcW w:w="750" w:type="dxa"/>
            <w:vMerge w:val="restart"/>
            <w:tcBorders>
              <w:top w:val="nil"/>
              <w:left w:val="single" w:sz="4" w:space="0" w:color="auto"/>
              <w:bottom w:val="single" w:sz="4" w:space="0" w:color="auto"/>
              <w:right w:val="single" w:sz="4" w:space="0" w:color="auto"/>
            </w:tcBorders>
            <w:shd w:val="clear" w:color="auto" w:fill="auto"/>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r w:rsidRPr="00E9109B">
              <w:rPr>
                <w:rFonts w:ascii="Times New Roman" w:eastAsia="Times New Roman" w:hAnsi="Times New Roman" w:cs="Times New Roman"/>
                <w:b/>
                <w:bCs/>
                <w:color w:val="000000"/>
                <w:sz w:val="14"/>
                <w:szCs w:val="14"/>
              </w:rPr>
              <w:t>IQF</w:t>
            </w:r>
          </w:p>
        </w:tc>
        <w:tc>
          <w:tcPr>
            <w:tcW w:w="1060" w:type="dxa"/>
            <w:vMerge w:val="restart"/>
            <w:tcBorders>
              <w:top w:val="nil"/>
              <w:left w:val="single" w:sz="4" w:space="0" w:color="auto"/>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Control</w:t>
            </w: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-0.16 ± 0.02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w:t>
            </w:r>
          </w:p>
        </w:tc>
        <w:tc>
          <w:tcPr>
            <w:tcW w:w="745"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0.97</w:t>
            </w:r>
          </w:p>
        </w:tc>
        <w:tc>
          <w:tcPr>
            <w:tcW w:w="1459" w:type="dxa"/>
            <w:tcBorders>
              <w:top w:val="nil"/>
              <w:left w:val="nil"/>
              <w:bottom w:val="single" w:sz="8" w:space="0" w:color="auto"/>
              <w:right w:val="single" w:sz="8"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0.07 ± 0.02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0.61</w:t>
            </w:r>
          </w:p>
        </w:tc>
        <w:tc>
          <w:tcPr>
            <w:tcW w:w="719"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1.03</w:t>
            </w:r>
          </w:p>
        </w:tc>
        <w:tc>
          <w:tcPr>
            <w:tcW w:w="1595" w:type="dxa"/>
            <w:tcBorders>
              <w:top w:val="nil"/>
              <w:left w:val="single" w:sz="4" w:space="0" w:color="auto"/>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0.27 ± 0.03</w:t>
            </w:r>
          </w:p>
        </w:tc>
        <w:tc>
          <w:tcPr>
            <w:tcW w:w="514"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0.93</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1.35</w:t>
            </w:r>
          </w:p>
        </w:tc>
        <w:tc>
          <w:tcPr>
            <w:tcW w:w="1493"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-7.9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0.8</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0.91</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41.62</w:t>
            </w:r>
          </w:p>
        </w:tc>
      </w:tr>
      <w:tr w:rsidR="00342C5A" w:rsidRPr="00E9109B" w:rsidTr="00924E92">
        <w:trPr>
          <w:trHeight w:val="315"/>
        </w:trPr>
        <w:tc>
          <w:tcPr>
            <w:tcW w:w="750" w:type="dxa"/>
            <w:vMerge/>
            <w:tcBorders>
              <w:top w:val="nil"/>
              <w:left w:val="single" w:sz="4" w:space="0" w:color="auto"/>
              <w:bottom w:val="single" w:sz="4" w:space="0" w:color="auto"/>
              <w:right w:val="single" w:sz="4" w:space="0" w:color="auto"/>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nil"/>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-0.05 ± 0.005</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0.91</w:t>
            </w:r>
          </w:p>
        </w:tc>
        <w:tc>
          <w:tcPr>
            <w:tcW w:w="745"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1.53</w:t>
            </w:r>
          </w:p>
        </w:tc>
        <w:tc>
          <w:tcPr>
            <w:tcW w:w="1459"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0.018 ± 0.003</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0.82</w:t>
            </w:r>
          </w:p>
        </w:tc>
        <w:tc>
          <w:tcPr>
            <w:tcW w:w="719"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0.071 ± 0.003</w:t>
            </w:r>
          </w:p>
        </w:tc>
        <w:tc>
          <w:tcPr>
            <w:tcW w:w="514"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0.99</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w:t>
            </w:r>
          </w:p>
        </w:tc>
        <w:tc>
          <w:tcPr>
            <w:tcW w:w="1493" w:type="dxa"/>
            <w:tcBorders>
              <w:top w:val="nil"/>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-1.9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52.64</w:t>
            </w:r>
          </w:p>
        </w:tc>
      </w:tr>
      <w:tr w:rsidR="00342C5A" w:rsidRPr="00E9109B" w:rsidTr="00924E92">
        <w:trPr>
          <w:trHeight w:val="300"/>
        </w:trPr>
        <w:tc>
          <w:tcPr>
            <w:tcW w:w="750" w:type="dxa"/>
            <w:vMerge/>
            <w:tcBorders>
              <w:top w:val="nil"/>
              <w:left w:val="single" w:sz="4" w:space="0" w:color="auto"/>
              <w:bottom w:val="single" w:sz="4" w:space="0" w:color="auto"/>
              <w:right w:val="single" w:sz="4" w:space="0" w:color="auto"/>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val="restart"/>
            <w:tcBorders>
              <w:top w:val="single" w:sz="8" w:space="0" w:color="auto"/>
              <w:left w:val="single" w:sz="8" w:space="0" w:color="auto"/>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71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940D75">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-0.22 ± 0.03</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0.86</w:t>
            </w:r>
          </w:p>
        </w:tc>
        <w:tc>
          <w:tcPr>
            <w:tcW w:w="745"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1.57</w:t>
            </w:r>
          </w:p>
        </w:tc>
        <w:tc>
          <w:tcPr>
            <w:tcW w:w="1459"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0.12 ± 0.02</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0.87</w:t>
            </w:r>
          </w:p>
        </w:tc>
        <w:tc>
          <w:tcPr>
            <w:tcW w:w="719"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0.79</w:t>
            </w:r>
          </w:p>
        </w:tc>
        <w:tc>
          <w:tcPr>
            <w:tcW w:w="1595" w:type="dxa"/>
            <w:tcBorders>
              <w:top w:val="single" w:sz="8" w:space="0" w:color="auto"/>
              <w:left w:val="single" w:sz="4" w:space="0" w:color="auto"/>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0.35 ± 0.05</w:t>
            </w:r>
          </w:p>
        </w:tc>
        <w:tc>
          <w:tcPr>
            <w:tcW w:w="514"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0.87</w:t>
            </w:r>
          </w:p>
        </w:tc>
        <w:tc>
          <w:tcPr>
            <w:tcW w:w="812"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2.32</w:t>
            </w:r>
          </w:p>
        </w:tc>
        <w:tc>
          <w:tcPr>
            <w:tcW w:w="1493"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-7.3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0.6</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0.96</w:t>
            </w:r>
          </w:p>
        </w:tc>
        <w:tc>
          <w:tcPr>
            <w:tcW w:w="765"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26.45</w:t>
            </w:r>
          </w:p>
        </w:tc>
      </w:tr>
      <w:tr w:rsidR="00342C5A" w:rsidRPr="00E9109B" w:rsidTr="00924E92">
        <w:trPr>
          <w:trHeight w:val="315"/>
        </w:trPr>
        <w:tc>
          <w:tcPr>
            <w:tcW w:w="750" w:type="dxa"/>
            <w:vMerge/>
            <w:tcBorders>
              <w:top w:val="nil"/>
              <w:left w:val="single" w:sz="4" w:space="0" w:color="auto"/>
              <w:bottom w:val="single" w:sz="4" w:space="0" w:color="auto"/>
              <w:right w:val="single" w:sz="4" w:space="0" w:color="auto"/>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tcBorders>
              <w:top w:val="single" w:sz="8" w:space="0" w:color="auto"/>
              <w:left w:val="single" w:sz="8"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940D75">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-0.06 ± 0.01</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0.94</w:t>
            </w:r>
          </w:p>
        </w:tc>
        <w:tc>
          <w:tcPr>
            <w:tcW w:w="745"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1.55</w:t>
            </w:r>
          </w:p>
        </w:tc>
        <w:tc>
          <w:tcPr>
            <w:tcW w:w="1459" w:type="dxa"/>
            <w:tcBorders>
              <w:top w:val="nil"/>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0.019 ± 0.003</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0.81</w:t>
            </w:r>
          </w:p>
        </w:tc>
        <w:tc>
          <w:tcPr>
            <w:tcW w:w="719"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1.003</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0.09 ± 0.01</w:t>
            </w:r>
          </w:p>
        </w:tc>
        <w:tc>
          <w:tcPr>
            <w:tcW w:w="514"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0.97</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w:t>
            </w:r>
          </w:p>
        </w:tc>
        <w:tc>
          <w:tcPr>
            <w:tcW w:w="1493"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-1.7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65.44</w:t>
            </w:r>
          </w:p>
        </w:tc>
      </w:tr>
      <w:tr w:rsidR="00342C5A" w:rsidRPr="00E9109B" w:rsidTr="00924E92">
        <w:trPr>
          <w:trHeight w:val="300"/>
        </w:trPr>
        <w:tc>
          <w:tcPr>
            <w:tcW w:w="750" w:type="dxa"/>
            <w:vMerge/>
            <w:tcBorders>
              <w:top w:val="nil"/>
              <w:left w:val="single" w:sz="4" w:space="0" w:color="auto"/>
              <w:bottom w:val="single" w:sz="4" w:space="0" w:color="auto"/>
              <w:right w:val="single" w:sz="4" w:space="0" w:color="auto"/>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val="restart"/>
            <w:tcBorders>
              <w:top w:val="single" w:sz="8" w:space="0" w:color="auto"/>
              <w:left w:val="single" w:sz="8" w:space="0" w:color="auto"/>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hAnsi="Times New Roman"/>
                <w:sz w:val="14"/>
                <w:szCs w:val="14"/>
              </w:rPr>
              <w:t>α-GR</w:t>
            </w:r>
          </w:p>
        </w:tc>
        <w:tc>
          <w:tcPr>
            <w:tcW w:w="71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-0.16 ± 0.02</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0.80</w:t>
            </w:r>
          </w:p>
        </w:tc>
        <w:tc>
          <w:tcPr>
            <w:tcW w:w="745"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1.38</w:t>
            </w:r>
          </w:p>
        </w:tc>
        <w:tc>
          <w:tcPr>
            <w:tcW w:w="1459"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0.07 ± 0.01</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0.83</w:t>
            </w:r>
          </w:p>
        </w:tc>
        <w:tc>
          <w:tcPr>
            <w:tcW w:w="719"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0.57</w:t>
            </w:r>
          </w:p>
        </w:tc>
        <w:tc>
          <w:tcPr>
            <w:tcW w:w="1595" w:type="dxa"/>
            <w:tcBorders>
              <w:top w:val="single" w:sz="8" w:space="0" w:color="auto"/>
              <w:left w:val="single" w:sz="4" w:space="0" w:color="auto"/>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0.24 ± 0.04</w:t>
            </w:r>
          </w:p>
        </w:tc>
        <w:tc>
          <w:tcPr>
            <w:tcW w:w="514"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0.82</w:t>
            </w:r>
          </w:p>
        </w:tc>
        <w:tc>
          <w:tcPr>
            <w:tcW w:w="812"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1.91</w:t>
            </w:r>
          </w:p>
        </w:tc>
        <w:tc>
          <w:tcPr>
            <w:tcW w:w="1493"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-7.9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0.5</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0.97</w:t>
            </w:r>
          </w:p>
        </w:tc>
        <w:tc>
          <w:tcPr>
            <w:tcW w:w="765"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25.60</w:t>
            </w:r>
          </w:p>
        </w:tc>
      </w:tr>
      <w:tr w:rsidR="00940D75" w:rsidRPr="00E9109B" w:rsidTr="00940D75">
        <w:trPr>
          <w:trHeight w:val="315"/>
        </w:trPr>
        <w:tc>
          <w:tcPr>
            <w:tcW w:w="750" w:type="dxa"/>
            <w:vMerge/>
            <w:tcBorders>
              <w:top w:val="nil"/>
              <w:left w:val="single" w:sz="4" w:space="0" w:color="auto"/>
              <w:bottom w:val="single" w:sz="4" w:space="0" w:color="auto"/>
              <w:right w:val="single" w:sz="4" w:space="0" w:color="auto"/>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tcBorders>
              <w:top w:val="single" w:sz="8" w:space="0" w:color="auto"/>
              <w:left w:val="single" w:sz="8" w:space="0" w:color="auto"/>
              <w:bottom w:val="single" w:sz="4" w:space="0" w:color="auto"/>
              <w:right w:val="nil"/>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nil"/>
              <w:left w:val="nil"/>
              <w:bottom w:val="nil"/>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-0.018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0.003</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0.80</w:t>
            </w:r>
          </w:p>
        </w:tc>
        <w:tc>
          <w:tcPr>
            <w:tcW w:w="745"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w:t>
            </w:r>
          </w:p>
        </w:tc>
        <w:tc>
          <w:tcPr>
            <w:tcW w:w="1459" w:type="dxa"/>
            <w:tcBorders>
              <w:top w:val="single" w:sz="4" w:space="0" w:color="auto"/>
              <w:left w:val="nil"/>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0.010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0.002</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0.81</w:t>
            </w:r>
          </w:p>
        </w:tc>
        <w:tc>
          <w:tcPr>
            <w:tcW w:w="719"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0.53</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0.03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0.003</w:t>
            </w:r>
          </w:p>
        </w:tc>
        <w:tc>
          <w:tcPr>
            <w:tcW w:w="514"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812"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0.87</w:t>
            </w:r>
          </w:p>
        </w:tc>
        <w:tc>
          <w:tcPr>
            <w:tcW w:w="1493" w:type="dxa"/>
            <w:tcBorders>
              <w:top w:val="single" w:sz="4" w:space="0" w:color="auto"/>
              <w:left w:val="nil"/>
              <w:bottom w:val="single" w:sz="4" w:space="0" w:color="auto"/>
              <w:right w:val="single" w:sz="4" w:space="0" w:color="auto"/>
            </w:tcBorders>
            <w:shd w:val="clear" w:color="auto" w:fill="auto"/>
            <w:noWrap/>
            <w:vAlign w:val="center"/>
            <w:hideMark/>
          </w:tcPr>
          <w:p w:rsidR="00940D75" w:rsidRPr="00E9109B" w:rsidRDefault="00940D75"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-1.1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0.1</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w:t>
            </w:r>
          </w:p>
        </w:tc>
        <w:tc>
          <w:tcPr>
            <w:tcW w:w="765"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38.52</w:t>
            </w:r>
          </w:p>
        </w:tc>
      </w:tr>
      <w:tr w:rsidR="00940D75" w:rsidRPr="00E9109B" w:rsidTr="00940D75">
        <w:trPr>
          <w:trHeight w:val="300"/>
        </w:trPr>
        <w:tc>
          <w:tcPr>
            <w:tcW w:w="750" w:type="dxa"/>
            <w:vMerge/>
            <w:tcBorders>
              <w:top w:val="nil"/>
              <w:left w:val="single" w:sz="4" w:space="0" w:color="auto"/>
              <w:bottom w:val="single" w:sz="4" w:space="0" w:color="auto"/>
              <w:right w:val="single" w:sz="4" w:space="0" w:color="auto"/>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val="restart"/>
            <w:tcBorders>
              <w:top w:val="single" w:sz="8" w:space="0" w:color="auto"/>
              <w:left w:val="single" w:sz="8" w:space="0" w:color="auto"/>
              <w:bottom w:val="single" w:sz="4" w:space="0" w:color="auto"/>
              <w:right w:val="nil"/>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hAnsi="Times New Roman"/>
                <w:sz w:val="14"/>
                <w:szCs w:val="14"/>
              </w:rPr>
              <w:t>α-GR</w:t>
            </w: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71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single" w:sz="8" w:space="0" w:color="auto"/>
              <w:left w:val="nil"/>
              <w:bottom w:val="nil"/>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-0.19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0.03</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0.82</w:t>
            </w:r>
          </w:p>
        </w:tc>
        <w:tc>
          <w:tcPr>
            <w:tcW w:w="745" w:type="dxa"/>
            <w:tcBorders>
              <w:top w:val="single" w:sz="8" w:space="0" w:color="auto"/>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1.53</w:t>
            </w:r>
          </w:p>
        </w:tc>
        <w:tc>
          <w:tcPr>
            <w:tcW w:w="1459" w:type="dxa"/>
            <w:tcBorders>
              <w:top w:val="single" w:sz="8" w:space="0" w:color="auto"/>
              <w:left w:val="nil"/>
              <w:bottom w:val="nil"/>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0.10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0.01</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0.86</w:t>
            </w:r>
          </w:p>
        </w:tc>
        <w:tc>
          <w:tcPr>
            <w:tcW w:w="719" w:type="dxa"/>
            <w:tcBorders>
              <w:top w:val="single" w:sz="8" w:space="0" w:color="auto"/>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0.69</w:t>
            </w:r>
          </w:p>
        </w:tc>
        <w:tc>
          <w:tcPr>
            <w:tcW w:w="1595" w:type="dxa"/>
            <w:tcBorders>
              <w:top w:val="single" w:sz="8" w:space="0" w:color="auto"/>
              <w:left w:val="nil"/>
              <w:bottom w:val="nil"/>
              <w:right w:val="nil"/>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0.31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0.04</w:t>
            </w:r>
          </w:p>
        </w:tc>
        <w:tc>
          <w:tcPr>
            <w:tcW w:w="514"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0.88</w:t>
            </w:r>
          </w:p>
        </w:tc>
        <w:tc>
          <w:tcPr>
            <w:tcW w:w="812" w:type="dxa"/>
            <w:tcBorders>
              <w:top w:val="single" w:sz="8" w:space="0" w:color="auto"/>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1.91</w:t>
            </w:r>
          </w:p>
        </w:tc>
        <w:tc>
          <w:tcPr>
            <w:tcW w:w="1493" w:type="dxa"/>
            <w:tcBorders>
              <w:top w:val="single" w:sz="8" w:space="0" w:color="auto"/>
              <w:left w:val="nil"/>
              <w:bottom w:val="nil"/>
              <w:right w:val="single" w:sz="4" w:space="0" w:color="auto"/>
            </w:tcBorders>
            <w:shd w:val="clear" w:color="auto" w:fill="auto"/>
            <w:noWrap/>
            <w:vAlign w:val="center"/>
            <w:hideMark/>
          </w:tcPr>
          <w:p w:rsidR="00940D75" w:rsidRPr="00E9109B" w:rsidRDefault="00940D75"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-8.5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0.9</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0.92</w:t>
            </w:r>
          </w:p>
        </w:tc>
        <w:tc>
          <w:tcPr>
            <w:tcW w:w="765"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42.27</w:t>
            </w:r>
          </w:p>
        </w:tc>
      </w:tr>
      <w:tr w:rsidR="00940D75" w:rsidRPr="00E9109B" w:rsidTr="00940D75">
        <w:trPr>
          <w:trHeight w:val="300"/>
        </w:trPr>
        <w:tc>
          <w:tcPr>
            <w:tcW w:w="750" w:type="dxa"/>
            <w:vMerge/>
            <w:tcBorders>
              <w:top w:val="nil"/>
              <w:left w:val="single" w:sz="4" w:space="0" w:color="auto"/>
              <w:bottom w:val="single" w:sz="4" w:space="0" w:color="auto"/>
              <w:right w:val="single" w:sz="4" w:space="0" w:color="auto"/>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b/>
                <w:bCs/>
                <w:color w:val="000000"/>
                <w:sz w:val="14"/>
                <w:szCs w:val="14"/>
              </w:rPr>
            </w:pPr>
          </w:p>
        </w:tc>
        <w:tc>
          <w:tcPr>
            <w:tcW w:w="1060" w:type="dxa"/>
            <w:vMerge/>
            <w:tcBorders>
              <w:top w:val="single" w:sz="8" w:space="0" w:color="auto"/>
              <w:left w:val="single" w:sz="8" w:space="0" w:color="auto"/>
              <w:bottom w:val="single" w:sz="4" w:space="0" w:color="auto"/>
              <w:right w:val="nil"/>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single" w:sz="4" w:space="0" w:color="auto"/>
              <w:left w:val="nil"/>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-0.06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0.01</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745"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1.53</w:t>
            </w:r>
          </w:p>
        </w:tc>
        <w:tc>
          <w:tcPr>
            <w:tcW w:w="1459" w:type="dxa"/>
            <w:tcBorders>
              <w:top w:val="single" w:sz="4" w:space="0" w:color="auto"/>
              <w:left w:val="nil"/>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0.01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0.003</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0.68</w:t>
            </w:r>
          </w:p>
        </w:tc>
        <w:tc>
          <w:tcPr>
            <w:tcW w:w="719" w:type="dxa"/>
            <w:tcBorders>
              <w:top w:val="nil"/>
              <w:left w:val="nil"/>
              <w:bottom w:val="single" w:sz="4" w:space="0" w:color="auto"/>
              <w:right w:val="nil"/>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1.03</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0.099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0.01</w:t>
            </w:r>
          </w:p>
        </w:tc>
        <w:tc>
          <w:tcPr>
            <w:tcW w:w="514"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0.97</w:t>
            </w:r>
          </w:p>
        </w:tc>
        <w:tc>
          <w:tcPr>
            <w:tcW w:w="812"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2.01</w:t>
            </w:r>
          </w:p>
        </w:tc>
        <w:tc>
          <w:tcPr>
            <w:tcW w:w="1493" w:type="dxa"/>
            <w:tcBorders>
              <w:top w:val="single" w:sz="4" w:space="0" w:color="auto"/>
              <w:left w:val="nil"/>
              <w:bottom w:val="single" w:sz="4" w:space="0" w:color="auto"/>
              <w:right w:val="single" w:sz="4" w:space="0" w:color="auto"/>
            </w:tcBorders>
            <w:shd w:val="clear" w:color="auto" w:fill="auto"/>
            <w:noWrap/>
            <w:vAlign w:val="center"/>
            <w:hideMark/>
          </w:tcPr>
          <w:p w:rsidR="00940D75" w:rsidRPr="00E9109B" w:rsidRDefault="00940D75"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-1.8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0.1</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0.96</w:t>
            </w:r>
          </w:p>
        </w:tc>
        <w:tc>
          <w:tcPr>
            <w:tcW w:w="765"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38.25</w:t>
            </w:r>
          </w:p>
        </w:tc>
      </w:tr>
      <w:tr w:rsidR="00940D75" w:rsidRPr="00E9109B" w:rsidTr="00940D75">
        <w:trPr>
          <w:trHeight w:val="300"/>
        </w:trPr>
        <w:tc>
          <w:tcPr>
            <w:tcW w:w="750" w:type="dxa"/>
            <w:vMerge w:val="restart"/>
            <w:tcBorders>
              <w:top w:val="nil"/>
              <w:left w:val="single" w:sz="4" w:space="0" w:color="auto"/>
              <w:bottom w:val="single" w:sz="4" w:space="0" w:color="auto"/>
              <w:right w:val="single" w:sz="4" w:space="0" w:color="auto"/>
            </w:tcBorders>
            <w:shd w:val="clear" w:color="auto" w:fill="auto"/>
            <w:vAlign w:val="center"/>
            <w:hideMark/>
          </w:tcPr>
          <w:p w:rsidR="00940D75" w:rsidRPr="00E9109B" w:rsidRDefault="00940D75" w:rsidP="00F14CA8">
            <w:pPr>
              <w:spacing w:after="0" w:line="240" w:lineRule="auto"/>
              <w:jc w:val="center"/>
              <w:rPr>
                <w:rFonts w:ascii="Times New Roman" w:eastAsia="Times New Roman" w:hAnsi="Times New Roman" w:cs="Times New Roman"/>
                <w:b/>
                <w:color w:val="000000"/>
                <w:sz w:val="14"/>
                <w:szCs w:val="14"/>
              </w:rPr>
            </w:pPr>
            <w:r w:rsidRPr="00E9109B">
              <w:rPr>
                <w:rFonts w:ascii="Times New Roman" w:eastAsia="Times New Roman" w:hAnsi="Times New Roman" w:cs="Times New Roman"/>
                <w:b/>
                <w:color w:val="000000"/>
                <w:sz w:val="14"/>
                <w:szCs w:val="14"/>
              </w:rPr>
              <w:t>Canned</w:t>
            </w:r>
          </w:p>
        </w:tc>
        <w:tc>
          <w:tcPr>
            <w:tcW w:w="1060" w:type="dxa"/>
            <w:vMerge w:val="restart"/>
            <w:tcBorders>
              <w:top w:val="nil"/>
              <w:left w:val="single" w:sz="4" w:space="0" w:color="auto"/>
              <w:bottom w:val="single" w:sz="4" w:space="0" w:color="auto"/>
              <w:right w:val="nil"/>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Control</w:t>
            </w: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-0.10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0.02</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0.68</w:t>
            </w:r>
          </w:p>
        </w:tc>
        <w:tc>
          <w:tcPr>
            <w:tcW w:w="745"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1.25</w:t>
            </w:r>
          </w:p>
        </w:tc>
        <w:tc>
          <w:tcPr>
            <w:tcW w:w="1459" w:type="dxa"/>
            <w:tcBorders>
              <w:top w:val="nil"/>
              <w:left w:val="nil"/>
              <w:bottom w:val="nil"/>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0.06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0.01</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0.79</w:t>
            </w:r>
          </w:p>
        </w:tc>
        <w:tc>
          <w:tcPr>
            <w:tcW w:w="719"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0.56</w:t>
            </w:r>
          </w:p>
        </w:tc>
        <w:tc>
          <w:tcPr>
            <w:tcW w:w="1595" w:type="dxa"/>
            <w:tcBorders>
              <w:top w:val="nil"/>
              <w:left w:val="single" w:sz="4" w:space="0" w:color="auto"/>
              <w:bottom w:val="nil"/>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0.14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0.02</w:t>
            </w:r>
          </w:p>
        </w:tc>
        <w:tc>
          <w:tcPr>
            <w:tcW w:w="514"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0.83</w:t>
            </w:r>
          </w:p>
        </w:tc>
        <w:tc>
          <w:tcPr>
            <w:tcW w:w="812"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1.16</w:t>
            </w:r>
          </w:p>
        </w:tc>
        <w:tc>
          <w:tcPr>
            <w:tcW w:w="1493" w:type="dxa"/>
            <w:tcBorders>
              <w:top w:val="nil"/>
              <w:left w:val="nil"/>
              <w:bottom w:val="nil"/>
              <w:right w:val="single" w:sz="4" w:space="0" w:color="auto"/>
            </w:tcBorders>
            <w:shd w:val="clear" w:color="auto" w:fill="auto"/>
            <w:noWrap/>
            <w:vAlign w:val="center"/>
            <w:hideMark/>
          </w:tcPr>
          <w:p w:rsidR="00940D75" w:rsidRPr="00E9109B" w:rsidRDefault="00940D75"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-8.3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1.0</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0.87</w:t>
            </w:r>
          </w:p>
        </w:tc>
        <w:tc>
          <w:tcPr>
            <w:tcW w:w="765"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54.16</w:t>
            </w:r>
          </w:p>
        </w:tc>
      </w:tr>
      <w:tr w:rsidR="00940D75" w:rsidRPr="00E9109B" w:rsidTr="00940D75">
        <w:trPr>
          <w:trHeight w:val="315"/>
        </w:trPr>
        <w:tc>
          <w:tcPr>
            <w:tcW w:w="750" w:type="dxa"/>
            <w:vMerge/>
            <w:tcBorders>
              <w:top w:val="nil"/>
              <w:left w:val="single" w:sz="4" w:space="0" w:color="auto"/>
              <w:bottom w:val="single" w:sz="4" w:space="0" w:color="auto"/>
              <w:right w:val="single" w:sz="4" w:space="0" w:color="auto"/>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p>
        </w:tc>
        <w:tc>
          <w:tcPr>
            <w:tcW w:w="1060" w:type="dxa"/>
            <w:vMerge/>
            <w:tcBorders>
              <w:top w:val="nil"/>
              <w:left w:val="single" w:sz="4" w:space="0" w:color="auto"/>
              <w:bottom w:val="single" w:sz="4" w:space="0" w:color="auto"/>
              <w:right w:val="nil"/>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nil"/>
              <w:left w:val="nil"/>
              <w:bottom w:val="nil"/>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-0.021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0.003</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0.83</w:t>
            </w:r>
          </w:p>
        </w:tc>
        <w:tc>
          <w:tcPr>
            <w:tcW w:w="745"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1.05</w:t>
            </w:r>
          </w:p>
        </w:tc>
        <w:tc>
          <w:tcPr>
            <w:tcW w:w="1459" w:type="dxa"/>
            <w:tcBorders>
              <w:top w:val="single" w:sz="4" w:space="0" w:color="auto"/>
              <w:left w:val="nil"/>
              <w:bottom w:val="nil"/>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0.02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0.002</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0.87</w:t>
            </w:r>
          </w:p>
        </w:tc>
        <w:tc>
          <w:tcPr>
            <w:tcW w:w="719"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0.70</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0.03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0.003</w:t>
            </w:r>
          </w:p>
        </w:tc>
        <w:tc>
          <w:tcPr>
            <w:tcW w:w="514"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812"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0.83</w:t>
            </w:r>
          </w:p>
        </w:tc>
        <w:tc>
          <w:tcPr>
            <w:tcW w:w="1493" w:type="dxa"/>
            <w:tcBorders>
              <w:top w:val="single" w:sz="4" w:space="0" w:color="auto"/>
              <w:left w:val="nil"/>
              <w:bottom w:val="single" w:sz="4" w:space="0" w:color="auto"/>
              <w:right w:val="single" w:sz="4" w:space="0" w:color="auto"/>
            </w:tcBorders>
            <w:shd w:val="clear" w:color="auto" w:fill="auto"/>
            <w:noWrap/>
            <w:vAlign w:val="center"/>
            <w:hideMark/>
          </w:tcPr>
          <w:p w:rsidR="00940D75" w:rsidRPr="00E9109B" w:rsidRDefault="00940D75"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-2.5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0.1</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0.99</w:t>
            </w:r>
          </w:p>
        </w:tc>
        <w:tc>
          <w:tcPr>
            <w:tcW w:w="765"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24.21</w:t>
            </w:r>
          </w:p>
        </w:tc>
      </w:tr>
      <w:tr w:rsidR="00940D75" w:rsidRPr="00E9109B" w:rsidTr="00940D75">
        <w:trPr>
          <w:trHeight w:val="300"/>
        </w:trPr>
        <w:tc>
          <w:tcPr>
            <w:tcW w:w="750" w:type="dxa"/>
            <w:vMerge/>
            <w:tcBorders>
              <w:top w:val="nil"/>
              <w:left w:val="single" w:sz="4" w:space="0" w:color="auto"/>
              <w:bottom w:val="single" w:sz="4" w:space="0" w:color="auto"/>
              <w:right w:val="single" w:sz="4" w:space="0" w:color="auto"/>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p>
        </w:tc>
        <w:tc>
          <w:tcPr>
            <w:tcW w:w="1060" w:type="dxa"/>
            <w:vMerge w:val="restart"/>
            <w:tcBorders>
              <w:top w:val="single" w:sz="8" w:space="0" w:color="auto"/>
              <w:left w:val="single" w:sz="8" w:space="0" w:color="auto"/>
              <w:bottom w:val="single" w:sz="4" w:space="0" w:color="auto"/>
              <w:right w:val="nil"/>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71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single" w:sz="8" w:space="0" w:color="auto"/>
              <w:left w:val="nil"/>
              <w:bottom w:val="nil"/>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-0.19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0.02</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0.89</w:t>
            </w:r>
          </w:p>
        </w:tc>
        <w:tc>
          <w:tcPr>
            <w:tcW w:w="745" w:type="dxa"/>
            <w:tcBorders>
              <w:top w:val="single" w:sz="8" w:space="0" w:color="auto"/>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1.20</w:t>
            </w:r>
          </w:p>
        </w:tc>
        <w:tc>
          <w:tcPr>
            <w:tcW w:w="1459" w:type="dxa"/>
            <w:tcBorders>
              <w:top w:val="single" w:sz="8" w:space="0" w:color="auto"/>
              <w:left w:val="nil"/>
              <w:bottom w:val="nil"/>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0.10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0.02</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0.81</w:t>
            </w:r>
          </w:p>
        </w:tc>
        <w:tc>
          <w:tcPr>
            <w:tcW w:w="719" w:type="dxa"/>
            <w:tcBorders>
              <w:top w:val="single" w:sz="8" w:space="0" w:color="auto"/>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0.82</w:t>
            </w:r>
          </w:p>
        </w:tc>
        <w:tc>
          <w:tcPr>
            <w:tcW w:w="1595"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0.27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0.02</w:t>
            </w:r>
          </w:p>
        </w:tc>
        <w:tc>
          <w:tcPr>
            <w:tcW w:w="514"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812" w:type="dxa"/>
            <w:tcBorders>
              <w:top w:val="single" w:sz="8" w:space="0" w:color="auto"/>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1.12</w:t>
            </w:r>
          </w:p>
        </w:tc>
        <w:tc>
          <w:tcPr>
            <w:tcW w:w="1493"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-12.9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1.3</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0.92</w:t>
            </w:r>
          </w:p>
        </w:tc>
        <w:tc>
          <w:tcPr>
            <w:tcW w:w="765" w:type="dxa"/>
            <w:tcBorders>
              <w:top w:val="single" w:sz="8" w:space="0" w:color="auto"/>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69.27</w:t>
            </w:r>
          </w:p>
        </w:tc>
      </w:tr>
      <w:tr w:rsidR="00940D75" w:rsidRPr="00E9109B" w:rsidTr="00940D75">
        <w:trPr>
          <w:trHeight w:val="300"/>
        </w:trPr>
        <w:tc>
          <w:tcPr>
            <w:tcW w:w="750" w:type="dxa"/>
            <w:vMerge/>
            <w:tcBorders>
              <w:top w:val="nil"/>
              <w:left w:val="single" w:sz="4" w:space="0" w:color="auto"/>
              <w:bottom w:val="single" w:sz="4" w:space="0" w:color="auto"/>
              <w:right w:val="single" w:sz="4" w:space="0" w:color="auto"/>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p>
        </w:tc>
        <w:tc>
          <w:tcPr>
            <w:tcW w:w="1060" w:type="dxa"/>
            <w:vMerge/>
            <w:tcBorders>
              <w:top w:val="single" w:sz="8" w:space="0" w:color="auto"/>
              <w:left w:val="single" w:sz="8" w:space="0" w:color="auto"/>
              <w:bottom w:val="single" w:sz="4" w:space="0" w:color="auto"/>
              <w:right w:val="nil"/>
            </w:tcBorders>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single" w:sz="4" w:space="0" w:color="auto"/>
              <w:left w:val="nil"/>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-0.031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0.004</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0.88</w:t>
            </w:r>
          </w:p>
        </w:tc>
        <w:tc>
          <w:tcPr>
            <w:tcW w:w="745"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1.27</w:t>
            </w:r>
          </w:p>
        </w:tc>
        <w:tc>
          <w:tcPr>
            <w:tcW w:w="1459" w:type="dxa"/>
            <w:tcBorders>
              <w:top w:val="single" w:sz="4" w:space="0" w:color="auto"/>
              <w:left w:val="nil"/>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0.02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0.002</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0.94</w:t>
            </w:r>
          </w:p>
        </w:tc>
        <w:tc>
          <w:tcPr>
            <w:tcW w:w="719"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0.57</w:t>
            </w:r>
          </w:p>
        </w:tc>
        <w:tc>
          <w:tcPr>
            <w:tcW w:w="1595" w:type="dxa"/>
            <w:tcBorders>
              <w:top w:val="nil"/>
              <w:left w:val="single" w:sz="4" w:space="0" w:color="auto"/>
              <w:bottom w:val="single" w:sz="4" w:space="0" w:color="auto"/>
              <w:right w:val="single" w:sz="4" w:space="0" w:color="auto"/>
            </w:tcBorders>
            <w:shd w:val="clear" w:color="auto" w:fill="auto"/>
            <w:noWrap/>
            <w:vAlign w:val="center"/>
            <w:hideMark/>
          </w:tcPr>
          <w:p w:rsidR="00940D75" w:rsidRPr="00E9109B" w:rsidRDefault="00940D75"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0.04 </w:t>
            </w:r>
            <w:r w:rsidR="00342C5A"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0.003</w:t>
            </w:r>
          </w:p>
        </w:tc>
        <w:tc>
          <w:tcPr>
            <w:tcW w:w="514"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812" w:type="dxa"/>
            <w:tcBorders>
              <w:top w:val="nil"/>
              <w:left w:val="nil"/>
              <w:bottom w:val="single" w:sz="4" w:space="0" w:color="auto"/>
              <w:right w:val="single" w:sz="8"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1.11</w:t>
            </w:r>
          </w:p>
        </w:tc>
        <w:tc>
          <w:tcPr>
            <w:tcW w:w="1493"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-3.6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0.4</w:t>
            </w:r>
          </w:p>
        </w:tc>
        <w:tc>
          <w:tcPr>
            <w:tcW w:w="496"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0.93</w:t>
            </w:r>
          </w:p>
        </w:tc>
        <w:tc>
          <w:tcPr>
            <w:tcW w:w="765" w:type="dxa"/>
            <w:tcBorders>
              <w:top w:val="nil"/>
              <w:left w:val="nil"/>
              <w:bottom w:val="single" w:sz="4" w:space="0" w:color="auto"/>
              <w:right w:val="single" w:sz="4" w:space="0" w:color="auto"/>
            </w:tcBorders>
            <w:shd w:val="clear" w:color="auto" w:fill="auto"/>
            <w:noWrap/>
            <w:vAlign w:val="center"/>
            <w:hideMark/>
          </w:tcPr>
          <w:p w:rsidR="00940D75" w:rsidRPr="00E9109B" w:rsidRDefault="00940D75"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115.21</w:t>
            </w:r>
          </w:p>
        </w:tc>
      </w:tr>
      <w:tr w:rsidR="00342C5A" w:rsidRPr="00E9109B" w:rsidTr="00924E92">
        <w:trPr>
          <w:trHeight w:val="300"/>
        </w:trPr>
        <w:tc>
          <w:tcPr>
            <w:tcW w:w="750" w:type="dxa"/>
            <w:vMerge/>
            <w:tcBorders>
              <w:top w:val="nil"/>
              <w:left w:val="single" w:sz="4" w:space="0" w:color="auto"/>
              <w:bottom w:val="single" w:sz="4" w:space="0" w:color="auto"/>
              <w:right w:val="single" w:sz="4" w:space="0" w:color="auto"/>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1060" w:type="dxa"/>
            <w:vMerge w:val="restart"/>
            <w:tcBorders>
              <w:top w:val="nil"/>
              <w:left w:val="single" w:sz="4" w:space="0" w:color="auto"/>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hAnsi="Times New Roman"/>
                <w:sz w:val="14"/>
                <w:szCs w:val="14"/>
              </w:rPr>
              <w:t>α-GR</w:t>
            </w:r>
          </w:p>
        </w:tc>
        <w:tc>
          <w:tcPr>
            <w:tcW w:w="711"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-0.11 ± 0.01</w:t>
            </w:r>
          </w:p>
        </w:tc>
        <w:tc>
          <w:tcPr>
            <w:tcW w:w="496"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0.87</w:t>
            </w:r>
          </w:p>
        </w:tc>
        <w:tc>
          <w:tcPr>
            <w:tcW w:w="745" w:type="dxa"/>
            <w:tcBorders>
              <w:top w:val="single" w:sz="4"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0.74</w:t>
            </w:r>
          </w:p>
        </w:tc>
        <w:tc>
          <w:tcPr>
            <w:tcW w:w="1459"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0.10  ± 0.009</w:t>
            </w:r>
          </w:p>
        </w:tc>
        <w:tc>
          <w:tcPr>
            <w:tcW w:w="496"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0.92</w:t>
            </w:r>
          </w:p>
        </w:tc>
        <w:tc>
          <w:tcPr>
            <w:tcW w:w="719" w:type="dxa"/>
            <w:tcBorders>
              <w:top w:val="single" w:sz="4"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0.50</w:t>
            </w:r>
          </w:p>
        </w:tc>
        <w:tc>
          <w:tcPr>
            <w:tcW w:w="1595" w:type="dxa"/>
            <w:tcBorders>
              <w:top w:val="single" w:sz="4" w:space="0" w:color="auto"/>
              <w:left w:val="single" w:sz="4" w:space="0" w:color="auto"/>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0.15 ± 0.01</w:t>
            </w:r>
          </w:p>
        </w:tc>
        <w:tc>
          <w:tcPr>
            <w:tcW w:w="514"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0.92</w:t>
            </w:r>
          </w:p>
        </w:tc>
        <w:tc>
          <w:tcPr>
            <w:tcW w:w="812" w:type="dxa"/>
            <w:tcBorders>
              <w:top w:val="single" w:sz="4"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0.76</w:t>
            </w:r>
          </w:p>
        </w:tc>
        <w:tc>
          <w:tcPr>
            <w:tcW w:w="1493" w:type="dxa"/>
            <w:tcBorders>
              <w:top w:val="single" w:sz="4" w:space="0" w:color="auto"/>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-10.2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1.7</w:t>
            </w:r>
          </w:p>
        </w:tc>
        <w:tc>
          <w:tcPr>
            <w:tcW w:w="496"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0.82</w:t>
            </w:r>
          </w:p>
        </w:tc>
        <w:tc>
          <w:tcPr>
            <w:tcW w:w="765"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92.55</w:t>
            </w:r>
          </w:p>
        </w:tc>
      </w:tr>
      <w:tr w:rsidR="00342C5A" w:rsidRPr="00E9109B" w:rsidTr="00924E92">
        <w:trPr>
          <w:trHeight w:val="315"/>
        </w:trPr>
        <w:tc>
          <w:tcPr>
            <w:tcW w:w="750" w:type="dxa"/>
            <w:vMerge/>
            <w:tcBorders>
              <w:top w:val="nil"/>
              <w:left w:val="single" w:sz="4" w:space="0" w:color="auto"/>
              <w:bottom w:val="single" w:sz="4" w:space="0" w:color="auto"/>
              <w:right w:val="single" w:sz="4" w:space="0" w:color="auto"/>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1060" w:type="dxa"/>
            <w:vMerge/>
            <w:tcBorders>
              <w:top w:val="nil"/>
              <w:left w:val="single" w:sz="4"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nil"/>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-0.02 ± 0.002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0.86</w:t>
            </w:r>
          </w:p>
        </w:tc>
        <w:tc>
          <w:tcPr>
            <w:tcW w:w="745"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0.69</w:t>
            </w:r>
          </w:p>
        </w:tc>
        <w:tc>
          <w:tcPr>
            <w:tcW w:w="1459" w:type="dxa"/>
            <w:tcBorders>
              <w:top w:val="nil"/>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0.02 ± 0.002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719"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1.81</w:t>
            </w:r>
          </w:p>
        </w:tc>
        <w:tc>
          <w:tcPr>
            <w:tcW w:w="1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0.02 ± 0.003</w:t>
            </w:r>
          </w:p>
        </w:tc>
        <w:tc>
          <w:tcPr>
            <w:tcW w:w="514"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0.89</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1.81</w:t>
            </w:r>
          </w:p>
        </w:tc>
        <w:tc>
          <w:tcPr>
            <w:tcW w:w="1493" w:type="dxa"/>
            <w:tcBorders>
              <w:top w:val="single" w:sz="4" w:space="0" w:color="auto"/>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-2.7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0.1</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0.99</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33.36</w:t>
            </w:r>
          </w:p>
        </w:tc>
      </w:tr>
      <w:tr w:rsidR="00342C5A" w:rsidRPr="00E9109B" w:rsidTr="00924E92">
        <w:trPr>
          <w:trHeight w:val="300"/>
        </w:trPr>
        <w:tc>
          <w:tcPr>
            <w:tcW w:w="750" w:type="dxa"/>
            <w:vMerge/>
            <w:tcBorders>
              <w:top w:val="nil"/>
              <w:left w:val="single" w:sz="4" w:space="0" w:color="auto"/>
              <w:bottom w:val="single" w:sz="4" w:space="0" w:color="auto"/>
              <w:right w:val="single" w:sz="4" w:space="0" w:color="auto"/>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1060" w:type="dxa"/>
            <w:vMerge w:val="restart"/>
            <w:tcBorders>
              <w:top w:val="single" w:sz="8" w:space="0" w:color="auto"/>
              <w:left w:val="single" w:sz="8" w:space="0" w:color="auto"/>
              <w:bottom w:val="single" w:sz="4" w:space="0" w:color="auto"/>
              <w:right w:val="nil"/>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hAnsi="Times New Roman"/>
                <w:sz w:val="14"/>
                <w:szCs w:val="14"/>
              </w:rPr>
              <w:t>α-GR</w:t>
            </w:r>
            <w:r w:rsidRPr="00E9109B">
              <w:rPr>
                <w:rFonts w:ascii="Times New Roman" w:eastAsia="Times New Roman" w:hAnsi="Times New Roman" w:cs="Times New Roman"/>
                <w:color w:val="000000"/>
                <w:sz w:val="14"/>
                <w:szCs w:val="14"/>
              </w:rPr>
              <w:t>+CaCl</w:t>
            </w:r>
            <w:r w:rsidRPr="00E9109B">
              <w:rPr>
                <w:rFonts w:ascii="Times New Roman" w:eastAsia="Times New Roman" w:hAnsi="Times New Roman" w:cs="Times New Roman"/>
                <w:color w:val="000000"/>
                <w:sz w:val="14"/>
                <w:szCs w:val="14"/>
                <w:vertAlign w:val="subscript"/>
              </w:rPr>
              <w:t>2</w:t>
            </w:r>
          </w:p>
        </w:tc>
        <w:tc>
          <w:tcPr>
            <w:tcW w:w="71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51</w:t>
            </w:r>
          </w:p>
        </w:tc>
        <w:tc>
          <w:tcPr>
            <w:tcW w:w="1570"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-0.11 ± 0.03</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0.66</w:t>
            </w:r>
          </w:p>
        </w:tc>
        <w:tc>
          <w:tcPr>
            <w:tcW w:w="745"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1.38</w:t>
            </w:r>
          </w:p>
        </w:tc>
        <w:tc>
          <w:tcPr>
            <w:tcW w:w="1459"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0.08 ± 0.01</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0.77</w:t>
            </w:r>
          </w:p>
        </w:tc>
        <w:tc>
          <w:tcPr>
            <w:tcW w:w="719"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0.51</w:t>
            </w:r>
          </w:p>
        </w:tc>
        <w:tc>
          <w:tcPr>
            <w:tcW w:w="1595"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0.17 ± 0.03</w:t>
            </w:r>
          </w:p>
        </w:tc>
        <w:tc>
          <w:tcPr>
            <w:tcW w:w="514"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0.74</w:t>
            </w:r>
          </w:p>
        </w:tc>
        <w:tc>
          <w:tcPr>
            <w:tcW w:w="812" w:type="dxa"/>
            <w:tcBorders>
              <w:top w:val="single" w:sz="8" w:space="0" w:color="auto"/>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1.70</w:t>
            </w:r>
          </w:p>
        </w:tc>
        <w:tc>
          <w:tcPr>
            <w:tcW w:w="1493" w:type="dxa"/>
            <w:tcBorders>
              <w:top w:val="single" w:sz="8" w:space="0" w:color="auto"/>
              <w:left w:val="nil"/>
              <w:bottom w:val="nil"/>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-9.5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0.6</w:t>
            </w:r>
          </w:p>
        </w:tc>
        <w:tc>
          <w:tcPr>
            <w:tcW w:w="496"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0.96</w:t>
            </w:r>
          </w:p>
        </w:tc>
        <w:tc>
          <w:tcPr>
            <w:tcW w:w="765" w:type="dxa"/>
            <w:tcBorders>
              <w:top w:val="single" w:sz="8" w:space="0" w:color="auto"/>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29.68</w:t>
            </w:r>
          </w:p>
        </w:tc>
      </w:tr>
      <w:tr w:rsidR="00342C5A" w:rsidRPr="00E9109B" w:rsidTr="00924E92">
        <w:trPr>
          <w:trHeight w:val="300"/>
        </w:trPr>
        <w:tc>
          <w:tcPr>
            <w:tcW w:w="750" w:type="dxa"/>
            <w:vMerge/>
            <w:tcBorders>
              <w:top w:val="nil"/>
              <w:left w:val="single" w:sz="4" w:space="0" w:color="auto"/>
              <w:bottom w:val="single" w:sz="4" w:space="0" w:color="auto"/>
              <w:right w:val="single" w:sz="4" w:space="0" w:color="auto"/>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1060" w:type="dxa"/>
            <w:vMerge/>
            <w:tcBorders>
              <w:top w:val="single" w:sz="8" w:space="0" w:color="auto"/>
              <w:left w:val="single" w:sz="8" w:space="0" w:color="auto"/>
              <w:bottom w:val="single" w:sz="4" w:space="0" w:color="auto"/>
              <w:right w:val="nil"/>
            </w:tcBorders>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p>
        </w:tc>
        <w:tc>
          <w:tcPr>
            <w:tcW w:w="711" w:type="dxa"/>
            <w:tcBorders>
              <w:top w:val="nil"/>
              <w:left w:val="single" w:sz="8" w:space="0" w:color="auto"/>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40</w:t>
            </w:r>
          </w:p>
        </w:tc>
        <w:tc>
          <w:tcPr>
            <w:tcW w:w="1570"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-0.032 ± 0.004</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0.88</w:t>
            </w:r>
          </w:p>
        </w:tc>
        <w:tc>
          <w:tcPr>
            <w:tcW w:w="745"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1.34</w:t>
            </w:r>
          </w:p>
        </w:tc>
        <w:tc>
          <w:tcPr>
            <w:tcW w:w="1459"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0.02 ± 0.001</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0.95</w:t>
            </w:r>
          </w:p>
        </w:tc>
        <w:tc>
          <w:tcPr>
            <w:tcW w:w="719"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0.44</w:t>
            </w:r>
          </w:p>
        </w:tc>
        <w:tc>
          <w:tcPr>
            <w:tcW w:w="1595" w:type="dxa"/>
            <w:tcBorders>
              <w:top w:val="nil"/>
              <w:left w:val="single" w:sz="4" w:space="0" w:color="auto"/>
              <w:bottom w:val="single" w:sz="4" w:space="0" w:color="auto"/>
              <w:right w:val="single" w:sz="4" w:space="0" w:color="auto"/>
            </w:tcBorders>
            <w:shd w:val="clear" w:color="auto" w:fill="auto"/>
            <w:noWrap/>
            <w:vAlign w:val="center"/>
            <w:hideMark/>
          </w:tcPr>
          <w:p w:rsidR="00342C5A" w:rsidRPr="00E9109B" w:rsidRDefault="00342C5A" w:rsidP="00342C5A">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0.05 ± 0.01</w:t>
            </w:r>
          </w:p>
        </w:tc>
        <w:tc>
          <w:tcPr>
            <w:tcW w:w="514"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0.89</w:t>
            </w:r>
          </w:p>
        </w:tc>
        <w:tc>
          <w:tcPr>
            <w:tcW w:w="812" w:type="dxa"/>
            <w:tcBorders>
              <w:top w:val="nil"/>
              <w:left w:val="nil"/>
              <w:bottom w:val="single" w:sz="4" w:space="0" w:color="auto"/>
              <w:right w:val="single" w:sz="8"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1.81</w:t>
            </w:r>
          </w:p>
        </w:tc>
        <w:tc>
          <w:tcPr>
            <w:tcW w:w="1493" w:type="dxa"/>
            <w:tcBorders>
              <w:top w:val="single" w:sz="4" w:space="0" w:color="auto"/>
              <w:left w:val="nil"/>
              <w:bottom w:val="single" w:sz="4" w:space="0" w:color="auto"/>
              <w:right w:val="single" w:sz="4" w:space="0" w:color="auto"/>
            </w:tcBorders>
            <w:shd w:val="clear" w:color="auto" w:fill="auto"/>
            <w:noWrap/>
            <w:vAlign w:val="center"/>
            <w:hideMark/>
          </w:tcPr>
          <w:p w:rsidR="00342C5A" w:rsidRPr="00E9109B" w:rsidRDefault="00342C5A" w:rsidP="000C548C">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 xml:space="preserve">-2.5 </w:t>
            </w:r>
            <w:r w:rsidR="000C548C" w:rsidRPr="00E9109B">
              <w:rPr>
                <w:rFonts w:ascii="Times New Roman" w:eastAsia="Times New Roman" w:hAnsi="Times New Roman" w:cs="Times New Roman"/>
                <w:color w:val="000000"/>
                <w:sz w:val="14"/>
                <w:szCs w:val="14"/>
              </w:rPr>
              <w:t xml:space="preserve">± </w:t>
            </w:r>
            <w:r w:rsidRPr="00E9109B">
              <w:rPr>
                <w:rFonts w:ascii="Times New Roman" w:eastAsia="Times New Roman" w:hAnsi="Times New Roman" w:cs="Times New Roman"/>
                <w:color w:val="000000"/>
                <w:sz w:val="14"/>
                <w:szCs w:val="14"/>
              </w:rPr>
              <w:t>0.2</w:t>
            </w:r>
          </w:p>
        </w:tc>
        <w:tc>
          <w:tcPr>
            <w:tcW w:w="496"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0.97</w:t>
            </w:r>
          </w:p>
        </w:tc>
        <w:tc>
          <w:tcPr>
            <w:tcW w:w="765" w:type="dxa"/>
            <w:tcBorders>
              <w:top w:val="nil"/>
              <w:left w:val="nil"/>
              <w:bottom w:val="single" w:sz="4" w:space="0" w:color="auto"/>
              <w:right w:val="single" w:sz="4" w:space="0" w:color="auto"/>
            </w:tcBorders>
            <w:shd w:val="clear" w:color="auto" w:fill="auto"/>
            <w:noWrap/>
            <w:vAlign w:val="center"/>
            <w:hideMark/>
          </w:tcPr>
          <w:p w:rsidR="00342C5A" w:rsidRPr="00E9109B" w:rsidRDefault="00342C5A" w:rsidP="00F14CA8">
            <w:pPr>
              <w:spacing w:after="0" w:line="240" w:lineRule="auto"/>
              <w:jc w:val="center"/>
              <w:rPr>
                <w:rFonts w:ascii="Times New Roman" w:eastAsia="Times New Roman" w:hAnsi="Times New Roman" w:cs="Times New Roman"/>
                <w:color w:val="000000"/>
                <w:sz w:val="14"/>
                <w:szCs w:val="14"/>
              </w:rPr>
            </w:pPr>
            <w:r w:rsidRPr="00E9109B">
              <w:rPr>
                <w:rFonts w:ascii="Times New Roman" w:eastAsia="Times New Roman" w:hAnsi="Times New Roman" w:cs="Times New Roman"/>
                <w:color w:val="000000"/>
                <w:sz w:val="14"/>
                <w:szCs w:val="14"/>
              </w:rPr>
              <w:t>59.00</w:t>
            </w:r>
          </w:p>
        </w:tc>
      </w:tr>
    </w:tbl>
    <w:p w:rsidR="00F14CA8" w:rsidRDefault="00F14CA8" w:rsidP="00F14CA8">
      <w:pPr>
        <w:spacing w:line="360" w:lineRule="auto"/>
        <w:rPr>
          <w:rFonts w:ascii="Times New Roman" w:hAnsi="Times New Roman" w:cs="Times New Roman"/>
          <w:b/>
          <w:sz w:val="24"/>
          <w:szCs w:val="24"/>
        </w:rPr>
        <w:sectPr w:rsidR="00F14CA8" w:rsidSect="00F14CA8">
          <w:pgSz w:w="15840" w:h="12240" w:orient="landscape"/>
          <w:pgMar w:top="1440" w:right="1440" w:bottom="1440" w:left="1440" w:header="720" w:footer="720" w:gutter="0"/>
          <w:cols w:space="720"/>
          <w:docGrid w:linePitch="360"/>
        </w:sectPr>
      </w:pPr>
    </w:p>
    <w:p w:rsidR="00F14CA8" w:rsidRDefault="00F14CA8" w:rsidP="00F14CA8">
      <w:pPr>
        <w:spacing w:after="0" w:line="240" w:lineRule="auto"/>
        <w:ind w:left="720" w:hanging="720"/>
        <w:rPr>
          <w:rFonts w:ascii="Times New Roman" w:hAnsi="Times New Roman" w:cs="Times New Roman"/>
          <w:b/>
          <w:sz w:val="24"/>
          <w:szCs w:val="24"/>
        </w:rPr>
      </w:pPr>
      <w:r>
        <w:rPr>
          <w:rFonts w:ascii="Times New Roman" w:hAnsi="Times New Roman" w:cs="Times New Roman"/>
          <w:b/>
          <w:sz w:val="24"/>
          <w:szCs w:val="24"/>
        </w:rPr>
        <w:lastRenderedPageBreak/>
        <w:t>LITERATURE CITED</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Anonymous. 2006. α G-Rutin: Glucosyl rutin. Hayashibara Biochemical Laboratories.</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Arabshahi A &amp; Lund DB. 1985. Considerations in calculating kinetic parameters from experimental data. Journal of Food Process Engineering 7(4):239-251.</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Bittner S. 2006. When quinones meet amino acids: chemical, physical and biological consequences. Amino Acids 30(3):205-224.</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Bolin HR &amp; Steele RJ. 1987. Nonenzymatic browning in dried apples during storage. Journal of Food Science 52(6):1654-1987.</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Bors W, Michel C &amp; Schikora S. 1995. Interaction of flavonoids with ascorbate and determination of their univalent redox potentials: a pulse radiolysis study. Free Radical Biology &amp; Medicine 19(1):45-52.</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Botrel N, Dea V &amp; Almeida JR. 2000. Efeito do cloreto de calcio e do tratamento hidrotermico na atividade enzimatica e no teor de fenolicos do abacaxi. Pesquisa agropecuaria brasileira 35(10):2075-2081.</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Buglione M &amp; Lozano J. 2002. Nonenzymatic browning and chemical changes during grape juice storage. Journal of Food Science 67(4):1538-1543.</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 xml:space="preserve">Chandler LA &amp; Schwartz SJ. 1987. HPLC separation of </w:t>
      </w:r>
      <w:r w:rsidRPr="00AC2EE1">
        <w:rPr>
          <w:rFonts w:ascii="Times New Roman" w:hAnsi="Times New Roman"/>
          <w:i/>
          <w:noProof/>
          <w:sz w:val="24"/>
          <w:szCs w:val="24"/>
        </w:rPr>
        <w:t>cis-trans</w:t>
      </w:r>
      <w:r w:rsidRPr="00AC2EE1">
        <w:rPr>
          <w:rFonts w:ascii="Times New Roman" w:hAnsi="Times New Roman"/>
          <w:noProof/>
          <w:sz w:val="24"/>
          <w:szCs w:val="24"/>
        </w:rPr>
        <w:t xml:space="preserve"> carotene isomers in fresh and processed fruits and vegetables. Journal of Food Science 52(3):669-672.</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Cheftel JC &amp; Cheftel JHC. 1992. Introduccion a la bioquimica y tecnologia de los alimentos.</w:t>
      </w:r>
      <w:r w:rsidRPr="00AC2EE1">
        <w:rPr>
          <w:rFonts w:ascii="Times New Roman" w:hAnsi="Times New Roman"/>
          <w:i/>
          <w:noProof/>
          <w:sz w:val="24"/>
          <w:szCs w:val="24"/>
        </w:rPr>
        <w:t xml:space="preserve"> </w:t>
      </w:r>
      <w:r w:rsidRPr="00AC2EE1">
        <w:rPr>
          <w:rFonts w:ascii="Times New Roman" w:hAnsi="Times New Roman"/>
          <w:noProof/>
          <w:sz w:val="24"/>
          <w:szCs w:val="24"/>
        </w:rPr>
        <w:t>Zaragoza: Editorial Acribia.</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Chutintrasri B &amp; Noomhorm A. 200</w:t>
      </w:r>
      <w:r w:rsidR="00CC7D02">
        <w:rPr>
          <w:rFonts w:ascii="Times New Roman" w:hAnsi="Times New Roman"/>
          <w:noProof/>
          <w:sz w:val="24"/>
          <w:szCs w:val="24"/>
        </w:rPr>
        <w:t>7</w:t>
      </w:r>
      <w:r w:rsidRPr="00AC2EE1">
        <w:rPr>
          <w:rFonts w:ascii="Times New Roman" w:hAnsi="Times New Roman"/>
          <w:noProof/>
          <w:sz w:val="24"/>
          <w:szCs w:val="24"/>
        </w:rPr>
        <w:t>. Color degradation kinetics of pineapple puree during thermal processing. LWT--Food Science and Technology 40(2):300-306.</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Clark S, Warner H, Rodriguez JJ, Olivas GI, Sepulveda D, Bruins R &amp; Barbosa-Canovas G. 2002. Residual gas and storage conditions affect sensory quality of diced pears in flexible retortable pouches. Food Quality and Preference 13:153-162.</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Clegg KM &amp; Morton AD. 1968. The phenolic compounds of blackurrant juice and their protective effect on ascorbic acid. Journal of Food Technology 3:277-284.</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Cossins E, Lee R &amp; Packer L. 1998. ESR studies of vitamin C regeneration, order of reactivity of natural source phytochemical preparations. Biochemistry and Molecular Biology International 45(3):583-597.</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Damasceno LF, Fernandes FAN, Magalhaes MMA &amp; Brito ES. 2007. Non-enzymatic browning in clarified cashew apple juice during thermal treatment: Kinetics and process control. Food Chemistry 106(1):172-179.</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Fellows P. 2009. Food processing technology principles and practice.</w:t>
      </w:r>
      <w:r w:rsidRPr="00AC2EE1">
        <w:rPr>
          <w:rFonts w:ascii="Times New Roman" w:hAnsi="Times New Roman"/>
          <w:i/>
          <w:noProof/>
          <w:sz w:val="24"/>
          <w:szCs w:val="24"/>
        </w:rPr>
        <w:t xml:space="preserve"> </w:t>
      </w:r>
      <w:r w:rsidRPr="00AC2EE1">
        <w:rPr>
          <w:rFonts w:ascii="Times New Roman" w:hAnsi="Times New Roman"/>
          <w:noProof/>
          <w:sz w:val="24"/>
          <w:szCs w:val="24"/>
        </w:rPr>
        <w:t>Cambridge, England: Woodhead Pub.</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Fennema OR. 1996. Food chemistry.</w:t>
      </w:r>
      <w:r w:rsidRPr="00AC2EE1">
        <w:rPr>
          <w:rFonts w:ascii="Times New Roman" w:hAnsi="Times New Roman"/>
          <w:i/>
          <w:noProof/>
          <w:sz w:val="24"/>
          <w:szCs w:val="24"/>
        </w:rPr>
        <w:t xml:space="preserve"> </w:t>
      </w:r>
      <w:r w:rsidRPr="00AC2EE1">
        <w:rPr>
          <w:rFonts w:ascii="Times New Roman" w:hAnsi="Times New Roman"/>
          <w:noProof/>
          <w:sz w:val="24"/>
          <w:szCs w:val="24"/>
        </w:rPr>
        <w:t>New York: Marcel Dekker, Inc.</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Garro A &amp; Gasull E. 2010. Characterization of polyphenoloxidase from 2 peach (</w:t>
      </w:r>
      <w:r w:rsidRPr="00AC2EE1">
        <w:rPr>
          <w:rFonts w:ascii="Times New Roman" w:hAnsi="Times New Roman"/>
          <w:i/>
          <w:noProof/>
          <w:sz w:val="24"/>
          <w:szCs w:val="24"/>
        </w:rPr>
        <w:t>Prunus persica L.</w:t>
      </w:r>
      <w:r w:rsidRPr="00AC2EE1">
        <w:rPr>
          <w:rFonts w:ascii="Times New Roman" w:hAnsi="Times New Roman"/>
          <w:noProof/>
          <w:sz w:val="24"/>
          <w:szCs w:val="24"/>
        </w:rPr>
        <w:t>) varieties grown in Argentina. Food Science and Biotechnology 19(3):627-632.</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Garza S, Ibarz A, Pagan J &amp; Giner J. 1999. Non-enzymatic browning in peach puree during heating. Food Research International 32(5):335-343.</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Ghavidel RA &amp; Davoodi MG. 2010. Studies on physiochemical properties of tomato powder as affected by different dehydration methods and pretreatments. World Academy of Science, Engineering and Technology 69:596-605.</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Gokmen V, Kahraman N, Demir N &amp; Acar J. 2000. Enzymatically validated liquid chromatographic method for the determination of ascorbic and dehydroascorbic acids in fruit and vegetables. Journal of Chromatography, A 881(1+2):309-316.</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He Q, Luo Y &amp; Chen P. 2008. Elucidation of the mechanism of enzymatic browning inhibition by sodium chlorite. Food Chemistry 110(4):847-851.</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HunterLab. 2008. CIE L*a*b* Color Scale. Hunter Associates Laboratory, Inc</w:t>
      </w:r>
      <w:r w:rsidRPr="00AC2EE1">
        <w:rPr>
          <w:rFonts w:ascii="Times New Roman" w:hAnsi="Times New Roman"/>
          <w:i/>
          <w:noProof/>
          <w:sz w:val="24"/>
          <w:szCs w:val="24"/>
        </w:rPr>
        <w:t>.</w:t>
      </w:r>
      <w:r w:rsidRPr="00AC2EE1">
        <w:rPr>
          <w:rFonts w:ascii="Times New Roman" w:hAnsi="Times New Roman"/>
          <w:noProof/>
          <w:sz w:val="24"/>
          <w:szCs w:val="24"/>
        </w:rPr>
        <w:t xml:space="preserve"> Reston, VA.</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Ibarz A, Pagan J &amp; Garza S. 1999. Kinetic models for colour changes in pear puree during heating at relatively high temperatures. Journal of Food Engineering 39:415-422.</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Kacem B, Cornell JA, Marshall MR, Shireman RB &amp; Matthews RF. 1987. Nonenzymatic browning in aseptically packaged orange drinks: Effect of ascorbic acid, amino acids and oxygen. Journal of Food Science 52(6):1668-1672.</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Kluter RA, Nattress DT, Dunne CP &amp; Popper RD. 1994. Shelf life evaluation of cling peaches in retort pouches. Journal of Food Science 59(4):849-854, 865.</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Kluter RA, Nattress DT, Dunne CP &amp; Popper RD. 1996. Shelf life evaluation of Bartlett pears in retort pouches. Journal of Food Science 61(6):1297-1302.</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Li B &amp; Sun D. 2002. Novel methods for rapid freezing and thawing of foods - a review. Journal of Food Engineering 54(3):175-182.</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Lozano JE &amp; Ibarz A. 1996. Color changes in concentrated fruit pulp during heating at high temperatures. Journal of Food Engineering 31:365-373.</w:t>
      </w:r>
    </w:p>
    <w:p w:rsidR="00F14CA8"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Luh BS &amp; Phithakpol B. 1972. Characteristics of polyphenoloxidase related to browning in cling peaches. Journal of Food Science 37(2):264-268.</w:t>
      </w:r>
    </w:p>
    <w:p w:rsidR="00AC2EE1" w:rsidRPr="00AC2EE1" w:rsidRDefault="00AC2EE1" w:rsidP="00AC2EE1">
      <w:pPr>
        <w:spacing w:after="0" w:line="240" w:lineRule="auto"/>
        <w:jc w:val="both"/>
        <w:rPr>
          <w:rFonts w:ascii="Times New Roman" w:hAnsi="Times New Roman"/>
          <w:noProof/>
          <w:sz w:val="24"/>
          <w:szCs w:val="24"/>
        </w:rPr>
      </w:pPr>
    </w:p>
    <w:p w:rsidR="00F14CA8"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Olivas GI, Rodriguez JJ, Sepulveda DR, Warner H, Clark S &amp; Barbosa-Canovas GV. 2002. Residual gas volume effect on quality of retort pouch wet-pack pears. Journal of Food Process Engineering 25:233-249.</w:t>
      </w:r>
    </w:p>
    <w:p w:rsidR="00AC2EE1" w:rsidRP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lastRenderedPageBreak/>
        <w:t>Otero L, Martino M, Zaritzky N, Solas M &amp; Sanz PD. 2000. Preservation of microstructure in peach and mango during high-pressure-shift freezing. Journal of Food Science 65(3):466-470.</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Rice-Evans CA &amp; Packer L. 1998. Flavonoids in health and disease.</w:t>
      </w:r>
      <w:r w:rsidRPr="00AC2EE1">
        <w:rPr>
          <w:rFonts w:ascii="Times New Roman" w:hAnsi="Times New Roman"/>
          <w:i/>
          <w:noProof/>
          <w:sz w:val="24"/>
          <w:szCs w:val="24"/>
        </w:rPr>
        <w:t xml:space="preserve"> </w:t>
      </w:r>
      <w:r w:rsidRPr="00AC2EE1">
        <w:rPr>
          <w:rFonts w:ascii="Times New Roman" w:hAnsi="Times New Roman"/>
          <w:noProof/>
          <w:sz w:val="24"/>
          <w:szCs w:val="24"/>
        </w:rPr>
        <w:t>New York, N.Y.: Marcel Dekker.</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Rodriguez JJ, Olivas GI, Sepulveda DR, Warner H, Clark S &amp; Barbosa-Canovas GV. 2003. Shelf-life study of retort pouch black bean and rice burrito combat rations packaged at selected resiudal gas levels. Journal of Food Quality 26:409-424.</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Roig MG, Bello JF, Rivera ZS &amp; Kennedy JF. 2000. Studies on the occurrence of non-enzymic browning during storage of citrus juice. Food Research International 32(9):609-619.</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 xml:space="preserve">Schonrock U &amp; Kruse I, inventors. 2004. Use of flavones, flavanones and flavonoids for protecting ascorbic acid and/or ascorbyl compounds from oxidation. United States patent EP19990101745 </w:t>
      </w:r>
    </w:p>
    <w:p w:rsidR="00AC2EE1" w:rsidRDefault="00AC2EE1" w:rsidP="00AC2EE1">
      <w:pPr>
        <w:spacing w:after="0" w:line="240" w:lineRule="auto"/>
        <w:jc w:val="both"/>
        <w:rPr>
          <w:rFonts w:ascii="Times New Roman" w:hAnsi="Times New Roman"/>
          <w:noProof/>
          <w:sz w:val="24"/>
          <w:szCs w:val="24"/>
        </w:rPr>
      </w:pPr>
    </w:p>
    <w:p w:rsidR="00F14CA8" w:rsidRPr="00AC2EE1" w:rsidRDefault="00F14CA8" w:rsidP="00AC2EE1">
      <w:pPr>
        <w:spacing w:after="0" w:line="240" w:lineRule="auto"/>
        <w:jc w:val="both"/>
        <w:rPr>
          <w:rFonts w:ascii="Times New Roman" w:hAnsi="Times New Roman"/>
          <w:noProof/>
          <w:sz w:val="24"/>
          <w:szCs w:val="24"/>
        </w:rPr>
      </w:pPr>
      <w:r w:rsidRPr="00AC2EE1">
        <w:rPr>
          <w:rFonts w:ascii="Times New Roman" w:hAnsi="Times New Roman"/>
          <w:noProof/>
          <w:sz w:val="24"/>
          <w:szCs w:val="24"/>
        </w:rPr>
        <w:t>Shinoda Y, Murata M, Homma S &amp; Komura H. 2004. Browning and decomposed products of model orange juice. Bioscience, Biotechnology, and Biochemistry 68(3):529-536.</w:t>
      </w:r>
    </w:p>
    <w:p w:rsidR="00AC2EE1" w:rsidRDefault="00AC2EE1" w:rsidP="00AC2EE1">
      <w:pPr>
        <w:spacing w:line="240" w:lineRule="auto"/>
        <w:jc w:val="both"/>
        <w:rPr>
          <w:rFonts w:ascii="Times New Roman" w:hAnsi="Times New Roman"/>
          <w:noProof/>
          <w:sz w:val="24"/>
          <w:szCs w:val="24"/>
        </w:rPr>
      </w:pPr>
    </w:p>
    <w:p w:rsidR="00F14CA8" w:rsidRPr="00AC2EE1" w:rsidRDefault="00F14CA8" w:rsidP="00AC2EE1">
      <w:pPr>
        <w:spacing w:line="240" w:lineRule="auto"/>
        <w:jc w:val="both"/>
        <w:rPr>
          <w:rFonts w:ascii="Times New Roman" w:hAnsi="Times New Roman"/>
          <w:noProof/>
          <w:sz w:val="24"/>
          <w:szCs w:val="24"/>
        </w:rPr>
      </w:pPr>
      <w:r w:rsidRPr="00AC2EE1">
        <w:rPr>
          <w:rFonts w:ascii="Times New Roman" w:hAnsi="Times New Roman"/>
          <w:noProof/>
          <w:sz w:val="24"/>
          <w:szCs w:val="24"/>
        </w:rPr>
        <w:t>Sivonova M, Zitnanova I, Horakova L, Strosova M, Muchova J, Balgavy P, Dobrota D &amp; Durackova Z. 2006. The combined effect of Pycnogenol with ascorbic acid and trolox on the oxidation of lipids and proteins. General Physiology and Biophysics 25(4):379-396.</w:t>
      </w:r>
    </w:p>
    <w:p w:rsidR="00F14CA8" w:rsidRDefault="00F14CA8" w:rsidP="00F14CA8"/>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82E9A" w:rsidRDefault="00F82E9A" w:rsidP="00B540A1">
      <w:pPr>
        <w:pStyle w:val="ListParagraph"/>
        <w:spacing w:after="0" w:line="360" w:lineRule="auto"/>
        <w:ind w:left="0"/>
        <w:jc w:val="both"/>
        <w:rPr>
          <w:rFonts w:ascii="Times New Roman" w:hAnsi="Times New Roman"/>
          <w:sz w:val="24"/>
          <w:szCs w:val="24"/>
        </w:rPr>
      </w:pPr>
    </w:p>
    <w:p w:rsidR="00F82E9A" w:rsidRDefault="00F82E9A" w:rsidP="00B540A1">
      <w:pPr>
        <w:pStyle w:val="ListParagraph"/>
        <w:spacing w:after="0" w:line="360" w:lineRule="auto"/>
        <w:ind w:left="0"/>
        <w:jc w:val="both"/>
        <w:rPr>
          <w:rFonts w:ascii="Times New Roman" w:hAnsi="Times New Roman"/>
          <w:sz w:val="24"/>
          <w:szCs w:val="24"/>
        </w:rPr>
      </w:pPr>
    </w:p>
    <w:p w:rsidR="00F82E9A" w:rsidRDefault="00F82E9A" w:rsidP="00B540A1">
      <w:pPr>
        <w:pStyle w:val="ListParagraph"/>
        <w:spacing w:after="0" w:line="360" w:lineRule="auto"/>
        <w:ind w:left="0"/>
        <w:jc w:val="both"/>
        <w:rPr>
          <w:rFonts w:ascii="Times New Roman" w:hAnsi="Times New Roman"/>
          <w:sz w:val="24"/>
          <w:szCs w:val="24"/>
        </w:rPr>
      </w:pPr>
    </w:p>
    <w:p w:rsidR="00F82E9A" w:rsidRDefault="00F82E9A"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F14CA8" w:rsidRDefault="00F14CA8" w:rsidP="00B540A1">
      <w:pPr>
        <w:pStyle w:val="ListParagraph"/>
        <w:spacing w:after="0" w:line="360" w:lineRule="auto"/>
        <w:ind w:left="0"/>
        <w:jc w:val="both"/>
        <w:rPr>
          <w:rFonts w:ascii="Times New Roman" w:hAnsi="Times New Roman"/>
          <w:sz w:val="24"/>
          <w:szCs w:val="24"/>
        </w:rPr>
      </w:pPr>
    </w:p>
    <w:p w:rsidR="00AC2EE1" w:rsidRDefault="00867628" w:rsidP="00AC2EE1">
      <w:pPr>
        <w:rPr>
          <w:rFonts w:ascii="Times New Roman" w:hAnsi="Times New Roman" w:cs="Times New Roman"/>
          <w:b/>
          <w:sz w:val="24"/>
          <w:szCs w:val="24"/>
        </w:rPr>
      </w:pPr>
      <w:r>
        <w:rPr>
          <w:rFonts w:ascii="Times New Roman" w:hAnsi="Times New Roman" w:cs="Times New Roman"/>
          <w:b/>
          <w:sz w:val="24"/>
          <w:szCs w:val="24"/>
        </w:rPr>
        <w:lastRenderedPageBreak/>
        <w:t>CHAPTER 6</w:t>
      </w:r>
      <w:r w:rsidR="00AC2EE1" w:rsidRPr="00F0181C">
        <w:rPr>
          <w:rFonts w:ascii="Times New Roman" w:hAnsi="Times New Roman" w:cs="Times New Roman"/>
          <w:b/>
          <w:sz w:val="24"/>
          <w:szCs w:val="24"/>
        </w:rPr>
        <w:t>:  CONCLUSION</w:t>
      </w:r>
    </w:p>
    <w:p w:rsidR="00AC2EE1" w:rsidRDefault="00AC2EE1" w:rsidP="00AC2EE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Three different experiments were evaluated in order to study if the replacement of ascorbic acid by ascorbyl-2-phosphate and the use of flavonoids (Pycnogenol and α-glucosylrutin) in peaches can prevent the non-enzymatic browning due to degradation of ascorbic acid.  </w:t>
      </w:r>
    </w:p>
    <w:p w:rsidR="00AC2EE1" w:rsidRDefault="00AC2EE1" w:rsidP="00AC2EE1">
      <w:pPr>
        <w:spacing w:after="0" w:line="360" w:lineRule="auto"/>
        <w:ind w:firstLine="708"/>
        <w:jc w:val="both"/>
        <w:rPr>
          <w:rFonts w:ascii="Times New Roman" w:hAnsi="Times New Roman" w:cs="Times New Roman"/>
          <w:sz w:val="24"/>
          <w:szCs w:val="24"/>
        </w:rPr>
      </w:pPr>
    </w:p>
    <w:p w:rsidR="00AC2EE1" w:rsidRPr="002E776E" w:rsidRDefault="00AC2EE1" w:rsidP="00AC2EE1">
      <w:pPr>
        <w:spacing w:after="0" w:line="360" w:lineRule="auto"/>
        <w:ind w:firstLine="708"/>
        <w:jc w:val="both"/>
        <w:rPr>
          <w:rFonts w:ascii="Times New Roman" w:hAnsi="Times New Roman"/>
          <w:sz w:val="24"/>
          <w:szCs w:val="24"/>
        </w:rPr>
      </w:pPr>
      <w:r>
        <w:rPr>
          <w:rFonts w:ascii="Times New Roman" w:hAnsi="Times New Roman" w:cs="Times New Roman"/>
          <w:sz w:val="24"/>
          <w:szCs w:val="24"/>
        </w:rPr>
        <w:t xml:space="preserve">Treatments made of peach puree fortified with ascorbic </w:t>
      </w:r>
      <w:proofErr w:type="gramStart"/>
      <w:r>
        <w:rPr>
          <w:rFonts w:ascii="Times New Roman" w:hAnsi="Times New Roman" w:cs="Times New Roman"/>
          <w:sz w:val="24"/>
          <w:szCs w:val="24"/>
        </w:rPr>
        <w:t>acid,</w:t>
      </w:r>
      <w:proofErr w:type="gramEnd"/>
      <w:r>
        <w:rPr>
          <w:rFonts w:ascii="Times New Roman" w:hAnsi="Times New Roman" w:cs="Times New Roman"/>
          <w:sz w:val="24"/>
          <w:szCs w:val="24"/>
        </w:rPr>
        <w:t xml:space="preserve"> ascorbyl-2-phosphate and a control were stored at 40°C, 50°C and 60°C for 29 days.  The stability of the samples was evaluated through the color (CIELAB system) and vitamin C levels.  Also, dissolved oxygen was measured.  Constant rates were calculated and used in order to compare the different treatments. Samples with no added vitamin C showed the best stability.  </w:t>
      </w:r>
      <w:r w:rsidRPr="002E776E">
        <w:rPr>
          <w:rFonts w:ascii="Times New Roman" w:hAnsi="Times New Roman"/>
          <w:sz w:val="24"/>
          <w:szCs w:val="24"/>
        </w:rPr>
        <w:t>Kinetic models could not be applied successfully in all color parameters at all t</w:t>
      </w:r>
      <w:r>
        <w:rPr>
          <w:rFonts w:ascii="Times New Roman" w:hAnsi="Times New Roman"/>
          <w:sz w:val="24"/>
          <w:szCs w:val="24"/>
        </w:rPr>
        <w:t>emperatures due to data variability</w:t>
      </w:r>
      <w:r w:rsidRPr="002E776E">
        <w:rPr>
          <w:rFonts w:ascii="Times New Roman" w:hAnsi="Times New Roman"/>
          <w:sz w:val="24"/>
          <w:szCs w:val="24"/>
        </w:rPr>
        <w:t xml:space="preserve">.  </w:t>
      </w:r>
      <w:r>
        <w:rPr>
          <w:rFonts w:ascii="Times New Roman" w:hAnsi="Times New Roman"/>
          <w:sz w:val="24"/>
          <w:szCs w:val="24"/>
        </w:rPr>
        <w:t xml:space="preserve">The unclear trends can be attributed to the content of anthocyanins in the variety of peaches that were used (Flavorich).  </w:t>
      </w:r>
      <w:r w:rsidRPr="002E776E">
        <w:rPr>
          <w:rFonts w:ascii="Times New Roman" w:hAnsi="Times New Roman"/>
          <w:sz w:val="24"/>
          <w:szCs w:val="24"/>
        </w:rPr>
        <w:t xml:space="preserve">The </w:t>
      </w:r>
      <w:r>
        <w:rPr>
          <w:rFonts w:ascii="Times New Roman" w:hAnsi="Times New Roman"/>
          <w:sz w:val="24"/>
          <w:szCs w:val="24"/>
        </w:rPr>
        <w:t>Weibull model best</w:t>
      </w:r>
      <w:r w:rsidRPr="002E776E">
        <w:rPr>
          <w:rFonts w:ascii="Times New Roman" w:hAnsi="Times New Roman"/>
          <w:sz w:val="24"/>
          <w:szCs w:val="24"/>
        </w:rPr>
        <w:t xml:space="preserve"> described the changes in vitamin C.  At all temperatures, the rate constants of vitamin C degradation were higher in the ascorbic acid containing samples than in the ascorbyl-2-phosphate treatments</w:t>
      </w:r>
      <w:r>
        <w:rPr>
          <w:rFonts w:ascii="Times New Roman" w:hAnsi="Times New Roman"/>
          <w:sz w:val="24"/>
          <w:szCs w:val="24"/>
        </w:rPr>
        <w:t xml:space="preserve">. </w:t>
      </w:r>
      <w:r w:rsidRPr="00A421FC">
        <w:rPr>
          <w:rFonts w:ascii="Times New Roman" w:hAnsi="Times New Roman"/>
          <w:sz w:val="24"/>
          <w:szCs w:val="24"/>
        </w:rPr>
        <w:t xml:space="preserve">The differences in vitamin C losses between the fortified samples </w:t>
      </w:r>
      <w:r w:rsidR="00842AAF" w:rsidRPr="00A421FC">
        <w:rPr>
          <w:rFonts w:ascii="Times New Roman" w:hAnsi="Times New Roman"/>
          <w:sz w:val="24"/>
          <w:szCs w:val="24"/>
        </w:rPr>
        <w:t>increased</w:t>
      </w:r>
      <w:r w:rsidRPr="00A421FC">
        <w:rPr>
          <w:rFonts w:ascii="Times New Roman" w:hAnsi="Times New Roman"/>
          <w:sz w:val="24"/>
          <w:szCs w:val="24"/>
        </w:rPr>
        <w:t xml:space="preserve"> at lower temperatures.</w:t>
      </w:r>
      <w:r>
        <w:rPr>
          <w:rFonts w:ascii="Times New Roman" w:hAnsi="Times New Roman"/>
          <w:sz w:val="24"/>
          <w:szCs w:val="24"/>
        </w:rPr>
        <w:t xml:space="preserve"> </w:t>
      </w:r>
    </w:p>
    <w:p w:rsidR="00AC2EE1" w:rsidRDefault="00AC2EE1" w:rsidP="00AC2EE1">
      <w:pPr>
        <w:spacing w:after="0" w:line="360" w:lineRule="auto"/>
        <w:ind w:firstLine="720"/>
        <w:rPr>
          <w:rFonts w:ascii="Times New Roman" w:hAnsi="Times New Roman" w:cs="Times New Roman"/>
          <w:sz w:val="24"/>
          <w:szCs w:val="24"/>
        </w:rPr>
      </w:pPr>
    </w:p>
    <w:p w:rsidR="00AC2EE1" w:rsidRDefault="00AC2EE1" w:rsidP="00AC2EE1">
      <w:pPr>
        <w:pStyle w:val="ListParagraph"/>
        <w:spacing w:after="0" w:line="360" w:lineRule="auto"/>
        <w:ind w:left="0" w:firstLine="708"/>
        <w:jc w:val="both"/>
        <w:rPr>
          <w:rFonts w:ascii="Times New Roman" w:hAnsi="Times New Roman"/>
          <w:sz w:val="24"/>
          <w:szCs w:val="24"/>
        </w:rPr>
      </w:pPr>
      <w:r>
        <w:rPr>
          <w:rFonts w:ascii="Times New Roman" w:hAnsi="Times New Roman"/>
          <w:sz w:val="24"/>
          <w:szCs w:val="24"/>
        </w:rPr>
        <w:t>Ascorbyl-2-phosphate</w:t>
      </w:r>
      <w:r w:rsidRPr="00276E98">
        <w:rPr>
          <w:rFonts w:ascii="Times New Roman" w:hAnsi="Times New Roman"/>
          <w:sz w:val="24"/>
          <w:szCs w:val="24"/>
        </w:rPr>
        <w:t xml:space="preserve">, as replacement of ascorbic </w:t>
      </w:r>
      <w:proofErr w:type="gramStart"/>
      <w:r w:rsidRPr="00276E98">
        <w:rPr>
          <w:rFonts w:ascii="Times New Roman" w:hAnsi="Times New Roman"/>
          <w:sz w:val="24"/>
          <w:szCs w:val="24"/>
        </w:rPr>
        <w:t>acid,</w:t>
      </w:r>
      <w:proofErr w:type="gramEnd"/>
      <w:r w:rsidRPr="00276E98">
        <w:rPr>
          <w:rFonts w:ascii="Times New Roman" w:hAnsi="Times New Roman"/>
          <w:sz w:val="24"/>
          <w:szCs w:val="24"/>
        </w:rPr>
        <w:t xml:space="preserve"> and different concentrations</w:t>
      </w:r>
      <w:r>
        <w:rPr>
          <w:rFonts w:ascii="Times New Roman" w:hAnsi="Times New Roman"/>
          <w:sz w:val="24"/>
          <w:szCs w:val="24"/>
        </w:rPr>
        <w:t xml:space="preserve"> of Pycnogenol (0%, 0.01% and 0.1%) were</w:t>
      </w:r>
      <w:r w:rsidRPr="00276E98">
        <w:rPr>
          <w:rFonts w:ascii="Times New Roman" w:hAnsi="Times New Roman"/>
          <w:sz w:val="24"/>
          <w:szCs w:val="24"/>
        </w:rPr>
        <w:t xml:space="preserve"> added into the food systems</w:t>
      </w:r>
      <w:r>
        <w:rPr>
          <w:rFonts w:ascii="Times New Roman" w:hAnsi="Times New Roman"/>
          <w:sz w:val="24"/>
          <w:szCs w:val="24"/>
        </w:rPr>
        <w:t xml:space="preserve"> composed of diced peaches and syrup packaged in retortable pouches. </w:t>
      </w:r>
      <w:r w:rsidRPr="00276E98">
        <w:rPr>
          <w:rFonts w:ascii="Times New Roman" w:hAnsi="Times New Roman"/>
          <w:sz w:val="24"/>
          <w:szCs w:val="24"/>
        </w:rPr>
        <w:t xml:space="preserve">Samples were stored at 51°C and 40°C for six weeks and 12 weeks, respectively. During these storages, vitamin C concentrations, color (CIELAB system) and browning index were measured at different periods of time.  Rate constants </w:t>
      </w:r>
      <w:r>
        <w:rPr>
          <w:rFonts w:ascii="Times New Roman" w:hAnsi="Times New Roman"/>
          <w:sz w:val="24"/>
          <w:szCs w:val="24"/>
        </w:rPr>
        <w:t>and</w:t>
      </w:r>
      <w:r w:rsidRPr="00276E98">
        <w:rPr>
          <w:rFonts w:ascii="Times New Roman" w:hAnsi="Times New Roman"/>
          <w:sz w:val="24"/>
          <w:szCs w:val="24"/>
        </w:rPr>
        <w:t xml:space="preserve"> complete factorial designs were analyzed to determine any effect due to the Pycnogenol concentrations or Vitamin C type on the food systems.</w:t>
      </w:r>
      <w:r>
        <w:rPr>
          <w:rFonts w:ascii="Times New Roman" w:hAnsi="Times New Roman"/>
          <w:sz w:val="24"/>
          <w:szCs w:val="24"/>
        </w:rPr>
        <w:t xml:space="preserve">  At each temperature, all treatments had</w:t>
      </w:r>
      <w:r w:rsidRPr="00276E98">
        <w:rPr>
          <w:rFonts w:ascii="Times New Roman" w:hAnsi="Times New Roman"/>
          <w:sz w:val="24"/>
          <w:szCs w:val="24"/>
        </w:rPr>
        <w:t xml:space="preserve"> similar rate constants.</w:t>
      </w:r>
      <w:r>
        <w:rPr>
          <w:rFonts w:ascii="Times New Roman" w:hAnsi="Times New Roman"/>
          <w:sz w:val="24"/>
          <w:szCs w:val="24"/>
        </w:rPr>
        <w:t xml:space="preserve"> </w:t>
      </w:r>
      <w:r w:rsidRPr="00276E98">
        <w:rPr>
          <w:rFonts w:ascii="Times New Roman" w:hAnsi="Times New Roman"/>
          <w:sz w:val="24"/>
          <w:szCs w:val="24"/>
        </w:rPr>
        <w:t xml:space="preserve"> Even though the com</w:t>
      </w:r>
      <w:r>
        <w:rPr>
          <w:rFonts w:ascii="Times New Roman" w:hAnsi="Times New Roman"/>
          <w:sz w:val="24"/>
          <w:szCs w:val="24"/>
        </w:rPr>
        <w:t>plete factorial design had</w:t>
      </w:r>
      <w:r w:rsidRPr="00276E98">
        <w:rPr>
          <w:rFonts w:ascii="Times New Roman" w:hAnsi="Times New Roman"/>
          <w:sz w:val="24"/>
          <w:szCs w:val="24"/>
        </w:rPr>
        <w:t xml:space="preserve"> some significant differ</w:t>
      </w:r>
      <w:r>
        <w:rPr>
          <w:rFonts w:ascii="Times New Roman" w:hAnsi="Times New Roman"/>
          <w:sz w:val="24"/>
          <w:szCs w:val="24"/>
        </w:rPr>
        <w:t>ences, they were not so clear</w:t>
      </w:r>
      <w:r w:rsidRPr="00276E98">
        <w:rPr>
          <w:rFonts w:ascii="Times New Roman" w:hAnsi="Times New Roman"/>
          <w:sz w:val="24"/>
          <w:szCs w:val="24"/>
        </w:rPr>
        <w:t xml:space="preserve"> to conclude that one treatment was better than the rest. </w:t>
      </w:r>
    </w:p>
    <w:p w:rsidR="00AC2EE1" w:rsidRDefault="00AC2EE1" w:rsidP="00AC2EE1">
      <w:pPr>
        <w:pStyle w:val="ListParagraph"/>
        <w:spacing w:after="0" w:line="360" w:lineRule="auto"/>
        <w:ind w:left="0" w:firstLine="708"/>
        <w:jc w:val="both"/>
        <w:rPr>
          <w:rFonts w:ascii="Times New Roman" w:hAnsi="Times New Roman"/>
          <w:sz w:val="24"/>
          <w:szCs w:val="24"/>
        </w:rPr>
      </w:pPr>
    </w:p>
    <w:p w:rsidR="00AC2EE1" w:rsidRPr="00A421FC" w:rsidRDefault="00AC2EE1" w:rsidP="00AC2EE1">
      <w:pPr>
        <w:pStyle w:val="ListParagraph"/>
        <w:spacing w:after="0" w:line="360" w:lineRule="auto"/>
        <w:ind w:left="0" w:firstLine="720"/>
        <w:jc w:val="both"/>
        <w:rPr>
          <w:rFonts w:ascii="Times New Roman" w:hAnsi="Times New Roman"/>
          <w:sz w:val="24"/>
          <w:szCs w:val="24"/>
        </w:rPr>
      </w:pPr>
      <w:proofErr w:type="gramStart"/>
      <w:r>
        <w:rPr>
          <w:rFonts w:ascii="Times New Roman" w:hAnsi="Times New Roman"/>
          <w:sz w:val="24"/>
          <w:szCs w:val="24"/>
        </w:rPr>
        <w:t>α-Glucosylrutin</w:t>
      </w:r>
      <w:proofErr w:type="gramEnd"/>
      <w:r>
        <w:rPr>
          <w:rFonts w:ascii="Times New Roman" w:hAnsi="Times New Roman"/>
          <w:sz w:val="24"/>
          <w:szCs w:val="24"/>
        </w:rPr>
        <w:t xml:space="preserve"> was added in systems made of diced peaches and syrup packaged in retortable pouches to prevent ascorbic acid browning.</w:t>
      </w:r>
      <w:r w:rsidRPr="00252E90">
        <w:rPr>
          <w:rFonts w:ascii="Times New Roman" w:hAnsi="Times New Roman"/>
          <w:sz w:val="24"/>
          <w:szCs w:val="24"/>
        </w:rPr>
        <w:t xml:space="preserve"> </w:t>
      </w:r>
      <w:r>
        <w:rPr>
          <w:rFonts w:ascii="Times New Roman" w:hAnsi="Times New Roman"/>
          <w:sz w:val="24"/>
          <w:szCs w:val="24"/>
        </w:rPr>
        <w:t xml:space="preserve"> The use of CaCl</w:t>
      </w:r>
      <w:r w:rsidRPr="00252E90">
        <w:rPr>
          <w:rFonts w:ascii="Times New Roman" w:hAnsi="Times New Roman"/>
          <w:sz w:val="24"/>
          <w:szCs w:val="24"/>
          <w:vertAlign w:val="subscript"/>
        </w:rPr>
        <w:t>2</w:t>
      </w:r>
      <w:r>
        <w:rPr>
          <w:rFonts w:ascii="Times New Roman" w:hAnsi="Times New Roman"/>
          <w:sz w:val="24"/>
          <w:szCs w:val="24"/>
        </w:rPr>
        <w:t xml:space="preserve"> and different fruit sources (fresh, individually quick frozen and canned peaches) were </w:t>
      </w:r>
      <w:r>
        <w:rPr>
          <w:rFonts w:ascii="Times New Roman" w:hAnsi="Times New Roman"/>
          <w:sz w:val="24"/>
          <w:szCs w:val="24"/>
        </w:rPr>
        <w:lastRenderedPageBreak/>
        <w:t xml:space="preserve">also evaluated.  </w:t>
      </w:r>
      <w:r w:rsidRPr="00252E90">
        <w:rPr>
          <w:rFonts w:ascii="Times New Roman" w:hAnsi="Times New Roman"/>
          <w:sz w:val="24"/>
          <w:szCs w:val="24"/>
        </w:rPr>
        <w:t xml:space="preserve">Samples were stored at 51°C and 40°C for 42 and 270 days, respectively. </w:t>
      </w:r>
      <w:r>
        <w:rPr>
          <w:rFonts w:ascii="Times New Roman" w:hAnsi="Times New Roman"/>
          <w:sz w:val="24"/>
          <w:szCs w:val="24"/>
        </w:rPr>
        <w:t xml:space="preserve"> V</w:t>
      </w:r>
      <w:r w:rsidRPr="00252E90">
        <w:rPr>
          <w:rFonts w:ascii="Times New Roman" w:hAnsi="Times New Roman"/>
          <w:sz w:val="24"/>
          <w:szCs w:val="24"/>
        </w:rPr>
        <w:t>itamin C concentrations</w:t>
      </w:r>
      <w:r>
        <w:rPr>
          <w:rFonts w:ascii="Times New Roman" w:hAnsi="Times New Roman"/>
          <w:sz w:val="24"/>
          <w:szCs w:val="24"/>
        </w:rPr>
        <w:t xml:space="preserve"> and</w:t>
      </w:r>
      <w:r w:rsidRPr="00252E90">
        <w:rPr>
          <w:rFonts w:ascii="Times New Roman" w:hAnsi="Times New Roman"/>
          <w:sz w:val="24"/>
          <w:szCs w:val="24"/>
        </w:rPr>
        <w:t xml:space="preserve"> color (CIE</w:t>
      </w:r>
      <w:r>
        <w:rPr>
          <w:rFonts w:ascii="Times New Roman" w:hAnsi="Times New Roman"/>
          <w:sz w:val="24"/>
          <w:szCs w:val="24"/>
        </w:rPr>
        <w:t>LAB)</w:t>
      </w:r>
      <w:r w:rsidRPr="00252E90">
        <w:rPr>
          <w:rFonts w:ascii="Times New Roman" w:hAnsi="Times New Roman"/>
          <w:sz w:val="24"/>
          <w:szCs w:val="24"/>
        </w:rPr>
        <w:t xml:space="preserve"> were m</w:t>
      </w:r>
      <w:r>
        <w:rPr>
          <w:rFonts w:ascii="Times New Roman" w:hAnsi="Times New Roman"/>
          <w:sz w:val="24"/>
          <w:szCs w:val="24"/>
        </w:rPr>
        <w:t>easured during storage</w:t>
      </w:r>
      <w:r w:rsidRPr="00252E90">
        <w:rPr>
          <w:rFonts w:ascii="Times New Roman" w:hAnsi="Times New Roman"/>
          <w:sz w:val="24"/>
          <w:szCs w:val="24"/>
        </w:rPr>
        <w:t xml:space="preserve">. </w:t>
      </w:r>
      <w:r>
        <w:rPr>
          <w:rFonts w:ascii="Times New Roman" w:hAnsi="Times New Roman"/>
          <w:sz w:val="24"/>
          <w:szCs w:val="24"/>
        </w:rPr>
        <w:t xml:space="preserve"> </w:t>
      </w:r>
      <w:r w:rsidRPr="00252E90">
        <w:rPr>
          <w:rFonts w:ascii="Times New Roman" w:hAnsi="Times New Roman"/>
          <w:sz w:val="24"/>
          <w:szCs w:val="24"/>
        </w:rPr>
        <w:t>Rate con</w:t>
      </w:r>
      <w:r>
        <w:rPr>
          <w:rFonts w:ascii="Times New Roman" w:hAnsi="Times New Roman"/>
          <w:sz w:val="24"/>
          <w:szCs w:val="24"/>
        </w:rPr>
        <w:t xml:space="preserve">stants were calculated </w:t>
      </w:r>
      <w:r w:rsidRPr="00252E90">
        <w:rPr>
          <w:rFonts w:ascii="Times New Roman" w:hAnsi="Times New Roman"/>
          <w:sz w:val="24"/>
          <w:szCs w:val="24"/>
        </w:rPr>
        <w:t xml:space="preserve">to compare the different treatments. </w:t>
      </w:r>
      <w:r>
        <w:rPr>
          <w:rFonts w:ascii="Times New Roman" w:hAnsi="Times New Roman"/>
          <w:sz w:val="24"/>
          <w:szCs w:val="24"/>
        </w:rPr>
        <w:t xml:space="preserve"> A complete factorial design was used to determine </w:t>
      </w:r>
      <w:r w:rsidRPr="00252E90">
        <w:rPr>
          <w:rFonts w:ascii="Times New Roman" w:hAnsi="Times New Roman"/>
          <w:sz w:val="24"/>
          <w:szCs w:val="24"/>
        </w:rPr>
        <w:t>effect</w:t>
      </w:r>
      <w:r>
        <w:rPr>
          <w:rFonts w:ascii="Times New Roman" w:hAnsi="Times New Roman"/>
          <w:sz w:val="24"/>
          <w:szCs w:val="24"/>
        </w:rPr>
        <w:t>s</w:t>
      </w:r>
      <w:r w:rsidRPr="00252E90">
        <w:rPr>
          <w:rFonts w:ascii="Times New Roman" w:hAnsi="Times New Roman"/>
          <w:sz w:val="24"/>
          <w:szCs w:val="24"/>
        </w:rPr>
        <w:t xml:space="preserve"> due to the </w:t>
      </w:r>
      <w:r>
        <w:rPr>
          <w:rFonts w:ascii="Times New Roman" w:hAnsi="Times New Roman"/>
          <w:sz w:val="24"/>
          <w:szCs w:val="24"/>
        </w:rPr>
        <w:t>flavonoid or</w:t>
      </w:r>
      <w:r w:rsidRPr="00252E90">
        <w:rPr>
          <w:rFonts w:ascii="Times New Roman" w:hAnsi="Times New Roman"/>
          <w:sz w:val="24"/>
          <w:szCs w:val="24"/>
        </w:rPr>
        <w:t xml:space="preserve"> CaCl</w:t>
      </w:r>
      <w:r w:rsidRPr="00252E90">
        <w:rPr>
          <w:rFonts w:ascii="Times New Roman" w:hAnsi="Times New Roman"/>
          <w:sz w:val="24"/>
          <w:szCs w:val="24"/>
          <w:vertAlign w:val="subscript"/>
        </w:rPr>
        <w:t>2</w:t>
      </w:r>
      <w:r w:rsidRPr="00252E90">
        <w:rPr>
          <w:rFonts w:ascii="Times New Roman" w:hAnsi="Times New Roman"/>
          <w:sz w:val="24"/>
          <w:szCs w:val="24"/>
        </w:rPr>
        <w:t>.</w:t>
      </w:r>
      <w:r>
        <w:rPr>
          <w:rFonts w:ascii="Times New Roman" w:hAnsi="Times New Roman"/>
          <w:sz w:val="24"/>
          <w:szCs w:val="24"/>
        </w:rPr>
        <w:t xml:space="preserve">  At 51°C, the treatments (control, CaCl</w:t>
      </w:r>
      <w:r w:rsidRPr="00252E90">
        <w:rPr>
          <w:rFonts w:ascii="Times New Roman" w:hAnsi="Times New Roman"/>
          <w:sz w:val="24"/>
          <w:szCs w:val="24"/>
          <w:vertAlign w:val="subscript"/>
        </w:rPr>
        <w:t>2</w:t>
      </w:r>
      <w:r>
        <w:rPr>
          <w:rFonts w:ascii="Times New Roman" w:hAnsi="Times New Roman"/>
          <w:sz w:val="24"/>
          <w:szCs w:val="24"/>
        </w:rPr>
        <w:t>, α-GR and CaCl</w:t>
      </w:r>
      <w:r w:rsidRPr="00252E90">
        <w:rPr>
          <w:rFonts w:ascii="Times New Roman" w:hAnsi="Times New Roman"/>
          <w:sz w:val="24"/>
          <w:szCs w:val="24"/>
          <w:vertAlign w:val="subscript"/>
        </w:rPr>
        <w:t>2</w:t>
      </w:r>
      <w:r>
        <w:rPr>
          <w:rFonts w:ascii="Times New Roman" w:hAnsi="Times New Roman"/>
          <w:sz w:val="24"/>
          <w:szCs w:val="24"/>
        </w:rPr>
        <w:t xml:space="preserve">-α-GR) did not slow the rate of AA or color deterioration.  At 40°C, the treatments that had α-GR and </w:t>
      </w:r>
      <w:r w:rsidR="000C548C">
        <w:rPr>
          <w:rFonts w:ascii="Times New Roman" w:hAnsi="Times New Roman"/>
          <w:sz w:val="24"/>
          <w:szCs w:val="24"/>
        </w:rPr>
        <w:t>were</w:t>
      </w:r>
      <w:r>
        <w:rPr>
          <w:rFonts w:ascii="Times New Roman" w:hAnsi="Times New Roman"/>
          <w:sz w:val="24"/>
          <w:szCs w:val="24"/>
        </w:rPr>
        <w:t xml:space="preserve"> made using individually quick frozen or canned peaches had a lower rate of browning and loss of ascorbic acid than the rest of treatments.  There is evidence which suggests that CaCl</w:t>
      </w:r>
      <w:r w:rsidRPr="00183D2F">
        <w:rPr>
          <w:rFonts w:ascii="Times New Roman" w:hAnsi="Times New Roman"/>
          <w:sz w:val="24"/>
          <w:szCs w:val="24"/>
          <w:vertAlign w:val="subscript"/>
        </w:rPr>
        <w:t>2</w:t>
      </w:r>
      <w:r>
        <w:rPr>
          <w:rFonts w:ascii="Times New Roman" w:hAnsi="Times New Roman"/>
          <w:sz w:val="24"/>
          <w:szCs w:val="24"/>
        </w:rPr>
        <w:t xml:space="preserve"> could </w:t>
      </w:r>
      <w:r w:rsidRPr="00A421FC">
        <w:rPr>
          <w:rFonts w:ascii="Times New Roman" w:hAnsi="Times New Roman"/>
          <w:sz w:val="24"/>
          <w:szCs w:val="24"/>
        </w:rPr>
        <w:t xml:space="preserve">promote ascorbic acid browning under the evaluated conditions. </w:t>
      </w:r>
    </w:p>
    <w:p w:rsidR="00AC2EE1" w:rsidRPr="00A421FC" w:rsidRDefault="00AC2EE1" w:rsidP="00AC2EE1">
      <w:pPr>
        <w:pStyle w:val="ListParagraph"/>
        <w:spacing w:after="0" w:line="360" w:lineRule="auto"/>
        <w:ind w:left="0" w:firstLine="720"/>
        <w:jc w:val="both"/>
        <w:rPr>
          <w:rFonts w:ascii="Times New Roman" w:hAnsi="Times New Roman"/>
          <w:sz w:val="24"/>
          <w:szCs w:val="24"/>
        </w:rPr>
      </w:pPr>
    </w:p>
    <w:p w:rsidR="00AC2EE1" w:rsidRDefault="00AC2EE1" w:rsidP="00AC2EE1">
      <w:pPr>
        <w:spacing w:after="0" w:line="360" w:lineRule="auto"/>
        <w:ind w:firstLine="720"/>
        <w:jc w:val="both"/>
        <w:rPr>
          <w:rFonts w:ascii="Times New Roman" w:hAnsi="Times New Roman" w:cs="Times New Roman"/>
          <w:sz w:val="24"/>
          <w:szCs w:val="24"/>
          <w:lang w:val="es-ES"/>
        </w:rPr>
      </w:pPr>
      <w:r w:rsidRPr="00A421FC">
        <w:rPr>
          <w:rFonts w:ascii="Times New Roman" w:hAnsi="Times New Roman"/>
          <w:sz w:val="24"/>
          <w:szCs w:val="24"/>
        </w:rPr>
        <w:t xml:space="preserve">In summary, </w:t>
      </w:r>
      <w:r w:rsidRPr="00A421FC">
        <w:rPr>
          <w:rFonts w:ascii="Times New Roman" w:hAnsi="Times New Roman" w:cs="Times New Roman"/>
          <w:sz w:val="24"/>
          <w:szCs w:val="24"/>
          <w:lang w:val="es-ES"/>
        </w:rPr>
        <w:t xml:space="preserve">Ascorbyl-2-phosphate showed better stability than ascorbic acid at 40°C in the puree systems.  Both Ascorbyl-2-phosphate and Pycnogenol did not show an improvement on the stability of the diced peaches packaged in the retortable pouches.  </w:t>
      </w:r>
      <w:proofErr w:type="gramStart"/>
      <w:r w:rsidRPr="00A421FC">
        <w:rPr>
          <w:rFonts w:ascii="Times New Roman" w:hAnsi="Times New Roman" w:cs="Times New Roman"/>
          <w:sz w:val="24"/>
          <w:szCs w:val="24"/>
          <w:lang w:val="es-ES"/>
        </w:rPr>
        <w:t>α-Glucosylrutin</w:t>
      </w:r>
      <w:proofErr w:type="gramEnd"/>
      <w:r w:rsidRPr="00A421FC">
        <w:rPr>
          <w:rFonts w:ascii="Times New Roman" w:hAnsi="Times New Roman" w:cs="Times New Roman"/>
          <w:sz w:val="24"/>
          <w:szCs w:val="24"/>
          <w:lang w:val="es-ES"/>
        </w:rPr>
        <w:t xml:space="preserve"> improved the quality of diced peaches in pouches made of individually quick frozen and canned peaches during storage at 40°C.</w:t>
      </w:r>
    </w:p>
    <w:p w:rsidR="00AC2EE1" w:rsidRDefault="00AC2EE1" w:rsidP="00AC2EE1">
      <w:pPr>
        <w:pStyle w:val="ListParagraph"/>
        <w:spacing w:after="0" w:line="360" w:lineRule="auto"/>
        <w:ind w:left="0" w:firstLine="720"/>
        <w:jc w:val="both"/>
        <w:rPr>
          <w:rFonts w:ascii="Times New Roman" w:hAnsi="Times New Roman"/>
          <w:sz w:val="24"/>
          <w:szCs w:val="24"/>
        </w:rPr>
      </w:pPr>
    </w:p>
    <w:p w:rsidR="00AC2EE1" w:rsidRDefault="00AC2EE1" w:rsidP="00AC2EE1">
      <w:pPr>
        <w:spacing w:after="0" w:line="360" w:lineRule="auto"/>
        <w:ind w:firstLine="720"/>
        <w:rPr>
          <w:rFonts w:ascii="Times New Roman" w:hAnsi="Times New Roman" w:cs="Times New Roman"/>
          <w:sz w:val="24"/>
          <w:szCs w:val="24"/>
        </w:rPr>
      </w:pPr>
    </w:p>
    <w:p w:rsidR="00B540A1" w:rsidRPr="00153E32" w:rsidRDefault="00B540A1" w:rsidP="00274675">
      <w:pPr>
        <w:pStyle w:val="ListParagraph"/>
        <w:spacing w:after="0" w:line="360" w:lineRule="auto"/>
        <w:ind w:left="0"/>
        <w:jc w:val="both"/>
        <w:rPr>
          <w:rFonts w:ascii="Times New Roman" w:hAnsi="Times New Roman"/>
          <w:b/>
          <w:sz w:val="24"/>
          <w:szCs w:val="24"/>
        </w:rPr>
      </w:pPr>
    </w:p>
    <w:sectPr w:rsidR="00B540A1" w:rsidRPr="00153E32" w:rsidSect="008C75DF">
      <w:type w:val="continuous"/>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06A3" w:rsidRDefault="004006A3" w:rsidP="00796321">
      <w:pPr>
        <w:spacing w:after="0" w:line="240" w:lineRule="auto"/>
      </w:pPr>
      <w:r>
        <w:separator/>
      </w:r>
    </w:p>
  </w:endnote>
  <w:endnote w:type="continuationSeparator" w:id="0">
    <w:p w:rsidR="004006A3" w:rsidRDefault="004006A3" w:rsidP="007963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715242"/>
      <w:docPartObj>
        <w:docPartGallery w:val="Page Numbers (Bottom of Page)"/>
        <w:docPartUnique/>
      </w:docPartObj>
    </w:sdtPr>
    <w:sdtContent>
      <w:p w:rsidR="00CC7D02" w:rsidRDefault="00D50EC7">
        <w:pPr>
          <w:pStyle w:val="Footer"/>
          <w:jc w:val="right"/>
        </w:pPr>
        <w:fldSimple w:instr=" PAGE   \* MERGEFORMAT ">
          <w:r w:rsidR="00033075">
            <w:rPr>
              <w:noProof/>
            </w:rPr>
            <w:t>iii</w:t>
          </w:r>
        </w:fldSimple>
      </w:p>
    </w:sdtContent>
  </w:sdt>
  <w:p w:rsidR="00CC7D02" w:rsidRDefault="00CC7D0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715243"/>
      <w:docPartObj>
        <w:docPartGallery w:val="Page Numbers (Bottom of Page)"/>
        <w:docPartUnique/>
      </w:docPartObj>
    </w:sdtPr>
    <w:sdtContent>
      <w:p w:rsidR="00CC7D02" w:rsidRDefault="00D50EC7">
        <w:pPr>
          <w:pStyle w:val="Footer"/>
          <w:jc w:val="right"/>
        </w:pPr>
        <w:fldSimple w:instr=" PAGE   \* MERGEFORMAT ">
          <w:r w:rsidR="00CC7D02">
            <w:rPr>
              <w:noProof/>
            </w:rPr>
            <w:t>0</w:t>
          </w:r>
        </w:fldSimple>
      </w:p>
    </w:sdtContent>
  </w:sdt>
  <w:p w:rsidR="00CC7D02" w:rsidRDefault="00CC7D0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06A3" w:rsidRDefault="004006A3" w:rsidP="00796321">
      <w:pPr>
        <w:spacing w:after="0" w:line="240" w:lineRule="auto"/>
      </w:pPr>
      <w:r>
        <w:separator/>
      </w:r>
    </w:p>
  </w:footnote>
  <w:footnote w:type="continuationSeparator" w:id="0">
    <w:p w:rsidR="004006A3" w:rsidRDefault="004006A3" w:rsidP="0079632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C0DE4"/>
    <w:multiLevelType w:val="hybridMultilevel"/>
    <w:tmpl w:val="3536A67E"/>
    <w:lvl w:ilvl="0" w:tplc="394EEE72">
      <w:start w:val="1"/>
      <w:numFmt w:val="lowerLetter"/>
      <w:lvlText w:val="%1)"/>
      <w:lvlJc w:val="left"/>
      <w:pPr>
        <w:ind w:left="2160" w:hanging="360"/>
      </w:pPr>
      <w:rPr>
        <w:rFonts w:hint="default"/>
      </w:rPr>
    </w:lvl>
    <w:lvl w:ilvl="1" w:tplc="0C0A0019" w:tentative="1">
      <w:start w:val="1"/>
      <w:numFmt w:val="lowerLetter"/>
      <w:lvlText w:val="%2."/>
      <w:lvlJc w:val="left"/>
      <w:pPr>
        <w:ind w:left="2880" w:hanging="360"/>
      </w:pPr>
    </w:lvl>
    <w:lvl w:ilvl="2" w:tplc="0C0A001B" w:tentative="1">
      <w:start w:val="1"/>
      <w:numFmt w:val="lowerRoman"/>
      <w:lvlText w:val="%3."/>
      <w:lvlJc w:val="right"/>
      <w:pPr>
        <w:ind w:left="3600" w:hanging="180"/>
      </w:pPr>
    </w:lvl>
    <w:lvl w:ilvl="3" w:tplc="0C0A000F" w:tentative="1">
      <w:start w:val="1"/>
      <w:numFmt w:val="decimal"/>
      <w:lvlText w:val="%4."/>
      <w:lvlJc w:val="left"/>
      <w:pPr>
        <w:ind w:left="4320" w:hanging="360"/>
      </w:pPr>
    </w:lvl>
    <w:lvl w:ilvl="4" w:tplc="0C0A0019" w:tentative="1">
      <w:start w:val="1"/>
      <w:numFmt w:val="lowerLetter"/>
      <w:lvlText w:val="%5."/>
      <w:lvlJc w:val="left"/>
      <w:pPr>
        <w:ind w:left="5040" w:hanging="360"/>
      </w:pPr>
    </w:lvl>
    <w:lvl w:ilvl="5" w:tplc="0C0A001B" w:tentative="1">
      <w:start w:val="1"/>
      <w:numFmt w:val="lowerRoman"/>
      <w:lvlText w:val="%6."/>
      <w:lvlJc w:val="right"/>
      <w:pPr>
        <w:ind w:left="5760" w:hanging="180"/>
      </w:pPr>
    </w:lvl>
    <w:lvl w:ilvl="6" w:tplc="0C0A000F" w:tentative="1">
      <w:start w:val="1"/>
      <w:numFmt w:val="decimal"/>
      <w:lvlText w:val="%7."/>
      <w:lvlJc w:val="left"/>
      <w:pPr>
        <w:ind w:left="6480" w:hanging="360"/>
      </w:pPr>
    </w:lvl>
    <w:lvl w:ilvl="7" w:tplc="0C0A0019" w:tentative="1">
      <w:start w:val="1"/>
      <w:numFmt w:val="lowerLetter"/>
      <w:lvlText w:val="%8."/>
      <w:lvlJc w:val="left"/>
      <w:pPr>
        <w:ind w:left="7200" w:hanging="360"/>
      </w:pPr>
    </w:lvl>
    <w:lvl w:ilvl="8" w:tplc="0C0A001B" w:tentative="1">
      <w:start w:val="1"/>
      <w:numFmt w:val="lowerRoman"/>
      <w:lvlText w:val="%9."/>
      <w:lvlJc w:val="right"/>
      <w:pPr>
        <w:ind w:left="7920" w:hanging="180"/>
      </w:pPr>
    </w:lvl>
  </w:abstractNum>
  <w:abstractNum w:abstractNumId="1">
    <w:nsid w:val="07A32B97"/>
    <w:multiLevelType w:val="hybridMultilevel"/>
    <w:tmpl w:val="450AF718"/>
    <w:lvl w:ilvl="0" w:tplc="438E09E8">
      <w:start w:val="1"/>
      <w:numFmt w:val="decimal"/>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2">
    <w:nsid w:val="0B381A11"/>
    <w:multiLevelType w:val="hybridMultilevel"/>
    <w:tmpl w:val="47D89D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074329"/>
    <w:multiLevelType w:val="hybridMultilevel"/>
    <w:tmpl w:val="20B41718"/>
    <w:lvl w:ilvl="0" w:tplc="896A313C">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34718F"/>
    <w:multiLevelType w:val="hybridMultilevel"/>
    <w:tmpl w:val="E286E008"/>
    <w:lvl w:ilvl="0" w:tplc="383A93C8">
      <w:start w:val="1"/>
      <w:numFmt w:val="lowerLetter"/>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5">
    <w:nsid w:val="18EA01D1"/>
    <w:multiLevelType w:val="hybridMultilevel"/>
    <w:tmpl w:val="C9960E50"/>
    <w:lvl w:ilvl="0" w:tplc="E7F0A106">
      <w:start w:val="1"/>
      <w:numFmt w:val="bullet"/>
      <w:lvlText w:val="-"/>
      <w:lvlJc w:val="left"/>
      <w:pPr>
        <w:ind w:left="1287" w:hanging="360"/>
      </w:pPr>
      <w:rPr>
        <w:rFonts w:ascii="Times New Roman" w:eastAsia="Calibri"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nsid w:val="1B217702"/>
    <w:multiLevelType w:val="multilevel"/>
    <w:tmpl w:val="CC38FE4E"/>
    <w:lvl w:ilvl="0">
      <w:numFmt w:val="decimal"/>
      <w:lvlText w:val="%1.0"/>
      <w:lvlJc w:val="left"/>
      <w:pPr>
        <w:ind w:left="360" w:hanging="360"/>
      </w:pPr>
      <w:rPr>
        <w:rFonts w:hint="default"/>
      </w:rPr>
    </w:lvl>
    <w:lvl w:ilvl="1">
      <w:start w:val="1"/>
      <w:numFmt w:val="decimalZero"/>
      <w:lvlText w:val="%1.%2"/>
      <w:lvlJc w:val="left"/>
      <w:pPr>
        <w:ind w:left="1080" w:hanging="360"/>
      </w:pPr>
      <w:rPr>
        <w:rFonts w:hint="default"/>
      </w:rPr>
    </w:lvl>
    <w:lvl w:ilvl="2">
      <w:start w:val="1"/>
      <w:numFmt w:val="decimal"/>
      <w:lvlText w:val="%1.%2.%3"/>
      <w:lvlJc w:val="left"/>
      <w:pPr>
        <w:ind w:left="1800" w:hanging="36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6120" w:hanging="1080"/>
      </w:pPr>
      <w:rPr>
        <w:rFonts w:hint="default"/>
      </w:rPr>
    </w:lvl>
    <w:lvl w:ilvl="8">
      <w:start w:val="1"/>
      <w:numFmt w:val="decimal"/>
      <w:lvlText w:val="%1.%2.%3.%4.%5.%6.%7.%8.%9"/>
      <w:lvlJc w:val="left"/>
      <w:pPr>
        <w:ind w:left="6840" w:hanging="1080"/>
      </w:pPr>
      <w:rPr>
        <w:rFonts w:hint="default"/>
      </w:rPr>
    </w:lvl>
  </w:abstractNum>
  <w:abstractNum w:abstractNumId="7">
    <w:nsid w:val="1D1324B8"/>
    <w:multiLevelType w:val="hybridMultilevel"/>
    <w:tmpl w:val="A476B2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8173D3"/>
    <w:multiLevelType w:val="multilevel"/>
    <w:tmpl w:val="62721FF0"/>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73B4616"/>
    <w:multiLevelType w:val="hybridMultilevel"/>
    <w:tmpl w:val="7902E040"/>
    <w:lvl w:ilvl="0" w:tplc="378C58C2">
      <w:start w:val="1"/>
      <w:numFmt w:val="lowerLetter"/>
      <w:lvlText w:val="%1)"/>
      <w:lvlJc w:val="left"/>
      <w:pPr>
        <w:ind w:left="2160" w:hanging="360"/>
      </w:pPr>
      <w:rPr>
        <w:rFonts w:hint="default"/>
      </w:rPr>
    </w:lvl>
    <w:lvl w:ilvl="1" w:tplc="0C0A0019" w:tentative="1">
      <w:start w:val="1"/>
      <w:numFmt w:val="lowerLetter"/>
      <w:lvlText w:val="%2."/>
      <w:lvlJc w:val="left"/>
      <w:pPr>
        <w:ind w:left="2880" w:hanging="360"/>
      </w:pPr>
    </w:lvl>
    <w:lvl w:ilvl="2" w:tplc="0C0A001B" w:tentative="1">
      <w:start w:val="1"/>
      <w:numFmt w:val="lowerRoman"/>
      <w:lvlText w:val="%3."/>
      <w:lvlJc w:val="right"/>
      <w:pPr>
        <w:ind w:left="3600" w:hanging="180"/>
      </w:pPr>
    </w:lvl>
    <w:lvl w:ilvl="3" w:tplc="0C0A000F" w:tentative="1">
      <w:start w:val="1"/>
      <w:numFmt w:val="decimal"/>
      <w:lvlText w:val="%4."/>
      <w:lvlJc w:val="left"/>
      <w:pPr>
        <w:ind w:left="4320" w:hanging="360"/>
      </w:pPr>
    </w:lvl>
    <w:lvl w:ilvl="4" w:tplc="0C0A0019" w:tentative="1">
      <w:start w:val="1"/>
      <w:numFmt w:val="lowerLetter"/>
      <w:lvlText w:val="%5."/>
      <w:lvlJc w:val="left"/>
      <w:pPr>
        <w:ind w:left="5040" w:hanging="360"/>
      </w:pPr>
    </w:lvl>
    <w:lvl w:ilvl="5" w:tplc="0C0A001B" w:tentative="1">
      <w:start w:val="1"/>
      <w:numFmt w:val="lowerRoman"/>
      <w:lvlText w:val="%6."/>
      <w:lvlJc w:val="right"/>
      <w:pPr>
        <w:ind w:left="5760" w:hanging="180"/>
      </w:pPr>
    </w:lvl>
    <w:lvl w:ilvl="6" w:tplc="0C0A000F" w:tentative="1">
      <w:start w:val="1"/>
      <w:numFmt w:val="decimal"/>
      <w:lvlText w:val="%7."/>
      <w:lvlJc w:val="left"/>
      <w:pPr>
        <w:ind w:left="6480" w:hanging="360"/>
      </w:pPr>
    </w:lvl>
    <w:lvl w:ilvl="7" w:tplc="0C0A0019" w:tentative="1">
      <w:start w:val="1"/>
      <w:numFmt w:val="lowerLetter"/>
      <w:lvlText w:val="%8."/>
      <w:lvlJc w:val="left"/>
      <w:pPr>
        <w:ind w:left="7200" w:hanging="360"/>
      </w:pPr>
    </w:lvl>
    <w:lvl w:ilvl="8" w:tplc="0C0A001B" w:tentative="1">
      <w:start w:val="1"/>
      <w:numFmt w:val="lowerRoman"/>
      <w:lvlText w:val="%9."/>
      <w:lvlJc w:val="right"/>
      <w:pPr>
        <w:ind w:left="7920" w:hanging="180"/>
      </w:pPr>
    </w:lvl>
  </w:abstractNum>
  <w:abstractNum w:abstractNumId="10">
    <w:nsid w:val="29E43FFF"/>
    <w:multiLevelType w:val="hybridMultilevel"/>
    <w:tmpl w:val="D29E92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08229E9"/>
    <w:multiLevelType w:val="hybridMultilevel"/>
    <w:tmpl w:val="F28438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1C0454C"/>
    <w:multiLevelType w:val="hybridMultilevel"/>
    <w:tmpl w:val="6FF8FB0E"/>
    <w:lvl w:ilvl="0" w:tplc="5994D916">
      <w:start w:val="1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2B4560D"/>
    <w:multiLevelType w:val="multilevel"/>
    <w:tmpl w:val="DA4060B2"/>
    <w:lvl w:ilvl="0">
      <w:start w:val="1"/>
      <w:numFmt w:val="upperRoman"/>
      <w:lvlText w:val="%1."/>
      <w:lvlJc w:val="left"/>
      <w:pPr>
        <w:ind w:left="1080" w:hanging="72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4">
    <w:nsid w:val="38182252"/>
    <w:multiLevelType w:val="hybridMultilevel"/>
    <w:tmpl w:val="33662EF0"/>
    <w:lvl w:ilvl="0" w:tplc="24D66AA2">
      <w:start w:val="1"/>
      <w:numFmt w:val="decimal"/>
      <w:lvlText w:val="%1."/>
      <w:lvlJc w:val="left"/>
      <w:pPr>
        <w:ind w:left="2778" w:hanging="360"/>
      </w:pPr>
      <w:rPr>
        <w:rFonts w:ascii="Times New Roman" w:eastAsia="Calibri" w:hAnsi="Times New Roman" w:cs="Times New Roman"/>
      </w:rPr>
    </w:lvl>
    <w:lvl w:ilvl="1" w:tplc="04090019">
      <w:start w:val="1"/>
      <w:numFmt w:val="lowerLetter"/>
      <w:lvlText w:val="%2."/>
      <w:lvlJc w:val="left"/>
      <w:pPr>
        <w:ind w:left="3498" w:hanging="360"/>
      </w:pPr>
    </w:lvl>
    <w:lvl w:ilvl="2" w:tplc="0409001B" w:tentative="1">
      <w:start w:val="1"/>
      <w:numFmt w:val="lowerRoman"/>
      <w:lvlText w:val="%3."/>
      <w:lvlJc w:val="right"/>
      <w:pPr>
        <w:ind w:left="4218" w:hanging="180"/>
      </w:pPr>
    </w:lvl>
    <w:lvl w:ilvl="3" w:tplc="0409000F" w:tentative="1">
      <w:start w:val="1"/>
      <w:numFmt w:val="decimal"/>
      <w:lvlText w:val="%4."/>
      <w:lvlJc w:val="left"/>
      <w:pPr>
        <w:ind w:left="4938" w:hanging="360"/>
      </w:pPr>
    </w:lvl>
    <w:lvl w:ilvl="4" w:tplc="04090019" w:tentative="1">
      <w:start w:val="1"/>
      <w:numFmt w:val="lowerLetter"/>
      <w:lvlText w:val="%5."/>
      <w:lvlJc w:val="left"/>
      <w:pPr>
        <w:ind w:left="5658" w:hanging="360"/>
      </w:pPr>
    </w:lvl>
    <w:lvl w:ilvl="5" w:tplc="0409001B" w:tentative="1">
      <w:start w:val="1"/>
      <w:numFmt w:val="lowerRoman"/>
      <w:lvlText w:val="%6."/>
      <w:lvlJc w:val="right"/>
      <w:pPr>
        <w:ind w:left="6378" w:hanging="180"/>
      </w:pPr>
    </w:lvl>
    <w:lvl w:ilvl="6" w:tplc="0409000F" w:tentative="1">
      <w:start w:val="1"/>
      <w:numFmt w:val="decimal"/>
      <w:lvlText w:val="%7."/>
      <w:lvlJc w:val="left"/>
      <w:pPr>
        <w:ind w:left="7098" w:hanging="360"/>
      </w:pPr>
    </w:lvl>
    <w:lvl w:ilvl="7" w:tplc="04090019" w:tentative="1">
      <w:start w:val="1"/>
      <w:numFmt w:val="lowerLetter"/>
      <w:lvlText w:val="%8."/>
      <w:lvlJc w:val="left"/>
      <w:pPr>
        <w:ind w:left="7818" w:hanging="360"/>
      </w:pPr>
    </w:lvl>
    <w:lvl w:ilvl="8" w:tplc="0409001B" w:tentative="1">
      <w:start w:val="1"/>
      <w:numFmt w:val="lowerRoman"/>
      <w:lvlText w:val="%9."/>
      <w:lvlJc w:val="right"/>
      <w:pPr>
        <w:ind w:left="8538" w:hanging="180"/>
      </w:pPr>
    </w:lvl>
  </w:abstractNum>
  <w:abstractNum w:abstractNumId="15">
    <w:nsid w:val="3D373A22"/>
    <w:multiLevelType w:val="hybridMultilevel"/>
    <w:tmpl w:val="3D7E6AA2"/>
    <w:lvl w:ilvl="0" w:tplc="01E649F2">
      <w:start w:val="8"/>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40FE1A78"/>
    <w:multiLevelType w:val="multilevel"/>
    <w:tmpl w:val="2AFA1EAE"/>
    <w:lvl w:ilvl="0">
      <w:numFmt w:val="decimal"/>
      <w:lvlText w:val="%1"/>
      <w:lvlJc w:val="left"/>
      <w:pPr>
        <w:ind w:left="360" w:hanging="360"/>
      </w:pPr>
      <w:rPr>
        <w:rFonts w:hint="default"/>
      </w:rPr>
    </w:lvl>
    <w:lvl w:ilvl="1">
      <w:start w:val="1"/>
      <w:numFmt w:val="decimalZero"/>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720" w:hanging="720"/>
      </w:pPr>
      <w:rPr>
        <w:rFonts w:hint="default"/>
      </w:rPr>
    </w:lvl>
    <w:lvl w:ilvl="6">
      <w:start w:val="1"/>
      <w:numFmt w:val="decimal"/>
      <w:lvlText w:val="%1.%2.%3.%4.%5.%6.%7"/>
      <w:lvlJc w:val="left"/>
      <w:pPr>
        <w:ind w:left="720" w:hanging="72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080" w:hanging="1080"/>
      </w:pPr>
      <w:rPr>
        <w:rFonts w:hint="default"/>
      </w:rPr>
    </w:lvl>
  </w:abstractNum>
  <w:abstractNum w:abstractNumId="17">
    <w:nsid w:val="456E5B19"/>
    <w:multiLevelType w:val="hybridMultilevel"/>
    <w:tmpl w:val="03E26394"/>
    <w:lvl w:ilvl="0" w:tplc="6202718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7804690"/>
    <w:multiLevelType w:val="hybridMultilevel"/>
    <w:tmpl w:val="AB5EE836"/>
    <w:lvl w:ilvl="0" w:tplc="DC3A31A8">
      <w:start w:val="1"/>
      <w:numFmt w:val="decimal"/>
      <w:lvlText w:val="%1."/>
      <w:lvlJc w:val="left"/>
      <w:pPr>
        <w:ind w:left="1776" w:hanging="360"/>
      </w:pPr>
      <w:rPr>
        <w:rFonts w:ascii="Times New Roman" w:eastAsia="Calibri" w:hAnsi="Times New Roman" w:cs="Times New Roman"/>
      </w:rPr>
    </w:lvl>
    <w:lvl w:ilvl="1" w:tplc="0C0A0019">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19">
    <w:nsid w:val="520432CD"/>
    <w:multiLevelType w:val="hybridMultilevel"/>
    <w:tmpl w:val="198676F2"/>
    <w:lvl w:ilvl="0" w:tplc="7256E988">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3440C3"/>
    <w:multiLevelType w:val="hybridMultilevel"/>
    <w:tmpl w:val="A350BE62"/>
    <w:lvl w:ilvl="0" w:tplc="DF568DB4">
      <w:start w:val="1"/>
      <w:numFmt w:val="bullet"/>
      <w:lvlText w:val="-"/>
      <w:lvlJc w:val="left"/>
      <w:pPr>
        <w:ind w:left="1068" w:hanging="360"/>
      </w:pPr>
      <w:rPr>
        <w:rFonts w:ascii="Times New Roman" w:eastAsia="Calibr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1">
    <w:nsid w:val="5A1C1A3E"/>
    <w:multiLevelType w:val="hybridMultilevel"/>
    <w:tmpl w:val="E71A7186"/>
    <w:lvl w:ilvl="0" w:tplc="7256E988">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B0766AC"/>
    <w:multiLevelType w:val="hybridMultilevel"/>
    <w:tmpl w:val="A0CE7EE8"/>
    <w:lvl w:ilvl="0" w:tplc="4AC8433C">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BD37129"/>
    <w:multiLevelType w:val="hybridMultilevel"/>
    <w:tmpl w:val="1C7E76FE"/>
    <w:lvl w:ilvl="0" w:tplc="7256E988">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2133F3"/>
    <w:multiLevelType w:val="hybridMultilevel"/>
    <w:tmpl w:val="CC3A4B46"/>
    <w:lvl w:ilvl="0" w:tplc="9D2293F6">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60A56618"/>
    <w:multiLevelType w:val="hybridMultilevel"/>
    <w:tmpl w:val="7AEE7522"/>
    <w:lvl w:ilvl="0" w:tplc="5526FA6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43F05C2"/>
    <w:multiLevelType w:val="hybridMultilevel"/>
    <w:tmpl w:val="62FCBD9E"/>
    <w:lvl w:ilvl="0" w:tplc="A89E5DEA">
      <w:start w:val="74"/>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7">
    <w:nsid w:val="6BB956C3"/>
    <w:multiLevelType w:val="hybridMultilevel"/>
    <w:tmpl w:val="9E42BC6A"/>
    <w:lvl w:ilvl="0" w:tplc="A40CDF40">
      <w:start w:val="1"/>
      <w:numFmt w:val="decimal"/>
      <w:lvlText w:val="%1."/>
      <w:lvlJc w:val="left"/>
      <w:pPr>
        <w:tabs>
          <w:tab w:val="num" w:pos="720"/>
        </w:tabs>
        <w:ind w:left="720" w:hanging="360"/>
      </w:pPr>
    </w:lvl>
    <w:lvl w:ilvl="1" w:tplc="4E6C0C26" w:tentative="1">
      <w:start w:val="1"/>
      <w:numFmt w:val="decimal"/>
      <w:lvlText w:val="%2."/>
      <w:lvlJc w:val="left"/>
      <w:pPr>
        <w:tabs>
          <w:tab w:val="num" w:pos="1440"/>
        </w:tabs>
        <w:ind w:left="1440" w:hanging="360"/>
      </w:pPr>
    </w:lvl>
    <w:lvl w:ilvl="2" w:tplc="899E0FFE" w:tentative="1">
      <w:start w:val="1"/>
      <w:numFmt w:val="decimal"/>
      <w:lvlText w:val="%3."/>
      <w:lvlJc w:val="left"/>
      <w:pPr>
        <w:tabs>
          <w:tab w:val="num" w:pos="2160"/>
        </w:tabs>
        <w:ind w:left="2160" w:hanging="360"/>
      </w:pPr>
    </w:lvl>
    <w:lvl w:ilvl="3" w:tplc="FAD8E39E" w:tentative="1">
      <w:start w:val="1"/>
      <w:numFmt w:val="decimal"/>
      <w:lvlText w:val="%4."/>
      <w:lvlJc w:val="left"/>
      <w:pPr>
        <w:tabs>
          <w:tab w:val="num" w:pos="2880"/>
        </w:tabs>
        <w:ind w:left="2880" w:hanging="360"/>
      </w:pPr>
    </w:lvl>
    <w:lvl w:ilvl="4" w:tplc="C0D67D36" w:tentative="1">
      <w:start w:val="1"/>
      <w:numFmt w:val="decimal"/>
      <w:lvlText w:val="%5."/>
      <w:lvlJc w:val="left"/>
      <w:pPr>
        <w:tabs>
          <w:tab w:val="num" w:pos="3600"/>
        </w:tabs>
        <w:ind w:left="3600" w:hanging="360"/>
      </w:pPr>
    </w:lvl>
    <w:lvl w:ilvl="5" w:tplc="0FBAADB6" w:tentative="1">
      <w:start w:val="1"/>
      <w:numFmt w:val="decimal"/>
      <w:lvlText w:val="%6."/>
      <w:lvlJc w:val="left"/>
      <w:pPr>
        <w:tabs>
          <w:tab w:val="num" w:pos="4320"/>
        </w:tabs>
        <w:ind w:left="4320" w:hanging="360"/>
      </w:pPr>
    </w:lvl>
    <w:lvl w:ilvl="6" w:tplc="D30616D2" w:tentative="1">
      <w:start w:val="1"/>
      <w:numFmt w:val="decimal"/>
      <w:lvlText w:val="%7."/>
      <w:lvlJc w:val="left"/>
      <w:pPr>
        <w:tabs>
          <w:tab w:val="num" w:pos="5040"/>
        </w:tabs>
        <w:ind w:left="5040" w:hanging="360"/>
      </w:pPr>
    </w:lvl>
    <w:lvl w:ilvl="7" w:tplc="F1E43938" w:tentative="1">
      <w:start w:val="1"/>
      <w:numFmt w:val="decimal"/>
      <w:lvlText w:val="%8."/>
      <w:lvlJc w:val="left"/>
      <w:pPr>
        <w:tabs>
          <w:tab w:val="num" w:pos="5760"/>
        </w:tabs>
        <w:ind w:left="5760" w:hanging="360"/>
      </w:pPr>
    </w:lvl>
    <w:lvl w:ilvl="8" w:tplc="A30C8B34" w:tentative="1">
      <w:start w:val="1"/>
      <w:numFmt w:val="decimal"/>
      <w:lvlText w:val="%9."/>
      <w:lvlJc w:val="left"/>
      <w:pPr>
        <w:tabs>
          <w:tab w:val="num" w:pos="6480"/>
        </w:tabs>
        <w:ind w:left="6480" w:hanging="360"/>
      </w:pPr>
    </w:lvl>
  </w:abstractNum>
  <w:abstractNum w:abstractNumId="28">
    <w:nsid w:val="6CB23671"/>
    <w:multiLevelType w:val="hybridMultilevel"/>
    <w:tmpl w:val="7ECA957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0024651"/>
    <w:multiLevelType w:val="hybridMultilevel"/>
    <w:tmpl w:val="2090956E"/>
    <w:lvl w:ilvl="0" w:tplc="EB7A636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0">
    <w:nsid w:val="711F12F1"/>
    <w:multiLevelType w:val="hybridMultilevel"/>
    <w:tmpl w:val="82FEEA80"/>
    <w:lvl w:ilvl="0" w:tplc="7256E988">
      <w:numFmt w:val="bullet"/>
      <w:lvlText w:val="-"/>
      <w:lvlJc w:val="left"/>
      <w:pPr>
        <w:ind w:left="927" w:hanging="360"/>
      </w:pPr>
      <w:rPr>
        <w:rFonts w:ascii="Times New Roman" w:eastAsia="Calibri" w:hAnsi="Times New Roman" w:cs="Times New Roman"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31">
    <w:nsid w:val="78B61D98"/>
    <w:multiLevelType w:val="hybridMultilevel"/>
    <w:tmpl w:val="34422262"/>
    <w:lvl w:ilvl="0" w:tplc="5994D916">
      <w:start w:val="1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1"/>
  </w:num>
  <w:num w:numId="2">
    <w:abstractNumId w:val="13"/>
  </w:num>
  <w:num w:numId="3">
    <w:abstractNumId w:val="9"/>
  </w:num>
  <w:num w:numId="4">
    <w:abstractNumId w:val="0"/>
  </w:num>
  <w:num w:numId="5">
    <w:abstractNumId w:val="4"/>
  </w:num>
  <w:num w:numId="6">
    <w:abstractNumId w:val="1"/>
  </w:num>
  <w:num w:numId="7">
    <w:abstractNumId w:val="30"/>
  </w:num>
  <w:num w:numId="8">
    <w:abstractNumId w:val="18"/>
  </w:num>
  <w:num w:numId="9">
    <w:abstractNumId w:val="17"/>
  </w:num>
  <w:num w:numId="10">
    <w:abstractNumId w:val="10"/>
  </w:num>
  <w:num w:numId="11">
    <w:abstractNumId w:val="26"/>
  </w:num>
  <w:num w:numId="12">
    <w:abstractNumId w:val="29"/>
  </w:num>
  <w:num w:numId="13">
    <w:abstractNumId w:val="5"/>
  </w:num>
  <w:num w:numId="14">
    <w:abstractNumId w:val="20"/>
  </w:num>
  <w:num w:numId="15">
    <w:abstractNumId w:val="14"/>
  </w:num>
  <w:num w:numId="16">
    <w:abstractNumId w:val="25"/>
  </w:num>
  <w:num w:numId="17">
    <w:abstractNumId w:val="28"/>
  </w:num>
  <w:num w:numId="18">
    <w:abstractNumId w:val="8"/>
  </w:num>
  <w:num w:numId="19">
    <w:abstractNumId w:val="19"/>
  </w:num>
  <w:num w:numId="20">
    <w:abstractNumId w:val="24"/>
  </w:num>
  <w:num w:numId="21">
    <w:abstractNumId w:val="3"/>
  </w:num>
  <w:num w:numId="22">
    <w:abstractNumId w:val="2"/>
  </w:num>
  <w:num w:numId="23">
    <w:abstractNumId w:val="7"/>
  </w:num>
  <w:num w:numId="24">
    <w:abstractNumId w:val="21"/>
  </w:num>
  <w:num w:numId="25">
    <w:abstractNumId w:val="23"/>
  </w:num>
  <w:num w:numId="26">
    <w:abstractNumId w:val="22"/>
  </w:num>
  <w:num w:numId="27">
    <w:abstractNumId w:val="12"/>
  </w:num>
  <w:num w:numId="28">
    <w:abstractNumId w:val="27"/>
  </w:num>
  <w:num w:numId="29">
    <w:abstractNumId w:val="11"/>
  </w:num>
  <w:num w:numId="30">
    <w:abstractNumId w:val="15"/>
  </w:num>
  <w:num w:numId="31">
    <w:abstractNumId w:val="6"/>
  </w:num>
  <w:num w:numId="32">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9724F8"/>
    <w:rsid w:val="00017C05"/>
    <w:rsid w:val="00020F05"/>
    <w:rsid w:val="00026280"/>
    <w:rsid w:val="0002650A"/>
    <w:rsid w:val="00030B0E"/>
    <w:rsid w:val="00032D65"/>
    <w:rsid w:val="00033075"/>
    <w:rsid w:val="00037016"/>
    <w:rsid w:val="00053119"/>
    <w:rsid w:val="00055C52"/>
    <w:rsid w:val="000611FF"/>
    <w:rsid w:val="000844AC"/>
    <w:rsid w:val="00085583"/>
    <w:rsid w:val="000C09DC"/>
    <w:rsid w:val="000C548C"/>
    <w:rsid w:val="000E2D74"/>
    <w:rsid w:val="00101844"/>
    <w:rsid w:val="00122214"/>
    <w:rsid w:val="00141975"/>
    <w:rsid w:val="001537A3"/>
    <w:rsid w:val="001859C9"/>
    <w:rsid w:val="001927D1"/>
    <w:rsid w:val="001A4B2F"/>
    <w:rsid w:val="001A6311"/>
    <w:rsid w:val="001C0A75"/>
    <w:rsid w:val="001C5322"/>
    <w:rsid w:val="001C56DE"/>
    <w:rsid w:val="001D7252"/>
    <w:rsid w:val="001F7A12"/>
    <w:rsid w:val="00206238"/>
    <w:rsid w:val="002426CC"/>
    <w:rsid w:val="00261D8C"/>
    <w:rsid w:val="00264925"/>
    <w:rsid w:val="00274675"/>
    <w:rsid w:val="002C45E9"/>
    <w:rsid w:val="002E3B16"/>
    <w:rsid w:val="00327008"/>
    <w:rsid w:val="003429BD"/>
    <w:rsid w:val="00342C5A"/>
    <w:rsid w:val="0034718D"/>
    <w:rsid w:val="00354C6D"/>
    <w:rsid w:val="00373244"/>
    <w:rsid w:val="00382A78"/>
    <w:rsid w:val="004006A3"/>
    <w:rsid w:val="004055E1"/>
    <w:rsid w:val="00423F22"/>
    <w:rsid w:val="004341B9"/>
    <w:rsid w:val="00440801"/>
    <w:rsid w:val="004450A8"/>
    <w:rsid w:val="004646BA"/>
    <w:rsid w:val="0046769F"/>
    <w:rsid w:val="00494EA2"/>
    <w:rsid w:val="004A2398"/>
    <w:rsid w:val="004A350A"/>
    <w:rsid w:val="004B5439"/>
    <w:rsid w:val="004C2F3F"/>
    <w:rsid w:val="004D75FF"/>
    <w:rsid w:val="004F5396"/>
    <w:rsid w:val="00510E00"/>
    <w:rsid w:val="00521C39"/>
    <w:rsid w:val="00523B57"/>
    <w:rsid w:val="00543EE2"/>
    <w:rsid w:val="005557B4"/>
    <w:rsid w:val="00556AFB"/>
    <w:rsid w:val="00560C33"/>
    <w:rsid w:val="005C7FD7"/>
    <w:rsid w:val="005E020F"/>
    <w:rsid w:val="005E56CF"/>
    <w:rsid w:val="005F485C"/>
    <w:rsid w:val="005F7B00"/>
    <w:rsid w:val="006348C1"/>
    <w:rsid w:val="006461C6"/>
    <w:rsid w:val="00650376"/>
    <w:rsid w:val="00653C53"/>
    <w:rsid w:val="006762C6"/>
    <w:rsid w:val="0068356D"/>
    <w:rsid w:val="00685114"/>
    <w:rsid w:val="00687014"/>
    <w:rsid w:val="00690744"/>
    <w:rsid w:val="00692D37"/>
    <w:rsid w:val="00696FF4"/>
    <w:rsid w:val="006B6648"/>
    <w:rsid w:val="006C6E54"/>
    <w:rsid w:val="006D10DA"/>
    <w:rsid w:val="006D563B"/>
    <w:rsid w:val="00716E6C"/>
    <w:rsid w:val="00723557"/>
    <w:rsid w:val="00775193"/>
    <w:rsid w:val="007759A9"/>
    <w:rsid w:val="00781CCA"/>
    <w:rsid w:val="0079315C"/>
    <w:rsid w:val="00796321"/>
    <w:rsid w:val="007D5AB9"/>
    <w:rsid w:val="007E11C1"/>
    <w:rsid w:val="008143A6"/>
    <w:rsid w:val="00814929"/>
    <w:rsid w:val="008227FC"/>
    <w:rsid w:val="00835D6D"/>
    <w:rsid w:val="00835EF4"/>
    <w:rsid w:val="00842AAF"/>
    <w:rsid w:val="008516E0"/>
    <w:rsid w:val="0086000C"/>
    <w:rsid w:val="00865F2A"/>
    <w:rsid w:val="00866AF6"/>
    <w:rsid w:val="00867628"/>
    <w:rsid w:val="008768DE"/>
    <w:rsid w:val="00883650"/>
    <w:rsid w:val="00885749"/>
    <w:rsid w:val="008858A7"/>
    <w:rsid w:val="00886D24"/>
    <w:rsid w:val="00891E49"/>
    <w:rsid w:val="008B32F8"/>
    <w:rsid w:val="008C14FD"/>
    <w:rsid w:val="008C75DF"/>
    <w:rsid w:val="008D3C04"/>
    <w:rsid w:val="008E2413"/>
    <w:rsid w:val="008F08E2"/>
    <w:rsid w:val="008F728C"/>
    <w:rsid w:val="00903EA6"/>
    <w:rsid w:val="0092485D"/>
    <w:rsid w:val="00924E92"/>
    <w:rsid w:val="00940D75"/>
    <w:rsid w:val="00961D15"/>
    <w:rsid w:val="00963BCF"/>
    <w:rsid w:val="00963CCD"/>
    <w:rsid w:val="009724F8"/>
    <w:rsid w:val="00972B5D"/>
    <w:rsid w:val="009903D3"/>
    <w:rsid w:val="00996BED"/>
    <w:rsid w:val="009A426B"/>
    <w:rsid w:val="009D0F8A"/>
    <w:rsid w:val="009D6194"/>
    <w:rsid w:val="009F2F5C"/>
    <w:rsid w:val="00A046BA"/>
    <w:rsid w:val="00A144E5"/>
    <w:rsid w:val="00A4184A"/>
    <w:rsid w:val="00A421FC"/>
    <w:rsid w:val="00A52F01"/>
    <w:rsid w:val="00A6300F"/>
    <w:rsid w:val="00A676DB"/>
    <w:rsid w:val="00A81A51"/>
    <w:rsid w:val="00AA3EF2"/>
    <w:rsid w:val="00AB1197"/>
    <w:rsid w:val="00AC2EE1"/>
    <w:rsid w:val="00AC4E65"/>
    <w:rsid w:val="00AD7D9F"/>
    <w:rsid w:val="00AE6912"/>
    <w:rsid w:val="00AF34BB"/>
    <w:rsid w:val="00B00A03"/>
    <w:rsid w:val="00B0255C"/>
    <w:rsid w:val="00B05834"/>
    <w:rsid w:val="00B264FB"/>
    <w:rsid w:val="00B3165F"/>
    <w:rsid w:val="00B34D08"/>
    <w:rsid w:val="00B50936"/>
    <w:rsid w:val="00B540A1"/>
    <w:rsid w:val="00B77B99"/>
    <w:rsid w:val="00B849D7"/>
    <w:rsid w:val="00BC2E1F"/>
    <w:rsid w:val="00BC4216"/>
    <w:rsid w:val="00BD6B89"/>
    <w:rsid w:val="00BE57BB"/>
    <w:rsid w:val="00BF237E"/>
    <w:rsid w:val="00C0365E"/>
    <w:rsid w:val="00C30EC9"/>
    <w:rsid w:val="00C51CFF"/>
    <w:rsid w:val="00C57315"/>
    <w:rsid w:val="00C70534"/>
    <w:rsid w:val="00C772F3"/>
    <w:rsid w:val="00C824A2"/>
    <w:rsid w:val="00C8722B"/>
    <w:rsid w:val="00CA6C0D"/>
    <w:rsid w:val="00CB5574"/>
    <w:rsid w:val="00CB7EB5"/>
    <w:rsid w:val="00CC6BB1"/>
    <w:rsid w:val="00CC7D02"/>
    <w:rsid w:val="00D01435"/>
    <w:rsid w:val="00D24502"/>
    <w:rsid w:val="00D300B4"/>
    <w:rsid w:val="00D44D28"/>
    <w:rsid w:val="00D50EC7"/>
    <w:rsid w:val="00D51265"/>
    <w:rsid w:val="00D54621"/>
    <w:rsid w:val="00D5789B"/>
    <w:rsid w:val="00D75C33"/>
    <w:rsid w:val="00D83EE1"/>
    <w:rsid w:val="00DA76E4"/>
    <w:rsid w:val="00DB0855"/>
    <w:rsid w:val="00DB5818"/>
    <w:rsid w:val="00DC1C9F"/>
    <w:rsid w:val="00DC6D09"/>
    <w:rsid w:val="00DC715C"/>
    <w:rsid w:val="00DD54C9"/>
    <w:rsid w:val="00DF2A77"/>
    <w:rsid w:val="00DF6BE1"/>
    <w:rsid w:val="00E20E3D"/>
    <w:rsid w:val="00E43636"/>
    <w:rsid w:val="00E570C0"/>
    <w:rsid w:val="00E64286"/>
    <w:rsid w:val="00E653ED"/>
    <w:rsid w:val="00E72970"/>
    <w:rsid w:val="00E81D2A"/>
    <w:rsid w:val="00E83B04"/>
    <w:rsid w:val="00E90940"/>
    <w:rsid w:val="00E9109B"/>
    <w:rsid w:val="00EA5308"/>
    <w:rsid w:val="00ED6BBE"/>
    <w:rsid w:val="00EF5713"/>
    <w:rsid w:val="00F14CA8"/>
    <w:rsid w:val="00F31278"/>
    <w:rsid w:val="00F6000D"/>
    <w:rsid w:val="00F648C4"/>
    <w:rsid w:val="00F7692D"/>
    <w:rsid w:val="00F81D34"/>
    <w:rsid w:val="00F82E9A"/>
    <w:rsid w:val="00F85309"/>
    <w:rsid w:val="00FA064E"/>
    <w:rsid w:val="00FA18B9"/>
    <w:rsid w:val="00FB46D4"/>
    <w:rsid w:val="00FB5E34"/>
    <w:rsid w:val="00FC53D4"/>
    <w:rsid w:val="00FC5954"/>
    <w:rsid w:val="00FD5641"/>
    <w:rsid w:val="00FF497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2D74"/>
  </w:style>
  <w:style w:type="paragraph" w:styleId="Heading1">
    <w:name w:val="heading 1"/>
    <w:basedOn w:val="Normal"/>
    <w:link w:val="Heading1Char"/>
    <w:uiPriority w:val="9"/>
    <w:qFormat/>
    <w:rsid w:val="00B540A1"/>
    <w:pPr>
      <w:spacing w:after="0" w:line="240" w:lineRule="auto"/>
      <w:outlineLvl w:val="0"/>
    </w:pPr>
    <w:rPr>
      <w:rFonts w:ascii="Arial" w:eastAsia="Times New Roman" w:hAnsi="Arial" w:cs="Arial"/>
      <w:b/>
      <w:bCs/>
      <w:kern w:val="36"/>
      <w:sz w:val="43"/>
      <w:szCs w:val="4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40A1"/>
    <w:rPr>
      <w:rFonts w:ascii="Arial" w:eastAsia="Times New Roman" w:hAnsi="Arial" w:cs="Arial"/>
      <w:b/>
      <w:bCs/>
      <w:kern w:val="36"/>
      <w:sz w:val="43"/>
      <w:szCs w:val="43"/>
    </w:rPr>
  </w:style>
  <w:style w:type="paragraph" w:styleId="ListParagraph">
    <w:name w:val="List Paragraph"/>
    <w:basedOn w:val="Normal"/>
    <w:uiPriority w:val="34"/>
    <w:qFormat/>
    <w:rsid w:val="001A4B2F"/>
    <w:pPr>
      <w:ind w:left="720"/>
      <w:contextualSpacing/>
    </w:pPr>
    <w:rPr>
      <w:rFonts w:ascii="Calibri" w:eastAsia="Calibri" w:hAnsi="Calibri" w:cs="Times New Roman"/>
    </w:rPr>
  </w:style>
  <w:style w:type="paragraph" w:styleId="BalloonText">
    <w:name w:val="Balloon Text"/>
    <w:basedOn w:val="Normal"/>
    <w:link w:val="BalloonTextChar"/>
    <w:uiPriority w:val="99"/>
    <w:semiHidden/>
    <w:unhideWhenUsed/>
    <w:rsid w:val="00D54621"/>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D54621"/>
    <w:rPr>
      <w:rFonts w:ascii="Tahoma" w:eastAsia="Calibri" w:hAnsi="Tahoma" w:cs="Tahoma"/>
      <w:sz w:val="16"/>
      <w:szCs w:val="16"/>
    </w:rPr>
  </w:style>
  <w:style w:type="character" w:styleId="CommentReference">
    <w:name w:val="annotation reference"/>
    <w:basedOn w:val="DefaultParagraphFont"/>
    <w:uiPriority w:val="99"/>
    <w:semiHidden/>
    <w:unhideWhenUsed/>
    <w:rsid w:val="00D54621"/>
    <w:rPr>
      <w:sz w:val="16"/>
      <w:szCs w:val="16"/>
    </w:rPr>
  </w:style>
  <w:style w:type="paragraph" w:styleId="CommentText">
    <w:name w:val="annotation text"/>
    <w:basedOn w:val="Normal"/>
    <w:link w:val="CommentTextChar"/>
    <w:uiPriority w:val="99"/>
    <w:semiHidden/>
    <w:unhideWhenUsed/>
    <w:rsid w:val="00D54621"/>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D54621"/>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D54621"/>
    <w:rPr>
      <w:b/>
      <w:bCs/>
    </w:rPr>
  </w:style>
  <w:style w:type="character" w:customStyle="1" w:styleId="CommentSubjectChar">
    <w:name w:val="Comment Subject Char"/>
    <w:basedOn w:val="CommentTextChar"/>
    <w:link w:val="CommentSubject"/>
    <w:uiPriority w:val="99"/>
    <w:semiHidden/>
    <w:rsid w:val="00D54621"/>
    <w:rPr>
      <w:b/>
      <w:bCs/>
    </w:rPr>
  </w:style>
  <w:style w:type="table" w:styleId="TableGrid">
    <w:name w:val="Table Grid"/>
    <w:basedOn w:val="TableNormal"/>
    <w:uiPriority w:val="59"/>
    <w:rsid w:val="00D54621"/>
    <w:pPr>
      <w:spacing w:after="0" w:line="240" w:lineRule="auto"/>
    </w:pPr>
    <w:rPr>
      <w:rFonts w:ascii="Calibri" w:eastAsia="Calibri" w:hAnsi="Calibri" w:cs="Times New Roman"/>
      <w:sz w:val="20"/>
      <w:szCs w:val="20"/>
      <w:lang w:val="es-ES" w:eastAsia="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D54621"/>
    <w:rPr>
      <w:color w:val="0000FF" w:themeColor="hyperlink"/>
      <w:u w:val="single"/>
    </w:rPr>
  </w:style>
  <w:style w:type="character" w:customStyle="1" w:styleId="EndnoteTextChar">
    <w:name w:val="Endnote Text Char"/>
    <w:basedOn w:val="DefaultParagraphFont"/>
    <w:link w:val="EndnoteText"/>
    <w:uiPriority w:val="99"/>
    <w:semiHidden/>
    <w:rsid w:val="00D54621"/>
    <w:rPr>
      <w:rFonts w:ascii="Calibri" w:eastAsia="Calibri" w:hAnsi="Calibri" w:cs="Times New Roman"/>
      <w:sz w:val="20"/>
      <w:szCs w:val="20"/>
    </w:rPr>
  </w:style>
  <w:style w:type="paragraph" w:styleId="EndnoteText">
    <w:name w:val="endnote text"/>
    <w:basedOn w:val="Normal"/>
    <w:link w:val="EndnoteTextChar"/>
    <w:uiPriority w:val="99"/>
    <w:semiHidden/>
    <w:unhideWhenUsed/>
    <w:rsid w:val="00D54621"/>
    <w:pPr>
      <w:spacing w:after="0" w:line="240" w:lineRule="auto"/>
    </w:pPr>
    <w:rPr>
      <w:rFonts w:ascii="Calibri" w:eastAsia="Calibri" w:hAnsi="Calibri" w:cs="Times New Roman"/>
      <w:sz w:val="20"/>
      <w:szCs w:val="20"/>
    </w:rPr>
  </w:style>
  <w:style w:type="character" w:customStyle="1" w:styleId="HeaderChar">
    <w:name w:val="Header Char"/>
    <w:basedOn w:val="DefaultParagraphFont"/>
    <w:link w:val="Header"/>
    <w:uiPriority w:val="99"/>
    <w:semiHidden/>
    <w:rsid w:val="00DC6D09"/>
    <w:rPr>
      <w:rFonts w:ascii="Calibri" w:eastAsia="Calibri" w:hAnsi="Calibri" w:cs="Times New Roman"/>
    </w:rPr>
  </w:style>
  <w:style w:type="paragraph" w:styleId="Header">
    <w:name w:val="header"/>
    <w:basedOn w:val="Normal"/>
    <w:link w:val="HeaderChar"/>
    <w:uiPriority w:val="99"/>
    <w:semiHidden/>
    <w:unhideWhenUsed/>
    <w:rsid w:val="00DC6D09"/>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DC6D09"/>
    <w:rPr>
      <w:rFonts w:ascii="Calibri" w:eastAsia="Calibri" w:hAnsi="Calibri" w:cs="Times New Roman"/>
    </w:rPr>
  </w:style>
  <w:style w:type="paragraph" w:styleId="Footer">
    <w:name w:val="footer"/>
    <w:basedOn w:val="Normal"/>
    <w:link w:val="FooterChar"/>
    <w:uiPriority w:val="99"/>
    <w:unhideWhenUsed/>
    <w:rsid w:val="00DC6D09"/>
    <w:pPr>
      <w:tabs>
        <w:tab w:val="center" w:pos="4680"/>
        <w:tab w:val="right" w:pos="9360"/>
      </w:tabs>
      <w:spacing w:after="0" w:line="240" w:lineRule="auto"/>
    </w:pPr>
    <w:rPr>
      <w:rFonts w:ascii="Calibri" w:eastAsia="Calibri" w:hAnsi="Calibri" w:cs="Times New Roman"/>
    </w:rPr>
  </w:style>
  <w:style w:type="table" w:styleId="ColorfulGrid-Accent4">
    <w:name w:val="Colorful Grid Accent 4"/>
    <w:basedOn w:val="TableNormal"/>
    <w:uiPriority w:val="73"/>
    <w:rsid w:val="00DC6D09"/>
    <w:pPr>
      <w:spacing w:after="0" w:line="240" w:lineRule="auto"/>
    </w:pPr>
    <w:rPr>
      <w:rFonts w:ascii="Calibri" w:eastAsia="Calibri" w:hAnsi="Calibri" w:cs="Times New Roman"/>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styleId="DocumentMap">
    <w:name w:val="Document Map"/>
    <w:basedOn w:val="Normal"/>
    <w:link w:val="DocumentMapChar"/>
    <w:uiPriority w:val="99"/>
    <w:semiHidden/>
    <w:unhideWhenUsed/>
    <w:rsid w:val="00B540A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B540A1"/>
    <w:rPr>
      <w:rFonts w:ascii="Tahoma" w:hAnsi="Tahoma" w:cs="Tahoma"/>
      <w:sz w:val="16"/>
      <w:szCs w:val="16"/>
    </w:rPr>
  </w:style>
  <w:style w:type="character" w:styleId="Strong">
    <w:name w:val="Strong"/>
    <w:basedOn w:val="DefaultParagraphFont"/>
    <w:uiPriority w:val="22"/>
    <w:qFormat/>
    <w:rsid w:val="00F14CA8"/>
    <w:rPr>
      <w:b/>
      <w:bCs/>
    </w:rPr>
  </w:style>
  <w:style w:type="character" w:customStyle="1" w:styleId="referencetext1">
    <w:name w:val="referencetext1"/>
    <w:basedOn w:val="DefaultParagraphFont"/>
    <w:rsid w:val="00F14CA8"/>
    <w:rPr>
      <w:vanish w:val="0"/>
      <w:webHidden w:val="0"/>
      <w:specVanish w:val="0"/>
    </w:rPr>
  </w:style>
  <w:style w:type="character" w:customStyle="1" w:styleId="nbapihighlight1">
    <w:name w:val="nbapihighlight1"/>
    <w:basedOn w:val="DefaultParagraphFont"/>
    <w:rsid w:val="00F14CA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8.xml"/><Relationship Id="rId21" Type="http://schemas.openxmlformats.org/officeDocument/2006/relationships/chart" Target="charts/chart3.xml"/><Relationship Id="rId34" Type="http://schemas.openxmlformats.org/officeDocument/2006/relationships/image" Target="media/image6.png"/><Relationship Id="rId42" Type="http://schemas.openxmlformats.org/officeDocument/2006/relationships/chart" Target="charts/chart21.xml"/><Relationship Id="rId47" Type="http://schemas.openxmlformats.org/officeDocument/2006/relationships/oleObject" Target="embeddings/oleObject7.bin"/><Relationship Id="rId50" Type="http://schemas.openxmlformats.org/officeDocument/2006/relationships/chart" Target="charts/chart24.xml"/><Relationship Id="rId55" Type="http://schemas.openxmlformats.org/officeDocument/2006/relationships/chart" Target="charts/chart29.xml"/><Relationship Id="rId63" Type="http://schemas.openxmlformats.org/officeDocument/2006/relationships/chart" Target="charts/chart36.xml"/><Relationship Id="rId68" Type="http://schemas.openxmlformats.org/officeDocument/2006/relationships/hyperlink" Target="http://www.fishersci.com/wps/portal/CMSTATIC?href=index.jsp&amp;store=Scientific&amp;segment=scientificStandard" TargetMode="External"/><Relationship Id="rId76" Type="http://schemas.openxmlformats.org/officeDocument/2006/relationships/chart" Target="charts/chart47.xml"/><Relationship Id="rId84" Type="http://schemas.openxmlformats.org/officeDocument/2006/relationships/chart" Target="charts/chart55.xml"/><Relationship Id="rId89" Type="http://schemas.openxmlformats.org/officeDocument/2006/relationships/chart" Target="charts/chart60.xml"/><Relationship Id="rId97" Type="http://schemas.openxmlformats.org/officeDocument/2006/relationships/chart" Target="charts/chart68.xml"/><Relationship Id="rId7" Type="http://schemas.openxmlformats.org/officeDocument/2006/relationships/footer" Target="footer1.xml"/><Relationship Id="rId71" Type="http://schemas.openxmlformats.org/officeDocument/2006/relationships/chart" Target="charts/chart42.xml"/><Relationship Id="rId92" Type="http://schemas.openxmlformats.org/officeDocument/2006/relationships/chart" Target="charts/chart63.xml"/><Relationship Id="rId2" Type="http://schemas.openxmlformats.org/officeDocument/2006/relationships/styles" Target="styles.xml"/><Relationship Id="rId16" Type="http://schemas.openxmlformats.org/officeDocument/2006/relationships/oleObject" Target="embeddings/oleObject4.bin"/><Relationship Id="rId29" Type="http://schemas.openxmlformats.org/officeDocument/2006/relationships/chart" Target="charts/chart11.xml"/><Relationship Id="rId11" Type="http://schemas.openxmlformats.org/officeDocument/2006/relationships/image" Target="media/image2.wmf"/><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6.xml"/><Relationship Id="rId40" Type="http://schemas.openxmlformats.org/officeDocument/2006/relationships/chart" Target="charts/chart19.xml"/><Relationship Id="rId45" Type="http://schemas.openxmlformats.org/officeDocument/2006/relationships/oleObject" Target="embeddings/oleObject6.bin"/><Relationship Id="rId53" Type="http://schemas.openxmlformats.org/officeDocument/2006/relationships/chart" Target="charts/chart27.xml"/><Relationship Id="rId58" Type="http://schemas.openxmlformats.org/officeDocument/2006/relationships/chart" Target="charts/chart32.xml"/><Relationship Id="rId66" Type="http://schemas.openxmlformats.org/officeDocument/2006/relationships/chart" Target="charts/chart39.xml"/><Relationship Id="rId74" Type="http://schemas.openxmlformats.org/officeDocument/2006/relationships/chart" Target="charts/chart45.xml"/><Relationship Id="rId79" Type="http://schemas.openxmlformats.org/officeDocument/2006/relationships/chart" Target="charts/chart50.xml"/><Relationship Id="rId87" Type="http://schemas.openxmlformats.org/officeDocument/2006/relationships/chart" Target="charts/chart58.xml"/><Relationship Id="rId5" Type="http://schemas.openxmlformats.org/officeDocument/2006/relationships/footnotes" Target="footnotes.xml"/><Relationship Id="rId61" Type="http://schemas.openxmlformats.org/officeDocument/2006/relationships/chart" Target="charts/chart34.xml"/><Relationship Id="rId82" Type="http://schemas.openxmlformats.org/officeDocument/2006/relationships/chart" Target="charts/chart53.xml"/><Relationship Id="rId90" Type="http://schemas.openxmlformats.org/officeDocument/2006/relationships/chart" Target="charts/chart61.xml"/><Relationship Id="rId95" Type="http://schemas.openxmlformats.org/officeDocument/2006/relationships/chart" Target="charts/chart66.xml"/><Relationship Id="rId19" Type="http://schemas.openxmlformats.org/officeDocument/2006/relationships/chart" Target="charts/chart1.xml"/><Relationship Id="rId14" Type="http://schemas.openxmlformats.org/officeDocument/2006/relationships/oleObject" Target="embeddings/oleObject3.bin"/><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image" Target="media/image7.png"/><Relationship Id="rId43" Type="http://schemas.openxmlformats.org/officeDocument/2006/relationships/hyperlink" Target="http://www.davewilson.com/br40/br40_trees/pluot.html" TargetMode="External"/><Relationship Id="rId48" Type="http://schemas.openxmlformats.org/officeDocument/2006/relationships/chart" Target="charts/chart22.xml"/><Relationship Id="rId56" Type="http://schemas.openxmlformats.org/officeDocument/2006/relationships/chart" Target="charts/chart30.xml"/><Relationship Id="rId64" Type="http://schemas.openxmlformats.org/officeDocument/2006/relationships/chart" Target="charts/chart37.xml"/><Relationship Id="rId69" Type="http://schemas.openxmlformats.org/officeDocument/2006/relationships/hyperlink" Target="http://www.sigmaaldrich.com/catalog/ProductDetail.do?lang=en&amp;N4=49752|SIGMA&amp;N5=SEARCH_CONCAT_PNO|BRAND_KEY&amp;F=SPEC" TargetMode="External"/><Relationship Id="rId77" Type="http://schemas.openxmlformats.org/officeDocument/2006/relationships/chart" Target="charts/chart48.xml"/><Relationship Id="rId100" Type="http://schemas.openxmlformats.org/officeDocument/2006/relationships/fontTable" Target="fontTable.xml"/><Relationship Id="rId8" Type="http://schemas.openxmlformats.org/officeDocument/2006/relationships/footer" Target="footer2.xml"/><Relationship Id="rId51" Type="http://schemas.openxmlformats.org/officeDocument/2006/relationships/chart" Target="charts/chart25.xml"/><Relationship Id="rId72" Type="http://schemas.openxmlformats.org/officeDocument/2006/relationships/chart" Target="charts/chart43.xml"/><Relationship Id="rId80" Type="http://schemas.openxmlformats.org/officeDocument/2006/relationships/chart" Target="charts/chart51.xml"/><Relationship Id="rId85" Type="http://schemas.openxmlformats.org/officeDocument/2006/relationships/chart" Target="charts/chart56.xml"/><Relationship Id="rId93" Type="http://schemas.openxmlformats.org/officeDocument/2006/relationships/chart" Target="charts/chart64.xml"/><Relationship Id="rId98" Type="http://schemas.openxmlformats.org/officeDocument/2006/relationships/chart" Target="charts/chart69.xml"/><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chart" Target="charts/chart17.xml"/><Relationship Id="rId46" Type="http://schemas.openxmlformats.org/officeDocument/2006/relationships/image" Target="media/image10.wmf"/><Relationship Id="rId59" Type="http://schemas.openxmlformats.org/officeDocument/2006/relationships/image" Target="media/image11.png"/><Relationship Id="rId67" Type="http://schemas.openxmlformats.org/officeDocument/2006/relationships/chart" Target="charts/chart40.xml"/><Relationship Id="rId20" Type="http://schemas.openxmlformats.org/officeDocument/2006/relationships/chart" Target="charts/chart2.xml"/><Relationship Id="rId41" Type="http://schemas.openxmlformats.org/officeDocument/2006/relationships/chart" Target="charts/chart20.xml"/><Relationship Id="rId54" Type="http://schemas.openxmlformats.org/officeDocument/2006/relationships/chart" Target="charts/chart28.xml"/><Relationship Id="rId62" Type="http://schemas.openxmlformats.org/officeDocument/2006/relationships/chart" Target="charts/chart35.xml"/><Relationship Id="rId70" Type="http://schemas.openxmlformats.org/officeDocument/2006/relationships/chart" Target="charts/chart41.xml"/><Relationship Id="rId75" Type="http://schemas.openxmlformats.org/officeDocument/2006/relationships/chart" Target="charts/chart46.xml"/><Relationship Id="rId83" Type="http://schemas.openxmlformats.org/officeDocument/2006/relationships/chart" Target="charts/chart54.xml"/><Relationship Id="rId88" Type="http://schemas.openxmlformats.org/officeDocument/2006/relationships/chart" Target="charts/chart59.xml"/><Relationship Id="rId91" Type="http://schemas.openxmlformats.org/officeDocument/2006/relationships/chart" Target="charts/chart62.xml"/><Relationship Id="rId96" Type="http://schemas.openxmlformats.org/officeDocument/2006/relationships/chart" Target="charts/chart67.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wmf"/><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image" Target="media/image8.png"/><Relationship Id="rId49" Type="http://schemas.openxmlformats.org/officeDocument/2006/relationships/chart" Target="charts/chart23.xml"/><Relationship Id="rId57" Type="http://schemas.openxmlformats.org/officeDocument/2006/relationships/chart" Target="charts/chart31.xml"/><Relationship Id="rId10" Type="http://schemas.openxmlformats.org/officeDocument/2006/relationships/oleObject" Target="embeddings/oleObject1.bin"/><Relationship Id="rId31" Type="http://schemas.openxmlformats.org/officeDocument/2006/relationships/chart" Target="charts/chart13.xml"/><Relationship Id="rId44" Type="http://schemas.openxmlformats.org/officeDocument/2006/relationships/image" Target="media/image9.wmf"/><Relationship Id="rId52" Type="http://schemas.openxmlformats.org/officeDocument/2006/relationships/chart" Target="charts/chart26.xml"/><Relationship Id="rId60" Type="http://schemas.openxmlformats.org/officeDocument/2006/relationships/chart" Target="charts/chart33.xml"/><Relationship Id="rId65" Type="http://schemas.openxmlformats.org/officeDocument/2006/relationships/chart" Target="charts/chart38.xml"/><Relationship Id="rId73" Type="http://schemas.openxmlformats.org/officeDocument/2006/relationships/chart" Target="charts/chart44.xml"/><Relationship Id="rId78" Type="http://schemas.openxmlformats.org/officeDocument/2006/relationships/chart" Target="charts/chart49.xml"/><Relationship Id="rId81" Type="http://schemas.openxmlformats.org/officeDocument/2006/relationships/chart" Target="charts/chart52.xml"/><Relationship Id="rId86" Type="http://schemas.openxmlformats.org/officeDocument/2006/relationships/chart" Target="charts/chart57.xml"/><Relationship Id="rId94" Type="http://schemas.openxmlformats.org/officeDocument/2006/relationships/chart" Target="charts/chart65.xml"/><Relationship Id="rId99" Type="http://schemas.openxmlformats.org/officeDocument/2006/relationships/chart" Target="charts/chart70.xml"/><Relationship Id="rId10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chart" Target="charts/chart18.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2.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Silvia\Documents\Mis%20Documentos\RESEARCH2\RESULTS\Kinetics\Puree-AA,%20A2P2.xls"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Silvia\Documents\Mis%20Documentos\RESEARCH2\RESULTS\Kinetics\Puree-AA,%20A2P2.xls"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Silvia\Documents\Mis%20Documentos\RESEARCH2\RESULTS\Kinetics\Puree-AA,%20A2P2.xls"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2.xls"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Silvia\Desktop\First%20trials.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Silvia\Documents\Mis%20Documentos\RESEARCH\RESULTS\Pycnogenol\50Celsius\50%20celsius.xls"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Silvia\Documents\Mis%20Documentos\RESEARCH2\RESULTS\Pycnogenol\50Celsius\40.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Silvia\Documents\Mis%20Documentos\RESEARCH2\RESULTS\Pycnogenol\50Celsius\50%20celsius(molar).xls"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Silvia\Documents\Mis%20Documentos\RESEARCH2\RESULTS\Pycnogenol\50Celsius\40.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Silvia\Documents\Mis%20Documentos\RESEARCH2\RESULTS\Pycnogenol\50Celsius\50%20celsius(molar).xls"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Silvia\Documents\Mis%20Documentos\RESEARCH2\RESULTS\Pycnogenol\50Celsius\40.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Silvia\Documents\Mis%20Documentos\RESEARCH\RESULTS\Pycnogenol\50Celsius\50%20celsius.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2.xls"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Silvia\Documents\Mis%20Documentos\RESEARCH2\RESULTS\Pycnogenol\50Celsius\40.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Silvia\Documents\Mis%20Documentos\RESEARCH\RESULTS\Pycnogenol\50Celsius\50%20celsius.xls"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Silvia\Documents\Mis%20Documentos\RESEARCH2\RESULTS\Pycnogenol\50Celsius\40.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Users\Silvia\Documents\Mis%20Documentos\RESEARCH2\RESULTS\Kinetics\Puree-AA,%20A2P2.xls"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Users\Silvia\Documents\Mis%20Documentos\RESEARCH\RESULTS\Pycnogenol\50Celsius\50%20celsius(molar)2.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Users\Silvia\Documents\Mis%20Documentos\RESEARCH\RESULTS\Pycnogenol\50Celsius\50%20celsius(molar)2.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Users\Silvia\AppData\Roaming\Microsoft\Excel\40%20(version%201).xlsb"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Silvia\AppData\Roaming\Microsoft\Excel\40%20(version%201).xlsb"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Users\Silvia\AppData\Roaming\Microsoft\Excel\40%20(version%201).xlsb"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Users\Silvia\Documents\Mis%20Documentos\RESEARCH2\RESULTS\Pycnogenol\50Celsius\50%20celsius(molar).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C:\Users\Silvia\Documents\Mis%20Documentos\RESEARCH2\RESULTS\Pycnogenol\50Celsius\40.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48.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49.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50.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51.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52.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53.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54.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55.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56.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57.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58.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59.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60.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61.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62.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63.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64.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65.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66.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67.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52&#176;C\52%20Celsius.xlsx" TargetMode="External"/></Relationships>
</file>

<file path=word/charts/_rels/chart68.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69.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70.xml.rels><?xml version="1.0" encoding="UTF-8" standalone="yes"?>
<Relationships xmlns="http://schemas.openxmlformats.org/package/2006/relationships"><Relationship Id="rId1" Type="http://schemas.openxmlformats.org/officeDocument/2006/relationships/oleObject" Target="file:///C:\Users\Silvia\Documents\Mis%20Documentos\RESEARCH\RESULTS\alpha%20glucosyl%20rutin\40C\40%20celsius.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ilvia\Documents\Mis%20Documentos\RESEARCH\RESULTS\Kinetics\Puree-AA,%20A2P.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8695399817248812"/>
          <c:y val="3.2507250240068813E-2"/>
          <c:w val="0.69109456870417385"/>
          <c:h val="0.70314281447415294"/>
        </c:manualLayout>
      </c:layout>
      <c:scatterChart>
        <c:scatterStyle val="lineMarker"/>
        <c:ser>
          <c:idx val="2"/>
          <c:order val="0"/>
          <c:tx>
            <c:v>Control</c:v>
          </c:tx>
          <c:spPr>
            <a:ln>
              <a:solidFill>
                <a:srgbClr val="0070C0"/>
              </a:solidFill>
            </a:ln>
          </c:spPr>
          <c:marker>
            <c:spPr>
              <a:solidFill>
                <a:srgbClr val="0070C0"/>
              </a:solidFill>
              <a:ln>
                <a:solidFill>
                  <a:srgbClr val="0070C0"/>
                </a:solidFill>
              </a:ln>
            </c:spPr>
          </c:marker>
          <c:errBars>
            <c:errDir val="y"/>
            <c:errBarType val="both"/>
            <c:errValType val="cust"/>
            <c:plus>
              <c:numRef>
                <c:f>(Oxygen2!$D$27,Oxygen2!$D$58,Oxygen2!$D$87,Oxygen2!$D$110)</c:f>
                <c:numCache>
                  <c:formatCode>General</c:formatCode>
                  <c:ptCount val="4"/>
                  <c:pt idx="0">
                    <c:v>8.4852813742387359E-2</c:v>
                  </c:pt>
                  <c:pt idx="1">
                    <c:v>1.1053053876644046</c:v>
                  </c:pt>
                  <c:pt idx="2">
                    <c:v>2.962166999568594</c:v>
                  </c:pt>
                  <c:pt idx="3">
                    <c:v>1.208263216356426</c:v>
                  </c:pt>
                </c:numCache>
              </c:numRef>
            </c:plus>
            <c:minus>
              <c:numRef>
                <c:f>(Oxygen2!$D$27,Oxygen2!$D$58,Oxygen2!$D$87,Oxygen2!$D$110)</c:f>
                <c:numCache>
                  <c:formatCode>General</c:formatCode>
                  <c:ptCount val="4"/>
                  <c:pt idx="0">
                    <c:v>8.4852813742387359E-2</c:v>
                  </c:pt>
                  <c:pt idx="1">
                    <c:v>1.1053053876644046</c:v>
                  </c:pt>
                  <c:pt idx="2">
                    <c:v>2.962166999568594</c:v>
                  </c:pt>
                  <c:pt idx="3">
                    <c:v>1.208263216356426</c:v>
                  </c:pt>
                </c:numCache>
              </c:numRef>
            </c:minus>
          </c:errBars>
          <c:xVal>
            <c:numRef>
              <c:f>Oxygen2!$H$119:$H$122</c:f>
              <c:numCache>
                <c:formatCode>General</c:formatCode>
                <c:ptCount val="4"/>
                <c:pt idx="0">
                  <c:v>0</c:v>
                </c:pt>
                <c:pt idx="1">
                  <c:v>10</c:v>
                </c:pt>
                <c:pt idx="2">
                  <c:v>20</c:v>
                </c:pt>
                <c:pt idx="3">
                  <c:v>29</c:v>
                </c:pt>
              </c:numCache>
            </c:numRef>
          </c:xVal>
          <c:yVal>
            <c:numRef>
              <c:f>(Oxygen2!$C$27,Oxygen2!$C$58,Oxygen2!$C$87,Oxygen2!$C$110)</c:f>
              <c:numCache>
                <c:formatCode>0.00</c:formatCode>
                <c:ptCount val="4"/>
                <c:pt idx="0">
                  <c:v>8.25</c:v>
                </c:pt>
                <c:pt idx="1">
                  <c:v>7.1499999999999986</c:v>
                </c:pt>
                <c:pt idx="2">
                  <c:v>6.1833333333333433</c:v>
                </c:pt>
                <c:pt idx="3">
                  <c:v>1.3800000000000001</c:v>
                </c:pt>
              </c:numCache>
            </c:numRef>
          </c:yVal>
        </c:ser>
        <c:ser>
          <c:idx val="0"/>
          <c:order val="1"/>
          <c:tx>
            <c:v>AA</c:v>
          </c:tx>
          <c:spPr>
            <a:ln>
              <a:solidFill>
                <a:srgbClr val="EE1E8B"/>
              </a:solidFill>
            </a:ln>
          </c:spPr>
          <c:marker>
            <c:symbol val="diamond"/>
            <c:size val="7"/>
            <c:spPr>
              <a:solidFill>
                <a:srgbClr val="EE1E8B"/>
              </a:solidFill>
              <a:ln>
                <a:solidFill>
                  <a:srgbClr val="EE1E8B"/>
                </a:solidFill>
              </a:ln>
            </c:spPr>
          </c:marker>
          <c:errBars>
            <c:errDir val="y"/>
            <c:errBarType val="both"/>
            <c:errValType val="cust"/>
            <c:plus>
              <c:numRef>
                <c:f>(Oxygen2!$D$28,Oxygen2!$D$59,Oxygen2!$D$88,Oxygen2!$D$111)</c:f>
                <c:numCache>
                  <c:formatCode>General</c:formatCode>
                  <c:ptCount val="4"/>
                  <c:pt idx="0">
                    <c:v>1.9222469491023684</c:v>
                  </c:pt>
                  <c:pt idx="1">
                    <c:v>5.5075705472860656E-2</c:v>
                  </c:pt>
                  <c:pt idx="2">
                    <c:v>0.40305086527633238</c:v>
                  </c:pt>
                  <c:pt idx="3">
                    <c:v>2.3094010767585011E-2</c:v>
                  </c:pt>
                </c:numCache>
              </c:numRef>
            </c:plus>
            <c:minus>
              <c:numRef>
                <c:f>(Oxygen2!$D$28,Oxygen2!$D$59,Oxygen2!$D$88,Oxygen2!$D$111)</c:f>
                <c:numCache>
                  <c:formatCode>General</c:formatCode>
                  <c:ptCount val="4"/>
                  <c:pt idx="0">
                    <c:v>1.9222469491023684</c:v>
                  </c:pt>
                  <c:pt idx="1">
                    <c:v>5.5075705472860656E-2</c:v>
                  </c:pt>
                  <c:pt idx="2">
                    <c:v>0.40305086527633238</c:v>
                  </c:pt>
                  <c:pt idx="3">
                    <c:v>2.3094010767585011E-2</c:v>
                  </c:pt>
                </c:numCache>
              </c:numRef>
            </c:minus>
          </c:errBars>
          <c:xVal>
            <c:numRef>
              <c:f>Oxygen2!$H$119:$H$122</c:f>
              <c:numCache>
                <c:formatCode>General</c:formatCode>
                <c:ptCount val="4"/>
                <c:pt idx="0">
                  <c:v>0</c:v>
                </c:pt>
                <c:pt idx="1">
                  <c:v>10</c:v>
                </c:pt>
                <c:pt idx="2">
                  <c:v>20</c:v>
                </c:pt>
                <c:pt idx="3">
                  <c:v>29</c:v>
                </c:pt>
              </c:numCache>
            </c:numRef>
          </c:xVal>
          <c:yVal>
            <c:numRef>
              <c:f>(Oxygen2!$C$28,Oxygen2!$C$59,Oxygen2!$C$88,Oxygen2!$C$111)</c:f>
              <c:numCache>
                <c:formatCode>0.00</c:formatCode>
                <c:ptCount val="4"/>
                <c:pt idx="0">
                  <c:v>1.4233333333333318</c:v>
                </c:pt>
                <c:pt idx="1">
                  <c:v>0.15666666666666701</c:v>
                </c:pt>
                <c:pt idx="2">
                  <c:v>0.80500000000000005</c:v>
                </c:pt>
                <c:pt idx="3">
                  <c:v>6.3333333333334033E-2</c:v>
                </c:pt>
              </c:numCache>
            </c:numRef>
          </c:yVal>
        </c:ser>
        <c:ser>
          <c:idx val="1"/>
          <c:order val="2"/>
          <c:tx>
            <c:v>A2P</c:v>
          </c:tx>
          <c:spPr>
            <a:ln>
              <a:solidFill>
                <a:srgbClr val="FFFF00"/>
              </a:solidFill>
            </a:ln>
          </c:spPr>
          <c:marker>
            <c:spPr>
              <a:solidFill>
                <a:srgbClr val="FFFF00"/>
              </a:solidFill>
              <a:ln>
                <a:solidFill>
                  <a:srgbClr val="FFFF00"/>
                </a:solidFill>
              </a:ln>
            </c:spPr>
          </c:marker>
          <c:dPt>
            <c:idx val="1"/>
            <c:marker>
              <c:symbol val="square"/>
              <c:size val="7"/>
            </c:marker>
          </c:dPt>
          <c:errBars>
            <c:errDir val="y"/>
            <c:errBarType val="both"/>
            <c:errValType val="cust"/>
            <c:plus>
              <c:numRef>
                <c:f>(Oxygen2!$D$29,Oxygen2!$D$60,Oxygen2!$D$89,Oxygen2!$D$112)</c:f>
                <c:numCache>
                  <c:formatCode>General</c:formatCode>
                  <c:ptCount val="4"/>
                  <c:pt idx="0">
                    <c:v>1.0103629710818585</c:v>
                  </c:pt>
                  <c:pt idx="1">
                    <c:v>1.0017151957184898</c:v>
                  </c:pt>
                  <c:pt idx="2">
                    <c:v>0.65760930650350635</c:v>
                  </c:pt>
                  <c:pt idx="3">
                    <c:v>4.7258156262526087E-2</c:v>
                  </c:pt>
                </c:numCache>
              </c:numRef>
            </c:plus>
            <c:minus>
              <c:numRef>
                <c:f>(Oxygen2!$D$29,Oxygen2!$D$60,Oxygen2!$D$89,Oxygen2!$D$112)</c:f>
                <c:numCache>
                  <c:formatCode>General</c:formatCode>
                  <c:ptCount val="4"/>
                  <c:pt idx="0">
                    <c:v>1.0103629710818585</c:v>
                  </c:pt>
                  <c:pt idx="1">
                    <c:v>1.0017151957184898</c:v>
                  </c:pt>
                  <c:pt idx="2">
                    <c:v>0.65760930650350635</c:v>
                  </c:pt>
                  <c:pt idx="3">
                    <c:v>4.7258156262526087E-2</c:v>
                  </c:pt>
                </c:numCache>
              </c:numRef>
            </c:minus>
            <c:spPr>
              <a:ln w="3175">
                <a:solidFill>
                  <a:srgbClr val="000000"/>
                </a:solidFill>
                <a:prstDash val="solid"/>
              </a:ln>
            </c:spPr>
          </c:errBars>
          <c:xVal>
            <c:numRef>
              <c:f>Oxygen2!$H$119:$H$122</c:f>
              <c:numCache>
                <c:formatCode>General</c:formatCode>
                <c:ptCount val="4"/>
                <c:pt idx="0">
                  <c:v>0</c:v>
                </c:pt>
                <c:pt idx="1">
                  <c:v>10</c:v>
                </c:pt>
                <c:pt idx="2">
                  <c:v>20</c:v>
                </c:pt>
                <c:pt idx="3">
                  <c:v>29</c:v>
                </c:pt>
              </c:numCache>
            </c:numRef>
          </c:xVal>
          <c:yVal>
            <c:numRef>
              <c:f>(Oxygen2!$C$29,Oxygen2!$C$60,Oxygen2!$C$89,Oxygen2!$C$112)</c:f>
              <c:numCache>
                <c:formatCode>0.00</c:formatCode>
                <c:ptCount val="4"/>
                <c:pt idx="0">
                  <c:v>0.58333333333333359</c:v>
                </c:pt>
                <c:pt idx="1">
                  <c:v>1.033333333333333</c:v>
                </c:pt>
                <c:pt idx="2">
                  <c:v>1.9649999999999974</c:v>
                </c:pt>
                <c:pt idx="3">
                  <c:v>5.6666666666666726E-2</c:v>
                </c:pt>
              </c:numCache>
            </c:numRef>
          </c:yVal>
        </c:ser>
        <c:axId val="71480064"/>
        <c:axId val="71489792"/>
      </c:scatterChart>
      <c:valAx>
        <c:axId val="71480064"/>
        <c:scaling>
          <c:orientation val="minMax"/>
          <c:max val="30"/>
          <c:min val="0"/>
        </c:scaling>
        <c:axPos val="b"/>
        <c:title>
          <c:tx>
            <c:rich>
              <a:bodyPr/>
              <a:lstStyle/>
              <a:p>
                <a:pPr>
                  <a:defRPr sz="1000" b="1" i="0" u="none" strike="noStrike" baseline="0">
                    <a:solidFill>
                      <a:srgbClr val="000000"/>
                    </a:solidFill>
                    <a:latin typeface="Calibri"/>
                    <a:ea typeface="Calibri"/>
                    <a:cs typeface="Calibri"/>
                  </a:defRPr>
                </a:pPr>
                <a:r>
                  <a:rPr lang="en-US"/>
                  <a:t>Storage (days)</a:t>
                </a:r>
              </a:p>
            </c:rich>
          </c:tx>
          <c:layout>
            <c:manualLayout>
              <c:xMode val="edge"/>
              <c:yMode val="edge"/>
              <c:x val="0.41726159230096238"/>
              <c:y val="0.83199731913180464"/>
            </c:manualLayout>
          </c:layout>
          <c:spPr>
            <a:noFill/>
            <a:ln w="25400">
              <a:noFill/>
            </a:ln>
          </c:spPr>
        </c:title>
        <c:numFmt formatCode="General" sourceLinked="1"/>
        <c:tickLblPos val="nextTo"/>
        <c:txPr>
          <a:bodyPr rot="0" vert="horz"/>
          <a:lstStyle/>
          <a:p>
            <a:pPr>
              <a:defRPr sz="800" b="0" i="0" u="none" strike="noStrike" baseline="0">
                <a:solidFill>
                  <a:srgbClr val="000000"/>
                </a:solidFill>
                <a:latin typeface="Calibri"/>
                <a:ea typeface="Calibri"/>
                <a:cs typeface="Calibri"/>
              </a:defRPr>
            </a:pPr>
            <a:endParaRPr lang="en-US"/>
          </a:p>
        </c:txPr>
        <c:crossAx val="71489792"/>
        <c:crosses val="autoZero"/>
        <c:crossBetween val="midCat"/>
        <c:majorUnit val="10"/>
      </c:valAx>
      <c:valAx>
        <c:axId val="71489792"/>
        <c:scaling>
          <c:orientation val="minMax"/>
          <c:max val="14"/>
          <c:min val="0"/>
        </c:scaling>
        <c:axPos val="l"/>
        <c:title>
          <c:tx>
            <c:rich>
              <a:bodyPr/>
              <a:lstStyle/>
              <a:p>
                <a:pPr>
                  <a:defRPr sz="1000" b="1" i="0" u="none" strike="noStrike" baseline="0">
                    <a:solidFill>
                      <a:srgbClr val="000000"/>
                    </a:solidFill>
                    <a:latin typeface="Calibri"/>
                    <a:ea typeface="Calibri"/>
                    <a:cs typeface="Calibri"/>
                  </a:defRPr>
                </a:pPr>
                <a:r>
                  <a:rPr lang="en-US" b="1"/>
                  <a:t>Oxygen  (%)</a:t>
                </a:r>
              </a:p>
            </c:rich>
          </c:tx>
          <c:layout>
            <c:manualLayout>
              <c:xMode val="edge"/>
              <c:yMode val="edge"/>
              <c:x val="2.0527777777778013E-2"/>
              <c:y val="0.29439203518559132"/>
            </c:manualLayout>
          </c:layout>
          <c:spPr>
            <a:noFill/>
            <a:ln w="25400">
              <a:noFill/>
            </a:ln>
          </c:spPr>
        </c:title>
        <c:numFmt formatCode="0" sourceLinked="0"/>
        <c:tickLblPos val="nextTo"/>
        <c:txPr>
          <a:bodyPr rot="0" vert="horz"/>
          <a:lstStyle/>
          <a:p>
            <a:pPr>
              <a:defRPr sz="800" b="0" i="0" u="none" strike="noStrike" baseline="0">
                <a:solidFill>
                  <a:srgbClr val="000000"/>
                </a:solidFill>
                <a:latin typeface="Calibri"/>
                <a:ea typeface="Calibri"/>
                <a:cs typeface="Calibri"/>
              </a:defRPr>
            </a:pPr>
            <a:endParaRPr lang="en-US"/>
          </a:p>
        </c:txPr>
        <c:crossAx val="71480064"/>
        <c:crosses val="autoZero"/>
        <c:crossBetween val="midCat"/>
      </c:valAx>
    </c:plotArea>
    <c:legend>
      <c:legendPos val="b"/>
      <c:layout>
        <c:manualLayout>
          <c:xMode val="edge"/>
          <c:yMode val="edge"/>
          <c:x val="0.29683880139983293"/>
          <c:y val="0.89533845559169234"/>
          <c:w val="0.46479239275418444"/>
          <c:h val="8.0743387845750109E-2"/>
        </c:manualLayout>
      </c:layout>
      <c:txPr>
        <a:bodyPr/>
        <a:lstStyle/>
        <a:p>
          <a:pPr>
            <a:defRPr sz="845" b="0" i="0" u="none" strike="noStrike" baseline="0">
              <a:solidFill>
                <a:srgbClr val="000000"/>
              </a:solidFill>
              <a:latin typeface="Calibri"/>
              <a:ea typeface="Calibri"/>
              <a:cs typeface="Calibri"/>
            </a:defRPr>
          </a:pPr>
          <a:endParaRPr lang="en-US"/>
        </a:p>
      </c:txPr>
    </c:legend>
    <c:plotVisOnly val="1"/>
    <c:dispBlanksAs val="gap"/>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2213028052371747"/>
          <c:y val="6.7803037802198235E-2"/>
          <c:w val="0.77238061350141796"/>
          <c:h val="0.64393617188316021"/>
        </c:manualLayout>
      </c:layout>
      <c:scatterChart>
        <c:scatterStyle val="smoothMarker"/>
        <c:ser>
          <c:idx val="0"/>
          <c:order val="0"/>
          <c:tx>
            <c:strRef>
              <c:f>Color!$J$169</c:f>
              <c:strCache>
                <c:ptCount val="1"/>
                <c:pt idx="0">
                  <c:v>Control</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(Color!$H$27,Color!$H$58,Color!$H$91,Color!$H$121)</c:f>
                <c:numCache>
                  <c:formatCode>General</c:formatCode>
                  <c:ptCount val="4"/>
                  <c:pt idx="0">
                    <c:v>1.2198497175198855</c:v>
                  </c:pt>
                  <c:pt idx="1">
                    <c:v>2.0278642295117595</c:v>
                  </c:pt>
                  <c:pt idx="2">
                    <c:v>0.51081634011972665</c:v>
                  </c:pt>
                  <c:pt idx="3">
                    <c:v>0.47318072657283983</c:v>
                  </c:pt>
                </c:numCache>
              </c:numRef>
            </c:plus>
            <c:minus>
              <c:numRef>
                <c:f>(Color!$H$27,Color!$H$58,Color!$H$91,Color!$H$121)</c:f>
                <c:numCache>
                  <c:formatCode>General</c:formatCode>
                  <c:ptCount val="4"/>
                  <c:pt idx="0">
                    <c:v>1.2198497175198855</c:v>
                  </c:pt>
                  <c:pt idx="1">
                    <c:v>2.0278642295117595</c:v>
                  </c:pt>
                  <c:pt idx="2">
                    <c:v>0.51081634011972665</c:v>
                  </c:pt>
                  <c:pt idx="3">
                    <c:v>0.47318072657283983</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(Color!$G$27,Color!$G$58,Color!$G$91,Color!$G$121)</c:f>
              <c:numCache>
                <c:formatCode>0.00</c:formatCode>
                <c:ptCount val="4"/>
                <c:pt idx="0">
                  <c:v>7.7566666666666695</c:v>
                </c:pt>
                <c:pt idx="1">
                  <c:v>8.5466666666666704</c:v>
                </c:pt>
                <c:pt idx="2">
                  <c:v>8.496666666666675</c:v>
                </c:pt>
                <c:pt idx="3">
                  <c:v>9.19</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(Color!$H$28,Color!$H$59,Color!$H$92,Color!$H$122)</c:f>
                <c:numCache>
                  <c:formatCode>General</c:formatCode>
                  <c:ptCount val="4"/>
                  <c:pt idx="0">
                    <c:v>0.32192131543800373</c:v>
                  </c:pt>
                  <c:pt idx="1">
                    <c:v>2.9783888261944629</c:v>
                  </c:pt>
                  <c:pt idx="2">
                    <c:v>1.740756540511436</c:v>
                  </c:pt>
                  <c:pt idx="3">
                    <c:v>1.1607038094765645</c:v>
                  </c:pt>
                </c:numCache>
              </c:numRef>
            </c:plus>
            <c:minus>
              <c:numRef>
                <c:f>(Color!$H$28,Color!$H$59,Color!$H$92,Color!$H$122)</c:f>
                <c:numCache>
                  <c:formatCode>General</c:formatCode>
                  <c:ptCount val="4"/>
                  <c:pt idx="0">
                    <c:v>0.32192131543800373</c:v>
                  </c:pt>
                  <c:pt idx="1">
                    <c:v>2.9783888261944629</c:v>
                  </c:pt>
                  <c:pt idx="2">
                    <c:v>1.740756540511436</c:v>
                  </c:pt>
                  <c:pt idx="3">
                    <c:v>1.1607038094765645</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(Color!$G$28,Color!$G$59,Color!$G$92,Color!$G$122)</c:f>
              <c:numCache>
                <c:formatCode>0.00</c:formatCode>
                <c:ptCount val="4"/>
                <c:pt idx="0">
                  <c:v>8.4833333333333343</c:v>
                </c:pt>
                <c:pt idx="1">
                  <c:v>15.430000000000001</c:v>
                </c:pt>
                <c:pt idx="2">
                  <c:v>15.533333333333333</c:v>
                </c:pt>
                <c:pt idx="3">
                  <c:v>13.543333333333331</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(Color!$H$29,Color!$H$60,Color!$H$93,Color!$H$123)</c:f>
                <c:numCache>
                  <c:formatCode>General</c:formatCode>
                  <c:ptCount val="4"/>
                  <c:pt idx="0">
                    <c:v>0.57818682101896157</c:v>
                  </c:pt>
                  <c:pt idx="1">
                    <c:v>0.39703064533271037</c:v>
                  </c:pt>
                  <c:pt idx="2">
                    <c:v>2.0892422868909541</c:v>
                  </c:pt>
                  <c:pt idx="3">
                    <c:v>0.77745310683883762</c:v>
                  </c:pt>
                </c:numCache>
              </c:numRef>
            </c:plus>
            <c:minus>
              <c:numRef>
                <c:f>(Color!$H$29,Color!$H$60,Color!$H$93,Color!$H$123)</c:f>
                <c:numCache>
                  <c:formatCode>General</c:formatCode>
                  <c:ptCount val="4"/>
                  <c:pt idx="0">
                    <c:v>0.57818682101896157</c:v>
                  </c:pt>
                  <c:pt idx="1">
                    <c:v>0.39703064533271037</c:v>
                  </c:pt>
                  <c:pt idx="2">
                    <c:v>2.0892422868909541</c:v>
                  </c:pt>
                  <c:pt idx="3">
                    <c:v>0.77745310683883762</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(Color!$G$29,Color!$G$60,Color!$G$93,Color!$G$123)</c:f>
              <c:numCache>
                <c:formatCode>0.00</c:formatCode>
                <c:ptCount val="4"/>
                <c:pt idx="0">
                  <c:v>9.52</c:v>
                </c:pt>
                <c:pt idx="1">
                  <c:v>13.963333333333336</c:v>
                </c:pt>
                <c:pt idx="2">
                  <c:v>15.816666666666675</c:v>
                </c:pt>
                <c:pt idx="3">
                  <c:v>16.486666666666657</c:v>
                </c:pt>
              </c:numCache>
            </c:numRef>
          </c:yVal>
          <c:smooth val="1"/>
        </c:ser>
        <c:axId val="94872704"/>
        <c:axId val="94875008"/>
      </c:scatterChart>
      <c:valAx>
        <c:axId val="94872704"/>
        <c:scaling>
          <c:orientation val="minMax"/>
          <c:max val="30"/>
          <c:min val="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34260765537903048"/>
              <c:y val="0.84142850996084506"/>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94875008"/>
        <c:crosses val="autoZero"/>
        <c:crossBetween val="midCat"/>
        <c:majorUnit val="10"/>
        <c:minorUnit val="1"/>
      </c:valAx>
      <c:valAx>
        <c:axId val="94875008"/>
        <c:scaling>
          <c:orientation val="minMax"/>
        </c:scaling>
        <c:axPos val="l"/>
        <c:title>
          <c:tx>
            <c:rich>
              <a:bodyPr/>
              <a:lstStyle/>
              <a:p>
                <a:pPr>
                  <a:defRPr sz="800" b="1" i="0" u="none" strike="noStrike" baseline="0">
                    <a:solidFill>
                      <a:srgbClr val="000000"/>
                    </a:solidFill>
                    <a:latin typeface="Arial"/>
                    <a:ea typeface="Arial"/>
                    <a:cs typeface="Arial"/>
                  </a:defRPr>
                </a:pPr>
                <a:r>
                  <a:rPr lang="en-US" sz="800"/>
                  <a:t>b*</a:t>
                </a:r>
              </a:p>
            </c:rich>
          </c:tx>
          <c:layout>
            <c:manualLayout>
              <c:xMode val="edge"/>
              <c:yMode val="edge"/>
              <c:x val="1.2763804546958675E-2"/>
              <c:y val="0.37585787635111512"/>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94872704"/>
        <c:crosses val="autoZero"/>
        <c:crossBetween val="midCat"/>
      </c:valAx>
      <c:spPr>
        <a:noFill/>
        <a:ln w="25400">
          <a:noFill/>
        </a:ln>
      </c:spPr>
    </c:plotArea>
    <c:legend>
      <c:legendPos val="b"/>
      <c:layout>
        <c:manualLayout>
          <c:xMode val="edge"/>
          <c:yMode val="edge"/>
          <c:x val="0.23809641672983431"/>
          <c:y val="0.92384011015016565"/>
          <c:w val="0.50818879550028861"/>
          <c:h val="6.1861709909212137E-2"/>
        </c:manualLayout>
      </c:layout>
      <c:spPr>
        <a:solidFill>
          <a:srgbClr val="FFFFFF"/>
        </a:solidFill>
        <a:ln w="25400">
          <a:noFill/>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1875377106461259"/>
          <c:y val="2.7810422179484585E-2"/>
          <c:w val="0.81525015558622149"/>
          <c:h val="0.71605421248401979"/>
        </c:manualLayout>
      </c:layout>
      <c:scatterChart>
        <c:scatterStyle val="smoothMarker"/>
        <c:ser>
          <c:idx val="0"/>
          <c:order val="0"/>
          <c:tx>
            <c:strRef>
              <c:f>Color!$AI$179</c:f>
              <c:strCache>
                <c:ptCount val="1"/>
                <c:pt idx="0">
                  <c:v>Control</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(Color!$AF$27,Color!$AF$58,Color!$AF$91,Color!$AF$121)</c:f>
                <c:numCache>
                  <c:formatCode>General</c:formatCode>
                  <c:ptCount val="4"/>
                  <c:pt idx="0">
                    <c:v>1.2198497175198855</c:v>
                  </c:pt>
                  <c:pt idx="1">
                    <c:v>1.5865371095565346</c:v>
                  </c:pt>
                  <c:pt idx="2">
                    <c:v>0.70887234393788967</c:v>
                  </c:pt>
                  <c:pt idx="3">
                    <c:v>0.54993939059985564</c:v>
                  </c:pt>
                </c:numCache>
              </c:numRef>
            </c:plus>
            <c:minus>
              <c:numRef>
                <c:f>(Color!$AF$27,Color!$AF$58,Color!$AF$91,Color!$AF$121)</c:f>
                <c:numCache>
                  <c:formatCode>General</c:formatCode>
                  <c:ptCount val="4"/>
                  <c:pt idx="0">
                    <c:v>1.2198497175198855</c:v>
                  </c:pt>
                  <c:pt idx="1">
                    <c:v>1.5865371095565346</c:v>
                  </c:pt>
                  <c:pt idx="2">
                    <c:v>0.70887234393788967</c:v>
                  </c:pt>
                  <c:pt idx="3">
                    <c:v>0.54993939059985564</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(Color!$AE$27,Color!$AE$58,Color!$AE$91,Color!$AE$121)</c:f>
              <c:numCache>
                <c:formatCode>0.00</c:formatCode>
                <c:ptCount val="4"/>
                <c:pt idx="0">
                  <c:v>7.7566666666666695</c:v>
                </c:pt>
                <c:pt idx="1">
                  <c:v>9.8700000000000028</c:v>
                </c:pt>
                <c:pt idx="2">
                  <c:v>10.16</c:v>
                </c:pt>
                <c:pt idx="3">
                  <c:v>9.5133333333333336</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(Color!$AF$28,Color!$AF$59,Color!$AF$92,Color!$AF$122)</c:f>
                <c:numCache>
                  <c:formatCode>General</c:formatCode>
                  <c:ptCount val="4"/>
                  <c:pt idx="0">
                    <c:v>0.32192131543800373</c:v>
                  </c:pt>
                  <c:pt idx="1">
                    <c:v>7.2341781380702852E-2</c:v>
                  </c:pt>
                  <c:pt idx="2">
                    <c:v>0.65493002170713221</c:v>
                  </c:pt>
                  <c:pt idx="3">
                    <c:v>2.192031021678313</c:v>
                  </c:pt>
                </c:numCache>
              </c:numRef>
            </c:plus>
            <c:minus>
              <c:numRef>
                <c:f>(Color!$AF$28,Color!$AF$59,Color!$AF$92,Color!$AF$122)</c:f>
                <c:numCache>
                  <c:formatCode>General</c:formatCode>
                  <c:ptCount val="4"/>
                  <c:pt idx="0">
                    <c:v>0.32192131543800373</c:v>
                  </c:pt>
                  <c:pt idx="1">
                    <c:v>7.2341781380702852E-2</c:v>
                  </c:pt>
                  <c:pt idx="2">
                    <c:v>0.65493002170713221</c:v>
                  </c:pt>
                  <c:pt idx="3">
                    <c:v>2.192031021678313</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(Color!$AE$28,Color!$AE$59,Color!$AE$92,Color!$AE$122)</c:f>
              <c:numCache>
                <c:formatCode>0.00</c:formatCode>
                <c:ptCount val="4"/>
                <c:pt idx="0">
                  <c:v>8.4833333333333343</c:v>
                </c:pt>
                <c:pt idx="1">
                  <c:v>12.943333333333333</c:v>
                </c:pt>
                <c:pt idx="2">
                  <c:v>13.186666666666673</c:v>
                </c:pt>
                <c:pt idx="3">
                  <c:v>12.61</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(Color!$AF$29,Color!$AF$60,Color!$AF$93,Color!$AF$123)</c:f>
                <c:numCache>
                  <c:formatCode>General</c:formatCode>
                  <c:ptCount val="4"/>
                  <c:pt idx="0">
                    <c:v>0.57818682101896157</c:v>
                  </c:pt>
                  <c:pt idx="1">
                    <c:v>1.2564367605786442</c:v>
                  </c:pt>
                  <c:pt idx="2">
                    <c:v>2.2485995641732202</c:v>
                  </c:pt>
                  <c:pt idx="3">
                    <c:v>3.215032400044092</c:v>
                  </c:pt>
                </c:numCache>
              </c:numRef>
            </c:plus>
            <c:minus>
              <c:numRef>
                <c:f>(Color!$AF$29,Color!$AF$60,Color!$AF$93,Color!$AF$123)</c:f>
                <c:numCache>
                  <c:formatCode>General</c:formatCode>
                  <c:ptCount val="4"/>
                  <c:pt idx="0">
                    <c:v>0.57818682101896157</c:v>
                  </c:pt>
                  <c:pt idx="1">
                    <c:v>1.2564367605786442</c:v>
                  </c:pt>
                  <c:pt idx="2">
                    <c:v>2.2485995641732202</c:v>
                  </c:pt>
                  <c:pt idx="3">
                    <c:v>3.215032400044092</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(Color!$AE$29,Color!$AE$60,Color!$AE$93,Color!$AE$123)</c:f>
              <c:numCache>
                <c:formatCode>0.00</c:formatCode>
                <c:ptCount val="4"/>
                <c:pt idx="0">
                  <c:v>9.52</c:v>
                </c:pt>
                <c:pt idx="1">
                  <c:v>14.856666666666676</c:v>
                </c:pt>
                <c:pt idx="2">
                  <c:v>15.82</c:v>
                </c:pt>
                <c:pt idx="3">
                  <c:v>14.396666666666675</c:v>
                </c:pt>
              </c:numCache>
            </c:numRef>
          </c:yVal>
          <c:smooth val="1"/>
        </c:ser>
        <c:axId val="103138432"/>
        <c:axId val="103287808"/>
      </c:scatterChart>
      <c:valAx>
        <c:axId val="103138432"/>
        <c:scaling>
          <c:orientation val="minMax"/>
          <c:max val="30"/>
          <c:min val="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39968221937630566"/>
              <c:y val="0.83078824363382076"/>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03287808"/>
        <c:crosses val="autoZero"/>
        <c:crossBetween val="midCat"/>
        <c:majorUnit val="10"/>
        <c:minorUnit val="1"/>
      </c:valAx>
      <c:valAx>
        <c:axId val="103287808"/>
        <c:scaling>
          <c:orientation val="minMax"/>
        </c:scaling>
        <c:axPos val="l"/>
        <c:title>
          <c:tx>
            <c:rich>
              <a:bodyPr/>
              <a:lstStyle/>
              <a:p>
                <a:pPr>
                  <a:defRPr sz="800" b="1" i="0" u="none" strike="noStrike" baseline="0">
                    <a:solidFill>
                      <a:srgbClr val="000000"/>
                    </a:solidFill>
                    <a:latin typeface="Arial"/>
                    <a:ea typeface="Arial"/>
                    <a:cs typeface="Arial"/>
                  </a:defRPr>
                </a:pPr>
                <a:r>
                  <a:rPr lang="en-US" sz="800"/>
                  <a:t>b*</a:t>
                </a:r>
              </a:p>
            </c:rich>
          </c:tx>
          <c:layout>
            <c:manualLayout>
              <c:xMode val="edge"/>
              <c:yMode val="edge"/>
              <c:x val="1.7600562816245911E-2"/>
              <c:y val="0.43103046273302281"/>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03138432"/>
        <c:crosses val="autoZero"/>
        <c:crossBetween val="midCat"/>
      </c:valAx>
      <c:spPr>
        <a:noFill/>
        <a:ln w="25400">
          <a:noFill/>
        </a:ln>
      </c:spPr>
    </c:plotArea>
    <c:legend>
      <c:legendPos val="b"/>
      <c:spPr>
        <a:solidFill>
          <a:srgbClr val="FFFFFF"/>
        </a:solidFill>
        <a:ln w="25400">
          <a:noFill/>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3846247912192808"/>
          <c:y val="6.9227055174252955E-2"/>
          <c:w val="0.8219541875447387"/>
          <c:h val="0.66610483092816153"/>
        </c:manualLayout>
      </c:layout>
      <c:scatterChart>
        <c:scatterStyle val="smoothMarker"/>
        <c:ser>
          <c:idx val="0"/>
          <c:order val="0"/>
          <c:tx>
            <c:strRef>
              <c:f>Color!$BG$189</c:f>
              <c:strCache>
                <c:ptCount val="1"/>
                <c:pt idx="0">
                  <c:v>Control</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(Color!$BE$27,Color!$BE$58,Color!$BE$91,Color!$BE$121)</c:f>
                <c:numCache>
                  <c:formatCode>General</c:formatCode>
                  <c:ptCount val="4"/>
                  <c:pt idx="0">
                    <c:v>1.2198497175198855</c:v>
                  </c:pt>
                  <c:pt idx="1">
                    <c:v>2.0278642295117595</c:v>
                  </c:pt>
                  <c:pt idx="2">
                    <c:v>1.2687526683058987</c:v>
                  </c:pt>
                  <c:pt idx="3">
                    <c:v>0.88928810479695031</c:v>
                  </c:pt>
                </c:numCache>
              </c:numRef>
            </c:plus>
            <c:minus>
              <c:numRef>
                <c:f>(Color!$BE$27,Color!$BE$58,Color!$BE$91,Color!$BE$121)</c:f>
                <c:numCache>
                  <c:formatCode>General</c:formatCode>
                  <c:ptCount val="4"/>
                  <c:pt idx="0">
                    <c:v>1.2198497175198855</c:v>
                  </c:pt>
                  <c:pt idx="1">
                    <c:v>2.0278642295117595</c:v>
                  </c:pt>
                  <c:pt idx="2">
                    <c:v>1.2687526683058987</c:v>
                  </c:pt>
                  <c:pt idx="3">
                    <c:v>0.88928810479695031</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(Color!$BD$27,Color!$BD$58,Color!$BD$91,Color!$BD$121)</c:f>
              <c:numCache>
                <c:formatCode>0.00</c:formatCode>
                <c:ptCount val="4"/>
                <c:pt idx="0">
                  <c:v>7.7566666666666695</c:v>
                </c:pt>
                <c:pt idx="1">
                  <c:v>8.5466666666666704</c:v>
                </c:pt>
                <c:pt idx="2">
                  <c:v>10.29666666666667</c:v>
                </c:pt>
                <c:pt idx="3">
                  <c:v>9.506666666666673</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(Color!$BE$28,Color!$BE$59,Color!$BE$92,Color!$BE$122)</c:f>
                <c:numCache>
                  <c:formatCode>General</c:formatCode>
                  <c:ptCount val="4"/>
                  <c:pt idx="0">
                    <c:v>0.32192131543800373</c:v>
                  </c:pt>
                  <c:pt idx="1">
                    <c:v>2.9783888261944629</c:v>
                  </c:pt>
                  <c:pt idx="2">
                    <c:v>0.56568542494928253</c:v>
                  </c:pt>
                  <c:pt idx="3">
                    <c:v>0.44455970727603855</c:v>
                  </c:pt>
                </c:numCache>
              </c:numRef>
            </c:plus>
            <c:minus>
              <c:numRef>
                <c:f>(Color!$BE$28,Color!$BE$59,Color!$BE$92,Color!$BE$122)</c:f>
                <c:numCache>
                  <c:formatCode>General</c:formatCode>
                  <c:ptCount val="4"/>
                  <c:pt idx="0">
                    <c:v>0.32192131543800373</c:v>
                  </c:pt>
                  <c:pt idx="1">
                    <c:v>2.9783888261944629</c:v>
                  </c:pt>
                  <c:pt idx="2">
                    <c:v>0.56568542494928253</c:v>
                  </c:pt>
                  <c:pt idx="3">
                    <c:v>0.44455970727603855</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(Color!$BD$28,Color!$BD$59,Color!$BD$92,Color!$BD$122)</c:f>
              <c:numCache>
                <c:formatCode>0.00</c:formatCode>
                <c:ptCount val="4"/>
                <c:pt idx="0">
                  <c:v>8.4833333333333343</c:v>
                </c:pt>
                <c:pt idx="1">
                  <c:v>15.430000000000001</c:v>
                </c:pt>
                <c:pt idx="2">
                  <c:v>12.15</c:v>
                </c:pt>
                <c:pt idx="3">
                  <c:v>10.456666666666674</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(Color!$BE$29,Color!$BE$60,Color!$BE$93,Color!$BE$123)</c:f>
                <c:numCache>
                  <c:formatCode>General</c:formatCode>
                  <c:ptCount val="4"/>
                  <c:pt idx="0">
                    <c:v>0.57818682101896157</c:v>
                  </c:pt>
                  <c:pt idx="1">
                    <c:v>0.39703064533271037</c:v>
                  </c:pt>
                  <c:pt idx="2">
                    <c:v>0.30405591591028491</c:v>
                  </c:pt>
                  <c:pt idx="3">
                    <c:v>0.54638203972433419</c:v>
                  </c:pt>
                </c:numCache>
              </c:numRef>
            </c:plus>
            <c:minus>
              <c:numRef>
                <c:f>(Color!$BE$29,Color!$BE$60,Color!$BE$93,Color!$BE$123)</c:f>
                <c:numCache>
                  <c:formatCode>General</c:formatCode>
                  <c:ptCount val="4"/>
                  <c:pt idx="0">
                    <c:v>0.57818682101896157</c:v>
                  </c:pt>
                  <c:pt idx="1">
                    <c:v>0.39703064533271037</c:v>
                  </c:pt>
                  <c:pt idx="2">
                    <c:v>0.30405591591028491</c:v>
                  </c:pt>
                  <c:pt idx="3">
                    <c:v>0.54638203972433419</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(Color!$BD$29,Color!$BD$60,Color!$BD$93,Color!$BD$123)</c:f>
              <c:numCache>
                <c:formatCode>0.00</c:formatCode>
                <c:ptCount val="4"/>
                <c:pt idx="0">
                  <c:v>9.52</c:v>
                </c:pt>
                <c:pt idx="1">
                  <c:v>13.963333333333336</c:v>
                </c:pt>
                <c:pt idx="2">
                  <c:v>11.755000000000004</c:v>
                </c:pt>
                <c:pt idx="3">
                  <c:v>10.413333333333334</c:v>
                </c:pt>
              </c:numCache>
            </c:numRef>
          </c:yVal>
          <c:smooth val="1"/>
        </c:ser>
        <c:axId val="103940480"/>
        <c:axId val="103942784"/>
      </c:scatterChart>
      <c:valAx>
        <c:axId val="103940480"/>
        <c:scaling>
          <c:orientation val="minMax"/>
          <c:max val="30"/>
          <c:min val="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3888668543640097"/>
              <c:y val="0.82861656541295825"/>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03942784"/>
        <c:crosses val="autoZero"/>
        <c:crossBetween val="midCat"/>
        <c:majorUnit val="10"/>
        <c:minorUnit val="1"/>
      </c:valAx>
      <c:valAx>
        <c:axId val="103942784"/>
        <c:scaling>
          <c:orientation val="minMax"/>
        </c:scaling>
        <c:axPos val="l"/>
        <c:title>
          <c:tx>
            <c:rich>
              <a:bodyPr/>
              <a:lstStyle/>
              <a:p>
                <a:pPr>
                  <a:defRPr sz="1000" b="1" i="0" u="none" strike="noStrike" baseline="0">
                    <a:solidFill>
                      <a:srgbClr val="000000"/>
                    </a:solidFill>
                    <a:latin typeface="Arial"/>
                    <a:ea typeface="Arial"/>
                    <a:cs typeface="Arial"/>
                  </a:defRPr>
                </a:pPr>
                <a:r>
                  <a:rPr lang="en-US"/>
                  <a:t>b*</a:t>
                </a:r>
              </a:p>
            </c:rich>
          </c:tx>
          <c:layout>
            <c:manualLayout>
              <c:xMode val="edge"/>
              <c:yMode val="edge"/>
              <c:x val="2.4740528132285657E-3"/>
              <c:y val="0.41497097991399912"/>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03940480"/>
        <c:crosses val="autoZero"/>
        <c:crossBetween val="midCat"/>
      </c:valAx>
      <c:spPr>
        <a:noFill/>
        <a:ln w="25400">
          <a:noFill/>
        </a:ln>
      </c:spPr>
    </c:plotArea>
    <c:legend>
      <c:legendPos val="b"/>
      <c:layout>
        <c:manualLayout>
          <c:xMode val="edge"/>
          <c:yMode val="edge"/>
          <c:x val="0.29636203348092388"/>
          <c:y val="0.91179403042056673"/>
          <c:w val="0.49112532808398957"/>
          <c:h val="4.8990405124979222E-2"/>
        </c:manualLayout>
      </c:layout>
      <c:spPr>
        <a:solidFill>
          <a:srgbClr val="FFFFFF"/>
        </a:solidFill>
        <a:ln w="25400">
          <a:noFill/>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4496169711255241"/>
          <c:y val="8.8080968384478445E-2"/>
          <c:w val="0.68681392837334199"/>
          <c:h val="0.70262652200231002"/>
        </c:manualLayout>
      </c:layout>
      <c:scatterChart>
        <c:scatterStyle val="smoothMarker"/>
        <c:ser>
          <c:idx val="0"/>
          <c:order val="0"/>
          <c:tx>
            <c:v>Control</c:v>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(Color!$N$27,Color!$N$58,Color!$N$91,Color!$N$121)</c:f>
                <c:numCache>
                  <c:formatCode>General</c:formatCode>
                  <c:ptCount val="4"/>
                  <c:pt idx="0">
                    <c:v>0</c:v>
                  </c:pt>
                  <c:pt idx="1">
                    <c:v>1.1444734528513651</c:v>
                  </c:pt>
                  <c:pt idx="2">
                    <c:v>1.2041351020686311</c:v>
                  </c:pt>
                  <c:pt idx="3">
                    <c:v>1.1861331901497021</c:v>
                  </c:pt>
                </c:numCache>
              </c:numRef>
            </c:plus>
            <c:minus>
              <c:numRef>
                <c:f>(Color!$N$27,Color!$N$58,Color!$N$91,Color!$N$121)</c:f>
                <c:numCache>
                  <c:formatCode>General</c:formatCode>
                  <c:ptCount val="4"/>
                  <c:pt idx="0">
                    <c:v>0</c:v>
                  </c:pt>
                  <c:pt idx="1">
                    <c:v>1.1444734528513651</c:v>
                  </c:pt>
                  <c:pt idx="2">
                    <c:v>1.2041351020686311</c:v>
                  </c:pt>
                  <c:pt idx="3">
                    <c:v>1.1861331901497021</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(Color!$M$27,Color!$M$58,Color!$M$91,Color!$M$121)</c:f>
              <c:numCache>
                <c:formatCode>0.0</c:formatCode>
                <c:ptCount val="4"/>
                <c:pt idx="0">
                  <c:v>0</c:v>
                </c:pt>
                <c:pt idx="1">
                  <c:v>6.4991912581858156</c:v>
                </c:pt>
                <c:pt idx="2">
                  <c:v>8.1212543635394852</c:v>
                </c:pt>
                <c:pt idx="3">
                  <c:v>8.7146997674513482</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(Color!$N$28,Color!$N$59,Color!$N$92,Color!$N$122)</c:f>
                <c:numCache>
                  <c:formatCode>General</c:formatCode>
                  <c:ptCount val="4"/>
                  <c:pt idx="0">
                    <c:v>0</c:v>
                  </c:pt>
                  <c:pt idx="1">
                    <c:v>2.1285713176036452</c:v>
                  </c:pt>
                  <c:pt idx="2">
                    <c:v>1.108242280330979</c:v>
                  </c:pt>
                  <c:pt idx="3">
                    <c:v>0.68546603200890011</c:v>
                  </c:pt>
                </c:numCache>
              </c:numRef>
            </c:plus>
            <c:minus>
              <c:numRef>
                <c:f>(Color!$N$28,Color!$N$59,Color!$N$92,Color!$N$122)</c:f>
                <c:numCache>
                  <c:formatCode>General</c:formatCode>
                  <c:ptCount val="4"/>
                  <c:pt idx="0">
                    <c:v>0</c:v>
                  </c:pt>
                  <c:pt idx="1">
                    <c:v>2.1285713176036452</c:v>
                  </c:pt>
                  <c:pt idx="2">
                    <c:v>1.108242280330979</c:v>
                  </c:pt>
                  <c:pt idx="3">
                    <c:v>0.68546603200890011</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(Color!$M$28,Color!$M$59,Color!$M$92,Color!$M$122)</c:f>
              <c:numCache>
                <c:formatCode>0.0</c:formatCode>
                <c:ptCount val="4"/>
                <c:pt idx="0">
                  <c:v>0</c:v>
                </c:pt>
                <c:pt idx="1">
                  <c:v>13.122790204980006</c:v>
                </c:pt>
                <c:pt idx="2">
                  <c:v>14.171704179998654</c:v>
                </c:pt>
                <c:pt idx="3">
                  <c:v>13.589299376567476</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(Color!$N$29,Color!$N$60,Color!$N$93,Color!$N$123)</c:f>
                <c:numCache>
                  <c:formatCode>General</c:formatCode>
                  <c:ptCount val="4"/>
                  <c:pt idx="0">
                    <c:v>0</c:v>
                  </c:pt>
                  <c:pt idx="1">
                    <c:v>0.48809830803374032</c:v>
                  </c:pt>
                  <c:pt idx="2">
                    <c:v>1.886809841673126</c:v>
                  </c:pt>
                  <c:pt idx="3">
                    <c:v>1.0447434957101718</c:v>
                  </c:pt>
                </c:numCache>
              </c:numRef>
            </c:plus>
            <c:minus>
              <c:numRef>
                <c:f>(Color!$N$29,Color!$N$60,Color!$N$93,Color!$N$123)</c:f>
                <c:numCache>
                  <c:formatCode>General</c:formatCode>
                  <c:ptCount val="4"/>
                  <c:pt idx="0">
                    <c:v>0</c:v>
                  </c:pt>
                  <c:pt idx="1">
                    <c:v>0.48809830803374032</c:v>
                  </c:pt>
                  <c:pt idx="2">
                    <c:v>1.886809841673126</c:v>
                  </c:pt>
                  <c:pt idx="3">
                    <c:v>1.0447434957101718</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(Color!$M$29,Color!$M$60,Color!$M$93,Color!$M$123)</c:f>
              <c:numCache>
                <c:formatCode>0.0</c:formatCode>
                <c:ptCount val="4"/>
                <c:pt idx="0">
                  <c:v>0</c:v>
                </c:pt>
                <c:pt idx="1">
                  <c:v>11.165809719606823</c:v>
                </c:pt>
                <c:pt idx="2">
                  <c:v>14.47067606394315</c:v>
                </c:pt>
                <c:pt idx="3">
                  <c:v>14.86852853127867</c:v>
                </c:pt>
              </c:numCache>
            </c:numRef>
          </c:yVal>
          <c:smooth val="1"/>
        </c:ser>
        <c:axId val="104301312"/>
        <c:axId val="104303232"/>
      </c:scatterChart>
      <c:valAx>
        <c:axId val="104301312"/>
        <c:scaling>
          <c:orientation val="minMax"/>
          <c:max val="3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38565583684527832"/>
              <c:y val="0.85637703024661405"/>
            </c:manualLayout>
          </c:layout>
          <c:spPr>
            <a:noFill/>
            <a:ln w="25400">
              <a:noFill/>
            </a:ln>
          </c:spPr>
        </c:title>
        <c:numFmt formatCode="General" sourceLinked="1"/>
        <c:tickLblPos val="nextTo"/>
        <c:spPr>
          <a:ln w="3175">
            <a:solidFill>
              <a:srgbClr val="000000"/>
            </a:solidFill>
            <a:prstDash val="solid"/>
          </a:ln>
        </c:spPr>
        <c:txPr>
          <a:bodyPr rot="0" vert="horz"/>
          <a:lstStyle/>
          <a:p>
            <a:pPr>
              <a:defRPr sz="875" b="0" i="0" u="none" strike="noStrike" baseline="0">
                <a:solidFill>
                  <a:srgbClr val="000000"/>
                </a:solidFill>
                <a:latin typeface="Arial"/>
                <a:ea typeface="Arial"/>
                <a:cs typeface="Arial"/>
              </a:defRPr>
            </a:pPr>
            <a:endParaRPr lang="en-US"/>
          </a:p>
        </c:txPr>
        <c:crossAx val="104303232"/>
        <c:crosses val="autoZero"/>
        <c:crossBetween val="midCat"/>
        <c:majorUnit val="10"/>
        <c:minorUnit val="1"/>
      </c:valAx>
      <c:valAx>
        <c:axId val="104303232"/>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sz="800"/>
                  <a:t>∆E*</a:t>
                </a:r>
              </a:p>
            </c:rich>
          </c:tx>
          <c:layout>
            <c:manualLayout>
              <c:xMode val="edge"/>
              <c:yMode val="edge"/>
              <c:x val="2.5848144820824055E-2"/>
              <c:y val="0.47206761866631075"/>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04301312"/>
        <c:crosses val="autoZero"/>
        <c:crossBetween val="midCat"/>
      </c:valAx>
      <c:spPr>
        <a:noFill/>
        <a:ln w="25400">
          <a:noFill/>
        </a:ln>
      </c:spPr>
    </c:plotArea>
    <c:legend>
      <c:legendPos val="b"/>
      <c:layout>
        <c:manualLayout>
          <c:xMode val="edge"/>
          <c:yMode val="edge"/>
          <c:x val="0.24151987980715844"/>
          <c:y val="0.90966886782547662"/>
          <c:w val="0.47710517265952801"/>
          <c:h val="6.348314883859571E-2"/>
        </c:manualLayout>
      </c:layout>
      <c:spPr>
        <a:solidFill>
          <a:srgbClr val="FFFFFF"/>
        </a:solidFill>
        <a:ln w="3175">
          <a:noFill/>
          <a:prstDash val="solid"/>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5">
      <a:noFill/>
      <a:prstDash val="solid"/>
    </a:ln>
  </c:spPr>
  <c:txPr>
    <a:bodyPr/>
    <a:lstStyle/>
    <a:p>
      <a:pPr>
        <a:defRPr sz="875" b="0" i="0" u="none" strike="noStrike" baseline="0">
          <a:solidFill>
            <a:srgbClr val="000000"/>
          </a:solidFill>
          <a:latin typeface="Arial"/>
          <a:ea typeface="Arial"/>
          <a:cs typeface="Arial"/>
        </a:defRPr>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4496169711255241"/>
          <c:y val="8.4319145421507632E-2"/>
          <c:w val="0.74631886851034701"/>
          <c:h val="0.71032902102616102"/>
        </c:manualLayout>
      </c:layout>
      <c:scatterChart>
        <c:scatterStyle val="smoothMarker"/>
        <c:ser>
          <c:idx val="0"/>
          <c:order val="0"/>
          <c:tx>
            <c:v>Control</c:v>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(Color!$AL$27,Color!$AL$58,Color!$AL$91,Color!$AL$121)</c:f>
                <c:numCache>
                  <c:formatCode>General</c:formatCode>
                  <c:ptCount val="4"/>
                  <c:pt idx="0">
                    <c:v>0</c:v>
                  </c:pt>
                  <c:pt idx="1">
                    <c:v>0.41477416332699535</c:v>
                  </c:pt>
                  <c:pt idx="2">
                    <c:v>0.96946927126053362</c:v>
                  </c:pt>
                  <c:pt idx="3">
                    <c:v>1.5427520241568931</c:v>
                  </c:pt>
                </c:numCache>
              </c:numRef>
            </c:plus>
            <c:minus>
              <c:numRef>
                <c:f>(Color!$AL$27,Color!$AL$58,Color!$AL$91,Color!$AL$121)</c:f>
                <c:numCache>
                  <c:formatCode>General</c:formatCode>
                  <c:ptCount val="4"/>
                  <c:pt idx="0">
                    <c:v>0</c:v>
                  </c:pt>
                  <c:pt idx="1">
                    <c:v>0.41477416332699535</c:v>
                  </c:pt>
                  <c:pt idx="2">
                    <c:v>0.96946927126053362</c:v>
                  </c:pt>
                  <c:pt idx="3">
                    <c:v>1.5427520241568931</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(Color!$AK$27,Color!$AK$58,Color!$AK$91,Color!$AK$121)</c:f>
              <c:numCache>
                <c:formatCode>0.0</c:formatCode>
                <c:ptCount val="4"/>
                <c:pt idx="0">
                  <c:v>0</c:v>
                </c:pt>
                <c:pt idx="1">
                  <c:v>8.8827984476903978</c:v>
                </c:pt>
                <c:pt idx="2">
                  <c:v>11.698520685171461</c:v>
                </c:pt>
                <c:pt idx="3">
                  <c:v>10.813162232266174</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(Color!$AL$28,Color!$AL$59,Color!$AL$92,Color!$AL$122)</c:f>
                <c:numCache>
                  <c:formatCode>General</c:formatCode>
                  <c:ptCount val="4"/>
                  <c:pt idx="0">
                    <c:v>0</c:v>
                  </c:pt>
                  <c:pt idx="1">
                    <c:v>0.34657031401362431</c:v>
                  </c:pt>
                  <c:pt idx="2">
                    <c:v>0.62542734619074203</c:v>
                  </c:pt>
                  <c:pt idx="3">
                    <c:v>0.817608081415793</c:v>
                  </c:pt>
                </c:numCache>
              </c:numRef>
            </c:plus>
            <c:minus>
              <c:numRef>
                <c:f>(Color!$AL$28,Color!$AL$59,Color!$AL$92,Color!$AL$122)</c:f>
                <c:numCache>
                  <c:formatCode>General</c:formatCode>
                  <c:ptCount val="4"/>
                  <c:pt idx="0">
                    <c:v>0</c:v>
                  </c:pt>
                  <c:pt idx="1">
                    <c:v>0.34657031401362431</c:v>
                  </c:pt>
                  <c:pt idx="2">
                    <c:v>0.62542734619074203</c:v>
                  </c:pt>
                  <c:pt idx="3">
                    <c:v>0.817608081415793</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(Color!$AK$28,Color!$AK$59,Color!$AK$92,Color!$AK$122)</c:f>
              <c:numCache>
                <c:formatCode>0.0</c:formatCode>
                <c:ptCount val="4"/>
                <c:pt idx="0">
                  <c:v>0</c:v>
                </c:pt>
                <c:pt idx="1">
                  <c:v>12.982609881875184</c:v>
                </c:pt>
                <c:pt idx="2">
                  <c:v>11.679534540800855</c:v>
                </c:pt>
                <c:pt idx="3">
                  <c:v>11.347541959058869</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(Color!$AL$29,Color!$AL$60,Color!$AL$93,Color!$AL$123)</c:f>
                <c:numCache>
                  <c:formatCode>General</c:formatCode>
                  <c:ptCount val="4"/>
                  <c:pt idx="0">
                    <c:v>0</c:v>
                  </c:pt>
                  <c:pt idx="1">
                    <c:v>1.9478443196113839</c:v>
                  </c:pt>
                  <c:pt idx="2">
                    <c:v>0.73934890328340452</c:v>
                  </c:pt>
                  <c:pt idx="3">
                    <c:v>1.379740899100214</c:v>
                  </c:pt>
                </c:numCache>
              </c:numRef>
            </c:plus>
            <c:minus>
              <c:numRef>
                <c:f>(Color!$AL$29,Color!$AL$60,Color!$AL$93,Color!$AL$123)</c:f>
                <c:numCache>
                  <c:formatCode>General</c:formatCode>
                  <c:ptCount val="4"/>
                  <c:pt idx="0">
                    <c:v>0</c:v>
                  </c:pt>
                  <c:pt idx="1">
                    <c:v>1.9478443196113839</c:v>
                  </c:pt>
                  <c:pt idx="2">
                    <c:v>0.73934890328340452</c:v>
                  </c:pt>
                  <c:pt idx="3">
                    <c:v>1.379740899100214</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(Color!$AK$29,Color!$AK$60,Color!$AK$93,Color!$AK$123)</c:f>
              <c:numCache>
                <c:formatCode>0.0</c:formatCode>
                <c:ptCount val="4"/>
                <c:pt idx="0">
                  <c:v>0</c:v>
                </c:pt>
                <c:pt idx="1">
                  <c:v>13.318220464375248</c:v>
                </c:pt>
                <c:pt idx="2">
                  <c:v>14.09567598945176</c:v>
                </c:pt>
                <c:pt idx="3">
                  <c:v>12.905428187429512</c:v>
                </c:pt>
              </c:numCache>
            </c:numRef>
          </c:yVal>
          <c:smooth val="1"/>
        </c:ser>
        <c:axId val="104391424"/>
        <c:axId val="104393344"/>
      </c:scatterChart>
      <c:valAx>
        <c:axId val="104391424"/>
        <c:scaling>
          <c:orientation val="minMax"/>
          <c:max val="3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37883090437255723"/>
              <c:y val="0.85477397023394464"/>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04393344"/>
        <c:crosses val="autoZero"/>
        <c:crossBetween val="midCat"/>
        <c:majorUnit val="10"/>
        <c:minorUnit val="1"/>
      </c:valAx>
      <c:valAx>
        <c:axId val="104393344"/>
        <c:scaling>
          <c:orientation val="minMax"/>
        </c:scaling>
        <c:axPos val="l"/>
        <c:title>
          <c:tx>
            <c:rich>
              <a:bodyPr/>
              <a:lstStyle/>
              <a:p>
                <a:pPr>
                  <a:defRPr sz="875" b="1" i="0" u="none" strike="noStrike" baseline="0">
                    <a:solidFill>
                      <a:srgbClr val="000000"/>
                    </a:solidFill>
                    <a:latin typeface="Times New Roman"/>
                    <a:ea typeface="Times New Roman"/>
                    <a:cs typeface="Times New Roman"/>
                  </a:defRPr>
                </a:pPr>
                <a:r>
                  <a:rPr lang="en-US"/>
                  <a:t>∆E*</a:t>
                </a:r>
              </a:p>
            </c:rich>
          </c:tx>
          <c:layout>
            <c:manualLayout>
              <c:xMode val="edge"/>
              <c:yMode val="edge"/>
              <c:x val="2.5848097112861016E-2"/>
              <c:y val="0.47206761866631075"/>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04391424"/>
        <c:crosses val="autoZero"/>
        <c:crossBetween val="midCat"/>
      </c:valAx>
      <c:spPr>
        <a:noFill/>
        <a:ln w="25400">
          <a:noFill/>
        </a:ln>
      </c:spPr>
    </c:plotArea>
    <c:legend>
      <c:legendPos val="b"/>
      <c:layout>
        <c:manualLayout>
          <c:xMode val="edge"/>
          <c:yMode val="edge"/>
          <c:x val="0.27405235211295131"/>
          <c:y val="0.93709883526674165"/>
          <c:w val="0.465284582973784"/>
          <c:h val="6.2901164733260323E-2"/>
        </c:manualLayout>
      </c:layout>
      <c:spPr>
        <a:solidFill>
          <a:srgbClr val="FFFFFF"/>
        </a:solidFill>
        <a:ln w="3175">
          <a:noFill/>
          <a:prstDash val="solid"/>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5">
      <a:noFill/>
      <a:prstDash val="solid"/>
    </a:ln>
  </c:spPr>
  <c:txPr>
    <a:bodyPr/>
    <a:lstStyle/>
    <a:p>
      <a:pPr>
        <a:defRPr sz="875" b="0" i="0" u="none" strike="noStrike" baseline="0">
          <a:solidFill>
            <a:srgbClr val="000000"/>
          </a:solidFill>
          <a:latin typeface="Arial"/>
          <a:ea typeface="Arial"/>
          <a:cs typeface="Arial"/>
        </a:defRPr>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4496169711255241"/>
          <c:y val="7.4995136097498513E-2"/>
          <c:w val="0.78056579163073059"/>
          <c:h val="0.68708344812628597"/>
        </c:manualLayout>
      </c:layout>
      <c:scatterChart>
        <c:scatterStyle val="smoothMarker"/>
        <c:ser>
          <c:idx val="0"/>
          <c:order val="0"/>
          <c:tx>
            <c:v>Control</c:v>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(Color!$BK$27,Color!$BK$58,Color!$BK$91,Color!$BK$121)</c:f>
                <c:numCache>
                  <c:formatCode>General</c:formatCode>
                  <c:ptCount val="4"/>
                  <c:pt idx="0">
                    <c:v>0</c:v>
                  </c:pt>
                  <c:pt idx="1">
                    <c:v>1.1444734528513651</c:v>
                  </c:pt>
                  <c:pt idx="2">
                    <c:v>1.1255262006099298</c:v>
                  </c:pt>
                  <c:pt idx="3">
                    <c:v>0.30457040982440836</c:v>
                  </c:pt>
                </c:numCache>
              </c:numRef>
            </c:plus>
            <c:minus>
              <c:numRef>
                <c:f>(Color!$BK$27,Color!$BK$58,Color!$BK$91,Color!$BK$121)</c:f>
                <c:numCache>
                  <c:formatCode>General</c:formatCode>
                  <c:ptCount val="4"/>
                  <c:pt idx="0">
                    <c:v>0</c:v>
                  </c:pt>
                  <c:pt idx="1">
                    <c:v>1.1444734528513651</c:v>
                  </c:pt>
                  <c:pt idx="2">
                    <c:v>1.1255262006099298</c:v>
                  </c:pt>
                  <c:pt idx="3">
                    <c:v>0.30457040982440836</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(Color!$BJ$27,Color!$BJ$58,Color!$BJ$91,Color!$BJ$121)</c:f>
              <c:numCache>
                <c:formatCode>0.0</c:formatCode>
                <c:ptCount val="4"/>
                <c:pt idx="0">
                  <c:v>0</c:v>
                </c:pt>
                <c:pt idx="1">
                  <c:v>6.4991912581858156</c:v>
                </c:pt>
                <c:pt idx="2">
                  <c:v>9.9422596617248118</c:v>
                </c:pt>
                <c:pt idx="3">
                  <c:v>8.6601553821879946</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(Color!$BK$28,Color!$BK$59,Color!$BK$92,Color!$BK$122)</c:f>
                <c:numCache>
                  <c:formatCode>General</c:formatCode>
                  <c:ptCount val="4"/>
                  <c:pt idx="0">
                    <c:v>0</c:v>
                  </c:pt>
                  <c:pt idx="1">
                    <c:v>2.1285713176036452</c:v>
                  </c:pt>
                  <c:pt idx="2">
                    <c:v>1.5079791739277221E-2</c:v>
                  </c:pt>
                  <c:pt idx="3">
                    <c:v>0.38565722373956035</c:v>
                  </c:pt>
                </c:numCache>
              </c:numRef>
            </c:plus>
            <c:minus>
              <c:numRef>
                <c:f>(Color!$BK$28,Color!$BK$59,Color!$BK$92,Color!$BK$122)</c:f>
                <c:numCache>
                  <c:formatCode>General</c:formatCode>
                  <c:ptCount val="4"/>
                  <c:pt idx="0">
                    <c:v>0</c:v>
                  </c:pt>
                  <c:pt idx="1">
                    <c:v>2.1285713176036452</c:v>
                  </c:pt>
                  <c:pt idx="2">
                    <c:v>1.5079791739277221E-2</c:v>
                  </c:pt>
                  <c:pt idx="3">
                    <c:v>0.38565722373956035</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(Color!$BJ$28,Color!$BJ$59,Color!$BJ$92,Color!$BJ$122)</c:f>
              <c:numCache>
                <c:formatCode>0.0</c:formatCode>
                <c:ptCount val="4"/>
                <c:pt idx="0">
                  <c:v>0</c:v>
                </c:pt>
                <c:pt idx="1">
                  <c:v>13.122790204979976</c:v>
                </c:pt>
                <c:pt idx="2">
                  <c:v>10.10266976100578</c:v>
                </c:pt>
                <c:pt idx="3">
                  <c:v>8.6645741771028977</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(Color!$BK$29,Color!$BK$60,Color!$BK$93,Color!$BK$123)</c:f>
                <c:numCache>
                  <c:formatCode>General</c:formatCode>
                  <c:ptCount val="4"/>
                  <c:pt idx="0">
                    <c:v>0</c:v>
                  </c:pt>
                  <c:pt idx="1">
                    <c:v>0.48809830803374032</c:v>
                  </c:pt>
                  <c:pt idx="2">
                    <c:v>4.6868749603259256E-2</c:v>
                  </c:pt>
                  <c:pt idx="3">
                    <c:v>0.68183854076432959</c:v>
                  </c:pt>
                </c:numCache>
              </c:numRef>
            </c:plus>
            <c:minus>
              <c:numRef>
                <c:f>(Color!$BK$29,Color!$BK$60,Color!$BK$93,Color!$BK$123)</c:f>
                <c:numCache>
                  <c:formatCode>General</c:formatCode>
                  <c:ptCount val="4"/>
                  <c:pt idx="0">
                    <c:v>0</c:v>
                  </c:pt>
                  <c:pt idx="1">
                    <c:v>0.48809830803374032</c:v>
                  </c:pt>
                  <c:pt idx="2">
                    <c:v>4.6868749603259256E-2</c:v>
                  </c:pt>
                  <c:pt idx="3">
                    <c:v>0.68183854076432959</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(Color!$BJ$29,Color!$BJ$60,Color!$BJ$93,Color!$BJ$123)</c:f>
              <c:numCache>
                <c:formatCode>0.0</c:formatCode>
                <c:ptCount val="4"/>
                <c:pt idx="0">
                  <c:v>0</c:v>
                </c:pt>
                <c:pt idx="1">
                  <c:v>11.165809719606811</c:v>
                </c:pt>
                <c:pt idx="2">
                  <c:v>10.0999629534051</c:v>
                </c:pt>
                <c:pt idx="3">
                  <c:v>8.5553782774084528</c:v>
                </c:pt>
              </c:numCache>
            </c:numRef>
          </c:yVal>
          <c:smooth val="1"/>
        </c:ser>
        <c:axId val="105113472"/>
        <c:axId val="105121280"/>
      </c:scatterChart>
      <c:valAx>
        <c:axId val="105113472"/>
        <c:scaling>
          <c:orientation val="minMax"/>
          <c:max val="3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37329560438777232"/>
              <c:y val="0.84546841386425298"/>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05121280"/>
        <c:crosses val="autoZero"/>
        <c:crossBetween val="midCat"/>
        <c:majorUnit val="10"/>
        <c:minorUnit val="1"/>
      </c:valAx>
      <c:valAx>
        <c:axId val="105121280"/>
        <c:scaling>
          <c:orientation val="minMax"/>
        </c:scaling>
        <c:axPos val="l"/>
        <c:title>
          <c:tx>
            <c:rich>
              <a:bodyPr/>
              <a:lstStyle/>
              <a:p>
                <a:pPr>
                  <a:defRPr sz="800" b="1" i="0" u="none" strike="noStrike" baseline="0">
                    <a:solidFill>
                      <a:srgbClr val="000000"/>
                    </a:solidFill>
                    <a:latin typeface="Times New Roman"/>
                    <a:ea typeface="Times New Roman"/>
                    <a:cs typeface="Times New Roman"/>
                  </a:defRPr>
                </a:pPr>
                <a:r>
                  <a:rPr lang="en-US" sz="800"/>
                  <a:t>∆E*</a:t>
                </a:r>
              </a:p>
            </c:rich>
          </c:tx>
          <c:layout>
            <c:manualLayout>
              <c:xMode val="edge"/>
              <c:yMode val="edge"/>
              <c:x val="2.5848235637212006E-2"/>
              <c:y val="0.47206761866631075"/>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05113472"/>
        <c:crosses val="autoZero"/>
        <c:crossBetween val="midCat"/>
      </c:valAx>
      <c:spPr>
        <a:noFill/>
        <a:ln w="25400">
          <a:noFill/>
        </a:ln>
      </c:spPr>
    </c:plotArea>
    <c:legend>
      <c:legendPos val="b"/>
      <c:layout>
        <c:manualLayout>
          <c:xMode val="edge"/>
          <c:yMode val="edge"/>
          <c:x val="0.21938117876820201"/>
          <c:y val="0.90452938797282456"/>
          <c:w val="0.50330394372019649"/>
          <c:h val="6.2901164733260323E-2"/>
        </c:manualLayout>
      </c:layout>
      <c:spPr>
        <a:solidFill>
          <a:srgbClr val="FFFFFF"/>
        </a:solidFill>
        <a:ln w="3175">
          <a:noFill/>
          <a:prstDash val="solid"/>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5">
      <a:noFill/>
      <a:prstDash val="solid"/>
    </a:ln>
  </c:spPr>
  <c:txPr>
    <a:bodyPr/>
    <a:lstStyle/>
    <a:p>
      <a:pPr>
        <a:defRPr sz="875" b="0" i="0" u="none" strike="noStrike" baseline="0">
          <a:solidFill>
            <a:srgbClr val="000000"/>
          </a:solidFill>
          <a:latin typeface="Arial"/>
          <a:ea typeface="Arial"/>
          <a:cs typeface="Arial"/>
        </a:defRPr>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6063338200501502E-2"/>
          <c:y val="7.8494565744261516E-2"/>
          <c:w val="0.89375702188088202"/>
          <c:h val="0.69398613624115502"/>
        </c:manualLayout>
      </c:layout>
      <c:barChart>
        <c:barDir val="col"/>
        <c:grouping val="stacked"/>
        <c:ser>
          <c:idx val="0"/>
          <c:order val="0"/>
          <c:tx>
            <c:v>A2P</c:v>
          </c:tx>
          <c:dLbls>
            <c:numFmt formatCode="#,##0.0" sourceLinked="0"/>
            <c:txPr>
              <a:bodyPr/>
              <a:lstStyle/>
              <a:p>
                <a:pPr>
                  <a:defRPr sz="800"/>
                </a:pPr>
                <a:endParaRPr lang="en-US"/>
              </a:p>
            </c:txPr>
            <c:showVal val="1"/>
          </c:dLbls>
          <c:errBars>
            <c:errBarType val="both"/>
            <c:errValType val="cust"/>
            <c:plus>
              <c:numRef>
                <c:f>('Ascorbic acid'!$I$25,'Ascorbic acid'!$I$52,'Ascorbic acid'!$I$79,'Ascorbic acid'!$I$106)</c:f>
                <c:numCache>
                  <c:formatCode>General</c:formatCode>
                  <c:ptCount val="4"/>
                  <c:pt idx="0">
                    <c:v>2.2466561505661371</c:v>
                  </c:pt>
                  <c:pt idx="1">
                    <c:v>0.10313982274561333</c:v>
                  </c:pt>
                  <c:pt idx="2">
                    <c:v>3.0295741568171612</c:v>
                  </c:pt>
                  <c:pt idx="3">
                    <c:v>15.10771847598906</c:v>
                  </c:pt>
                </c:numCache>
              </c:numRef>
            </c:plus>
            <c:minus>
              <c:numRef>
                <c:f>('Ascorbic acid'!$I$25,'Ascorbic acid'!$I$52,'Ascorbic acid'!$I$79,'Ascorbic acid'!$I$106)</c:f>
                <c:numCache>
                  <c:formatCode>General</c:formatCode>
                  <c:ptCount val="4"/>
                  <c:pt idx="0">
                    <c:v>2.2466561505661371</c:v>
                  </c:pt>
                  <c:pt idx="1">
                    <c:v>0.10313982274561333</c:v>
                  </c:pt>
                  <c:pt idx="2">
                    <c:v>3.0295741568171612</c:v>
                  </c:pt>
                  <c:pt idx="3">
                    <c:v>15.10771847598906</c:v>
                  </c:pt>
                </c:numCache>
              </c:numRef>
            </c:minus>
          </c:errBars>
          <c:cat>
            <c:numLit>
              <c:formatCode>General</c:formatCode>
              <c:ptCount val="4"/>
              <c:pt idx="0">
                <c:v>0</c:v>
              </c:pt>
              <c:pt idx="1">
                <c:v>10</c:v>
              </c:pt>
              <c:pt idx="2">
                <c:v>20</c:v>
              </c:pt>
              <c:pt idx="3">
                <c:v>29</c:v>
              </c:pt>
            </c:numLit>
          </c:cat>
          <c:val>
            <c:numRef>
              <c:f>('Ascorbic acid'!$H$25,'Ascorbic acid'!$H$52,'Ascorbic acid'!$H$79,'Ascorbic acid'!$H$106)</c:f>
              <c:numCache>
                <c:formatCode>0.0000</c:formatCode>
                <c:ptCount val="4"/>
                <c:pt idx="0">
                  <c:v>84.221106164884418</c:v>
                </c:pt>
                <c:pt idx="1">
                  <c:v>81.312071204758738</c:v>
                </c:pt>
                <c:pt idx="2">
                  <c:v>81.704642495092727</c:v>
                </c:pt>
                <c:pt idx="3">
                  <c:v>89.317229817371327</c:v>
                </c:pt>
              </c:numCache>
            </c:numRef>
          </c:val>
        </c:ser>
        <c:ser>
          <c:idx val="1"/>
          <c:order val="1"/>
          <c:tx>
            <c:v>AA</c:v>
          </c:tx>
          <c:dLbls>
            <c:numFmt formatCode="#,##0.0" sourceLinked="0"/>
            <c:txPr>
              <a:bodyPr/>
              <a:lstStyle/>
              <a:p>
                <a:pPr>
                  <a:defRPr sz="800"/>
                </a:pPr>
                <a:endParaRPr lang="en-US"/>
              </a:p>
            </c:txPr>
            <c:showVal val="1"/>
          </c:dLbls>
          <c:errBars>
            <c:errBarType val="both"/>
            <c:errValType val="cust"/>
            <c:plus>
              <c:numRef>
                <c:f>('Ascorbic acid'!$L$25,'Ascorbic acid'!$L$52,'Ascorbic acid'!$L$79,'Ascorbic acid'!$L$106)</c:f>
                <c:numCache>
                  <c:formatCode>General</c:formatCode>
                  <c:ptCount val="4"/>
                  <c:pt idx="0">
                    <c:v>2.2466561505657947</c:v>
                  </c:pt>
                  <c:pt idx="1">
                    <c:v>0.1031398227456143</c:v>
                  </c:pt>
                  <c:pt idx="2">
                    <c:v>3.0295741568172012</c:v>
                  </c:pt>
                  <c:pt idx="3">
                    <c:v>15.107718475989119</c:v>
                  </c:pt>
                </c:numCache>
              </c:numRef>
            </c:plus>
            <c:minus>
              <c:numRef>
                <c:f>('Ascorbic acid'!$L$25,'Ascorbic acid'!$L$52,'Ascorbic acid'!$L$79,'Ascorbic acid'!$L$106)</c:f>
                <c:numCache>
                  <c:formatCode>General</c:formatCode>
                  <c:ptCount val="4"/>
                  <c:pt idx="0">
                    <c:v>2.2466561505657947</c:v>
                  </c:pt>
                  <c:pt idx="1">
                    <c:v>0.1031398227456143</c:v>
                  </c:pt>
                  <c:pt idx="2">
                    <c:v>3.0295741568172012</c:v>
                  </c:pt>
                  <c:pt idx="3">
                    <c:v>15.107718475989119</c:v>
                  </c:pt>
                </c:numCache>
              </c:numRef>
            </c:minus>
          </c:errBars>
          <c:cat>
            <c:numLit>
              <c:formatCode>General</c:formatCode>
              <c:ptCount val="4"/>
              <c:pt idx="0">
                <c:v>0</c:v>
              </c:pt>
              <c:pt idx="1">
                <c:v>10</c:v>
              </c:pt>
              <c:pt idx="2">
                <c:v>20</c:v>
              </c:pt>
              <c:pt idx="3">
                <c:v>29</c:v>
              </c:pt>
            </c:numLit>
          </c:cat>
          <c:val>
            <c:numRef>
              <c:f>('Ascorbic acid'!$K$25,'Ascorbic acid'!$K$52,'Ascorbic acid'!$K$79,'Ascorbic acid'!$K$106)</c:f>
              <c:numCache>
                <c:formatCode>0.0000</c:formatCode>
                <c:ptCount val="4"/>
                <c:pt idx="0">
                  <c:v>15.778893835115428</c:v>
                </c:pt>
                <c:pt idx="1">
                  <c:v>18.687928795240335</c:v>
                </c:pt>
                <c:pt idx="2">
                  <c:v>18.295357504907582</c:v>
                </c:pt>
                <c:pt idx="3">
                  <c:v>10.6827701826292</c:v>
                </c:pt>
              </c:numCache>
            </c:numRef>
          </c:val>
        </c:ser>
        <c:overlap val="100"/>
        <c:axId val="105942016"/>
        <c:axId val="121975168"/>
      </c:barChart>
      <c:catAx>
        <c:axId val="105942016"/>
        <c:scaling>
          <c:orientation val="minMax"/>
        </c:scaling>
        <c:axPos val="b"/>
        <c:title>
          <c:tx>
            <c:rich>
              <a:bodyPr/>
              <a:lstStyle/>
              <a:p>
                <a:pPr>
                  <a:defRPr sz="800"/>
                </a:pPr>
                <a:r>
                  <a:rPr lang="en-US" sz="800"/>
                  <a:t>Storage (days)</a:t>
                </a:r>
              </a:p>
            </c:rich>
          </c:tx>
          <c:layout>
            <c:manualLayout>
              <c:xMode val="edge"/>
              <c:yMode val="edge"/>
              <c:x val="0.43923992327473038"/>
              <c:y val="0.86099942774493099"/>
            </c:manualLayout>
          </c:layout>
        </c:title>
        <c:numFmt formatCode="General" sourceLinked="1"/>
        <c:majorTickMark val="none"/>
        <c:tickLblPos val="nextTo"/>
        <c:txPr>
          <a:bodyPr/>
          <a:lstStyle/>
          <a:p>
            <a:pPr>
              <a:defRPr sz="800"/>
            </a:pPr>
            <a:endParaRPr lang="en-US"/>
          </a:p>
        </c:txPr>
        <c:crossAx val="121975168"/>
        <c:crosses val="autoZero"/>
        <c:auto val="1"/>
        <c:lblAlgn val="ctr"/>
        <c:lblOffset val="100"/>
      </c:catAx>
      <c:valAx>
        <c:axId val="121975168"/>
        <c:scaling>
          <c:orientation val="minMax"/>
          <c:max val="120"/>
        </c:scaling>
        <c:axPos val="l"/>
        <c:title>
          <c:tx>
            <c:rich>
              <a:bodyPr/>
              <a:lstStyle/>
              <a:p>
                <a:pPr>
                  <a:defRPr sz="800"/>
                </a:pPr>
                <a:r>
                  <a:rPr lang="en-US" sz="800"/>
                  <a:t>A2P /AA</a:t>
                </a:r>
                <a:r>
                  <a:rPr lang="en-US" sz="800" baseline="0"/>
                  <a:t> (%)</a:t>
                </a:r>
                <a:endParaRPr lang="en-US" sz="800"/>
              </a:p>
            </c:rich>
          </c:tx>
        </c:title>
        <c:numFmt formatCode="0" sourceLinked="0"/>
        <c:tickLblPos val="nextTo"/>
        <c:crossAx val="105942016"/>
        <c:crosses val="autoZero"/>
        <c:crossBetween val="between"/>
      </c:valAx>
    </c:plotArea>
    <c:legend>
      <c:legendPos val="b"/>
      <c:layout>
        <c:manualLayout>
          <c:xMode val="edge"/>
          <c:yMode val="edge"/>
          <c:x val="0.45232002474025412"/>
          <c:y val="0.91756100813194275"/>
          <c:w val="0.14394590683313482"/>
          <c:h val="8.2438991868051689E-2"/>
        </c:manualLayout>
      </c:layout>
      <c:txPr>
        <a:bodyPr/>
        <a:lstStyle/>
        <a:p>
          <a:pPr>
            <a:defRPr sz="700"/>
          </a:pPr>
          <a:endParaRPr lang="en-US"/>
        </a:p>
      </c:txPr>
    </c:legend>
    <c:plotVisOnly val="1"/>
    <c:dispBlanksAs val="gap"/>
  </c:chart>
  <c:spPr>
    <a:noFill/>
    <a:ln>
      <a:no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624694962141527"/>
          <c:y val="8.7091129971965331E-2"/>
          <c:w val="0.8650903764788016"/>
          <c:h val="0.67476829973761498"/>
        </c:manualLayout>
      </c:layout>
      <c:barChart>
        <c:barDir val="col"/>
        <c:grouping val="stacked"/>
        <c:ser>
          <c:idx val="0"/>
          <c:order val="0"/>
          <c:tx>
            <c:v>A2P</c:v>
          </c:tx>
          <c:dLbls>
            <c:numFmt formatCode="#,##0.0" sourceLinked="0"/>
            <c:txPr>
              <a:bodyPr/>
              <a:lstStyle/>
              <a:p>
                <a:pPr>
                  <a:defRPr sz="800"/>
                </a:pPr>
                <a:endParaRPr lang="en-US"/>
              </a:p>
            </c:txPr>
            <c:showVal val="1"/>
          </c:dLbls>
          <c:errBars>
            <c:errBarType val="both"/>
            <c:errValType val="cust"/>
            <c:plus>
              <c:numRef>
                <c:f>('Ascorbic acid'!$AD$25,'Ascorbic acid'!$AD$52,'Ascorbic acid'!$AD$79,'Ascorbic acid'!$AD$106)</c:f>
                <c:numCache>
                  <c:formatCode>General</c:formatCode>
                  <c:ptCount val="4"/>
                  <c:pt idx="0">
                    <c:v>2.2466561505661371</c:v>
                  </c:pt>
                  <c:pt idx="1">
                    <c:v>1.9367497204102431</c:v>
                  </c:pt>
                  <c:pt idx="2">
                    <c:v>1.2782365696123601</c:v>
                  </c:pt>
                  <c:pt idx="3">
                    <c:v>1.553053193943414</c:v>
                  </c:pt>
                </c:numCache>
              </c:numRef>
            </c:plus>
            <c:minus>
              <c:numRef>
                <c:f>('Ascorbic acid'!$AD$25,'Ascorbic acid'!$AD$52,'Ascorbic acid'!$AD$79,'Ascorbic acid'!$AD$106)</c:f>
                <c:numCache>
                  <c:formatCode>General</c:formatCode>
                  <c:ptCount val="4"/>
                  <c:pt idx="0">
                    <c:v>2.2466561505661371</c:v>
                  </c:pt>
                  <c:pt idx="1">
                    <c:v>1.9367497204102431</c:v>
                  </c:pt>
                  <c:pt idx="2">
                    <c:v>1.2782365696123601</c:v>
                  </c:pt>
                  <c:pt idx="3">
                    <c:v>1.553053193943414</c:v>
                  </c:pt>
                </c:numCache>
              </c:numRef>
            </c:minus>
          </c:errBars>
          <c:cat>
            <c:numLit>
              <c:formatCode>General</c:formatCode>
              <c:ptCount val="4"/>
              <c:pt idx="0">
                <c:v>0</c:v>
              </c:pt>
              <c:pt idx="1">
                <c:v>10</c:v>
              </c:pt>
              <c:pt idx="2">
                <c:v>20</c:v>
              </c:pt>
              <c:pt idx="3">
                <c:v>29</c:v>
              </c:pt>
            </c:numLit>
          </c:cat>
          <c:val>
            <c:numRef>
              <c:f>('Ascorbic acid'!$AC$25,'Ascorbic acid'!$AC$52,'Ascorbic acid'!$AC$79,'Ascorbic acid'!$AC$106)</c:f>
              <c:numCache>
                <c:formatCode>0.0000</c:formatCode>
                <c:ptCount val="4"/>
                <c:pt idx="0">
                  <c:v>84.221106164884418</c:v>
                </c:pt>
                <c:pt idx="1">
                  <c:v>64.654302683768918</c:v>
                </c:pt>
                <c:pt idx="2">
                  <c:v>63.108490543888372</c:v>
                </c:pt>
                <c:pt idx="3">
                  <c:v>77.415041554435618</c:v>
                </c:pt>
              </c:numCache>
            </c:numRef>
          </c:val>
        </c:ser>
        <c:ser>
          <c:idx val="1"/>
          <c:order val="1"/>
          <c:tx>
            <c:v>AA</c:v>
          </c:tx>
          <c:dLbls>
            <c:numFmt formatCode="#,##0.0" sourceLinked="0"/>
            <c:txPr>
              <a:bodyPr/>
              <a:lstStyle/>
              <a:p>
                <a:pPr>
                  <a:defRPr sz="800"/>
                </a:pPr>
                <a:endParaRPr lang="en-US"/>
              </a:p>
            </c:txPr>
            <c:showVal val="1"/>
          </c:dLbls>
          <c:errBars>
            <c:errBarType val="both"/>
            <c:errValType val="cust"/>
            <c:plus>
              <c:numRef>
                <c:f>('Ascorbic acid'!$AG$25,'Ascorbic acid'!$AG$52,'Ascorbic acid'!$AG$79,'Ascorbic acid'!$AG$106)</c:f>
                <c:numCache>
                  <c:formatCode>General</c:formatCode>
                  <c:ptCount val="4"/>
                  <c:pt idx="0">
                    <c:v>2.2466561505657947</c:v>
                  </c:pt>
                  <c:pt idx="1">
                    <c:v>1.9367497204097641</c:v>
                  </c:pt>
                  <c:pt idx="2">
                    <c:v>1.2782365696123601</c:v>
                  </c:pt>
                  <c:pt idx="3">
                    <c:v>1.5530531939434511</c:v>
                  </c:pt>
                </c:numCache>
              </c:numRef>
            </c:plus>
            <c:minus>
              <c:numRef>
                <c:f>('Ascorbic acid'!$AG$25,'Ascorbic acid'!$AG$52,'Ascorbic acid'!$AG$79,'Ascorbic acid'!$AG$106)</c:f>
                <c:numCache>
                  <c:formatCode>General</c:formatCode>
                  <c:ptCount val="4"/>
                  <c:pt idx="0">
                    <c:v>2.2466561505657947</c:v>
                  </c:pt>
                  <c:pt idx="1">
                    <c:v>1.9367497204097641</c:v>
                  </c:pt>
                  <c:pt idx="2">
                    <c:v>1.2782365696123601</c:v>
                  </c:pt>
                  <c:pt idx="3">
                    <c:v>1.5530531939434511</c:v>
                  </c:pt>
                </c:numCache>
              </c:numRef>
            </c:minus>
          </c:errBars>
          <c:cat>
            <c:numLit>
              <c:formatCode>General</c:formatCode>
              <c:ptCount val="4"/>
              <c:pt idx="0">
                <c:v>0</c:v>
              </c:pt>
              <c:pt idx="1">
                <c:v>10</c:v>
              </c:pt>
              <c:pt idx="2">
                <c:v>20</c:v>
              </c:pt>
              <c:pt idx="3">
                <c:v>29</c:v>
              </c:pt>
            </c:numLit>
          </c:cat>
          <c:val>
            <c:numRef>
              <c:f>('Ascorbic acid'!$AF$25,'Ascorbic acid'!$AF$52,'Ascorbic acid'!$AF$79,'Ascorbic acid'!$AF$106)</c:f>
              <c:numCache>
                <c:formatCode>0.0000</c:formatCode>
                <c:ptCount val="4"/>
                <c:pt idx="0">
                  <c:v>15.778893835115428</c:v>
                </c:pt>
                <c:pt idx="1">
                  <c:v>35.345697316230975</c:v>
                </c:pt>
                <c:pt idx="2">
                  <c:v>36.891509456111329</c:v>
                </c:pt>
                <c:pt idx="3">
                  <c:v>22.584958445564261</c:v>
                </c:pt>
              </c:numCache>
            </c:numRef>
          </c:val>
        </c:ser>
        <c:overlap val="100"/>
        <c:axId val="124192640"/>
        <c:axId val="125040512"/>
      </c:barChart>
      <c:catAx>
        <c:axId val="124192640"/>
        <c:scaling>
          <c:orientation val="minMax"/>
        </c:scaling>
        <c:axPos val="b"/>
        <c:title>
          <c:tx>
            <c:rich>
              <a:bodyPr/>
              <a:lstStyle/>
              <a:p>
                <a:pPr>
                  <a:defRPr sz="800"/>
                </a:pPr>
                <a:r>
                  <a:rPr lang="en-US" sz="800"/>
                  <a:t>Storage (days)</a:t>
                </a:r>
              </a:p>
            </c:rich>
          </c:tx>
          <c:layout>
            <c:manualLayout>
              <c:xMode val="edge"/>
              <c:yMode val="edge"/>
              <c:x val="0.458212449444377"/>
              <c:y val="0.82068911704519665"/>
            </c:manualLayout>
          </c:layout>
        </c:title>
        <c:numFmt formatCode="General" sourceLinked="1"/>
        <c:majorTickMark val="none"/>
        <c:tickLblPos val="nextTo"/>
        <c:txPr>
          <a:bodyPr/>
          <a:lstStyle/>
          <a:p>
            <a:pPr>
              <a:defRPr sz="800"/>
            </a:pPr>
            <a:endParaRPr lang="en-US"/>
          </a:p>
        </c:txPr>
        <c:crossAx val="125040512"/>
        <c:crosses val="autoZero"/>
        <c:auto val="1"/>
        <c:lblAlgn val="ctr"/>
        <c:lblOffset val="100"/>
      </c:catAx>
      <c:valAx>
        <c:axId val="125040512"/>
        <c:scaling>
          <c:orientation val="minMax"/>
        </c:scaling>
        <c:axPos val="l"/>
        <c:title>
          <c:tx>
            <c:rich>
              <a:bodyPr/>
              <a:lstStyle/>
              <a:p>
                <a:pPr>
                  <a:defRPr sz="800"/>
                </a:pPr>
                <a:r>
                  <a:rPr lang="en-US" sz="800"/>
                  <a:t>A2P /AA</a:t>
                </a:r>
                <a:r>
                  <a:rPr lang="en-US" sz="800" baseline="0"/>
                  <a:t> (%)</a:t>
                </a:r>
                <a:endParaRPr lang="en-US" sz="800"/>
              </a:p>
            </c:rich>
          </c:tx>
        </c:title>
        <c:numFmt formatCode="0" sourceLinked="0"/>
        <c:tickLblPos val="nextTo"/>
        <c:txPr>
          <a:bodyPr/>
          <a:lstStyle/>
          <a:p>
            <a:pPr>
              <a:defRPr sz="800"/>
            </a:pPr>
            <a:endParaRPr lang="en-US"/>
          </a:p>
        </c:txPr>
        <c:crossAx val="124192640"/>
        <c:crosses val="autoZero"/>
        <c:crossBetween val="between"/>
      </c:valAx>
    </c:plotArea>
    <c:legend>
      <c:legendPos val="b"/>
      <c:layout>
        <c:manualLayout>
          <c:xMode val="edge"/>
          <c:yMode val="edge"/>
          <c:x val="0.47829279690804732"/>
          <c:y val="0.90116312727949999"/>
          <c:w val="0.13256679660117801"/>
          <c:h val="9.244357410563038E-2"/>
        </c:manualLayout>
      </c:layout>
      <c:txPr>
        <a:bodyPr/>
        <a:lstStyle/>
        <a:p>
          <a:pPr>
            <a:defRPr sz="700"/>
          </a:pPr>
          <a:endParaRPr lang="en-US"/>
        </a:p>
      </c:txPr>
    </c:legend>
    <c:plotVisOnly val="1"/>
    <c:dispBlanksAs val="gap"/>
  </c:chart>
  <c:spPr>
    <a:ln>
      <a:noFill/>
    </a:ln>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9276911588090743E-2"/>
          <c:y val="6.5365889262285509E-2"/>
          <c:w val="0.89375702188088202"/>
          <c:h val="0.64354942466057163"/>
        </c:manualLayout>
      </c:layout>
      <c:barChart>
        <c:barDir val="col"/>
        <c:grouping val="stacked"/>
        <c:ser>
          <c:idx val="0"/>
          <c:order val="0"/>
          <c:tx>
            <c:v>A2P</c:v>
          </c:tx>
          <c:dLbls>
            <c:numFmt formatCode="#,##0.0" sourceLinked="0"/>
            <c:txPr>
              <a:bodyPr/>
              <a:lstStyle/>
              <a:p>
                <a:pPr>
                  <a:defRPr sz="800"/>
                </a:pPr>
                <a:endParaRPr lang="en-US"/>
              </a:p>
            </c:txPr>
            <c:showVal val="1"/>
          </c:dLbls>
          <c:errBars>
            <c:errBarType val="both"/>
            <c:errValType val="cust"/>
            <c:plus>
              <c:numRef>
                <c:f>('Ascorbic acid'!$AY$25,'Ascorbic acid'!$AY$52,'Ascorbic acid'!$AY$79,'Ascorbic acid'!$AY$106)</c:f>
                <c:numCache>
                  <c:formatCode>General</c:formatCode>
                  <c:ptCount val="4"/>
                  <c:pt idx="0">
                    <c:v>2.2466561505661371</c:v>
                  </c:pt>
                  <c:pt idx="1">
                    <c:v>10.246523562249719</c:v>
                  </c:pt>
                  <c:pt idx="2">
                    <c:v>7.849216384573702</c:v>
                  </c:pt>
                  <c:pt idx="3">
                    <c:v>0</c:v>
                  </c:pt>
                </c:numCache>
              </c:numRef>
            </c:plus>
            <c:minus>
              <c:numRef>
                <c:f>('Ascorbic acid'!$AY$25,'Ascorbic acid'!$AY$52,'Ascorbic acid'!$AY$79,'Ascorbic acid'!$AY$106)</c:f>
                <c:numCache>
                  <c:formatCode>General</c:formatCode>
                  <c:ptCount val="4"/>
                  <c:pt idx="0">
                    <c:v>2.2466561505661371</c:v>
                  </c:pt>
                  <c:pt idx="1">
                    <c:v>10.246523562249719</c:v>
                  </c:pt>
                  <c:pt idx="2">
                    <c:v>7.849216384573702</c:v>
                  </c:pt>
                  <c:pt idx="3">
                    <c:v>0</c:v>
                  </c:pt>
                </c:numCache>
              </c:numRef>
            </c:minus>
          </c:errBars>
          <c:cat>
            <c:numLit>
              <c:formatCode>General</c:formatCode>
              <c:ptCount val="4"/>
              <c:pt idx="0">
                <c:v>0</c:v>
              </c:pt>
              <c:pt idx="1">
                <c:v>10</c:v>
              </c:pt>
              <c:pt idx="2">
                <c:v>20</c:v>
              </c:pt>
              <c:pt idx="3">
                <c:v>29</c:v>
              </c:pt>
            </c:numLit>
          </c:cat>
          <c:val>
            <c:numRef>
              <c:f>('Ascorbic acid'!$AX$25,'Ascorbic acid'!$AX$52,'Ascorbic acid'!$AX$79,'Ascorbic acid'!$AX$106)</c:f>
              <c:numCache>
                <c:formatCode>0.0000</c:formatCode>
                <c:ptCount val="4"/>
                <c:pt idx="0">
                  <c:v>84.221106164884418</c:v>
                </c:pt>
                <c:pt idx="1">
                  <c:v>43.660778080584613</c:v>
                </c:pt>
                <c:pt idx="2">
                  <c:v>11.859730861928446</c:v>
                </c:pt>
                <c:pt idx="3">
                  <c:v>0</c:v>
                </c:pt>
              </c:numCache>
            </c:numRef>
          </c:val>
        </c:ser>
        <c:ser>
          <c:idx val="1"/>
          <c:order val="1"/>
          <c:tx>
            <c:v>AA</c:v>
          </c:tx>
          <c:dLbls>
            <c:numFmt formatCode="#,##0.0" sourceLinked="0"/>
            <c:txPr>
              <a:bodyPr/>
              <a:lstStyle/>
              <a:p>
                <a:pPr>
                  <a:defRPr sz="800"/>
                </a:pPr>
                <a:endParaRPr lang="en-US"/>
              </a:p>
            </c:txPr>
            <c:showVal val="1"/>
          </c:dLbls>
          <c:errBars>
            <c:errBarType val="both"/>
            <c:errValType val="cust"/>
            <c:plus>
              <c:numRef>
                <c:f>('Ascorbic acid'!$BB$25,'Ascorbic acid'!$BB$52,'Ascorbic acid'!$BB$79,'Ascorbic acid'!$BB$106)</c:f>
                <c:numCache>
                  <c:formatCode>General</c:formatCode>
                  <c:ptCount val="4"/>
                  <c:pt idx="0">
                    <c:v>2.2466561505657947</c:v>
                  </c:pt>
                  <c:pt idx="1">
                    <c:v>10.246523562249719</c:v>
                  </c:pt>
                  <c:pt idx="2">
                    <c:v>7.849216384573622</c:v>
                  </c:pt>
                  <c:pt idx="3">
                    <c:v>0</c:v>
                  </c:pt>
                </c:numCache>
              </c:numRef>
            </c:plus>
            <c:minus>
              <c:numRef>
                <c:f>('Ascorbic acid'!$BB$25,'Ascorbic acid'!$BB$52,'Ascorbic acid'!$BB$79,'Ascorbic acid'!$BB$106)</c:f>
                <c:numCache>
                  <c:formatCode>General</c:formatCode>
                  <c:ptCount val="4"/>
                  <c:pt idx="0">
                    <c:v>2.2466561505657947</c:v>
                  </c:pt>
                  <c:pt idx="1">
                    <c:v>10.246523562249719</c:v>
                  </c:pt>
                  <c:pt idx="2">
                    <c:v>7.849216384573622</c:v>
                  </c:pt>
                  <c:pt idx="3">
                    <c:v>0</c:v>
                  </c:pt>
                </c:numCache>
              </c:numRef>
            </c:minus>
          </c:errBars>
          <c:cat>
            <c:numLit>
              <c:formatCode>General</c:formatCode>
              <c:ptCount val="4"/>
              <c:pt idx="0">
                <c:v>0</c:v>
              </c:pt>
              <c:pt idx="1">
                <c:v>10</c:v>
              </c:pt>
              <c:pt idx="2">
                <c:v>20</c:v>
              </c:pt>
              <c:pt idx="3">
                <c:v>29</c:v>
              </c:pt>
            </c:numLit>
          </c:cat>
          <c:val>
            <c:numRef>
              <c:f>('Ascorbic acid'!$BA$25,'Ascorbic acid'!$BA$52,'Ascorbic acid'!$BA$79,'Ascorbic acid'!$BA$106)</c:f>
              <c:numCache>
                <c:formatCode>0.0000</c:formatCode>
                <c:ptCount val="4"/>
                <c:pt idx="0">
                  <c:v>15.778893835115428</c:v>
                </c:pt>
                <c:pt idx="1">
                  <c:v>56.339221919415444</c:v>
                </c:pt>
                <c:pt idx="2">
                  <c:v>88.140269138071716</c:v>
                </c:pt>
                <c:pt idx="3">
                  <c:v>0</c:v>
                </c:pt>
              </c:numCache>
            </c:numRef>
          </c:val>
        </c:ser>
        <c:overlap val="100"/>
        <c:axId val="126507648"/>
        <c:axId val="126604416"/>
      </c:barChart>
      <c:catAx>
        <c:axId val="126507648"/>
        <c:scaling>
          <c:orientation val="minMax"/>
        </c:scaling>
        <c:axPos val="b"/>
        <c:title>
          <c:tx>
            <c:rich>
              <a:bodyPr/>
              <a:lstStyle/>
              <a:p>
                <a:pPr>
                  <a:defRPr sz="800"/>
                </a:pPr>
                <a:r>
                  <a:rPr lang="en-US" sz="800"/>
                  <a:t>Storage (days)</a:t>
                </a:r>
              </a:p>
            </c:rich>
          </c:tx>
          <c:layout>
            <c:manualLayout>
              <c:xMode val="edge"/>
              <c:yMode val="edge"/>
              <c:x val="0.44283805735024995"/>
              <c:y val="0.81889103318740009"/>
            </c:manualLayout>
          </c:layout>
        </c:title>
        <c:numFmt formatCode="General" sourceLinked="1"/>
        <c:majorTickMark val="none"/>
        <c:tickLblPos val="nextTo"/>
        <c:txPr>
          <a:bodyPr/>
          <a:lstStyle/>
          <a:p>
            <a:pPr>
              <a:defRPr sz="800"/>
            </a:pPr>
            <a:endParaRPr lang="en-US"/>
          </a:p>
        </c:txPr>
        <c:crossAx val="126604416"/>
        <c:crosses val="autoZero"/>
        <c:auto val="1"/>
        <c:lblAlgn val="ctr"/>
        <c:lblOffset val="100"/>
      </c:catAx>
      <c:valAx>
        <c:axId val="126604416"/>
        <c:scaling>
          <c:orientation val="minMax"/>
          <c:max val="120"/>
        </c:scaling>
        <c:axPos val="l"/>
        <c:title>
          <c:tx>
            <c:rich>
              <a:bodyPr/>
              <a:lstStyle/>
              <a:p>
                <a:pPr>
                  <a:defRPr sz="800"/>
                </a:pPr>
                <a:r>
                  <a:rPr lang="en-US" sz="800"/>
                  <a:t>A2P /AA</a:t>
                </a:r>
                <a:r>
                  <a:rPr lang="en-US" sz="800" baseline="0"/>
                  <a:t> (%)</a:t>
                </a:r>
                <a:endParaRPr lang="en-US" sz="800"/>
              </a:p>
            </c:rich>
          </c:tx>
        </c:title>
        <c:numFmt formatCode="0" sourceLinked="0"/>
        <c:tickLblPos val="nextTo"/>
        <c:txPr>
          <a:bodyPr/>
          <a:lstStyle/>
          <a:p>
            <a:pPr>
              <a:defRPr sz="800"/>
            </a:pPr>
            <a:endParaRPr lang="en-US"/>
          </a:p>
        </c:txPr>
        <c:crossAx val="126507648"/>
        <c:crosses val="autoZero"/>
        <c:crossBetween val="between"/>
      </c:valAx>
      <c:spPr>
        <a:ln>
          <a:noFill/>
        </a:ln>
      </c:spPr>
    </c:plotArea>
    <c:legend>
      <c:legendPos val="b"/>
      <c:txPr>
        <a:bodyPr/>
        <a:lstStyle/>
        <a:p>
          <a:pPr>
            <a:defRPr sz="700"/>
          </a:pPr>
          <a:endParaRPr lang="en-US"/>
        </a:p>
      </c:txPr>
    </c:legend>
    <c:plotVisOnly val="1"/>
    <c:dispBlanksAs val="gap"/>
  </c:chart>
  <c:spPr>
    <a:ln>
      <a:noFill/>
    </a:ln>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9915711369991188"/>
          <c:y val="8.0851649274924026E-2"/>
          <c:w val="0.690428319372556"/>
          <c:h val="0.6682423557549575"/>
        </c:manualLayout>
      </c:layout>
      <c:scatterChart>
        <c:scatterStyle val="smoothMarker"/>
        <c:ser>
          <c:idx val="0"/>
          <c:order val="0"/>
          <c:tx>
            <c:v>AA</c:v>
          </c:tx>
          <c:spPr>
            <a:ln>
              <a:solidFill>
                <a:srgbClr val="EE1E8B"/>
              </a:solidFill>
            </a:ln>
          </c:spPr>
          <c:marker>
            <c:spPr>
              <a:solidFill>
                <a:srgbClr val="EE1E8B"/>
              </a:solidFill>
              <a:ln>
                <a:solidFill>
                  <a:srgbClr val="EE1E8B"/>
                </a:solidFill>
              </a:ln>
            </c:spPr>
          </c:marker>
          <c:errBars>
            <c:errDir val="y"/>
            <c:errBarType val="both"/>
            <c:errValType val="cust"/>
            <c:plus>
              <c:numRef>
                <c:f>('Ascorbic acid'!$F$24,'Ascorbic acid'!$F$51,'Ascorbic acid'!$F$78,'Ascorbic acid'!$F$105)</c:f>
                <c:numCache>
                  <c:formatCode>General</c:formatCode>
                  <c:ptCount val="4"/>
                  <c:pt idx="0">
                    <c:v>3.5058693741144015E-4</c:v>
                  </c:pt>
                  <c:pt idx="1">
                    <c:v>5.2242454110433111E-4</c:v>
                  </c:pt>
                  <c:pt idx="2">
                    <c:v>1.4777501302766982E-5</c:v>
                  </c:pt>
                  <c:pt idx="3">
                    <c:v>1.2346616856556206E-4</c:v>
                  </c:pt>
                </c:numCache>
              </c:numRef>
            </c:plus>
            <c:minus>
              <c:numRef>
                <c:f>('Ascorbic acid'!$F$24,'Ascorbic acid'!$F$51,'Ascorbic acid'!$F$78,'Ascorbic acid'!$F$105)</c:f>
                <c:numCache>
                  <c:formatCode>General</c:formatCode>
                  <c:ptCount val="4"/>
                  <c:pt idx="0">
                    <c:v>3.5058693741144015E-4</c:v>
                  </c:pt>
                  <c:pt idx="1">
                    <c:v>5.2242454110433111E-4</c:v>
                  </c:pt>
                  <c:pt idx="2">
                    <c:v>1.4777501302766982E-5</c:v>
                  </c:pt>
                  <c:pt idx="3">
                    <c:v>1.2346616856556206E-4</c:v>
                  </c:pt>
                </c:numCache>
              </c:numRef>
            </c:minus>
          </c:errBars>
          <c:xVal>
            <c:numRef>
              <c:f>'Ascorbic acid'!$M$112:$M$115</c:f>
              <c:numCache>
                <c:formatCode>General</c:formatCode>
                <c:ptCount val="4"/>
                <c:pt idx="0">
                  <c:v>0</c:v>
                </c:pt>
                <c:pt idx="1">
                  <c:v>10</c:v>
                </c:pt>
                <c:pt idx="2">
                  <c:v>20</c:v>
                </c:pt>
                <c:pt idx="3">
                  <c:v>29</c:v>
                </c:pt>
              </c:numCache>
            </c:numRef>
          </c:xVal>
          <c:yVal>
            <c:numRef>
              <c:f>('Ascorbic acid'!$E$24,'Ascorbic acid'!$E$51,'Ascorbic acid'!$E$78,'Ascorbic acid'!$E$105)</c:f>
              <c:numCache>
                <c:formatCode>0.0000</c:formatCode>
                <c:ptCount val="4"/>
                <c:pt idx="0">
                  <c:v>2.2998293139377111E-3</c:v>
                </c:pt>
                <c:pt idx="1">
                  <c:v>1.7190040028294599E-3</c:v>
                </c:pt>
                <c:pt idx="2">
                  <c:v>5.3428396653186592E-4</c:v>
                </c:pt>
                <c:pt idx="3">
                  <c:v>1.7822750225803498E-4</c:v>
                </c:pt>
              </c:numCache>
            </c:numRef>
          </c:yVal>
          <c:smooth val="1"/>
        </c:ser>
        <c:ser>
          <c:idx val="2"/>
          <c:order val="1"/>
          <c:tx>
            <c:v>A2P</c:v>
          </c:tx>
          <c:spPr>
            <a:ln>
              <a:solidFill>
                <a:srgbClr val="FFFF00"/>
              </a:solidFill>
            </a:ln>
          </c:spPr>
          <c:marker>
            <c:spPr>
              <a:solidFill>
                <a:srgbClr val="FFFF00"/>
              </a:solidFill>
              <a:ln>
                <a:solidFill>
                  <a:srgbClr val="FFFF00"/>
                </a:solidFill>
              </a:ln>
            </c:spPr>
          </c:marker>
          <c:errBars>
            <c:errDir val="y"/>
            <c:errBarType val="both"/>
            <c:errValType val="cust"/>
            <c:plus>
              <c:numRef>
                <c:f>('Ascorbic acid'!$F$25,'Ascorbic acid'!$F$52,'Ascorbic acid'!$F$79,'Ascorbic acid'!$F$106)</c:f>
                <c:numCache>
                  <c:formatCode>General</c:formatCode>
                  <c:ptCount val="4"/>
                  <c:pt idx="0">
                    <c:v>2.8485667583469761E-4</c:v>
                  </c:pt>
                  <c:pt idx="1">
                    <c:v>1.0932943257657621E-4</c:v>
                  </c:pt>
                  <c:pt idx="2">
                    <c:v>1.1321635974521602E-4</c:v>
                  </c:pt>
                  <c:pt idx="3">
                    <c:v>1.6457907699586182E-4</c:v>
                  </c:pt>
                </c:numCache>
              </c:numRef>
            </c:plus>
            <c:minus>
              <c:numRef>
                <c:f>('Ascorbic acid'!$F$25,'Ascorbic acid'!$F$52,'Ascorbic acid'!$F$79,'Ascorbic acid'!$F$106)</c:f>
                <c:numCache>
                  <c:formatCode>General</c:formatCode>
                  <c:ptCount val="4"/>
                  <c:pt idx="0">
                    <c:v>2.8485667583469761E-4</c:v>
                  </c:pt>
                  <c:pt idx="1">
                    <c:v>1.0932943257657621E-4</c:v>
                  </c:pt>
                  <c:pt idx="2">
                    <c:v>1.1321635974521602E-4</c:v>
                  </c:pt>
                  <c:pt idx="3">
                    <c:v>1.6457907699586182E-4</c:v>
                  </c:pt>
                </c:numCache>
              </c:numRef>
            </c:minus>
            <c:spPr>
              <a:ln w="3175">
                <a:solidFill>
                  <a:srgbClr val="000000"/>
                </a:solidFill>
                <a:prstDash val="solid"/>
              </a:ln>
            </c:spPr>
          </c:errBars>
          <c:xVal>
            <c:numRef>
              <c:f>('Ascorbic acid'!$M$112:$M$115,'Ascorbic acid'!$M$112,'Ascorbic acid'!$M$110,'Ascorbic acid'!$M$112)</c:f>
              <c:numCache>
                <c:formatCode>General</c:formatCode>
                <c:ptCount val="7"/>
                <c:pt idx="0">
                  <c:v>0</c:v>
                </c:pt>
                <c:pt idx="1">
                  <c:v>10</c:v>
                </c:pt>
                <c:pt idx="2">
                  <c:v>20</c:v>
                </c:pt>
                <c:pt idx="3">
                  <c:v>29</c:v>
                </c:pt>
                <c:pt idx="4">
                  <c:v>0</c:v>
                </c:pt>
                <c:pt idx="6">
                  <c:v>0</c:v>
                </c:pt>
              </c:numCache>
            </c:numRef>
          </c:xVal>
          <c:yVal>
            <c:numRef>
              <c:f>('Ascorbic acid'!$E$25,'Ascorbic acid'!$E$52,'Ascorbic acid'!$E$79,'Ascorbic acid'!$E$106)</c:f>
              <c:numCache>
                <c:formatCode>0.0000</c:formatCode>
                <c:ptCount val="4"/>
                <c:pt idx="0">
                  <c:v>2.8618571358864906E-3</c:v>
                </c:pt>
                <c:pt idx="1">
                  <c:v>2.2452014976336852E-3</c:v>
                </c:pt>
                <c:pt idx="2">
                  <c:v>1.7892555070778654E-3</c:v>
                </c:pt>
                <c:pt idx="3">
                  <c:v>1.7070144783577221E-3</c:v>
                </c:pt>
              </c:numCache>
            </c:numRef>
          </c:yVal>
          <c:smooth val="1"/>
        </c:ser>
        <c:axId val="128466304"/>
        <c:axId val="128480768"/>
      </c:scatterChart>
      <c:valAx>
        <c:axId val="128466304"/>
        <c:scaling>
          <c:orientation val="minMax"/>
          <c:max val="30"/>
          <c:min val="0"/>
        </c:scaling>
        <c:axPos val="b"/>
        <c:title>
          <c:tx>
            <c:rich>
              <a:bodyPr/>
              <a:lstStyle/>
              <a:p>
                <a:pPr>
                  <a:defRPr sz="1000" b="1" i="0" u="none" strike="noStrike" baseline="0">
                    <a:solidFill>
                      <a:srgbClr val="000000"/>
                    </a:solidFill>
                    <a:latin typeface="Calibri"/>
                    <a:ea typeface="Calibri"/>
                    <a:cs typeface="Calibri"/>
                  </a:defRPr>
                </a:pPr>
                <a:r>
                  <a:rPr lang="en-US"/>
                  <a:t>Storage (days)</a:t>
                </a:r>
              </a:p>
            </c:rich>
          </c:tx>
          <c:layout>
            <c:manualLayout>
              <c:xMode val="edge"/>
              <c:yMode val="edge"/>
              <c:x val="0.41826556278890131"/>
              <c:y val="0.82602411038856272"/>
            </c:manualLayout>
          </c:layout>
          <c:spPr>
            <a:noFill/>
            <a:ln w="25400">
              <a:noFill/>
            </a:ln>
          </c:spPr>
        </c:title>
        <c:numFmt formatCode="General" sourceLinked="1"/>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8480768"/>
        <c:crosses val="autoZero"/>
        <c:crossBetween val="midCat"/>
        <c:majorUnit val="10"/>
      </c:valAx>
      <c:valAx>
        <c:axId val="128480768"/>
        <c:scaling>
          <c:orientation val="minMax"/>
          <c:max val="4.0000000000000114E-3"/>
          <c:min val="0"/>
        </c:scaling>
        <c:axPos val="l"/>
        <c:title>
          <c:tx>
            <c:rich>
              <a:bodyPr/>
              <a:lstStyle/>
              <a:p>
                <a:pPr>
                  <a:defRPr sz="800" b="1" i="0" u="none" strike="noStrike" baseline="0">
                    <a:solidFill>
                      <a:srgbClr val="000000"/>
                    </a:solidFill>
                    <a:latin typeface="Calibri"/>
                    <a:ea typeface="Calibri"/>
                    <a:cs typeface="Calibri"/>
                  </a:defRPr>
                </a:pPr>
                <a:r>
                  <a:rPr lang="en-US" sz="800"/>
                  <a:t>Ascorbic acid (Molar)</a:t>
                </a:r>
              </a:p>
            </c:rich>
          </c:tx>
          <c:layout>
            <c:manualLayout>
              <c:xMode val="edge"/>
              <c:yMode val="edge"/>
              <c:x val="2.4409746869500096E-2"/>
              <c:y val="0.18924213877643753"/>
            </c:manualLayout>
          </c:layout>
          <c:spPr>
            <a:noFill/>
            <a:ln w="25400">
              <a:noFill/>
            </a:ln>
          </c:spPr>
        </c:title>
        <c:numFmt formatCode="0.0E+00" sourceLinked="0"/>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8466304"/>
        <c:crosses val="autoZero"/>
        <c:crossBetween val="midCat"/>
      </c:valAx>
    </c:plotArea>
    <c:legend>
      <c:legendPos val="b"/>
      <c:txPr>
        <a:bodyPr/>
        <a:lstStyle/>
        <a:p>
          <a:pPr>
            <a:defRPr sz="700" b="0" i="0" u="none" strike="noStrike" baseline="0">
              <a:solidFill>
                <a:srgbClr val="000000"/>
              </a:solidFill>
              <a:latin typeface="Calibri"/>
              <a:ea typeface="Calibri"/>
              <a:cs typeface="Calibri"/>
            </a:defRPr>
          </a:pPr>
          <a:endParaRPr lang="en-US"/>
        </a:p>
      </c:txPr>
    </c:legend>
    <c:plotVisOnly val="1"/>
    <c:dispBlanksAs val="gap"/>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1013967919722373"/>
          <c:y val="5.4869309773330724E-2"/>
          <c:w val="0.73284160041490465"/>
          <c:h val="0.64911262797306701"/>
        </c:manualLayout>
      </c:layout>
      <c:scatterChart>
        <c:scatterStyle val="lineMarker"/>
        <c:ser>
          <c:idx val="0"/>
          <c:order val="0"/>
          <c:tx>
            <c:v>Control</c:v>
          </c:tx>
          <c:errBars>
            <c:errDir val="y"/>
            <c:errBarType val="both"/>
            <c:errValType val="cust"/>
            <c:plus>
              <c:numRef>
                <c:f>(Oxygen2!$K$27,Oxygen2!$K$58,Oxygen2!$K$87,Oxygen2!$K$110)</c:f>
                <c:numCache>
                  <c:formatCode>General</c:formatCode>
                  <c:ptCount val="4"/>
                  <c:pt idx="0">
                    <c:v>8.4852813742386748E-2</c:v>
                  </c:pt>
                  <c:pt idx="1">
                    <c:v>2.0000000000000011E-2</c:v>
                  </c:pt>
                  <c:pt idx="2">
                    <c:v>1.0606601717798221</c:v>
                  </c:pt>
                  <c:pt idx="3">
                    <c:v>0</c:v>
                  </c:pt>
                </c:numCache>
              </c:numRef>
            </c:plus>
            <c:minus>
              <c:numRef>
                <c:f>(Oxygen2!$K$27,Oxygen2!$K$58,Oxygen2!$K$87,Oxygen2!$K$110)</c:f>
                <c:numCache>
                  <c:formatCode>General</c:formatCode>
                  <c:ptCount val="4"/>
                  <c:pt idx="0">
                    <c:v>8.4852813742386748E-2</c:v>
                  </c:pt>
                  <c:pt idx="1">
                    <c:v>2.0000000000000011E-2</c:v>
                  </c:pt>
                  <c:pt idx="2">
                    <c:v>1.0606601717798221</c:v>
                  </c:pt>
                  <c:pt idx="3">
                    <c:v>0</c:v>
                  </c:pt>
                </c:numCache>
              </c:numRef>
            </c:minus>
          </c:errBars>
          <c:xVal>
            <c:numRef>
              <c:f>Oxygen2!$H$119:$H$122</c:f>
              <c:numCache>
                <c:formatCode>General</c:formatCode>
                <c:ptCount val="4"/>
                <c:pt idx="0">
                  <c:v>0</c:v>
                </c:pt>
                <c:pt idx="1">
                  <c:v>10</c:v>
                </c:pt>
                <c:pt idx="2">
                  <c:v>20</c:v>
                </c:pt>
                <c:pt idx="3">
                  <c:v>29</c:v>
                </c:pt>
              </c:numCache>
            </c:numRef>
          </c:xVal>
          <c:yVal>
            <c:numRef>
              <c:f>(Oxygen2!$J$27,Oxygen2!$J$58,Oxygen2!$J$87,Oxygen2!$J$110)</c:f>
              <c:numCache>
                <c:formatCode>0.00</c:formatCode>
                <c:ptCount val="4"/>
                <c:pt idx="0">
                  <c:v>8.25</c:v>
                </c:pt>
                <c:pt idx="1">
                  <c:v>1.57</c:v>
                </c:pt>
                <c:pt idx="2">
                  <c:v>2.25</c:v>
                </c:pt>
                <c:pt idx="3">
                  <c:v>0.11</c:v>
                </c:pt>
              </c:numCache>
            </c:numRef>
          </c:yVal>
        </c:ser>
        <c:ser>
          <c:idx val="1"/>
          <c:order val="1"/>
          <c:tx>
            <c:v>AA</c:v>
          </c:tx>
          <c:spPr>
            <a:ln>
              <a:solidFill>
                <a:srgbClr val="EE1E8B"/>
              </a:solidFill>
            </a:ln>
          </c:spPr>
          <c:marker>
            <c:spPr>
              <a:solidFill>
                <a:srgbClr val="EE1E8B"/>
              </a:solidFill>
              <a:ln>
                <a:solidFill>
                  <a:srgbClr val="EE1E8B"/>
                </a:solidFill>
              </a:ln>
            </c:spPr>
          </c:marker>
          <c:errBars>
            <c:errDir val="y"/>
            <c:errBarType val="both"/>
            <c:errValType val="cust"/>
            <c:plus>
              <c:numRef>
                <c:f>(Oxygen2!$K$28,Oxygen2!$K$59,Oxygen2!$K$88,Oxygen2!$K$111)</c:f>
                <c:numCache>
                  <c:formatCode>General</c:formatCode>
                  <c:ptCount val="4"/>
                  <c:pt idx="0">
                    <c:v>1.9222469491023699</c:v>
                  </c:pt>
                  <c:pt idx="1">
                    <c:v>9.0184995056458245E-2</c:v>
                  </c:pt>
                  <c:pt idx="2">
                    <c:v>0.66468037431535565</c:v>
                  </c:pt>
                  <c:pt idx="3">
                    <c:v>6.3639610306789315E-2</c:v>
                  </c:pt>
                </c:numCache>
              </c:numRef>
            </c:plus>
            <c:minus>
              <c:numRef>
                <c:f>(Oxygen2!$K$28,Oxygen2!$K$59,Oxygen2!$K$88,Oxygen2!$K$111)</c:f>
                <c:numCache>
                  <c:formatCode>General</c:formatCode>
                  <c:ptCount val="4"/>
                  <c:pt idx="0">
                    <c:v>1.9222469491023699</c:v>
                  </c:pt>
                  <c:pt idx="1">
                    <c:v>9.0184995056458245E-2</c:v>
                  </c:pt>
                  <c:pt idx="2">
                    <c:v>0.66468037431535565</c:v>
                  </c:pt>
                  <c:pt idx="3">
                    <c:v>6.3639610306789315E-2</c:v>
                  </c:pt>
                </c:numCache>
              </c:numRef>
            </c:minus>
          </c:errBars>
          <c:xVal>
            <c:numRef>
              <c:f>Oxygen2!$H$119:$H$122</c:f>
              <c:numCache>
                <c:formatCode>General</c:formatCode>
                <c:ptCount val="4"/>
                <c:pt idx="0">
                  <c:v>0</c:v>
                </c:pt>
                <c:pt idx="1">
                  <c:v>10</c:v>
                </c:pt>
                <c:pt idx="2">
                  <c:v>20</c:v>
                </c:pt>
                <c:pt idx="3">
                  <c:v>29</c:v>
                </c:pt>
              </c:numCache>
            </c:numRef>
          </c:xVal>
          <c:yVal>
            <c:numRef>
              <c:f>(Oxygen2!$J$28,Oxygen2!$J$59,Oxygen2!$J$88,Oxygen2!$J$111)</c:f>
              <c:numCache>
                <c:formatCode>0.00</c:formatCode>
                <c:ptCount val="4"/>
                <c:pt idx="0">
                  <c:v>1.4233333333333318</c:v>
                </c:pt>
                <c:pt idx="1">
                  <c:v>0.18666666666666701</c:v>
                </c:pt>
                <c:pt idx="2">
                  <c:v>1.3800000000000001</c:v>
                </c:pt>
                <c:pt idx="3">
                  <c:v>0.125</c:v>
                </c:pt>
              </c:numCache>
            </c:numRef>
          </c:yVal>
        </c:ser>
        <c:ser>
          <c:idx val="2"/>
          <c:order val="2"/>
          <c:tx>
            <c:v>A2P</c:v>
          </c:tx>
          <c:spPr>
            <a:ln>
              <a:solidFill>
                <a:srgbClr val="FFFF00"/>
              </a:solidFill>
            </a:ln>
          </c:spPr>
          <c:marker>
            <c:spPr>
              <a:solidFill>
                <a:srgbClr val="FFFF00"/>
              </a:solidFill>
              <a:ln>
                <a:solidFill>
                  <a:srgbClr val="FFFF00"/>
                </a:solidFill>
              </a:ln>
            </c:spPr>
          </c:marker>
          <c:errBars>
            <c:errDir val="y"/>
            <c:errBarType val="both"/>
            <c:errValType val="cust"/>
            <c:plus>
              <c:numRef>
                <c:f>(Oxygen2!$K$29,Oxygen2!$K$60,Oxygen2!$K$89,Oxygen2!$K$112)</c:f>
                <c:numCache>
                  <c:formatCode>General</c:formatCode>
                  <c:ptCount val="4"/>
                  <c:pt idx="0">
                    <c:v>1.0103629710818585</c:v>
                  </c:pt>
                  <c:pt idx="1">
                    <c:v>2.0000000000000011E-2</c:v>
                  </c:pt>
                  <c:pt idx="2">
                    <c:v>0.43133513652379379</c:v>
                  </c:pt>
                  <c:pt idx="3">
                    <c:v>5.7735026918963143E-3</c:v>
                  </c:pt>
                </c:numCache>
              </c:numRef>
            </c:plus>
            <c:minus>
              <c:numRef>
                <c:f>(Oxygen2!$K$29,Oxygen2!$K$60,Oxygen2!$K$89,Oxygen2!$K$112)</c:f>
                <c:numCache>
                  <c:formatCode>General</c:formatCode>
                  <c:ptCount val="4"/>
                  <c:pt idx="0">
                    <c:v>1.0103629710818585</c:v>
                  </c:pt>
                  <c:pt idx="1">
                    <c:v>2.0000000000000011E-2</c:v>
                  </c:pt>
                  <c:pt idx="2">
                    <c:v>0.43133513652379379</c:v>
                  </c:pt>
                  <c:pt idx="3">
                    <c:v>5.7735026918963143E-3</c:v>
                  </c:pt>
                </c:numCache>
              </c:numRef>
            </c:minus>
            <c:spPr>
              <a:ln w="3175">
                <a:solidFill>
                  <a:srgbClr val="000000"/>
                </a:solidFill>
                <a:prstDash val="solid"/>
              </a:ln>
            </c:spPr>
          </c:errBars>
          <c:xVal>
            <c:numRef>
              <c:f>Oxygen2!$H$119:$H$122</c:f>
              <c:numCache>
                <c:formatCode>General</c:formatCode>
                <c:ptCount val="4"/>
                <c:pt idx="0">
                  <c:v>0</c:v>
                </c:pt>
                <c:pt idx="1">
                  <c:v>10</c:v>
                </c:pt>
                <c:pt idx="2">
                  <c:v>20</c:v>
                </c:pt>
                <c:pt idx="3">
                  <c:v>29</c:v>
                </c:pt>
              </c:numCache>
            </c:numRef>
          </c:xVal>
          <c:yVal>
            <c:numRef>
              <c:f>(Oxygen2!$J$29,Oxygen2!$J$60,Oxygen2!$J$89,Oxygen2!$J$112)</c:f>
              <c:numCache>
                <c:formatCode>0.00</c:formatCode>
                <c:ptCount val="4"/>
                <c:pt idx="0">
                  <c:v>0.58333333333333259</c:v>
                </c:pt>
                <c:pt idx="1">
                  <c:v>8.0000000000000043E-2</c:v>
                </c:pt>
                <c:pt idx="2">
                  <c:v>1.105</c:v>
                </c:pt>
                <c:pt idx="3">
                  <c:v>7.6666666666666716E-2</c:v>
                </c:pt>
              </c:numCache>
            </c:numRef>
          </c:yVal>
        </c:ser>
        <c:axId val="71729152"/>
        <c:axId val="71754112"/>
      </c:scatterChart>
      <c:valAx>
        <c:axId val="71729152"/>
        <c:scaling>
          <c:orientation val="minMax"/>
          <c:max val="30"/>
        </c:scaling>
        <c:axPos val="b"/>
        <c:title>
          <c:tx>
            <c:rich>
              <a:bodyPr/>
              <a:lstStyle/>
              <a:p>
                <a:pPr>
                  <a:defRPr sz="1000" b="1" i="0" u="none" strike="noStrike" baseline="0">
                    <a:solidFill>
                      <a:srgbClr val="000000"/>
                    </a:solidFill>
                    <a:latin typeface="Calibri"/>
                    <a:ea typeface="Calibri"/>
                    <a:cs typeface="Calibri"/>
                  </a:defRPr>
                </a:pPr>
                <a:r>
                  <a:rPr lang="en-US"/>
                  <a:t>Storage (days)</a:t>
                </a:r>
              </a:p>
            </c:rich>
          </c:tx>
          <c:layout>
            <c:manualLayout>
              <c:xMode val="edge"/>
              <c:yMode val="edge"/>
              <c:x val="0.405218634347422"/>
              <c:y val="0.92046423868636496"/>
            </c:manualLayout>
          </c:layout>
          <c:spPr>
            <a:noFill/>
            <a:ln w="25400">
              <a:noFill/>
            </a:ln>
          </c:spPr>
        </c:title>
        <c:numFmt formatCode="General" sourceLinked="1"/>
        <c:tickLblPos val="nextTo"/>
        <c:txPr>
          <a:bodyPr rot="0" vert="horz"/>
          <a:lstStyle/>
          <a:p>
            <a:pPr>
              <a:defRPr sz="800" b="0" i="0" u="none" strike="noStrike" baseline="0">
                <a:solidFill>
                  <a:srgbClr val="000000"/>
                </a:solidFill>
                <a:latin typeface="Calibri"/>
                <a:ea typeface="Calibri"/>
                <a:cs typeface="Calibri"/>
              </a:defRPr>
            </a:pPr>
            <a:endParaRPr lang="en-US"/>
          </a:p>
        </c:txPr>
        <c:crossAx val="71754112"/>
        <c:crosses val="autoZero"/>
        <c:crossBetween val="midCat"/>
        <c:majorUnit val="10"/>
      </c:valAx>
      <c:valAx>
        <c:axId val="71754112"/>
        <c:scaling>
          <c:orientation val="minMax"/>
          <c:max val="14"/>
          <c:min val="0"/>
        </c:scaling>
        <c:axPos val="l"/>
        <c:title>
          <c:tx>
            <c:rich>
              <a:bodyPr/>
              <a:lstStyle/>
              <a:p>
                <a:pPr>
                  <a:defRPr sz="1000" b="1" i="0" u="none" strike="noStrike" baseline="0">
                    <a:solidFill>
                      <a:srgbClr val="000000"/>
                    </a:solidFill>
                    <a:latin typeface="Calibri"/>
                    <a:ea typeface="Calibri"/>
                    <a:cs typeface="Calibri"/>
                  </a:defRPr>
                </a:pPr>
                <a:r>
                  <a:rPr lang="en-US" b="1"/>
                  <a:t>Oxygen (%)</a:t>
                </a:r>
              </a:p>
            </c:rich>
          </c:tx>
          <c:spPr>
            <a:noFill/>
            <a:ln w="25400">
              <a:noFill/>
            </a:ln>
          </c:spPr>
        </c:title>
        <c:numFmt formatCode="0" sourceLinked="0"/>
        <c:tickLblPos val="nextTo"/>
        <c:txPr>
          <a:bodyPr rot="0" vert="horz"/>
          <a:lstStyle/>
          <a:p>
            <a:pPr>
              <a:defRPr sz="800" b="0" i="0" u="none" strike="noStrike" baseline="0">
                <a:solidFill>
                  <a:srgbClr val="000000"/>
                </a:solidFill>
                <a:latin typeface="Calibri"/>
                <a:ea typeface="Calibri"/>
                <a:cs typeface="Calibri"/>
              </a:defRPr>
            </a:pPr>
            <a:endParaRPr lang="en-US"/>
          </a:p>
        </c:txPr>
        <c:crossAx val="71729152"/>
        <c:crosses val="autoZero"/>
        <c:crossBetween val="midCat"/>
      </c:valAx>
      <c:spPr>
        <a:noFill/>
        <a:ln w="25400">
          <a:noFill/>
        </a:ln>
      </c:spPr>
    </c:plotArea>
    <c:legend>
      <c:legendPos val="b"/>
      <c:layout>
        <c:manualLayout>
          <c:xMode val="edge"/>
          <c:yMode val="edge"/>
          <c:x val="0.29452616707630735"/>
          <c:y val="0.81330807046053899"/>
          <c:w val="0.50963198749092498"/>
          <c:h val="7.9247958588509707E-2"/>
        </c:manualLayout>
      </c:layout>
      <c:txPr>
        <a:bodyPr/>
        <a:lstStyle/>
        <a:p>
          <a:pPr>
            <a:defRPr sz="845" b="0" i="0" u="none" strike="noStrike" baseline="0">
              <a:solidFill>
                <a:srgbClr val="000000"/>
              </a:solidFill>
              <a:latin typeface="Calibri"/>
              <a:ea typeface="Calibri"/>
              <a:cs typeface="Calibri"/>
            </a:defRPr>
          </a:pPr>
          <a:endParaRPr lang="en-US"/>
        </a:p>
      </c:txPr>
    </c:legend>
    <c:plotVisOnly val="1"/>
    <c:dispBlanksAs val="gap"/>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9915711369991188"/>
          <c:y val="0.10308143312440785"/>
          <c:w val="0.70853795828246258"/>
          <c:h val="0.6610076988568"/>
        </c:manualLayout>
      </c:layout>
      <c:scatterChart>
        <c:scatterStyle val="smoothMarker"/>
        <c:ser>
          <c:idx val="0"/>
          <c:order val="0"/>
          <c:tx>
            <c:v>AA</c:v>
          </c:tx>
          <c:spPr>
            <a:ln>
              <a:solidFill>
                <a:srgbClr val="EE1E8B"/>
              </a:solidFill>
            </a:ln>
          </c:spPr>
          <c:marker>
            <c:spPr>
              <a:solidFill>
                <a:srgbClr val="EE1E8B"/>
              </a:solidFill>
              <a:ln>
                <a:solidFill>
                  <a:srgbClr val="EE1E8B"/>
                </a:solidFill>
              </a:ln>
            </c:spPr>
          </c:marker>
          <c:errBars>
            <c:errDir val="y"/>
            <c:errBarType val="both"/>
            <c:errValType val="cust"/>
            <c:plus>
              <c:numRef>
                <c:f>('Ascorbic acid'!$S$24,'Ascorbic acid'!$S$51,'Ascorbic acid'!$S$78,'Ascorbic acid'!$S$105)</c:f>
                <c:numCache>
                  <c:formatCode>General</c:formatCode>
                  <c:ptCount val="4"/>
                  <c:pt idx="0">
                    <c:v>3.5058693741144015E-4</c:v>
                  </c:pt>
                  <c:pt idx="1">
                    <c:v>2.0700397106023587E-4</c:v>
                  </c:pt>
                  <c:pt idx="2">
                    <c:v>2.9239558917091299E-5</c:v>
                  </c:pt>
                  <c:pt idx="3">
                    <c:v>1.3778417325010521E-4</c:v>
                  </c:pt>
                </c:numCache>
              </c:numRef>
            </c:plus>
            <c:minus>
              <c:numRef>
                <c:f>('Ascorbic acid'!$S$24,'Ascorbic acid'!$S$51,'Ascorbic acid'!$S$78,'Ascorbic acid'!$S$105)</c:f>
                <c:numCache>
                  <c:formatCode>General</c:formatCode>
                  <c:ptCount val="4"/>
                  <c:pt idx="0">
                    <c:v>3.5058693741144015E-4</c:v>
                  </c:pt>
                  <c:pt idx="1">
                    <c:v>2.0700397106023587E-4</c:v>
                  </c:pt>
                  <c:pt idx="2">
                    <c:v>2.9239558917091299E-5</c:v>
                  </c:pt>
                  <c:pt idx="3">
                    <c:v>1.3778417325010521E-4</c:v>
                  </c:pt>
                </c:numCache>
              </c:numRef>
            </c:minus>
          </c:errBars>
          <c:xVal>
            <c:numRef>
              <c:f>'Ascorbic acid'!$M$112:$M$115</c:f>
              <c:numCache>
                <c:formatCode>General</c:formatCode>
                <c:ptCount val="4"/>
                <c:pt idx="0">
                  <c:v>0</c:v>
                </c:pt>
                <c:pt idx="1">
                  <c:v>10</c:v>
                </c:pt>
                <c:pt idx="2">
                  <c:v>20</c:v>
                </c:pt>
                <c:pt idx="3">
                  <c:v>29</c:v>
                </c:pt>
              </c:numCache>
            </c:numRef>
          </c:xVal>
          <c:yVal>
            <c:numRef>
              <c:f>('Ascorbic acid'!$R$24,'Ascorbic acid'!$R$51,'Ascorbic acid'!$R$78,'Ascorbic acid'!$R$105)</c:f>
              <c:numCache>
                <c:formatCode>0.0000</c:formatCode>
                <c:ptCount val="4"/>
                <c:pt idx="0">
                  <c:v>2.2998293139377111E-3</c:v>
                </c:pt>
                <c:pt idx="1">
                  <c:v>8.5307914133756543E-4</c:v>
                </c:pt>
                <c:pt idx="2">
                  <c:v>1.620875550338408E-4</c:v>
                </c:pt>
                <c:pt idx="3">
                  <c:v>1.7138565262264481E-4</c:v>
                </c:pt>
              </c:numCache>
            </c:numRef>
          </c:yVal>
          <c:smooth val="1"/>
        </c:ser>
        <c:ser>
          <c:idx val="2"/>
          <c:order val="1"/>
          <c:tx>
            <c:v>A2P</c:v>
          </c:tx>
          <c:spPr>
            <a:ln>
              <a:solidFill>
                <a:srgbClr val="FFFF00"/>
              </a:solidFill>
            </a:ln>
          </c:spPr>
          <c:marker>
            <c:spPr>
              <a:solidFill>
                <a:srgbClr val="FFFF00"/>
              </a:solidFill>
              <a:ln>
                <a:solidFill>
                  <a:srgbClr val="FFFF00"/>
                </a:solidFill>
              </a:ln>
            </c:spPr>
          </c:marker>
          <c:errBars>
            <c:errDir val="y"/>
            <c:errBarType val="both"/>
            <c:errValType val="cust"/>
            <c:plus>
              <c:numRef>
                <c:f>('Ascorbic acid'!$S$25,'Ascorbic acid'!$S$52,'Ascorbic acid'!$S$79,'Ascorbic acid'!$S$106)</c:f>
                <c:numCache>
                  <c:formatCode>General</c:formatCode>
                  <c:ptCount val="4"/>
                  <c:pt idx="0">
                    <c:v>2.8485667583469761E-4</c:v>
                  </c:pt>
                  <c:pt idx="1">
                    <c:v>1.2655140533555301E-5</c:v>
                  </c:pt>
                  <c:pt idx="2">
                    <c:v>1.7488663305310052E-4</c:v>
                  </c:pt>
                  <c:pt idx="3">
                    <c:v>1.4542124396193208E-5</c:v>
                  </c:pt>
                </c:numCache>
              </c:numRef>
            </c:plus>
            <c:minus>
              <c:numRef>
                <c:f>('Ascorbic acid'!$S$25,'Ascorbic acid'!$S$52,'Ascorbic acid'!$S$79,'Ascorbic acid'!$S$106)</c:f>
                <c:numCache>
                  <c:formatCode>General</c:formatCode>
                  <c:ptCount val="4"/>
                  <c:pt idx="0">
                    <c:v>2.8485667583469761E-4</c:v>
                  </c:pt>
                  <c:pt idx="1">
                    <c:v>1.2655140533555301E-5</c:v>
                  </c:pt>
                  <c:pt idx="2">
                    <c:v>1.7488663305310052E-4</c:v>
                  </c:pt>
                  <c:pt idx="3">
                    <c:v>1.4542124396193208E-5</c:v>
                  </c:pt>
                </c:numCache>
              </c:numRef>
            </c:minus>
            <c:spPr>
              <a:ln w="3175">
                <a:solidFill>
                  <a:srgbClr val="000000"/>
                </a:solidFill>
                <a:prstDash val="solid"/>
              </a:ln>
            </c:spPr>
          </c:errBars>
          <c:xVal>
            <c:numRef>
              <c:f>('Ascorbic acid'!$M$112:$M$115,'Ascorbic acid'!$M$112,'Ascorbic acid'!$M$110,'Ascorbic acid'!$M$112)</c:f>
              <c:numCache>
                <c:formatCode>General</c:formatCode>
                <c:ptCount val="7"/>
                <c:pt idx="0">
                  <c:v>0</c:v>
                </c:pt>
                <c:pt idx="1">
                  <c:v>10</c:v>
                </c:pt>
                <c:pt idx="2">
                  <c:v>20</c:v>
                </c:pt>
                <c:pt idx="3">
                  <c:v>29</c:v>
                </c:pt>
                <c:pt idx="4">
                  <c:v>0</c:v>
                </c:pt>
                <c:pt idx="6">
                  <c:v>0</c:v>
                </c:pt>
              </c:numCache>
            </c:numRef>
          </c:xVal>
          <c:yVal>
            <c:numRef>
              <c:f>('Ascorbic acid'!$R$25,'Ascorbic acid'!$R$52,'Ascorbic acid'!$R$79,'Ascorbic acid'!$R$106)</c:f>
              <c:numCache>
                <c:formatCode>0.0000</c:formatCode>
                <c:ptCount val="4"/>
                <c:pt idx="0">
                  <c:v>2.8618571358864906E-3</c:v>
                </c:pt>
                <c:pt idx="1">
                  <c:v>1.8126697324854506E-3</c:v>
                </c:pt>
                <c:pt idx="2">
                  <c:v>8.1189011846936909E-4</c:v>
                </c:pt>
                <c:pt idx="3">
                  <c:v>3.6999024489162662E-4</c:v>
                </c:pt>
              </c:numCache>
            </c:numRef>
          </c:yVal>
          <c:smooth val="1"/>
        </c:ser>
        <c:axId val="129006976"/>
        <c:axId val="129030016"/>
      </c:scatterChart>
      <c:valAx>
        <c:axId val="129006976"/>
        <c:scaling>
          <c:orientation val="minMax"/>
          <c:max val="30"/>
          <c:min val="0"/>
        </c:scaling>
        <c:axPos val="b"/>
        <c:title>
          <c:tx>
            <c:rich>
              <a:bodyPr/>
              <a:lstStyle/>
              <a:p>
                <a:pPr>
                  <a:defRPr sz="800" b="1" i="0" u="none" strike="noStrike" baseline="0">
                    <a:solidFill>
                      <a:srgbClr val="000000"/>
                    </a:solidFill>
                    <a:latin typeface="Calibri"/>
                    <a:ea typeface="Calibri"/>
                    <a:cs typeface="Calibri"/>
                  </a:defRPr>
                </a:pPr>
                <a:r>
                  <a:rPr lang="en-US" sz="800"/>
                  <a:t>Storage (days)</a:t>
                </a:r>
              </a:p>
            </c:rich>
          </c:tx>
          <c:layout>
            <c:manualLayout>
              <c:xMode val="edge"/>
              <c:yMode val="edge"/>
              <c:x val="0.45602046842027638"/>
              <c:y val="0.84051469964401704"/>
            </c:manualLayout>
          </c:layout>
          <c:spPr>
            <a:noFill/>
            <a:ln w="25400">
              <a:noFill/>
            </a:ln>
          </c:spPr>
        </c:title>
        <c:numFmt formatCode="General" sourceLinked="1"/>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9030016"/>
        <c:crosses val="autoZero"/>
        <c:crossBetween val="midCat"/>
        <c:majorUnit val="10"/>
      </c:valAx>
      <c:valAx>
        <c:axId val="129030016"/>
        <c:scaling>
          <c:orientation val="minMax"/>
        </c:scaling>
        <c:axPos val="l"/>
        <c:title>
          <c:tx>
            <c:rich>
              <a:bodyPr/>
              <a:lstStyle/>
              <a:p>
                <a:pPr>
                  <a:defRPr sz="800" b="1" i="0" u="none" strike="noStrike" baseline="0">
                    <a:solidFill>
                      <a:srgbClr val="000000"/>
                    </a:solidFill>
                    <a:latin typeface="Calibri"/>
                    <a:ea typeface="Calibri"/>
                    <a:cs typeface="Calibri"/>
                  </a:defRPr>
                </a:pPr>
                <a:r>
                  <a:rPr lang="en-US" sz="800"/>
                  <a:t>Ascorbic acid (Molar)</a:t>
                </a:r>
              </a:p>
            </c:rich>
          </c:tx>
          <c:layout>
            <c:manualLayout>
              <c:xMode val="edge"/>
              <c:yMode val="edge"/>
              <c:x val="1.9627690985037364E-2"/>
              <c:y val="0.230085591621319"/>
            </c:manualLayout>
          </c:layout>
          <c:spPr>
            <a:noFill/>
            <a:ln w="25400">
              <a:noFill/>
            </a:ln>
          </c:spPr>
        </c:title>
        <c:numFmt formatCode="0.0E+00" sourceLinked="0"/>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9006976"/>
        <c:crosses val="autoZero"/>
        <c:crossBetween val="midCat"/>
      </c:valAx>
    </c:plotArea>
    <c:legend>
      <c:legendPos val="b"/>
      <c:layout>
        <c:manualLayout>
          <c:xMode val="edge"/>
          <c:yMode val="edge"/>
          <c:x val="0.35350049523315136"/>
          <c:y val="0.91692052862497264"/>
          <c:w val="0.29477822836124512"/>
          <c:h val="8.1547418157274412E-2"/>
        </c:manualLayout>
      </c:layout>
      <c:txPr>
        <a:bodyPr/>
        <a:lstStyle/>
        <a:p>
          <a:pPr>
            <a:defRPr sz="700" b="0" i="0" u="none" strike="noStrike" baseline="0">
              <a:solidFill>
                <a:srgbClr val="000000"/>
              </a:solidFill>
              <a:latin typeface="Calibri"/>
              <a:ea typeface="Calibri"/>
              <a:cs typeface="Calibri"/>
            </a:defRPr>
          </a:pPr>
          <a:endParaRPr lang="en-US"/>
        </a:p>
      </c:txPr>
    </c:legend>
    <c:plotVisOnly val="1"/>
    <c:dispBlanksAs val="gap"/>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9915711369991188"/>
          <c:y val="8.5297606044820826E-2"/>
          <c:w val="0.71894253184185097"/>
          <c:h val="0.74112548739966011"/>
        </c:manualLayout>
      </c:layout>
      <c:scatterChart>
        <c:scatterStyle val="lineMarker"/>
        <c:ser>
          <c:idx val="0"/>
          <c:order val="0"/>
          <c:tx>
            <c:v>AA</c:v>
          </c:tx>
          <c:spPr>
            <a:ln>
              <a:solidFill>
                <a:srgbClr val="EE1E8B"/>
              </a:solidFill>
            </a:ln>
          </c:spPr>
          <c:marker>
            <c:spPr>
              <a:solidFill>
                <a:srgbClr val="EE1E8B"/>
              </a:solidFill>
              <a:ln>
                <a:solidFill>
                  <a:srgbClr val="EE1E8B"/>
                </a:solidFill>
              </a:ln>
            </c:spPr>
          </c:marker>
          <c:errBars>
            <c:errDir val="y"/>
            <c:errBarType val="both"/>
            <c:errValType val="cust"/>
            <c:plus>
              <c:numRef>
                <c:f>('Ascorbic acid'!$AF$24,'Ascorbic acid'!$AF$51,'Ascorbic acid'!$AF$78,'Ascorbic acid'!$AF$105)</c:f>
                <c:numCache>
                  <c:formatCode>General</c:formatCode>
                  <c:ptCount val="4"/>
                  <c:pt idx="0">
                    <c:v>3.5058693741144015E-4</c:v>
                  </c:pt>
                  <c:pt idx="1">
                    <c:v>1.2430904964638305E-4</c:v>
                  </c:pt>
                  <c:pt idx="2">
                    <c:v>4.0558275374898998E-5</c:v>
                  </c:pt>
                  <c:pt idx="3">
                    <c:v>0</c:v>
                  </c:pt>
                </c:numCache>
              </c:numRef>
            </c:plus>
            <c:minus>
              <c:numRef>
                <c:f>('Ascorbic acid'!$AF$24,'Ascorbic acid'!$AF$51,'Ascorbic acid'!$AF$78,'Ascorbic acid'!$AF$105)</c:f>
                <c:numCache>
                  <c:formatCode>General</c:formatCode>
                  <c:ptCount val="4"/>
                  <c:pt idx="0">
                    <c:v>3.5058693741144015E-4</c:v>
                  </c:pt>
                  <c:pt idx="1">
                    <c:v>1.2430904964638305E-4</c:v>
                  </c:pt>
                  <c:pt idx="2">
                    <c:v>4.0558275374898998E-5</c:v>
                  </c:pt>
                  <c:pt idx="3">
                    <c:v>0</c:v>
                  </c:pt>
                </c:numCache>
              </c:numRef>
            </c:minus>
          </c:errBars>
          <c:xVal>
            <c:numRef>
              <c:f>'Ascorbic acid'!$M$112:$M$115</c:f>
              <c:numCache>
                <c:formatCode>General</c:formatCode>
                <c:ptCount val="4"/>
                <c:pt idx="0">
                  <c:v>0</c:v>
                </c:pt>
                <c:pt idx="1">
                  <c:v>10</c:v>
                </c:pt>
                <c:pt idx="2">
                  <c:v>20</c:v>
                </c:pt>
                <c:pt idx="3">
                  <c:v>29</c:v>
                </c:pt>
              </c:numCache>
            </c:numRef>
          </c:xVal>
          <c:yVal>
            <c:numRef>
              <c:f>('Ascorbic acid'!$AE$24,'Ascorbic acid'!$AE$51,'Ascorbic acid'!$AE$78,'Ascorbic acid'!$AE$105)</c:f>
              <c:numCache>
                <c:formatCode>0.0000</c:formatCode>
                <c:ptCount val="4"/>
                <c:pt idx="0">
                  <c:v>2.2998293139377111E-3</c:v>
                </c:pt>
                <c:pt idx="1">
                  <c:v>6.8771189899090822E-4</c:v>
                </c:pt>
                <c:pt idx="2">
                  <c:v>9.2831803609694244E-5</c:v>
                </c:pt>
                <c:pt idx="3">
                  <c:v>0</c:v>
                </c:pt>
              </c:numCache>
            </c:numRef>
          </c:yVal>
        </c:ser>
        <c:ser>
          <c:idx val="2"/>
          <c:order val="1"/>
          <c:tx>
            <c:v>A2P</c:v>
          </c:tx>
          <c:spPr>
            <a:ln>
              <a:solidFill>
                <a:srgbClr val="FFFF00"/>
              </a:solidFill>
            </a:ln>
          </c:spPr>
          <c:marker>
            <c:spPr>
              <a:solidFill>
                <a:srgbClr val="FFFF00"/>
              </a:solidFill>
              <a:ln>
                <a:solidFill>
                  <a:srgbClr val="FFFF00"/>
                </a:solidFill>
              </a:ln>
            </c:spPr>
          </c:marker>
          <c:errBars>
            <c:errDir val="y"/>
            <c:errBarType val="both"/>
            <c:errValType val="cust"/>
            <c:plus>
              <c:numRef>
                <c:f>('Ascorbic acid'!$AF$25,'Ascorbic acid'!$AF$52,'Ascorbic acid'!$AF$79,'Ascorbic acid'!$AF$106)</c:f>
                <c:numCache>
                  <c:formatCode>General</c:formatCode>
                  <c:ptCount val="4"/>
                  <c:pt idx="0">
                    <c:v>2.8485667583469761E-4</c:v>
                  </c:pt>
                  <c:pt idx="1">
                    <c:v>4.2649066564944201E-5</c:v>
                  </c:pt>
                  <c:pt idx="2">
                    <c:v>3.6197415591483339E-4</c:v>
                  </c:pt>
                  <c:pt idx="3">
                    <c:v>0</c:v>
                  </c:pt>
                </c:numCache>
              </c:numRef>
            </c:plus>
            <c:minus>
              <c:numRef>
                <c:f>('Ascorbic acid'!$AF$25,'Ascorbic acid'!$AF$52,'Ascorbic acid'!$AF$79,'Ascorbic acid'!$AF$106)</c:f>
                <c:numCache>
                  <c:formatCode>General</c:formatCode>
                  <c:ptCount val="4"/>
                  <c:pt idx="0">
                    <c:v>2.8485667583469761E-4</c:v>
                  </c:pt>
                  <c:pt idx="1">
                    <c:v>4.2649066564944201E-5</c:v>
                  </c:pt>
                  <c:pt idx="2">
                    <c:v>3.6197415591483339E-4</c:v>
                  </c:pt>
                  <c:pt idx="3">
                    <c:v>0</c:v>
                  </c:pt>
                </c:numCache>
              </c:numRef>
            </c:minus>
            <c:spPr>
              <a:ln w="3175">
                <a:solidFill>
                  <a:srgbClr val="000000"/>
                </a:solidFill>
                <a:prstDash val="solid"/>
              </a:ln>
            </c:spPr>
          </c:errBars>
          <c:xVal>
            <c:numRef>
              <c:f>('Ascorbic acid'!$M$112:$M$115,'Ascorbic acid'!$M$112,'Ascorbic acid'!$M$110,'Ascorbic acid'!$M$112)</c:f>
              <c:numCache>
                <c:formatCode>General</c:formatCode>
                <c:ptCount val="7"/>
                <c:pt idx="0">
                  <c:v>0</c:v>
                </c:pt>
                <c:pt idx="1">
                  <c:v>10</c:v>
                </c:pt>
                <c:pt idx="2">
                  <c:v>20</c:v>
                </c:pt>
                <c:pt idx="3">
                  <c:v>29</c:v>
                </c:pt>
                <c:pt idx="4">
                  <c:v>0</c:v>
                </c:pt>
                <c:pt idx="6">
                  <c:v>0</c:v>
                </c:pt>
              </c:numCache>
            </c:numRef>
          </c:xVal>
          <c:yVal>
            <c:numRef>
              <c:f>('Ascorbic acid'!$AE$25,'Ascorbic acid'!$AE$52,'Ascorbic acid'!$AE$79,'Ascorbic acid'!$AE$106)</c:f>
              <c:numCache>
                <c:formatCode>0.0000</c:formatCode>
                <c:ptCount val="4"/>
                <c:pt idx="0">
                  <c:v>2.8618571358864906E-3</c:v>
                </c:pt>
                <c:pt idx="1">
                  <c:v>9.4108738090485547E-4</c:v>
                </c:pt>
                <c:pt idx="2">
                  <c:v>3.6161709837172055E-4</c:v>
                </c:pt>
                <c:pt idx="3">
                  <c:v>0</c:v>
                </c:pt>
              </c:numCache>
            </c:numRef>
          </c:yVal>
        </c:ser>
        <c:axId val="130732032"/>
        <c:axId val="130733952"/>
      </c:scatterChart>
      <c:valAx>
        <c:axId val="130732032"/>
        <c:scaling>
          <c:orientation val="minMax"/>
          <c:max val="30"/>
          <c:min val="0"/>
        </c:scaling>
        <c:axPos val="b"/>
        <c:title>
          <c:tx>
            <c:rich>
              <a:bodyPr/>
              <a:lstStyle/>
              <a:p>
                <a:pPr>
                  <a:defRPr sz="800" b="1" i="0" u="none" strike="noStrike" baseline="0">
                    <a:solidFill>
                      <a:srgbClr val="000000"/>
                    </a:solidFill>
                    <a:latin typeface="Calibri"/>
                    <a:ea typeface="Calibri"/>
                    <a:cs typeface="Calibri"/>
                  </a:defRPr>
                </a:pPr>
                <a:r>
                  <a:rPr lang="en-US" sz="800"/>
                  <a:t>Storage (days)</a:t>
                </a:r>
              </a:p>
            </c:rich>
          </c:tx>
          <c:layout>
            <c:manualLayout>
              <c:xMode val="edge"/>
              <c:yMode val="edge"/>
              <c:x val="0.37330452196594793"/>
              <c:y val="0.827157319620762"/>
            </c:manualLayout>
          </c:layout>
          <c:spPr>
            <a:noFill/>
            <a:ln w="25400">
              <a:noFill/>
            </a:ln>
          </c:spPr>
        </c:title>
        <c:numFmt formatCode="General" sourceLinked="1"/>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0733952"/>
        <c:crosses val="autoZero"/>
        <c:crossBetween val="midCat"/>
        <c:majorUnit val="10"/>
      </c:valAx>
      <c:valAx>
        <c:axId val="130733952"/>
        <c:scaling>
          <c:orientation val="minMax"/>
        </c:scaling>
        <c:axPos val="l"/>
        <c:title>
          <c:tx>
            <c:rich>
              <a:bodyPr/>
              <a:lstStyle/>
              <a:p>
                <a:pPr>
                  <a:defRPr sz="800" b="1" i="0" u="none" strike="noStrike" baseline="0">
                    <a:solidFill>
                      <a:srgbClr val="000000"/>
                    </a:solidFill>
                    <a:latin typeface="Calibri"/>
                    <a:ea typeface="Calibri"/>
                    <a:cs typeface="Calibri"/>
                  </a:defRPr>
                </a:pPr>
                <a:r>
                  <a:rPr lang="en-US" sz="800"/>
                  <a:t>Ascorbic acid (Molar)</a:t>
                </a:r>
              </a:p>
            </c:rich>
          </c:tx>
          <c:layout>
            <c:manualLayout>
              <c:xMode val="edge"/>
              <c:yMode val="edge"/>
              <c:x val="1.9778284076148702E-2"/>
              <c:y val="0.22100651315286701"/>
            </c:manualLayout>
          </c:layout>
          <c:spPr>
            <a:noFill/>
            <a:ln w="25400">
              <a:noFill/>
            </a:ln>
          </c:spPr>
        </c:title>
        <c:numFmt formatCode="0.0E+00" sourceLinked="0"/>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0732032"/>
        <c:crosses val="autoZero"/>
        <c:crossBetween val="midCat"/>
      </c:valAx>
    </c:plotArea>
    <c:legend>
      <c:legendPos val="b"/>
      <c:layout>
        <c:manualLayout>
          <c:xMode val="edge"/>
          <c:yMode val="edge"/>
          <c:x val="0.30765693364928748"/>
          <c:y val="0.90000112186937098"/>
          <c:w val="0.40564237096455835"/>
          <c:h val="6.4379525603513094E-2"/>
        </c:manualLayout>
      </c:layout>
      <c:txPr>
        <a:bodyPr/>
        <a:lstStyle/>
        <a:p>
          <a:pPr>
            <a:defRPr sz="700" b="0" i="0" u="none" strike="noStrike" baseline="0">
              <a:solidFill>
                <a:srgbClr val="000000"/>
              </a:solidFill>
              <a:latin typeface="Calibri"/>
              <a:ea typeface="Calibri"/>
              <a:cs typeface="Calibri"/>
            </a:defRPr>
          </a:pPr>
          <a:endParaRPr lang="en-US"/>
        </a:p>
      </c:txPr>
    </c:legend>
    <c:plotVisOnly val="1"/>
    <c:dispBlanksAs val="gap"/>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v>0.3% CaCl2</c:v>
          </c:tx>
          <c:errBars>
            <c:errBarType val="both"/>
            <c:errValType val="cust"/>
            <c:plus>
              <c:numRef>
                <c:f>Hoja1!$E$15</c:f>
                <c:numCache>
                  <c:formatCode>General</c:formatCode>
                  <c:ptCount val="1"/>
                  <c:pt idx="0">
                    <c:v>1.5727078213767325</c:v>
                  </c:pt>
                </c:numCache>
              </c:numRef>
            </c:plus>
            <c:minus>
              <c:numRef>
                <c:f>Hoja1!$E$15</c:f>
                <c:numCache>
                  <c:formatCode>General</c:formatCode>
                  <c:ptCount val="1"/>
                  <c:pt idx="0">
                    <c:v>1.5727078213767325</c:v>
                  </c:pt>
                </c:numCache>
              </c:numRef>
            </c:minus>
          </c:errBars>
          <c:cat>
            <c:strLit>
              <c:ptCount val="1"/>
              <c:pt idx="0">
                <c:v>D, E</c:v>
              </c:pt>
            </c:strLit>
          </c:cat>
          <c:val>
            <c:numRef>
              <c:f>Hoja1!$E$11</c:f>
              <c:numCache>
                <c:formatCode>[Black][&gt;=0]0.000;[Black][&lt;0]\-0.000;[Black]0.000;[White]General</c:formatCode>
                <c:ptCount val="1"/>
                <c:pt idx="0">
                  <c:v>10.972447337829887</c:v>
                </c:pt>
              </c:numCache>
            </c:numRef>
          </c:val>
        </c:ser>
        <c:ser>
          <c:idx val="1"/>
          <c:order val="1"/>
          <c:tx>
            <c:v>0.5% CaCl2</c:v>
          </c:tx>
          <c:errBars>
            <c:errBarType val="both"/>
            <c:errValType val="cust"/>
            <c:plus>
              <c:numRef>
                <c:f>Hoja1!$E$14</c:f>
                <c:numCache>
                  <c:formatCode>General</c:formatCode>
                  <c:ptCount val="1"/>
                  <c:pt idx="0">
                    <c:v>0.85625203608284262</c:v>
                  </c:pt>
                </c:numCache>
              </c:numRef>
            </c:plus>
            <c:minus>
              <c:numRef>
                <c:f>Hoja1!$E$14</c:f>
                <c:numCache>
                  <c:formatCode>General</c:formatCode>
                  <c:ptCount val="1"/>
                  <c:pt idx="0">
                    <c:v>0.85625203608284262</c:v>
                  </c:pt>
                </c:numCache>
              </c:numRef>
            </c:minus>
          </c:errBars>
          <c:cat>
            <c:strLit>
              <c:ptCount val="1"/>
              <c:pt idx="0">
                <c:v>D, E</c:v>
              </c:pt>
            </c:strLit>
          </c:cat>
          <c:val>
            <c:numRef>
              <c:f>Hoja1!$E$9</c:f>
              <c:numCache>
                <c:formatCode>[Black][&gt;=0]0.000;[Black][&lt;0]\-0.000;[Black]0.000;[White]General</c:formatCode>
                <c:ptCount val="1"/>
                <c:pt idx="0">
                  <c:v>26.356115058097991</c:v>
                </c:pt>
              </c:numCache>
            </c:numRef>
          </c:val>
        </c:ser>
        <c:axId val="130827008"/>
        <c:axId val="130828928"/>
      </c:barChart>
      <c:catAx>
        <c:axId val="130827008"/>
        <c:scaling>
          <c:orientation val="minMax"/>
        </c:scaling>
        <c:delete val="1"/>
        <c:axPos val="b"/>
        <c:numFmt formatCode="0.00%" sourceLinked="1"/>
        <c:majorTickMark val="none"/>
        <c:tickLblPos val="none"/>
        <c:crossAx val="130828928"/>
        <c:crosses val="autoZero"/>
        <c:auto val="1"/>
        <c:lblAlgn val="ctr"/>
        <c:lblOffset val="100"/>
      </c:catAx>
      <c:valAx>
        <c:axId val="130828928"/>
        <c:scaling>
          <c:orientation val="minMax"/>
        </c:scaling>
        <c:axPos val="l"/>
        <c:title>
          <c:tx>
            <c:rich>
              <a:bodyPr/>
              <a:lstStyle/>
              <a:p>
                <a:pPr>
                  <a:defRPr/>
                </a:pPr>
                <a:r>
                  <a:rPr lang="en-US"/>
                  <a:t>Hardness (g)</a:t>
                </a:r>
              </a:p>
            </c:rich>
          </c:tx>
        </c:title>
        <c:numFmt formatCode="#,##0" sourceLinked="0"/>
        <c:tickLblPos val="nextTo"/>
        <c:txPr>
          <a:bodyPr rot="0" vert="horz"/>
          <a:lstStyle/>
          <a:p>
            <a:pPr>
              <a:defRPr/>
            </a:pPr>
            <a:endParaRPr lang="en-US"/>
          </a:p>
        </c:txPr>
        <c:crossAx val="130827008"/>
        <c:crosses val="autoZero"/>
        <c:crossBetween val="between"/>
      </c:valAx>
    </c:plotArea>
    <c:legend>
      <c:legendPos val="b"/>
    </c:legend>
    <c:plotVisOnly val="1"/>
    <c:dispBlanksAs val="gap"/>
  </c:chart>
  <c:spPr>
    <a:ln>
      <a:noFill/>
    </a:ln>
  </c:sp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5470840037118982"/>
          <c:y val="6.7102391909671544E-2"/>
          <c:w val="0.74561312954385262"/>
          <c:h val="0.65790196710398596"/>
        </c:manualLayout>
      </c:layout>
      <c:scatterChart>
        <c:scatterStyle val="smoothMarker"/>
        <c:ser>
          <c:idx val="1"/>
          <c:order val="0"/>
          <c:tx>
            <c:v>Control-AA</c:v>
          </c:tx>
          <c:errBars>
            <c:errDir val="y"/>
            <c:errBarType val="both"/>
            <c:errValType val="cust"/>
            <c:plus>
              <c:numRef>
                <c:f>(Color!$E$72,Color!$E$152,Color!$E$232)</c:f>
                <c:numCache>
                  <c:formatCode>General</c:formatCode>
                  <c:ptCount val="3"/>
                  <c:pt idx="0">
                    <c:v>0.72266313037265451</c:v>
                  </c:pt>
                  <c:pt idx="1">
                    <c:v>0.360624458405431</c:v>
                  </c:pt>
                  <c:pt idx="2">
                    <c:v>0.5388153672635787</c:v>
                  </c:pt>
                </c:numCache>
              </c:numRef>
            </c:plus>
            <c:minus>
              <c:numRef>
                <c:f>(Color!$E$72,Color!$E$152,Color!$E$232)</c:f>
                <c:numCache>
                  <c:formatCode>General</c:formatCode>
                  <c:ptCount val="3"/>
                  <c:pt idx="0">
                    <c:v>0.72266313037265451</c:v>
                  </c:pt>
                  <c:pt idx="1">
                    <c:v>0.360624458405431</c:v>
                  </c:pt>
                  <c:pt idx="2">
                    <c:v>0.5388153672635787</c:v>
                  </c:pt>
                </c:numCache>
              </c:numRef>
            </c:minus>
          </c:errBars>
          <c:xVal>
            <c:numRef>
              <c:f>Color!$A$231:$A$233</c:f>
              <c:numCache>
                <c:formatCode>General</c:formatCode>
                <c:ptCount val="3"/>
                <c:pt idx="0">
                  <c:v>0</c:v>
                </c:pt>
                <c:pt idx="1">
                  <c:v>21</c:v>
                </c:pt>
                <c:pt idx="2">
                  <c:v>42</c:v>
                </c:pt>
              </c:numCache>
            </c:numRef>
          </c:xVal>
          <c:yVal>
            <c:numRef>
              <c:f>(Color!$D$72,Color!$D$152,Color!$D$232)</c:f>
              <c:numCache>
                <c:formatCode>0.00</c:formatCode>
                <c:ptCount val="3"/>
                <c:pt idx="0">
                  <c:v>50.975000000000001</c:v>
                </c:pt>
                <c:pt idx="1">
                  <c:v>44.412500000000001</c:v>
                </c:pt>
                <c:pt idx="2">
                  <c:v>42.165000000000013</c:v>
                </c:pt>
              </c:numCache>
            </c:numRef>
          </c:yVal>
          <c:smooth val="1"/>
        </c:ser>
        <c:ser>
          <c:idx val="0"/>
          <c:order val="1"/>
          <c:tx>
            <c:v>AA-0.01% Pycnogenol</c:v>
          </c:tx>
          <c:errBars>
            <c:errDir val="y"/>
            <c:errBarType val="both"/>
            <c:errValType val="cust"/>
            <c:plus>
              <c:numRef>
                <c:f>(Color!$E$73,Color!$E$153,Color!$E$233)</c:f>
                <c:numCache>
                  <c:formatCode>General</c:formatCode>
                  <c:ptCount val="3"/>
                  <c:pt idx="0">
                    <c:v>1.7705953800906558</c:v>
                  </c:pt>
                  <c:pt idx="1">
                    <c:v>1.500480589677788</c:v>
                  </c:pt>
                  <c:pt idx="2">
                    <c:v>0.81458701192689098</c:v>
                  </c:pt>
                </c:numCache>
              </c:numRef>
            </c:plus>
            <c:minus>
              <c:numRef>
                <c:f>(Color!$E$73,Color!$E$153,Color!$E$233)</c:f>
                <c:numCache>
                  <c:formatCode>General</c:formatCode>
                  <c:ptCount val="3"/>
                  <c:pt idx="0">
                    <c:v>1.7705953800906558</c:v>
                  </c:pt>
                  <c:pt idx="1">
                    <c:v>1.500480589677788</c:v>
                  </c:pt>
                  <c:pt idx="2">
                    <c:v>0.81458701192689098</c:v>
                  </c:pt>
                </c:numCache>
              </c:numRef>
            </c:minus>
          </c:errBars>
          <c:xVal>
            <c:numRef>
              <c:f>Color!$A$231:$A$233</c:f>
              <c:numCache>
                <c:formatCode>General</c:formatCode>
                <c:ptCount val="3"/>
                <c:pt idx="0">
                  <c:v>0</c:v>
                </c:pt>
                <c:pt idx="1">
                  <c:v>21</c:v>
                </c:pt>
                <c:pt idx="2">
                  <c:v>42</c:v>
                </c:pt>
              </c:numCache>
            </c:numRef>
          </c:xVal>
          <c:yVal>
            <c:numRef>
              <c:f>(Color!$D$73,Color!$D$153,Color!$D$233)</c:f>
              <c:numCache>
                <c:formatCode>0.00</c:formatCode>
                <c:ptCount val="3"/>
                <c:pt idx="0">
                  <c:v>52.088000000000008</c:v>
                </c:pt>
                <c:pt idx="1">
                  <c:v>46.657000000000004</c:v>
                </c:pt>
                <c:pt idx="2">
                  <c:v>42.496000000000002</c:v>
                </c:pt>
              </c:numCache>
            </c:numRef>
          </c:yVal>
          <c:smooth val="1"/>
        </c:ser>
        <c:ser>
          <c:idx val="2"/>
          <c:order val="2"/>
          <c:tx>
            <c:v>AA-0.1% Pycnogenol</c:v>
          </c:tx>
          <c:errBars>
            <c:errDir val="y"/>
            <c:errBarType val="both"/>
            <c:errValType val="cust"/>
            <c:plus>
              <c:numRef>
                <c:f>(Color!$E$74,Color!$E$154,Color!$E$234)</c:f>
                <c:numCache>
                  <c:formatCode>General</c:formatCode>
                  <c:ptCount val="3"/>
                  <c:pt idx="0">
                    <c:v>0.64912402512859646</c:v>
                  </c:pt>
                  <c:pt idx="1">
                    <c:v>1.141270344834695</c:v>
                  </c:pt>
                  <c:pt idx="2">
                    <c:v>0.58689862838565299</c:v>
                  </c:pt>
                </c:numCache>
              </c:numRef>
            </c:plus>
            <c:minus>
              <c:numRef>
                <c:f>(Color!$E$74,Color!$E$154,Color!$E$234)</c:f>
                <c:numCache>
                  <c:formatCode>General</c:formatCode>
                  <c:ptCount val="3"/>
                  <c:pt idx="0">
                    <c:v>0.64912402512859646</c:v>
                  </c:pt>
                  <c:pt idx="1">
                    <c:v>1.141270344834695</c:v>
                  </c:pt>
                  <c:pt idx="2">
                    <c:v>0.58689862838565299</c:v>
                  </c:pt>
                </c:numCache>
              </c:numRef>
            </c:minus>
          </c:errBars>
          <c:xVal>
            <c:numRef>
              <c:f>Color!$A$231:$A$233</c:f>
              <c:numCache>
                <c:formatCode>General</c:formatCode>
                <c:ptCount val="3"/>
                <c:pt idx="0">
                  <c:v>0</c:v>
                </c:pt>
                <c:pt idx="1">
                  <c:v>21</c:v>
                </c:pt>
                <c:pt idx="2">
                  <c:v>42</c:v>
                </c:pt>
              </c:numCache>
            </c:numRef>
          </c:xVal>
          <c:yVal>
            <c:numRef>
              <c:f>(Color!$D$74,Color!$D$154,Color!$D$234)</c:f>
              <c:numCache>
                <c:formatCode>0.00</c:formatCode>
                <c:ptCount val="3"/>
                <c:pt idx="0">
                  <c:v>50.929000000000002</c:v>
                </c:pt>
                <c:pt idx="1">
                  <c:v>46.427000000000007</c:v>
                </c:pt>
                <c:pt idx="2">
                  <c:v>42.205000000000013</c:v>
                </c:pt>
              </c:numCache>
            </c:numRef>
          </c:yVal>
          <c:smooth val="1"/>
        </c:ser>
        <c:ser>
          <c:idx val="3"/>
          <c:order val="3"/>
          <c:tx>
            <c:v>Control-A2P</c:v>
          </c:tx>
          <c:errBars>
            <c:errDir val="y"/>
            <c:errBarType val="both"/>
            <c:errValType val="cust"/>
            <c:plus>
              <c:numRef>
                <c:f>(Color!$E$78,Color!$E$158,Color!$E$238)</c:f>
                <c:numCache>
                  <c:formatCode>General</c:formatCode>
                  <c:ptCount val="3"/>
                  <c:pt idx="0">
                    <c:v>0.461033621333585</c:v>
                  </c:pt>
                  <c:pt idx="1">
                    <c:v>0.16122034611052424</c:v>
                  </c:pt>
                  <c:pt idx="2">
                    <c:v>0.73609815921583965</c:v>
                  </c:pt>
                </c:numCache>
              </c:numRef>
            </c:plus>
            <c:minus>
              <c:numRef>
                <c:f>(Color!$E$78,Color!$E$158,Color!$E$238)</c:f>
                <c:numCache>
                  <c:formatCode>General</c:formatCode>
                  <c:ptCount val="3"/>
                  <c:pt idx="0">
                    <c:v>0.461033621333585</c:v>
                  </c:pt>
                  <c:pt idx="1">
                    <c:v>0.16122034611052424</c:v>
                  </c:pt>
                  <c:pt idx="2">
                    <c:v>0.73609815921583965</c:v>
                  </c:pt>
                </c:numCache>
              </c:numRef>
            </c:minus>
          </c:errBars>
          <c:xVal>
            <c:numRef>
              <c:f>Color!$A$231:$A$233</c:f>
              <c:numCache>
                <c:formatCode>General</c:formatCode>
                <c:ptCount val="3"/>
                <c:pt idx="0">
                  <c:v>0</c:v>
                </c:pt>
                <c:pt idx="1">
                  <c:v>21</c:v>
                </c:pt>
                <c:pt idx="2">
                  <c:v>42</c:v>
                </c:pt>
              </c:numCache>
            </c:numRef>
          </c:xVal>
          <c:yVal>
            <c:numRef>
              <c:f>(Color!$D$78,Color!$D$158,Color!$D$238)</c:f>
              <c:numCache>
                <c:formatCode>0.00</c:formatCode>
                <c:ptCount val="3"/>
                <c:pt idx="0">
                  <c:v>51.376000000000005</c:v>
                </c:pt>
                <c:pt idx="1">
                  <c:v>47.84</c:v>
                </c:pt>
                <c:pt idx="2">
                  <c:v>44.605500000000013</c:v>
                </c:pt>
              </c:numCache>
            </c:numRef>
          </c:yVal>
          <c:smooth val="1"/>
        </c:ser>
        <c:ser>
          <c:idx val="4"/>
          <c:order val="4"/>
          <c:tx>
            <c:v>A2P-0.01%Pycnogenol</c:v>
          </c:tx>
          <c:spPr>
            <a:ln>
              <a:solidFill>
                <a:srgbClr val="FF130D"/>
              </a:solidFill>
            </a:ln>
          </c:spPr>
          <c:marker>
            <c:symbol val="star"/>
            <c:size val="7"/>
            <c:spPr>
              <a:solidFill>
                <a:srgbClr val="FF130D"/>
              </a:solidFill>
            </c:spPr>
          </c:marker>
          <c:errBars>
            <c:errDir val="y"/>
            <c:errBarType val="both"/>
            <c:errValType val="cust"/>
            <c:plus>
              <c:numRef>
                <c:f>(Color!$E$79,Color!$E$159,Color!$E$239)</c:f>
                <c:numCache>
                  <c:formatCode>General</c:formatCode>
                  <c:ptCount val="3"/>
                  <c:pt idx="0">
                    <c:v>0.28001428534880629</c:v>
                  </c:pt>
                  <c:pt idx="1">
                    <c:v>0.32526911934763247</c:v>
                  </c:pt>
                  <c:pt idx="2">
                    <c:v>0.48790367901865223</c:v>
                  </c:pt>
                </c:numCache>
              </c:numRef>
            </c:plus>
            <c:minus>
              <c:numRef>
                <c:f>(Color!$E$79,Color!$E$159,Color!$E$239)</c:f>
                <c:numCache>
                  <c:formatCode>General</c:formatCode>
                  <c:ptCount val="3"/>
                  <c:pt idx="0">
                    <c:v>0.28001428534880629</c:v>
                  </c:pt>
                  <c:pt idx="1">
                    <c:v>0.32526911934763247</c:v>
                  </c:pt>
                  <c:pt idx="2">
                    <c:v>0.48790367901865223</c:v>
                  </c:pt>
                </c:numCache>
              </c:numRef>
            </c:minus>
          </c:errBars>
          <c:xVal>
            <c:numRef>
              <c:f>Color!$A$231:$A$233</c:f>
              <c:numCache>
                <c:formatCode>General</c:formatCode>
                <c:ptCount val="3"/>
                <c:pt idx="0">
                  <c:v>0</c:v>
                </c:pt>
                <c:pt idx="1">
                  <c:v>21</c:v>
                </c:pt>
                <c:pt idx="2">
                  <c:v>42</c:v>
                </c:pt>
              </c:numCache>
            </c:numRef>
          </c:xVal>
          <c:yVal>
            <c:numRef>
              <c:f>(Color!$D$79,Color!$D$159,Color!$D$239)</c:f>
              <c:numCache>
                <c:formatCode>0.00</c:formatCode>
                <c:ptCount val="3"/>
                <c:pt idx="0">
                  <c:v>53.45</c:v>
                </c:pt>
                <c:pt idx="1">
                  <c:v>49.164000000000009</c:v>
                </c:pt>
                <c:pt idx="2">
                  <c:v>43.889000000000003</c:v>
                </c:pt>
              </c:numCache>
            </c:numRef>
          </c:yVal>
          <c:smooth val="1"/>
        </c:ser>
        <c:ser>
          <c:idx val="5"/>
          <c:order val="5"/>
          <c:tx>
            <c:v>A2P-0.1%Pycnogenol</c:v>
          </c:tx>
          <c:errBars>
            <c:errDir val="y"/>
            <c:errBarType val="both"/>
            <c:errValType val="cust"/>
            <c:plus>
              <c:numRef>
                <c:f>(Color!$E$80,Color!$E$160,Color!$E$240)</c:f>
                <c:numCache>
                  <c:formatCode>General</c:formatCode>
                  <c:ptCount val="3"/>
                  <c:pt idx="0">
                    <c:v>0.30052038200501235</c:v>
                  </c:pt>
                  <c:pt idx="1">
                    <c:v>0.41436457377545199</c:v>
                  </c:pt>
                  <c:pt idx="2">
                    <c:v>1.6782000940161081</c:v>
                  </c:pt>
                </c:numCache>
              </c:numRef>
            </c:plus>
            <c:minus>
              <c:numRef>
                <c:f>(Color!$E$80,Color!$E$160,Color!$E$240)</c:f>
                <c:numCache>
                  <c:formatCode>General</c:formatCode>
                  <c:ptCount val="3"/>
                  <c:pt idx="0">
                    <c:v>0.30052038200501235</c:v>
                  </c:pt>
                  <c:pt idx="1">
                    <c:v>0.41436457377545199</c:v>
                  </c:pt>
                  <c:pt idx="2">
                    <c:v>1.6782000940161081</c:v>
                  </c:pt>
                </c:numCache>
              </c:numRef>
            </c:minus>
          </c:errBars>
          <c:xVal>
            <c:numRef>
              <c:f>Color!$A$231:$A$233</c:f>
              <c:numCache>
                <c:formatCode>General</c:formatCode>
                <c:ptCount val="3"/>
                <c:pt idx="0">
                  <c:v>0</c:v>
                </c:pt>
                <c:pt idx="1">
                  <c:v>21</c:v>
                </c:pt>
                <c:pt idx="2">
                  <c:v>42</c:v>
                </c:pt>
              </c:numCache>
            </c:numRef>
          </c:xVal>
          <c:yVal>
            <c:numRef>
              <c:f>(Color!$D$80,Color!$D$160,Color!$D$240)</c:f>
              <c:numCache>
                <c:formatCode>0.00</c:formatCode>
                <c:ptCount val="3"/>
                <c:pt idx="0">
                  <c:v>50.277500000000003</c:v>
                </c:pt>
                <c:pt idx="1">
                  <c:v>47.401000000000003</c:v>
                </c:pt>
                <c:pt idx="2">
                  <c:v>43.11333333333333</c:v>
                </c:pt>
              </c:numCache>
            </c:numRef>
          </c:yVal>
          <c:smooth val="1"/>
        </c:ser>
        <c:axId val="133520000"/>
        <c:axId val="133837184"/>
      </c:scatterChart>
      <c:valAx>
        <c:axId val="133520000"/>
        <c:scaling>
          <c:orientation val="minMax"/>
          <c:max val="46"/>
          <c:min val="0"/>
        </c:scaling>
        <c:axPos val="b"/>
        <c:title>
          <c:tx>
            <c:rich>
              <a:bodyPr/>
              <a:lstStyle/>
              <a:p>
                <a:pPr>
                  <a:defRPr/>
                </a:pPr>
                <a:r>
                  <a:rPr lang="es-ES"/>
                  <a:t>Storage (Days)</a:t>
                </a:r>
              </a:p>
            </c:rich>
          </c:tx>
          <c:layout>
            <c:manualLayout>
              <c:xMode val="edge"/>
              <c:yMode val="edge"/>
              <c:x val="0.43472030702148512"/>
              <c:y val="0.78079742210574865"/>
            </c:manualLayout>
          </c:layout>
        </c:title>
        <c:numFmt formatCode="General" sourceLinked="1"/>
        <c:majorTickMark val="none"/>
        <c:tickLblPos val="nextTo"/>
        <c:txPr>
          <a:bodyPr rot="0" vert="horz"/>
          <a:lstStyle/>
          <a:p>
            <a:pPr>
              <a:defRPr/>
            </a:pPr>
            <a:endParaRPr lang="en-US"/>
          </a:p>
        </c:txPr>
        <c:crossAx val="133837184"/>
        <c:crosses val="autoZero"/>
        <c:crossBetween val="midCat"/>
        <c:majorUnit val="7"/>
      </c:valAx>
      <c:valAx>
        <c:axId val="133837184"/>
        <c:scaling>
          <c:orientation val="minMax"/>
          <c:max val="56"/>
          <c:min val="36"/>
        </c:scaling>
        <c:axPos val="l"/>
        <c:title>
          <c:tx>
            <c:rich>
              <a:bodyPr/>
              <a:lstStyle/>
              <a:p>
                <a:pPr>
                  <a:defRPr/>
                </a:pPr>
                <a:r>
                  <a:rPr lang="es-ES"/>
                  <a:t>L*</a:t>
                </a:r>
              </a:p>
            </c:rich>
          </c:tx>
        </c:title>
        <c:numFmt formatCode="0.0" sourceLinked="0"/>
        <c:tickLblPos val="nextTo"/>
        <c:crossAx val="133520000"/>
        <c:crosses val="autoZero"/>
        <c:crossBetween val="midCat"/>
        <c:majorUnit val="2"/>
      </c:valAx>
    </c:plotArea>
    <c:legend>
      <c:legendPos val="b"/>
      <c:layout>
        <c:manualLayout>
          <c:xMode val="edge"/>
          <c:yMode val="edge"/>
          <c:x val="0"/>
          <c:y val="0.83013881477098161"/>
          <c:w val="0.98236131591985176"/>
          <c:h val="0.14469778826289459"/>
        </c:manualLayout>
      </c:layout>
      <c:txPr>
        <a:bodyPr/>
        <a:lstStyle/>
        <a:p>
          <a:pPr>
            <a:defRPr sz="600"/>
          </a:pPr>
          <a:endParaRPr lang="en-US"/>
        </a:p>
      </c:txPr>
    </c:legend>
    <c:plotVisOnly val="1"/>
    <c:dispBlanksAs val="gap"/>
  </c:chart>
  <c:spPr>
    <a:ln>
      <a:noFill/>
    </a:ln>
  </c:spPr>
  <c:txPr>
    <a:bodyPr/>
    <a:lstStyle/>
    <a:p>
      <a:pPr>
        <a:defRPr sz="800"/>
      </a:pPr>
      <a:endParaRPr lang="en-US"/>
    </a:p>
  </c:tx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304585186784373"/>
          <c:y val="3.0848728331956798E-2"/>
          <c:w val="0.816581924219421"/>
          <c:h val="0.7292394190738517"/>
        </c:manualLayout>
      </c:layout>
      <c:scatterChart>
        <c:scatterStyle val="smoothMarker"/>
        <c:ser>
          <c:idx val="1"/>
          <c:order val="0"/>
          <c:tx>
            <c:v>Control-AA</c:v>
          </c:tx>
          <c:errBars>
            <c:errDir val="y"/>
            <c:errBarType val="both"/>
            <c:errValType val="cust"/>
            <c:plus>
              <c:numRef>
                <c:f>(Color!$E$72,Color!$E$152,Color!$E$232)</c:f>
                <c:numCache>
                  <c:formatCode>General</c:formatCode>
                  <c:ptCount val="3"/>
                  <c:pt idx="0">
                    <c:v>0.72266313037265451</c:v>
                  </c:pt>
                  <c:pt idx="1">
                    <c:v>2.1722320318051129</c:v>
                  </c:pt>
                  <c:pt idx="2">
                    <c:v>0.39668690424377223</c:v>
                  </c:pt>
                </c:numCache>
              </c:numRef>
            </c:plus>
            <c:minus>
              <c:numRef>
                <c:f>(Color!$E$72,Color!$E$152,Color!$E$232)</c:f>
                <c:numCache>
                  <c:formatCode>General</c:formatCode>
                  <c:ptCount val="3"/>
                  <c:pt idx="0">
                    <c:v>0.72266313037265451</c:v>
                  </c:pt>
                  <c:pt idx="1">
                    <c:v>2.1722320318051129</c:v>
                  </c:pt>
                  <c:pt idx="2">
                    <c:v>0.39668690424377223</c:v>
                  </c:pt>
                </c:numCache>
              </c:numRef>
            </c:minus>
          </c:errBars>
          <c:xVal>
            <c:numRef>
              <c:f>Color!$L$71:$L$73</c:f>
              <c:numCache>
                <c:formatCode>General</c:formatCode>
                <c:ptCount val="3"/>
                <c:pt idx="0">
                  <c:v>0</c:v>
                </c:pt>
                <c:pt idx="1">
                  <c:v>42</c:v>
                </c:pt>
                <c:pt idx="2">
                  <c:v>84</c:v>
                </c:pt>
              </c:numCache>
            </c:numRef>
          </c:xVal>
          <c:yVal>
            <c:numRef>
              <c:f>(Color!$D$72,Color!$D$152,Color!$D$232)</c:f>
              <c:numCache>
                <c:formatCode>0.00</c:formatCode>
                <c:ptCount val="3"/>
                <c:pt idx="0">
                  <c:v>50.975000000000001</c:v>
                </c:pt>
                <c:pt idx="1">
                  <c:v>47.158000000000001</c:v>
                </c:pt>
                <c:pt idx="2">
                  <c:v>47.185500000000012</c:v>
                </c:pt>
              </c:numCache>
            </c:numRef>
          </c:yVal>
          <c:smooth val="1"/>
        </c:ser>
        <c:ser>
          <c:idx val="0"/>
          <c:order val="1"/>
          <c:tx>
            <c:v>AA-0.01% Pycnogenol</c:v>
          </c:tx>
          <c:errBars>
            <c:errDir val="y"/>
            <c:errBarType val="both"/>
            <c:errValType val="cust"/>
            <c:plus>
              <c:numRef>
                <c:f>(Color!$E$73,Color!$E$153,Color!$E$233)</c:f>
                <c:numCache>
                  <c:formatCode>General</c:formatCode>
                  <c:ptCount val="3"/>
                  <c:pt idx="0">
                    <c:v>1.7705953800906558</c:v>
                  </c:pt>
                  <c:pt idx="1">
                    <c:v>1.4523973285571359</c:v>
                  </c:pt>
                  <c:pt idx="2">
                    <c:v>0.60705117164842171</c:v>
                  </c:pt>
                </c:numCache>
              </c:numRef>
            </c:plus>
            <c:minus>
              <c:numRef>
                <c:f>(Color!$E$73,Color!$E$153,Color!$E$233)</c:f>
                <c:numCache>
                  <c:formatCode>General</c:formatCode>
                  <c:ptCount val="3"/>
                  <c:pt idx="0">
                    <c:v>1.7705953800906558</c:v>
                  </c:pt>
                  <c:pt idx="1">
                    <c:v>1.4523973285571359</c:v>
                  </c:pt>
                  <c:pt idx="2">
                    <c:v>0.60705117164842171</c:v>
                  </c:pt>
                </c:numCache>
              </c:numRef>
            </c:minus>
          </c:errBars>
          <c:xVal>
            <c:numRef>
              <c:f>Color!$L$71:$L$73</c:f>
              <c:numCache>
                <c:formatCode>General</c:formatCode>
                <c:ptCount val="3"/>
                <c:pt idx="0">
                  <c:v>0</c:v>
                </c:pt>
                <c:pt idx="1">
                  <c:v>42</c:v>
                </c:pt>
                <c:pt idx="2">
                  <c:v>84</c:v>
                </c:pt>
              </c:numCache>
            </c:numRef>
          </c:xVal>
          <c:yVal>
            <c:numRef>
              <c:f>(Color!$D$73,Color!$D$153,Color!$D$233)</c:f>
              <c:numCache>
                <c:formatCode>0.00</c:formatCode>
                <c:ptCount val="3"/>
                <c:pt idx="0">
                  <c:v>52.088000000000008</c:v>
                </c:pt>
                <c:pt idx="1">
                  <c:v>49.959000000000003</c:v>
                </c:pt>
                <c:pt idx="2">
                  <c:v>46.236750000000313</c:v>
                </c:pt>
              </c:numCache>
            </c:numRef>
          </c:yVal>
          <c:smooth val="1"/>
        </c:ser>
        <c:ser>
          <c:idx val="2"/>
          <c:order val="2"/>
          <c:tx>
            <c:v>AA-0.1% Pycnogenol</c:v>
          </c:tx>
          <c:errBars>
            <c:errDir val="y"/>
            <c:errBarType val="both"/>
            <c:errValType val="cust"/>
            <c:plus>
              <c:numRef>
                <c:f>(Color!$E$74,Color!$E$154,Color!$E$234)</c:f>
                <c:numCache>
                  <c:formatCode>General</c:formatCode>
                  <c:ptCount val="3"/>
                  <c:pt idx="0">
                    <c:v>0.64912402512859546</c:v>
                  </c:pt>
                  <c:pt idx="1">
                    <c:v>0.41860721446304</c:v>
                  </c:pt>
                  <c:pt idx="2">
                    <c:v>1.2130416831253226</c:v>
                  </c:pt>
                </c:numCache>
              </c:numRef>
            </c:plus>
            <c:minus>
              <c:numRef>
                <c:f>(Color!$E$74,Color!$E$154,Color!$E$234)</c:f>
                <c:numCache>
                  <c:formatCode>General</c:formatCode>
                  <c:ptCount val="3"/>
                  <c:pt idx="0">
                    <c:v>0.64912402512859546</c:v>
                  </c:pt>
                  <c:pt idx="1">
                    <c:v>0.41860721446304</c:v>
                  </c:pt>
                  <c:pt idx="2">
                    <c:v>1.2130416831253226</c:v>
                  </c:pt>
                </c:numCache>
              </c:numRef>
            </c:minus>
          </c:errBars>
          <c:xVal>
            <c:numRef>
              <c:f>Color!$L$71:$L$73</c:f>
              <c:numCache>
                <c:formatCode>General</c:formatCode>
                <c:ptCount val="3"/>
                <c:pt idx="0">
                  <c:v>0</c:v>
                </c:pt>
                <c:pt idx="1">
                  <c:v>42</c:v>
                </c:pt>
                <c:pt idx="2">
                  <c:v>84</c:v>
                </c:pt>
              </c:numCache>
            </c:numRef>
          </c:xVal>
          <c:yVal>
            <c:numRef>
              <c:f>(Color!$D$74,Color!$D$154,Color!$D$234)</c:f>
              <c:numCache>
                <c:formatCode>0.00</c:formatCode>
                <c:ptCount val="3"/>
                <c:pt idx="0">
                  <c:v>50.929000000000002</c:v>
                </c:pt>
                <c:pt idx="1">
                  <c:v>49.02600000000001</c:v>
                </c:pt>
                <c:pt idx="2">
                  <c:v>46.089750000000002</c:v>
                </c:pt>
              </c:numCache>
            </c:numRef>
          </c:yVal>
          <c:smooth val="1"/>
        </c:ser>
        <c:ser>
          <c:idx val="3"/>
          <c:order val="3"/>
          <c:tx>
            <c:v>Control-A2P</c:v>
          </c:tx>
          <c:errBars>
            <c:errDir val="y"/>
            <c:errBarType val="both"/>
            <c:errValType val="cust"/>
            <c:plus>
              <c:numRef>
                <c:f>(Color!$E$78,Color!$E$158,Color!$E$238)</c:f>
                <c:numCache>
                  <c:formatCode>General</c:formatCode>
                  <c:ptCount val="3"/>
                  <c:pt idx="0">
                    <c:v>0.461033621333585</c:v>
                  </c:pt>
                  <c:pt idx="2">
                    <c:v>0</c:v>
                  </c:pt>
                </c:numCache>
              </c:numRef>
            </c:plus>
            <c:minus>
              <c:numRef>
                <c:f>(Color!$E$78,Color!$E$158,Color!$E$238)</c:f>
                <c:numCache>
                  <c:formatCode>General</c:formatCode>
                  <c:ptCount val="3"/>
                  <c:pt idx="0">
                    <c:v>0.461033621333585</c:v>
                  </c:pt>
                  <c:pt idx="2">
                    <c:v>0</c:v>
                  </c:pt>
                </c:numCache>
              </c:numRef>
            </c:minus>
          </c:errBars>
          <c:xVal>
            <c:numRef>
              <c:f>Color!$L$71:$L$73</c:f>
              <c:numCache>
                <c:formatCode>General</c:formatCode>
                <c:ptCount val="3"/>
                <c:pt idx="0">
                  <c:v>0</c:v>
                </c:pt>
                <c:pt idx="1">
                  <c:v>42</c:v>
                </c:pt>
                <c:pt idx="2">
                  <c:v>84</c:v>
                </c:pt>
              </c:numCache>
            </c:numRef>
          </c:xVal>
          <c:yVal>
            <c:numRef>
              <c:f>(Color!$D$78,Color!$D$158,Color!$D$238)</c:f>
              <c:numCache>
                <c:formatCode>0.00</c:formatCode>
                <c:ptCount val="3"/>
                <c:pt idx="0">
                  <c:v>51.376000000000005</c:v>
                </c:pt>
                <c:pt idx="1">
                  <c:v>50.144000000000005</c:v>
                </c:pt>
                <c:pt idx="2">
                  <c:v>48.816000000000003</c:v>
                </c:pt>
              </c:numCache>
            </c:numRef>
          </c:yVal>
          <c:smooth val="1"/>
        </c:ser>
        <c:ser>
          <c:idx val="4"/>
          <c:order val="4"/>
          <c:tx>
            <c:v>A2P-0.01%Pycnogenol</c:v>
          </c:tx>
          <c:spPr>
            <a:ln>
              <a:solidFill>
                <a:srgbClr val="FF130D"/>
              </a:solidFill>
            </a:ln>
          </c:spPr>
          <c:marker>
            <c:symbol val="star"/>
            <c:size val="7"/>
            <c:spPr>
              <a:solidFill>
                <a:srgbClr val="FF130D"/>
              </a:solidFill>
            </c:spPr>
          </c:marker>
          <c:errBars>
            <c:errDir val="y"/>
            <c:errBarType val="both"/>
            <c:errValType val="cust"/>
            <c:plus>
              <c:numRef>
                <c:f>(Color!$E$79,Color!$E$159,Color!$E$239)</c:f>
                <c:numCache>
                  <c:formatCode>General</c:formatCode>
                  <c:ptCount val="3"/>
                  <c:pt idx="0">
                    <c:v>0.28001428534880529</c:v>
                  </c:pt>
                  <c:pt idx="1">
                    <c:v>2.053438092565667</c:v>
                  </c:pt>
                  <c:pt idx="2">
                    <c:v>7.2124891681020514E-2</c:v>
                  </c:pt>
                </c:numCache>
              </c:numRef>
            </c:plus>
            <c:minus>
              <c:numRef>
                <c:f>(Color!$E$79,Color!$E$159,Color!$E$239)</c:f>
                <c:numCache>
                  <c:formatCode>General</c:formatCode>
                  <c:ptCount val="3"/>
                  <c:pt idx="0">
                    <c:v>0.28001428534880529</c:v>
                  </c:pt>
                  <c:pt idx="1">
                    <c:v>2.053438092565667</c:v>
                  </c:pt>
                  <c:pt idx="2">
                    <c:v>7.2124891681020514E-2</c:v>
                  </c:pt>
                </c:numCache>
              </c:numRef>
            </c:minus>
          </c:errBars>
          <c:xVal>
            <c:numRef>
              <c:f>Color!$L$71:$L$73</c:f>
              <c:numCache>
                <c:formatCode>General</c:formatCode>
                <c:ptCount val="3"/>
                <c:pt idx="0">
                  <c:v>0</c:v>
                </c:pt>
                <c:pt idx="1">
                  <c:v>42</c:v>
                </c:pt>
                <c:pt idx="2">
                  <c:v>84</c:v>
                </c:pt>
              </c:numCache>
            </c:numRef>
          </c:xVal>
          <c:yVal>
            <c:numRef>
              <c:f>(Color!$D$79,Color!$D$159,Color!$D$239)</c:f>
              <c:numCache>
                <c:formatCode>0.00</c:formatCode>
                <c:ptCount val="3"/>
                <c:pt idx="0">
                  <c:v>53.45</c:v>
                </c:pt>
                <c:pt idx="1">
                  <c:v>48.328000000000003</c:v>
                </c:pt>
                <c:pt idx="2">
                  <c:v>48.891000000000005</c:v>
                </c:pt>
              </c:numCache>
            </c:numRef>
          </c:yVal>
          <c:smooth val="1"/>
        </c:ser>
        <c:ser>
          <c:idx val="5"/>
          <c:order val="5"/>
          <c:tx>
            <c:v>A2P-0.1%Pycnogenol</c:v>
          </c:tx>
          <c:errBars>
            <c:errDir val="y"/>
            <c:errBarType val="both"/>
            <c:errValType val="cust"/>
            <c:plus>
              <c:numRef>
                <c:f>(Color!$E$80,Color!$E$160,Color!$E$240)</c:f>
                <c:numCache>
                  <c:formatCode>General</c:formatCode>
                  <c:ptCount val="3"/>
                  <c:pt idx="0">
                    <c:v>0.62508239456842862</c:v>
                  </c:pt>
                  <c:pt idx="1">
                    <c:v>1.1596551211458881</c:v>
                  </c:pt>
                  <c:pt idx="2">
                    <c:v>0.76650375080622957</c:v>
                  </c:pt>
                </c:numCache>
              </c:numRef>
            </c:plus>
            <c:minus>
              <c:numRef>
                <c:f>(Color!$E$80,Color!$E$160,Color!$E$240)</c:f>
                <c:numCache>
                  <c:formatCode>General</c:formatCode>
                  <c:ptCount val="3"/>
                  <c:pt idx="0">
                    <c:v>0.62508239456842862</c:v>
                  </c:pt>
                  <c:pt idx="1">
                    <c:v>1.1596551211458881</c:v>
                  </c:pt>
                  <c:pt idx="2">
                    <c:v>0.76650375080622957</c:v>
                  </c:pt>
                </c:numCache>
              </c:numRef>
            </c:minus>
          </c:errBars>
          <c:xVal>
            <c:numRef>
              <c:f>Color!$L$71:$L$73</c:f>
              <c:numCache>
                <c:formatCode>General</c:formatCode>
                <c:ptCount val="3"/>
                <c:pt idx="0">
                  <c:v>0</c:v>
                </c:pt>
                <c:pt idx="1">
                  <c:v>42</c:v>
                </c:pt>
                <c:pt idx="2">
                  <c:v>84</c:v>
                </c:pt>
              </c:numCache>
            </c:numRef>
          </c:xVal>
          <c:yVal>
            <c:numRef>
              <c:f>(Color!$D$80,Color!$D$160,Color!$D$240)</c:f>
              <c:numCache>
                <c:formatCode>0.00</c:formatCode>
                <c:ptCount val="3"/>
                <c:pt idx="0">
                  <c:v>50.048000000000002</c:v>
                </c:pt>
                <c:pt idx="1">
                  <c:v>49.128000000000213</c:v>
                </c:pt>
                <c:pt idx="2">
                  <c:v>48.316000000000003</c:v>
                </c:pt>
              </c:numCache>
            </c:numRef>
          </c:yVal>
          <c:smooth val="1"/>
        </c:ser>
        <c:axId val="134294912"/>
        <c:axId val="134326144"/>
      </c:scatterChart>
      <c:valAx>
        <c:axId val="134294912"/>
        <c:scaling>
          <c:orientation val="minMax"/>
        </c:scaling>
        <c:axPos val="b"/>
        <c:title>
          <c:tx>
            <c:rich>
              <a:bodyPr/>
              <a:lstStyle/>
              <a:p>
                <a:pPr>
                  <a:defRPr sz="800"/>
                </a:pPr>
                <a:r>
                  <a:rPr lang="es-ES" sz="800"/>
                  <a:t>Storage (Days)</a:t>
                </a:r>
              </a:p>
            </c:rich>
          </c:tx>
          <c:layout>
            <c:manualLayout>
              <c:xMode val="edge"/>
              <c:yMode val="edge"/>
              <c:x val="0.45486891086275294"/>
              <c:y val="0.82575450278661999"/>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4326144"/>
        <c:crosses val="autoZero"/>
        <c:crossBetween val="midCat"/>
      </c:valAx>
      <c:valAx>
        <c:axId val="134326144"/>
        <c:scaling>
          <c:orientation val="minMax"/>
          <c:max val="56"/>
          <c:min val="36"/>
        </c:scaling>
        <c:axPos val="l"/>
        <c:title>
          <c:tx>
            <c:rich>
              <a:bodyPr/>
              <a:lstStyle/>
              <a:p>
                <a:pPr>
                  <a:defRPr sz="800"/>
                </a:pPr>
                <a:r>
                  <a:rPr lang="es-ES" sz="800"/>
                  <a:t>L*</a:t>
                </a:r>
              </a:p>
            </c:rich>
          </c:tx>
        </c:title>
        <c:numFmt formatCode="0.0" sourceLinked="0"/>
        <c:tickLblPos val="nextTo"/>
        <c:txPr>
          <a:bodyPr/>
          <a:lstStyle/>
          <a:p>
            <a:pPr>
              <a:defRPr sz="800"/>
            </a:pPr>
            <a:endParaRPr lang="en-US"/>
          </a:p>
        </c:txPr>
        <c:crossAx val="134294912"/>
        <c:crosses val="autoZero"/>
        <c:crossBetween val="midCat"/>
        <c:majorUnit val="2"/>
      </c:valAx>
    </c:plotArea>
    <c:legend>
      <c:legendPos val="b"/>
      <c:txPr>
        <a:bodyPr/>
        <a:lstStyle/>
        <a:p>
          <a:pPr>
            <a:defRPr sz="600"/>
          </a:pPr>
          <a:endParaRPr lang="en-US"/>
        </a:p>
      </c:txPr>
    </c:legend>
    <c:plotVisOnly val="1"/>
    <c:dispBlanksAs val="gap"/>
  </c:chart>
  <c:spPr>
    <a:ln>
      <a:noFill/>
    </a:ln>
  </c:sp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5082394369303301"/>
          <c:y val="3.5444438242442998E-2"/>
          <c:w val="0.80901842334695051"/>
          <c:h val="0.83319040539100664"/>
        </c:manualLayout>
      </c:layout>
      <c:scatterChart>
        <c:scatterStyle val="smoothMarker"/>
        <c:ser>
          <c:idx val="1"/>
          <c:order val="0"/>
          <c:tx>
            <c:v>Control-AA</c:v>
          </c:tx>
          <c:errBars>
            <c:errDir val="y"/>
            <c:errBarType val="both"/>
            <c:errValType val="cust"/>
            <c:plus>
              <c:numRef>
                <c:f>(Color!$G$72,Color!$G$152,Color!$G$232)</c:f>
                <c:numCache>
                  <c:formatCode>General</c:formatCode>
                  <c:ptCount val="3"/>
                  <c:pt idx="0">
                    <c:v>9.329650246300834E-3</c:v>
                  </c:pt>
                  <c:pt idx="1">
                    <c:v>5.4186943911859332E-2</c:v>
                  </c:pt>
                  <c:pt idx="2">
                    <c:v>9.9294123736837318E-3</c:v>
                  </c:pt>
                </c:numCache>
              </c:numRef>
            </c:plus>
            <c:minus>
              <c:numRef>
                <c:f>(Color!$G$72,Color!$G$152,Color!$G$232)</c:f>
                <c:numCache>
                  <c:formatCode>General</c:formatCode>
                  <c:ptCount val="3"/>
                  <c:pt idx="0">
                    <c:v>9.329650246300834E-3</c:v>
                  </c:pt>
                  <c:pt idx="1">
                    <c:v>5.4186943911859332E-2</c:v>
                  </c:pt>
                  <c:pt idx="2">
                    <c:v>9.9294123736837318E-3</c:v>
                  </c:pt>
                </c:numCache>
              </c:numRef>
            </c:minus>
          </c:errBars>
          <c:xVal>
            <c:numRef>
              <c:f>Color!$A$231:$A$233</c:f>
              <c:numCache>
                <c:formatCode>General</c:formatCode>
                <c:ptCount val="3"/>
                <c:pt idx="0">
                  <c:v>0</c:v>
                </c:pt>
                <c:pt idx="1">
                  <c:v>21</c:v>
                </c:pt>
                <c:pt idx="2">
                  <c:v>42</c:v>
                </c:pt>
              </c:numCache>
            </c:numRef>
          </c:xVal>
          <c:yVal>
            <c:numRef>
              <c:f>(Color!$F$72,Color!$F$152,Color!$F$232)</c:f>
              <c:numCache>
                <c:formatCode>0.00</c:formatCode>
                <c:ptCount val="3"/>
                <c:pt idx="0">
                  <c:v>-2.8159999999999967</c:v>
                </c:pt>
                <c:pt idx="1">
                  <c:v>3.2112499999999766</c:v>
                </c:pt>
                <c:pt idx="2">
                  <c:v>6.5470000000000006</c:v>
                </c:pt>
              </c:numCache>
            </c:numRef>
          </c:yVal>
          <c:smooth val="1"/>
        </c:ser>
        <c:ser>
          <c:idx val="0"/>
          <c:order val="1"/>
          <c:tx>
            <c:v>AA-0.01% Pycnogenol</c:v>
          </c:tx>
          <c:errBars>
            <c:errDir val="y"/>
            <c:errBarType val="both"/>
            <c:errValType val="cust"/>
            <c:plus>
              <c:numRef>
                <c:f>(Color!$G$73,Color!$G$153,Color!$G$233)</c:f>
                <c:numCache>
                  <c:formatCode>General</c:formatCode>
                  <c:ptCount val="3"/>
                  <c:pt idx="0">
                    <c:v>0.283340736097699</c:v>
                  </c:pt>
                  <c:pt idx="1">
                    <c:v>0.67547305400433399</c:v>
                  </c:pt>
                  <c:pt idx="2">
                    <c:v>0.41636428873889247</c:v>
                  </c:pt>
                </c:numCache>
              </c:numRef>
            </c:plus>
            <c:minus>
              <c:numRef>
                <c:f>(Color!$G$73,Color!$G$153,Color!$G$233)</c:f>
                <c:numCache>
                  <c:formatCode>General</c:formatCode>
                  <c:ptCount val="3"/>
                  <c:pt idx="0">
                    <c:v>0.283340736097699</c:v>
                  </c:pt>
                  <c:pt idx="1">
                    <c:v>0.67547305400433399</c:v>
                  </c:pt>
                  <c:pt idx="2">
                    <c:v>0.41636428873889247</c:v>
                  </c:pt>
                </c:numCache>
              </c:numRef>
            </c:minus>
          </c:errBars>
          <c:xVal>
            <c:numRef>
              <c:f>Color!$A$231:$A$233</c:f>
              <c:numCache>
                <c:formatCode>General</c:formatCode>
                <c:ptCount val="3"/>
                <c:pt idx="0">
                  <c:v>0</c:v>
                </c:pt>
                <c:pt idx="1">
                  <c:v>21</c:v>
                </c:pt>
                <c:pt idx="2">
                  <c:v>42</c:v>
                </c:pt>
              </c:numCache>
            </c:numRef>
          </c:xVal>
          <c:yVal>
            <c:numRef>
              <c:f>(Color!$F$73,Color!$F$153,Color!$F$233)</c:f>
              <c:numCache>
                <c:formatCode>0.00</c:formatCode>
                <c:ptCount val="3"/>
                <c:pt idx="0">
                  <c:v>-2.6519999999999997</c:v>
                </c:pt>
                <c:pt idx="1">
                  <c:v>2.9279999999999999</c:v>
                </c:pt>
                <c:pt idx="2">
                  <c:v>6.3979999999999846</c:v>
                </c:pt>
              </c:numCache>
            </c:numRef>
          </c:yVal>
          <c:smooth val="1"/>
        </c:ser>
        <c:ser>
          <c:idx val="2"/>
          <c:order val="2"/>
          <c:tx>
            <c:v>AA-0.1% Pycnogenol</c:v>
          </c:tx>
          <c:errBars>
            <c:errDir val="y"/>
            <c:errBarType val="both"/>
            <c:errValType val="cust"/>
            <c:plus>
              <c:numRef>
                <c:f>(Color!$G$74,Color!$G$154,Color!$G$234)</c:f>
                <c:numCache>
                  <c:formatCode>General</c:formatCode>
                  <c:ptCount val="3"/>
                  <c:pt idx="0">
                    <c:v>0.46867005968580838</c:v>
                  </c:pt>
                  <c:pt idx="1">
                    <c:v>0.37855652991189748</c:v>
                  </c:pt>
                  <c:pt idx="2">
                    <c:v>0.15122425036784073</c:v>
                  </c:pt>
                </c:numCache>
              </c:numRef>
            </c:plus>
            <c:minus>
              <c:numRef>
                <c:f>(Color!$G$74,Color!$G$154,Color!$G$234)</c:f>
                <c:numCache>
                  <c:formatCode>General</c:formatCode>
                  <c:ptCount val="3"/>
                  <c:pt idx="0">
                    <c:v>0.46867005968580838</c:v>
                  </c:pt>
                  <c:pt idx="1">
                    <c:v>0.37855652991189748</c:v>
                  </c:pt>
                  <c:pt idx="2">
                    <c:v>0.15122425036784073</c:v>
                  </c:pt>
                </c:numCache>
              </c:numRef>
            </c:minus>
          </c:errBars>
          <c:xVal>
            <c:numRef>
              <c:f>Color!$A$231:$A$233</c:f>
              <c:numCache>
                <c:formatCode>General</c:formatCode>
                <c:ptCount val="3"/>
                <c:pt idx="0">
                  <c:v>0</c:v>
                </c:pt>
                <c:pt idx="1">
                  <c:v>21</c:v>
                </c:pt>
                <c:pt idx="2">
                  <c:v>42</c:v>
                </c:pt>
              </c:numCache>
            </c:numRef>
          </c:xVal>
          <c:yVal>
            <c:numRef>
              <c:f>(Color!$F$74,Color!$F$154,Color!$F$234)</c:f>
              <c:numCache>
                <c:formatCode>0.00</c:formatCode>
                <c:ptCount val="3"/>
                <c:pt idx="0">
                  <c:v>0.85000000000000164</c:v>
                </c:pt>
                <c:pt idx="1">
                  <c:v>4.8817500000000003</c:v>
                </c:pt>
                <c:pt idx="2">
                  <c:v>8.6189999999999998</c:v>
                </c:pt>
              </c:numCache>
            </c:numRef>
          </c:yVal>
          <c:smooth val="1"/>
        </c:ser>
        <c:ser>
          <c:idx val="3"/>
          <c:order val="3"/>
          <c:tx>
            <c:v>Control-A2P</c:v>
          </c:tx>
          <c:errBars>
            <c:errDir val="y"/>
            <c:errBarType val="both"/>
            <c:errValType val="cust"/>
            <c:plus>
              <c:numRef>
                <c:f>(Color!$G$78,Color!$G$158,Color!$G$238)</c:f>
                <c:numCache>
                  <c:formatCode>General</c:formatCode>
                  <c:ptCount val="3"/>
                  <c:pt idx="0">
                    <c:v>0.22507271765843967</c:v>
                  </c:pt>
                  <c:pt idx="1">
                    <c:v>0.13916039902323701</c:v>
                  </c:pt>
                  <c:pt idx="2">
                    <c:v>0.51122290141321058</c:v>
                  </c:pt>
                </c:numCache>
              </c:numRef>
            </c:plus>
            <c:minus>
              <c:numRef>
                <c:f>(Color!$G$78,Color!$G$158,Color!$G$238)</c:f>
                <c:numCache>
                  <c:formatCode>General</c:formatCode>
                  <c:ptCount val="3"/>
                  <c:pt idx="0">
                    <c:v>0.22507271765843967</c:v>
                  </c:pt>
                  <c:pt idx="1">
                    <c:v>0.13916039902323701</c:v>
                  </c:pt>
                  <c:pt idx="2">
                    <c:v>0.51122290141321058</c:v>
                  </c:pt>
                </c:numCache>
              </c:numRef>
            </c:minus>
          </c:errBars>
          <c:xVal>
            <c:numRef>
              <c:f>Color!$A$231:$A$233</c:f>
              <c:numCache>
                <c:formatCode>General</c:formatCode>
                <c:ptCount val="3"/>
                <c:pt idx="0">
                  <c:v>0</c:v>
                </c:pt>
                <c:pt idx="1">
                  <c:v>21</c:v>
                </c:pt>
                <c:pt idx="2">
                  <c:v>42</c:v>
                </c:pt>
              </c:numCache>
            </c:numRef>
          </c:xVal>
          <c:yVal>
            <c:numRef>
              <c:f>(Color!$F$78,Color!$F$158,Color!$F$238)</c:f>
              <c:numCache>
                <c:formatCode>0.00</c:formatCode>
                <c:ptCount val="3"/>
                <c:pt idx="0">
                  <c:v>-1.5429999999999899</c:v>
                </c:pt>
                <c:pt idx="1">
                  <c:v>2.1909999999999998</c:v>
                </c:pt>
                <c:pt idx="2">
                  <c:v>6.8464999999999998</c:v>
                </c:pt>
              </c:numCache>
            </c:numRef>
          </c:yVal>
          <c:smooth val="1"/>
        </c:ser>
        <c:ser>
          <c:idx val="4"/>
          <c:order val="4"/>
          <c:tx>
            <c:v>A20-0.01% Pycnogenol</c:v>
          </c:tx>
          <c:spPr>
            <a:ln>
              <a:solidFill>
                <a:srgbClr val="FF130D"/>
              </a:solidFill>
            </a:ln>
          </c:spPr>
          <c:marker>
            <c:spPr>
              <a:solidFill>
                <a:srgbClr val="FF130D"/>
              </a:solidFill>
            </c:spPr>
          </c:marker>
          <c:errBars>
            <c:errDir val="y"/>
            <c:errBarType val="both"/>
            <c:errValType val="cust"/>
            <c:plus>
              <c:numRef>
                <c:f>(Color!$G$79,Color!$G$159,Color!$G$239)</c:f>
                <c:numCache>
                  <c:formatCode>General</c:formatCode>
                  <c:ptCount val="3"/>
                  <c:pt idx="0">
                    <c:v>0.78930698142325029</c:v>
                  </c:pt>
                  <c:pt idx="1">
                    <c:v>0.30722104469216499</c:v>
                  </c:pt>
                  <c:pt idx="2">
                    <c:v>0.21905729320084821</c:v>
                  </c:pt>
                </c:numCache>
              </c:numRef>
            </c:plus>
            <c:minus>
              <c:numRef>
                <c:f>(Color!$G$79,Color!$G$159,Color!$G$239)</c:f>
                <c:numCache>
                  <c:formatCode>General</c:formatCode>
                  <c:ptCount val="3"/>
                  <c:pt idx="0">
                    <c:v>0.78930698142325029</c:v>
                  </c:pt>
                  <c:pt idx="1">
                    <c:v>0.30722104469216499</c:v>
                  </c:pt>
                  <c:pt idx="2">
                    <c:v>0.21905729320084821</c:v>
                  </c:pt>
                </c:numCache>
              </c:numRef>
            </c:minus>
          </c:errBars>
          <c:xVal>
            <c:numRef>
              <c:f>Color!$A$231:$A$233</c:f>
              <c:numCache>
                <c:formatCode>General</c:formatCode>
                <c:ptCount val="3"/>
                <c:pt idx="0">
                  <c:v>0</c:v>
                </c:pt>
                <c:pt idx="1">
                  <c:v>21</c:v>
                </c:pt>
                <c:pt idx="2">
                  <c:v>42</c:v>
                </c:pt>
              </c:numCache>
            </c:numRef>
          </c:xVal>
          <c:yVal>
            <c:numRef>
              <c:f>(Color!$F$79,Color!$F$159,Color!$F$239)</c:f>
              <c:numCache>
                <c:formatCode>0.00</c:formatCode>
                <c:ptCount val="3"/>
                <c:pt idx="0">
                  <c:v>-1.397</c:v>
                </c:pt>
                <c:pt idx="1">
                  <c:v>2.86</c:v>
                </c:pt>
                <c:pt idx="2">
                  <c:v>6.7810000000000024</c:v>
                </c:pt>
              </c:numCache>
            </c:numRef>
          </c:yVal>
          <c:smooth val="1"/>
        </c:ser>
        <c:ser>
          <c:idx val="5"/>
          <c:order val="5"/>
          <c:tx>
            <c:v>A2P-0.1%Pycnogenol</c:v>
          </c:tx>
          <c:errBars>
            <c:errDir val="y"/>
            <c:errBarType val="both"/>
            <c:errValType val="cust"/>
            <c:plus>
              <c:numRef>
                <c:f>(Color!$G$80,Color!$G$160,Color!$G$240)</c:f>
                <c:numCache>
                  <c:formatCode>General</c:formatCode>
                  <c:ptCount val="3"/>
                  <c:pt idx="0">
                    <c:v>0.56520081326368399</c:v>
                  </c:pt>
                  <c:pt idx="1">
                    <c:v>9.406719801214998E-2</c:v>
                  </c:pt>
                  <c:pt idx="2">
                    <c:v>0.26509774810035175</c:v>
                  </c:pt>
                </c:numCache>
              </c:numRef>
            </c:plus>
            <c:minus>
              <c:numRef>
                <c:f>(Color!$G$80,Color!$G$160,Color!$G$240)</c:f>
                <c:numCache>
                  <c:formatCode>General</c:formatCode>
                  <c:ptCount val="3"/>
                  <c:pt idx="0">
                    <c:v>0.56520081326368399</c:v>
                  </c:pt>
                  <c:pt idx="1">
                    <c:v>9.406719801214998E-2</c:v>
                  </c:pt>
                  <c:pt idx="2">
                    <c:v>0.26509774810035175</c:v>
                  </c:pt>
                </c:numCache>
              </c:numRef>
            </c:minus>
          </c:errBars>
          <c:xVal>
            <c:numRef>
              <c:f>Color!$A$231:$A$233</c:f>
              <c:numCache>
                <c:formatCode>General</c:formatCode>
                <c:ptCount val="3"/>
                <c:pt idx="0">
                  <c:v>0</c:v>
                </c:pt>
                <c:pt idx="1">
                  <c:v>21</c:v>
                </c:pt>
                <c:pt idx="2">
                  <c:v>42</c:v>
                </c:pt>
              </c:numCache>
            </c:numRef>
          </c:xVal>
          <c:yVal>
            <c:numRef>
              <c:f>(Color!$F$80,Color!$F$160,Color!$F$240)</c:f>
              <c:numCache>
                <c:formatCode>0.00</c:formatCode>
                <c:ptCount val="3"/>
                <c:pt idx="0">
                  <c:v>1.23925</c:v>
                </c:pt>
                <c:pt idx="1">
                  <c:v>4.4760000000000124</c:v>
                </c:pt>
                <c:pt idx="2">
                  <c:v>7.6695833333333328</c:v>
                </c:pt>
              </c:numCache>
            </c:numRef>
          </c:yVal>
          <c:smooth val="1"/>
        </c:ser>
        <c:axId val="158630272"/>
        <c:axId val="158644864"/>
      </c:scatterChart>
      <c:valAx>
        <c:axId val="158630272"/>
        <c:scaling>
          <c:orientation val="minMax"/>
          <c:max val="46"/>
          <c:min val="0"/>
        </c:scaling>
        <c:axPos val="b"/>
        <c:title>
          <c:tx>
            <c:rich>
              <a:bodyPr/>
              <a:lstStyle/>
              <a:p>
                <a:pPr>
                  <a:defRPr sz="800"/>
                </a:pPr>
                <a:r>
                  <a:rPr lang="es-ES" sz="800"/>
                  <a:t>Storage (Days)</a:t>
                </a:r>
              </a:p>
            </c:rich>
          </c:tx>
          <c:layout>
            <c:manualLayout>
              <c:xMode val="edge"/>
              <c:yMode val="edge"/>
              <c:x val="0.47233011431813099"/>
              <c:y val="0.73007931232209133"/>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58644864"/>
        <c:crosses val="autoZero"/>
        <c:crossBetween val="midCat"/>
        <c:majorUnit val="7"/>
      </c:valAx>
      <c:valAx>
        <c:axId val="158644864"/>
        <c:scaling>
          <c:orientation val="minMax"/>
        </c:scaling>
        <c:axPos val="l"/>
        <c:title>
          <c:tx>
            <c:rich>
              <a:bodyPr/>
              <a:lstStyle/>
              <a:p>
                <a:pPr>
                  <a:defRPr/>
                </a:pPr>
                <a:r>
                  <a:rPr lang="es-ES" sz="800"/>
                  <a:t>a*</a:t>
                </a:r>
              </a:p>
            </c:rich>
          </c:tx>
        </c:title>
        <c:numFmt formatCode="0.00" sourceLinked="1"/>
        <c:tickLblPos val="nextTo"/>
        <c:txPr>
          <a:bodyPr/>
          <a:lstStyle/>
          <a:p>
            <a:pPr>
              <a:defRPr sz="800"/>
            </a:pPr>
            <a:endParaRPr lang="en-US"/>
          </a:p>
        </c:txPr>
        <c:crossAx val="158630272"/>
        <c:crosses val="autoZero"/>
        <c:crossBetween val="midCat"/>
      </c:valAx>
    </c:plotArea>
    <c:legend>
      <c:legendPos val="b"/>
      <c:layout>
        <c:manualLayout>
          <c:xMode val="edge"/>
          <c:yMode val="edge"/>
          <c:x val="0.11886717881641802"/>
          <c:y val="0.8523389934038007"/>
          <c:w val="0.85138601476801801"/>
          <c:h val="9.9775434261498708E-2"/>
        </c:manualLayout>
      </c:layout>
      <c:txPr>
        <a:bodyPr/>
        <a:lstStyle/>
        <a:p>
          <a:pPr>
            <a:defRPr sz="600"/>
          </a:pPr>
          <a:endParaRPr lang="en-US"/>
        </a:p>
      </c:txPr>
    </c:legend>
    <c:plotVisOnly val="1"/>
    <c:dispBlanksAs val="gap"/>
  </c:chart>
  <c:spPr>
    <a:ln>
      <a:noFill/>
    </a:ln>
  </c:spPr>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3304585186784373"/>
          <c:y val="2.2968419888147511E-2"/>
          <c:w val="0.816581924219421"/>
          <c:h val="0.80160251361481871"/>
        </c:manualLayout>
      </c:layout>
      <c:scatterChart>
        <c:scatterStyle val="smoothMarker"/>
        <c:ser>
          <c:idx val="1"/>
          <c:order val="0"/>
          <c:tx>
            <c:v>Control-AA</c:v>
          </c:tx>
          <c:errBars>
            <c:errDir val="y"/>
            <c:errBarType val="both"/>
            <c:errValType val="cust"/>
            <c:plus>
              <c:numRef>
                <c:f>(Color!$G$72,Color!$G$152,Color!$G$232)</c:f>
                <c:numCache>
                  <c:formatCode>General</c:formatCode>
                  <c:ptCount val="3"/>
                  <c:pt idx="0">
                    <c:v>0.49780317395533535</c:v>
                  </c:pt>
                  <c:pt idx="1">
                    <c:v>2.6870057685089023E-2</c:v>
                  </c:pt>
                  <c:pt idx="2">
                    <c:v>0.31289475067505135</c:v>
                  </c:pt>
                </c:numCache>
              </c:numRef>
            </c:plus>
            <c:minus>
              <c:numRef>
                <c:f>(Color!$G$72,Color!$G$152,Color!$G$232)</c:f>
                <c:numCache>
                  <c:formatCode>General</c:formatCode>
                  <c:ptCount val="3"/>
                  <c:pt idx="0">
                    <c:v>0.49780317395533535</c:v>
                  </c:pt>
                  <c:pt idx="1">
                    <c:v>2.6870057685089023E-2</c:v>
                  </c:pt>
                  <c:pt idx="2">
                    <c:v>0.31289475067505135</c:v>
                  </c:pt>
                </c:numCache>
              </c:numRef>
            </c:minus>
          </c:errBars>
          <c:xVal>
            <c:numRef>
              <c:f>Color!$L$71:$L$73</c:f>
              <c:numCache>
                <c:formatCode>General</c:formatCode>
                <c:ptCount val="3"/>
                <c:pt idx="0">
                  <c:v>0</c:v>
                </c:pt>
                <c:pt idx="1">
                  <c:v>42</c:v>
                </c:pt>
                <c:pt idx="2">
                  <c:v>84</c:v>
                </c:pt>
              </c:numCache>
            </c:numRef>
          </c:xVal>
          <c:yVal>
            <c:numRef>
              <c:f>(Color!$F$72,Color!$F$152,Color!$F$232)</c:f>
              <c:numCache>
                <c:formatCode>0.00</c:formatCode>
                <c:ptCount val="3"/>
                <c:pt idx="0">
                  <c:v>-2.8159999999999967</c:v>
                </c:pt>
                <c:pt idx="1">
                  <c:v>-0.54700000000000004</c:v>
                </c:pt>
                <c:pt idx="2">
                  <c:v>1.9887500000000116</c:v>
                </c:pt>
              </c:numCache>
            </c:numRef>
          </c:yVal>
          <c:smooth val="1"/>
        </c:ser>
        <c:ser>
          <c:idx val="0"/>
          <c:order val="1"/>
          <c:tx>
            <c:v>AA-0.01% Pycnogenol</c:v>
          </c:tx>
          <c:errBars>
            <c:errDir val="y"/>
            <c:errBarType val="both"/>
            <c:errValType val="cust"/>
            <c:plus>
              <c:numRef>
                <c:f>(Color!$G$73,Color!$G$153,Color!$G$233)</c:f>
                <c:numCache>
                  <c:formatCode>General</c:formatCode>
                  <c:ptCount val="3"/>
                  <c:pt idx="0">
                    <c:v>6.7882250993904034E-2</c:v>
                  </c:pt>
                  <c:pt idx="1">
                    <c:v>7.2124891681025816E-2</c:v>
                  </c:pt>
                  <c:pt idx="2">
                    <c:v>5.9396969619672349E-2</c:v>
                  </c:pt>
                </c:numCache>
              </c:numRef>
            </c:plus>
            <c:minus>
              <c:numRef>
                <c:f>(Color!$G$73,Color!$G$153,Color!$G$233)</c:f>
                <c:numCache>
                  <c:formatCode>General</c:formatCode>
                  <c:ptCount val="3"/>
                  <c:pt idx="0">
                    <c:v>6.7882250993904034E-2</c:v>
                  </c:pt>
                  <c:pt idx="1">
                    <c:v>7.2124891681025816E-2</c:v>
                  </c:pt>
                  <c:pt idx="2">
                    <c:v>5.9396969619672349E-2</c:v>
                  </c:pt>
                </c:numCache>
              </c:numRef>
            </c:minus>
          </c:errBars>
          <c:xVal>
            <c:numRef>
              <c:f>Color!$L$71:$L$73</c:f>
              <c:numCache>
                <c:formatCode>General</c:formatCode>
                <c:ptCount val="3"/>
                <c:pt idx="0">
                  <c:v>0</c:v>
                </c:pt>
                <c:pt idx="1">
                  <c:v>42</c:v>
                </c:pt>
                <c:pt idx="2">
                  <c:v>84</c:v>
                </c:pt>
              </c:numCache>
            </c:numRef>
          </c:xVal>
          <c:yVal>
            <c:numRef>
              <c:f>(Color!$F$73,Color!$F$153,Color!$F$233)</c:f>
              <c:numCache>
                <c:formatCode>0.00</c:formatCode>
                <c:ptCount val="3"/>
                <c:pt idx="0">
                  <c:v>-2.6519999999999997</c:v>
                </c:pt>
                <c:pt idx="1">
                  <c:v>-0.91900000000000004</c:v>
                </c:pt>
                <c:pt idx="2">
                  <c:v>1.6220000000000001</c:v>
                </c:pt>
              </c:numCache>
            </c:numRef>
          </c:yVal>
          <c:smooth val="1"/>
        </c:ser>
        <c:ser>
          <c:idx val="2"/>
          <c:order val="2"/>
          <c:tx>
            <c:v>AA-0.1% Pycnogenol</c:v>
          </c:tx>
          <c:errBars>
            <c:errDir val="y"/>
            <c:errBarType val="both"/>
            <c:errValType val="cust"/>
            <c:plus>
              <c:numRef>
                <c:f>(Color!$G$74,Color!$G$154,Color!$G$234)</c:f>
                <c:numCache>
                  <c:formatCode>General</c:formatCode>
                  <c:ptCount val="3"/>
                  <c:pt idx="0">
                    <c:v>0.26304372260139247</c:v>
                  </c:pt>
                  <c:pt idx="1">
                    <c:v>0.34082546853191531</c:v>
                  </c:pt>
                  <c:pt idx="2">
                    <c:v>0.16369521984472021</c:v>
                  </c:pt>
                </c:numCache>
              </c:numRef>
            </c:plus>
            <c:minus>
              <c:numRef>
                <c:f>(Color!$G$74,Color!$G$154,Color!$G$234)</c:f>
                <c:numCache>
                  <c:formatCode>General</c:formatCode>
                  <c:ptCount val="3"/>
                  <c:pt idx="0">
                    <c:v>0.26304372260139247</c:v>
                  </c:pt>
                  <c:pt idx="1">
                    <c:v>0.34082546853191531</c:v>
                  </c:pt>
                  <c:pt idx="2">
                    <c:v>0.16369521984472021</c:v>
                  </c:pt>
                </c:numCache>
              </c:numRef>
            </c:minus>
          </c:errBars>
          <c:xVal>
            <c:numRef>
              <c:f>Color!$L$71:$L$73</c:f>
              <c:numCache>
                <c:formatCode>General</c:formatCode>
                <c:ptCount val="3"/>
                <c:pt idx="0">
                  <c:v>0</c:v>
                </c:pt>
                <c:pt idx="1">
                  <c:v>42</c:v>
                </c:pt>
                <c:pt idx="2">
                  <c:v>84</c:v>
                </c:pt>
              </c:numCache>
            </c:numRef>
          </c:xVal>
          <c:yVal>
            <c:numRef>
              <c:f>(Color!$F$74,Color!$F$154,Color!$F$234)</c:f>
              <c:numCache>
                <c:formatCode>0.00</c:formatCode>
                <c:ptCount val="3"/>
                <c:pt idx="0">
                  <c:v>0.85000000000000164</c:v>
                </c:pt>
                <c:pt idx="1">
                  <c:v>2.2930000000000001</c:v>
                </c:pt>
                <c:pt idx="2">
                  <c:v>4.7517500000000004</c:v>
                </c:pt>
              </c:numCache>
            </c:numRef>
          </c:yVal>
          <c:smooth val="1"/>
        </c:ser>
        <c:ser>
          <c:idx val="3"/>
          <c:order val="3"/>
          <c:tx>
            <c:v>Control-A2P</c:v>
          </c:tx>
          <c:errBars>
            <c:errDir val="y"/>
            <c:errBarType val="both"/>
            <c:errValType val="cust"/>
            <c:plus>
              <c:numRef>
                <c:f>(Color!$G$78,Color!$G$158,Color!$G$238)</c:f>
                <c:numCache>
                  <c:formatCode>General</c:formatCode>
                  <c:ptCount val="3"/>
                  <c:pt idx="0">
                    <c:v>9.899494936611854E-3</c:v>
                  </c:pt>
                </c:numCache>
              </c:numRef>
            </c:plus>
            <c:minus>
              <c:numRef>
                <c:f>(Color!$G$78,Color!$G$158,Color!$G$238)</c:f>
                <c:numCache>
                  <c:formatCode>General</c:formatCode>
                  <c:ptCount val="3"/>
                  <c:pt idx="0">
                    <c:v>9.899494936611854E-3</c:v>
                  </c:pt>
                </c:numCache>
              </c:numRef>
            </c:minus>
          </c:errBars>
          <c:xVal>
            <c:numRef>
              <c:f>Color!$L$71:$L$73</c:f>
              <c:numCache>
                <c:formatCode>General</c:formatCode>
                <c:ptCount val="3"/>
                <c:pt idx="0">
                  <c:v>0</c:v>
                </c:pt>
                <c:pt idx="1">
                  <c:v>42</c:v>
                </c:pt>
                <c:pt idx="2">
                  <c:v>84</c:v>
                </c:pt>
              </c:numCache>
            </c:numRef>
          </c:xVal>
          <c:yVal>
            <c:numRef>
              <c:f>(Color!$F$78,Color!$F$158,Color!$F$238)</c:f>
              <c:numCache>
                <c:formatCode>0.00</c:formatCode>
                <c:ptCount val="3"/>
                <c:pt idx="0">
                  <c:v>-1.5429999999999899</c:v>
                </c:pt>
                <c:pt idx="1">
                  <c:v>-1.8880000000000001</c:v>
                </c:pt>
                <c:pt idx="2">
                  <c:v>0.36200000000000032</c:v>
                </c:pt>
              </c:numCache>
            </c:numRef>
          </c:yVal>
          <c:smooth val="1"/>
        </c:ser>
        <c:ser>
          <c:idx val="4"/>
          <c:order val="4"/>
          <c:tx>
            <c:v>A2P-0.01%Pycnogenol</c:v>
          </c:tx>
          <c:spPr>
            <a:ln>
              <a:solidFill>
                <a:srgbClr val="FF130D"/>
              </a:solidFill>
            </a:ln>
          </c:spPr>
          <c:marker>
            <c:symbol val="star"/>
            <c:size val="7"/>
            <c:spPr>
              <a:solidFill>
                <a:srgbClr val="FF130D"/>
              </a:solidFill>
            </c:spPr>
          </c:marker>
          <c:errBars>
            <c:errDir val="y"/>
            <c:errBarType val="both"/>
            <c:errValType val="cust"/>
            <c:plus>
              <c:numRef>
                <c:f>(Color!$G$79,Color!$G$159,Color!$G$239)</c:f>
                <c:numCache>
                  <c:formatCode>General</c:formatCode>
                  <c:ptCount val="3"/>
                  <c:pt idx="0">
                    <c:v>0.439820417898037</c:v>
                  </c:pt>
                  <c:pt idx="1">
                    <c:v>0.47093311627024131</c:v>
                  </c:pt>
                  <c:pt idx="2">
                    <c:v>0.70074282015586764</c:v>
                  </c:pt>
                </c:numCache>
              </c:numRef>
            </c:plus>
            <c:minus>
              <c:numRef>
                <c:f>(Color!$G$79,Color!$G$159,Color!$G$239)</c:f>
                <c:numCache>
                  <c:formatCode>General</c:formatCode>
                  <c:ptCount val="3"/>
                  <c:pt idx="0">
                    <c:v>0.439820417898037</c:v>
                  </c:pt>
                  <c:pt idx="1">
                    <c:v>0.47093311627024131</c:v>
                  </c:pt>
                  <c:pt idx="2">
                    <c:v>0.70074282015586764</c:v>
                  </c:pt>
                </c:numCache>
              </c:numRef>
            </c:minus>
          </c:errBars>
          <c:xVal>
            <c:numRef>
              <c:f>Color!$L$71:$L$73</c:f>
              <c:numCache>
                <c:formatCode>General</c:formatCode>
                <c:ptCount val="3"/>
                <c:pt idx="0">
                  <c:v>0</c:v>
                </c:pt>
                <c:pt idx="1">
                  <c:v>42</c:v>
                </c:pt>
                <c:pt idx="2">
                  <c:v>84</c:v>
                </c:pt>
              </c:numCache>
            </c:numRef>
          </c:xVal>
          <c:yVal>
            <c:numRef>
              <c:f>(Color!$F$79,Color!$F$159,Color!$F$239)</c:f>
              <c:numCache>
                <c:formatCode>0.00</c:formatCode>
                <c:ptCount val="3"/>
                <c:pt idx="0">
                  <c:v>-1.397</c:v>
                </c:pt>
                <c:pt idx="1">
                  <c:v>7.0000000000000114E-3</c:v>
                </c:pt>
                <c:pt idx="2">
                  <c:v>2.6105</c:v>
                </c:pt>
              </c:numCache>
            </c:numRef>
          </c:yVal>
          <c:smooth val="1"/>
        </c:ser>
        <c:ser>
          <c:idx val="5"/>
          <c:order val="5"/>
          <c:tx>
            <c:v>A2P-0.1%Pycnogenol</c:v>
          </c:tx>
          <c:errBars>
            <c:errDir val="y"/>
            <c:errBarType val="both"/>
            <c:errValType val="cust"/>
            <c:plus>
              <c:numRef>
                <c:f>(Color!$G$80,Color!$G$160,Color!$G$240)</c:f>
                <c:numCache>
                  <c:formatCode>General</c:formatCode>
                  <c:ptCount val="3"/>
                  <c:pt idx="0">
                    <c:v>0.45679098064650875</c:v>
                  </c:pt>
                  <c:pt idx="1">
                    <c:v>0.14000714267493924</c:v>
                  </c:pt>
                  <c:pt idx="2">
                    <c:v>0.20788939366885201</c:v>
                  </c:pt>
                </c:numCache>
              </c:numRef>
            </c:plus>
            <c:minus>
              <c:numRef>
                <c:f>(Color!$G$80,Color!$G$160,Color!$G$240)</c:f>
                <c:numCache>
                  <c:formatCode>General</c:formatCode>
                  <c:ptCount val="3"/>
                  <c:pt idx="0">
                    <c:v>0.45679098064650875</c:v>
                  </c:pt>
                  <c:pt idx="1">
                    <c:v>0.14000714267493924</c:v>
                  </c:pt>
                  <c:pt idx="2">
                    <c:v>0.20788939366885201</c:v>
                  </c:pt>
                </c:numCache>
              </c:numRef>
            </c:minus>
          </c:errBars>
          <c:xVal>
            <c:numRef>
              <c:f>Color!$L$71:$L$73</c:f>
              <c:numCache>
                <c:formatCode>General</c:formatCode>
                <c:ptCount val="3"/>
                <c:pt idx="0">
                  <c:v>0</c:v>
                </c:pt>
                <c:pt idx="1">
                  <c:v>42</c:v>
                </c:pt>
                <c:pt idx="2">
                  <c:v>84</c:v>
                </c:pt>
              </c:numCache>
            </c:numRef>
          </c:xVal>
          <c:yVal>
            <c:numRef>
              <c:f>(Color!$F$80,Color!$F$160,Color!$F$240)</c:f>
              <c:numCache>
                <c:formatCode>0.00</c:formatCode>
                <c:ptCount val="3"/>
                <c:pt idx="0">
                  <c:v>1.2329999999999877</c:v>
                </c:pt>
                <c:pt idx="1">
                  <c:v>1.9510000000000001</c:v>
                </c:pt>
                <c:pt idx="2">
                  <c:v>3.1369999999999987</c:v>
                </c:pt>
              </c:numCache>
            </c:numRef>
          </c:yVal>
          <c:smooth val="1"/>
        </c:ser>
        <c:axId val="169701376"/>
        <c:axId val="169703680"/>
      </c:scatterChart>
      <c:valAx>
        <c:axId val="169701376"/>
        <c:scaling>
          <c:orientation val="minMax"/>
        </c:scaling>
        <c:axPos val="b"/>
        <c:title>
          <c:tx>
            <c:rich>
              <a:bodyPr/>
              <a:lstStyle/>
              <a:p>
                <a:pPr>
                  <a:defRPr sz="800"/>
                </a:pPr>
                <a:r>
                  <a:rPr lang="es-ES" sz="800"/>
                  <a:t>Storage (Days)</a:t>
                </a:r>
              </a:p>
            </c:rich>
          </c:tx>
          <c:layout>
            <c:manualLayout>
              <c:xMode val="edge"/>
              <c:yMode val="edge"/>
              <c:x val="0.46454638080405936"/>
              <c:y val="0.64131658151270876"/>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69703680"/>
        <c:crosses val="autoZero"/>
        <c:crossBetween val="midCat"/>
      </c:valAx>
      <c:valAx>
        <c:axId val="169703680"/>
        <c:scaling>
          <c:orientation val="minMax"/>
          <c:max val="8"/>
          <c:min val="-6"/>
        </c:scaling>
        <c:axPos val="l"/>
        <c:title>
          <c:tx>
            <c:rich>
              <a:bodyPr/>
              <a:lstStyle/>
              <a:p>
                <a:pPr>
                  <a:defRPr sz="800"/>
                </a:pPr>
                <a:r>
                  <a:rPr lang="es-ES" sz="800"/>
                  <a:t>a*</a:t>
                </a:r>
              </a:p>
            </c:rich>
          </c:tx>
        </c:title>
        <c:numFmt formatCode="0.0" sourceLinked="0"/>
        <c:tickLblPos val="nextTo"/>
        <c:txPr>
          <a:bodyPr/>
          <a:lstStyle/>
          <a:p>
            <a:pPr>
              <a:defRPr sz="800"/>
            </a:pPr>
            <a:endParaRPr lang="en-US"/>
          </a:p>
        </c:txPr>
        <c:crossAx val="169701376"/>
        <c:crosses val="autoZero"/>
        <c:crossBetween val="midCat"/>
        <c:majorUnit val="2"/>
      </c:valAx>
    </c:plotArea>
    <c:legend>
      <c:legendPos val="b"/>
      <c:txPr>
        <a:bodyPr/>
        <a:lstStyle/>
        <a:p>
          <a:pPr>
            <a:defRPr sz="600"/>
          </a:pPr>
          <a:endParaRPr lang="en-US"/>
        </a:p>
      </c:txPr>
    </c:legend>
    <c:plotVisOnly val="1"/>
    <c:dispBlanksAs val="gap"/>
  </c:chart>
  <c:spPr>
    <a:ln>
      <a:noFill/>
    </a:ln>
  </c:sp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587377238322887"/>
          <c:y val="3.6063285308460806E-2"/>
          <c:w val="0.81688809913161697"/>
          <c:h val="0.68884808594910063"/>
        </c:manualLayout>
      </c:layout>
      <c:scatterChart>
        <c:scatterStyle val="smoothMarker"/>
        <c:ser>
          <c:idx val="1"/>
          <c:order val="0"/>
          <c:tx>
            <c:v>Control-AA</c:v>
          </c:tx>
          <c:errBars>
            <c:errDir val="y"/>
            <c:errBarType val="both"/>
            <c:errValType val="cust"/>
            <c:plus>
              <c:numRef>
                <c:f>(Color!$I$72,Color!$I$152,Color!$I$232)</c:f>
                <c:numCache>
                  <c:formatCode>General</c:formatCode>
                  <c:ptCount val="3"/>
                  <c:pt idx="0">
                    <c:v>0.8186988570225936</c:v>
                  </c:pt>
                  <c:pt idx="1">
                    <c:v>0.48940653726665923</c:v>
                  </c:pt>
                  <c:pt idx="2">
                    <c:v>0.26749770424615499</c:v>
                  </c:pt>
                </c:numCache>
              </c:numRef>
            </c:plus>
            <c:minus>
              <c:numRef>
                <c:f>(Color!$I$72,Color!$I$152,Color!$I$232)</c:f>
                <c:numCache>
                  <c:formatCode>General</c:formatCode>
                  <c:ptCount val="3"/>
                  <c:pt idx="0">
                    <c:v>0.8186988570225936</c:v>
                  </c:pt>
                  <c:pt idx="1">
                    <c:v>0.48940653726665923</c:v>
                  </c:pt>
                  <c:pt idx="2">
                    <c:v>0.26749770424615499</c:v>
                  </c:pt>
                </c:numCache>
              </c:numRef>
            </c:minus>
          </c:errBars>
          <c:xVal>
            <c:numRef>
              <c:f>Color!$A$231:$A$233</c:f>
              <c:numCache>
                <c:formatCode>General</c:formatCode>
                <c:ptCount val="3"/>
                <c:pt idx="0">
                  <c:v>0</c:v>
                </c:pt>
                <c:pt idx="1">
                  <c:v>21</c:v>
                </c:pt>
                <c:pt idx="2">
                  <c:v>42</c:v>
                </c:pt>
              </c:numCache>
            </c:numRef>
          </c:xVal>
          <c:yVal>
            <c:numRef>
              <c:f>(Color!$H$72,Color!$H$152,Color!$H$232)</c:f>
              <c:numCache>
                <c:formatCode>0.00</c:formatCode>
                <c:ptCount val="3"/>
                <c:pt idx="0">
                  <c:v>29.020999999999987</c:v>
                </c:pt>
                <c:pt idx="1">
                  <c:v>24.574999999999999</c:v>
                </c:pt>
                <c:pt idx="2">
                  <c:v>24.471999999999987</c:v>
                </c:pt>
              </c:numCache>
            </c:numRef>
          </c:yVal>
          <c:smooth val="1"/>
        </c:ser>
        <c:ser>
          <c:idx val="0"/>
          <c:order val="1"/>
          <c:tx>
            <c:v>AA-0.01% Pycnogenol</c:v>
          </c:tx>
          <c:errBars>
            <c:errDir val="y"/>
            <c:errBarType val="both"/>
            <c:errValType val="cust"/>
            <c:plus>
              <c:numRef>
                <c:f>(Color!$G$73,Color!$G$153,Color!$G$233)</c:f>
                <c:numCache>
                  <c:formatCode>General</c:formatCode>
                  <c:ptCount val="3"/>
                  <c:pt idx="0">
                    <c:v>0.283340736097699</c:v>
                  </c:pt>
                  <c:pt idx="1">
                    <c:v>0.67547305400433399</c:v>
                  </c:pt>
                  <c:pt idx="2">
                    <c:v>0.41636428873889247</c:v>
                  </c:pt>
                </c:numCache>
              </c:numRef>
            </c:plus>
            <c:minus>
              <c:numRef>
                <c:f>(Color!$G$73,Color!$G$153,Color!$G$233)</c:f>
                <c:numCache>
                  <c:formatCode>General</c:formatCode>
                  <c:ptCount val="3"/>
                  <c:pt idx="0">
                    <c:v>0.283340736097699</c:v>
                  </c:pt>
                  <c:pt idx="1">
                    <c:v>0.67547305400433399</c:v>
                  </c:pt>
                  <c:pt idx="2">
                    <c:v>0.41636428873889247</c:v>
                  </c:pt>
                </c:numCache>
              </c:numRef>
            </c:minus>
          </c:errBars>
          <c:xVal>
            <c:numRef>
              <c:f>Color!$A$231:$A$233</c:f>
              <c:numCache>
                <c:formatCode>General</c:formatCode>
                <c:ptCount val="3"/>
                <c:pt idx="0">
                  <c:v>0</c:v>
                </c:pt>
                <c:pt idx="1">
                  <c:v>21</c:v>
                </c:pt>
                <c:pt idx="2">
                  <c:v>42</c:v>
                </c:pt>
              </c:numCache>
            </c:numRef>
          </c:xVal>
          <c:yVal>
            <c:numRef>
              <c:f>(Color!$H$73,Color!$H$153,Color!$H$233)</c:f>
              <c:numCache>
                <c:formatCode>0.00</c:formatCode>
                <c:ptCount val="3"/>
                <c:pt idx="0">
                  <c:v>29.839000000000031</c:v>
                </c:pt>
                <c:pt idx="1">
                  <c:v>27.515000000000001</c:v>
                </c:pt>
                <c:pt idx="2">
                  <c:v>24.910999999999987</c:v>
                </c:pt>
              </c:numCache>
            </c:numRef>
          </c:yVal>
          <c:smooth val="1"/>
        </c:ser>
        <c:ser>
          <c:idx val="2"/>
          <c:order val="2"/>
          <c:tx>
            <c:v>AA-0.1% Pycnogenol</c:v>
          </c:tx>
          <c:errBars>
            <c:errDir val="y"/>
            <c:errBarType val="both"/>
            <c:errValType val="cust"/>
            <c:plus>
              <c:numRef>
                <c:f>(Color!$I$74,Color!$I$154,Color!$I$234)</c:f>
                <c:numCache>
                  <c:formatCode>General</c:formatCode>
                  <c:ptCount val="3"/>
                  <c:pt idx="0">
                    <c:v>0.38865743168247535</c:v>
                  </c:pt>
                  <c:pt idx="1">
                    <c:v>0.79264315319099565</c:v>
                  </c:pt>
                  <c:pt idx="2">
                    <c:v>0.112081322341908</c:v>
                  </c:pt>
                </c:numCache>
              </c:numRef>
            </c:plus>
            <c:minus>
              <c:numRef>
                <c:f>(Color!$I$74,Color!$I$154,Color!$I$234)</c:f>
                <c:numCache>
                  <c:formatCode>General</c:formatCode>
                  <c:ptCount val="3"/>
                  <c:pt idx="0">
                    <c:v>0.38865743168247535</c:v>
                  </c:pt>
                  <c:pt idx="1">
                    <c:v>0.79264315319099565</c:v>
                  </c:pt>
                  <c:pt idx="2">
                    <c:v>0.112081322341908</c:v>
                  </c:pt>
                </c:numCache>
              </c:numRef>
            </c:minus>
          </c:errBars>
          <c:xVal>
            <c:numRef>
              <c:f>Color!$A$231:$A$233</c:f>
              <c:numCache>
                <c:formatCode>General</c:formatCode>
                <c:ptCount val="3"/>
                <c:pt idx="0">
                  <c:v>0</c:v>
                </c:pt>
                <c:pt idx="1">
                  <c:v>21</c:v>
                </c:pt>
                <c:pt idx="2">
                  <c:v>42</c:v>
                </c:pt>
              </c:numCache>
            </c:numRef>
          </c:xVal>
          <c:yVal>
            <c:numRef>
              <c:f>(Color!$H$74,Color!$H$154,Color!$H$234)</c:f>
              <c:numCache>
                <c:formatCode>0.00</c:formatCode>
                <c:ptCount val="3"/>
                <c:pt idx="0">
                  <c:v>29.224999999999987</c:v>
                </c:pt>
                <c:pt idx="1">
                  <c:v>26.369250000000001</c:v>
                </c:pt>
                <c:pt idx="2">
                  <c:v>24.813000000000031</c:v>
                </c:pt>
              </c:numCache>
            </c:numRef>
          </c:yVal>
          <c:smooth val="1"/>
        </c:ser>
        <c:ser>
          <c:idx val="3"/>
          <c:order val="3"/>
          <c:tx>
            <c:v>Control-A2P</c:v>
          </c:tx>
          <c:errBars>
            <c:errDir val="y"/>
            <c:errBarType val="both"/>
            <c:errValType val="cust"/>
            <c:plus>
              <c:numRef>
                <c:f>(Color!$I$78,Color!$I$158,Color!$I$238)</c:f>
                <c:numCache>
                  <c:formatCode>General</c:formatCode>
                  <c:ptCount val="3"/>
                  <c:pt idx="0">
                    <c:v>0.84627182167373471</c:v>
                  </c:pt>
                  <c:pt idx="1">
                    <c:v>0.7184210399123665</c:v>
                  </c:pt>
                  <c:pt idx="2">
                    <c:v>0.92636274666334151</c:v>
                  </c:pt>
                </c:numCache>
              </c:numRef>
            </c:plus>
            <c:minus>
              <c:numRef>
                <c:f>(Color!$I$78,Color!$I$158,Color!$I$238)</c:f>
                <c:numCache>
                  <c:formatCode>General</c:formatCode>
                  <c:ptCount val="3"/>
                  <c:pt idx="0">
                    <c:v>0.84627182167373471</c:v>
                  </c:pt>
                  <c:pt idx="1">
                    <c:v>0.7184210399123665</c:v>
                  </c:pt>
                  <c:pt idx="2">
                    <c:v>0.92636274666334151</c:v>
                  </c:pt>
                </c:numCache>
              </c:numRef>
            </c:minus>
          </c:errBars>
          <c:xVal>
            <c:numRef>
              <c:f>Color!$A$231:$A$233</c:f>
              <c:numCache>
                <c:formatCode>General</c:formatCode>
                <c:ptCount val="3"/>
                <c:pt idx="0">
                  <c:v>0</c:v>
                </c:pt>
                <c:pt idx="1">
                  <c:v>21</c:v>
                </c:pt>
                <c:pt idx="2">
                  <c:v>42</c:v>
                </c:pt>
              </c:numCache>
            </c:numRef>
          </c:xVal>
          <c:yVal>
            <c:numRef>
              <c:f>(Color!$H$78,Color!$H$158,Color!$H$238)</c:f>
              <c:numCache>
                <c:formatCode>0.00</c:formatCode>
                <c:ptCount val="3"/>
                <c:pt idx="0">
                  <c:v>30.07</c:v>
                </c:pt>
                <c:pt idx="1">
                  <c:v>26.57400000000003</c:v>
                </c:pt>
                <c:pt idx="2">
                  <c:v>27.111500000000031</c:v>
                </c:pt>
              </c:numCache>
            </c:numRef>
          </c:yVal>
          <c:smooth val="1"/>
        </c:ser>
        <c:ser>
          <c:idx val="4"/>
          <c:order val="4"/>
          <c:tx>
            <c:v>A2P-0.01% Pycnogenol</c:v>
          </c:tx>
          <c:errBars>
            <c:errDir val="y"/>
            <c:errBarType val="both"/>
            <c:errValType val="cust"/>
            <c:plus>
              <c:numRef>
                <c:f>(Color!$I$79,Color!$I$159,Color!$I$239)</c:f>
                <c:numCache>
                  <c:formatCode>General</c:formatCode>
                  <c:ptCount val="3"/>
                  <c:pt idx="0">
                    <c:v>0.84142318360882862</c:v>
                  </c:pt>
                  <c:pt idx="1">
                    <c:v>8.9165894481771243E-2</c:v>
                  </c:pt>
                  <c:pt idx="2">
                    <c:v>0.39052954419646135</c:v>
                  </c:pt>
                </c:numCache>
              </c:numRef>
            </c:plus>
            <c:minus>
              <c:numRef>
                <c:f>(Color!$I$79,Color!$I$159,Color!$I$239)</c:f>
                <c:numCache>
                  <c:formatCode>General</c:formatCode>
                  <c:ptCount val="3"/>
                  <c:pt idx="0">
                    <c:v>0.84142318360882862</c:v>
                  </c:pt>
                  <c:pt idx="1">
                    <c:v>8.9165894481771243E-2</c:v>
                  </c:pt>
                  <c:pt idx="2">
                    <c:v>0.39052954419646135</c:v>
                  </c:pt>
                </c:numCache>
              </c:numRef>
            </c:minus>
          </c:errBars>
          <c:xVal>
            <c:numRef>
              <c:f>Color!$A$231:$A$233</c:f>
              <c:numCache>
                <c:formatCode>General</c:formatCode>
                <c:ptCount val="3"/>
                <c:pt idx="0">
                  <c:v>0</c:v>
                </c:pt>
                <c:pt idx="1">
                  <c:v>21</c:v>
                </c:pt>
                <c:pt idx="2">
                  <c:v>42</c:v>
                </c:pt>
              </c:numCache>
            </c:numRef>
          </c:xVal>
          <c:yVal>
            <c:numRef>
              <c:f>(Color!$H$79,Color!$H$159,Color!$H$239)</c:f>
              <c:numCache>
                <c:formatCode>0.00</c:formatCode>
                <c:ptCount val="3"/>
                <c:pt idx="0">
                  <c:v>31.622</c:v>
                </c:pt>
                <c:pt idx="1">
                  <c:v>28.715</c:v>
                </c:pt>
                <c:pt idx="2">
                  <c:v>25.72</c:v>
                </c:pt>
              </c:numCache>
            </c:numRef>
          </c:yVal>
          <c:smooth val="1"/>
        </c:ser>
        <c:ser>
          <c:idx val="5"/>
          <c:order val="5"/>
          <c:tx>
            <c:v>A2P-0.1% Pycnogenol</c:v>
          </c:tx>
          <c:errBars>
            <c:errDir val="y"/>
            <c:errBarType val="both"/>
            <c:errValType val="cust"/>
            <c:plus>
              <c:numRef>
                <c:f>(Color!$I$80,Color!$I$160,Color!$I$240)</c:f>
                <c:numCache>
                  <c:formatCode>General</c:formatCode>
                  <c:ptCount val="3"/>
                  <c:pt idx="0">
                    <c:v>0.71598976478352805</c:v>
                  </c:pt>
                  <c:pt idx="1">
                    <c:v>1.375380027184643</c:v>
                  </c:pt>
                  <c:pt idx="2">
                    <c:v>0.54096113364338672</c:v>
                  </c:pt>
                </c:numCache>
              </c:numRef>
            </c:plus>
            <c:minus>
              <c:numRef>
                <c:f>(Color!$I$80,Color!$I$160,Color!$I$240)</c:f>
                <c:numCache>
                  <c:formatCode>General</c:formatCode>
                  <c:ptCount val="3"/>
                  <c:pt idx="0">
                    <c:v>0.71598976478352805</c:v>
                  </c:pt>
                  <c:pt idx="1">
                    <c:v>1.375380027184643</c:v>
                  </c:pt>
                  <c:pt idx="2">
                    <c:v>0.54096113364338672</c:v>
                  </c:pt>
                </c:numCache>
              </c:numRef>
            </c:minus>
          </c:errBars>
          <c:xVal>
            <c:numRef>
              <c:f>Color!$A$231:$A$233</c:f>
              <c:numCache>
                <c:formatCode>General</c:formatCode>
                <c:ptCount val="3"/>
                <c:pt idx="0">
                  <c:v>0</c:v>
                </c:pt>
                <c:pt idx="1">
                  <c:v>21</c:v>
                </c:pt>
                <c:pt idx="2">
                  <c:v>42</c:v>
                </c:pt>
              </c:numCache>
            </c:numRef>
          </c:xVal>
          <c:yVal>
            <c:numRef>
              <c:f>(Color!$H$80,Color!$H$160,Color!$H$240)</c:f>
              <c:numCache>
                <c:formatCode>0.00</c:formatCode>
                <c:ptCount val="3"/>
                <c:pt idx="0">
                  <c:v>26.988249999999635</c:v>
                </c:pt>
                <c:pt idx="1">
                  <c:v>26.877000000000031</c:v>
                </c:pt>
                <c:pt idx="2">
                  <c:v>25.304583333333131</c:v>
                </c:pt>
              </c:numCache>
            </c:numRef>
          </c:yVal>
          <c:smooth val="1"/>
        </c:ser>
        <c:axId val="172153088"/>
        <c:axId val="173017344"/>
      </c:scatterChart>
      <c:valAx>
        <c:axId val="172153088"/>
        <c:scaling>
          <c:orientation val="minMax"/>
        </c:scaling>
        <c:axPos val="b"/>
        <c:title>
          <c:tx>
            <c:rich>
              <a:bodyPr/>
              <a:lstStyle/>
              <a:p>
                <a:pPr>
                  <a:defRPr/>
                </a:pPr>
                <a:r>
                  <a:rPr lang="es-ES"/>
                  <a:t>Storage (days)</a:t>
                </a:r>
              </a:p>
            </c:rich>
          </c:tx>
        </c:title>
        <c:numFmt formatCode="General" sourceLinked="1"/>
        <c:maj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73017344"/>
        <c:crosses val="autoZero"/>
        <c:crossBetween val="midCat"/>
      </c:valAx>
      <c:valAx>
        <c:axId val="173017344"/>
        <c:scaling>
          <c:orientation val="minMax"/>
          <c:max val="35"/>
          <c:min val="20"/>
        </c:scaling>
        <c:axPos val="l"/>
        <c:title>
          <c:tx>
            <c:rich>
              <a:bodyPr/>
              <a:lstStyle/>
              <a:p>
                <a:pPr>
                  <a:defRPr/>
                </a:pPr>
                <a:r>
                  <a:rPr lang="es-ES"/>
                  <a:t>b*</a:t>
                </a:r>
              </a:p>
            </c:rich>
          </c:tx>
        </c:title>
        <c:numFmt formatCode="0.0" sourceLinked="0"/>
        <c:tickLblPos val="nextTo"/>
        <c:crossAx val="172153088"/>
        <c:crosses val="autoZero"/>
        <c:crossBetween val="midCat"/>
      </c:valAx>
    </c:plotArea>
    <c:legend>
      <c:legendPos val="b"/>
      <c:txPr>
        <a:bodyPr/>
        <a:lstStyle/>
        <a:p>
          <a:pPr>
            <a:defRPr sz="600"/>
          </a:pPr>
          <a:endParaRPr lang="en-US"/>
        </a:p>
      </c:txPr>
    </c:legend>
    <c:plotVisOnly val="1"/>
    <c:dispBlanksAs val="gap"/>
  </c:chart>
  <c:spPr>
    <a:ln>
      <a:noFill/>
    </a:ln>
  </c:spPr>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3304585186784373"/>
          <c:y val="0.10314218031567712"/>
          <c:w val="0.816581924219421"/>
          <c:h val="0.64889042897469695"/>
        </c:manualLayout>
      </c:layout>
      <c:scatterChart>
        <c:scatterStyle val="smoothMarker"/>
        <c:ser>
          <c:idx val="1"/>
          <c:order val="0"/>
          <c:tx>
            <c:v>Control-AA</c:v>
          </c:tx>
          <c:errBars>
            <c:errDir val="y"/>
            <c:errBarType val="both"/>
            <c:errValType val="cust"/>
            <c:plus>
              <c:numRef>
                <c:f>(Color!$I$72,Color!$I$152,Color!$I$232)</c:f>
                <c:numCache>
                  <c:formatCode>General</c:formatCode>
                  <c:ptCount val="3"/>
                  <c:pt idx="0">
                    <c:v>1.2317800128269738</c:v>
                  </c:pt>
                  <c:pt idx="1">
                    <c:v>2.3362808050403561</c:v>
                  </c:pt>
                  <c:pt idx="2">
                    <c:v>0.77003928471222549</c:v>
                  </c:pt>
                </c:numCache>
              </c:numRef>
            </c:plus>
            <c:minus>
              <c:numRef>
                <c:f>(Color!$I$72,Color!$I$152,Color!$I$232)</c:f>
                <c:numCache>
                  <c:formatCode>General</c:formatCode>
                  <c:ptCount val="3"/>
                  <c:pt idx="0">
                    <c:v>1.2317800128269738</c:v>
                  </c:pt>
                  <c:pt idx="1">
                    <c:v>2.3362808050403561</c:v>
                  </c:pt>
                  <c:pt idx="2">
                    <c:v>0.77003928471222549</c:v>
                  </c:pt>
                </c:numCache>
              </c:numRef>
            </c:minus>
          </c:errBars>
          <c:xVal>
            <c:numRef>
              <c:f>Color!$L$71:$L$73</c:f>
              <c:numCache>
                <c:formatCode>General</c:formatCode>
                <c:ptCount val="3"/>
                <c:pt idx="0">
                  <c:v>0</c:v>
                </c:pt>
                <c:pt idx="1">
                  <c:v>42</c:v>
                </c:pt>
                <c:pt idx="2">
                  <c:v>84</c:v>
                </c:pt>
              </c:numCache>
            </c:numRef>
          </c:xVal>
          <c:yVal>
            <c:numRef>
              <c:f>(Color!$H$72,Color!$H$152,Color!$H$232)</c:f>
              <c:numCache>
                <c:formatCode>0.00</c:formatCode>
                <c:ptCount val="3"/>
                <c:pt idx="0">
                  <c:v>29.020999999999987</c:v>
                </c:pt>
                <c:pt idx="1">
                  <c:v>27.314000000000135</c:v>
                </c:pt>
                <c:pt idx="2">
                  <c:v>26.519500000000001</c:v>
                </c:pt>
              </c:numCache>
            </c:numRef>
          </c:yVal>
          <c:smooth val="1"/>
        </c:ser>
        <c:ser>
          <c:idx val="0"/>
          <c:order val="1"/>
          <c:tx>
            <c:v>AA-0.01% Pycnogenol</c:v>
          </c:tx>
          <c:errBars>
            <c:errDir val="y"/>
            <c:errBarType val="both"/>
            <c:errValType val="cust"/>
            <c:plus>
              <c:numRef>
                <c:f>(Color!$I$73,Color!$I$153,Color!$I$233)</c:f>
                <c:numCache>
                  <c:formatCode>General</c:formatCode>
                  <c:ptCount val="3"/>
                  <c:pt idx="0">
                    <c:v>1.7097841969089951</c:v>
                  </c:pt>
                  <c:pt idx="1">
                    <c:v>2.085965004500355</c:v>
                  </c:pt>
                  <c:pt idx="2">
                    <c:v>0.14849242404917659</c:v>
                  </c:pt>
                </c:numCache>
              </c:numRef>
            </c:plus>
            <c:minus>
              <c:numRef>
                <c:f>(Color!$I$73,Color!$I$153,Color!$I$233)</c:f>
                <c:numCache>
                  <c:formatCode>General</c:formatCode>
                  <c:ptCount val="3"/>
                  <c:pt idx="0">
                    <c:v>1.7097841969089951</c:v>
                  </c:pt>
                  <c:pt idx="1">
                    <c:v>2.085965004500355</c:v>
                  </c:pt>
                  <c:pt idx="2">
                    <c:v>0.14849242404917659</c:v>
                  </c:pt>
                </c:numCache>
              </c:numRef>
            </c:minus>
          </c:errBars>
          <c:xVal>
            <c:numRef>
              <c:f>Color!$L$71:$L$73</c:f>
              <c:numCache>
                <c:formatCode>General</c:formatCode>
                <c:ptCount val="3"/>
                <c:pt idx="0">
                  <c:v>0</c:v>
                </c:pt>
                <c:pt idx="1">
                  <c:v>42</c:v>
                </c:pt>
                <c:pt idx="2">
                  <c:v>84</c:v>
                </c:pt>
              </c:numCache>
            </c:numRef>
          </c:xVal>
          <c:yVal>
            <c:numRef>
              <c:f>(Color!$H$73,Color!$H$153,Color!$H$233)</c:f>
              <c:numCache>
                <c:formatCode>0.00</c:formatCode>
                <c:ptCount val="3"/>
                <c:pt idx="0">
                  <c:v>29.839000000000031</c:v>
                </c:pt>
                <c:pt idx="1">
                  <c:v>27.404999999999987</c:v>
                </c:pt>
                <c:pt idx="2">
                  <c:v>25.884999999999987</c:v>
                </c:pt>
              </c:numCache>
            </c:numRef>
          </c:yVal>
          <c:smooth val="1"/>
        </c:ser>
        <c:ser>
          <c:idx val="2"/>
          <c:order val="2"/>
          <c:tx>
            <c:v>AA-0.1% Pycnogenol</c:v>
          </c:tx>
          <c:errBars>
            <c:errDir val="y"/>
            <c:errBarType val="both"/>
            <c:errValType val="cust"/>
            <c:plus>
              <c:numRef>
                <c:f>(Color!$I$74,Color!$I$154,Color!$I$234)</c:f>
                <c:numCache>
                  <c:formatCode>General</c:formatCode>
                  <c:ptCount val="3"/>
                  <c:pt idx="0">
                    <c:v>0.56992806563640264</c:v>
                  </c:pt>
                  <c:pt idx="1">
                    <c:v>4.5254833995936793E-2</c:v>
                  </c:pt>
                  <c:pt idx="2">
                    <c:v>1.4852777938823578</c:v>
                  </c:pt>
                </c:numCache>
              </c:numRef>
            </c:plus>
            <c:minus>
              <c:numRef>
                <c:f>(Color!$I$74,Color!$I$154,Color!$I$234)</c:f>
                <c:numCache>
                  <c:formatCode>General</c:formatCode>
                  <c:ptCount val="3"/>
                  <c:pt idx="0">
                    <c:v>0.56992806563640264</c:v>
                  </c:pt>
                  <c:pt idx="1">
                    <c:v>4.5254833995936793E-2</c:v>
                  </c:pt>
                  <c:pt idx="2">
                    <c:v>1.4852777938823578</c:v>
                  </c:pt>
                </c:numCache>
              </c:numRef>
            </c:minus>
          </c:errBars>
          <c:xVal>
            <c:numRef>
              <c:f>Color!$L$71:$L$73</c:f>
              <c:numCache>
                <c:formatCode>General</c:formatCode>
                <c:ptCount val="3"/>
                <c:pt idx="0">
                  <c:v>0</c:v>
                </c:pt>
                <c:pt idx="1">
                  <c:v>42</c:v>
                </c:pt>
                <c:pt idx="2">
                  <c:v>84</c:v>
                </c:pt>
              </c:numCache>
            </c:numRef>
          </c:xVal>
          <c:yVal>
            <c:numRef>
              <c:f>(Color!$H$74,Color!$H$154,Color!$H$234)</c:f>
              <c:numCache>
                <c:formatCode>0.00</c:formatCode>
                <c:ptCount val="3"/>
                <c:pt idx="0">
                  <c:v>29.224999999999987</c:v>
                </c:pt>
                <c:pt idx="1">
                  <c:v>26.891999999999999</c:v>
                </c:pt>
                <c:pt idx="2">
                  <c:v>26.032250000000001</c:v>
                </c:pt>
              </c:numCache>
            </c:numRef>
          </c:yVal>
          <c:smooth val="1"/>
        </c:ser>
        <c:ser>
          <c:idx val="3"/>
          <c:order val="3"/>
          <c:tx>
            <c:v>Control-A2P</c:v>
          </c:tx>
          <c:errBars>
            <c:errDir val="y"/>
            <c:errBarType val="both"/>
            <c:errValType val="cust"/>
            <c:plus>
              <c:numRef>
                <c:f>(Color!$I$78,Color!$I$158,Color!$I$238)</c:f>
                <c:numCache>
                  <c:formatCode>General</c:formatCode>
                  <c:ptCount val="3"/>
                  <c:pt idx="0">
                    <c:v>0.16970562748477</c:v>
                  </c:pt>
                </c:numCache>
              </c:numRef>
            </c:plus>
            <c:minus>
              <c:numRef>
                <c:f>(Color!$I$78,Color!$I$158,Color!$I$238)</c:f>
                <c:numCache>
                  <c:formatCode>General</c:formatCode>
                  <c:ptCount val="3"/>
                  <c:pt idx="0">
                    <c:v>0.16970562748477</c:v>
                  </c:pt>
                </c:numCache>
              </c:numRef>
            </c:minus>
          </c:errBars>
          <c:xVal>
            <c:numRef>
              <c:f>Color!$L$71:$L$73</c:f>
              <c:numCache>
                <c:formatCode>General</c:formatCode>
                <c:ptCount val="3"/>
                <c:pt idx="0">
                  <c:v>0</c:v>
                </c:pt>
                <c:pt idx="1">
                  <c:v>42</c:v>
                </c:pt>
                <c:pt idx="2">
                  <c:v>84</c:v>
                </c:pt>
              </c:numCache>
            </c:numRef>
          </c:xVal>
          <c:yVal>
            <c:numRef>
              <c:f>(Color!$H$78,Color!$H$158,Color!$H$238)</c:f>
              <c:numCache>
                <c:formatCode>0.00</c:formatCode>
                <c:ptCount val="3"/>
                <c:pt idx="0">
                  <c:v>30.07</c:v>
                </c:pt>
                <c:pt idx="1">
                  <c:v>26.979999999999986</c:v>
                </c:pt>
                <c:pt idx="2">
                  <c:v>27.212</c:v>
                </c:pt>
              </c:numCache>
            </c:numRef>
          </c:yVal>
          <c:smooth val="1"/>
        </c:ser>
        <c:ser>
          <c:idx val="4"/>
          <c:order val="4"/>
          <c:tx>
            <c:v>A2P-0.01%Pycnogenol</c:v>
          </c:tx>
          <c:spPr>
            <a:ln>
              <a:solidFill>
                <a:srgbClr val="FF130D"/>
              </a:solidFill>
            </a:ln>
          </c:spPr>
          <c:marker>
            <c:symbol val="star"/>
            <c:size val="7"/>
            <c:spPr>
              <a:solidFill>
                <a:srgbClr val="FF130D"/>
              </a:solidFill>
            </c:spPr>
          </c:marker>
          <c:errBars>
            <c:errDir val="y"/>
            <c:errBarType val="both"/>
            <c:errValType val="cust"/>
            <c:plus>
              <c:numRef>
                <c:f>(Color!$I$79,Color!$I$159,Color!$I$239)</c:f>
                <c:numCache>
                  <c:formatCode>General</c:formatCode>
                  <c:ptCount val="3"/>
                  <c:pt idx="0">
                    <c:v>0.17819090885928204</c:v>
                  </c:pt>
                  <c:pt idx="1">
                    <c:v>1.1115718600252511</c:v>
                  </c:pt>
                  <c:pt idx="2">
                    <c:v>0.27612519805337199</c:v>
                  </c:pt>
                </c:numCache>
              </c:numRef>
            </c:plus>
            <c:minus>
              <c:numRef>
                <c:f>(Color!$I$79,Color!$I$159,Color!$I$239)</c:f>
                <c:numCache>
                  <c:formatCode>General</c:formatCode>
                  <c:ptCount val="3"/>
                  <c:pt idx="0">
                    <c:v>0.17819090885928204</c:v>
                  </c:pt>
                  <c:pt idx="1">
                    <c:v>1.1115718600252511</c:v>
                  </c:pt>
                  <c:pt idx="2">
                    <c:v>0.27612519805337199</c:v>
                  </c:pt>
                </c:numCache>
              </c:numRef>
            </c:minus>
          </c:errBars>
          <c:xVal>
            <c:numRef>
              <c:f>Color!$L$71:$L$73</c:f>
              <c:numCache>
                <c:formatCode>General</c:formatCode>
                <c:ptCount val="3"/>
                <c:pt idx="0">
                  <c:v>0</c:v>
                </c:pt>
                <c:pt idx="1">
                  <c:v>42</c:v>
                </c:pt>
                <c:pt idx="2">
                  <c:v>84</c:v>
                </c:pt>
              </c:numCache>
            </c:numRef>
          </c:xVal>
          <c:yVal>
            <c:numRef>
              <c:f>(Color!$H$79,Color!$H$159,Color!$H$239)</c:f>
              <c:numCache>
                <c:formatCode>0.00</c:formatCode>
                <c:ptCount val="3"/>
                <c:pt idx="0">
                  <c:v>31.622</c:v>
                </c:pt>
                <c:pt idx="1">
                  <c:v>26.105999999999987</c:v>
                </c:pt>
                <c:pt idx="2">
                  <c:v>29.61274999999981</c:v>
                </c:pt>
              </c:numCache>
            </c:numRef>
          </c:yVal>
          <c:smooth val="1"/>
        </c:ser>
        <c:ser>
          <c:idx val="5"/>
          <c:order val="5"/>
          <c:tx>
            <c:v>A2P-0.1%Pycnogenol</c:v>
          </c:tx>
          <c:errBars>
            <c:errDir val="y"/>
            <c:errBarType val="both"/>
            <c:errValType val="cust"/>
            <c:plus>
              <c:numRef>
                <c:f>(Color!$I$80,Color!$I$160,Color!$I$240)</c:f>
                <c:numCache>
                  <c:formatCode>General</c:formatCode>
                  <c:ptCount val="3"/>
                  <c:pt idx="0">
                    <c:v>2.2698127676088</c:v>
                  </c:pt>
                  <c:pt idx="1">
                    <c:v>0.84711392386158402</c:v>
                  </c:pt>
                  <c:pt idx="2">
                    <c:v>0.98429263941168399</c:v>
                  </c:pt>
                </c:numCache>
              </c:numRef>
            </c:plus>
            <c:minus>
              <c:numRef>
                <c:f>(Color!$I$80,Color!$I$160,Color!$I$240)</c:f>
                <c:numCache>
                  <c:formatCode>General</c:formatCode>
                  <c:ptCount val="3"/>
                  <c:pt idx="0">
                    <c:v>2.2698127676088</c:v>
                  </c:pt>
                  <c:pt idx="1">
                    <c:v>0.84711392386158402</c:v>
                  </c:pt>
                  <c:pt idx="2">
                    <c:v>0.98429263941168399</c:v>
                  </c:pt>
                </c:numCache>
              </c:numRef>
            </c:minus>
          </c:errBars>
          <c:xVal>
            <c:numRef>
              <c:f>Color!$L$71:$L$73</c:f>
              <c:numCache>
                <c:formatCode>General</c:formatCode>
                <c:ptCount val="3"/>
                <c:pt idx="0">
                  <c:v>0</c:v>
                </c:pt>
                <c:pt idx="1">
                  <c:v>42</c:v>
                </c:pt>
                <c:pt idx="2">
                  <c:v>84</c:v>
                </c:pt>
              </c:numCache>
            </c:numRef>
          </c:xVal>
          <c:yVal>
            <c:numRef>
              <c:f>(Color!$H$80,Color!$H$160,Color!$H$240)</c:f>
              <c:numCache>
                <c:formatCode>0.00</c:formatCode>
                <c:ptCount val="3"/>
                <c:pt idx="0">
                  <c:v>26.60900000000003</c:v>
                </c:pt>
                <c:pt idx="1">
                  <c:v>26.393000000000001</c:v>
                </c:pt>
                <c:pt idx="2">
                  <c:v>28.731999999999999</c:v>
                </c:pt>
              </c:numCache>
            </c:numRef>
          </c:yVal>
          <c:smooth val="1"/>
        </c:ser>
        <c:axId val="175590784"/>
        <c:axId val="175633920"/>
      </c:scatterChart>
      <c:valAx>
        <c:axId val="175590784"/>
        <c:scaling>
          <c:orientation val="minMax"/>
        </c:scaling>
        <c:axPos val="b"/>
        <c:title>
          <c:tx>
            <c:rich>
              <a:bodyPr/>
              <a:lstStyle/>
              <a:p>
                <a:pPr>
                  <a:defRPr/>
                </a:pPr>
                <a:r>
                  <a:rPr lang="es-ES"/>
                  <a:t>Storage (Days)</a:t>
                </a:r>
              </a:p>
            </c:rich>
          </c:tx>
        </c:title>
        <c:numFmt formatCode="General" sourceLinked="1"/>
        <c:maj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75633920"/>
        <c:crosses val="autoZero"/>
        <c:crossBetween val="midCat"/>
      </c:valAx>
      <c:valAx>
        <c:axId val="175633920"/>
        <c:scaling>
          <c:orientation val="minMax"/>
          <c:min val="20"/>
        </c:scaling>
        <c:axPos val="l"/>
        <c:title>
          <c:tx>
            <c:rich>
              <a:bodyPr/>
              <a:lstStyle/>
              <a:p>
                <a:pPr>
                  <a:defRPr/>
                </a:pPr>
                <a:r>
                  <a:rPr lang="es-ES"/>
                  <a:t>b*</a:t>
                </a:r>
              </a:p>
            </c:rich>
          </c:tx>
        </c:title>
        <c:numFmt formatCode="0.0" sourceLinked="0"/>
        <c:tickLblPos val="nextTo"/>
        <c:txPr>
          <a:bodyPr/>
          <a:lstStyle/>
          <a:p>
            <a:pPr>
              <a:defRPr sz="800"/>
            </a:pPr>
            <a:endParaRPr lang="en-US"/>
          </a:p>
        </c:txPr>
        <c:crossAx val="175590784"/>
        <c:crosses val="autoZero"/>
        <c:crossBetween val="midCat"/>
      </c:valAx>
    </c:plotArea>
    <c:legend>
      <c:legendPos val="b"/>
      <c:txPr>
        <a:bodyPr/>
        <a:lstStyle/>
        <a:p>
          <a:pPr>
            <a:defRPr sz="600"/>
          </a:pPr>
          <a:endParaRPr lang="en-US"/>
        </a:p>
      </c:txPr>
    </c:legend>
    <c:plotVisOnly val="1"/>
    <c:dispBlanksAs val="gap"/>
  </c:chart>
  <c:spPr>
    <a:ln>
      <a:noFill/>
    </a:ln>
  </c:spPr>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4746973789573903"/>
          <c:y val="8.3673320569813261E-2"/>
          <c:w val="0.80724979296991461"/>
          <c:h val="0.63961915328952546"/>
        </c:manualLayout>
      </c:layout>
      <c:scatterChart>
        <c:scatterStyle val="smoothMarker"/>
        <c:ser>
          <c:idx val="1"/>
          <c:order val="0"/>
          <c:tx>
            <c:v>Control-AA</c:v>
          </c:tx>
          <c:errBars>
            <c:errDir val="y"/>
            <c:errBarType val="both"/>
            <c:errValType val="cust"/>
            <c:plus>
              <c:numRef>
                <c:f>(Color!$O$72,Color!$O$152,Color!$O$232)</c:f>
                <c:numCache>
                  <c:formatCode>General</c:formatCode>
                  <c:ptCount val="3"/>
                  <c:pt idx="0">
                    <c:v>0</c:v>
                  </c:pt>
                  <c:pt idx="1">
                    <c:v>0.38629681481387135</c:v>
                  </c:pt>
                  <c:pt idx="2">
                    <c:v>0.35919615189026138</c:v>
                  </c:pt>
                </c:numCache>
              </c:numRef>
            </c:plus>
            <c:minus>
              <c:numRef>
                <c:f>(Color!$O$72,Color!$O$152,Color!$O$232)</c:f>
                <c:numCache>
                  <c:formatCode>General</c:formatCode>
                  <c:ptCount val="3"/>
                  <c:pt idx="0">
                    <c:v>0</c:v>
                  </c:pt>
                  <c:pt idx="1">
                    <c:v>0.38629681481387135</c:v>
                  </c:pt>
                  <c:pt idx="2">
                    <c:v>0.35919615189026138</c:v>
                  </c:pt>
                </c:numCache>
              </c:numRef>
            </c:minus>
          </c:errBars>
          <c:xVal>
            <c:numRef>
              <c:f>Color!$A$231:$A$233</c:f>
              <c:numCache>
                <c:formatCode>General</c:formatCode>
                <c:ptCount val="3"/>
                <c:pt idx="0">
                  <c:v>0</c:v>
                </c:pt>
                <c:pt idx="1">
                  <c:v>21</c:v>
                </c:pt>
                <c:pt idx="2">
                  <c:v>42</c:v>
                </c:pt>
              </c:numCache>
            </c:numRef>
          </c:xVal>
          <c:yVal>
            <c:numRef>
              <c:f>(Color!$N$72,Color!$N$152,Color!$N$232)</c:f>
              <c:numCache>
                <c:formatCode>0.00</c:formatCode>
                <c:ptCount val="3"/>
                <c:pt idx="0" formatCode="General">
                  <c:v>0</c:v>
                </c:pt>
                <c:pt idx="1">
                  <c:v>10.066269940272418</c:v>
                </c:pt>
                <c:pt idx="2">
                  <c:v>13.656984625540016</c:v>
                </c:pt>
              </c:numCache>
            </c:numRef>
          </c:yVal>
          <c:smooth val="1"/>
        </c:ser>
        <c:ser>
          <c:idx val="0"/>
          <c:order val="1"/>
          <c:tx>
            <c:v>AA-0.01% Pycnogenol</c:v>
          </c:tx>
          <c:errBars>
            <c:errDir val="y"/>
            <c:errBarType val="both"/>
            <c:errValType val="cust"/>
            <c:plus>
              <c:numRef>
                <c:f>(Color!$O$73,Color!$O$153,Color!$O$233)</c:f>
                <c:numCache>
                  <c:formatCode>General</c:formatCode>
                  <c:ptCount val="3"/>
                  <c:pt idx="0">
                    <c:v>0</c:v>
                  </c:pt>
                  <c:pt idx="1">
                    <c:v>1.6368931246414495</c:v>
                  </c:pt>
                  <c:pt idx="2">
                    <c:v>0.21665235620381487</c:v>
                  </c:pt>
                </c:numCache>
              </c:numRef>
            </c:plus>
            <c:minus>
              <c:numRef>
                <c:f>(Color!$O$73,Color!$O$153,Color!$O$233)</c:f>
                <c:numCache>
                  <c:formatCode>General</c:formatCode>
                  <c:ptCount val="3"/>
                  <c:pt idx="0">
                    <c:v>0</c:v>
                  </c:pt>
                  <c:pt idx="1">
                    <c:v>1.6368931246414495</c:v>
                  </c:pt>
                  <c:pt idx="2">
                    <c:v>0.21665235620381487</c:v>
                  </c:pt>
                </c:numCache>
              </c:numRef>
            </c:minus>
          </c:errBars>
          <c:xVal>
            <c:numRef>
              <c:f>Color!$A$231:$A$233</c:f>
              <c:numCache>
                <c:formatCode>General</c:formatCode>
                <c:ptCount val="3"/>
                <c:pt idx="0">
                  <c:v>0</c:v>
                </c:pt>
                <c:pt idx="1">
                  <c:v>21</c:v>
                </c:pt>
                <c:pt idx="2">
                  <c:v>42</c:v>
                </c:pt>
              </c:numCache>
            </c:numRef>
          </c:xVal>
          <c:yVal>
            <c:numRef>
              <c:f>(Color!$N$73,Color!$N$153,Color!$N$233)</c:f>
              <c:numCache>
                <c:formatCode>0.00</c:formatCode>
                <c:ptCount val="3"/>
                <c:pt idx="0" formatCode="General">
                  <c:v>0</c:v>
                </c:pt>
                <c:pt idx="1">
                  <c:v>8.1699898683690542</c:v>
                </c:pt>
                <c:pt idx="2">
                  <c:v>14.1338027748471</c:v>
                </c:pt>
              </c:numCache>
            </c:numRef>
          </c:yVal>
          <c:smooth val="1"/>
        </c:ser>
        <c:ser>
          <c:idx val="2"/>
          <c:order val="2"/>
          <c:tx>
            <c:v>AA-0.1% Pycnogenol</c:v>
          </c:tx>
          <c:errBars>
            <c:errDir val="y"/>
            <c:errBarType val="both"/>
            <c:errValType val="cust"/>
            <c:plus>
              <c:numRef>
                <c:f>(Color!$O$74,Color!$O$154,Color!$O$234)</c:f>
                <c:numCache>
                  <c:formatCode>General</c:formatCode>
                  <c:ptCount val="3"/>
                  <c:pt idx="0">
                    <c:v>0</c:v>
                  </c:pt>
                  <c:pt idx="1">
                    <c:v>0.54878506246967895</c:v>
                  </c:pt>
                  <c:pt idx="2">
                    <c:v>0.80170727315662704</c:v>
                  </c:pt>
                </c:numCache>
              </c:numRef>
            </c:plus>
            <c:minus>
              <c:numRef>
                <c:f>(Color!$O$74,Color!$O$154,Color!$O$234)</c:f>
                <c:numCache>
                  <c:formatCode>General</c:formatCode>
                  <c:ptCount val="3"/>
                  <c:pt idx="0">
                    <c:v>0</c:v>
                  </c:pt>
                  <c:pt idx="1">
                    <c:v>0.54878506246967895</c:v>
                  </c:pt>
                  <c:pt idx="2">
                    <c:v>0.80170727315662704</c:v>
                  </c:pt>
                </c:numCache>
              </c:numRef>
            </c:minus>
          </c:errBars>
          <c:xVal>
            <c:numRef>
              <c:f>Color!$A$231:$A$233</c:f>
              <c:numCache>
                <c:formatCode>General</c:formatCode>
                <c:ptCount val="3"/>
                <c:pt idx="0">
                  <c:v>0</c:v>
                </c:pt>
                <c:pt idx="1">
                  <c:v>21</c:v>
                </c:pt>
                <c:pt idx="2">
                  <c:v>42</c:v>
                </c:pt>
              </c:numCache>
            </c:numRef>
          </c:xVal>
          <c:yVal>
            <c:numRef>
              <c:f>(Color!$N$74,Color!$N$154,Color!$N$234)</c:f>
              <c:numCache>
                <c:formatCode>0.00</c:formatCode>
                <c:ptCount val="3"/>
                <c:pt idx="0" formatCode="General">
                  <c:v>0</c:v>
                </c:pt>
                <c:pt idx="1">
                  <c:v>6.922970296599904</c:v>
                </c:pt>
                <c:pt idx="2">
                  <c:v>12.503328465815857</c:v>
                </c:pt>
              </c:numCache>
            </c:numRef>
          </c:yVal>
          <c:smooth val="1"/>
        </c:ser>
        <c:ser>
          <c:idx val="3"/>
          <c:order val="3"/>
          <c:tx>
            <c:v>Control-A2P</c:v>
          </c:tx>
          <c:errBars>
            <c:errDir val="y"/>
            <c:errBarType val="both"/>
            <c:errValType val="cust"/>
            <c:plus>
              <c:numRef>
                <c:f>(Color!$O$78,Color!$O$158,Color!$O$238)</c:f>
                <c:numCache>
                  <c:formatCode>General</c:formatCode>
                  <c:ptCount val="3"/>
                  <c:pt idx="0">
                    <c:v>0</c:v>
                  </c:pt>
                  <c:pt idx="1">
                    <c:v>0.81212341778266051</c:v>
                  </c:pt>
                  <c:pt idx="2">
                    <c:v>0.58407559052497204</c:v>
                  </c:pt>
                </c:numCache>
              </c:numRef>
            </c:plus>
            <c:minus>
              <c:numRef>
                <c:f>(Color!$O$78,Color!$O$158,Color!$O$238)</c:f>
                <c:numCache>
                  <c:formatCode>General</c:formatCode>
                  <c:ptCount val="3"/>
                  <c:pt idx="0">
                    <c:v>0</c:v>
                  </c:pt>
                  <c:pt idx="1">
                    <c:v>0.81212341778266051</c:v>
                  </c:pt>
                  <c:pt idx="2">
                    <c:v>0.58407559052497204</c:v>
                  </c:pt>
                </c:numCache>
              </c:numRef>
            </c:minus>
          </c:errBars>
          <c:xVal>
            <c:numRef>
              <c:f>Color!$A$231:$A$233</c:f>
              <c:numCache>
                <c:formatCode>General</c:formatCode>
                <c:ptCount val="3"/>
                <c:pt idx="0">
                  <c:v>0</c:v>
                </c:pt>
                <c:pt idx="1">
                  <c:v>21</c:v>
                </c:pt>
                <c:pt idx="2">
                  <c:v>42</c:v>
                </c:pt>
              </c:numCache>
            </c:numRef>
          </c:xVal>
          <c:yVal>
            <c:numRef>
              <c:f>(Color!$N$78,Color!$N$158,Color!$N$238)</c:f>
              <c:numCache>
                <c:formatCode>0.00</c:formatCode>
                <c:ptCount val="3"/>
                <c:pt idx="0" formatCode="General">
                  <c:v>0</c:v>
                </c:pt>
                <c:pt idx="1">
                  <c:v>5.748909268473847</c:v>
                </c:pt>
                <c:pt idx="2">
                  <c:v>10.635501744265568</c:v>
                </c:pt>
              </c:numCache>
            </c:numRef>
          </c:yVal>
          <c:smooth val="1"/>
        </c:ser>
        <c:ser>
          <c:idx val="4"/>
          <c:order val="4"/>
          <c:tx>
            <c:v>A2P-0.01%Pycnogenol</c:v>
          </c:tx>
          <c:spPr>
            <a:ln>
              <a:solidFill>
                <a:srgbClr val="FF130D"/>
              </a:solidFill>
            </a:ln>
          </c:spPr>
          <c:marker>
            <c:spPr>
              <a:solidFill>
                <a:srgbClr val="FF130D"/>
              </a:solidFill>
            </c:spPr>
          </c:marker>
          <c:errBars>
            <c:errDir val="y"/>
            <c:errBarType val="both"/>
            <c:errValType val="cust"/>
            <c:plus>
              <c:numRef>
                <c:f>(Color!$O$79,Color!$O$159,Color!$O$239)</c:f>
                <c:numCache>
                  <c:formatCode>General</c:formatCode>
                  <c:ptCount val="3"/>
                  <c:pt idx="0">
                    <c:v>0</c:v>
                  </c:pt>
                  <c:pt idx="1">
                    <c:v>0.49249414886481535</c:v>
                  </c:pt>
                  <c:pt idx="2">
                    <c:v>0.16550890672735524</c:v>
                  </c:pt>
                </c:numCache>
              </c:numRef>
            </c:plus>
            <c:minus>
              <c:numRef>
                <c:f>(Color!$O$79,Color!$O$159,Color!$O$239)</c:f>
                <c:numCache>
                  <c:formatCode>General</c:formatCode>
                  <c:ptCount val="3"/>
                  <c:pt idx="0">
                    <c:v>0</c:v>
                  </c:pt>
                  <c:pt idx="1">
                    <c:v>0.49249414886481535</c:v>
                  </c:pt>
                  <c:pt idx="2">
                    <c:v>0.16550890672735524</c:v>
                  </c:pt>
                </c:numCache>
              </c:numRef>
            </c:minus>
          </c:errBars>
          <c:xVal>
            <c:numRef>
              <c:f>Color!$A$231:$A$233</c:f>
              <c:numCache>
                <c:formatCode>General</c:formatCode>
                <c:ptCount val="3"/>
                <c:pt idx="0">
                  <c:v>0</c:v>
                </c:pt>
                <c:pt idx="1">
                  <c:v>21</c:v>
                </c:pt>
                <c:pt idx="2">
                  <c:v>42</c:v>
                </c:pt>
              </c:numCache>
            </c:numRef>
          </c:xVal>
          <c:yVal>
            <c:numRef>
              <c:f>(Color!$N$79,Color!$N$159,Color!$N$239)</c:f>
              <c:numCache>
                <c:formatCode>0.00</c:formatCode>
                <c:ptCount val="3"/>
                <c:pt idx="0" formatCode="General">
                  <c:v>0</c:v>
                </c:pt>
                <c:pt idx="1">
                  <c:v>6.7399921926266382</c:v>
                </c:pt>
                <c:pt idx="2">
                  <c:v>13.902962108878</c:v>
                </c:pt>
              </c:numCache>
            </c:numRef>
          </c:yVal>
          <c:smooth val="1"/>
        </c:ser>
        <c:ser>
          <c:idx val="5"/>
          <c:order val="5"/>
          <c:tx>
            <c:v>A2P-0.1%Pycnogenol</c:v>
          </c:tx>
          <c:errBars>
            <c:errDir val="y"/>
            <c:errBarType val="both"/>
            <c:errValType val="cust"/>
            <c:plus>
              <c:numRef>
                <c:f>(Color!$O$78,Color!$O$160,Color!$O$240)</c:f>
                <c:numCache>
                  <c:formatCode>General</c:formatCode>
                  <c:ptCount val="3"/>
                  <c:pt idx="0">
                    <c:v>0</c:v>
                  </c:pt>
                  <c:pt idx="1">
                    <c:v>0.68549618327761375</c:v>
                  </c:pt>
                  <c:pt idx="2">
                    <c:v>1.6772237138038479</c:v>
                  </c:pt>
                </c:numCache>
              </c:numRef>
            </c:plus>
            <c:minus>
              <c:numRef>
                <c:f>(Color!$O$78,Color!$O$160,Color!$O$240)</c:f>
                <c:numCache>
                  <c:formatCode>General</c:formatCode>
                  <c:ptCount val="3"/>
                  <c:pt idx="0">
                    <c:v>0</c:v>
                  </c:pt>
                  <c:pt idx="1">
                    <c:v>0.68549618327761375</c:v>
                  </c:pt>
                  <c:pt idx="2">
                    <c:v>1.6772237138038479</c:v>
                  </c:pt>
                </c:numCache>
              </c:numRef>
            </c:minus>
          </c:errBars>
          <c:xVal>
            <c:numRef>
              <c:f>Color!$A$231:$A$233</c:f>
              <c:numCache>
                <c:formatCode>General</c:formatCode>
                <c:ptCount val="3"/>
                <c:pt idx="0">
                  <c:v>0</c:v>
                </c:pt>
                <c:pt idx="1">
                  <c:v>21</c:v>
                </c:pt>
                <c:pt idx="2">
                  <c:v>42</c:v>
                </c:pt>
              </c:numCache>
            </c:numRef>
          </c:xVal>
          <c:yVal>
            <c:numRef>
              <c:f>(Color!$N$80,Color!$N$160,Color!$N$240)</c:f>
              <c:numCache>
                <c:formatCode>0.00</c:formatCode>
                <c:ptCount val="3"/>
                <c:pt idx="0" formatCode="General">
                  <c:v>0</c:v>
                </c:pt>
                <c:pt idx="1">
                  <c:v>4.3504422179079265</c:v>
                </c:pt>
                <c:pt idx="2">
                  <c:v>9.8722017076702322</c:v>
                </c:pt>
              </c:numCache>
            </c:numRef>
          </c:yVal>
          <c:smooth val="1"/>
        </c:ser>
        <c:axId val="104209024"/>
        <c:axId val="104219392"/>
      </c:scatterChart>
      <c:valAx>
        <c:axId val="104209024"/>
        <c:scaling>
          <c:orientation val="minMax"/>
          <c:max val="46"/>
          <c:min val="0"/>
        </c:scaling>
        <c:axPos val="b"/>
        <c:title>
          <c:tx>
            <c:rich>
              <a:bodyPr/>
              <a:lstStyle/>
              <a:p>
                <a:pPr>
                  <a:defRPr sz="800"/>
                </a:pPr>
                <a:r>
                  <a:rPr lang="es-ES" sz="800"/>
                  <a:t>Storage (Days)</a:t>
                </a:r>
              </a:p>
            </c:rich>
          </c:tx>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04219392"/>
        <c:crosses val="autoZero"/>
        <c:crossBetween val="midCat"/>
        <c:majorUnit val="7"/>
      </c:valAx>
      <c:valAx>
        <c:axId val="104219392"/>
        <c:scaling>
          <c:orientation val="minMax"/>
          <c:max val="20"/>
          <c:min val="0"/>
        </c:scaling>
        <c:axPos val="l"/>
        <c:title>
          <c:tx>
            <c:rich>
              <a:bodyPr/>
              <a:lstStyle/>
              <a:p>
                <a:pPr>
                  <a:defRPr sz="800"/>
                </a:pPr>
                <a:r>
                  <a:rPr lang="es-ES" sz="800">
                    <a:latin typeface="Times New Roman"/>
                    <a:cs typeface="Times New Roman"/>
                  </a:rPr>
                  <a:t>∆E*</a:t>
                </a:r>
                <a:endParaRPr lang="es-ES" sz="800"/>
              </a:p>
            </c:rich>
          </c:tx>
          <c:layout>
            <c:manualLayout>
              <c:xMode val="edge"/>
              <c:yMode val="edge"/>
              <c:x val="3.3834784036787593E-2"/>
              <c:y val="0.34648646893725593"/>
            </c:manualLayout>
          </c:layout>
        </c:title>
        <c:numFmt formatCode="General" sourceLinked="1"/>
        <c:tickLblPos val="nextTo"/>
        <c:txPr>
          <a:bodyPr/>
          <a:lstStyle/>
          <a:p>
            <a:pPr>
              <a:defRPr sz="800"/>
            </a:pPr>
            <a:endParaRPr lang="en-US"/>
          </a:p>
        </c:txPr>
        <c:crossAx val="104209024"/>
        <c:crosses val="autoZero"/>
        <c:crossBetween val="midCat"/>
      </c:valAx>
    </c:plotArea>
    <c:legend>
      <c:legendPos val="b"/>
      <c:txPr>
        <a:bodyPr/>
        <a:lstStyle/>
        <a:p>
          <a:pPr>
            <a:defRPr sz="600"/>
          </a:pPr>
          <a:endParaRPr lang="en-US"/>
        </a:p>
      </c:txPr>
    </c:legend>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861920010049787"/>
          <c:y val="5.1106827702842313E-2"/>
          <c:w val="0.7991903292489847"/>
          <c:h val="0.59952279223448202"/>
        </c:manualLayout>
      </c:layout>
      <c:scatterChart>
        <c:scatterStyle val="lineMarker"/>
        <c:ser>
          <c:idx val="0"/>
          <c:order val="0"/>
          <c:tx>
            <c:v>Control</c:v>
          </c:tx>
          <c:errBars>
            <c:errDir val="y"/>
            <c:errBarType val="both"/>
            <c:errValType val="cust"/>
            <c:plus>
              <c:numRef>
                <c:f>(Oxygen2!$R$27,Oxygen2!$R$58,Oxygen2!$R$87,Oxygen2!$R$110)</c:f>
                <c:numCache>
                  <c:formatCode>General</c:formatCode>
                  <c:ptCount val="4"/>
                  <c:pt idx="0">
                    <c:v>8.4852813742386748E-2</c:v>
                  </c:pt>
                  <c:pt idx="1">
                    <c:v>0.49497474683058612</c:v>
                  </c:pt>
                  <c:pt idx="2">
                    <c:v>1.0606601717798221</c:v>
                  </c:pt>
                  <c:pt idx="3">
                    <c:v>5.7735026918963326E-3</c:v>
                  </c:pt>
                </c:numCache>
              </c:numRef>
            </c:plus>
            <c:minus>
              <c:numRef>
                <c:f>(Oxygen2!$R$27,Oxygen2!$R$58,Oxygen2!$R$87,Oxygen2!$R$110)</c:f>
                <c:numCache>
                  <c:formatCode>General</c:formatCode>
                  <c:ptCount val="4"/>
                  <c:pt idx="0">
                    <c:v>8.4852813742386748E-2</c:v>
                  </c:pt>
                  <c:pt idx="1">
                    <c:v>0.49497474683058612</c:v>
                  </c:pt>
                  <c:pt idx="2">
                    <c:v>1.0606601717798221</c:v>
                  </c:pt>
                  <c:pt idx="3">
                    <c:v>5.7735026918963326E-3</c:v>
                  </c:pt>
                </c:numCache>
              </c:numRef>
            </c:minus>
          </c:errBars>
          <c:xVal>
            <c:numRef>
              <c:f>Oxygen2!$H$119:$H$122</c:f>
              <c:numCache>
                <c:formatCode>General</c:formatCode>
                <c:ptCount val="4"/>
                <c:pt idx="0">
                  <c:v>0</c:v>
                </c:pt>
                <c:pt idx="1">
                  <c:v>10</c:v>
                </c:pt>
                <c:pt idx="2">
                  <c:v>20</c:v>
                </c:pt>
                <c:pt idx="3">
                  <c:v>29</c:v>
                </c:pt>
              </c:numCache>
            </c:numRef>
          </c:xVal>
          <c:yVal>
            <c:numRef>
              <c:f>(Oxygen2!$Q$27,Oxygen2!$Q$58,Oxygen2!$Q$67,Oxygen2!$Q$96)</c:f>
              <c:numCache>
                <c:formatCode>0.00</c:formatCode>
                <c:ptCount val="4"/>
                <c:pt idx="0">
                  <c:v>8.25</c:v>
                </c:pt>
                <c:pt idx="1">
                  <c:v>0.92</c:v>
                </c:pt>
                <c:pt idx="2" formatCode="General">
                  <c:v>2.5</c:v>
                </c:pt>
                <c:pt idx="3" formatCode="General">
                  <c:v>0.16</c:v>
                </c:pt>
              </c:numCache>
            </c:numRef>
          </c:yVal>
        </c:ser>
        <c:ser>
          <c:idx val="1"/>
          <c:order val="1"/>
          <c:tx>
            <c:v>AA</c:v>
          </c:tx>
          <c:spPr>
            <a:ln>
              <a:solidFill>
                <a:srgbClr val="EE1E8B"/>
              </a:solidFill>
            </a:ln>
          </c:spPr>
          <c:marker>
            <c:spPr>
              <a:solidFill>
                <a:srgbClr val="EE1E8B"/>
              </a:solidFill>
              <a:ln>
                <a:solidFill>
                  <a:srgbClr val="EE1E8B"/>
                </a:solidFill>
              </a:ln>
            </c:spPr>
          </c:marker>
          <c:errBars>
            <c:errDir val="y"/>
            <c:errBarType val="both"/>
            <c:errValType val="cust"/>
            <c:plus>
              <c:numRef>
                <c:f>(Oxygen2!$R$28,Oxygen2!$R$59,Oxygen2!$R$88,Oxygen2!$R$111)</c:f>
                <c:numCache>
                  <c:formatCode>General</c:formatCode>
                  <c:ptCount val="4"/>
                  <c:pt idx="0">
                    <c:v>1.9222469491023699</c:v>
                  </c:pt>
                  <c:pt idx="1">
                    <c:v>5.7735026918963143E-3</c:v>
                  </c:pt>
                  <c:pt idx="2">
                    <c:v>0.86974134085945465</c:v>
                  </c:pt>
                  <c:pt idx="3">
                    <c:v>5.7735026918963326E-3</c:v>
                  </c:pt>
                </c:numCache>
              </c:numRef>
            </c:plus>
            <c:minus>
              <c:numRef>
                <c:f>(Oxygen2!$R$28,Oxygen2!$R$59,Oxygen2!$R$88,Oxygen2!$R$111)</c:f>
                <c:numCache>
                  <c:formatCode>General</c:formatCode>
                  <c:ptCount val="4"/>
                  <c:pt idx="0">
                    <c:v>1.9222469491023699</c:v>
                  </c:pt>
                  <c:pt idx="1">
                    <c:v>5.7735026918963143E-3</c:v>
                  </c:pt>
                  <c:pt idx="2">
                    <c:v>0.86974134085945465</c:v>
                  </c:pt>
                  <c:pt idx="3">
                    <c:v>5.7735026918963326E-3</c:v>
                  </c:pt>
                </c:numCache>
              </c:numRef>
            </c:minus>
          </c:errBars>
          <c:xVal>
            <c:numRef>
              <c:f>Oxygen2!$H$119:$H$122</c:f>
              <c:numCache>
                <c:formatCode>General</c:formatCode>
                <c:ptCount val="4"/>
                <c:pt idx="0">
                  <c:v>0</c:v>
                </c:pt>
                <c:pt idx="1">
                  <c:v>10</c:v>
                </c:pt>
                <c:pt idx="2">
                  <c:v>20</c:v>
                </c:pt>
                <c:pt idx="3">
                  <c:v>29</c:v>
                </c:pt>
              </c:numCache>
            </c:numRef>
          </c:xVal>
          <c:yVal>
            <c:numRef>
              <c:f>(Oxygen2!$Q$28,Oxygen2!$Q$59,Oxygen2!$Q$88,Oxygen2!$Q$111)</c:f>
              <c:numCache>
                <c:formatCode>0.00</c:formatCode>
                <c:ptCount val="4"/>
                <c:pt idx="0">
                  <c:v>1.4233333333333318</c:v>
                </c:pt>
                <c:pt idx="1">
                  <c:v>0.11666666666666722</c:v>
                </c:pt>
                <c:pt idx="2">
                  <c:v>0.92500000000000004</c:v>
                </c:pt>
                <c:pt idx="3">
                  <c:v>0.15666666666666701</c:v>
                </c:pt>
              </c:numCache>
            </c:numRef>
          </c:yVal>
        </c:ser>
        <c:ser>
          <c:idx val="2"/>
          <c:order val="2"/>
          <c:tx>
            <c:v>A2P</c:v>
          </c:tx>
          <c:spPr>
            <a:ln>
              <a:solidFill>
                <a:srgbClr val="FFFF00"/>
              </a:solidFill>
            </a:ln>
          </c:spPr>
          <c:marker>
            <c:spPr>
              <a:solidFill>
                <a:srgbClr val="FFFF00"/>
              </a:solidFill>
              <a:ln>
                <a:solidFill>
                  <a:srgbClr val="FFFF00"/>
                </a:solidFill>
              </a:ln>
            </c:spPr>
          </c:marker>
          <c:errBars>
            <c:errDir val="y"/>
            <c:errBarType val="both"/>
            <c:errValType val="cust"/>
            <c:plus>
              <c:numRef>
                <c:f>(Oxygen2!$R$29,Oxygen2!$R$60,Oxygen2!$R$89,Oxygen2!$R$112)</c:f>
                <c:numCache>
                  <c:formatCode>General</c:formatCode>
                  <c:ptCount val="4"/>
                  <c:pt idx="0">
                    <c:v>1.0103629710818585</c:v>
                  </c:pt>
                  <c:pt idx="1">
                    <c:v>0.73077584342488699</c:v>
                  </c:pt>
                  <c:pt idx="2">
                    <c:v>0.13435028842544441</c:v>
                  </c:pt>
                  <c:pt idx="3">
                    <c:v>1.0000000000000005E-2</c:v>
                  </c:pt>
                </c:numCache>
              </c:numRef>
            </c:plus>
            <c:minus>
              <c:numRef>
                <c:f>(Oxygen2!$R$29,Oxygen2!$R$60,Oxygen2!$R$89,Oxygen2!$R$112)</c:f>
                <c:numCache>
                  <c:formatCode>General</c:formatCode>
                  <c:ptCount val="4"/>
                  <c:pt idx="0">
                    <c:v>1.0103629710818585</c:v>
                  </c:pt>
                  <c:pt idx="1">
                    <c:v>0.73077584342488699</c:v>
                  </c:pt>
                  <c:pt idx="2">
                    <c:v>0.13435028842544441</c:v>
                  </c:pt>
                  <c:pt idx="3">
                    <c:v>1.0000000000000005E-2</c:v>
                  </c:pt>
                </c:numCache>
              </c:numRef>
            </c:minus>
            <c:spPr>
              <a:ln w="3175">
                <a:solidFill>
                  <a:srgbClr val="000000"/>
                </a:solidFill>
                <a:prstDash val="solid"/>
              </a:ln>
            </c:spPr>
          </c:errBars>
          <c:xVal>
            <c:numRef>
              <c:f>Oxygen2!$H$119:$H$122</c:f>
              <c:numCache>
                <c:formatCode>General</c:formatCode>
                <c:ptCount val="4"/>
                <c:pt idx="0">
                  <c:v>0</c:v>
                </c:pt>
                <c:pt idx="1">
                  <c:v>10</c:v>
                </c:pt>
                <c:pt idx="2">
                  <c:v>20</c:v>
                </c:pt>
                <c:pt idx="3">
                  <c:v>29</c:v>
                </c:pt>
              </c:numCache>
            </c:numRef>
          </c:xVal>
          <c:yVal>
            <c:numRef>
              <c:f>(Oxygen2!$Q$29,Oxygen2!$Q$60,Oxygen2!$Q$89,Oxygen2!$Q$112)</c:f>
              <c:numCache>
                <c:formatCode>0.00</c:formatCode>
                <c:ptCount val="4"/>
                <c:pt idx="0">
                  <c:v>0.58333333333333259</c:v>
                </c:pt>
                <c:pt idx="1">
                  <c:v>0.54666666666666697</c:v>
                </c:pt>
                <c:pt idx="2">
                  <c:v>0.59499999999999997</c:v>
                </c:pt>
                <c:pt idx="3">
                  <c:v>0.14000000000000001</c:v>
                </c:pt>
              </c:numCache>
            </c:numRef>
          </c:yVal>
        </c:ser>
        <c:axId val="72466432"/>
        <c:axId val="72468736"/>
      </c:scatterChart>
      <c:valAx>
        <c:axId val="72466432"/>
        <c:scaling>
          <c:orientation val="minMax"/>
          <c:max val="30"/>
        </c:scaling>
        <c:axPos val="b"/>
        <c:title>
          <c:tx>
            <c:rich>
              <a:bodyPr/>
              <a:lstStyle/>
              <a:p>
                <a:pPr>
                  <a:defRPr sz="800" b="1" i="0" u="none" strike="noStrike" baseline="0">
                    <a:solidFill>
                      <a:srgbClr val="000000"/>
                    </a:solidFill>
                    <a:latin typeface="Calibri"/>
                    <a:ea typeface="Calibri"/>
                    <a:cs typeface="Calibri"/>
                  </a:defRPr>
                </a:pPr>
                <a:r>
                  <a:rPr lang="en-US" sz="800"/>
                  <a:t>Storage (days)</a:t>
                </a:r>
              </a:p>
            </c:rich>
          </c:tx>
          <c:spPr>
            <a:noFill/>
            <a:ln w="25400">
              <a:noFill/>
            </a:ln>
          </c:spPr>
        </c:title>
        <c:numFmt formatCode="General" sourceLinked="1"/>
        <c:tickLblPos val="nextTo"/>
        <c:txPr>
          <a:bodyPr rot="0" vert="horz"/>
          <a:lstStyle/>
          <a:p>
            <a:pPr>
              <a:defRPr sz="800" b="0" i="0" u="none" strike="noStrike" baseline="0">
                <a:solidFill>
                  <a:srgbClr val="000000"/>
                </a:solidFill>
                <a:latin typeface="Calibri"/>
                <a:ea typeface="Calibri"/>
                <a:cs typeface="Calibri"/>
              </a:defRPr>
            </a:pPr>
            <a:endParaRPr lang="en-US"/>
          </a:p>
        </c:txPr>
        <c:crossAx val="72468736"/>
        <c:crosses val="autoZero"/>
        <c:crossBetween val="midCat"/>
        <c:majorUnit val="10"/>
      </c:valAx>
      <c:valAx>
        <c:axId val="72468736"/>
        <c:scaling>
          <c:orientation val="minMax"/>
          <c:max val="14"/>
          <c:min val="0"/>
        </c:scaling>
        <c:axPos val="l"/>
        <c:title>
          <c:tx>
            <c:rich>
              <a:bodyPr/>
              <a:lstStyle/>
              <a:p>
                <a:pPr>
                  <a:defRPr sz="1000" b="1" i="0" u="none" strike="noStrike" baseline="0">
                    <a:solidFill>
                      <a:srgbClr val="000000"/>
                    </a:solidFill>
                    <a:latin typeface="Calibri"/>
                    <a:ea typeface="Calibri"/>
                    <a:cs typeface="Calibri"/>
                  </a:defRPr>
                </a:pPr>
                <a:r>
                  <a:rPr lang="en-US" sz="1000" b="1"/>
                  <a:t>Oxygen (%)</a:t>
                </a:r>
              </a:p>
            </c:rich>
          </c:tx>
          <c:layout>
            <c:manualLayout>
              <c:xMode val="edge"/>
              <c:yMode val="edge"/>
              <c:x val="0"/>
              <c:y val="0.22470840137057929"/>
            </c:manualLayout>
          </c:layout>
          <c:spPr>
            <a:noFill/>
            <a:ln w="25400">
              <a:noFill/>
            </a:ln>
          </c:spPr>
        </c:title>
        <c:numFmt formatCode="0" sourceLinked="0"/>
        <c:tickLblPos val="nextTo"/>
        <c:txPr>
          <a:bodyPr rot="0" vert="horz"/>
          <a:lstStyle/>
          <a:p>
            <a:pPr>
              <a:defRPr sz="800" b="0" i="0" u="none" strike="noStrike" baseline="0">
                <a:solidFill>
                  <a:srgbClr val="000000"/>
                </a:solidFill>
                <a:latin typeface="Calibri"/>
                <a:ea typeface="Calibri"/>
                <a:cs typeface="Calibri"/>
              </a:defRPr>
            </a:pPr>
            <a:endParaRPr lang="en-US"/>
          </a:p>
        </c:txPr>
        <c:crossAx val="72466432"/>
        <c:crosses val="autoZero"/>
        <c:crossBetween val="midCat"/>
      </c:valAx>
    </c:plotArea>
    <c:legend>
      <c:legendPos val="b"/>
      <c:txPr>
        <a:bodyPr/>
        <a:lstStyle/>
        <a:p>
          <a:pPr>
            <a:defRPr sz="700" b="0" i="0" u="none" strike="noStrike" baseline="0">
              <a:solidFill>
                <a:srgbClr val="000000"/>
              </a:solidFill>
              <a:latin typeface="Calibri"/>
              <a:ea typeface="Calibri"/>
              <a:cs typeface="Calibri"/>
            </a:defRPr>
          </a:pPr>
          <a:endParaRPr lang="en-US"/>
        </a:p>
      </c:txPr>
    </c:legend>
    <c:plotVisOnly val="1"/>
    <c:dispBlanksAs val="gap"/>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3532763711924001"/>
          <c:y val="3.1361727896649205E-2"/>
          <c:w val="0.816581924219421"/>
          <c:h val="0.71041643116673359"/>
        </c:manualLayout>
      </c:layout>
      <c:scatterChart>
        <c:scatterStyle val="smoothMarker"/>
        <c:ser>
          <c:idx val="1"/>
          <c:order val="0"/>
          <c:tx>
            <c:v>Control-AA</c:v>
          </c:tx>
          <c:errBars>
            <c:errDir val="y"/>
            <c:errBarType val="both"/>
            <c:errValType val="cust"/>
            <c:plus>
              <c:numRef>
                <c:f>(Color!$K$72,Color!$K$152,Color!$K$232)</c:f>
                <c:numCache>
                  <c:formatCode>General</c:formatCode>
                  <c:ptCount val="3"/>
                  <c:pt idx="0">
                    <c:v>0</c:v>
                  </c:pt>
                  <c:pt idx="1">
                    <c:v>0</c:v>
                  </c:pt>
                  <c:pt idx="2">
                    <c:v>0</c:v>
                  </c:pt>
                </c:numCache>
              </c:numRef>
            </c:plus>
            <c:minus>
              <c:numRef>
                <c:f>(Color!$K$72,Color!$K$152,Color!$K$232)</c:f>
                <c:numCache>
                  <c:formatCode>General</c:formatCode>
                  <c:ptCount val="3"/>
                  <c:pt idx="0">
                    <c:v>0</c:v>
                  </c:pt>
                  <c:pt idx="1">
                    <c:v>0</c:v>
                  </c:pt>
                  <c:pt idx="2">
                    <c:v>0</c:v>
                  </c:pt>
                </c:numCache>
              </c:numRef>
            </c:minus>
          </c:errBars>
          <c:xVal>
            <c:numRef>
              <c:f>Color!$L$71:$L$73</c:f>
              <c:numCache>
                <c:formatCode>General</c:formatCode>
                <c:ptCount val="3"/>
                <c:pt idx="0">
                  <c:v>0</c:v>
                </c:pt>
                <c:pt idx="1">
                  <c:v>42</c:v>
                </c:pt>
                <c:pt idx="2">
                  <c:v>84</c:v>
                </c:pt>
              </c:numCache>
            </c:numRef>
          </c:xVal>
          <c:yVal>
            <c:numRef>
              <c:f>(Color!$J$72,Color!$J$152,Color!$J$232)</c:f>
              <c:numCache>
                <c:formatCode>0.00</c:formatCode>
                <c:ptCount val="3"/>
                <c:pt idx="0" formatCode="General">
                  <c:v>0</c:v>
                </c:pt>
                <c:pt idx="1">
                  <c:v>3.2375879910822492</c:v>
                </c:pt>
                <c:pt idx="2">
                  <c:v>6.6450667665713254</c:v>
                </c:pt>
              </c:numCache>
            </c:numRef>
          </c:yVal>
          <c:smooth val="1"/>
        </c:ser>
        <c:ser>
          <c:idx val="0"/>
          <c:order val="1"/>
          <c:tx>
            <c:v>AA-0.01% Pycnogenol</c:v>
          </c:tx>
          <c:errBars>
            <c:errDir val="y"/>
            <c:errBarType val="both"/>
            <c:errValType val="cust"/>
            <c:plus>
              <c:numRef>
                <c:f>(Color!$K$73,Color!$K$153,Color!$K$233)</c:f>
                <c:numCache>
                  <c:formatCode>General</c:formatCode>
                  <c:ptCount val="3"/>
                  <c:pt idx="0">
                    <c:v>0</c:v>
                  </c:pt>
                  <c:pt idx="1">
                    <c:v>2.1169017223938131</c:v>
                  </c:pt>
                  <c:pt idx="2">
                    <c:v>0</c:v>
                  </c:pt>
                </c:numCache>
              </c:numRef>
            </c:plus>
            <c:minus>
              <c:numRef>
                <c:f>(Color!$K$73,Color!$K$153,Color!$K$233)</c:f>
                <c:numCache>
                  <c:formatCode>General</c:formatCode>
                  <c:ptCount val="3"/>
                  <c:pt idx="0">
                    <c:v>0</c:v>
                  </c:pt>
                  <c:pt idx="1">
                    <c:v>2.1169017223938131</c:v>
                  </c:pt>
                  <c:pt idx="2">
                    <c:v>0</c:v>
                  </c:pt>
                </c:numCache>
              </c:numRef>
            </c:minus>
          </c:errBars>
          <c:xVal>
            <c:numRef>
              <c:f>Color!$L$71:$L$73</c:f>
              <c:numCache>
                <c:formatCode>General</c:formatCode>
                <c:ptCount val="3"/>
                <c:pt idx="0">
                  <c:v>0</c:v>
                </c:pt>
                <c:pt idx="1">
                  <c:v>42</c:v>
                </c:pt>
                <c:pt idx="2">
                  <c:v>84</c:v>
                </c:pt>
              </c:numCache>
            </c:numRef>
          </c:xVal>
          <c:yVal>
            <c:numRef>
              <c:f>(Color!$J$73,Color!$J$153,Color!$J$233)</c:f>
              <c:numCache>
                <c:formatCode>0.00</c:formatCode>
                <c:ptCount val="3"/>
                <c:pt idx="0" formatCode="General">
                  <c:v>0</c:v>
                </c:pt>
                <c:pt idx="1">
                  <c:v>3.802507797344155</c:v>
                </c:pt>
                <c:pt idx="2">
                  <c:v>8.2641233808852981</c:v>
                </c:pt>
              </c:numCache>
            </c:numRef>
          </c:yVal>
          <c:smooth val="1"/>
        </c:ser>
        <c:ser>
          <c:idx val="2"/>
          <c:order val="2"/>
          <c:tx>
            <c:v>AA-0.1% Pycnogenol</c:v>
          </c:tx>
          <c:errBars>
            <c:errDir val="y"/>
            <c:errBarType val="both"/>
            <c:errValType val="cust"/>
            <c:plus>
              <c:numRef>
                <c:f>(Color!$K$74,Color!$K$154,Color!$K$234)</c:f>
                <c:numCache>
                  <c:formatCode>General</c:formatCode>
                  <c:ptCount val="3"/>
                  <c:pt idx="0">
                    <c:v>0</c:v>
                  </c:pt>
                  <c:pt idx="1">
                    <c:v>0.122083716893208</c:v>
                  </c:pt>
                  <c:pt idx="2">
                    <c:v>0</c:v>
                  </c:pt>
                </c:numCache>
              </c:numRef>
            </c:plus>
            <c:minus>
              <c:numRef>
                <c:f>(Color!$K$74,Color!$K$154,Color!$K$234)</c:f>
                <c:numCache>
                  <c:formatCode>General</c:formatCode>
                  <c:ptCount val="3"/>
                  <c:pt idx="0">
                    <c:v>0</c:v>
                  </c:pt>
                  <c:pt idx="1">
                    <c:v>0.122083716893208</c:v>
                  </c:pt>
                  <c:pt idx="2">
                    <c:v>0</c:v>
                  </c:pt>
                </c:numCache>
              </c:numRef>
            </c:minus>
          </c:errBars>
          <c:xVal>
            <c:numRef>
              <c:f>Color!$L$71:$L$73</c:f>
              <c:numCache>
                <c:formatCode>General</c:formatCode>
                <c:ptCount val="3"/>
                <c:pt idx="0">
                  <c:v>0</c:v>
                </c:pt>
                <c:pt idx="1">
                  <c:v>42</c:v>
                </c:pt>
                <c:pt idx="2">
                  <c:v>84</c:v>
                </c:pt>
              </c:numCache>
            </c:numRef>
          </c:xVal>
          <c:yVal>
            <c:numRef>
              <c:f>(Color!$J$74,Color!$J$154,Color!$J$234)</c:f>
              <c:numCache>
                <c:formatCode>0.00</c:formatCode>
                <c:ptCount val="3"/>
                <c:pt idx="0" formatCode="General">
                  <c:v>0</c:v>
                </c:pt>
                <c:pt idx="1">
                  <c:v>3.3704358446697587</c:v>
                </c:pt>
                <c:pt idx="2">
                  <c:v>7.056192140411583</c:v>
                </c:pt>
              </c:numCache>
            </c:numRef>
          </c:yVal>
          <c:smooth val="1"/>
        </c:ser>
        <c:ser>
          <c:idx val="3"/>
          <c:order val="3"/>
          <c:tx>
            <c:v>Control-A2P</c:v>
          </c:tx>
          <c:errBars>
            <c:errDir val="y"/>
            <c:errBarType val="both"/>
            <c:errValType val="cust"/>
            <c:plus>
              <c:numRef>
                <c:f>(Color!$K$78,Color!$K$158,Color!$K$238)</c:f>
                <c:numCache>
                  <c:formatCode>General</c:formatCode>
                  <c:ptCount val="3"/>
                  <c:pt idx="0">
                    <c:v>0</c:v>
                  </c:pt>
                  <c:pt idx="2">
                    <c:v>0</c:v>
                  </c:pt>
                </c:numCache>
              </c:numRef>
            </c:plus>
            <c:minus>
              <c:numRef>
                <c:f>(Color!$K$78,Color!$K$158,Color!$K$238)</c:f>
                <c:numCache>
                  <c:formatCode>General</c:formatCode>
                  <c:ptCount val="3"/>
                  <c:pt idx="0">
                    <c:v>0</c:v>
                  </c:pt>
                  <c:pt idx="2">
                    <c:v>0</c:v>
                  </c:pt>
                </c:numCache>
              </c:numRef>
            </c:minus>
          </c:errBars>
          <c:xVal>
            <c:numRef>
              <c:f>Color!$L$71:$L$73</c:f>
              <c:numCache>
                <c:formatCode>General</c:formatCode>
                <c:ptCount val="3"/>
                <c:pt idx="0">
                  <c:v>0</c:v>
                </c:pt>
                <c:pt idx="1">
                  <c:v>42</c:v>
                </c:pt>
                <c:pt idx="2">
                  <c:v>84</c:v>
                </c:pt>
              </c:numCache>
            </c:numRef>
          </c:xVal>
          <c:yVal>
            <c:numRef>
              <c:f>(Color!$J$78,Color!$J$158,Color!$J$238)</c:f>
              <c:numCache>
                <c:formatCode>0.00</c:formatCode>
                <c:ptCount val="3"/>
                <c:pt idx="0" formatCode="General">
                  <c:v>0</c:v>
                </c:pt>
                <c:pt idx="1">
                  <c:v>3.0995799715445322</c:v>
                </c:pt>
                <c:pt idx="2">
                  <c:v>3.7725142809537551</c:v>
                </c:pt>
              </c:numCache>
            </c:numRef>
          </c:yVal>
          <c:smooth val="1"/>
        </c:ser>
        <c:ser>
          <c:idx val="4"/>
          <c:order val="4"/>
          <c:tx>
            <c:v>A2P-0.01%Pycnogenol</c:v>
          </c:tx>
          <c:spPr>
            <a:ln>
              <a:solidFill>
                <a:srgbClr val="FF130D"/>
              </a:solidFill>
            </a:ln>
          </c:spPr>
          <c:marker>
            <c:symbol val="star"/>
            <c:size val="7"/>
            <c:spPr>
              <a:solidFill>
                <a:srgbClr val="FF130D"/>
              </a:solidFill>
            </c:spPr>
          </c:marker>
          <c:errBars>
            <c:errDir val="y"/>
            <c:errBarType val="both"/>
            <c:errValType val="cust"/>
            <c:plus>
              <c:numRef>
                <c:f>(Color!$K$79,Color!$K$159,Color!$K$239)</c:f>
                <c:numCache>
                  <c:formatCode>General</c:formatCode>
                  <c:ptCount val="3"/>
                  <c:pt idx="0">
                    <c:v>0</c:v>
                  </c:pt>
                  <c:pt idx="1">
                    <c:v>0</c:v>
                  </c:pt>
                  <c:pt idx="2">
                    <c:v>0.30047936929099323</c:v>
                  </c:pt>
                </c:numCache>
              </c:numRef>
            </c:plus>
            <c:minus>
              <c:numRef>
                <c:f>(Color!$K$79,Color!$K$159,Color!$K$239)</c:f>
                <c:numCache>
                  <c:formatCode>General</c:formatCode>
                  <c:ptCount val="3"/>
                  <c:pt idx="0">
                    <c:v>0</c:v>
                  </c:pt>
                  <c:pt idx="1">
                    <c:v>0</c:v>
                  </c:pt>
                  <c:pt idx="2">
                    <c:v>0.30047936929099323</c:v>
                  </c:pt>
                </c:numCache>
              </c:numRef>
            </c:minus>
          </c:errBars>
          <c:xVal>
            <c:numRef>
              <c:f>Color!$L$71:$L$73</c:f>
              <c:numCache>
                <c:formatCode>General</c:formatCode>
                <c:ptCount val="3"/>
                <c:pt idx="0">
                  <c:v>0</c:v>
                </c:pt>
                <c:pt idx="1">
                  <c:v>42</c:v>
                </c:pt>
                <c:pt idx="2">
                  <c:v>84</c:v>
                </c:pt>
              </c:numCache>
            </c:numRef>
          </c:xVal>
          <c:yVal>
            <c:numRef>
              <c:f>(Color!$J$79,Color!$J$159,Color!$J$239)</c:f>
              <c:numCache>
                <c:formatCode>0.00</c:formatCode>
                <c:ptCount val="3"/>
                <c:pt idx="0" formatCode="General">
                  <c:v>0</c:v>
                </c:pt>
                <c:pt idx="1">
                  <c:v>6.0808190237829072</c:v>
                </c:pt>
                <c:pt idx="2">
                  <c:v>6.4139491500412831</c:v>
                </c:pt>
              </c:numCache>
            </c:numRef>
          </c:yVal>
          <c:smooth val="1"/>
        </c:ser>
        <c:ser>
          <c:idx val="5"/>
          <c:order val="5"/>
          <c:tx>
            <c:v>A2P-0.1%Pycnogenol</c:v>
          </c:tx>
          <c:errBars>
            <c:errDir val="y"/>
            <c:errBarType val="both"/>
            <c:errValType val="cust"/>
            <c:plus>
              <c:numRef>
                <c:f>(Color!$K$80,Color!$K$160,Color!$K$240)</c:f>
                <c:numCache>
                  <c:formatCode>General</c:formatCode>
                  <c:ptCount val="3"/>
                  <c:pt idx="0">
                    <c:v>0</c:v>
                  </c:pt>
                  <c:pt idx="1">
                    <c:v>1.06826519037003</c:v>
                  </c:pt>
                  <c:pt idx="2">
                    <c:v>5.5103816188751722E-2</c:v>
                  </c:pt>
                </c:numCache>
              </c:numRef>
            </c:plus>
            <c:minus>
              <c:numRef>
                <c:f>(Color!$K$80,Color!$K$160,Color!$K$240)</c:f>
                <c:numCache>
                  <c:formatCode>General</c:formatCode>
                  <c:ptCount val="3"/>
                  <c:pt idx="0">
                    <c:v>0</c:v>
                  </c:pt>
                  <c:pt idx="1">
                    <c:v>1.06826519037003</c:v>
                  </c:pt>
                  <c:pt idx="2">
                    <c:v>5.5103816188751722E-2</c:v>
                  </c:pt>
                </c:numCache>
              </c:numRef>
            </c:minus>
          </c:errBars>
          <c:xVal>
            <c:numRef>
              <c:f>Color!$L$71:$L$73</c:f>
              <c:numCache>
                <c:formatCode>General</c:formatCode>
                <c:ptCount val="3"/>
                <c:pt idx="0">
                  <c:v>0</c:v>
                </c:pt>
                <c:pt idx="1">
                  <c:v>42</c:v>
                </c:pt>
                <c:pt idx="2">
                  <c:v>84</c:v>
                </c:pt>
              </c:numCache>
            </c:numRef>
          </c:xVal>
          <c:yVal>
            <c:numRef>
              <c:f>(Color!$J$80,Color!$J$160,Color!$J$240)</c:f>
              <c:numCache>
                <c:formatCode>0.00</c:formatCode>
                <c:ptCount val="3"/>
                <c:pt idx="0" formatCode="General">
                  <c:v>0</c:v>
                </c:pt>
                <c:pt idx="1">
                  <c:v>1.630779182330288</c:v>
                </c:pt>
                <c:pt idx="2">
                  <c:v>3.3598719893354128</c:v>
                </c:pt>
              </c:numCache>
            </c:numRef>
          </c:yVal>
          <c:smooth val="1"/>
        </c:ser>
        <c:axId val="104270464"/>
        <c:axId val="104280832"/>
      </c:scatterChart>
      <c:valAx>
        <c:axId val="104270464"/>
        <c:scaling>
          <c:orientation val="minMax"/>
          <c:max val="100"/>
        </c:scaling>
        <c:axPos val="b"/>
        <c:title>
          <c:tx>
            <c:rich>
              <a:bodyPr/>
              <a:lstStyle/>
              <a:p>
                <a:pPr>
                  <a:defRPr sz="800"/>
                </a:pPr>
                <a:r>
                  <a:rPr lang="es-ES" sz="800"/>
                  <a:t>Storage (Days)</a:t>
                </a:r>
              </a:p>
            </c:rich>
          </c:tx>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04280832"/>
        <c:crosses val="autoZero"/>
        <c:crossBetween val="midCat"/>
      </c:valAx>
      <c:valAx>
        <c:axId val="104280832"/>
        <c:scaling>
          <c:orientation val="minMax"/>
          <c:max val="20"/>
          <c:min val="0"/>
        </c:scaling>
        <c:axPos val="l"/>
        <c:title>
          <c:tx>
            <c:rich>
              <a:bodyPr/>
              <a:lstStyle/>
              <a:p>
                <a:pPr>
                  <a:defRPr sz="800"/>
                </a:pPr>
                <a:r>
                  <a:rPr lang="es-ES" sz="800">
                    <a:latin typeface="Times New Roman"/>
                    <a:cs typeface="Times New Roman"/>
                  </a:rPr>
                  <a:t>∆E</a:t>
                </a:r>
                <a:r>
                  <a:rPr lang="es-ES" sz="800"/>
                  <a:t>*</a:t>
                </a:r>
              </a:p>
            </c:rich>
          </c:tx>
        </c:title>
        <c:numFmt formatCode="0.0" sourceLinked="0"/>
        <c:tickLblPos val="nextTo"/>
        <c:txPr>
          <a:bodyPr/>
          <a:lstStyle/>
          <a:p>
            <a:pPr>
              <a:defRPr sz="800"/>
            </a:pPr>
            <a:endParaRPr lang="en-US"/>
          </a:p>
        </c:txPr>
        <c:crossAx val="104270464"/>
        <c:crosses val="autoZero"/>
        <c:crossBetween val="midCat"/>
      </c:valAx>
    </c:plotArea>
    <c:legend>
      <c:legendPos val="b"/>
      <c:txPr>
        <a:bodyPr/>
        <a:lstStyle/>
        <a:p>
          <a:pPr>
            <a:defRPr sz="600"/>
          </a:pPr>
          <a:endParaRPr lang="en-US"/>
        </a:p>
      </c:txPr>
    </c:legend>
    <c:plotVisOnly val="1"/>
    <c:dispBlanksAs val="gap"/>
  </c:chart>
  <c:spPr>
    <a:ln>
      <a:noFill/>
    </a:ln>
  </c:spPr>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069380961526101"/>
          <c:y val="4.4444444444444502E-2"/>
          <c:w val="0.780346968824014"/>
          <c:h val="0.70071963731807196"/>
        </c:manualLayout>
      </c:layout>
      <c:scatterChart>
        <c:scatterStyle val="smoothMarker"/>
        <c:ser>
          <c:idx val="0"/>
          <c:order val="0"/>
          <c:tx>
            <c:v>Control-AA</c:v>
          </c:tx>
          <c:spPr>
            <a:ln>
              <a:solidFill>
                <a:srgbClr val="C00000"/>
              </a:solidFill>
            </a:ln>
          </c:spPr>
          <c:marker>
            <c:spPr>
              <a:solidFill>
                <a:srgbClr val="C00000"/>
              </a:solidFill>
            </c:spPr>
          </c:marker>
          <c:errBars>
            <c:errDir val="y"/>
            <c:errBarType val="both"/>
            <c:errValType val="cust"/>
            <c:plus>
              <c:numRef>
                <c:f>(BI!$E$24,BI!$E$56,BI!$E$88)</c:f>
                <c:numCache>
                  <c:formatCode>General</c:formatCode>
                  <c:ptCount val="3"/>
                  <c:pt idx="0">
                    <c:v>6.3639610306789321E-3</c:v>
                  </c:pt>
                  <c:pt idx="1">
                    <c:v>8.4852813742385767E-3</c:v>
                  </c:pt>
                  <c:pt idx="2">
                    <c:v>1.8384776310850472E-2</c:v>
                  </c:pt>
                </c:numCache>
              </c:numRef>
            </c:plus>
            <c:minus>
              <c:numRef>
                <c:f>(BI!$E$24,BI!$E$56,BI!$E$88)</c:f>
                <c:numCache>
                  <c:formatCode>General</c:formatCode>
                  <c:ptCount val="3"/>
                  <c:pt idx="0">
                    <c:v>6.3639610306789321E-3</c:v>
                  </c:pt>
                  <c:pt idx="1">
                    <c:v>8.4852813742385767E-3</c:v>
                  </c:pt>
                  <c:pt idx="2">
                    <c:v>1.8384776310850472E-2</c:v>
                  </c:pt>
                </c:numCache>
              </c:numRef>
            </c:minus>
          </c:errBars>
          <c:xVal>
            <c:numRef>
              <c:f>BI!$A$87:$A$89</c:f>
              <c:numCache>
                <c:formatCode>General</c:formatCode>
                <c:ptCount val="3"/>
                <c:pt idx="0">
                  <c:v>0</c:v>
                </c:pt>
                <c:pt idx="1">
                  <c:v>21</c:v>
                </c:pt>
                <c:pt idx="2">
                  <c:v>42</c:v>
                </c:pt>
              </c:numCache>
            </c:numRef>
          </c:xVal>
          <c:yVal>
            <c:numRef>
              <c:f>(BI!$D$24,BI!$D$56,BI!$D$88)</c:f>
              <c:numCache>
                <c:formatCode>0.00</c:formatCode>
                <c:ptCount val="3"/>
                <c:pt idx="0">
                  <c:v>1.7500000000000005E-2</c:v>
                </c:pt>
                <c:pt idx="1">
                  <c:v>4.8000000000000022E-2</c:v>
                </c:pt>
                <c:pt idx="2">
                  <c:v>0.10700000000000012</c:v>
                </c:pt>
              </c:numCache>
            </c:numRef>
          </c:yVal>
          <c:smooth val="1"/>
        </c:ser>
        <c:ser>
          <c:idx val="1"/>
          <c:order val="1"/>
          <c:tx>
            <c:v>AA-0.01% Pycnogenol</c:v>
          </c:tx>
          <c:spPr>
            <a:ln>
              <a:solidFill>
                <a:schemeClr val="tx2">
                  <a:lumMod val="60000"/>
                  <a:lumOff val="40000"/>
                </a:schemeClr>
              </a:solidFill>
            </a:ln>
          </c:spPr>
          <c:marker>
            <c:symbol val="square"/>
            <c:size val="7"/>
            <c:spPr>
              <a:solidFill>
                <a:schemeClr val="tx2">
                  <a:lumMod val="60000"/>
                  <a:lumOff val="40000"/>
                </a:schemeClr>
              </a:solidFill>
              <a:ln>
                <a:solidFill>
                  <a:srgbClr val="1F497D">
                    <a:lumMod val="60000"/>
                    <a:lumOff val="40000"/>
                  </a:srgbClr>
                </a:solidFill>
              </a:ln>
            </c:spPr>
          </c:marker>
          <c:errBars>
            <c:errDir val="y"/>
            <c:errBarType val="both"/>
            <c:errValType val="cust"/>
            <c:plus>
              <c:numRef>
                <c:f>(BI!$E$25,BI!$E$57,BI!$E$89)</c:f>
                <c:numCache>
                  <c:formatCode>General</c:formatCode>
                  <c:ptCount val="3"/>
                  <c:pt idx="0">
                    <c:v>7.0710678118655315E-4</c:v>
                  </c:pt>
                  <c:pt idx="1">
                    <c:v>0</c:v>
                  </c:pt>
                  <c:pt idx="2">
                    <c:v>1.4142135623731046E-3</c:v>
                  </c:pt>
                </c:numCache>
              </c:numRef>
            </c:plus>
            <c:minus>
              <c:numRef>
                <c:f>(BI!$E$25,BI!$E$57,BI!$E$89)</c:f>
                <c:numCache>
                  <c:formatCode>General</c:formatCode>
                  <c:ptCount val="3"/>
                  <c:pt idx="0">
                    <c:v>7.0710678118655315E-4</c:v>
                  </c:pt>
                  <c:pt idx="1">
                    <c:v>0</c:v>
                  </c:pt>
                  <c:pt idx="2">
                    <c:v>1.4142135623731046E-3</c:v>
                  </c:pt>
                </c:numCache>
              </c:numRef>
            </c:minus>
          </c:errBars>
          <c:xVal>
            <c:numRef>
              <c:f>BI!$A$87:$A$89</c:f>
              <c:numCache>
                <c:formatCode>General</c:formatCode>
                <c:ptCount val="3"/>
                <c:pt idx="0">
                  <c:v>0</c:v>
                </c:pt>
                <c:pt idx="1">
                  <c:v>21</c:v>
                </c:pt>
                <c:pt idx="2">
                  <c:v>42</c:v>
                </c:pt>
              </c:numCache>
            </c:numRef>
          </c:xVal>
          <c:yVal>
            <c:numRef>
              <c:f>(BI!$D$25,BI!$D$57,BI!$D$89)</c:f>
              <c:numCache>
                <c:formatCode>0.00</c:formatCode>
                <c:ptCount val="3"/>
                <c:pt idx="0">
                  <c:v>2.1500000000000005E-2</c:v>
                </c:pt>
                <c:pt idx="1">
                  <c:v>5.1000000000000004E-2</c:v>
                </c:pt>
                <c:pt idx="2">
                  <c:v>9.0000000000000024E-2</c:v>
                </c:pt>
              </c:numCache>
            </c:numRef>
          </c:yVal>
          <c:smooth val="1"/>
        </c:ser>
        <c:ser>
          <c:idx val="2"/>
          <c:order val="2"/>
          <c:tx>
            <c:v>0.1% Pycnogenol</c:v>
          </c:tx>
          <c:errBars>
            <c:errDir val="y"/>
            <c:errBarType val="both"/>
            <c:errValType val="cust"/>
            <c:plus>
              <c:numRef>
                <c:f>(BI!$E$26,BI!$E$58,BI!$E$90)</c:f>
                <c:numCache>
                  <c:formatCode>General</c:formatCode>
                  <c:ptCount val="3"/>
                  <c:pt idx="0">
                    <c:v>2.1213203435596693E-3</c:v>
                  </c:pt>
                  <c:pt idx="1">
                    <c:v>1.4142135623731039E-2</c:v>
                  </c:pt>
                  <c:pt idx="2">
                    <c:v>1.1313708498984923E-2</c:v>
                  </c:pt>
                </c:numCache>
              </c:numRef>
            </c:plus>
            <c:minus>
              <c:numRef>
                <c:f>(BI!$E$26,BI!$E$58,BI!$E$90)</c:f>
                <c:numCache>
                  <c:formatCode>General</c:formatCode>
                  <c:ptCount val="3"/>
                  <c:pt idx="0">
                    <c:v>2.1213203435596693E-3</c:v>
                  </c:pt>
                  <c:pt idx="1">
                    <c:v>1.4142135623731039E-2</c:v>
                  </c:pt>
                  <c:pt idx="2">
                    <c:v>1.1313708498984923E-2</c:v>
                  </c:pt>
                </c:numCache>
              </c:numRef>
            </c:minus>
          </c:errBars>
          <c:xVal>
            <c:numRef>
              <c:f>BI!$A$87:$A$89</c:f>
              <c:numCache>
                <c:formatCode>General</c:formatCode>
                <c:ptCount val="3"/>
                <c:pt idx="0">
                  <c:v>0</c:v>
                </c:pt>
                <c:pt idx="1">
                  <c:v>21</c:v>
                </c:pt>
                <c:pt idx="2">
                  <c:v>42</c:v>
                </c:pt>
              </c:numCache>
            </c:numRef>
          </c:xVal>
          <c:yVal>
            <c:numRef>
              <c:f>(BI!$D$26,BI!$D$58,BI!$D$90)</c:f>
              <c:numCache>
                <c:formatCode>0.00</c:formatCode>
                <c:ptCount val="3"/>
                <c:pt idx="0">
                  <c:v>3.15E-2</c:v>
                </c:pt>
                <c:pt idx="1">
                  <c:v>5.3000000000000012E-2</c:v>
                </c:pt>
                <c:pt idx="2">
                  <c:v>0.11700000000000002</c:v>
                </c:pt>
              </c:numCache>
            </c:numRef>
          </c:yVal>
          <c:smooth val="1"/>
        </c:ser>
        <c:ser>
          <c:idx val="3"/>
          <c:order val="3"/>
          <c:tx>
            <c:v>Control-A2P</c:v>
          </c:tx>
          <c:errBars>
            <c:errDir val="y"/>
            <c:errBarType val="both"/>
            <c:errValType val="cust"/>
            <c:plus>
              <c:numRef>
                <c:f>(BI!$E$30,BI!$E$62,BI!$E$94)</c:f>
                <c:numCache>
                  <c:formatCode>General</c:formatCode>
                  <c:ptCount val="3"/>
                  <c:pt idx="0">
                    <c:v>1.4142135623731046E-3</c:v>
                  </c:pt>
                  <c:pt idx="1">
                    <c:v>8.4852813742386946E-3</c:v>
                  </c:pt>
                  <c:pt idx="2">
                    <c:v>4.9497474683058958E-3</c:v>
                  </c:pt>
                </c:numCache>
              </c:numRef>
            </c:plus>
            <c:minus>
              <c:numRef>
                <c:f>(BI!$E$30,BI!$E$62,BI!$E$94)</c:f>
                <c:numCache>
                  <c:formatCode>General</c:formatCode>
                  <c:ptCount val="3"/>
                  <c:pt idx="0">
                    <c:v>1.4142135623731046E-3</c:v>
                  </c:pt>
                  <c:pt idx="1">
                    <c:v>8.4852813742386946E-3</c:v>
                  </c:pt>
                  <c:pt idx="2">
                    <c:v>4.9497474683058958E-3</c:v>
                  </c:pt>
                </c:numCache>
              </c:numRef>
            </c:minus>
          </c:errBars>
          <c:xVal>
            <c:numRef>
              <c:f>BI!$A$87:$A$89</c:f>
              <c:numCache>
                <c:formatCode>General</c:formatCode>
                <c:ptCount val="3"/>
                <c:pt idx="0">
                  <c:v>0</c:v>
                </c:pt>
                <c:pt idx="1">
                  <c:v>21</c:v>
                </c:pt>
                <c:pt idx="2">
                  <c:v>42</c:v>
                </c:pt>
              </c:numCache>
            </c:numRef>
          </c:xVal>
          <c:yVal>
            <c:numRef>
              <c:f>(BI!$D$30,BI!$D$62,BI!$D$94)</c:f>
              <c:numCache>
                <c:formatCode>0.00</c:formatCode>
                <c:ptCount val="3"/>
                <c:pt idx="0">
                  <c:v>1.9000000000000166E-2</c:v>
                </c:pt>
                <c:pt idx="1">
                  <c:v>1.9000000000000166E-2</c:v>
                </c:pt>
                <c:pt idx="2">
                  <c:v>6.9500000000000034E-2</c:v>
                </c:pt>
              </c:numCache>
            </c:numRef>
          </c:yVal>
          <c:smooth val="1"/>
        </c:ser>
        <c:ser>
          <c:idx val="4"/>
          <c:order val="4"/>
          <c:tx>
            <c:v>A2P-0.01% Pycnogenol</c:v>
          </c:tx>
          <c:spPr>
            <a:ln>
              <a:solidFill>
                <a:srgbClr val="FF3300"/>
              </a:solidFill>
            </a:ln>
          </c:spPr>
          <c:marker>
            <c:spPr>
              <a:solidFill>
                <a:srgbClr val="FF0000"/>
              </a:solidFill>
            </c:spPr>
          </c:marker>
          <c:errBars>
            <c:errDir val="y"/>
            <c:errBarType val="both"/>
            <c:errValType val="cust"/>
            <c:plus>
              <c:numRef>
                <c:f>(BI!$E$31,BI!$E$63,BI!$E$95)</c:f>
                <c:numCache>
                  <c:formatCode>General</c:formatCode>
                  <c:ptCount val="3"/>
                  <c:pt idx="0">
                    <c:v>1.1313708498984805E-2</c:v>
                  </c:pt>
                  <c:pt idx="1">
                    <c:v>8.4852813742385767E-3</c:v>
                  </c:pt>
                  <c:pt idx="2">
                    <c:v>1.2727922061357803E-2</c:v>
                  </c:pt>
                </c:numCache>
              </c:numRef>
            </c:plus>
            <c:minus>
              <c:numRef>
                <c:f>(BI!$E$31,BI!$E$63,BI!$E$95)</c:f>
                <c:numCache>
                  <c:formatCode>General</c:formatCode>
                  <c:ptCount val="3"/>
                  <c:pt idx="0">
                    <c:v>1.1313708498984805E-2</c:v>
                  </c:pt>
                  <c:pt idx="1">
                    <c:v>8.4852813742385767E-3</c:v>
                  </c:pt>
                  <c:pt idx="2">
                    <c:v>1.2727922061357803E-2</c:v>
                  </c:pt>
                </c:numCache>
              </c:numRef>
            </c:minus>
          </c:errBars>
          <c:xVal>
            <c:numRef>
              <c:f>BI!$A$87:$A$89</c:f>
              <c:numCache>
                <c:formatCode>General</c:formatCode>
                <c:ptCount val="3"/>
                <c:pt idx="0">
                  <c:v>0</c:v>
                </c:pt>
                <c:pt idx="1">
                  <c:v>21</c:v>
                </c:pt>
                <c:pt idx="2">
                  <c:v>42</c:v>
                </c:pt>
              </c:numCache>
            </c:numRef>
          </c:xVal>
          <c:yVal>
            <c:numRef>
              <c:f>(BI!$D$31,BI!$D$63,BI!$D$95)</c:f>
              <c:numCache>
                <c:formatCode>0.00</c:formatCode>
                <c:ptCount val="3"/>
                <c:pt idx="0">
                  <c:v>2.5000000000000012E-2</c:v>
                </c:pt>
                <c:pt idx="1">
                  <c:v>3.8000000000000006E-2</c:v>
                </c:pt>
                <c:pt idx="2">
                  <c:v>7.1000000000000008E-2</c:v>
                </c:pt>
              </c:numCache>
            </c:numRef>
          </c:yVal>
          <c:smooth val="1"/>
        </c:ser>
        <c:ser>
          <c:idx val="5"/>
          <c:order val="5"/>
          <c:tx>
            <c:v>A2P-0.1% Pycnogenol</c:v>
          </c:tx>
          <c:errBars>
            <c:errDir val="y"/>
            <c:errBarType val="both"/>
            <c:errValType val="cust"/>
            <c:plus>
              <c:numRef>
                <c:f>(BI!$E$32,BI!$E$64,BI!$E$96)</c:f>
                <c:numCache>
                  <c:formatCode>General</c:formatCode>
                  <c:ptCount val="3"/>
                  <c:pt idx="0">
                    <c:v>1.4142135623731046E-3</c:v>
                  </c:pt>
                  <c:pt idx="1">
                    <c:v>5.6568542494923801E-3</c:v>
                  </c:pt>
                  <c:pt idx="2">
                    <c:v>9.8994949366119807E-3</c:v>
                  </c:pt>
                </c:numCache>
              </c:numRef>
            </c:plus>
            <c:minus>
              <c:numRef>
                <c:f>(BI!$E$32,BI!$E$64,BI!$E$96)</c:f>
                <c:numCache>
                  <c:formatCode>General</c:formatCode>
                  <c:ptCount val="3"/>
                  <c:pt idx="0">
                    <c:v>1.4142135623731046E-3</c:v>
                  </c:pt>
                  <c:pt idx="1">
                    <c:v>5.6568542494923801E-3</c:v>
                  </c:pt>
                  <c:pt idx="2">
                    <c:v>9.8994949366119807E-3</c:v>
                  </c:pt>
                </c:numCache>
              </c:numRef>
            </c:minus>
          </c:errBars>
          <c:xVal>
            <c:numRef>
              <c:f>BI!$A$87:$A$89</c:f>
              <c:numCache>
                <c:formatCode>General</c:formatCode>
                <c:ptCount val="3"/>
                <c:pt idx="0">
                  <c:v>0</c:v>
                </c:pt>
                <c:pt idx="1">
                  <c:v>21</c:v>
                </c:pt>
                <c:pt idx="2">
                  <c:v>42</c:v>
                </c:pt>
              </c:numCache>
            </c:numRef>
          </c:xVal>
          <c:yVal>
            <c:numRef>
              <c:f>(BI!$D$32,BI!$D$64,BI!$D$96)</c:f>
              <c:numCache>
                <c:formatCode>0.00</c:formatCode>
                <c:ptCount val="3"/>
                <c:pt idx="0">
                  <c:v>2.5000000000000012E-2</c:v>
                </c:pt>
                <c:pt idx="1">
                  <c:v>4.9000000000000113E-2</c:v>
                </c:pt>
                <c:pt idx="2">
                  <c:v>8.6000000000000021E-2</c:v>
                </c:pt>
              </c:numCache>
            </c:numRef>
          </c:yVal>
          <c:smooth val="1"/>
        </c:ser>
        <c:axId val="104360576"/>
        <c:axId val="104383232"/>
      </c:scatterChart>
      <c:valAx>
        <c:axId val="104360576"/>
        <c:scaling>
          <c:orientation val="minMax"/>
          <c:max val="43"/>
          <c:min val="0"/>
        </c:scaling>
        <c:axPos val="b"/>
        <c:title>
          <c:tx>
            <c:rich>
              <a:bodyPr/>
              <a:lstStyle/>
              <a:p>
                <a:pPr>
                  <a:defRPr sz="800" b="1" i="0" u="none" strike="noStrike" baseline="0">
                    <a:solidFill>
                      <a:srgbClr val="000000"/>
                    </a:solidFill>
                    <a:latin typeface="Calibri"/>
                    <a:ea typeface="Calibri"/>
                    <a:cs typeface="Calibri"/>
                  </a:defRPr>
                </a:pPr>
                <a:r>
                  <a:rPr lang="en-US" sz="800"/>
                  <a:t>Week of Storage</a:t>
                </a:r>
              </a:p>
            </c:rich>
          </c:tx>
          <c:layout>
            <c:manualLayout>
              <c:xMode val="edge"/>
              <c:yMode val="edge"/>
              <c:x val="0.46483477370207277"/>
              <c:y val="0.81911715581006128"/>
            </c:manualLayout>
          </c:layout>
          <c:spPr>
            <a:noFill/>
            <a:ln w="25400">
              <a:noFill/>
            </a:ln>
          </c:spPr>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04383232"/>
        <c:crosses val="autoZero"/>
        <c:crossBetween val="midCat"/>
        <c:majorUnit val="7"/>
      </c:valAx>
      <c:valAx>
        <c:axId val="104383232"/>
        <c:scaling>
          <c:orientation val="minMax"/>
          <c:max val="0.2"/>
          <c:min val="0"/>
        </c:scaling>
        <c:axPos val="l"/>
        <c:title>
          <c:tx>
            <c:rich>
              <a:bodyPr/>
              <a:lstStyle/>
              <a:p>
                <a:pPr>
                  <a:defRPr sz="800" b="1" i="0" u="none" strike="noStrike" baseline="0">
                    <a:solidFill>
                      <a:srgbClr val="000000"/>
                    </a:solidFill>
                    <a:latin typeface="Calibri"/>
                    <a:ea typeface="Calibri"/>
                    <a:cs typeface="Calibri"/>
                  </a:defRPr>
                </a:pPr>
                <a:r>
                  <a:rPr lang="en-US" sz="800"/>
                  <a:t>BI</a:t>
                </a:r>
              </a:p>
            </c:rich>
          </c:tx>
          <c:spPr>
            <a:noFill/>
            <a:ln w="25400">
              <a:noFill/>
            </a:ln>
          </c:spPr>
        </c:title>
        <c:numFmt formatCode="0.00" sourceLinked="1"/>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04360576"/>
        <c:crosses val="autoZero"/>
        <c:crossBetween val="midCat"/>
      </c:valAx>
    </c:plotArea>
    <c:legend>
      <c:legendPos val="b"/>
      <c:txPr>
        <a:bodyPr/>
        <a:lstStyle/>
        <a:p>
          <a:pPr>
            <a:defRPr sz="600" b="0" i="0" u="none" strike="noStrike" baseline="0">
              <a:solidFill>
                <a:srgbClr val="000000"/>
              </a:solidFill>
              <a:latin typeface="Calibri"/>
              <a:ea typeface="Calibri"/>
              <a:cs typeface="Calibri"/>
            </a:defRPr>
          </a:pPr>
          <a:endParaRPr lang="en-US"/>
        </a:p>
      </c:txPr>
    </c:legend>
    <c:plotVisOnly val="1"/>
    <c:dispBlanksAs val="gap"/>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304583616829282"/>
          <c:y val="6.6042837448750807E-2"/>
          <c:w val="0.816581924219421"/>
          <c:h val="0.68857318074576146"/>
        </c:manualLayout>
      </c:layout>
      <c:scatterChart>
        <c:scatterStyle val="smoothMarker"/>
        <c:ser>
          <c:idx val="1"/>
          <c:order val="0"/>
          <c:tx>
            <c:v>Control-AA</c:v>
          </c:tx>
          <c:errBars>
            <c:errDir val="y"/>
            <c:errBarType val="both"/>
            <c:errValType val="cust"/>
            <c:plus>
              <c:numRef>
                <c:f>(BI!$E$24,BI!$E$56,BI!$E$88)</c:f>
                <c:numCache>
                  <c:formatCode>General</c:formatCode>
                  <c:ptCount val="3"/>
                  <c:pt idx="0">
                    <c:v>6.3639610306789321E-3</c:v>
                  </c:pt>
                  <c:pt idx="1">
                    <c:v>5.6568542494923801E-3</c:v>
                  </c:pt>
                  <c:pt idx="2">
                    <c:v>5.6568542494923801E-3</c:v>
                  </c:pt>
                </c:numCache>
              </c:numRef>
            </c:plus>
            <c:minus>
              <c:numRef>
                <c:f>(BI!$E$24,BI!$E$56,BI!$E$88)</c:f>
                <c:numCache>
                  <c:formatCode>General</c:formatCode>
                  <c:ptCount val="3"/>
                  <c:pt idx="0">
                    <c:v>6.3639610306789321E-3</c:v>
                  </c:pt>
                  <c:pt idx="1">
                    <c:v>5.6568542494923801E-3</c:v>
                  </c:pt>
                  <c:pt idx="2">
                    <c:v>5.6568542494923801E-3</c:v>
                  </c:pt>
                </c:numCache>
              </c:numRef>
            </c:minus>
          </c:errBars>
          <c:xVal>
            <c:numRef>
              <c:f>Color!$L$71:$L$73</c:f>
              <c:numCache>
                <c:formatCode>General</c:formatCode>
                <c:ptCount val="3"/>
                <c:pt idx="0">
                  <c:v>0</c:v>
                </c:pt>
                <c:pt idx="1">
                  <c:v>42</c:v>
                </c:pt>
                <c:pt idx="2">
                  <c:v>84</c:v>
                </c:pt>
              </c:numCache>
            </c:numRef>
          </c:xVal>
          <c:yVal>
            <c:numRef>
              <c:f>(BI!$D$24,BI!$D$56,BI!$D$88)</c:f>
              <c:numCache>
                <c:formatCode>0.00</c:formatCode>
                <c:ptCount val="3"/>
                <c:pt idx="0">
                  <c:v>1.7500000000000005E-2</c:v>
                </c:pt>
                <c:pt idx="1">
                  <c:v>4.4000000000000032E-2</c:v>
                </c:pt>
                <c:pt idx="2">
                  <c:v>4.7000000000000014E-2</c:v>
                </c:pt>
              </c:numCache>
            </c:numRef>
          </c:yVal>
          <c:smooth val="1"/>
        </c:ser>
        <c:ser>
          <c:idx val="0"/>
          <c:order val="1"/>
          <c:tx>
            <c:v>AA-0.01% Pycnogenol</c:v>
          </c:tx>
          <c:errBars>
            <c:errDir val="y"/>
            <c:errBarType val="both"/>
            <c:errValType val="cust"/>
            <c:plus>
              <c:numRef>
                <c:f>(BI!$E$25,BI!$E$57,BI!$E$89)</c:f>
                <c:numCache>
                  <c:formatCode>General</c:formatCode>
                  <c:ptCount val="3"/>
                  <c:pt idx="0">
                    <c:v>7.0710678118655315E-4</c:v>
                  </c:pt>
                  <c:pt idx="1">
                    <c:v>7.0710678118655846E-3</c:v>
                  </c:pt>
                  <c:pt idx="2">
                    <c:v>7.0710678118655543E-4</c:v>
                  </c:pt>
                </c:numCache>
              </c:numRef>
            </c:plus>
            <c:minus>
              <c:numRef>
                <c:f>(BI!$E$25,BI!$E$57,BI!$E$89)</c:f>
                <c:numCache>
                  <c:formatCode>General</c:formatCode>
                  <c:ptCount val="3"/>
                  <c:pt idx="0">
                    <c:v>7.0710678118655315E-4</c:v>
                  </c:pt>
                  <c:pt idx="1">
                    <c:v>7.0710678118655846E-3</c:v>
                  </c:pt>
                  <c:pt idx="2">
                    <c:v>7.0710678118655543E-4</c:v>
                  </c:pt>
                </c:numCache>
              </c:numRef>
            </c:minus>
          </c:errBars>
          <c:xVal>
            <c:numRef>
              <c:f>Color!$L$71:$L$73</c:f>
              <c:numCache>
                <c:formatCode>General</c:formatCode>
                <c:ptCount val="3"/>
                <c:pt idx="0">
                  <c:v>0</c:v>
                </c:pt>
                <c:pt idx="1">
                  <c:v>42</c:v>
                </c:pt>
                <c:pt idx="2">
                  <c:v>84</c:v>
                </c:pt>
              </c:numCache>
            </c:numRef>
          </c:xVal>
          <c:yVal>
            <c:numRef>
              <c:f>(BI!$D$25,BI!$D$57,BI!$D$89)</c:f>
              <c:numCache>
                <c:formatCode>0.00</c:formatCode>
                <c:ptCount val="3"/>
                <c:pt idx="0">
                  <c:v>2.1500000000000005E-2</c:v>
                </c:pt>
                <c:pt idx="1">
                  <c:v>4.5000000000000012E-2</c:v>
                </c:pt>
                <c:pt idx="2">
                  <c:v>4.3500000000000011E-2</c:v>
                </c:pt>
              </c:numCache>
            </c:numRef>
          </c:yVal>
          <c:smooth val="1"/>
        </c:ser>
        <c:ser>
          <c:idx val="2"/>
          <c:order val="2"/>
          <c:tx>
            <c:v>AA-0.1% Pycnogenol</c:v>
          </c:tx>
          <c:errBars>
            <c:errDir val="y"/>
            <c:errBarType val="both"/>
            <c:errValType val="cust"/>
            <c:plus>
              <c:numRef>
                <c:f>(BI!$E$26,BI!$E$58,BI!$E$90)</c:f>
                <c:numCache>
                  <c:formatCode>General</c:formatCode>
                  <c:ptCount val="3"/>
                  <c:pt idx="0">
                    <c:v>2.1213203435596693E-3</c:v>
                  </c:pt>
                  <c:pt idx="1">
                    <c:v>3.5355339059327628E-3</c:v>
                  </c:pt>
                  <c:pt idx="2">
                    <c:v>1.4142135623730921E-2</c:v>
                  </c:pt>
                </c:numCache>
              </c:numRef>
            </c:plus>
            <c:minus>
              <c:numRef>
                <c:f>(BI!$E$26,BI!$E$58,BI!$E$90)</c:f>
                <c:numCache>
                  <c:formatCode>General</c:formatCode>
                  <c:ptCount val="3"/>
                  <c:pt idx="0">
                    <c:v>2.1213203435596693E-3</c:v>
                  </c:pt>
                  <c:pt idx="1">
                    <c:v>3.5355339059327628E-3</c:v>
                  </c:pt>
                  <c:pt idx="2">
                    <c:v>1.4142135623730921E-2</c:v>
                  </c:pt>
                </c:numCache>
              </c:numRef>
            </c:minus>
          </c:errBars>
          <c:xVal>
            <c:numRef>
              <c:f>Color!$L$71:$L$73</c:f>
              <c:numCache>
                <c:formatCode>General</c:formatCode>
                <c:ptCount val="3"/>
                <c:pt idx="0">
                  <c:v>0</c:v>
                </c:pt>
                <c:pt idx="1">
                  <c:v>42</c:v>
                </c:pt>
                <c:pt idx="2">
                  <c:v>84</c:v>
                </c:pt>
              </c:numCache>
            </c:numRef>
          </c:xVal>
          <c:yVal>
            <c:numRef>
              <c:f>(BI!$D$26,BI!$D$58,BI!$D$90)</c:f>
              <c:numCache>
                <c:formatCode>0.00</c:formatCode>
                <c:ptCount val="3"/>
                <c:pt idx="0">
                  <c:v>3.15E-2</c:v>
                </c:pt>
                <c:pt idx="1">
                  <c:v>3.7500000000000006E-2</c:v>
                </c:pt>
                <c:pt idx="2">
                  <c:v>6.7000000000000004E-2</c:v>
                </c:pt>
              </c:numCache>
            </c:numRef>
          </c:yVal>
          <c:smooth val="1"/>
        </c:ser>
        <c:ser>
          <c:idx val="3"/>
          <c:order val="3"/>
          <c:tx>
            <c:v>Control-A2P</c:v>
          </c:tx>
          <c:errBars>
            <c:errDir val="y"/>
            <c:errBarType val="both"/>
            <c:errValType val="cust"/>
            <c:plus>
              <c:numRef>
                <c:f>(BI!$E$30,BI!$E$62,BI!$E$94)</c:f>
                <c:numCache>
                  <c:formatCode>General</c:formatCode>
                  <c:ptCount val="3"/>
                  <c:pt idx="0">
                    <c:v>0</c:v>
                  </c:pt>
                  <c:pt idx="1">
                    <c:v>0</c:v>
                  </c:pt>
                  <c:pt idx="2">
                    <c:v>7.7781745930520793E-3</c:v>
                  </c:pt>
                </c:numCache>
              </c:numRef>
            </c:plus>
            <c:minus>
              <c:numRef>
                <c:f>(BI!$E$30,BI!$E$62,BI!$E$94)</c:f>
                <c:numCache>
                  <c:formatCode>General</c:formatCode>
                  <c:ptCount val="3"/>
                  <c:pt idx="0">
                    <c:v>0</c:v>
                  </c:pt>
                  <c:pt idx="1">
                    <c:v>0</c:v>
                  </c:pt>
                  <c:pt idx="2">
                    <c:v>7.7781745930520793E-3</c:v>
                  </c:pt>
                </c:numCache>
              </c:numRef>
            </c:minus>
          </c:errBars>
          <c:xVal>
            <c:numRef>
              <c:f>Color!$L$71:$L$73</c:f>
              <c:numCache>
                <c:formatCode>General</c:formatCode>
                <c:ptCount val="3"/>
                <c:pt idx="0">
                  <c:v>0</c:v>
                </c:pt>
                <c:pt idx="1">
                  <c:v>42</c:v>
                </c:pt>
                <c:pt idx="2">
                  <c:v>84</c:v>
                </c:pt>
              </c:numCache>
            </c:numRef>
          </c:xVal>
          <c:yVal>
            <c:numRef>
              <c:f>(BI!$D$30,BI!$D$62,BI!$D$94)</c:f>
              <c:numCache>
                <c:formatCode>0.00</c:formatCode>
                <c:ptCount val="3"/>
                <c:pt idx="0">
                  <c:v>2.0000000000000011E-2</c:v>
                </c:pt>
                <c:pt idx="1">
                  <c:v>3.0000000000000002E-2</c:v>
                </c:pt>
                <c:pt idx="2">
                  <c:v>3.4500000000000003E-2</c:v>
                </c:pt>
              </c:numCache>
            </c:numRef>
          </c:yVal>
          <c:smooth val="1"/>
        </c:ser>
        <c:ser>
          <c:idx val="4"/>
          <c:order val="4"/>
          <c:tx>
            <c:v>A2P-0.01%Pycnogenol</c:v>
          </c:tx>
          <c:spPr>
            <a:ln>
              <a:solidFill>
                <a:srgbClr val="FF130D"/>
              </a:solidFill>
            </a:ln>
          </c:spPr>
          <c:marker>
            <c:symbol val="star"/>
            <c:size val="7"/>
            <c:spPr>
              <a:solidFill>
                <a:srgbClr val="FF130D"/>
              </a:solidFill>
            </c:spPr>
          </c:marker>
          <c:errBars>
            <c:errDir val="y"/>
            <c:errBarType val="both"/>
            <c:errValType val="cust"/>
            <c:plus>
              <c:numRef>
                <c:f>(BI!$E$31,BI!$E$63,BI!$E$95)</c:f>
                <c:numCache>
                  <c:formatCode>General</c:formatCode>
                  <c:ptCount val="3"/>
                  <c:pt idx="0">
                    <c:v>1.1313708498984805E-2</c:v>
                  </c:pt>
                  <c:pt idx="1">
                    <c:v>1.2020815280171303E-2</c:v>
                  </c:pt>
                  <c:pt idx="2">
                    <c:v>1.5556349186103999E-2</c:v>
                  </c:pt>
                </c:numCache>
              </c:numRef>
            </c:plus>
            <c:minus>
              <c:numRef>
                <c:f>(BI!$E$31,BI!$E$63,BI!$E$95)</c:f>
                <c:numCache>
                  <c:formatCode>General</c:formatCode>
                  <c:ptCount val="3"/>
                  <c:pt idx="0">
                    <c:v>1.1313708498984805E-2</c:v>
                  </c:pt>
                  <c:pt idx="1">
                    <c:v>1.2020815280171303E-2</c:v>
                  </c:pt>
                  <c:pt idx="2">
                    <c:v>1.5556349186103999E-2</c:v>
                  </c:pt>
                </c:numCache>
              </c:numRef>
            </c:minus>
          </c:errBars>
          <c:xVal>
            <c:numRef>
              <c:f>Color!$L$71:$L$73</c:f>
              <c:numCache>
                <c:formatCode>General</c:formatCode>
                <c:ptCount val="3"/>
                <c:pt idx="0">
                  <c:v>0</c:v>
                </c:pt>
                <c:pt idx="1">
                  <c:v>42</c:v>
                </c:pt>
                <c:pt idx="2">
                  <c:v>84</c:v>
                </c:pt>
              </c:numCache>
            </c:numRef>
          </c:xVal>
          <c:yVal>
            <c:numRef>
              <c:f>(BI!$D$31,BI!$D$63,BI!$D$95)</c:f>
              <c:numCache>
                <c:formatCode>0.00</c:formatCode>
                <c:ptCount val="3"/>
                <c:pt idx="0">
                  <c:v>2.5000000000000012E-2</c:v>
                </c:pt>
                <c:pt idx="1">
                  <c:v>3.9500000000000007E-2</c:v>
                </c:pt>
                <c:pt idx="2">
                  <c:v>6.1000000000000013E-2</c:v>
                </c:pt>
              </c:numCache>
            </c:numRef>
          </c:yVal>
          <c:smooth val="1"/>
        </c:ser>
        <c:ser>
          <c:idx val="5"/>
          <c:order val="5"/>
          <c:tx>
            <c:v>A2P-0.1%Pycnogenol</c:v>
          </c:tx>
          <c:errBars>
            <c:errDir val="y"/>
            <c:errBarType val="both"/>
            <c:errValType val="cust"/>
            <c:plus>
              <c:numRef>
                <c:f>(BI!$E$32,BI!$E$64,BI!$E$96)</c:f>
                <c:numCache>
                  <c:formatCode>General</c:formatCode>
                  <c:ptCount val="3"/>
                  <c:pt idx="0">
                    <c:v>2.8284271247462005E-3</c:v>
                  </c:pt>
                  <c:pt idx="1">
                    <c:v>1.2727922061357902E-2</c:v>
                  </c:pt>
                  <c:pt idx="2">
                    <c:v>7.0710678118655248E-3</c:v>
                  </c:pt>
                </c:numCache>
              </c:numRef>
            </c:plus>
            <c:minus>
              <c:numRef>
                <c:f>(BI!$E$32,BI!$E$64,BI!$E$96)</c:f>
                <c:numCache>
                  <c:formatCode>General</c:formatCode>
                  <c:ptCount val="3"/>
                  <c:pt idx="0">
                    <c:v>2.8284271247462005E-3</c:v>
                  </c:pt>
                  <c:pt idx="1">
                    <c:v>1.2727922061357902E-2</c:v>
                  </c:pt>
                  <c:pt idx="2">
                    <c:v>7.0710678118655248E-3</c:v>
                  </c:pt>
                </c:numCache>
              </c:numRef>
            </c:minus>
          </c:errBars>
          <c:xVal>
            <c:numRef>
              <c:f>Color!$L$71:$L$73</c:f>
              <c:numCache>
                <c:formatCode>General</c:formatCode>
                <c:ptCount val="3"/>
                <c:pt idx="0">
                  <c:v>0</c:v>
                </c:pt>
                <c:pt idx="1">
                  <c:v>42</c:v>
                </c:pt>
                <c:pt idx="2">
                  <c:v>84</c:v>
                </c:pt>
              </c:numCache>
            </c:numRef>
          </c:xVal>
          <c:yVal>
            <c:numRef>
              <c:f>(BI!$D$32,BI!$D$64,BI!$D$96)</c:f>
              <c:numCache>
                <c:formatCode>0.00</c:formatCode>
                <c:ptCount val="3"/>
                <c:pt idx="0">
                  <c:v>2.8000000000000004E-2</c:v>
                </c:pt>
                <c:pt idx="1">
                  <c:v>4.1000000000000009E-2</c:v>
                </c:pt>
                <c:pt idx="2">
                  <c:v>5.5000000000000014E-2</c:v>
                </c:pt>
              </c:numCache>
            </c:numRef>
          </c:yVal>
          <c:smooth val="1"/>
        </c:ser>
        <c:axId val="104430208"/>
        <c:axId val="104436480"/>
      </c:scatterChart>
      <c:valAx>
        <c:axId val="104430208"/>
        <c:scaling>
          <c:orientation val="minMax"/>
          <c:max val="100"/>
        </c:scaling>
        <c:axPos val="b"/>
        <c:title>
          <c:tx>
            <c:rich>
              <a:bodyPr/>
              <a:lstStyle/>
              <a:p>
                <a:pPr>
                  <a:defRPr sz="800"/>
                </a:pPr>
                <a:r>
                  <a:rPr lang="es-ES" sz="800"/>
                  <a:t>Storage (Days)</a:t>
                </a:r>
              </a:p>
            </c:rich>
          </c:tx>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04436480"/>
        <c:crosses val="autoZero"/>
        <c:crossBetween val="midCat"/>
      </c:valAx>
      <c:valAx>
        <c:axId val="104436480"/>
        <c:scaling>
          <c:orientation val="minMax"/>
          <c:max val="0.2"/>
          <c:min val="0"/>
        </c:scaling>
        <c:axPos val="l"/>
        <c:title>
          <c:tx>
            <c:rich>
              <a:bodyPr/>
              <a:lstStyle/>
              <a:p>
                <a:pPr>
                  <a:defRPr sz="800"/>
                </a:pPr>
                <a:r>
                  <a:rPr lang="es-ES" sz="800">
                    <a:latin typeface="Times New Roman"/>
                    <a:cs typeface="Times New Roman"/>
                  </a:rPr>
                  <a:t>BI</a:t>
                </a:r>
                <a:endParaRPr lang="es-ES" sz="800"/>
              </a:p>
            </c:rich>
          </c:tx>
        </c:title>
        <c:numFmt formatCode="0.00" sourceLinked="0"/>
        <c:tickLblPos val="nextTo"/>
        <c:txPr>
          <a:bodyPr/>
          <a:lstStyle/>
          <a:p>
            <a:pPr>
              <a:defRPr sz="800"/>
            </a:pPr>
            <a:endParaRPr lang="en-US"/>
          </a:p>
        </c:txPr>
        <c:crossAx val="104430208"/>
        <c:crosses val="autoZero"/>
        <c:crossBetween val="midCat"/>
      </c:valAx>
    </c:plotArea>
    <c:legend>
      <c:legendPos val="b"/>
      <c:txPr>
        <a:bodyPr/>
        <a:lstStyle/>
        <a:p>
          <a:pPr>
            <a:defRPr sz="600"/>
          </a:pPr>
          <a:endParaRPr lang="en-US"/>
        </a:p>
      </c:txPr>
    </c:legend>
    <c:plotVisOnly val="1"/>
    <c:dispBlanksAs val="gap"/>
  </c:chart>
  <c:spPr>
    <a:ln>
      <a:noFill/>
    </a:ln>
  </c:spPr>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628670204709556"/>
          <c:y val="6.6890575408725311E-2"/>
          <c:w val="0.81936560606879971"/>
          <c:h val="0.62636640897409701"/>
        </c:manualLayout>
      </c:layout>
      <c:barChart>
        <c:barDir val="col"/>
        <c:grouping val="stacked"/>
        <c:ser>
          <c:idx val="0"/>
          <c:order val="0"/>
          <c:tx>
            <c:v>AA</c:v>
          </c:tx>
          <c:dLbls>
            <c:dLbl>
              <c:idx val="0"/>
              <c:tx>
                <c:rich>
                  <a:bodyPr/>
                  <a:lstStyle/>
                  <a:p>
                    <a:r>
                      <a:rPr lang="en-US"/>
                      <a:t>47.90</a:t>
                    </a:r>
                  </a:p>
                </c:rich>
              </c:tx>
              <c:showVal val="1"/>
            </c:dLbl>
            <c:dLbl>
              <c:idx val="1"/>
              <c:tx>
                <c:rich>
                  <a:bodyPr/>
                  <a:lstStyle/>
                  <a:p>
                    <a:r>
                      <a:rPr lang="en-US"/>
                      <a:t>26.24</a:t>
                    </a:r>
                  </a:p>
                </c:rich>
              </c:tx>
              <c:showVal val="1"/>
            </c:dLbl>
            <c:dLbl>
              <c:idx val="2"/>
              <c:tx>
                <c:rich>
                  <a:bodyPr/>
                  <a:lstStyle/>
                  <a:p>
                    <a:r>
                      <a:rPr lang="en-US"/>
                      <a:t>16.24</a:t>
                    </a:r>
                  </a:p>
                </c:rich>
              </c:tx>
              <c:showVal val="1"/>
            </c:dLbl>
            <c:showVal val="1"/>
          </c:dLbls>
          <c:errBars>
            <c:errBarType val="both"/>
            <c:errValType val="cust"/>
            <c:plus>
              <c:numRef>
                <c:f>'[50 celsius(molar)2.xlsx]Ascorbic acid'!$L$30,'[50 celsius(molar)2.xlsx]Ascorbic acid'!$L$61,'[50 celsius(molar)2.xlsx]Ascorbic acid'!$L$92</c:f>
                <c:numCache>
                  <c:formatCode>General</c:formatCode>
                  <c:ptCount val="3"/>
                  <c:pt idx="0">
                    <c:v>1.70593736066355</c:v>
                  </c:pt>
                  <c:pt idx="1">
                    <c:v>3.1292001710522581</c:v>
                  </c:pt>
                  <c:pt idx="2">
                    <c:v>8.4440560674050307</c:v>
                  </c:pt>
                </c:numCache>
              </c:numRef>
            </c:plus>
            <c:minus>
              <c:numRef>
                <c:f>'[50 celsius(molar)2.xlsx]Ascorbic acid'!$L$30,'[50 celsius(molar)2.xlsx]Ascorbic acid'!$L$61,'[50 celsius(molar)2.xlsx]Ascorbic acid'!$L$92</c:f>
                <c:numCache>
                  <c:formatCode>General</c:formatCode>
                  <c:ptCount val="3"/>
                  <c:pt idx="0">
                    <c:v>1.70593736066355</c:v>
                  </c:pt>
                  <c:pt idx="1">
                    <c:v>3.1292001710522581</c:v>
                  </c:pt>
                  <c:pt idx="2">
                    <c:v>8.4440560674050307</c:v>
                  </c:pt>
                </c:numCache>
              </c:numRef>
            </c:minus>
          </c:errBars>
          <c:cat>
            <c:numRef>
              <c:f>'[50 celsius(molar)2.xlsx]Ascorbic acid'!$O$3:$Q$3</c:f>
              <c:numCache>
                <c:formatCode>General</c:formatCode>
                <c:ptCount val="3"/>
                <c:pt idx="0">
                  <c:v>0</c:v>
                </c:pt>
                <c:pt idx="1">
                  <c:v>21</c:v>
                </c:pt>
                <c:pt idx="2">
                  <c:v>42</c:v>
                </c:pt>
              </c:numCache>
            </c:numRef>
          </c:cat>
          <c:val>
            <c:numRef>
              <c:f>'[50 celsius(molar)2.xlsx]Ascorbic acid'!$K$30,'[50 celsius(molar)2.xlsx]Ascorbic acid'!$K$61,'[50 celsius(molar)2.xlsx]Ascorbic acid'!$K$92</c:f>
              <c:numCache>
                <c:formatCode>0.00000</c:formatCode>
                <c:ptCount val="3"/>
                <c:pt idx="0">
                  <c:v>47.900873523415946</c:v>
                </c:pt>
                <c:pt idx="1">
                  <c:v>26.240983022331289</c:v>
                </c:pt>
                <c:pt idx="2">
                  <c:v>16.23928799936818</c:v>
                </c:pt>
              </c:numCache>
            </c:numRef>
          </c:val>
        </c:ser>
        <c:ser>
          <c:idx val="1"/>
          <c:order val="1"/>
          <c:tx>
            <c:v>A2P</c:v>
          </c:tx>
          <c:dLbls>
            <c:dLbl>
              <c:idx val="0"/>
              <c:tx>
                <c:rich>
                  <a:bodyPr/>
                  <a:lstStyle/>
                  <a:p>
                    <a:r>
                      <a:rPr lang="en-US"/>
                      <a:t>50.62</a:t>
                    </a:r>
                  </a:p>
                </c:rich>
              </c:tx>
              <c:showVal val="1"/>
            </c:dLbl>
            <c:dLbl>
              <c:idx val="1"/>
              <c:tx>
                <c:rich>
                  <a:bodyPr/>
                  <a:lstStyle/>
                  <a:p>
                    <a:r>
                      <a:rPr lang="en-US"/>
                      <a:t>73.08</a:t>
                    </a:r>
                  </a:p>
                </c:rich>
              </c:tx>
              <c:showVal val="1"/>
            </c:dLbl>
            <c:dLbl>
              <c:idx val="2"/>
              <c:tx>
                <c:rich>
                  <a:bodyPr/>
                  <a:lstStyle/>
                  <a:p>
                    <a:r>
                      <a:rPr lang="en-US"/>
                      <a:t>81.46</a:t>
                    </a:r>
                  </a:p>
                </c:rich>
              </c:tx>
              <c:showVal val="1"/>
            </c:dLbl>
            <c:showVal val="1"/>
          </c:dLbls>
          <c:errBars>
            <c:errBarType val="both"/>
            <c:errValType val="cust"/>
            <c:plus>
              <c:numRef>
                <c:f>'[50 celsius(molar)2.xlsx]Ascorbic acid'!$G$30,'[50 celsius(molar)2.xlsx]Ascorbic acid'!$G$61,'[50 celsius(molar)2.xlsx]Ascorbic acid'!$G$92</c:f>
                <c:numCache>
                  <c:formatCode>General</c:formatCode>
                  <c:ptCount val="3"/>
                  <c:pt idx="0">
                    <c:v>6.4353619920255527</c:v>
                  </c:pt>
                  <c:pt idx="1">
                    <c:v>1.7824022178971231</c:v>
                  </c:pt>
                  <c:pt idx="2">
                    <c:v>0.74328849598754299</c:v>
                  </c:pt>
                </c:numCache>
              </c:numRef>
            </c:plus>
            <c:minus>
              <c:numRef>
                <c:f>'[50 celsius(molar)2.xlsx]Ascorbic acid'!$G$30,'[50 celsius(molar)2.xlsx]Ascorbic acid'!$G$61,'[50 celsius(molar)2.xlsx]Ascorbic acid'!$G$92</c:f>
                <c:numCache>
                  <c:formatCode>General</c:formatCode>
                  <c:ptCount val="3"/>
                  <c:pt idx="0">
                    <c:v>6.4353619920255527</c:v>
                  </c:pt>
                  <c:pt idx="1">
                    <c:v>1.7824022178971231</c:v>
                  </c:pt>
                  <c:pt idx="2">
                    <c:v>0.74328849598754299</c:v>
                  </c:pt>
                </c:numCache>
              </c:numRef>
            </c:minus>
          </c:errBars>
          <c:cat>
            <c:numRef>
              <c:f>'[50 celsius(molar)2.xlsx]Ascorbic acid'!$O$3:$Q$3</c:f>
              <c:numCache>
                <c:formatCode>General</c:formatCode>
                <c:ptCount val="3"/>
                <c:pt idx="0">
                  <c:v>0</c:v>
                </c:pt>
                <c:pt idx="1">
                  <c:v>21</c:v>
                </c:pt>
                <c:pt idx="2">
                  <c:v>42</c:v>
                </c:pt>
              </c:numCache>
            </c:numRef>
          </c:cat>
          <c:val>
            <c:numRef>
              <c:f>'[50 celsius(molar)2.xlsx]Ascorbic acid'!$F$30,'[50 celsius(molar)2.xlsx]Ascorbic acid'!$F$61,'[50 celsius(molar)2.xlsx]Ascorbic acid'!$F$92</c:f>
              <c:numCache>
                <c:formatCode>0.00000</c:formatCode>
                <c:ptCount val="3"/>
                <c:pt idx="0">
                  <c:v>50.629259621873913</c:v>
                </c:pt>
                <c:pt idx="1">
                  <c:v>73.065726482974853</c:v>
                </c:pt>
                <c:pt idx="2">
                  <c:v>81.458706352902084</c:v>
                </c:pt>
              </c:numCache>
            </c:numRef>
          </c:val>
        </c:ser>
        <c:gapWidth val="300"/>
        <c:overlap val="100"/>
        <c:axId val="104450688"/>
        <c:axId val="104469248"/>
      </c:barChart>
      <c:catAx>
        <c:axId val="104450688"/>
        <c:scaling>
          <c:orientation val="minMax"/>
        </c:scaling>
        <c:axPos val="b"/>
        <c:title>
          <c:tx>
            <c:rich>
              <a:bodyPr/>
              <a:lstStyle/>
              <a:p>
                <a:pPr>
                  <a:defRPr/>
                </a:pPr>
                <a:r>
                  <a:rPr lang="en-US"/>
                  <a:t>Storage (days)</a:t>
                </a:r>
              </a:p>
            </c:rich>
          </c:tx>
          <c:layout>
            <c:manualLayout>
              <c:xMode val="edge"/>
              <c:yMode val="edge"/>
              <c:x val="0.42580967408146247"/>
              <c:y val="0.79700798392747696"/>
            </c:manualLayout>
          </c:layout>
        </c:title>
        <c:numFmt formatCode="General" sourceLinked="1"/>
        <c:majorTickMark val="none"/>
        <c:tickLblPos val="nextTo"/>
        <c:crossAx val="104469248"/>
        <c:crosses val="autoZero"/>
        <c:auto val="1"/>
        <c:lblAlgn val="ctr"/>
        <c:lblOffset val="100"/>
      </c:catAx>
      <c:valAx>
        <c:axId val="104469248"/>
        <c:scaling>
          <c:orientation val="minMax"/>
        </c:scaling>
        <c:axPos val="l"/>
        <c:title>
          <c:tx>
            <c:rich>
              <a:bodyPr/>
              <a:lstStyle/>
              <a:p>
                <a:pPr>
                  <a:defRPr/>
                </a:pPr>
                <a:r>
                  <a:rPr lang="en-US"/>
                  <a:t>AA/A2P</a:t>
                </a:r>
              </a:p>
            </c:rich>
          </c:tx>
          <c:layout>
            <c:manualLayout>
              <c:xMode val="edge"/>
              <c:yMode val="edge"/>
              <c:x val="8.4301785540100514E-3"/>
              <c:y val="0.32442885440204788"/>
            </c:manualLayout>
          </c:layout>
        </c:title>
        <c:numFmt formatCode="0.0" sourceLinked="0"/>
        <c:tickLblPos val="nextTo"/>
        <c:crossAx val="104450688"/>
        <c:crosses val="autoZero"/>
        <c:crossBetween val="between"/>
      </c:valAx>
    </c:plotArea>
    <c:legend>
      <c:legendPos val="b"/>
    </c:legend>
    <c:plotVisOnly val="1"/>
    <c:dispBlanksAs val="gap"/>
  </c:chart>
  <c:spPr>
    <a:noFill/>
    <a:ln>
      <a:noFill/>
    </a:ln>
  </c:spPr>
  <c:txPr>
    <a:bodyPr/>
    <a:lstStyle/>
    <a:p>
      <a:pPr>
        <a:defRPr sz="800"/>
      </a:pPr>
      <a:endParaRPr lang="en-US"/>
    </a:p>
  </c:txPr>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5873422052731812"/>
          <c:y val="6.4612654919245491E-2"/>
          <c:w val="0.80721979570460056"/>
          <c:h val="0.64371621699450821"/>
        </c:manualLayout>
      </c:layout>
      <c:barChart>
        <c:barDir val="col"/>
        <c:grouping val="stacked"/>
        <c:ser>
          <c:idx val="0"/>
          <c:order val="0"/>
          <c:tx>
            <c:v>AA</c:v>
          </c:tx>
          <c:dLbls>
            <c:dLbl>
              <c:idx val="0"/>
              <c:tx>
                <c:rich>
                  <a:bodyPr/>
                  <a:lstStyle/>
                  <a:p>
                    <a:r>
                      <a:rPr lang="en-US"/>
                      <a:t>48.47</a:t>
                    </a:r>
                  </a:p>
                </c:rich>
              </c:tx>
              <c:showVal val="1"/>
            </c:dLbl>
            <c:dLbl>
              <c:idx val="1"/>
              <c:tx>
                <c:rich>
                  <a:bodyPr/>
                  <a:lstStyle/>
                  <a:p>
                    <a:r>
                      <a:rPr lang="en-US"/>
                      <a:t>29.27</a:t>
                    </a:r>
                  </a:p>
                </c:rich>
              </c:tx>
              <c:showVal val="1"/>
            </c:dLbl>
            <c:dLbl>
              <c:idx val="2"/>
              <c:tx>
                <c:rich>
                  <a:bodyPr/>
                  <a:lstStyle/>
                  <a:p>
                    <a:r>
                      <a:rPr lang="en-US"/>
                      <a:t>17.95</a:t>
                    </a:r>
                  </a:p>
                </c:rich>
              </c:tx>
              <c:showVal val="1"/>
            </c:dLbl>
            <c:txPr>
              <a:bodyPr/>
              <a:lstStyle/>
              <a:p>
                <a:pPr>
                  <a:defRPr sz="700"/>
                </a:pPr>
                <a:endParaRPr lang="en-US"/>
              </a:p>
            </c:txPr>
            <c:showVal val="1"/>
          </c:dLbls>
          <c:errBars>
            <c:errBarType val="both"/>
            <c:errValType val="cust"/>
            <c:plus>
              <c:numRef>
                <c:f>('Ascorbic acid'!$L$31,'Ascorbic acid'!$L$62,'Ascorbic acid'!$L$93)</c:f>
                <c:numCache>
                  <c:formatCode>General</c:formatCode>
                  <c:ptCount val="3"/>
                  <c:pt idx="0">
                    <c:v>1.2548772908150978</c:v>
                  </c:pt>
                  <c:pt idx="1">
                    <c:v>6.1705314386656614E-2</c:v>
                  </c:pt>
                  <c:pt idx="2">
                    <c:v>7.3808530749235484</c:v>
                  </c:pt>
                </c:numCache>
              </c:numRef>
            </c:plus>
            <c:minus>
              <c:numRef>
                <c:f>('Ascorbic acid'!$L$31,'Ascorbic acid'!$L$62,'Ascorbic acid'!$L$93)</c:f>
                <c:numCache>
                  <c:formatCode>General</c:formatCode>
                  <c:ptCount val="3"/>
                  <c:pt idx="0">
                    <c:v>1.2548772908150978</c:v>
                  </c:pt>
                  <c:pt idx="1">
                    <c:v>6.1705314386656614E-2</c:v>
                  </c:pt>
                  <c:pt idx="2">
                    <c:v>7.3808530749235484</c:v>
                  </c:pt>
                </c:numCache>
              </c:numRef>
            </c:minus>
          </c:errBars>
          <c:cat>
            <c:numRef>
              <c:f>'Ascorbic acid'!$O$3:$Q$3</c:f>
              <c:numCache>
                <c:formatCode>General</c:formatCode>
                <c:ptCount val="3"/>
                <c:pt idx="0">
                  <c:v>0</c:v>
                </c:pt>
                <c:pt idx="1">
                  <c:v>21</c:v>
                </c:pt>
                <c:pt idx="2">
                  <c:v>42</c:v>
                </c:pt>
              </c:numCache>
            </c:numRef>
          </c:cat>
          <c:val>
            <c:numRef>
              <c:f>('Ascorbic acid'!$K$31,'Ascorbic acid'!$K$62,'Ascorbic acid'!$K$93)</c:f>
              <c:numCache>
                <c:formatCode>0.00000</c:formatCode>
                <c:ptCount val="3"/>
                <c:pt idx="0">
                  <c:v>48.468692204718813</c:v>
                </c:pt>
                <c:pt idx="1">
                  <c:v>29.273151592170926</c:v>
                </c:pt>
                <c:pt idx="2">
                  <c:v>17.94862788618072</c:v>
                </c:pt>
              </c:numCache>
            </c:numRef>
          </c:val>
        </c:ser>
        <c:ser>
          <c:idx val="1"/>
          <c:order val="1"/>
          <c:tx>
            <c:v>A2P</c:v>
          </c:tx>
          <c:dLbls>
            <c:dLbl>
              <c:idx val="0"/>
              <c:tx>
                <c:rich>
                  <a:bodyPr/>
                  <a:lstStyle/>
                  <a:p>
                    <a:r>
                      <a:rPr lang="en-US"/>
                      <a:t>50.75</a:t>
                    </a:r>
                  </a:p>
                </c:rich>
              </c:tx>
              <c:showVal val="1"/>
            </c:dLbl>
            <c:dLbl>
              <c:idx val="1"/>
              <c:tx>
                <c:rich>
                  <a:bodyPr/>
                  <a:lstStyle/>
                  <a:p>
                    <a:r>
                      <a:rPr lang="en-US"/>
                      <a:t>71.86</a:t>
                    </a:r>
                  </a:p>
                </c:rich>
              </c:tx>
              <c:showVal val="1"/>
            </c:dLbl>
            <c:dLbl>
              <c:idx val="2"/>
              <c:tx>
                <c:rich>
                  <a:bodyPr/>
                  <a:lstStyle/>
                  <a:p>
                    <a:r>
                      <a:rPr lang="en-US"/>
                      <a:t>83.32</a:t>
                    </a:r>
                  </a:p>
                </c:rich>
              </c:tx>
              <c:showVal val="1"/>
            </c:dLbl>
            <c:txPr>
              <a:bodyPr/>
              <a:lstStyle/>
              <a:p>
                <a:pPr>
                  <a:defRPr sz="700"/>
                </a:pPr>
                <a:endParaRPr lang="en-US"/>
              </a:p>
            </c:txPr>
            <c:showVal val="1"/>
          </c:dLbls>
          <c:errBars>
            <c:errBarType val="both"/>
            <c:errValType val="cust"/>
            <c:plus>
              <c:numRef>
                <c:f>('Ascorbic acid'!$G$31,'Ascorbic acid'!$G$62,'Ascorbic acid'!$G$93)</c:f>
                <c:numCache>
                  <c:formatCode>General</c:formatCode>
                  <c:ptCount val="3"/>
                  <c:pt idx="0">
                    <c:v>5.2140524238345414</c:v>
                  </c:pt>
                  <c:pt idx="1">
                    <c:v>1.8753760993081279</c:v>
                  </c:pt>
                  <c:pt idx="2">
                    <c:v>0.950970141518233</c:v>
                  </c:pt>
                </c:numCache>
              </c:numRef>
            </c:plus>
            <c:minus>
              <c:numRef>
                <c:f>('Ascorbic acid'!$G$31,'Ascorbic acid'!$G$62,'Ascorbic acid'!$G$93)</c:f>
                <c:numCache>
                  <c:formatCode>General</c:formatCode>
                  <c:ptCount val="3"/>
                  <c:pt idx="0">
                    <c:v>5.2140524238345414</c:v>
                  </c:pt>
                  <c:pt idx="1">
                    <c:v>1.8753760993081279</c:v>
                  </c:pt>
                  <c:pt idx="2">
                    <c:v>0.950970141518233</c:v>
                  </c:pt>
                </c:numCache>
              </c:numRef>
            </c:minus>
          </c:errBars>
          <c:cat>
            <c:numRef>
              <c:f>'Ascorbic acid'!$O$3:$Q$3</c:f>
              <c:numCache>
                <c:formatCode>General</c:formatCode>
                <c:ptCount val="3"/>
                <c:pt idx="0">
                  <c:v>0</c:v>
                </c:pt>
                <c:pt idx="1">
                  <c:v>21</c:v>
                </c:pt>
                <c:pt idx="2">
                  <c:v>42</c:v>
                </c:pt>
              </c:numCache>
            </c:numRef>
          </c:cat>
          <c:val>
            <c:numRef>
              <c:f>('Ascorbic acid'!$F$31,'Ascorbic acid'!$F$62,'Ascorbic acid'!$F$93)</c:f>
              <c:numCache>
                <c:formatCode>0.00000</c:formatCode>
                <c:ptCount val="3"/>
                <c:pt idx="0">
                  <c:v>50.746408218761658</c:v>
                </c:pt>
                <c:pt idx="1">
                  <c:v>71.855844110908876</c:v>
                </c:pt>
                <c:pt idx="2">
                  <c:v>83.319996071087957</c:v>
                </c:pt>
              </c:numCache>
            </c:numRef>
          </c:val>
        </c:ser>
        <c:gapWidth val="300"/>
        <c:overlap val="100"/>
        <c:axId val="104479360"/>
        <c:axId val="104514304"/>
      </c:barChart>
      <c:catAx>
        <c:axId val="104479360"/>
        <c:scaling>
          <c:orientation val="minMax"/>
        </c:scaling>
        <c:axPos val="b"/>
        <c:title>
          <c:tx>
            <c:rich>
              <a:bodyPr/>
              <a:lstStyle/>
              <a:p>
                <a:pPr>
                  <a:defRPr sz="800"/>
                </a:pPr>
                <a:r>
                  <a:rPr lang="en-US" sz="800"/>
                  <a:t>Storage (days)</a:t>
                </a:r>
              </a:p>
            </c:rich>
          </c:tx>
          <c:layout>
            <c:manualLayout>
              <c:xMode val="edge"/>
              <c:yMode val="edge"/>
              <c:x val="0.43181639831998153"/>
              <c:y val="0.78881722026554002"/>
            </c:manualLayout>
          </c:layout>
        </c:title>
        <c:numFmt formatCode="General" sourceLinked="1"/>
        <c:majorTickMark val="none"/>
        <c:tickLblPos val="nextTo"/>
        <c:txPr>
          <a:bodyPr/>
          <a:lstStyle/>
          <a:p>
            <a:pPr>
              <a:defRPr sz="800"/>
            </a:pPr>
            <a:endParaRPr lang="en-US"/>
          </a:p>
        </c:txPr>
        <c:crossAx val="104514304"/>
        <c:crosses val="autoZero"/>
        <c:auto val="1"/>
        <c:lblAlgn val="ctr"/>
        <c:lblOffset val="100"/>
      </c:catAx>
      <c:valAx>
        <c:axId val="104514304"/>
        <c:scaling>
          <c:orientation val="minMax"/>
        </c:scaling>
        <c:axPos val="l"/>
        <c:title>
          <c:tx>
            <c:rich>
              <a:bodyPr/>
              <a:lstStyle/>
              <a:p>
                <a:pPr>
                  <a:defRPr sz="800"/>
                </a:pPr>
                <a:r>
                  <a:rPr lang="en-US" sz="800"/>
                  <a:t>AA/A2P</a:t>
                </a:r>
                <a:r>
                  <a:rPr lang="en-US" sz="800" baseline="0"/>
                  <a:t> (%)</a:t>
                </a:r>
                <a:endParaRPr lang="en-US" sz="800"/>
              </a:p>
            </c:rich>
          </c:tx>
          <c:layout>
            <c:manualLayout>
              <c:xMode val="edge"/>
              <c:yMode val="edge"/>
              <c:x val="3.3248815458095431E-2"/>
              <c:y val="0.23348574371776959"/>
            </c:manualLayout>
          </c:layout>
        </c:title>
        <c:numFmt formatCode="0.0" sourceLinked="0"/>
        <c:tickLblPos val="nextTo"/>
        <c:txPr>
          <a:bodyPr/>
          <a:lstStyle/>
          <a:p>
            <a:pPr>
              <a:defRPr sz="800"/>
            </a:pPr>
            <a:endParaRPr lang="en-US"/>
          </a:p>
        </c:txPr>
        <c:crossAx val="104479360"/>
        <c:crosses val="autoZero"/>
        <c:crossBetween val="between"/>
      </c:valAx>
    </c:plotArea>
    <c:legend>
      <c:legendPos val="b"/>
      <c:txPr>
        <a:bodyPr/>
        <a:lstStyle/>
        <a:p>
          <a:pPr>
            <a:defRPr sz="800"/>
          </a:pPr>
          <a:endParaRPr lang="en-US"/>
        </a:p>
      </c:txPr>
    </c:legend>
    <c:plotVisOnly val="1"/>
    <c:dispBlanksAs val="gap"/>
  </c:chart>
  <c:spPr>
    <a:ln>
      <a:noFill/>
    </a:ln>
  </c:spPr>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077294926741701"/>
          <c:y val="7.3472560993084815E-2"/>
          <c:w val="0.82867163360910301"/>
          <c:h val="0.61738373402713598"/>
        </c:manualLayout>
      </c:layout>
      <c:barChart>
        <c:barDir val="col"/>
        <c:grouping val="stacked"/>
        <c:ser>
          <c:idx val="0"/>
          <c:order val="0"/>
          <c:tx>
            <c:v>AA</c:v>
          </c:tx>
          <c:dLbls>
            <c:dLbl>
              <c:idx val="0"/>
              <c:tx>
                <c:rich>
                  <a:bodyPr/>
                  <a:lstStyle/>
                  <a:p>
                    <a:r>
                      <a:rPr lang="en-US" sz="700"/>
                      <a:t>58.07</a:t>
                    </a:r>
                  </a:p>
                </c:rich>
              </c:tx>
              <c:showVal val="1"/>
            </c:dLbl>
            <c:dLbl>
              <c:idx val="1"/>
              <c:tx>
                <c:rich>
                  <a:bodyPr/>
                  <a:lstStyle/>
                  <a:p>
                    <a:r>
                      <a:rPr lang="en-US" sz="700"/>
                      <a:t>19.59</a:t>
                    </a:r>
                  </a:p>
                </c:rich>
              </c:tx>
              <c:showVal val="1"/>
            </c:dLbl>
            <c:dLbl>
              <c:idx val="2"/>
              <c:tx>
                <c:rich>
                  <a:bodyPr/>
                  <a:lstStyle/>
                  <a:p>
                    <a:r>
                      <a:rPr lang="en-US" sz="700"/>
                      <a:t>13.85</a:t>
                    </a:r>
                  </a:p>
                </c:rich>
              </c:tx>
              <c:showVal val="1"/>
            </c:dLbl>
            <c:txPr>
              <a:bodyPr/>
              <a:lstStyle/>
              <a:p>
                <a:pPr>
                  <a:defRPr sz="700"/>
                </a:pPr>
                <a:endParaRPr lang="en-US"/>
              </a:p>
            </c:txPr>
            <c:showVal val="1"/>
          </c:dLbls>
          <c:errBars>
            <c:errBarType val="both"/>
            <c:errValType val="cust"/>
            <c:plus>
              <c:numRef>
                <c:f>('Ascorbic acid'!$L$32,'Ascorbic acid'!$L$63,'Ascorbic acid'!$L$94)</c:f>
                <c:numCache>
                  <c:formatCode>General</c:formatCode>
                  <c:ptCount val="3"/>
                  <c:pt idx="0">
                    <c:v>6.1068649844753704</c:v>
                  </c:pt>
                  <c:pt idx="1">
                    <c:v>12.9280027195431</c:v>
                  </c:pt>
                  <c:pt idx="2">
                    <c:v>7.0036420973874494</c:v>
                  </c:pt>
                </c:numCache>
              </c:numRef>
            </c:plus>
            <c:minus>
              <c:numRef>
                <c:f>('Ascorbic acid'!$L$32,'Ascorbic acid'!$L$63,'Ascorbic acid'!$L$94)</c:f>
                <c:numCache>
                  <c:formatCode>General</c:formatCode>
                  <c:ptCount val="3"/>
                  <c:pt idx="0">
                    <c:v>6.1068649844753704</c:v>
                  </c:pt>
                  <c:pt idx="1">
                    <c:v>12.9280027195431</c:v>
                  </c:pt>
                  <c:pt idx="2">
                    <c:v>7.0036420973874494</c:v>
                  </c:pt>
                </c:numCache>
              </c:numRef>
            </c:minus>
          </c:errBars>
          <c:cat>
            <c:numRef>
              <c:f>'Ascorbic acid'!$O$3:$Q$3</c:f>
              <c:numCache>
                <c:formatCode>General</c:formatCode>
                <c:ptCount val="3"/>
                <c:pt idx="0">
                  <c:v>0</c:v>
                </c:pt>
                <c:pt idx="1">
                  <c:v>21</c:v>
                </c:pt>
                <c:pt idx="2">
                  <c:v>42</c:v>
                </c:pt>
              </c:numCache>
            </c:numRef>
          </c:cat>
          <c:val>
            <c:numRef>
              <c:f>('Ascorbic acid'!$K$32,'Ascorbic acid'!$K$63,'Ascorbic acid'!$K$94)</c:f>
              <c:numCache>
                <c:formatCode>0.00000</c:formatCode>
                <c:ptCount val="3"/>
                <c:pt idx="0">
                  <c:v>58.072920016872011</c:v>
                </c:pt>
                <c:pt idx="1">
                  <c:v>19.594407114644635</c:v>
                </c:pt>
                <c:pt idx="2">
                  <c:v>13.849110759526322</c:v>
                </c:pt>
              </c:numCache>
            </c:numRef>
          </c:val>
        </c:ser>
        <c:ser>
          <c:idx val="1"/>
          <c:order val="1"/>
          <c:tx>
            <c:v>A2P</c:v>
          </c:tx>
          <c:dLbls>
            <c:dLbl>
              <c:idx val="0"/>
              <c:tx>
                <c:rich>
                  <a:bodyPr/>
                  <a:lstStyle/>
                  <a:p>
                    <a:r>
                      <a:rPr lang="en-US" sz="700"/>
                      <a:t>41.22</a:t>
                    </a:r>
                  </a:p>
                </c:rich>
              </c:tx>
              <c:showVal val="1"/>
            </c:dLbl>
            <c:dLbl>
              <c:idx val="1"/>
              <c:tx>
                <c:rich>
                  <a:bodyPr/>
                  <a:lstStyle/>
                  <a:p>
                    <a:r>
                      <a:rPr lang="en-US" sz="700"/>
                      <a:t>80.48</a:t>
                    </a:r>
                  </a:p>
                </c:rich>
              </c:tx>
              <c:showVal val="1"/>
            </c:dLbl>
            <c:dLbl>
              <c:idx val="2"/>
              <c:tx>
                <c:rich>
                  <a:bodyPr/>
                  <a:lstStyle/>
                  <a:p>
                    <a:r>
                      <a:rPr lang="en-US" sz="700"/>
                      <a:t>86.53</a:t>
                    </a:r>
                  </a:p>
                </c:rich>
              </c:tx>
              <c:showVal val="1"/>
            </c:dLbl>
            <c:txPr>
              <a:bodyPr/>
              <a:lstStyle/>
              <a:p>
                <a:pPr>
                  <a:defRPr sz="700"/>
                </a:pPr>
                <a:endParaRPr lang="en-US"/>
              </a:p>
            </c:txPr>
            <c:showVal val="1"/>
          </c:dLbls>
          <c:errBars>
            <c:errBarType val="both"/>
            <c:errValType val="cust"/>
            <c:plus>
              <c:numRef>
                <c:f>('Ascorbic acid'!$G$32,'Ascorbic acid'!$G$63,'Ascorbic acid'!$G$94)</c:f>
                <c:numCache>
                  <c:formatCode>General</c:formatCode>
                  <c:ptCount val="3"/>
                  <c:pt idx="0">
                    <c:v>0.82265156983909205</c:v>
                  </c:pt>
                  <c:pt idx="1">
                    <c:v>10.18810465372732</c:v>
                  </c:pt>
                  <c:pt idx="2">
                    <c:v>8.4779409817048172</c:v>
                  </c:pt>
                </c:numCache>
              </c:numRef>
            </c:plus>
            <c:minus>
              <c:numRef>
                <c:f>('Ascorbic acid'!$G$32,'Ascorbic acid'!$G$63,'Ascorbic acid'!$G$94)</c:f>
                <c:numCache>
                  <c:formatCode>General</c:formatCode>
                  <c:ptCount val="3"/>
                  <c:pt idx="0">
                    <c:v>0.82265156983909205</c:v>
                  </c:pt>
                  <c:pt idx="1">
                    <c:v>10.18810465372732</c:v>
                  </c:pt>
                  <c:pt idx="2">
                    <c:v>8.4779409817048172</c:v>
                  </c:pt>
                </c:numCache>
              </c:numRef>
            </c:minus>
          </c:errBars>
          <c:cat>
            <c:numRef>
              <c:f>'Ascorbic acid'!$O$3:$Q$3</c:f>
              <c:numCache>
                <c:formatCode>General</c:formatCode>
                <c:ptCount val="3"/>
                <c:pt idx="0">
                  <c:v>0</c:v>
                </c:pt>
                <c:pt idx="1">
                  <c:v>21</c:v>
                </c:pt>
                <c:pt idx="2">
                  <c:v>42</c:v>
                </c:pt>
              </c:numCache>
            </c:numRef>
          </c:cat>
          <c:val>
            <c:numRef>
              <c:f>('Ascorbic acid'!$F$32,'Ascorbic acid'!$F$63,'Ascorbic acid'!$F$94)</c:f>
              <c:numCache>
                <c:formatCode>0.00000</c:formatCode>
                <c:ptCount val="3"/>
                <c:pt idx="0">
                  <c:v>41.219165985684043</c:v>
                </c:pt>
                <c:pt idx="1">
                  <c:v>80.477452106302948</c:v>
                </c:pt>
                <c:pt idx="2">
                  <c:v>86.530276861559415</c:v>
                </c:pt>
              </c:numCache>
            </c:numRef>
          </c:val>
        </c:ser>
        <c:gapWidth val="300"/>
        <c:overlap val="100"/>
        <c:axId val="104544896"/>
        <c:axId val="104559360"/>
      </c:barChart>
      <c:catAx>
        <c:axId val="104544896"/>
        <c:scaling>
          <c:orientation val="minMax"/>
        </c:scaling>
        <c:axPos val="b"/>
        <c:title>
          <c:tx>
            <c:rich>
              <a:bodyPr/>
              <a:lstStyle/>
              <a:p>
                <a:pPr>
                  <a:defRPr sz="800"/>
                </a:pPr>
                <a:r>
                  <a:rPr lang="en-US" sz="800"/>
                  <a:t>Storage</a:t>
                </a:r>
                <a:r>
                  <a:rPr lang="en-US" sz="800" baseline="0"/>
                  <a:t> (days)</a:t>
                </a:r>
                <a:endParaRPr lang="en-US" sz="800"/>
              </a:p>
            </c:rich>
          </c:tx>
          <c:layout>
            <c:manualLayout>
              <c:xMode val="edge"/>
              <c:yMode val="edge"/>
              <c:x val="0.416584426946634"/>
              <c:y val="0.76647676971263445"/>
            </c:manualLayout>
          </c:layout>
        </c:title>
        <c:numFmt formatCode="General" sourceLinked="1"/>
        <c:majorTickMark val="none"/>
        <c:tickLblPos val="nextTo"/>
        <c:txPr>
          <a:bodyPr/>
          <a:lstStyle/>
          <a:p>
            <a:pPr>
              <a:defRPr sz="800"/>
            </a:pPr>
            <a:endParaRPr lang="en-US"/>
          </a:p>
        </c:txPr>
        <c:crossAx val="104559360"/>
        <c:crosses val="autoZero"/>
        <c:auto val="1"/>
        <c:lblAlgn val="ctr"/>
        <c:lblOffset val="100"/>
      </c:catAx>
      <c:valAx>
        <c:axId val="104559360"/>
        <c:scaling>
          <c:orientation val="minMax"/>
        </c:scaling>
        <c:axPos val="l"/>
        <c:title>
          <c:tx>
            <c:rich>
              <a:bodyPr/>
              <a:lstStyle/>
              <a:p>
                <a:pPr>
                  <a:defRPr sz="800"/>
                </a:pPr>
                <a:r>
                  <a:rPr lang="en-US" sz="800"/>
                  <a:t>AA/A2P(%)</a:t>
                </a:r>
              </a:p>
            </c:rich>
          </c:tx>
        </c:title>
        <c:numFmt formatCode="0.0" sourceLinked="0"/>
        <c:tickLblPos val="nextTo"/>
        <c:txPr>
          <a:bodyPr/>
          <a:lstStyle/>
          <a:p>
            <a:pPr>
              <a:defRPr sz="800"/>
            </a:pPr>
            <a:endParaRPr lang="en-US"/>
          </a:p>
        </c:txPr>
        <c:crossAx val="104544896"/>
        <c:crosses val="autoZero"/>
        <c:crossBetween val="between"/>
      </c:valAx>
    </c:plotArea>
    <c:legend>
      <c:legendPos val="b"/>
      <c:txPr>
        <a:bodyPr/>
        <a:lstStyle/>
        <a:p>
          <a:pPr>
            <a:defRPr sz="800"/>
          </a:pPr>
          <a:endParaRPr lang="en-US"/>
        </a:p>
      </c:txPr>
    </c:legend>
    <c:plotVisOnly val="1"/>
    <c:dispBlanksAs val="gap"/>
  </c:chart>
  <c:spPr>
    <a:ln>
      <a:noFill/>
    </a:ln>
  </c:spPr>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264809911928124"/>
          <c:y val="0.11394462958775912"/>
          <c:w val="0.81936560606879971"/>
          <c:h val="0.62636640897409701"/>
        </c:manualLayout>
      </c:layout>
      <c:barChart>
        <c:barDir val="col"/>
        <c:grouping val="stacked"/>
        <c:ser>
          <c:idx val="0"/>
          <c:order val="0"/>
          <c:tx>
            <c:v>AA</c:v>
          </c:tx>
          <c:dLbls>
            <c:dLbl>
              <c:idx val="0"/>
              <c:tx>
                <c:rich>
                  <a:bodyPr/>
                  <a:lstStyle/>
                  <a:p>
                    <a:r>
                      <a:rPr lang="en-US" sz="700"/>
                      <a:t>47.90</a:t>
                    </a:r>
                  </a:p>
                </c:rich>
              </c:tx>
              <c:showVal val="1"/>
            </c:dLbl>
            <c:dLbl>
              <c:idx val="1"/>
              <c:tx>
                <c:rich>
                  <a:bodyPr/>
                  <a:lstStyle/>
                  <a:p>
                    <a:r>
                      <a:rPr lang="en-US" sz="700"/>
                      <a:t>43.56</a:t>
                    </a:r>
                  </a:p>
                </c:rich>
              </c:tx>
              <c:showVal val="1"/>
            </c:dLbl>
            <c:dLbl>
              <c:idx val="2"/>
              <c:tx>
                <c:rich>
                  <a:bodyPr/>
                  <a:lstStyle/>
                  <a:p>
                    <a:r>
                      <a:rPr lang="en-US" sz="700"/>
                      <a:t>30.53</a:t>
                    </a:r>
                  </a:p>
                </c:rich>
              </c:tx>
              <c:showVal val="1"/>
            </c:dLbl>
            <c:txPr>
              <a:bodyPr/>
              <a:lstStyle/>
              <a:p>
                <a:pPr>
                  <a:defRPr sz="700"/>
                </a:pPr>
                <a:endParaRPr lang="en-US"/>
              </a:p>
            </c:txPr>
            <c:showVal val="1"/>
          </c:dLbls>
          <c:errBars>
            <c:errBarType val="both"/>
            <c:errValType val="cust"/>
            <c:plus>
              <c:numRef>
                <c:f>('Ascorbic acid'!$L$30,'Ascorbic acid'!$L$61,'Ascorbic acid'!$L$92)</c:f>
                <c:numCache>
                  <c:formatCode>General</c:formatCode>
                  <c:ptCount val="3"/>
                  <c:pt idx="0">
                    <c:v>1.70593736066355</c:v>
                  </c:pt>
                  <c:pt idx="1">
                    <c:v>0</c:v>
                  </c:pt>
                </c:numCache>
              </c:numRef>
            </c:plus>
            <c:minus>
              <c:numRef>
                <c:f>('Ascorbic acid'!$L$30,'Ascorbic acid'!$L$61,'Ascorbic acid'!$L$92)</c:f>
                <c:numCache>
                  <c:formatCode>General</c:formatCode>
                  <c:ptCount val="3"/>
                  <c:pt idx="0">
                    <c:v>1.70593736066355</c:v>
                  </c:pt>
                  <c:pt idx="1">
                    <c:v>0</c:v>
                  </c:pt>
                </c:numCache>
              </c:numRef>
            </c:minus>
          </c:errBars>
          <c:cat>
            <c:numRef>
              <c:f>'Ascorbic acid'!$R$3:$T$3</c:f>
              <c:numCache>
                <c:formatCode>General</c:formatCode>
                <c:ptCount val="3"/>
                <c:pt idx="0">
                  <c:v>0</c:v>
                </c:pt>
                <c:pt idx="1">
                  <c:v>42</c:v>
                </c:pt>
                <c:pt idx="2">
                  <c:v>84</c:v>
                </c:pt>
              </c:numCache>
            </c:numRef>
          </c:cat>
          <c:val>
            <c:numRef>
              <c:f>('Ascorbic acid'!$K$30,'Ascorbic acid'!$K$61,'Ascorbic acid'!$K$92)</c:f>
              <c:numCache>
                <c:formatCode>0.00000</c:formatCode>
                <c:ptCount val="3"/>
                <c:pt idx="0">
                  <c:v>47.900873523415946</c:v>
                </c:pt>
                <c:pt idx="1">
                  <c:v>43.559632836380629</c:v>
                </c:pt>
                <c:pt idx="2">
                  <c:v>30.529802250579021</c:v>
                </c:pt>
              </c:numCache>
            </c:numRef>
          </c:val>
        </c:ser>
        <c:ser>
          <c:idx val="1"/>
          <c:order val="1"/>
          <c:tx>
            <c:v>A2P</c:v>
          </c:tx>
          <c:dLbls>
            <c:dLbl>
              <c:idx val="0"/>
              <c:tx>
                <c:rich>
                  <a:bodyPr/>
                  <a:lstStyle/>
                  <a:p>
                    <a:r>
                      <a:rPr lang="en-US" sz="700"/>
                      <a:t>50.63</a:t>
                    </a:r>
                  </a:p>
                </c:rich>
              </c:tx>
              <c:showVal val="1"/>
            </c:dLbl>
            <c:dLbl>
              <c:idx val="1"/>
              <c:tx>
                <c:rich>
                  <a:bodyPr/>
                  <a:lstStyle/>
                  <a:p>
                    <a:r>
                      <a:rPr lang="en-US" sz="700"/>
                      <a:t>55.54</a:t>
                    </a:r>
                  </a:p>
                </c:rich>
              </c:tx>
              <c:showVal val="1"/>
            </c:dLbl>
            <c:dLbl>
              <c:idx val="2"/>
              <c:tx>
                <c:rich>
                  <a:bodyPr/>
                  <a:lstStyle/>
                  <a:p>
                    <a:r>
                      <a:rPr lang="en-US" sz="700"/>
                      <a:t>67.41</a:t>
                    </a:r>
                  </a:p>
                </c:rich>
              </c:tx>
              <c:showVal val="1"/>
            </c:dLbl>
            <c:txPr>
              <a:bodyPr/>
              <a:lstStyle/>
              <a:p>
                <a:pPr>
                  <a:defRPr sz="700"/>
                </a:pPr>
                <a:endParaRPr lang="en-US"/>
              </a:p>
            </c:txPr>
            <c:showVal val="1"/>
          </c:dLbls>
          <c:errBars>
            <c:errBarType val="both"/>
            <c:errValType val="cust"/>
            <c:plus>
              <c:numRef>
                <c:f>('[50 celsius(molar)2.xlsx]Ascorbic acid'!$G$30,'[50 celsius(molar)2.xlsx]Ascorbic acid'!$G$61,'[50 celsius(molar)2.xlsx]Ascorbic acid'!$G$92)</c:f>
                <c:numCache>
                  <c:formatCode>General</c:formatCode>
                  <c:ptCount val="3"/>
                  <c:pt idx="0">
                    <c:v>6.4353619920255527</c:v>
                  </c:pt>
                  <c:pt idx="1">
                    <c:v>1.7824022178971231</c:v>
                  </c:pt>
                  <c:pt idx="2">
                    <c:v>0.74328849598754299</c:v>
                  </c:pt>
                </c:numCache>
              </c:numRef>
            </c:plus>
            <c:minus>
              <c:numRef>
                <c:f>('[50 celsius(molar)2.xlsx]Ascorbic acid'!$G$30,'[50 celsius(molar)2.xlsx]Ascorbic acid'!$G$61,'[50 celsius(molar)2.xlsx]Ascorbic acid'!$G$92)</c:f>
                <c:numCache>
                  <c:formatCode>General</c:formatCode>
                  <c:ptCount val="3"/>
                  <c:pt idx="0">
                    <c:v>6.4353619920255527</c:v>
                  </c:pt>
                  <c:pt idx="1">
                    <c:v>1.7824022178971231</c:v>
                  </c:pt>
                  <c:pt idx="2">
                    <c:v>0.74328849598754299</c:v>
                  </c:pt>
                </c:numCache>
              </c:numRef>
            </c:minus>
          </c:errBars>
          <c:cat>
            <c:numRef>
              <c:f>'Ascorbic acid'!$R$3:$T$3</c:f>
              <c:numCache>
                <c:formatCode>General</c:formatCode>
                <c:ptCount val="3"/>
                <c:pt idx="0">
                  <c:v>0</c:v>
                </c:pt>
                <c:pt idx="1">
                  <c:v>42</c:v>
                </c:pt>
                <c:pt idx="2">
                  <c:v>84</c:v>
                </c:pt>
              </c:numCache>
            </c:numRef>
          </c:cat>
          <c:val>
            <c:numRef>
              <c:f>('Ascorbic acid'!$F$30,'Ascorbic acid'!$F$61,'Ascorbic acid'!$F$92)</c:f>
              <c:numCache>
                <c:formatCode>0.00000</c:formatCode>
                <c:ptCount val="3"/>
                <c:pt idx="0">
                  <c:v>50.629259621873913</c:v>
                </c:pt>
                <c:pt idx="1">
                  <c:v>55.542061551944656</c:v>
                </c:pt>
                <c:pt idx="2">
                  <c:v>67.40911428081246</c:v>
                </c:pt>
              </c:numCache>
            </c:numRef>
          </c:val>
        </c:ser>
        <c:gapWidth val="300"/>
        <c:overlap val="100"/>
        <c:axId val="104573568"/>
        <c:axId val="104579840"/>
      </c:barChart>
      <c:catAx>
        <c:axId val="104573568"/>
        <c:scaling>
          <c:orientation val="minMax"/>
        </c:scaling>
        <c:axPos val="b"/>
        <c:title>
          <c:tx>
            <c:rich>
              <a:bodyPr/>
              <a:lstStyle/>
              <a:p>
                <a:pPr>
                  <a:defRPr sz="800"/>
                </a:pPr>
                <a:r>
                  <a:rPr lang="en-US" sz="800"/>
                  <a:t>Storage (days)</a:t>
                </a:r>
              </a:p>
            </c:rich>
          </c:tx>
          <c:layout>
            <c:manualLayout>
              <c:xMode val="edge"/>
              <c:yMode val="edge"/>
              <c:x val="0.43514746717378538"/>
              <c:y val="0.82641685946988064"/>
            </c:manualLayout>
          </c:layout>
        </c:title>
        <c:numFmt formatCode="General" sourceLinked="1"/>
        <c:majorTickMark val="none"/>
        <c:tickLblPos val="nextTo"/>
        <c:txPr>
          <a:bodyPr/>
          <a:lstStyle/>
          <a:p>
            <a:pPr>
              <a:defRPr sz="800"/>
            </a:pPr>
            <a:endParaRPr lang="en-US"/>
          </a:p>
        </c:txPr>
        <c:crossAx val="104579840"/>
        <c:crosses val="autoZero"/>
        <c:auto val="1"/>
        <c:lblAlgn val="ctr"/>
        <c:lblOffset val="100"/>
      </c:catAx>
      <c:valAx>
        <c:axId val="104579840"/>
        <c:scaling>
          <c:orientation val="minMax"/>
        </c:scaling>
        <c:axPos val="l"/>
        <c:title>
          <c:tx>
            <c:rich>
              <a:bodyPr/>
              <a:lstStyle/>
              <a:p>
                <a:pPr>
                  <a:defRPr sz="800"/>
                </a:pPr>
                <a:r>
                  <a:rPr lang="en-US" sz="800"/>
                  <a:t>AA/A2P</a:t>
                </a:r>
              </a:p>
            </c:rich>
          </c:tx>
          <c:layout>
            <c:manualLayout>
              <c:xMode val="edge"/>
              <c:yMode val="edge"/>
              <c:x val="1.0427309526085801E-2"/>
              <c:y val="0.34205340983060706"/>
            </c:manualLayout>
          </c:layout>
        </c:title>
        <c:numFmt formatCode="0.0" sourceLinked="0"/>
        <c:tickLblPos val="nextTo"/>
        <c:txPr>
          <a:bodyPr/>
          <a:lstStyle/>
          <a:p>
            <a:pPr>
              <a:defRPr sz="800"/>
            </a:pPr>
            <a:endParaRPr lang="en-US"/>
          </a:p>
        </c:txPr>
        <c:crossAx val="104573568"/>
        <c:crosses val="autoZero"/>
        <c:crossBetween val="between"/>
      </c:valAx>
    </c:plotArea>
    <c:legend>
      <c:legendPos val="b"/>
      <c:txPr>
        <a:bodyPr/>
        <a:lstStyle/>
        <a:p>
          <a:pPr>
            <a:defRPr sz="800"/>
          </a:pPr>
          <a:endParaRPr lang="en-US"/>
        </a:p>
      </c:txPr>
    </c:legend>
    <c:plotVisOnly val="1"/>
    <c:dispBlanksAs val="gap"/>
  </c:chart>
  <c:spPr>
    <a:ln>
      <a:noFill/>
    </a:ln>
  </c:spPr>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5276314598606394"/>
          <c:y val="0.11394462958775912"/>
          <c:w val="0.79925061091501504"/>
          <c:h val="0.61421339226633498"/>
        </c:manualLayout>
      </c:layout>
      <c:barChart>
        <c:barDir val="col"/>
        <c:grouping val="stacked"/>
        <c:ser>
          <c:idx val="0"/>
          <c:order val="0"/>
          <c:tx>
            <c:v>AA</c:v>
          </c:tx>
          <c:dLbls>
            <c:dLbl>
              <c:idx val="0"/>
              <c:tx>
                <c:rich>
                  <a:bodyPr/>
                  <a:lstStyle/>
                  <a:p>
                    <a:r>
                      <a:rPr lang="en-US" sz="700"/>
                      <a:t>48.47</a:t>
                    </a:r>
                  </a:p>
                </c:rich>
              </c:tx>
              <c:showVal val="1"/>
            </c:dLbl>
            <c:dLbl>
              <c:idx val="1"/>
              <c:tx>
                <c:rich>
                  <a:bodyPr/>
                  <a:lstStyle/>
                  <a:p>
                    <a:r>
                      <a:rPr lang="en-US" sz="700"/>
                      <a:t>51.90</a:t>
                    </a:r>
                  </a:p>
                </c:rich>
              </c:tx>
              <c:showVal val="1"/>
            </c:dLbl>
            <c:dLbl>
              <c:idx val="2"/>
              <c:tx>
                <c:rich>
                  <a:bodyPr/>
                  <a:lstStyle/>
                  <a:p>
                    <a:r>
                      <a:rPr lang="en-US" sz="700"/>
                      <a:t>22.60</a:t>
                    </a:r>
                  </a:p>
                </c:rich>
              </c:tx>
              <c:showVal val="1"/>
            </c:dLbl>
            <c:txPr>
              <a:bodyPr/>
              <a:lstStyle/>
              <a:p>
                <a:pPr>
                  <a:defRPr sz="700"/>
                </a:pPr>
                <a:endParaRPr lang="en-US"/>
              </a:p>
            </c:txPr>
            <c:showVal val="1"/>
          </c:dLbls>
          <c:errBars>
            <c:errBarType val="both"/>
            <c:errValType val="cust"/>
            <c:plus>
              <c:numRef>
                <c:f>('Ascorbic acid'!$L$31,'Ascorbic acid'!$L$62,'Ascorbic acid'!$L$93)</c:f>
                <c:numCache>
                  <c:formatCode>General</c:formatCode>
                  <c:ptCount val="3"/>
                  <c:pt idx="0">
                    <c:v>1.2548772908150978</c:v>
                  </c:pt>
                  <c:pt idx="1">
                    <c:v>8.2526669431063748</c:v>
                  </c:pt>
                  <c:pt idx="2">
                    <c:v>2.7635415782705937</c:v>
                  </c:pt>
                </c:numCache>
              </c:numRef>
            </c:plus>
            <c:minus>
              <c:numRef>
                <c:f>('Ascorbic acid'!$L$31,'Ascorbic acid'!$L$62,'Ascorbic acid'!$L$93)</c:f>
                <c:numCache>
                  <c:formatCode>General</c:formatCode>
                  <c:ptCount val="3"/>
                  <c:pt idx="0">
                    <c:v>1.2548772908150978</c:v>
                  </c:pt>
                  <c:pt idx="1">
                    <c:v>8.2526669431063748</c:v>
                  </c:pt>
                  <c:pt idx="2">
                    <c:v>2.7635415782705937</c:v>
                  </c:pt>
                </c:numCache>
              </c:numRef>
            </c:minus>
          </c:errBars>
          <c:cat>
            <c:numRef>
              <c:f>'Ascorbic acid'!$R$3:$T$3</c:f>
              <c:numCache>
                <c:formatCode>General</c:formatCode>
                <c:ptCount val="3"/>
                <c:pt idx="0">
                  <c:v>0</c:v>
                </c:pt>
                <c:pt idx="1">
                  <c:v>42</c:v>
                </c:pt>
                <c:pt idx="2">
                  <c:v>84</c:v>
                </c:pt>
              </c:numCache>
            </c:numRef>
          </c:cat>
          <c:val>
            <c:numRef>
              <c:f>('Ascorbic acid'!$K$31,'Ascorbic acid'!$K$62,'Ascorbic acid'!$K$93)</c:f>
              <c:numCache>
                <c:formatCode>0.00000</c:formatCode>
                <c:ptCount val="3"/>
                <c:pt idx="0">
                  <c:v>48.468692204718813</c:v>
                </c:pt>
                <c:pt idx="1">
                  <c:v>51.898916311837453</c:v>
                </c:pt>
                <c:pt idx="2">
                  <c:v>22.598617038022521</c:v>
                </c:pt>
              </c:numCache>
            </c:numRef>
          </c:val>
        </c:ser>
        <c:ser>
          <c:idx val="1"/>
          <c:order val="1"/>
          <c:tx>
            <c:v>A2P</c:v>
          </c:tx>
          <c:dLbls>
            <c:dLbl>
              <c:idx val="0"/>
              <c:tx>
                <c:rich>
                  <a:bodyPr/>
                  <a:lstStyle/>
                  <a:p>
                    <a:r>
                      <a:rPr lang="en-US" sz="700"/>
                      <a:t>50.75</a:t>
                    </a:r>
                  </a:p>
                </c:rich>
              </c:tx>
              <c:showVal val="1"/>
            </c:dLbl>
            <c:dLbl>
              <c:idx val="1"/>
              <c:tx>
                <c:rich>
                  <a:bodyPr/>
                  <a:lstStyle/>
                  <a:p>
                    <a:r>
                      <a:rPr lang="en-US" sz="700"/>
                      <a:t>49.39</a:t>
                    </a:r>
                  </a:p>
                </c:rich>
              </c:tx>
              <c:showVal val="1"/>
            </c:dLbl>
            <c:dLbl>
              <c:idx val="2"/>
              <c:tx>
                <c:rich>
                  <a:bodyPr/>
                  <a:lstStyle/>
                  <a:p>
                    <a:r>
                      <a:rPr lang="en-US" sz="700"/>
                      <a:t>75.68</a:t>
                    </a:r>
                  </a:p>
                </c:rich>
              </c:tx>
              <c:showVal val="1"/>
            </c:dLbl>
            <c:txPr>
              <a:bodyPr/>
              <a:lstStyle/>
              <a:p>
                <a:pPr>
                  <a:defRPr sz="700"/>
                </a:pPr>
                <a:endParaRPr lang="en-US"/>
              </a:p>
            </c:txPr>
            <c:showVal val="1"/>
          </c:dLbls>
          <c:errBars>
            <c:errBarType val="both"/>
            <c:errValType val="cust"/>
            <c:plus>
              <c:numRef>
                <c:f>('Ascorbic acid'!$G$31,'Ascorbic acid'!$G$62,'Ascorbic acid'!$G$93)</c:f>
                <c:numCache>
                  <c:formatCode>General</c:formatCode>
                  <c:ptCount val="3"/>
                  <c:pt idx="0">
                    <c:v>5.2140524238345414</c:v>
                  </c:pt>
                  <c:pt idx="1">
                    <c:v>3.4556975177474611</c:v>
                  </c:pt>
                  <c:pt idx="2">
                    <c:v>0.47547112548389031</c:v>
                  </c:pt>
                </c:numCache>
              </c:numRef>
            </c:plus>
            <c:minus>
              <c:numRef>
                <c:f>('Ascorbic acid'!$G$31,'Ascorbic acid'!$G$62,'Ascorbic acid'!$G$93)</c:f>
                <c:numCache>
                  <c:formatCode>General</c:formatCode>
                  <c:ptCount val="3"/>
                  <c:pt idx="0">
                    <c:v>5.2140524238345414</c:v>
                  </c:pt>
                  <c:pt idx="1">
                    <c:v>3.4556975177474611</c:v>
                  </c:pt>
                  <c:pt idx="2">
                    <c:v>0.47547112548389031</c:v>
                  </c:pt>
                </c:numCache>
              </c:numRef>
            </c:minus>
          </c:errBars>
          <c:cat>
            <c:numRef>
              <c:f>'Ascorbic acid'!$R$3:$T$3</c:f>
              <c:numCache>
                <c:formatCode>General</c:formatCode>
                <c:ptCount val="3"/>
                <c:pt idx="0">
                  <c:v>0</c:v>
                </c:pt>
                <c:pt idx="1">
                  <c:v>42</c:v>
                </c:pt>
                <c:pt idx="2">
                  <c:v>84</c:v>
                </c:pt>
              </c:numCache>
            </c:numRef>
          </c:cat>
          <c:val>
            <c:numRef>
              <c:f>('Ascorbic acid'!$F$31,'Ascorbic acid'!$F$62,'Ascorbic acid'!$F$93)</c:f>
              <c:numCache>
                <c:formatCode>0.00000</c:formatCode>
                <c:ptCount val="3"/>
                <c:pt idx="0">
                  <c:v>50.746408218761658</c:v>
                </c:pt>
                <c:pt idx="1">
                  <c:v>49.391981800265185</c:v>
                </c:pt>
                <c:pt idx="2">
                  <c:v>75.675360185992858</c:v>
                </c:pt>
              </c:numCache>
            </c:numRef>
          </c:val>
        </c:ser>
        <c:gapWidth val="300"/>
        <c:overlap val="100"/>
        <c:axId val="104798848"/>
        <c:axId val="104805120"/>
      </c:barChart>
      <c:catAx>
        <c:axId val="104798848"/>
        <c:scaling>
          <c:orientation val="minMax"/>
        </c:scaling>
        <c:axPos val="b"/>
        <c:title>
          <c:tx>
            <c:rich>
              <a:bodyPr/>
              <a:lstStyle/>
              <a:p>
                <a:pPr>
                  <a:defRPr sz="800"/>
                </a:pPr>
                <a:r>
                  <a:rPr lang="en-US" sz="800"/>
                  <a:t>Storage (days)</a:t>
                </a:r>
              </a:p>
            </c:rich>
          </c:tx>
          <c:layout>
            <c:manualLayout>
              <c:xMode val="edge"/>
              <c:yMode val="edge"/>
              <c:x val="0.42907107318126148"/>
              <c:y val="0.81426391720417723"/>
            </c:manualLayout>
          </c:layout>
        </c:title>
        <c:numFmt formatCode="General" sourceLinked="1"/>
        <c:majorTickMark val="none"/>
        <c:tickLblPos val="nextTo"/>
        <c:txPr>
          <a:bodyPr/>
          <a:lstStyle/>
          <a:p>
            <a:pPr>
              <a:defRPr sz="800"/>
            </a:pPr>
            <a:endParaRPr lang="en-US"/>
          </a:p>
        </c:txPr>
        <c:crossAx val="104805120"/>
        <c:crosses val="autoZero"/>
        <c:auto val="1"/>
        <c:lblAlgn val="ctr"/>
        <c:lblOffset val="100"/>
      </c:catAx>
      <c:valAx>
        <c:axId val="104805120"/>
        <c:scaling>
          <c:orientation val="minMax"/>
        </c:scaling>
        <c:axPos val="l"/>
        <c:title>
          <c:tx>
            <c:rich>
              <a:bodyPr/>
              <a:lstStyle/>
              <a:p>
                <a:pPr>
                  <a:defRPr sz="800"/>
                </a:pPr>
                <a:r>
                  <a:rPr lang="en-US" sz="800"/>
                  <a:t>AA/A2P</a:t>
                </a:r>
              </a:p>
            </c:rich>
          </c:tx>
          <c:layout>
            <c:manualLayout>
              <c:xMode val="edge"/>
              <c:yMode val="edge"/>
              <c:x val="2.3993147405963377E-2"/>
              <c:y val="0.353837730151421"/>
            </c:manualLayout>
          </c:layout>
        </c:title>
        <c:numFmt formatCode="0.0" sourceLinked="0"/>
        <c:tickLblPos val="nextTo"/>
        <c:txPr>
          <a:bodyPr/>
          <a:lstStyle/>
          <a:p>
            <a:pPr>
              <a:defRPr sz="800"/>
            </a:pPr>
            <a:endParaRPr lang="en-US"/>
          </a:p>
        </c:txPr>
        <c:crossAx val="104798848"/>
        <c:crosses val="autoZero"/>
        <c:crossBetween val="between"/>
      </c:valAx>
    </c:plotArea>
    <c:legend>
      <c:legendPos val="b"/>
      <c:layout>
        <c:manualLayout>
          <c:xMode val="edge"/>
          <c:yMode val="edge"/>
          <c:x val="0.42484917875445877"/>
          <c:y val="0.89012113581882302"/>
          <c:w val="0.18068358901216641"/>
          <c:h val="0.10987882148668747"/>
        </c:manualLayout>
      </c:layout>
      <c:txPr>
        <a:bodyPr/>
        <a:lstStyle/>
        <a:p>
          <a:pPr>
            <a:defRPr sz="800"/>
          </a:pPr>
          <a:endParaRPr lang="en-US"/>
        </a:p>
      </c:txPr>
    </c:legend>
    <c:plotVisOnly val="1"/>
    <c:dispBlanksAs val="gap"/>
  </c:chart>
  <c:spPr>
    <a:ln>
      <a:noFill/>
    </a:ln>
  </c:spPr>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8152321477056704"/>
          <c:y val="6.4821789636442903E-2"/>
          <c:w val="0.77049054213051571"/>
          <c:h val="0.63250681965646904"/>
        </c:manualLayout>
      </c:layout>
      <c:barChart>
        <c:barDir val="col"/>
        <c:grouping val="stacked"/>
        <c:ser>
          <c:idx val="0"/>
          <c:order val="0"/>
          <c:tx>
            <c:v>AA</c:v>
          </c:tx>
          <c:dLbls>
            <c:dLbl>
              <c:idx val="0"/>
              <c:tx>
                <c:rich>
                  <a:bodyPr/>
                  <a:lstStyle/>
                  <a:p>
                    <a:r>
                      <a:rPr lang="en-US" sz="700"/>
                      <a:t>58.07</a:t>
                    </a:r>
                  </a:p>
                </c:rich>
              </c:tx>
              <c:showVal val="1"/>
            </c:dLbl>
            <c:dLbl>
              <c:idx val="1"/>
              <c:tx>
                <c:rich>
                  <a:bodyPr/>
                  <a:lstStyle/>
                  <a:p>
                    <a:r>
                      <a:rPr lang="en-US" sz="700"/>
                      <a:t>48.41</a:t>
                    </a:r>
                  </a:p>
                </c:rich>
              </c:tx>
              <c:showVal val="1"/>
            </c:dLbl>
            <c:dLbl>
              <c:idx val="2"/>
              <c:tx>
                <c:rich>
                  <a:bodyPr/>
                  <a:lstStyle/>
                  <a:p>
                    <a:r>
                      <a:rPr lang="en-US" sz="700"/>
                      <a:t>10.86</a:t>
                    </a:r>
                  </a:p>
                </c:rich>
              </c:tx>
              <c:showVal val="1"/>
            </c:dLbl>
            <c:txPr>
              <a:bodyPr/>
              <a:lstStyle/>
              <a:p>
                <a:pPr>
                  <a:defRPr sz="700"/>
                </a:pPr>
                <a:endParaRPr lang="en-US"/>
              </a:p>
            </c:txPr>
            <c:showVal val="1"/>
          </c:dLbls>
          <c:errBars>
            <c:errBarType val="both"/>
            <c:errValType val="cust"/>
            <c:plus>
              <c:numRef>
                <c:f>'[40.xlsx]Ascorbic acid'!$L$32,'[40.xlsx]Ascorbic acid'!$L$63,'[40.xlsx]Ascorbic acid'!$K$94</c:f>
                <c:numCache>
                  <c:formatCode>General</c:formatCode>
                  <c:ptCount val="3"/>
                  <c:pt idx="0">
                    <c:v>6.1068649844753704</c:v>
                  </c:pt>
                  <c:pt idx="1">
                    <c:v>2.1974340111105533</c:v>
                  </c:pt>
                  <c:pt idx="2">
                    <c:v>10.86391616971982</c:v>
                  </c:pt>
                </c:numCache>
              </c:numRef>
            </c:plus>
            <c:minus>
              <c:numRef>
                <c:f>'[40.xlsx]Ascorbic acid'!$L$32,'[40.xlsx]Ascorbic acid'!$L$63,'[40.xlsx]Ascorbic acid'!$K$94</c:f>
                <c:numCache>
                  <c:formatCode>General</c:formatCode>
                  <c:ptCount val="3"/>
                  <c:pt idx="0">
                    <c:v>6.1068649844753704</c:v>
                  </c:pt>
                  <c:pt idx="1">
                    <c:v>2.1974340111105533</c:v>
                  </c:pt>
                  <c:pt idx="2">
                    <c:v>10.86391616971982</c:v>
                  </c:pt>
                </c:numCache>
              </c:numRef>
            </c:minus>
          </c:errBars>
          <c:cat>
            <c:numRef>
              <c:f>'[40.xlsx]Ascorbic acid'!$R$3:$T$3</c:f>
              <c:numCache>
                <c:formatCode>General</c:formatCode>
                <c:ptCount val="3"/>
                <c:pt idx="0">
                  <c:v>0</c:v>
                </c:pt>
                <c:pt idx="1">
                  <c:v>42</c:v>
                </c:pt>
                <c:pt idx="2">
                  <c:v>84</c:v>
                </c:pt>
              </c:numCache>
            </c:numRef>
          </c:cat>
          <c:val>
            <c:numRef>
              <c:f>'[40.xlsx]Ascorbic acid'!$K$32,'[40.xlsx]Ascorbic acid'!$K$63,'[40.xlsx]Ascorbic acid'!$K$94</c:f>
              <c:numCache>
                <c:formatCode>0.00000</c:formatCode>
                <c:ptCount val="3"/>
                <c:pt idx="0">
                  <c:v>58.072920016872011</c:v>
                </c:pt>
                <c:pt idx="1">
                  <c:v>48.407414858571023</c:v>
                </c:pt>
                <c:pt idx="2">
                  <c:v>10.86391616971982</c:v>
                </c:pt>
              </c:numCache>
            </c:numRef>
          </c:val>
        </c:ser>
        <c:ser>
          <c:idx val="1"/>
          <c:order val="1"/>
          <c:tx>
            <c:v>A2P</c:v>
          </c:tx>
          <c:dLbls>
            <c:dLbl>
              <c:idx val="0"/>
              <c:tx>
                <c:rich>
                  <a:bodyPr/>
                  <a:lstStyle/>
                  <a:p>
                    <a:r>
                      <a:rPr lang="en-US" sz="700"/>
                      <a:t>41.22</a:t>
                    </a:r>
                  </a:p>
                </c:rich>
              </c:tx>
              <c:showVal val="1"/>
            </c:dLbl>
            <c:dLbl>
              <c:idx val="1"/>
              <c:tx>
                <c:rich>
                  <a:bodyPr/>
                  <a:lstStyle/>
                  <a:p>
                    <a:r>
                      <a:rPr lang="en-US" sz="700"/>
                      <a:t>52.81</a:t>
                    </a:r>
                  </a:p>
                </c:rich>
              </c:tx>
              <c:showVal val="1"/>
            </c:dLbl>
            <c:dLbl>
              <c:idx val="2"/>
              <c:tx>
                <c:rich>
                  <a:bodyPr/>
                  <a:lstStyle/>
                  <a:p>
                    <a:r>
                      <a:rPr lang="en-US" sz="700"/>
                      <a:t>91.05</a:t>
                    </a:r>
                  </a:p>
                </c:rich>
              </c:tx>
              <c:showVal val="1"/>
            </c:dLbl>
            <c:txPr>
              <a:bodyPr/>
              <a:lstStyle/>
              <a:p>
                <a:pPr>
                  <a:defRPr sz="700"/>
                </a:pPr>
                <a:endParaRPr lang="en-US"/>
              </a:p>
            </c:txPr>
            <c:showVal val="1"/>
          </c:dLbls>
          <c:errBars>
            <c:errBarType val="both"/>
            <c:errValType val="cust"/>
            <c:plus>
              <c:numRef>
                <c:f>'[40.xlsx]Ascorbic acid'!$G$32,'[40.xlsx]Ascorbic acid'!$G$63,'[40.xlsx]Ascorbic acid'!$G$94</c:f>
                <c:numCache>
                  <c:formatCode>General</c:formatCode>
                  <c:ptCount val="3"/>
                  <c:pt idx="0">
                    <c:v>0.82265156983909205</c:v>
                  </c:pt>
                  <c:pt idx="1">
                    <c:v>7.6442802231439266</c:v>
                  </c:pt>
                  <c:pt idx="2">
                    <c:v>2.8090623004891708</c:v>
                  </c:pt>
                </c:numCache>
              </c:numRef>
            </c:plus>
            <c:minus>
              <c:numRef>
                <c:f>'[40.xlsx]Ascorbic acid'!$G$32,'[40.xlsx]Ascorbic acid'!$G$63,'[40.xlsx]Ascorbic acid'!$G$94</c:f>
                <c:numCache>
                  <c:formatCode>General</c:formatCode>
                  <c:ptCount val="3"/>
                  <c:pt idx="0">
                    <c:v>0.82265156983909205</c:v>
                  </c:pt>
                  <c:pt idx="1">
                    <c:v>7.6442802231439266</c:v>
                  </c:pt>
                  <c:pt idx="2">
                    <c:v>2.8090623004891708</c:v>
                  </c:pt>
                </c:numCache>
              </c:numRef>
            </c:minus>
          </c:errBars>
          <c:cat>
            <c:numRef>
              <c:f>'[40.xlsx]Ascorbic acid'!$R$3:$T$3</c:f>
              <c:numCache>
                <c:formatCode>General</c:formatCode>
                <c:ptCount val="3"/>
                <c:pt idx="0">
                  <c:v>0</c:v>
                </c:pt>
                <c:pt idx="1">
                  <c:v>42</c:v>
                </c:pt>
                <c:pt idx="2">
                  <c:v>84</c:v>
                </c:pt>
              </c:numCache>
            </c:numRef>
          </c:cat>
          <c:val>
            <c:numRef>
              <c:f>'[40.xlsx]Ascorbic acid'!$F$32,'[40.xlsx]Ascorbic acid'!$F$63,'[40.xlsx]Ascorbic acid'!$F$94</c:f>
              <c:numCache>
                <c:formatCode>0.00000</c:formatCode>
                <c:ptCount val="3"/>
                <c:pt idx="0">
                  <c:v>41.219165985684043</c:v>
                </c:pt>
                <c:pt idx="1">
                  <c:v>52.805463697169394</c:v>
                </c:pt>
                <c:pt idx="2">
                  <c:v>91.049292629738616</c:v>
                </c:pt>
              </c:numCache>
            </c:numRef>
          </c:val>
        </c:ser>
        <c:gapWidth val="300"/>
        <c:overlap val="100"/>
        <c:axId val="104839808"/>
        <c:axId val="104850176"/>
      </c:barChart>
      <c:catAx>
        <c:axId val="104839808"/>
        <c:scaling>
          <c:orientation val="minMax"/>
        </c:scaling>
        <c:axPos val="b"/>
        <c:title>
          <c:tx>
            <c:rich>
              <a:bodyPr/>
              <a:lstStyle/>
              <a:p>
                <a:pPr>
                  <a:defRPr sz="800"/>
                </a:pPr>
                <a:r>
                  <a:rPr lang="en-US" sz="800"/>
                  <a:t>Storage (days)</a:t>
                </a:r>
              </a:p>
            </c:rich>
          </c:tx>
          <c:layout>
            <c:manualLayout>
              <c:xMode val="edge"/>
              <c:yMode val="edge"/>
              <c:x val="0.429400398226086"/>
              <c:y val="0.78343420590768875"/>
            </c:manualLayout>
          </c:layout>
        </c:title>
        <c:numFmt formatCode="General" sourceLinked="1"/>
        <c:majorTickMark val="none"/>
        <c:tickLblPos val="nextTo"/>
        <c:txPr>
          <a:bodyPr/>
          <a:lstStyle/>
          <a:p>
            <a:pPr>
              <a:defRPr sz="800"/>
            </a:pPr>
            <a:endParaRPr lang="en-US"/>
          </a:p>
        </c:txPr>
        <c:crossAx val="104850176"/>
        <c:crosses val="autoZero"/>
        <c:auto val="1"/>
        <c:lblAlgn val="ctr"/>
        <c:lblOffset val="100"/>
      </c:catAx>
      <c:valAx>
        <c:axId val="104850176"/>
        <c:scaling>
          <c:orientation val="minMax"/>
        </c:scaling>
        <c:axPos val="l"/>
        <c:title>
          <c:tx>
            <c:rich>
              <a:bodyPr/>
              <a:lstStyle/>
              <a:p>
                <a:pPr>
                  <a:defRPr sz="800"/>
                </a:pPr>
                <a:r>
                  <a:rPr lang="en-US" sz="800"/>
                  <a:t>AA/A2P</a:t>
                </a:r>
              </a:p>
            </c:rich>
          </c:tx>
          <c:layout>
            <c:manualLayout>
              <c:xMode val="edge"/>
              <c:yMode val="edge"/>
              <c:x val="5.5602316951760433E-2"/>
              <c:y val="0.23717126161468924"/>
            </c:manualLayout>
          </c:layout>
        </c:title>
        <c:numFmt formatCode="0.0" sourceLinked="0"/>
        <c:tickLblPos val="nextTo"/>
        <c:txPr>
          <a:bodyPr/>
          <a:lstStyle/>
          <a:p>
            <a:pPr>
              <a:defRPr sz="800"/>
            </a:pPr>
            <a:endParaRPr lang="en-US"/>
          </a:p>
        </c:txPr>
        <c:crossAx val="104839808"/>
        <c:crosses val="autoZero"/>
        <c:crossBetween val="between"/>
      </c:valAx>
    </c:plotArea>
    <c:legend>
      <c:legendPos val="b"/>
      <c:txPr>
        <a:bodyPr/>
        <a:lstStyle/>
        <a:p>
          <a:pPr>
            <a:defRPr sz="800"/>
          </a:pPr>
          <a:endParaRPr lang="en-US"/>
        </a:p>
      </c:txPr>
    </c:legend>
    <c:plotVisOnly val="1"/>
    <c:dispBlanksAs val="gap"/>
  </c:chart>
  <c:spPr>
    <a:ln>
      <a:noFill/>
    </a:ln>
  </c:spPr>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smoothMarker"/>
        <c:ser>
          <c:idx val="0"/>
          <c:order val="0"/>
          <c:tx>
            <c:v>Control-AA</c:v>
          </c:tx>
          <c:spPr>
            <a:ln>
              <a:solidFill>
                <a:srgbClr val="C00000"/>
              </a:solidFill>
            </a:ln>
          </c:spPr>
          <c:marker>
            <c:spPr>
              <a:solidFill>
                <a:srgbClr val="C00000"/>
              </a:solidFill>
            </c:spPr>
          </c:marker>
          <c:errBars>
            <c:errDir val="y"/>
            <c:errBarType val="both"/>
            <c:errValType val="cust"/>
            <c:plus>
              <c:numRef>
                <c:f>('Ascorbic acid'!$K$24,'Ascorbic acid'!$K$55,'Ascorbic acid'!$K$86)</c:f>
                <c:numCache>
                  <c:formatCode>General</c:formatCode>
                  <c:ptCount val="3"/>
                  <c:pt idx="0">
                    <c:v>2.9214094859135708E-4</c:v>
                  </c:pt>
                  <c:pt idx="1">
                    <c:v>1.5459846530112601E-4</c:v>
                  </c:pt>
                  <c:pt idx="2">
                    <c:v>6.8492455880853345E-6</c:v>
                  </c:pt>
                </c:numCache>
              </c:numRef>
            </c:plus>
            <c:minus>
              <c:numRef>
                <c:f>('Ascorbic acid'!$K$24,'Ascorbic acid'!$K$55,'Ascorbic acid'!$K$86)</c:f>
                <c:numCache>
                  <c:formatCode>General</c:formatCode>
                  <c:ptCount val="3"/>
                  <c:pt idx="0">
                    <c:v>2.9214094859135708E-4</c:v>
                  </c:pt>
                  <c:pt idx="1">
                    <c:v>1.5459846530112601E-4</c:v>
                  </c:pt>
                  <c:pt idx="2">
                    <c:v>6.8492455880853345E-6</c:v>
                  </c:pt>
                </c:numCache>
              </c:numRef>
            </c:minus>
          </c:errBars>
          <c:xVal>
            <c:numRef>
              <c:f>'Ascorbic acid'!$A$85:$A$87</c:f>
              <c:numCache>
                <c:formatCode>General</c:formatCode>
                <c:ptCount val="3"/>
                <c:pt idx="0">
                  <c:v>0</c:v>
                </c:pt>
                <c:pt idx="1">
                  <c:v>21</c:v>
                </c:pt>
                <c:pt idx="2">
                  <c:v>42</c:v>
                </c:pt>
              </c:numCache>
            </c:numRef>
          </c:xVal>
          <c:yVal>
            <c:numRef>
              <c:f>('Ascorbic acid'!$H$24,'Ascorbic acid'!$H$55,'Ascorbic acid'!$H$86)</c:f>
              <c:numCache>
                <c:formatCode>0.00000</c:formatCode>
                <c:ptCount val="3"/>
                <c:pt idx="0">
                  <c:v>3.5257846031468052E-3</c:v>
                </c:pt>
                <c:pt idx="1">
                  <c:v>3.3047858999404852E-3</c:v>
                </c:pt>
                <c:pt idx="2">
                  <c:v>2.0159128870797199E-3</c:v>
                </c:pt>
              </c:numCache>
            </c:numRef>
          </c:yVal>
          <c:smooth val="1"/>
        </c:ser>
        <c:ser>
          <c:idx val="1"/>
          <c:order val="1"/>
          <c:tx>
            <c:v>AA-0.01% Pycnogenol</c:v>
          </c:tx>
          <c:spPr>
            <a:ln>
              <a:solidFill>
                <a:srgbClr val="0070C0"/>
              </a:solidFill>
            </a:ln>
          </c:spPr>
          <c:marker>
            <c:spPr>
              <a:solidFill>
                <a:srgbClr val="0070C0"/>
              </a:solidFill>
            </c:spPr>
          </c:marker>
          <c:errBars>
            <c:errDir val="y"/>
            <c:errBarType val="both"/>
            <c:errValType val="cust"/>
            <c:plus>
              <c:numRef>
                <c:f>('Ascorbic acid'!$K$25,'Ascorbic acid'!$K$56,'Ascorbic acid'!$K$87)</c:f>
                <c:numCache>
                  <c:formatCode>General</c:formatCode>
                  <c:ptCount val="3"/>
                  <c:pt idx="0">
                    <c:v>3.5773668698466836E-5</c:v>
                  </c:pt>
                  <c:pt idx="1">
                    <c:v>1.8918118430101923E-4</c:v>
                  </c:pt>
                  <c:pt idx="2">
                    <c:v>9.6110476929980612E-6</c:v>
                  </c:pt>
                </c:numCache>
              </c:numRef>
            </c:plus>
            <c:minus>
              <c:numRef>
                <c:f>('Ascorbic acid'!$K$25,'Ascorbic acid'!$K$56,'Ascorbic acid'!$K$87)</c:f>
                <c:numCache>
                  <c:formatCode>General</c:formatCode>
                  <c:ptCount val="3"/>
                  <c:pt idx="0">
                    <c:v>3.5773668698466836E-5</c:v>
                  </c:pt>
                  <c:pt idx="1">
                    <c:v>1.8918118430101923E-4</c:v>
                  </c:pt>
                  <c:pt idx="2">
                    <c:v>9.6110476929980612E-6</c:v>
                  </c:pt>
                </c:numCache>
              </c:numRef>
            </c:minus>
          </c:errBars>
          <c:xVal>
            <c:numRef>
              <c:f>'Ascorbic acid'!$A$85:$A$87</c:f>
              <c:numCache>
                <c:formatCode>General</c:formatCode>
                <c:ptCount val="3"/>
                <c:pt idx="0">
                  <c:v>0</c:v>
                </c:pt>
                <c:pt idx="1">
                  <c:v>21</c:v>
                </c:pt>
                <c:pt idx="2">
                  <c:v>42</c:v>
                </c:pt>
              </c:numCache>
            </c:numRef>
          </c:xVal>
          <c:yVal>
            <c:numRef>
              <c:f>('Ascorbic acid'!$J$25,'Ascorbic acid'!$J$56,'Ascorbic acid'!$J$87)</c:f>
              <c:numCache>
                <c:formatCode>0.0000</c:formatCode>
                <c:ptCount val="3"/>
                <c:pt idx="0">
                  <c:v>3.3757342224307292E-3</c:v>
                </c:pt>
                <c:pt idx="1">
                  <c:v>3.0308801313349912E-3</c:v>
                </c:pt>
                <c:pt idx="2">
                  <c:v>1.8364875771590965E-3</c:v>
                </c:pt>
              </c:numCache>
            </c:numRef>
          </c:yVal>
          <c:smooth val="1"/>
        </c:ser>
        <c:ser>
          <c:idx val="2"/>
          <c:order val="2"/>
          <c:tx>
            <c:v>AA-0.1% Pycnogenol</c:v>
          </c:tx>
          <c:errBars>
            <c:errDir val="y"/>
            <c:errBarType val="both"/>
            <c:errValType val="cust"/>
            <c:plus>
              <c:numRef>
                <c:f>('Ascorbic acid'!$K$26,'Ascorbic acid'!$K$57,'Ascorbic acid'!$K$88)</c:f>
                <c:numCache>
                  <c:formatCode>General</c:formatCode>
                  <c:ptCount val="3"/>
                  <c:pt idx="0">
                    <c:v>2.5793211072319591E-4</c:v>
                  </c:pt>
                  <c:pt idx="1">
                    <c:v>3.6249446279972434E-5</c:v>
                  </c:pt>
                  <c:pt idx="2">
                    <c:v>2.0328748740787393E-4</c:v>
                  </c:pt>
                </c:numCache>
              </c:numRef>
            </c:plus>
            <c:minus>
              <c:numRef>
                <c:f>('Ascorbic acid'!$K$26,'Ascorbic acid'!$K$57,'Ascorbic acid'!$K$88)</c:f>
                <c:numCache>
                  <c:formatCode>General</c:formatCode>
                  <c:ptCount val="3"/>
                  <c:pt idx="0">
                    <c:v>2.5793211072319591E-4</c:v>
                  </c:pt>
                  <c:pt idx="1">
                    <c:v>3.6249446279972434E-5</c:v>
                  </c:pt>
                  <c:pt idx="2">
                    <c:v>2.0328748740787393E-4</c:v>
                  </c:pt>
                </c:numCache>
              </c:numRef>
            </c:minus>
          </c:errBars>
          <c:xVal>
            <c:numRef>
              <c:f>'Ascorbic acid'!$A$85:$A$87</c:f>
              <c:numCache>
                <c:formatCode>General</c:formatCode>
                <c:ptCount val="3"/>
                <c:pt idx="0">
                  <c:v>0</c:v>
                </c:pt>
                <c:pt idx="1">
                  <c:v>21</c:v>
                </c:pt>
                <c:pt idx="2">
                  <c:v>42</c:v>
                </c:pt>
              </c:numCache>
            </c:numRef>
          </c:xVal>
          <c:yVal>
            <c:numRef>
              <c:f>('Ascorbic acid'!$J$26,'Ascorbic acid'!$J$57,'Ascorbic acid'!$J$88)</c:f>
              <c:numCache>
                <c:formatCode>0.0000</c:formatCode>
                <c:ptCount val="3"/>
                <c:pt idx="0">
                  <c:v>3.4103978122558298E-3</c:v>
                </c:pt>
                <c:pt idx="1">
                  <c:v>2.5876438923621435E-3</c:v>
                </c:pt>
                <c:pt idx="2">
                  <c:v>1.51075884396371E-3</c:v>
                </c:pt>
              </c:numCache>
            </c:numRef>
          </c:yVal>
          <c:smooth val="1"/>
        </c:ser>
        <c:ser>
          <c:idx val="3"/>
          <c:order val="3"/>
          <c:tx>
            <c:v>Control-A2P</c:v>
          </c:tx>
          <c:errBars>
            <c:errDir val="y"/>
            <c:errBarType val="both"/>
            <c:errValType val="cust"/>
            <c:plus>
              <c:numRef>
                <c:f>('Ascorbic acid'!$K$30,'Ascorbic acid'!$K$61,'Ascorbic acid'!$K$92)</c:f>
                <c:numCache>
                  <c:formatCode>General</c:formatCode>
                  <c:ptCount val="3"/>
                  <c:pt idx="0">
                    <c:v>1.5134158820358405E-4</c:v>
                  </c:pt>
                  <c:pt idx="1">
                    <c:v>1.1296685494581647E-4</c:v>
                  </c:pt>
                  <c:pt idx="2">
                    <c:v>1.3781016845092553E-4</c:v>
                  </c:pt>
                </c:numCache>
              </c:numRef>
            </c:plus>
            <c:minus>
              <c:numRef>
                <c:f>('Ascorbic acid'!$K$30,'Ascorbic acid'!$K$61,'Ascorbic acid'!$K$92)</c:f>
                <c:numCache>
                  <c:formatCode>General</c:formatCode>
                  <c:ptCount val="3"/>
                  <c:pt idx="0">
                    <c:v>1.5134158820358405E-4</c:v>
                  </c:pt>
                  <c:pt idx="1">
                    <c:v>1.1296685494581647E-4</c:v>
                  </c:pt>
                  <c:pt idx="2">
                    <c:v>1.3781016845092553E-4</c:v>
                  </c:pt>
                </c:numCache>
              </c:numRef>
            </c:minus>
          </c:errBars>
          <c:xVal>
            <c:numRef>
              <c:f>'Ascorbic acid'!$A$85:$A$87</c:f>
              <c:numCache>
                <c:formatCode>General</c:formatCode>
                <c:ptCount val="3"/>
                <c:pt idx="0">
                  <c:v>0</c:v>
                </c:pt>
                <c:pt idx="1">
                  <c:v>21</c:v>
                </c:pt>
                <c:pt idx="2">
                  <c:v>42</c:v>
                </c:pt>
              </c:numCache>
            </c:numRef>
          </c:xVal>
          <c:yVal>
            <c:numRef>
              <c:f>('Ascorbic acid'!$J$30,'Ascorbic acid'!$J$61,'Ascorbic acid'!$J$92)</c:f>
              <c:numCache>
                <c:formatCode>0.0000</c:formatCode>
                <c:ptCount val="3"/>
                <c:pt idx="0">
                  <c:v>3.2470357393507509E-3</c:v>
                </c:pt>
                <c:pt idx="1">
                  <c:v>2.3159456813779604E-3</c:v>
                </c:pt>
                <c:pt idx="2">
                  <c:v>1.5345300847159449E-3</c:v>
                </c:pt>
              </c:numCache>
            </c:numRef>
          </c:yVal>
          <c:smooth val="1"/>
        </c:ser>
        <c:ser>
          <c:idx val="4"/>
          <c:order val="4"/>
          <c:tx>
            <c:v>A2P-0.01% Pycnogenol</c:v>
          </c:tx>
          <c:errBars>
            <c:errDir val="y"/>
            <c:errBarType val="both"/>
            <c:errValType val="cust"/>
            <c:plus>
              <c:numRef>
                <c:f>('Ascorbic acid'!$K$31,'Ascorbic acid'!$K$62,'Ascorbic acid'!$K$93)</c:f>
                <c:numCache>
                  <c:formatCode>General</c:formatCode>
                  <c:ptCount val="3"/>
                  <c:pt idx="0">
                    <c:v>1.3065277938963801E-4</c:v>
                  </c:pt>
                  <c:pt idx="1">
                    <c:v>4.842703534238191E-5</c:v>
                  </c:pt>
                  <c:pt idx="2">
                    <c:v>9.644824400110408E-5</c:v>
                  </c:pt>
                </c:numCache>
              </c:numRef>
            </c:plus>
            <c:minus>
              <c:numRef>
                <c:f>('Ascorbic acid'!$K$31,'Ascorbic acid'!$K$62,'Ascorbic acid'!$K$93)</c:f>
                <c:numCache>
                  <c:formatCode>General</c:formatCode>
                  <c:ptCount val="3"/>
                  <c:pt idx="0">
                    <c:v>1.3065277938963801E-4</c:v>
                  </c:pt>
                  <c:pt idx="1">
                    <c:v>4.842703534238191E-5</c:v>
                  </c:pt>
                  <c:pt idx="2">
                    <c:v>9.644824400110408E-5</c:v>
                  </c:pt>
                </c:numCache>
              </c:numRef>
            </c:minus>
          </c:errBars>
          <c:xVal>
            <c:numRef>
              <c:f>'Ascorbic acid'!$A$85:$A$87</c:f>
              <c:numCache>
                <c:formatCode>General</c:formatCode>
                <c:ptCount val="3"/>
                <c:pt idx="0">
                  <c:v>0</c:v>
                </c:pt>
                <c:pt idx="1">
                  <c:v>21</c:v>
                </c:pt>
                <c:pt idx="2">
                  <c:v>42</c:v>
                </c:pt>
              </c:numCache>
            </c:numRef>
          </c:xVal>
          <c:yVal>
            <c:numRef>
              <c:f>('Ascorbic acid'!$J$31,'Ascorbic acid'!$J$62,'Ascorbic acid'!$J$93)</c:f>
              <c:numCache>
                <c:formatCode>0.0000</c:formatCode>
                <c:ptCount val="3"/>
                <c:pt idx="0">
                  <c:v>3.3259016860251612E-3</c:v>
                </c:pt>
                <c:pt idx="1">
                  <c:v>2.4717751074230013E-3</c:v>
                </c:pt>
                <c:pt idx="2">
                  <c:v>1.4809706406409707E-3</c:v>
                </c:pt>
              </c:numCache>
            </c:numRef>
          </c:yVal>
          <c:smooth val="1"/>
        </c:ser>
        <c:ser>
          <c:idx val="5"/>
          <c:order val="5"/>
          <c:tx>
            <c:v>A2P-0.1% Pycnogenol</c:v>
          </c:tx>
          <c:errBars>
            <c:errDir val="y"/>
            <c:errBarType val="both"/>
            <c:errValType val="cust"/>
            <c:plus>
              <c:numRef>
                <c:f>('Ascorbic acid'!$K$32,'Ascorbic acid'!$K$63,'Ascorbic acid'!$K$94)</c:f>
                <c:numCache>
                  <c:formatCode>General</c:formatCode>
                  <c:ptCount val="3"/>
                  <c:pt idx="0">
                    <c:v>1.7437904268300658E-4</c:v>
                  </c:pt>
                  <c:pt idx="1">
                    <c:v>6.0277757447947963E-5</c:v>
                  </c:pt>
                  <c:pt idx="2">
                    <c:v>2.3588782149077102E-5</c:v>
                  </c:pt>
                </c:numCache>
              </c:numRef>
            </c:plus>
            <c:minus>
              <c:numRef>
                <c:f>('Ascorbic acid'!$K$32,'Ascorbic acid'!$K$63,'Ascorbic acid'!$K$94)</c:f>
                <c:numCache>
                  <c:formatCode>General</c:formatCode>
                  <c:ptCount val="3"/>
                  <c:pt idx="0">
                    <c:v>1.7437904268300658E-4</c:v>
                  </c:pt>
                  <c:pt idx="1">
                    <c:v>6.0277757447947963E-5</c:v>
                  </c:pt>
                  <c:pt idx="2">
                    <c:v>2.3588782149077102E-5</c:v>
                  </c:pt>
                </c:numCache>
              </c:numRef>
            </c:minus>
          </c:errBars>
          <c:xVal>
            <c:numRef>
              <c:f>'Ascorbic acid'!$A$85:$A$87</c:f>
              <c:numCache>
                <c:formatCode>General</c:formatCode>
                <c:ptCount val="3"/>
                <c:pt idx="0">
                  <c:v>0</c:v>
                </c:pt>
                <c:pt idx="1">
                  <c:v>21</c:v>
                </c:pt>
                <c:pt idx="2">
                  <c:v>42</c:v>
                </c:pt>
              </c:numCache>
            </c:numRef>
          </c:xVal>
          <c:yVal>
            <c:numRef>
              <c:f>('Ascorbic acid'!$J$32,'Ascorbic acid'!$J$63,'Ascorbic acid'!$J$94)</c:f>
              <c:numCache>
                <c:formatCode>0.0000</c:formatCode>
                <c:ptCount val="3"/>
                <c:pt idx="0">
                  <c:v>3.3233611619156943E-3</c:v>
                </c:pt>
                <c:pt idx="1">
                  <c:v>2.1984190971391605E-3</c:v>
                </c:pt>
                <c:pt idx="2">
                  <c:v>1.5939297980626164E-3</c:v>
                </c:pt>
              </c:numCache>
            </c:numRef>
          </c:yVal>
          <c:smooth val="1"/>
        </c:ser>
        <c:axId val="105057280"/>
        <c:axId val="105067648"/>
      </c:scatterChart>
      <c:valAx>
        <c:axId val="105057280"/>
        <c:scaling>
          <c:orientation val="minMax"/>
          <c:max val="46"/>
          <c:min val="0"/>
        </c:scaling>
        <c:axPos val="b"/>
        <c:title>
          <c:tx>
            <c:rich>
              <a:bodyPr/>
              <a:lstStyle/>
              <a:p>
                <a:pPr>
                  <a:defRPr sz="800" b="1" i="0" u="none" strike="noStrike" baseline="0">
                    <a:solidFill>
                      <a:srgbClr val="000000"/>
                    </a:solidFill>
                    <a:latin typeface="Calibri"/>
                    <a:ea typeface="Calibri"/>
                    <a:cs typeface="Calibri"/>
                  </a:defRPr>
                </a:pPr>
                <a:r>
                  <a:rPr lang="en-US" sz="800"/>
                  <a:t>Storage (days)</a:t>
                </a:r>
              </a:p>
            </c:rich>
          </c:tx>
          <c:spPr>
            <a:noFill/>
            <a:ln w="25400">
              <a:noFill/>
            </a:ln>
          </c:spPr>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05067648"/>
        <c:crosses val="autoZero"/>
        <c:crossBetween val="midCat"/>
        <c:majorUnit val="7"/>
      </c:valAx>
      <c:valAx>
        <c:axId val="105067648"/>
        <c:scaling>
          <c:orientation val="minMax"/>
        </c:scaling>
        <c:axPos val="l"/>
        <c:title>
          <c:tx>
            <c:rich>
              <a:bodyPr/>
              <a:lstStyle/>
              <a:p>
                <a:pPr>
                  <a:defRPr sz="800" b="1" i="0" u="none" strike="noStrike" baseline="0">
                    <a:solidFill>
                      <a:srgbClr val="000000"/>
                    </a:solidFill>
                    <a:latin typeface="Calibri"/>
                    <a:ea typeface="Calibri"/>
                    <a:cs typeface="Calibri"/>
                  </a:defRPr>
                </a:pPr>
                <a:r>
                  <a:rPr lang="en-US" sz="800"/>
                  <a:t>Ascorbic</a:t>
                </a:r>
                <a:r>
                  <a:rPr lang="en-US" sz="800" baseline="0"/>
                  <a:t> acid (Molar)</a:t>
                </a:r>
                <a:endParaRPr lang="en-US" sz="800"/>
              </a:p>
            </c:rich>
          </c:tx>
          <c:spPr>
            <a:noFill/>
            <a:ln w="25400">
              <a:noFill/>
            </a:ln>
          </c:spPr>
        </c:title>
        <c:numFmt formatCode="0.000" sourceLinked="0"/>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05057280"/>
        <c:crosses val="autoZero"/>
        <c:crossBetween val="midCat"/>
      </c:valAx>
    </c:plotArea>
    <c:legend>
      <c:legendPos val="b"/>
      <c:layout>
        <c:manualLayout>
          <c:xMode val="edge"/>
          <c:yMode val="edge"/>
          <c:x val="7.5549260610716401E-2"/>
          <c:y val="0.87349931258593472"/>
          <c:w val="0.85293211062031904"/>
          <c:h val="0.10690588676415502"/>
        </c:manualLayout>
      </c:layout>
      <c:txPr>
        <a:bodyPr/>
        <a:lstStyle/>
        <a:p>
          <a:pPr>
            <a:defRPr sz="600" b="0" i="0" u="none" strike="noStrike" baseline="0">
              <a:solidFill>
                <a:srgbClr val="000000"/>
              </a:solidFill>
              <a:latin typeface="Calibri"/>
              <a:ea typeface="Calibri"/>
              <a:cs typeface="Calibri"/>
            </a:defRPr>
          </a:pPr>
          <a:endParaRPr lang="en-US"/>
        </a:p>
      </c:txPr>
    </c:legend>
    <c:plotVisOnly val="1"/>
    <c:dispBlanksAs val="gap"/>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4496160202196984"/>
          <c:y val="5.1025028121484794E-2"/>
          <c:w val="0.79837447285382124"/>
          <c:h val="0.69201584176977882"/>
        </c:manualLayout>
      </c:layout>
      <c:scatterChart>
        <c:scatterStyle val="smoothMarker"/>
        <c:ser>
          <c:idx val="0"/>
          <c:order val="0"/>
          <c:tx>
            <c:v>Control</c:v>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(Color!$D$27,Color!$D$58,Color!$D$91,Color!$D$121)</c:f>
                <c:numCache>
                  <c:formatCode>General</c:formatCode>
                  <c:ptCount val="4"/>
                  <c:pt idx="0">
                    <c:v>1.412137859181378</c:v>
                  </c:pt>
                  <c:pt idx="1">
                    <c:v>1.4822955170950438</c:v>
                  </c:pt>
                  <c:pt idx="2">
                    <c:v>1.0855566928233118</c:v>
                  </c:pt>
                  <c:pt idx="3">
                    <c:v>0.79899937421713063</c:v>
                  </c:pt>
                </c:numCache>
              </c:numRef>
            </c:plus>
            <c:minus>
              <c:numRef>
                <c:f>(Color!$D$27,Color!$D$58,Color!$D$91,Color!$D$121)</c:f>
                <c:numCache>
                  <c:formatCode>General</c:formatCode>
                  <c:ptCount val="4"/>
                  <c:pt idx="0">
                    <c:v>1.412137859181378</c:v>
                  </c:pt>
                  <c:pt idx="1">
                    <c:v>1.4822955170950438</c:v>
                  </c:pt>
                  <c:pt idx="2">
                    <c:v>1.0855566928233118</c:v>
                  </c:pt>
                  <c:pt idx="3">
                    <c:v>0.79899937421713063</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(Color!$C$27,Color!$C$58,Color!$C$91,Color!$C$121)</c:f>
              <c:numCache>
                <c:formatCode>0.00</c:formatCode>
                <c:ptCount val="4"/>
                <c:pt idx="0">
                  <c:v>34.853333333333296</c:v>
                </c:pt>
                <c:pt idx="1">
                  <c:v>37.33</c:v>
                </c:pt>
                <c:pt idx="2">
                  <c:v>38.533333333333331</c:v>
                </c:pt>
                <c:pt idx="3">
                  <c:v>37.32</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(Color!$D$28,Color!$D$59,Color!$D$92,Color!$D$122)</c:f>
                <c:numCache>
                  <c:formatCode>General</c:formatCode>
                  <c:ptCount val="4"/>
                  <c:pt idx="0">
                    <c:v>2.2859644208370802</c:v>
                  </c:pt>
                  <c:pt idx="1">
                    <c:v>0.46608296829352347</c:v>
                  </c:pt>
                  <c:pt idx="2">
                    <c:v>0.16258331197676401</c:v>
                  </c:pt>
                  <c:pt idx="3">
                    <c:v>0.60500688701343763</c:v>
                  </c:pt>
                </c:numCache>
              </c:numRef>
            </c:plus>
            <c:minus>
              <c:numRef>
                <c:f>(Color!$D$28,Color!$D$59,Color!$D$92,Color!$D$122)</c:f>
                <c:numCache>
                  <c:formatCode>General</c:formatCode>
                  <c:ptCount val="4"/>
                  <c:pt idx="0">
                    <c:v>2.2859644208370802</c:v>
                  </c:pt>
                  <c:pt idx="1">
                    <c:v>0.46608296829352347</c:v>
                  </c:pt>
                  <c:pt idx="2">
                    <c:v>0.16258331197676401</c:v>
                  </c:pt>
                  <c:pt idx="3">
                    <c:v>0.60500688701343763</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(Color!$C$28,Color!$C$59,Color!$C$92,Color!$C$122)</c:f>
              <c:numCache>
                <c:formatCode>0.00</c:formatCode>
                <c:ptCount val="4"/>
                <c:pt idx="0">
                  <c:v>37.213333333333352</c:v>
                </c:pt>
                <c:pt idx="1">
                  <c:v>40.466666666665994</c:v>
                </c:pt>
                <c:pt idx="2">
                  <c:v>40.213333333333352</c:v>
                </c:pt>
                <c:pt idx="3">
                  <c:v>41.37666666666582</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(Color!$D$29,Color!$D$60,Color!$D$93,Color!$D$123)</c:f>
                <c:numCache>
                  <c:formatCode>General</c:formatCode>
                  <c:ptCount val="4"/>
                  <c:pt idx="0">
                    <c:v>2.2459815968377499</c:v>
                  </c:pt>
                  <c:pt idx="1">
                    <c:v>0.66775744099164502</c:v>
                  </c:pt>
                  <c:pt idx="2">
                    <c:v>1.3103561856737229</c:v>
                  </c:pt>
                  <c:pt idx="3">
                    <c:v>1.4822392969196503</c:v>
                  </c:pt>
                </c:numCache>
              </c:numRef>
            </c:plus>
            <c:minus>
              <c:numRef>
                <c:f>(Color!$D$29,Color!$D$60,Color!$D$93,Color!$D$123)</c:f>
                <c:numCache>
                  <c:formatCode>General</c:formatCode>
                  <c:ptCount val="4"/>
                  <c:pt idx="0">
                    <c:v>2.2459815968377499</c:v>
                  </c:pt>
                  <c:pt idx="1">
                    <c:v>0.66775744099164502</c:v>
                  </c:pt>
                  <c:pt idx="2">
                    <c:v>1.3103561856737229</c:v>
                  </c:pt>
                  <c:pt idx="3">
                    <c:v>1.4822392969196503</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(Color!$C$29,Color!$C$60,Color!$C$93,Color!$C$123)</c:f>
              <c:numCache>
                <c:formatCode>0.00</c:formatCode>
                <c:ptCount val="4"/>
                <c:pt idx="0">
                  <c:v>34.746666666665995</c:v>
                </c:pt>
                <c:pt idx="1">
                  <c:v>39.57</c:v>
                </c:pt>
                <c:pt idx="2">
                  <c:v>40.556666666665798</c:v>
                </c:pt>
                <c:pt idx="3">
                  <c:v>40.706666666665974</c:v>
                </c:pt>
              </c:numCache>
            </c:numRef>
          </c:yVal>
          <c:smooth val="1"/>
        </c:ser>
        <c:axId val="72530176"/>
        <c:axId val="76823552"/>
      </c:scatterChart>
      <c:valAx>
        <c:axId val="72530176"/>
        <c:scaling>
          <c:orientation val="minMax"/>
          <c:max val="30"/>
          <c:min val="0"/>
        </c:scaling>
        <c:axPos val="b"/>
        <c:title>
          <c:tx>
            <c:rich>
              <a:bodyPr/>
              <a:lstStyle/>
              <a:p>
                <a:pPr>
                  <a:defRPr sz="875" b="1" i="0" u="none" strike="noStrike" baseline="0">
                    <a:solidFill>
                      <a:srgbClr val="000000"/>
                    </a:solidFill>
                    <a:latin typeface="Arial"/>
                    <a:ea typeface="Arial"/>
                    <a:cs typeface="Arial"/>
                  </a:defRPr>
                </a:pPr>
                <a:r>
                  <a:rPr lang="en-US"/>
                  <a:t>Storage (days)</a:t>
                </a:r>
              </a:p>
            </c:rich>
          </c:tx>
          <c:layout>
            <c:manualLayout>
              <c:xMode val="edge"/>
              <c:yMode val="edge"/>
              <c:x val="0.37802547238901529"/>
              <c:y val="0.83303917842817576"/>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76823552"/>
        <c:crosses val="autoZero"/>
        <c:crossBetween val="midCat"/>
        <c:majorUnit val="10"/>
        <c:minorUnit val="1"/>
      </c:valAx>
      <c:valAx>
        <c:axId val="76823552"/>
        <c:scaling>
          <c:orientation val="minMax"/>
          <c:max val="44"/>
          <c:min val="24"/>
        </c:scaling>
        <c:axPos val="l"/>
        <c:title>
          <c:tx>
            <c:rich>
              <a:bodyPr/>
              <a:lstStyle/>
              <a:p>
                <a:pPr>
                  <a:defRPr sz="800" b="1" i="0" u="none" strike="noStrike" baseline="0">
                    <a:solidFill>
                      <a:srgbClr val="000000"/>
                    </a:solidFill>
                    <a:latin typeface="Arial"/>
                    <a:ea typeface="Arial"/>
                    <a:cs typeface="Arial"/>
                  </a:defRPr>
                </a:pPr>
                <a:r>
                  <a:rPr lang="en-US" sz="800"/>
                  <a:t>L*</a:t>
                </a:r>
              </a:p>
            </c:rich>
          </c:tx>
          <c:layout>
            <c:manualLayout>
              <c:xMode val="edge"/>
              <c:yMode val="edge"/>
              <c:x val="5.2720261819124512E-3"/>
              <c:y val="0.41254358830146237"/>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72530176"/>
        <c:crosses val="autoZero"/>
        <c:crossBetween val="midCat"/>
        <c:majorUnit val="2"/>
      </c:valAx>
      <c:spPr>
        <a:noFill/>
        <a:ln w="25400">
          <a:noFill/>
        </a:ln>
      </c:spPr>
    </c:plotArea>
    <c:legend>
      <c:legendPos val="b"/>
      <c:layout>
        <c:manualLayout>
          <c:xMode val="edge"/>
          <c:yMode val="edge"/>
          <c:x val="8.2304526748971235E-3"/>
          <c:y val="0.899865016872894"/>
          <c:w val="0.9670414934088426"/>
          <c:h val="5.6403237853511437E-2"/>
        </c:manualLayout>
      </c:layout>
      <c:spPr>
        <a:solidFill>
          <a:srgbClr val="FFFFFF"/>
        </a:solidFill>
        <a:ln w="25400">
          <a:noFill/>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9525">
      <a:noFill/>
    </a:ln>
  </c:spPr>
  <c:txPr>
    <a:bodyPr/>
    <a:lstStyle/>
    <a:p>
      <a:pPr>
        <a:defRPr sz="875" b="0" i="0" u="none" strike="noStrike" baseline="0">
          <a:solidFill>
            <a:srgbClr val="000000"/>
          </a:solidFill>
          <a:latin typeface="Arial"/>
          <a:ea typeface="Arial"/>
          <a:cs typeface="Arial"/>
        </a:defRPr>
      </a:pPr>
      <a:endParaRPr lang="en-US"/>
    </a:p>
  </c:txPr>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304585186784373"/>
          <c:y val="0.10314218031567712"/>
          <c:w val="0.816581924219421"/>
          <c:h val="0.64889042897469695"/>
        </c:manualLayout>
      </c:layout>
      <c:scatterChart>
        <c:scatterStyle val="smoothMarker"/>
        <c:ser>
          <c:idx val="1"/>
          <c:order val="0"/>
          <c:tx>
            <c:v>Control-AA</c:v>
          </c:tx>
          <c:errBars>
            <c:errDir val="y"/>
            <c:errBarType val="both"/>
            <c:errValType val="cust"/>
            <c:plus>
              <c:numRef>
                <c:f>('Ascorbic acid'!$K$24,'Ascorbic acid'!$K$55,'Ascorbic acid'!$K$86)</c:f>
                <c:numCache>
                  <c:formatCode>General</c:formatCode>
                  <c:ptCount val="3"/>
                  <c:pt idx="0">
                    <c:v>2.9214094859135708E-4</c:v>
                  </c:pt>
                  <c:pt idx="1">
                    <c:v>0</c:v>
                  </c:pt>
                  <c:pt idx="2">
                    <c:v>6.0703702809859923E-4</c:v>
                  </c:pt>
                </c:numCache>
              </c:numRef>
            </c:plus>
            <c:minus>
              <c:numRef>
                <c:f>('Ascorbic acid'!$K$24,'Ascorbic acid'!$K$55,'Ascorbic acid'!$K$86)</c:f>
                <c:numCache>
                  <c:formatCode>General</c:formatCode>
                  <c:ptCount val="3"/>
                  <c:pt idx="0">
                    <c:v>2.9214094859135708E-4</c:v>
                  </c:pt>
                  <c:pt idx="1">
                    <c:v>0</c:v>
                  </c:pt>
                  <c:pt idx="2">
                    <c:v>6.0703702809859923E-4</c:v>
                  </c:pt>
                </c:numCache>
              </c:numRef>
            </c:minus>
          </c:errBars>
          <c:xVal>
            <c:numRef>
              <c:f>Color!$L$71:$L$73</c:f>
              <c:numCache>
                <c:formatCode>General</c:formatCode>
                <c:ptCount val="3"/>
                <c:pt idx="0">
                  <c:v>0</c:v>
                </c:pt>
                <c:pt idx="1">
                  <c:v>42</c:v>
                </c:pt>
                <c:pt idx="2">
                  <c:v>84</c:v>
                </c:pt>
              </c:numCache>
            </c:numRef>
          </c:xVal>
          <c:yVal>
            <c:numRef>
              <c:f>('Ascorbic acid'!$J$24,'Ascorbic acid'!$J$55,'Ascorbic acid'!$J$86)</c:f>
              <c:numCache>
                <c:formatCode>0.0000</c:formatCode>
                <c:ptCount val="3"/>
                <c:pt idx="0">
                  <c:v>3.5257846031468052E-3</c:v>
                </c:pt>
                <c:pt idx="1">
                  <c:v>3.4995471037410752E-3</c:v>
                </c:pt>
                <c:pt idx="2">
                  <c:v>2.6411175495012966E-3</c:v>
                </c:pt>
              </c:numCache>
            </c:numRef>
          </c:yVal>
          <c:smooth val="1"/>
        </c:ser>
        <c:ser>
          <c:idx val="0"/>
          <c:order val="1"/>
          <c:tx>
            <c:v>AA-0.01% Pycnogenol</c:v>
          </c:tx>
          <c:errBars>
            <c:errDir val="y"/>
            <c:errBarType val="both"/>
            <c:errValType val="cust"/>
            <c:plus>
              <c:numRef>
                <c:f>('Ascorbic acid'!$K$25,'Ascorbic acid'!$K$56,'Ascorbic acid'!$K$87)</c:f>
                <c:numCache>
                  <c:formatCode>General</c:formatCode>
                  <c:ptCount val="3"/>
                  <c:pt idx="0">
                    <c:v>3.5773668698466836E-5</c:v>
                  </c:pt>
                  <c:pt idx="1">
                    <c:v>1.5748876405220296E-5</c:v>
                  </c:pt>
                  <c:pt idx="2">
                    <c:v>4.6245249550540302E-5</c:v>
                  </c:pt>
                </c:numCache>
              </c:numRef>
            </c:plus>
            <c:minus>
              <c:numRef>
                <c:f>('Ascorbic acid'!$K$25,'Ascorbic acid'!$K$56,'Ascorbic acid'!$K$87)</c:f>
                <c:numCache>
                  <c:formatCode>General</c:formatCode>
                  <c:ptCount val="3"/>
                  <c:pt idx="0">
                    <c:v>3.5773668698466836E-5</c:v>
                  </c:pt>
                  <c:pt idx="1">
                    <c:v>1.5748876405220296E-5</c:v>
                  </c:pt>
                  <c:pt idx="2">
                    <c:v>4.6245249550540302E-5</c:v>
                  </c:pt>
                </c:numCache>
              </c:numRef>
            </c:minus>
          </c:errBars>
          <c:xVal>
            <c:numRef>
              <c:f>Color!$L$71:$L$73</c:f>
              <c:numCache>
                <c:formatCode>General</c:formatCode>
                <c:ptCount val="3"/>
                <c:pt idx="0">
                  <c:v>0</c:v>
                </c:pt>
                <c:pt idx="1">
                  <c:v>42</c:v>
                </c:pt>
                <c:pt idx="2">
                  <c:v>84</c:v>
                </c:pt>
              </c:numCache>
            </c:numRef>
          </c:xVal>
          <c:yVal>
            <c:numRef>
              <c:f>('Ascorbic acid'!$J$25,'Ascorbic acid'!$J$56,'Ascorbic acid'!$J$87)</c:f>
              <c:numCache>
                <c:formatCode>0.0000</c:formatCode>
                <c:ptCount val="3"/>
                <c:pt idx="0">
                  <c:v>3.3757342224307292E-3</c:v>
                </c:pt>
                <c:pt idx="1">
                  <c:v>3.0013900007732452E-3</c:v>
                </c:pt>
                <c:pt idx="2">
                  <c:v>2.2019224978133412E-3</c:v>
                </c:pt>
              </c:numCache>
            </c:numRef>
          </c:yVal>
          <c:smooth val="1"/>
        </c:ser>
        <c:ser>
          <c:idx val="2"/>
          <c:order val="2"/>
          <c:tx>
            <c:v>AA-0.1% Pycnogenol</c:v>
          </c:tx>
          <c:errBars>
            <c:errDir val="y"/>
            <c:errBarType val="both"/>
            <c:errValType val="cust"/>
            <c:plus>
              <c:numRef>
                <c:f>('Ascorbic acid'!$K$26,'Ascorbic acid'!$K$57,'Ascorbic acid'!$K$88)</c:f>
                <c:numCache>
                  <c:formatCode>General</c:formatCode>
                  <c:ptCount val="3"/>
                  <c:pt idx="0">
                    <c:v>2.5793211072319591E-4</c:v>
                  </c:pt>
                  <c:pt idx="1">
                    <c:v>1.4243375266544659E-4</c:v>
                  </c:pt>
                  <c:pt idx="2">
                    <c:v>2.2619323096111898E-4</c:v>
                  </c:pt>
                </c:numCache>
              </c:numRef>
            </c:plus>
            <c:minus>
              <c:numRef>
                <c:f>('Ascorbic acid'!$K$26,'Ascorbic acid'!$K$57,'Ascorbic acid'!$K$88)</c:f>
                <c:numCache>
                  <c:formatCode>General</c:formatCode>
                  <c:ptCount val="3"/>
                  <c:pt idx="0">
                    <c:v>2.5793211072319591E-4</c:v>
                  </c:pt>
                  <c:pt idx="1">
                    <c:v>1.4243375266544659E-4</c:v>
                  </c:pt>
                  <c:pt idx="2">
                    <c:v>2.2619323096111898E-4</c:v>
                  </c:pt>
                </c:numCache>
              </c:numRef>
            </c:minus>
          </c:errBars>
          <c:xVal>
            <c:numRef>
              <c:f>Color!$L$71:$L$73</c:f>
              <c:numCache>
                <c:formatCode>General</c:formatCode>
                <c:ptCount val="3"/>
                <c:pt idx="0">
                  <c:v>0</c:v>
                </c:pt>
                <c:pt idx="1">
                  <c:v>42</c:v>
                </c:pt>
                <c:pt idx="2">
                  <c:v>84</c:v>
                </c:pt>
              </c:numCache>
            </c:numRef>
          </c:xVal>
          <c:yVal>
            <c:numRef>
              <c:f>('Ascorbic acid'!$J$26,'Ascorbic acid'!$J$57,'Ascorbic acid'!$J$88)</c:f>
              <c:numCache>
                <c:formatCode>0.0000</c:formatCode>
                <c:ptCount val="3"/>
                <c:pt idx="0">
                  <c:v>3.4103978122558298E-3</c:v>
                </c:pt>
                <c:pt idx="1">
                  <c:v>2.4438541347607708E-3</c:v>
                </c:pt>
                <c:pt idx="2">
                  <c:v>1.8595854275640067E-3</c:v>
                </c:pt>
              </c:numCache>
            </c:numRef>
          </c:yVal>
          <c:smooth val="1"/>
        </c:ser>
        <c:ser>
          <c:idx val="3"/>
          <c:order val="3"/>
          <c:tx>
            <c:v>Control-A2P</c:v>
          </c:tx>
          <c:errBars>
            <c:errDir val="y"/>
            <c:errBarType val="both"/>
            <c:errValType val="cust"/>
            <c:plus>
              <c:numRef>
                <c:f>('Ascorbic acid'!$K$30,'Ascorbic acid'!$K$61,'Ascorbic acid'!$K$92)</c:f>
                <c:numCache>
                  <c:formatCode>General</c:formatCode>
                  <c:ptCount val="3"/>
                  <c:pt idx="0">
                    <c:v>1.5134158820358405E-4</c:v>
                  </c:pt>
                  <c:pt idx="1">
                    <c:v>0</c:v>
                  </c:pt>
                  <c:pt idx="2">
                    <c:v>0</c:v>
                  </c:pt>
                </c:numCache>
              </c:numRef>
            </c:plus>
            <c:minus>
              <c:numRef>
                <c:f>('Ascorbic acid'!$K$30,'Ascorbic acid'!$K$61,'Ascorbic acid'!$K$92)</c:f>
                <c:numCache>
                  <c:formatCode>General</c:formatCode>
                  <c:ptCount val="3"/>
                  <c:pt idx="0">
                    <c:v>1.5134158820358405E-4</c:v>
                  </c:pt>
                  <c:pt idx="1">
                    <c:v>0</c:v>
                  </c:pt>
                  <c:pt idx="2">
                    <c:v>0</c:v>
                  </c:pt>
                </c:numCache>
              </c:numRef>
            </c:minus>
          </c:errBars>
          <c:xVal>
            <c:numRef>
              <c:f>Color!$L$71:$L$73</c:f>
              <c:numCache>
                <c:formatCode>General</c:formatCode>
                <c:ptCount val="3"/>
                <c:pt idx="0">
                  <c:v>0</c:v>
                </c:pt>
                <c:pt idx="1">
                  <c:v>42</c:v>
                </c:pt>
                <c:pt idx="2">
                  <c:v>84</c:v>
                </c:pt>
              </c:numCache>
            </c:numRef>
          </c:xVal>
          <c:yVal>
            <c:numRef>
              <c:f>('Ascorbic acid'!$J$30,'Ascorbic acid'!$J$61,'Ascorbic acid'!$J$92)</c:f>
              <c:numCache>
                <c:formatCode>0.0000</c:formatCode>
                <c:ptCount val="3"/>
                <c:pt idx="0">
                  <c:v>3.2470357393507509E-3</c:v>
                </c:pt>
                <c:pt idx="1">
                  <c:v>2.3206610290685105E-3</c:v>
                </c:pt>
                <c:pt idx="2">
                  <c:v>1.9391605859035981E-3</c:v>
                </c:pt>
              </c:numCache>
            </c:numRef>
          </c:yVal>
          <c:smooth val="1"/>
        </c:ser>
        <c:ser>
          <c:idx val="4"/>
          <c:order val="4"/>
          <c:tx>
            <c:v>A2P-0.01%Pycnogenol</c:v>
          </c:tx>
          <c:spPr>
            <a:ln>
              <a:solidFill>
                <a:srgbClr val="FF130D"/>
              </a:solidFill>
            </a:ln>
          </c:spPr>
          <c:marker>
            <c:symbol val="star"/>
            <c:size val="7"/>
            <c:spPr>
              <a:solidFill>
                <a:srgbClr val="FF130D"/>
              </a:solidFill>
            </c:spPr>
          </c:marker>
          <c:errBars>
            <c:errDir val="y"/>
            <c:errBarType val="both"/>
            <c:errValType val="cust"/>
            <c:plus>
              <c:numRef>
                <c:f>('Ascorbic acid'!$K$31,'Ascorbic acid'!$K$62,'Ascorbic acid'!$K$93)</c:f>
                <c:numCache>
                  <c:formatCode>General</c:formatCode>
                  <c:ptCount val="3"/>
                  <c:pt idx="0">
                    <c:v>1.3065277938963801E-4</c:v>
                  </c:pt>
                  <c:pt idx="1">
                    <c:v>2.9270911152134917E-4</c:v>
                  </c:pt>
                  <c:pt idx="2">
                    <c:v>5.5063215963808785E-5</c:v>
                  </c:pt>
                </c:numCache>
              </c:numRef>
            </c:plus>
            <c:minus>
              <c:numRef>
                <c:f>('Ascorbic acid'!$K$31,'Ascorbic acid'!$K$62,'Ascorbic acid'!$K$93)</c:f>
                <c:numCache>
                  <c:formatCode>General</c:formatCode>
                  <c:ptCount val="3"/>
                  <c:pt idx="0">
                    <c:v>1.3065277938963801E-4</c:v>
                  </c:pt>
                  <c:pt idx="1">
                    <c:v>2.9270911152134917E-4</c:v>
                  </c:pt>
                  <c:pt idx="2">
                    <c:v>5.5063215963808785E-5</c:v>
                  </c:pt>
                </c:numCache>
              </c:numRef>
            </c:minus>
          </c:errBars>
          <c:xVal>
            <c:numRef>
              <c:f>Color!$L$71:$L$73</c:f>
              <c:numCache>
                <c:formatCode>General</c:formatCode>
                <c:ptCount val="3"/>
                <c:pt idx="0">
                  <c:v>0</c:v>
                </c:pt>
                <c:pt idx="1">
                  <c:v>42</c:v>
                </c:pt>
                <c:pt idx="2">
                  <c:v>84</c:v>
                </c:pt>
              </c:numCache>
            </c:numRef>
          </c:xVal>
          <c:yVal>
            <c:numRef>
              <c:f>('Ascorbic acid'!$J$31,'Ascorbic acid'!$J$62,'Ascorbic acid'!$J$93)</c:f>
              <c:numCache>
                <c:formatCode>0.0000</c:formatCode>
                <c:ptCount val="3"/>
                <c:pt idx="0">
                  <c:v>3.3259016860251612E-3</c:v>
                </c:pt>
                <c:pt idx="1">
                  <c:v>2.4677275471974977E-3</c:v>
                </c:pt>
                <c:pt idx="2">
                  <c:v>1.7293423871917448E-3</c:v>
                </c:pt>
              </c:numCache>
            </c:numRef>
          </c:yVal>
          <c:smooth val="1"/>
        </c:ser>
        <c:ser>
          <c:idx val="5"/>
          <c:order val="5"/>
          <c:tx>
            <c:v>A2P-0.1%Pycnogenol</c:v>
          </c:tx>
          <c:errBars>
            <c:errDir val="y"/>
            <c:errBarType val="both"/>
            <c:errValType val="cust"/>
            <c:plus>
              <c:numRef>
                <c:f>('Ascorbic acid'!$K$32,'Ascorbic acid'!$K$63,'Ascorbic acid'!$K$94)</c:f>
                <c:numCache>
                  <c:formatCode>General</c:formatCode>
                  <c:ptCount val="3"/>
                  <c:pt idx="0">
                    <c:v>1.7437904268300658E-4</c:v>
                  </c:pt>
                  <c:pt idx="1">
                    <c:v>1.5251169393693364E-4</c:v>
                  </c:pt>
                  <c:pt idx="2">
                    <c:v>1.5497626415203103E-4</c:v>
                  </c:pt>
                </c:numCache>
              </c:numRef>
            </c:plus>
            <c:minus>
              <c:numRef>
                <c:f>('Ascorbic acid'!$K$32,'Ascorbic acid'!$K$63,'Ascorbic acid'!$K$94)</c:f>
                <c:numCache>
                  <c:formatCode>General</c:formatCode>
                  <c:ptCount val="3"/>
                  <c:pt idx="0">
                    <c:v>1.7437904268300658E-4</c:v>
                  </c:pt>
                  <c:pt idx="1">
                    <c:v>1.5251169393693364E-4</c:v>
                  </c:pt>
                  <c:pt idx="2">
                    <c:v>1.5497626415203103E-4</c:v>
                  </c:pt>
                </c:numCache>
              </c:numRef>
            </c:minus>
          </c:errBars>
          <c:xVal>
            <c:numRef>
              <c:f>Color!$L$71:$L$73</c:f>
              <c:numCache>
                <c:formatCode>General</c:formatCode>
                <c:ptCount val="3"/>
                <c:pt idx="0">
                  <c:v>0</c:v>
                </c:pt>
                <c:pt idx="1">
                  <c:v>42</c:v>
                </c:pt>
                <c:pt idx="2">
                  <c:v>84</c:v>
                </c:pt>
              </c:numCache>
            </c:numRef>
          </c:xVal>
          <c:yVal>
            <c:numRef>
              <c:f>('Ascorbic acid'!$J$32,'Ascorbic acid'!$J$63,'Ascorbic acid'!$J$94)</c:f>
              <c:numCache>
                <c:formatCode>0.0000</c:formatCode>
                <c:ptCount val="3"/>
                <c:pt idx="0">
                  <c:v>3.3233611619156943E-3</c:v>
                </c:pt>
                <c:pt idx="1">
                  <c:v>2.7660394004392604E-3</c:v>
                </c:pt>
                <c:pt idx="2">
                  <c:v>1.8636490328103141E-3</c:v>
                </c:pt>
              </c:numCache>
            </c:numRef>
          </c:yVal>
          <c:smooth val="1"/>
        </c:ser>
        <c:axId val="105131008"/>
        <c:axId val="105149568"/>
      </c:scatterChart>
      <c:valAx>
        <c:axId val="105131008"/>
        <c:scaling>
          <c:orientation val="minMax"/>
          <c:min val="0"/>
        </c:scaling>
        <c:axPos val="b"/>
        <c:title>
          <c:tx>
            <c:rich>
              <a:bodyPr/>
              <a:lstStyle/>
              <a:p>
                <a:pPr>
                  <a:defRPr sz="800"/>
                </a:pPr>
                <a:r>
                  <a:rPr lang="es-ES" sz="800"/>
                  <a:t>Storage (Days)</a:t>
                </a:r>
              </a:p>
            </c:rich>
          </c:tx>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05149568"/>
        <c:crosses val="autoZero"/>
        <c:crossBetween val="midCat"/>
      </c:valAx>
      <c:valAx>
        <c:axId val="105149568"/>
        <c:scaling>
          <c:orientation val="minMax"/>
          <c:max val="5.0000000000000114E-3"/>
          <c:min val="0"/>
        </c:scaling>
        <c:axPos val="l"/>
        <c:title>
          <c:tx>
            <c:rich>
              <a:bodyPr/>
              <a:lstStyle/>
              <a:p>
                <a:pPr>
                  <a:defRPr sz="800"/>
                </a:pPr>
                <a:r>
                  <a:rPr lang="es-ES" sz="800"/>
                  <a:t>Ascorbic</a:t>
                </a:r>
                <a:r>
                  <a:rPr lang="es-ES" sz="800" baseline="0"/>
                  <a:t> Acid (Molar)</a:t>
                </a:r>
                <a:endParaRPr lang="es-ES" sz="800"/>
              </a:p>
            </c:rich>
          </c:tx>
        </c:title>
        <c:numFmt formatCode="0.000" sourceLinked="0"/>
        <c:tickLblPos val="nextTo"/>
        <c:txPr>
          <a:bodyPr/>
          <a:lstStyle/>
          <a:p>
            <a:pPr>
              <a:defRPr sz="800"/>
            </a:pPr>
            <a:endParaRPr lang="en-US"/>
          </a:p>
        </c:txPr>
        <c:crossAx val="105131008"/>
        <c:crosses val="autoZero"/>
        <c:crossBetween val="midCat"/>
      </c:valAx>
    </c:plotArea>
    <c:legend>
      <c:legendPos val="b"/>
      <c:txPr>
        <a:bodyPr/>
        <a:lstStyle/>
        <a:p>
          <a:pPr>
            <a:defRPr sz="600"/>
          </a:pPr>
          <a:endParaRPr lang="en-US"/>
        </a:p>
      </c:txPr>
    </c:legend>
    <c:plotVisOnly val="1"/>
    <c:dispBlanksAs val="gap"/>
  </c:chart>
  <c:spPr>
    <a:ln>
      <a:noFill/>
    </a:ln>
  </c:spPr>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983235599871"/>
          <c:y val="3.9418641285745432E-2"/>
          <c:w val="0.700885469346611"/>
          <c:h val="0.67922633957743661"/>
        </c:manualLayout>
      </c:layout>
      <c:scatterChart>
        <c:scatterStyle val="smoothMarker"/>
        <c:ser>
          <c:idx val="0"/>
          <c:order val="0"/>
          <c:tx>
            <c:v>Control</c:v>
          </c:tx>
          <c:errBars>
            <c:errDir val="y"/>
            <c:errBarType val="both"/>
            <c:errValType val="cust"/>
            <c:plus>
              <c:numRef>
                <c:f>(Color!$B$30,Color!$J$30,Color!$R$30,Color!$Z$30)</c:f>
                <c:numCache>
                  <c:formatCode>General</c:formatCode>
                  <c:ptCount val="4"/>
                  <c:pt idx="0">
                    <c:v>0.79285391676732897</c:v>
                  </c:pt>
                  <c:pt idx="1">
                    <c:v>1.046518673188912</c:v>
                  </c:pt>
                  <c:pt idx="2">
                    <c:v>0.82748776425953696</c:v>
                  </c:pt>
                  <c:pt idx="3">
                    <c:v>1.081495877631266</c:v>
                  </c:pt>
                </c:numCache>
              </c:numRef>
            </c:plus>
            <c:minus>
              <c:numRef>
                <c:f>(Color!$B$30,Color!$J$30,Color!$R$30,Color!$Z$30)</c:f>
                <c:numCache>
                  <c:formatCode>General</c:formatCode>
                  <c:ptCount val="4"/>
                  <c:pt idx="0">
                    <c:v>0.79285391676732897</c:v>
                  </c:pt>
                  <c:pt idx="1">
                    <c:v>1.046518673188912</c:v>
                  </c:pt>
                  <c:pt idx="2">
                    <c:v>0.82748776425953696</c:v>
                  </c:pt>
                  <c:pt idx="3">
                    <c:v>1.081495877631266</c:v>
                  </c:pt>
                </c:numCache>
              </c:numRef>
            </c:minus>
          </c:errBars>
          <c:xVal>
            <c:numRef>
              <c:f>Color!$AI$38:$AL$38</c:f>
              <c:numCache>
                <c:formatCode>General</c:formatCode>
                <c:ptCount val="4"/>
                <c:pt idx="0">
                  <c:v>0</c:v>
                </c:pt>
                <c:pt idx="1">
                  <c:v>14</c:v>
                </c:pt>
                <c:pt idx="2">
                  <c:v>28</c:v>
                </c:pt>
                <c:pt idx="3">
                  <c:v>42</c:v>
                </c:pt>
              </c:numCache>
            </c:numRef>
          </c:xVal>
          <c:yVal>
            <c:numRef>
              <c:f>(Color!$B$22,Color!$J$22,Color!$R$22,Color!$Z$22)</c:f>
              <c:numCache>
                <c:formatCode>0.00</c:formatCode>
                <c:ptCount val="4"/>
                <c:pt idx="0">
                  <c:v>48.690666666666253</c:v>
                </c:pt>
                <c:pt idx="1">
                  <c:v>45.249333333333361</c:v>
                </c:pt>
                <c:pt idx="2">
                  <c:v>43.652000000000008</c:v>
                </c:pt>
                <c:pt idx="3">
                  <c:v>42.185333333333332</c:v>
                </c:pt>
              </c:numCache>
            </c:numRef>
          </c:yVal>
          <c:smooth val="1"/>
        </c:ser>
        <c:ser>
          <c:idx val="1"/>
          <c:order val="1"/>
          <c:tx>
            <c:v>CaCl2</c:v>
          </c:tx>
          <c:errBars>
            <c:errDir val="y"/>
            <c:errBarType val="both"/>
            <c:errValType val="cust"/>
            <c:plus>
              <c:numRef>
                <c:f>(Color!$B$31,Color!$J$31,Color!$R$31,Color!$Z$31)</c:f>
                <c:numCache>
                  <c:formatCode>General</c:formatCode>
                  <c:ptCount val="4"/>
                  <c:pt idx="0">
                    <c:v>2.4350613955297327</c:v>
                  </c:pt>
                  <c:pt idx="1">
                    <c:v>0.9736556543941266</c:v>
                  </c:pt>
                  <c:pt idx="2">
                    <c:v>1.2834599071778758</c:v>
                  </c:pt>
                  <c:pt idx="3">
                    <c:v>0.17749741782159487</c:v>
                  </c:pt>
                </c:numCache>
              </c:numRef>
            </c:plus>
            <c:minus>
              <c:numRef>
                <c:f>(Color!$B$31,Color!$J$31,Color!$R$31,Color!$Z$31)</c:f>
                <c:numCache>
                  <c:formatCode>General</c:formatCode>
                  <c:ptCount val="4"/>
                  <c:pt idx="0">
                    <c:v>2.4350613955297327</c:v>
                  </c:pt>
                  <c:pt idx="1">
                    <c:v>0.9736556543941266</c:v>
                  </c:pt>
                  <c:pt idx="2">
                    <c:v>1.2834599071778758</c:v>
                  </c:pt>
                  <c:pt idx="3">
                    <c:v>0.17749741782159487</c:v>
                  </c:pt>
                </c:numCache>
              </c:numRef>
            </c:minus>
          </c:errBars>
          <c:xVal>
            <c:numRef>
              <c:f>Color!$AI$38:$AL$38</c:f>
              <c:numCache>
                <c:formatCode>General</c:formatCode>
                <c:ptCount val="4"/>
                <c:pt idx="0">
                  <c:v>0</c:v>
                </c:pt>
                <c:pt idx="1">
                  <c:v>14</c:v>
                </c:pt>
                <c:pt idx="2">
                  <c:v>28</c:v>
                </c:pt>
                <c:pt idx="3">
                  <c:v>42</c:v>
                </c:pt>
              </c:numCache>
            </c:numRef>
          </c:xVal>
          <c:yVal>
            <c:numRef>
              <c:f>(Color!$B$23,Color!$J$23,Color!$R$23,Color!$Z$23)</c:f>
              <c:numCache>
                <c:formatCode>0.00</c:formatCode>
                <c:ptCount val="4"/>
                <c:pt idx="0">
                  <c:v>45.576000000000001</c:v>
                </c:pt>
                <c:pt idx="1">
                  <c:v>41.599333333333362</c:v>
                </c:pt>
                <c:pt idx="2">
                  <c:v>41.349333333333327</c:v>
                </c:pt>
                <c:pt idx="3">
                  <c:v>39.354666666665914</c:v>
                </c:pt>
              </c:numCache>
            </c:numRef>
          </c:yVal>
          <c:smooth val="1"/>
        </c:ser>
        <c:ser>
          <c:idx val="2"/>
          <c:order val="2"/>
          <c:tx>
            <c:v>Flavonoid</c:v>
          </c:tx>
          <c:errBars>
            <c:errDir val="y"/>
            <c:errBarType val="both"/>
            <c:errValType val="cust"/>
            <c:plus>
              <c:numRef>
                <c:f>(Color!$B$32,Color!$J$32,Color!$R$32,Color!$Z$32)</c:f>
                <c:numCache>
                  <c:formatCode>General</c:formatCode>
                  <c:ptCount val="4"/>
                  <c:pt idx="0">
                    <c:v>2.3323164450819922</c:v>
                  </c:pt>
                  <c:pt idx="1">
                    <c:v>0.77951095780237001</c:v>
                  </c:pt>
                  <c:pt idx="2">
                    <c:v>1.436840979371196</c:v>
                  </c:pt>
                  <c:pt idx="3">
                    <c:v>0.52946765718012101</c:v>
                  </c:pt>
                </c:numCache>
              </c:numRef>
            </c:plus>
            <c:minus>
              <c:numRef>
                <c:f>(Color!$B$32,Color!$J$32,Color!$R$32,Color!$Z$32)</c:f>
                <c:numCache>
                  <c:formatCode>General</c:formatCode>
                  <c:ptCount val="4"/>
                  <c:pt idx="0">
                    <c:v>2.3323164450819922</c:v>
                  </c:pt>
                  <c:pt idx="1">
                    <c:v>0.77951095780237001</c:v>
                  </c:pt>
                  <c:pt idx="2">
                    <c:v>1.436840979371196</c:v>
                  </c:pt>
                  <c:pt idx="3">
                    <c:v>0.52946765718012101</c:v>
                  </c:pt>
                </c:numCache>
              </c:numRef>
            </c:minus>
          </c:errBars>
          <c:xVal>
            <c:numRef>
              <c:f>Color!$AI$38:$AL$38</c:f>
              <c:numCache>
                <c:formatCode>General</c:formatCode>
                <c:ptCount val="4"/>
                <c:pt idx="0">
                  <c:v>0</c:v>
                </c:pt>
                <c:pt idx="1">
                  <c:v>14</c:v>
                </c:pt>
                <c:pt idx="2">
                  <c:v>28</c:v>
                </c:pt>
                <c:pt idx="3">
                  <c:v>42</c:v>
                </c:pt>
              </c:numCache>
            </c:numRef>
          </c:xVal>
          <c:yVal>
            <c:numRef>
              <c:f>(Color!$B$24,Color!$J$24,Color!$R$24,Color!$Z$24)</c:f>
              <c:numCache>
                <c:formatCode>0.00</c:formatCode>
                <c:ptCount val="4"/>
                <c:pt idx="0">
                  <c:v>47.148000000000003</c:v>
                </c:pt>
                <c:pt idx="1">
                  <c:v>45.600666666666157</c:v>
                </c:pt>
                <c:pt idx="2">
                  <c:v>44.086000000000006</c:v>
                </c:pt>
                <c:pt idx="3">
                  <c:v>40.842000000000006</c:v>
                </c:pt>
              </c:numCache>
            </c:numRef>
          </c:yVal>
          <c:smooth val="1"/>
        </c:ser>
        <c:ser>
          <c:idx val="3"/>
          <c:order val="3"/>
          <c:tx>
            <c:v>Flavonoid+CaCl2</c:v>
          </c:tx>
          <c:errBars>
            <c:errDir val="y"/>
            <c:errBarType val="both"/>
            <c:errValType val="cust"/>
            <c:plus>
              <c:numRef>
                <c:f>(Color!$B$33,Color!$J$33,Color!$R$33,Color!$Z$33)</c:f>
                <c:numCache>
                  <c:formatCode>General</c:formatCode>
                  <c:ptCount val="4"/>
                  <c:pt idx="0">
                    <c:v>2.2266126739961138</c:v>
                  </c:pt>
                  <c:pt idx="1">
                    <c:v>1.6629303453041138</c:v>
                  </c:pt>
                  <c:pt idx="2">
                    <c:v>0.58330209440162195</c:v>
                  </c:pt>
                  <c:pt idx="3">
                    <c:v>0.24737437889411301</c:v>
                  </c:pt>
                </c:numCache>
              </c:numRef>
            </c:plus>
            <c:minus>
              <c:numRef>
                <c:f>(Color!$B$33,Color!$J$33,Color!$R$33,Color!$Z$33)</c:f>
                <c:numCache>
                  <c:formatCode>General</c:formatCode>
                  <c:ptCount val="4"/>
                  <c:pt idx="0">
                    <c:v>2.2266126739961138</c:v>
                  </c:pt>
                  <c:pt idx="1">
                    <c:v>1.6629303453041138</c:v>
                  </c:pt>
                  <c:pt idx="2">
                    <c:v>0.58330209440162195</c:v>
                  </c:pt>
                  <c:pt idx="3">
                    <c:v>0.24737437889411301</c:v>
                  </c:pt>
                </c:numCache>
              </c:numRef>
            </c:minus>
          </c:errBars>
          <c:xVal>
            <c:numRef>
              <c:f>Color!$AI$38:$AL$38</c:f>
              <c:numCache>
                <c:formatCode>General</c:formatCode>
                <c:ptCount val="4"/>
                <c:pt idx="0">
                  <c:v>0</c:v>
                </c:pt>
                <c:pt idx="1">
                  <c:v>14</c:v>
                </c:pt>
                <c:pt idx="2">
                  <c:v>28</c:v>
                </c:pt>
                <c:pt idx="3">
                  <c:v>42</c:v>
                </c:pt>
              </c:numCache>
            </c:numRef>
          </c:xVal>
          <c:yVal>
            <c:numRef>
              <c:f>(Color!$B$25,Color!$J$25,Color!$R$25,Color!$Z$25)</c:f>
              <c:numCache>
                <c:formatCode>0.00</c:formatCode>
                <c:ptCount val="4"/>
                <c:pt idx="0">
                  <c:v>44.28</c:v>
                </c:pt>
                <c:pt idx="1">
                  <c:v>43.417333333333296</c:v>
                </c:pt>
                <c:pt idx="2">
                  <c:v>40.95466666666595</c:v>
                </c:pt>
                <c:pt idx="3">
                  <c:v>38.987166666666091</c:v>
                </c:pt>
              </c:numCache>
            </c:numRef>
          </c:yVal>
          <c:smooth val="1"/>
        </c:ser>
        <c:axId val="105620224"/>
        <c:axId val="105622144"/>
      </c:scatterChart>
      <c:valAx>
        <c:axId val="105620224"/>
        <c:scaling>
          <c:orientation val="minMax"/>
          <c:max val="48"/>
          <c:min val="0"/>
        </c:scaling>
        <c:axPos val="b"/>
        <c:title>
          <c:tx>
            <c:rich>
              <a:bodyPr/>
              <a:lstStyle/>
              <a:p>
                <a:pPr>
                  <a:defRPr sz="800"/>
                </a:pPr>
                <a:r>
                  <a:rPr lang="es-ES" sz="800"/>
                  <a:t>Storage</a:t>
                </a:r>
                <a:r>
                  <a:rPr lang="es-ES" sz="800" baseline="0"/>
                  <a:t> (days)</a:t>
                </a:r>
                <a:endParaRPr lang="es-ES" sz="800"/>
              </a:p>
            </c:rich>
          </c:tx>
          <c:layout>
            <c:manualLayout>
              <c:xMode val="edge"/>
              <c:yMode val="edge"/>
              <c:x val="0.3704469287560479"/>
              <c:y val="0.81239088311262797"/>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05622144"/>
        <c:crosses val="autoZero"/>
        <c:crossBetween val="midCat"/>
        <c:majorUnit val="6"/>
      </c:valAx>
      <c:valAx>
        <c:axId val="105622144"/>
        <c:scaling>
          <c:orientation val="minMax"/>
          <c:max val="52"/>
          <c:min val="28"/>
        </c:scaling>
        <c:axPos val="l"/>
        <c:title>
          <c:tx>
            <c:rich>
              <a:bodyPr/>
              <a:lstStyle/>
              <a:p>
                <a:pPr>
                  <a:defRPr sz="800"/>
                </a:pPr>
                <a:r>
                  <a:rPr lang="es-ES" sz="800"/>
                  <a:t>L*</a:t>
                </a:r>
              </a:p>
            </c:rich>
          </c:tx>
        </c:title>
        <c:numFmt formatCode="0.0" sourceLinked="0"/>
        <c:majorTickMark val="none"/>
        <c:tickLblPos val="nextTo"/>
        <c:txPr>
          <a:bodyPr/>
          <a:lstStyle/>
          <a:p>
            <a:pPr>
              <a:defRPr sz="800"/>
            </a:pPr>
            <a:endParaRPr lang="en-US"/>
          </a:p>
        </c:txPr>
        <c:crossAx val="105620224"/>
        <c:crosses val="autoZero"/>
        <c:crossBetween val="midCat"/>
        <c:majorUnit val="4"/>
      </c:valAx>
    </c:plotArea>
    <c:legend>
      <c:legendPos val="b"/>
      <c:layout>
        <c:manualLayout>
          <c:xMode val="edge"/>
          <c:yMode val="edge"/>
          <c:x val="0"/>
          <c:y val="0.89318711666135897"/>
          <c:w val="0.92843934221924751"/>
          <c:h val="6.4854327476610921E-2"/>
        </c:manualLayout>
      </c:layout>
      <c:txPr>
        <a:bodyPr/>
        <a:lstStyle/>
        <a:p>
          <a:pPr>
            <a:defRPr sz="600"/>
          </a:pPr>
          <a:endParaRPr lang="en-US"/>
        </a:p>
      </c:txPr>
    </c:legend>
    <c:plotVisOnly val="1"/>
    <c:dispBlanksAs val="gap"/>
  </c:chart>
  <c:spPr>
    <a:ln>
      <a:noFill/>
    </a:ln>
  </c:spPr>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7983247943767439"/>
          <c:y val="4.6223795823621433E-2"/>
          <c:w val="0.67785490120221503"/>
          <c:h val="0.67242090536912202"/>
        </c:manualLayout>
      </c:layout>
      <c:scatterChart>
        <c:scatterStyle val="smoothMarker"/>
        <c:ser>
          <c:idx val="0"/>
          <c:order val="0"/>
          <c:tx>
            <c:v>Control</c:v>
          </c:tx>
          <c:errBars>
            <c:errDir val="y"/>
            <c:errBarType val="both"/>
            <c:errValType val="cust"/>
            <c:plus>
              <c:numRef>
                <c:f>(Color!$B$65,Color!$J$65,Color!$R$64,Color!$R$64,Color!$R$65,Color!$Z$65)</c:f>
                <c:numCache>
                  <c:formatCode>General</c:formatCode>
                  <c:ptCount val="6"/>
                  <c:pt idx="0">
                    <c:v>2.0171673207744831</c:v>
                  </c:pt>
                  <c:pt idx="1">
                    <c:v>1.4346957865692498</c:v>
                  </c:pt>
                  <c:pt idx="2">
                    <c:v>0</c:v>
                  </c:pt>
                  <c:pt idx="3">
                    <c:v>0</c:v>
                  </c:pt>
                  <c:pt idx="4">
                    <c:v>0.38608030252840514</c:v>
                  </c:pt>
                  <c:pt idx="5">
                    <c:v>1.6370119119909681</c:v>
                  </c:pt>
                </c:numCache>
              </c:numRef>
            </c:plus>
            <c:minus>
              <c:numRef>
                <c:f>(Color!$B$65,Color!$J$65,Color!$R$65,Color!$Z$65)</c:f>
                <c:numCache>
                  <c:formatCode>General</c:formatCode>
                  <c:ptCount val="4"/>
                  <c:pt idx="0">
                    <c:v>2.0171673207744831</c:v>
                  </c:pt>
                  <c:pt idx="1">
                    <c:v>1.4346957865692498</c:v>
                  </c:pt>
                  <c:pt idx="2">
                    <c:v>0.38608030252840514</c:v>
                  </c:pt>
                  <c:pt idx="3">
                    <c:v>1.6370119119909681</c:v>
                  </c:pt>
                </c:numCache>
              </c:numRef>
            </c:minus>
          </c:errBars>
          <c:xVal>
            <c:numRef>
              <c:f>Color!$AI$38:$AL$38</c:f>
              <c:numCache>
                <c:formatCode>General</c:formatCode>
                <c:ptCount val="4"/>
                <c:pt idx="0">
                  <c:v>0</c:v>
                </c:pt>
                <c:pt idx="1">
                  <c:v>14</c:v>
                </c:pt>
                <c:pt idx="2">
                  <c:v>28</c:v>
                </c:pt>
                <c:pt idx="3">
                  <c:v>42</c:v>
                </c:pt>
              </c:numCache>
            </c:numRef>
          </c:xVal>
          <c:yVal>
            <c:numRef>
              <c:f>(Color!$B$57,Color!$J$57,Color!$R$57,Color!$Z$57)</c:f>
              <c:numCache>
                <c:formatCode>0.00</c:formatCode>
                <c:ptCount val="4"/>
                <c:pt idx="0">
                  <c:v>46.018666666666135</c:v>
                </c:pt>
                <c:pt idx="1">
                  <c:v>41.586000000000006</c:v>
                </c:pt>
                <c:pt idx="2">
                  <c:v>39.549000000000007</c:v>
                </c:pt>
                <c:pt idx="3">
                  <c:v>38.116</c:v>
                </c:pt>
              </c:numCache>
            </c:numRef>
          </c:yVal>
          <c:smooth val="1"/>
        </c:ser>
        <c:ser>
          <c:idx val="1"/>
          <c:order val="1"/>
          <c:tx>
            <c:v>CaCl2</c:v>
          </c:tx>
          <c:errBars>
            <c:errDir val="y"/>
            <c:errBarType val="both"/>
            <c:errValType val="cust"/>
            <c:plus>
              <c:numRef>
                <c:f>(Color!$B$66,Color!$J$66,Color!$R$66,Color!$Z$66)</c:f>
                <c:numCache>
                  <c:formatCode>General</c:formatCode>
                  <c:ptCount val="4"/>
                  <c:pt idx="0">
                    <c:v>1.6999262729113558</c:v>
                  </c:pt>
                  <c:pt idx="1">
                    <c:v>0.37808640987555198</c:v>
                  </c:pt>
                  <c:pt idx="2">
                    <c:v>1.0564175310927937</c:v>
                  </c:pt>
                  <c:pt idx="3">
                    <c:v>0.68872200487601898</c:v>
                  </c:pt>
                </c:numCache>
              </c:numRef>
            </c:plus>
            <c:minus>
              <c:numRef>
                <c:f>(Color!$B$66,Color!$J$66,Color!$R$66,Color!$Z$66)</c:f>
                <c:numCache>
                  <c:formatCode>General</c:formatCode>
                  <c:ptCount val="4"/>
                  <c:pt idx="0">
                    <c:v>1.6999262729113558</c:v>
                  </c:pt>
                  <c:pt idx="1">
                    <c:v>0.37808640987555198</c:v>
                  </c:pt>
                  <c:pt idx="2">
                    <c:v>1.0564175310927937</c:v>
                  </c:pt>
                  <c:pt idx="3">
                    <c:v>0.68872200487601898</c:v>
                  </c:pt>
                </c:numCache>
              </c:numRef>
            </c:minus>
          </c:errBars>
          <c:xVal>
            <c:numRef>
              <c:f>Color!$AI$38:$AL$38</c:f>
              <c:numCache>
                <c:formatCode>General</c:formatCode>
                <c:ptCount val="4"/>
                <c:pt idx="0">
                  <c:v>0</c:v>
                </c:pt>
                <c:pt idx="1">
                  <c:v>14</c:v>
                </c:pt>
                <c:pt idx="2">
                  <c:v>28</c:v>
                </c:pt>
                <c:pt idx="3">
                  <c:v>42</c:v>
                </c:pt>
              </c:numCache>
            </c:numRef>
          </c:xVal>
          <c:yVal>
            <c:numRef>
              <c:f>(Color!$B$58,Color!$J$58,Color!$R$58,Color!$Z$58)</c:f>
              <c:numCache>
                <c:formatCode>0.00</c:formatCode>
                <c:ptCount val="4"/>
                <c:pt idx="0">
                  <c:v>46.756</c:v>
                </c:pt>
                <c:pt idx="1">
                  <c:v>42.204666666666135</c:v>
                </c:pt>
                <c:pt idx="2">
                  <c:v>41.527000000000001</c:v>
                </c:pt>
                <c:pt idx="3">
                  <c:v>39.517000000000003</c:v>
                </c:pt>
              </c:numCache>
            </c:numRef>
          </c:yVal>
          <c:smooth val="1"/>
        </c:ser>
        <c:ser>
          <c:idx val="2"/>
          <c:order val="2"/>
          <c:tx>
            <c:v>Flavonoid</c:v>
          </c:tx>
          <c:errBars>
            <c:errDir val="y"/>
            <c:errBarType val="both"/>
            <c:errValType val="cust"/>
            <c:plus>
              <c:numRef>
                <c:f>(Color!$B$67,Color!$J$67,Color!$Q$67,Color!$Q$67,Color!$R$67,Color!$Z$67)</c:f>
                <c:numCache>
                  <c:formatCode>General</c:formatCode>
                  <c:ptCount val="6"/>
                  <c:pt idx="0">
                    <c:v>0.58716380451641459</c:v>
                  </c:pt>
                  <c:pt idx="1">
                    <c:v>1.4198704166225788</c:v>
                  </c:pt>
                  <c:pt idx="2">
                    <c:v>0.29691258179682573</c:v>
                  </c:pt>
                  <c:pt idx="3">
                    <c:v>0.29691258179682573</c:v>
                  </c:pt>
                  <c:pt idx="4">
                    <c:v>0.40305086527666073</c:v>
                  </c:pt>
                  <c:pt idx="5">
                    <c:v>1.1676682748110041</c:v>
                  </c:pt>
                </c:numCache>
              </c:numRef>
            </c:plus>
            <c:minus>
              <c:numRef>
                <c:f>(Color!$B$67,Color!$J$67,Color!$R$67,Color!$Z$67)</c:f>
                <c:numCache>
                  <c:formatCode>General</c:formatCode>
                  <c:ptCount val="4"/>
                  <c:pt idx="0">
                    <c:v>0.58716380451641459</c:v>
                  </c:pt>
                  <c:pt idx="1">
                    <c:v>1.4198704166225788</c:v>
                  </c:pt>
                  <c:pt idx="2">
                    <c:v>0.40305086527666073</c:v>
                  </c:pt>
                  <c:pt idx="3">
                    <c:v>1.1676682748110041</c:v>
                  </c:pt>
                </c:numCache>
              </c:numRef>
            </c:minus>
          </c:errBars>
          <c:xVal>
            <c:numRef>
              <c:f>Color!$AI$38:$AL$38</c:f>
              <c:numCache>
                <c:formatCode>General</c:formatCode>
                <c:ptCount val="4"/>
                <c:pt idx="0">
                  <c:v>0</c:v>
                </c:pt>
                <c:pt idx="1">
                  <c:v>14</c:v>
                </c:pt>
                <c:pt idx="2">
                  <c:v>28</c:v>
                </c:pt>
                <c:pt idx="3">
                  <c:v>42</c:v>
                </c:pt>
              </c:numCache>
            </c:numRef>
          </c:xVal>
          <c:yVal>
            <c:numRef>
              <c:f>(Color!$B$59,Color!$J$59,Color!$R$59,Color!$Z$59)</c:f>
              <c:numCache>
                <c:formatCode>0.00</c:formatCode>
                <c:ptCount val="4"/>
                <c:pt idx="0">
                  <c:v>46.522666666666268</c:v>
                </c:pt>
                <c:pt idx="1">
                  <c:v>43.826000000000001</c:v>
                </c:pt>
                <c:pt idx="2">
                  <c:v>42.391000000000005</c:v>
                </c:pt>
                <c:pt idx="3">
                  <c:v>38.129000000000012</c:v>
                </c:pt>
              </c:numCache>
            </c:numRef>
          </c:yVal>
          <c:smooth val="1"/>
        </c:ser>
        <c:ser>
          <c:idx val="3"/>
          <c:order val="3"/>
          <c:tx>
            <c:v>Flavonoid+CaCl2</c:v>
          </c:tx>
          <c:errBars>
            <c:errDir val="y"/>
            <c:errBarType val="both"/>
            <c:errValType val="cust"/>
            <c:plus>
              <c:numRef>
                <c:f>(Color!$B$68,Color!$J$68,Color!$R$68,Color!$Z$68)</c:f>
                <c:numCache>
                  <c:formatCode>General</c:formatCode>
                  <c:ptCount val="4"/>
                  <c:pt idx="0">
                    <c:v>1.1463931844413426</c:v>
                  </c:pt>
                  <c:pt idx="1">
                    <c:v>0.43867071933265633</c:v>
                  </c:pt>
                  <c:pt idx="2">
                    <c:v>1.1965037957871958</c:v>
                  </c:pt>
                  <c:pt idx="3">
                    <c:v>1.7210979054079878</c:v>
                  </c:pt>
                </c:numCache>
              </c:numRef>
            </c:plus>
            <c:minus>
              <c:numRef>
                <c:f>(Color!$B$68,Color!$J$68,Color!$R$68,Color!$Z$68)</c:f>
                <c:numCache>
                  <c:formatCode>General</c:formatCode>
                  <c:ptCount val="4"/>
                  <c:pt idx="0">
                    <c:v>1.1463931844413426</c:v>
                  </c:pt>
                  <c:pt idx="1">
                    <c:v>0.43867071933265633</c:v>
                  </c:pt>
                  <c:pt idx="2">
                    <c:v>1.1965037957871958</c:v>
                  </c:pt>
                  <c:pt idx="3">
                    <c:v>1.7210979054079878</c:v>
                  </c:pt>
                </c:numCache>
              </c:numRef>
            </c:minus>
          </c:errBars>
          <c:xVal>
            <c:numRef>
              <c:f>Color!$AI$38:$AL$38</c:f>
              <c:numCache>
                <c:formatCode>General</c:formatCode>
                <c:ptCount val="4"/>
                <c:pt idx="0">
                  <c:v>0</c:v>
                </c:pt>
                <c:pt idx="1">
                  <c:v>14</c:v>
                </c:pt>
                <c:pt idx="2">
                  <c:v>28</c:v>
                </c:pt>
                <c:pt idx="3">
                  <c:v>42</c:v>
                </c:pt>
              </c:numCache>
            </c:numRef>
          </c:xVal>
          <c:yVal>
            <c:numRef>
              <c:f>(Color!$B$60,Color!$J$60,Color!$R$60,Color!$Z$60)</c:f>
              <c:numCache>
                <c:formatCode>0.00</c:formatCode>
                <c:ptCount val="4"/>
                <c:pt idx="0">
                  <c:v>45.222666666666392</c:v>
                </c:pt>
                <c:pt idx="1">
                  <c:v>39.968000000000011</c:v>
                </c:pt>
                <c:pt idx="2">
                  <c:v>39.68333333333333</c:v>
                </c:pt>
                <c:pt idx="3">
                  <c:v>34.894000000000005</c:v>
                </c:pt>
              </c:numCache>
            </c:numRef>
          </c:yVal>
          <c:smooth val="1"/>
        </c:ser>
        <c:axId val="111827200"/>
        <c:axId val="111833472"/>
      </c:scatterChart>
      <c:valAx>
        <c:axId val="111827200"/>
        <c:scaling>
          <c:orientation val="minMax"/>
        </c:scaling>
        <c:axPos val="b"/>
        <c:title>
          <c:tx>
            <c:rich>
              <a:bodyPr/>
              <a:lstStyle/>
              <a:p>
                <a:pPr>
                  <a:defRPr/>
                </a:pPr>
                <a:r>
                  <a:rPr lang="es-ES"/>
                  <a:t>Storage</a:t>
                </a:r>
                <a:r>
                  <a:rPr lang="es-ES" baseline="0"/>
                  <a:t> (days)</a:t>
                </a:r>
                <a:endParaRPr lang="es-ES"/>
              </a:p>
            </c:rich>
          </c:tx>
          <c:layout>
            <c:manualLayout>
              <c:xMode val="edge"/>
              <c:yMode val="edge"/>
              <c:x val="0.3704469287560479"/>
              <c:y val="0.81239088311262797"/>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11833472"/>
        <c:crosses val="autoZero"/>
        <c:crossBetween val="midCat"/>
        <c:majorUnit val="6"/>
      </c:valAx>
      <c:valAx>
        <c:axId val="111833472"/>
        <c:scaling>
          <c:orientation val="minMax"/>
          <c:max val="52"/>
          <c:min val="28"/>
        </c:scaling>
        <c:axPos val="l"/>
        <c:title>
          <c:tx>
            <c:rich>
              <a:bodyPr/>
              <a:lstStyle/>
              <a:p>
                <a:pPr>
                  <a:defRPr/>
                </a:pPr>
                <a:r>
                  <a:rPr lang="es-ES"/>
                  <a:t>L*</a:t>
                </a:r>
              </a:p>
            </c:rich>
          </c:tx>
        </c:title>
        <c:numFmt formatCode="0.0" sourceLinked="0"/>
        <c:majorTickMark val="none"/>
        <c:tickLblPos val="nextTo"/>
        <c:txPr>
          <a:bodyPr/>
          <a:lstStyle/>
          <a:p>
            <a:pPr>
              <a:defRPr sz="800"/>
            </a:pPr>
            <a:endParaRPr lang="en-US"/>
          </a:p>
        </c:txPr>
        <c:crossAx val="111827200"/>
        <c:crosses val="autoZero"/>
        <c:crossBetween val="midCat"/>
        <c:majorUnit val="4"/>
      </c:valAx>
    </c:plotArea>
    <c:legend>
      <c:legendPos val="b"/>
      <c:layout>
        <c:manualLayout>
          <c:xMode val="edge"/>
          <c:yMode val="edge"/>
          <c:x val="0"/>
          <c:y val="0.89318734671846556"/>
          <c:w val="0.96521791440270499"/>
          <c:h val="6.4854327476610824E-2"/>
        </c:manualLayout>
      </c:layout>
      <c:txPr>
        <a:bodyPr/>
        <a:lstStyle/>
        <a:p>
          <a:pPr>
            <a:defRPr sz="600"/>
          </a:pPr>
          <a:endParaRPr lang="en-US"/>
        </a:p>
      </c:txPr>
    </c:legend>
    <c:plotVisOnly val="1"/>
    <c:dispBlanksAs val="gap"/>
  </c:chart>
  <c:spPr>
    <a:ln>
      <a:noFill/>
    </a:ln>
  </c:spPr>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983247943767439"/>
          <c:y val="8.8816454783527843E-2"/>
          <c:w val="0.67785490120221503"/>
          <c:h val="0.62982833235446734"/>
        </c:manualLayout>
      </c:layout>
      <c:scatterChart>
        <c:scatterStyle val="smoothMarker"/>
        <c:ser>
          <c:idx val="0"/>
          <c:order val="0"/>
          <c:tx>
            <c:v>Control</c:v>
          </c:tx>
          <c:errBars>
            <c:errDir val="y"/>
            <c:errBarType val="both"/>
            <c:errValType val="cust"/>
            <c:plus>
              <c:numRef>
                <c:f>(Color!$B$100,Color!$J$100,Color!$R$100,Color!$Z$100)</c:f>
                <c:numCache>
                  <c:formatCode>General</c:formatCode>
                  <c:ptCount val="4"/>
                  <c:pt idx="0">
                    <c:v>0.34819045448230579</c:v>
                  </c:pt>
                  <c:pt idx="1">
                    <c:v>0.19798989873223563</c:v>
                  </c:pt>
                  <c:pt idx="2">
                    <c:v>0.7569870100161098</c:v>
                  </c:pt>
                  <c:pt idx="3">
                    <c:v>1.5427248620541762</c:v>
                  </c:pt>
                </c:numCache>
              </c:numRef>
            </c:plus>
            <c:minus>
              <c:numRef>
                <c:f>(Color!$B$100,Color!$J$100,Color!$R$100,Color!$Z$100)</c:f>
                <c:numCache>
                  <c:formatCode>General</c:formatCode>
                  <c:ptCount val="4"/>
                  <c:pt idx="0">
                    <c:v>0.34819045448230579</c:v>
                  </c:pt>
                  <c:pt idx="1">
                    <c:v>0.19798989873223563</c:v>
                  </c:pt>
                  <c:pt idx="2">
                    <c:v>0.7569870100161098</c:v>
                  </c:pt>
                  <c:pt idx="3">
                    <c:v>1.5427248620541762</c:v>
                  </c:pt>
                </c:numCache>
              </c:numRef>
            </c:minus>
          </c:errBars>
          <c:xVal>
            <c:numRef>
              <c:f>Color!$AI$38:$AL$38</c:f>
              <c:numCache>
                <c:formatCode>General</c:formatCode>
                <c:ptCount val="4"/>
                <c:pt idx="0">
                  <c:v>0</c:v>
                </c:pt>
                <c:pt idx="1">
                  <c:v>14</c:v>
                </c:pt>
                <c:pt idx="2">
                  <c:v>28</c:v>
                </c:pt>
                <c:pt idx="3">
                  <c:v>42</c:v>
                </c:pt>
              </c:numCache>
            </c:numRef>
          </c:xVal>
          <c:yVal>
            <c:numRef>
              <c:f>(Color!$B$92,Color!$J$92,Color!$R$92,Color!$Z$92)</c:f>
              <c:numCache>
                <c:formatCode>0.00</c:formatCode>
                <c:ptCount val="4"/>
                <c:pt idx="0">
                  <c:v>43.778000000000013</c:v>
                </c:pt>
                <c:pt idx="1">
                  <c:v>41.406666666666077</c:v>
                </c:pt>
                <c:pt idx="2">
                  <c:v>40.57</c:v>
                </c:pt>
                <c:pt idx="3">
                  <c:v>38.5</c:v>
                </c:pt>
              </c:numCache>
            </c:numRef>
          </c:yVal>
          <c:smooth val="1"/>
        </c:ser>
        <c:ser>
          <c:idx val="1"/>
          <c:order val="1"/>
          <c:tx>
            <c:v>CaCl2</c:v>
          </c:tx>
          <c:errBars>
            <c:errDir val="y"/>
            <c:errBarType val="both"/>
            <c:errValType val="cust"/>
            <c:plus>
              <c:numRef>
                <c:f>(Color!$B$101,Color!$J$101,Color!$R$101,Color!$Z$101)</c:f>
                <c:numCache>
                  <c:formatCode>General</c:formatCode>
                  <c:ptCount val="4"/>
                  <c:pt idx="0">
                    <c:v>1.6304563778278081</c:v>
                  </c:pt>
                  <c:pt idx="1">
                    <c:v>1.22901640889522</c:v>
                  </c:pt>
                  <c:pt idx="2">
                    <c:v>0.30199337740982102</c:v>
                  </c:pt>
                  <c:pt idx="3">
                    <c:v>1.044030650890907</c:v>
                  </c:pt>
                </c:numCache>
              </c:numRef>
            </c:plus>
            <c:minus>
              <c:numRef>
                <c:f>(Color!$B$101,Color!$J$101,Color!$R$101,Color!$Z$101)</c:f>
                <c:numCache>
                  <c:formatCode>General</c:formatCode>
                  <c:ptCount val="4"/>
                  <c:pt idx="0">
                    <c:v>1.6304563778278081</c:v>
                  </c:pt>
                  <c:pt idx="1">
                    <c:v>1.22901640889522</c:v>
                  </c:pt>
                  <c:pt idx="2">
                    <c:v>0.30199337740982102</c:v>
                  </c:pt>
                  <c:pt idx="3">
                    <c:v>1.044030650890907</c:v>
                  </c:pt>
                </c:numCache>
              </c:numRef>
            </c:minus>
          </c:errBars>
          <c:xVal>
            <c:numRef>
              <c:f>Color!$AI$38:$AL$38</c:f>
              <c:numCache>
                <c:formatCode>General</c:formatCode>
                <c:ptCount val="4"/>
                <c:pt idx="0">
                  <c:v>0</c:v>
                </c:pt>
                <c:pt idx="1">
                  <c:v>14</c:v>
                </c:pt>
                <c:pt idx="2">
                  <c:v>28</c:v>
                </c:pt>
                <c:pt idx="3">
                  <c:v>42</c:v>
                </c:pt>
              </c:numCache>
            </c:numRef>
          </c:xVal>
          <c:yVal>
            <c:numRef>
              <c:f>(Color!$B$93,Color!$J$93,Color!$R$93,Color!$Z$93)</c:f>
              <c:numCache>
                <c:formatCode>0.00</c:formatCode>
                <c:ptCount val="4"/>
                <c:pt idx="0">
                  <c:v>43.636666666666208</c:v>
                </c:pt>
                <c:pt idx="1">
                  <c:v>40.880999999999993</c:v>
                </c:pt>
                <c:pt idx="2">
                  <c:v>37.734000000000002</c:v>
                </c:pt>
                <c:pt idx="3">
                  <c:v>35.766666666666254</c:v>
                </c:pt>
              </c:numCache>
            </c:numRef>
          </c:yVal>
          <c:smooth val="1"/>
        </c:ser>
        <c:ser>
          <c:idx val="2"/>
          <c:order val="2"/>
          <c:tx>
            <c:v>Flavonoid</c:v>
          </c:tx>
          <c:errBars>
            <c:errDir val="y"/>
            <c:errBarType val="both"/>
            <c:errValType val="cust"/>
            <c:plus>
              <c:numRef>
                <c:f>(Color!$B$102,Color!$J$102,Color!$R$102,Color!$Z$102)</c:f>
                <c:numCache>
                  <c:formatCode>General</c:formatCode>
                  <c:ptCount val="4"/>
                  <c:pt idx="0">
                    <c:v>1.4222831410565802</c:v>
                  </c:pt>
                  <c:pt idx="1">
                    <c:v>0.56992806563600462</c:v>
                  </c:pt>
                  <c:pt idx="2">
                    <c:v>1.6436641992815291</c:v>
                  </c:pt>
                  <c:pt idx="3">
                    <c:v>1.8078697013729415</c:v>
                  </c:pt>
                </c:numCache>
              </c:numRef>
            </c:plus>
            <c:minus>
              <c:numRef>
                <c:f>(Color!$B$102,Color!$J$102,Color!$R$102,Color!$Z$102)</c:f>
                <c:numCache>
                  <c:formatCode>General</c:formatCode>
                  <c:ptCount val="4"/>
                  <c:pt idx="0">
                    <c:v>1.4222831410565802</c:v>
                  </c:pt>
                  <c:pt idx="1">
                    <c:v>0.56992806563600462</c:v>
                  </c:pt>
                  <c:pt idx="2">
                    <c:v>1.6436641992815291</c:v>
                  </c:pt>
                  <c:pt idx="3">
                    <c:v>1.8078697013729415</c:v>
                  </c:pt>
                </c:numCache>
              </c:numRef>
            </c:minus>
          </c:errBars>
          <c:xVal>
            <c:numRef>
              <c:f>Color!$AI$38:$AL$38</c:f>
              <c:numCache>
                <c:formatCode>General</c:formatCode>
                <c:ptCount val="4"/>
                <c:pt idx="0">
                  <c:v>0</c:v>
                </c:pt>
                <c:pt idx="1">
                  <c:v>14</c:v>
                </c:pt>
                <c:pt idx="2">
                  <c:v>28</c:v>
                </c:pt>
                <c:pt idx="3">
                  <c:v>42</c:v>
                </c:pt>
              </c:numCache>
            </c:numRef>
          </c:xVal>
          <c:yVal>
            <c:numRef>
              <c:f>(Color!$B$94,Color!$J$94,Color!$R$94,Color!$Z$94)</c:f>
              <c:numCache>
                <c:formatCode>0.00</c:formatCode>
                <c:ptCount val="4"/>
                <c:pt idx="0">
                  <c:v>43.595555555555563</c:v>
                </c:pt>
                <c:pt idx="1">
                  <c:v>41.600000000000009</c:v>
                </c:pt>
                <c:pt idx="2">
                  <c:v>41.022666666666268</c:v>
                </c:pt>
                <c:pt idx="3">
                  <c:v>38.800000000000004</c:v>
                </c:pt>
              </c:numCache>
            </c:numRef>
          </c:yVal>
          <c:smooth val="1"/>
        </c:ser>
        <c:ser>
          <c:idx val="3"/>
          <c:order val="3"/>
          <c:tx>
            <c:v>Flavonoid+CaCl2</c:v>
          </c:tx>
          <c:errBars>
            <c:errDir val="y"/>
            <c:errBarType val="both"/>
            <c:errValType val="cust"/>
            <c:plus>
              <c:numRef>
                <c:f>(Color!$B$103,Color!$J$103,Color!$Q$103,Color!$Z$103)</c:f>
                <c:numCache>
                  <c:formatCode>General</c:formatCode>
                  <c:ptCount val="4"/>
                  <c:pt idx="0">
                    <c:v>0.15273942953060063</c:v>
                  </c:pt>
                  <c:pt idx="1">
                    <c:v>0.12124355652982002</c:v>
                  </c:pt>
                  <c:pt idx="2">
                    <c:v>0.777683945914456</c:v>
                  </c:pt>
                  <c:pt idx="3">
                    <c:v>0.28284271247368631</c:v>
                  </c:pt>
                </c:numCache>
              </c:numRef>
            </c:plus>
            <c:minus>
              <c:numRef>
                <c:f>(Color!$B$103,Color!$J$103,Color!$Q$103,Color!$Z$103)</c:f>
                <c:numCache>
                  <c:formatCode>General</c:formatCode>
                  <c:ptCount val="4"/>
                  <c:pt idx="0">
                    <c:v>0.15273942953060063</c:v>
                  </c:pt>
                  <c:pt idx="1">
                    <c:v>0.12124355652982002</c:v>
                  </c:pt>
                  <c:pt idx="2">
                    <c:v>0.777683945914456</c:v>
                  </c:pt>
                  <c:pt idx="3">
                    <c:v>0.28284271247368631</c:v>
                  </c:pt>
                </c:numCache>
              </c:numRef>
            </c:minus>
          </c:errBars>
          <c:xVal>
            <c:numRef>
              <c:f>Color!$AI$38:$AL$38</c:f>
              <c:numCache>
                <c:formatCode>General</c:formatCode>
                <c:ptCount val="4"/>
                <c:pt idx="0">
                  <c:v>0</c:v>
                </c:pt>
                <c:pt idx="1">
                  <c:v>14</c:v>
                </c:pt>
                <c:pt idx="2">
                  <c:v>28</c:v>
                </c:pt>
                <c:pt idx="3">
                  <c:v>42</c:v>
                </c:pt>
              </c:numCache>
            </c:numRef>
          </c:xVal>
          <c:yVal>
            <c:numRef>
              <c:f>(Color!$B$95,Color!$J$95,Color!$R$95,Color!$Z$95)</c:f>
              <c:numCache>
                <c:formatCode>0.00</c:formatCode>
                <c:ptCount val="4"/>
                <c:pt idx="0">
                  <c:v>42.536666666666157</c:v>
                </c:pt>
                <c:pt idx="1">
                  <c:v>38.224000000000011</c:v>
                </c:pt>
                <c:pt idx="2">
                  <c:v>38.710666666666143</c:v>
                </c:pt>
                <c:pt idx="3">
                  <c:v>37.46666666666615</c:v>
                </c:pt>
              </c:numCache>
            </c:numRef>
          </c:yVal>
          <c:smooth val="1"/>
        </c:ser>
        <c:axId val="111861760"/>
        <c:axId val="111863680"/>
      </c:scatterChart>
      <c:valAx>
        <c:axId val="111861760"/>
        <c:scaling>
          <c:orientation val="minMax"/>
          <c:max val="48"/>
          <c:min val="0"/>
        </c:scaling>
        <c:axPos val="b"/>
        <c:title>
          <c:tx>
            <c:rich>
              <a:bodyPr/>
              <a:lstStyle/>
              <a:p>
                <a:pPr>
                  <a:defRPr/>
                </a:pPr>
                <a:r>
                  <a:rPr lang="es-ES"/>
                  <a:t>Storage</a:t>
                </a:r>
                <a:r>
                  <a:rPr lang="es-ES" baseline="0"/>
                  <a:t> (days)</a:t>
                </a:r>
                <a:endParaRPr lang="es-ES"/>
              </a:p>
            </c:rich>
          </c:tx>
          <c:layout>
            <c:manualLayout>
              <c:xMode val="edge"/>
              <c:yMode val="edge"/>
              <c:x val="0.3704469287560479"/>
              <c:y val="0.81239088311262797"/>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11863680"/>
        <c:crosses val="autoZero"/>
        <c:crossBetween val="midCat"/>
        <c:majorUnit val="6"/>
      </c:valAx>
      <c:valAx>
        <c:axId val="111863680"/>
        <c:scaling>
          <c:orientation val="minMax"/>
          <c:max val="52"/>
          <c:min val="28"/>
        </c:scaling>
        <c:axPos val="l"/>
        <c:title>
          <c:tx>
            <c:rich>
              <a:bodyPr/>
              <a:lstStyle/>
              <a:p>
                <a:pPr>
                  <a:defRPr/>
                </a:pPr>
                <a:r>
                  <a:rPr lang="es-ES"/>
                  <a:t>L*</a:t>
                </a:r>
              </a:p>
            </c:rich>
          </c:tx>
        </c:title>
        <c:numFmt formatCode="0.0" sourceLinked="0"/>
        <c:majorTickMark val="none"/>
        <c:tickLblPos val="nextTo"/>
        <c:txPr>
          <a:bodyPr/>
          <a:lstStyle/>
          <a:p>
            <a:pPr>
              <a:defRPr sz="800"/>
            </a:pPr>
            <a:endParaRPr lang="en-US"/>
          </a:p>
        </c:txPr>
        <c:crossAx val="111861760"/>
        <c:crosses val="autoZero"/>
        <c:crossBetween val="midCat"/>
        <c:majorUnit val="4"/>
      </c:valAx>
    </c:plotArea>
    <c:legend>
      <c:legendPos val="b"/>
      <c:layout>
        <c:manualLayout>
          <c:xMode val="edge"/>
          <c:yMode val="edge"/>
          <c:x val="0"/>
          <c:y val="0.89318734671846556"/>
          <c:w val="0.96521791440270499"/>
          <c:h val="6.4854327476610824E-2"/>
        </c:manualLayout>
      </c:layout>
      <c:txPr>
        <a:bodyPr/>
        <a:lstStyle/>
        <a:p>
          <a:pPr>
            <a:defRPr sz="600"/>
          </a:pPr>
          <a:endParaRPr lang="en-US"/>
        </a:p>
      </c:txPr>
    </c:legend>
    <c:plotVisOnly val="1"/>
    <c:dispBlanksAs val="gap"/>
  </c:chart>
  <c:spPr>
    <a:ln>
      <a:noFill/>
    </a:ln>
  </c:spPr>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1754238614910296"/>
          <c:y val="4.0246700832022794E-2"/>
          <c:w val="0.71882009485656562"/>
          <c:h val="0.71170389642289533"/>
        </c:manualLayout>
      </c:layout>
      <c:scatterChart>
        <c:scatterStyle val="smoothMarker"/>
        <c:ser>
          <c:idx val="0"/>
          <c:order val="0"/>
          <c:tx>
            <c:v>Control</c:v>
          </c:tx>
          <c:errBars>
            <c:errDir val="x"/>
            <c:errBarType val="both"/>
            <c:errValType val="fixedVal"/>
            <c:val val="1"/>
          </c:errBars>
          <c:errBars>
            <c:errDir val="y"/>
            <c:errBarType val="both"/>
            <c:errValType val="cust"/>
            <c:plus>
              <c:numRef>
                <c:f>(Color!$B$30,Color!$J$30,Color!$R$30,Color!$Z$30)</c:f>
                <c:numCache>
                  <c:formatCode>General</c:formatCode>
                  <c:ptCount val="4"/>
                  <c:pt idx="0">
                    <c:v>0.79285391676732941</c:v>
                  </c:pt>
                  <c:pt idx="1">
                    <c:v>0.40982435261868222</c:v>
                  </c:pt>
                  <c:pt idx="2">
                    <c:v>0.41436457377544572</c:v>
                  </c:pt>
                  <c:pt idx="3">
                    <c:v>6.6468037431536439E-2</c:v>
                  </c:pt>
                </c:numCache>
              </c:numRef>
            </c:plus>
            <c:minus>
              <c:numRef>
                <c:f>(Color!$B$30,Color!$J$30,Color!$R$30,Color!$Z$30)</c:f>
                <c:numCache>
                  <c:formatCode>General</c:formatCode>
                  <c:ptCount val="4"/>
                  <c:pt idx="0">
                    <c:v>0.79285391676732941</c:v>
                  </c:pt>
                  <c:pt idx="1">
                    <c:v>0.40982435261868222</c:v>
                  </c:pt>
                  <c:pt idx="2">
                    <c:v>0.41436457377544572</c:v>
                  </c:pt>
                  <c:pt idx="3">
                    <c:v>6.6468037431536439E-2</c:v>
                  </c:pt>
                </c:numCache>
              </c:numRef>
            </c:minus>
          </c:errBars>
          <c:xVal>
            <c:numRef>
              <c:f>Color!$AI$38:$AL$38</c:f>
              <c:numCache>
                <c:formatCode>General</c:formatCode>
                <c:ptCount val="4"/>
                <c:pt idx="0">
                  <c:v>0</c:v>
                </c:pt>
                <c:pt idx="1">
                  <c:v>90</c:v>
                </c:pt>
                <c:pt idx="2">
                  <c:v>180</c:v>
                </c:pt>
                <c:pt idx="3">
                  <c:v>270</c:v>
                </c:pt>
              </c:numCache>
            </c:numRef>
          </c:xVal>
          <c:yVal>
            <c:numRef>
              <c:f>(Color!$B$22,Color!$J$22,Color!$R$22,Color!$Z$22)</c:f>
              <c:numCache>
                <c:formatCode>0.00</c:formatCode>
                <c:ptCount val="4"/>
                <c:pt idx="0">
                  <c:v>48.690666666666573</c:v>
                </c:pt>
                <c:pt idx="1">
                  <c:v>45.246000000000002</c:v>
                </c:pt>
                <c:pt idx="2">
                  <c:v>44.949000000000005</c:v>
                </c:pt>
                <c:pt idx="3">
                  <c:v>41.471000000000004</c:v>
                </c:pt>
              </c:numCache>
            </c:numRef>
          </c:yVal>
          <c:smooth val="1"/>
        </c:ser>
        <c:ser>
          <c:idx val="1"/>
          <c:order val="1"/>
          <c:tx>
            <c:v>CaCl2</c:v>
          </c:tx>
          <c:errBars>
            <c:errDir val="x"/>
            <c:errBarType val="both"/>
            <c:errValType val="fixedVal"/>
            <c:val val="1"/>
          </c:errBars>
          <c:errBars>
            <c:errDir val="y"/>
            <c:errBarType val="both"/>
            <c:errValType val="cust"/>
            <c:plus>
              <c:numRef>
                <c:f>(Color!$B$31,Color!$J$31,Color!$R$31,Color!$Z$31)</c:f>
                <c:numCache>
                  <c:formatCode>General</c:formatCode>
                  <c:ptCount val="4"/>
                  <c:pt idx="0">
                    <c:v>2.4350613955297327</c:v>
                  </c:pt>
                  <c:pt idx="1">
                    <c:v>0.96326320390578213</c:v>
                  </c:pt>
                  <c:pt idx="2">
                    <c:v>1.1370277041480081</c:v>
                  </c:pt>
                  <c:pt idx="3">
                    <c:v>1.1497556262095441</c:v>
                  </c:pt>
                </c:numCache>
              </c:numRef>
            </c:plus>
            <c:minus>
              <c:numRef>
                <c:f>(Color!$B$31,Color!$J$31,Color!$R$31,Color!$Z$31)</c:f>
                <c:numCache>
                  <c:formatCode>General</c:formatCode>
                  <c:ptCount val="4"/>
                  <c:pt idx="0">
                    <c:v>2.4350613955297327</c:v>
                  </c:pt>
                  <c:pt idx="1">
                    <c:v>0.96326320390578213</c:v>
                  </c:pt>
                  <c:pt idx="2">
                    <c:v>1.1370277041480081</c:v>
                  </c:pt>
                  <c:pt idx="3">
                    <c:v>1.1497556262095441</c:v>
                  </c:pt>
                </c:numCache>
              </c:numRef>
            </c:minus>
          </c:errBars>
          <c:xVal>
            <c:numRef>
              <c:f>Color!$AI$38:$AL$38</c:f>
              <c:numCache>
                <c:formatCode>General</c:formatCode>
                <c:ptCount val="4"/>
                <c:pt idx="0">
                  <c:v>0</c:v>
                </c:pt>
                <c:pt idx="1">
                  <c:v>90</c:v>
                </c:pt>
                <c:pt idx="2">
                  <c:v>180</c:v>
                </c:pt>
                <c:pt idx="3">
                  <c:v>270</c:v>
                </c:pt>
              </c:numCache>
            </c:numRef>
          </c:xVal>
          <c:yVal>
            <c:numRef>
              <c:f>(Color!$B$23,Color!$J$23,Color!$R$23,Color!$Z$23)</c:f>
              <c:numCache>
                <c:formatCode>0.00</c:formatCode>
                <c:ptCount val="4"/>
                <c:pt idx="0">
                  <c:v>45.576000000000001</c:v>
                </c:pt>
                <c:pt idx="1">
                  <c:v>44.20000000000001</c:v>
                </c:pt>
                <c:pt idx="2">
                  <c:v>42.658000000000001</c:v>
                </c:pt>
                <c:pt idx="3">
                  <c:v>38.207000000000008</c:v>
                </c:pt>
              </c:numCache>
            </c:numRef>
          </c:yVal>
          <c:smooth val="1"/>
        </c:ser>
        <c:ser>
          <c:idx val="2"/>
          <c:order val="2"/>
          <c:tx>
            <c:v>Flavonoid</c:v>
          </c:tx>
          <c:errBars>
            <c:errDir val="x"/>
            <c:errBarType val="both"/>
            <c:errValType val="fixedVal"/>
            <c:val val="1"/>
          </c:errBars>
          <c:errBars>
            <c:errDir val="y"/>
            <c:errBarType val="both"/>
            <c:errValType val="cust"/>
            <c:plus>
              <c:numRef>
                <c:f>(Color!$B$32,Color!$J$32,Color!$R$32,Color!$Z$32)</c:f>
                <c:numCache>
                  <c:formatCode>General</c:formatCode>
                  <c:ptCount val="4"/>
                  <c:pt idx="0">
                    <c:v>2.3323164450819922</c:v>
                  </c:pt>
                  <c:pt idx="1">
                    <c:v>0.9847151872494595</c:v>
                  </c:pt>
                  <c:pt idx="2">
                    <c:v>0.43303117670719077</c:v>
                  </c:pt>
                  <c:pt idx="3">
                    <c:v>1.7168552647210675</c:v>
                  </c:pt>
                </c:numCache>
              </c:numRef>
            </c:plus>
            <c:minus>
              <c:numRef>
                <c:f>(Color!$B$32,Color!$J$32,Color!$R$32,Color!$Z$32)</c:f>
                <c:numCache>
                  <c:formatCode>General</c:formatCode>
                  <c:ptCount val="4"/>
                  <c:pt idx="0">
                    <c:v>2.3323164450819922</c:v>
                  </c:pt>
                  <c:pt idx="1">
                    <c:v>0.9847151872494595</c:v>
                  </c:pt>
                  <c:pt idx="2">
                    <c:v>0.43303117670719077</c:v>
                  </c:pt>
                  <c:pt idx="3">
                    <c:v>1.7168552647210675</c:v>
                  </c:pt>
                </c:numCache>
              </c:numRef>
            </c:minus>
          </c:errBars>
          <c:xVal>
            <c:numRef>
              <c:f>Color!$AI$38:$AL$38</c:f>
              <c:numCache>
                <c:formatCode>General</c:formatCode>
                <c:ptCount val="4"/>
                <c:pt idx="0">
                  <c:v>0</c:v>
                </c:pt>
                <c:pt idx="1">
                  <c:v>90</c:v>
                </c:pt>
                <c:pt idx="2">
                  <c:v>180</c:v>
                </c:pt>
                <c:pt idx="3">
                  <c:v>270</c:v>
                </c:pt>
              </c:numCache>
            </c:numRef>
          </c:xVal>
          <c:yVal>
            <c:numRef>
              <c:f>(Color!$B$24,Color!$J$24,Color!$R$24,Color!$Z$24)</c:f>
              <c:numCache>
                <c:formatCode>0.00</c:formatCode>
                <c:ptCount val="4"/>
                <c:pt idx="0">
                  <c:v>47.148000000000003</c:v>
                </c:pt>
                <c:pt idx="1">
                  <c:v>43.220000000000013</c:v>
                </c:pt>
                <c:pt idx="2">
                  <c:v>42.022000000000013</c:v>
                </c:pt>
                <c:pt idx="3">
                  <c:v>39.378</c:v>
                </c:pt>
              </c:numCache>
            </c:numRef>
          </c:yVal>
          <c:smooth val="1"/>
        </c:ser>
        <c:ser>
          <c:idx val="3"/>
          <c:order val="3"/>
          <c:tx>
            <c:v>Flavonoid-CaCl2</c:v>
          </c:tx>
          <c:errBars>
            <c:errDir val="x"/>
            <c:errBarType val="both"/>
            <c:errValType val="fixedVal"/>
            <c:val val="1"/>
          </c:errBars>
          <c:errBars>
            <c:errDir val="y"/>
            <c:errBarType val="both"/>
            <c:errValType val="cust"/>
            <c:plus>
              <c:numRef>
                <c:f>(Color!$B$33,Color!$J$33,Color!$R$33,Color!$Z$33)</c:f>
                <c:numCache>
                  <c:formatCode>General</c:formatCode>
                  <c:ptCount val="4"/>
                  <c:pt idx="0">
                    <c:v>2.2266126739961138</c:v>
                  </c:pt>
                  <c:pt idx="1">
                    <c:v>1.44244006230189</c:v>
                  </c:pt>
                  <c:pt idx="2">
                    <c:v>0.89802561210693865</c:v>
                  </c:pt>
                  <c:pt idx="3">
                    <c:v>0.67033722856457656</c:v>
                  </c:pt>
                </c:numCache>
              </c:numRef>
            </c:plus>
            <c:minus>
              <c:numRef>
                <c:f>(Color!$B$33,Color!$J$33,Color!$R$33,Color!$Z$33)</c:f>
                <c:numCache>
                  <c:formatCode>General</c:formatCode>
                  <c:ptCount val="4"/>
                  <c:pt idx="0">
                    <c:v>2.2266126739961138</c:v>
                  </c:pt>
                  <c:pt idx="1">
                    <c:v>1.44244006230189</c:v>
                  </c:pt>
                  <c:pt idx="2">
                    <c:v>0.89802561210693865</c:v>
                  </c:pt>
                  <c:pt idx="3">
                    <c:v>0.67033722856457656</c:v>
                  </c:pt>
                </c:numCache>
              </c:numRef>
            </c:minus>
          </c:errBars>
          <c:xVal>
            <c:numRef>
              <c:f>Color!$AI$38:$AL$38</c:f>
              <c:numCache>
                <c:formatCode>General</c:formatCode>
                <c:ptCount val="4"/>
                <c:pt idx="0">
                  <c:v>0</c:v>
                </c:pt>
                <c:pt idx="1">
                  <c:v>90</c:v>
                </c:pt>
                <c:pt idx="2">
                  <c:v>180</c:v>
                </c:pt>
                <c:pt idx="3">
                  <c:v>270</c:v>
                </c:pt>
              </c:numCache>
            </c:numRef>
          </c:xVal>
          <c:yVal>
            <c:numRef>
              <c:f>(Color!$B$25,Color!$J$25,Color!$R$25,Color!$Z$25)</c:f>
              <c:numCache>
                <c:formatCode>0.00</c:formatCode>
                <c:ptCount val="4"/>
                <c:pt idx="0">
                  <c:v>44.28</c:v>
                </c:pt>
                <c:pt idx="1">
                  <c:v>43.259333333333331</c:v>
                </c:pt>
                <c:pt idx="2">
                  <c:v>38.095000000000013</c:v>
                </c:pt>
                <c:pt idx="3">
                  <c:v>38.424000000000007</c:v>
                </c:pt>
              </c:numCache>
            </c:numRef>
          </c:yVal>
          <c:smooth val="1"/>
        </c:ser>
        <c:axId val="112942080"/>
        <c:axId val="112964736"/>
      </c:scatterChart>
      <c:valAx>
        <c:axId val="112942080"/>
        <c:scaling>
          <c:orientation val="minMax"/>
          <c:min val="0"/>
        </c:scaling>
        <c:axPos val="b"/>
        <c:title>
          <c:tx>
            <c:rich>
              <a:bodyPr/>
              <a:lstStyle/>
              <a:p>
                <a:pPr>
                  <a:defRPr sz="800"/>
                </a:pPr>
                <a:r>
                  <a:rPr lang="en-US" sz="800"/>
                  <a:t>Storage</a:t>
                </a:r>
                <a:r>
                  <a:rPr lang="en-US" sz="800" baseline="0"/>
                  <a:t> (days)</a:t>
                </a:r>
                <a:endParaRPr lang="en-US" sz="800"/>
              </a:p>
            </c:rich>
          </c:tx>
          <c:layout>
            <c:manualLayout>
              <c:xMode val="edge"/>
              <c:yMode val="edge"/>
              <c:x val="0.41477331123083538"/>
              <c:y val="0.85368313051778055"/>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12964736"/>
        <c:crosses val="autoZero"/>
        <c:crossBetween val="midCat"/>
        <c:majorUnit val="50"/>
      </c:valAx>
      <c:valAx>
        <c:axId val="112964736"/>
        <c:scaling>
          <c:orientation val="minMax"/>
          <c:max val="52"/>
          <c:min val="28"/>
        </c:scaling>
        <c:axPos val="l"/>
        <c:title>
          <c:tx>
            <c:rich>
              <a:bodyPr/>
              <a:lstStyle/>
              <a:p>
                <a:pPr>
                  <a:defRPr sz="800"/>
                </a:pPr>
                <a:r>
                  <a:rPr lang="en-US" sz="800"/>
                  <a:t>L*</a:t>
                </a:r>
              </a:p>
            </c:rich>
          </c:tx>
        </c:title>
        <c:numFmt formatCode="0.0" sourceLinked="0"/>
        <c:majorTickMark val="none"/>
        <c:tickLblPos val="nextTo"/>
        <c:txPr>
          <a:bodyPr/>
          <a:lstStyle/>
          <a:p>
            <a:pPr>
              <a:defRPr sz="800"/>
            </a:pPr>
            <a:endParaRPr lang="en-US"/>
          </a:p>
        </c:txPr>
        <c:crossAx val="112942080"/>
        <c:crosses val="autoZero"/>
        <c:crossBetween val="midCat"/>
        <c:majorUnit val="4"/>
      </c:valAx>
    </c:plotArea>
    <c:legend>
      <c:legendPos val="b"/>
      <c:layout>
        <c:manualLayout>
          <c:xMode val="edge"/>
          <c:yMode val="edge"/>
          <c:x val="5.8311184786112323E-2"/>
          <c:y val="0.91927463612503479"/>
          <c:w val="0.89999981581250155"/>
          <c:h val="7.9949892627057886E-2"/>
        </c:manualLayout>
      </c:layout>
      <c:txPr>
        <a:bodyPr/>
        <a:lstStyle/>
        <a:p>
          <a:pPr>
            <a:defRPr sz="600"/>
          </a:pPr>
          <a:endParaRPr lang="en-US"/>
        </a:p>
      </c:txPr>
    </c:legend>
    <c:plotVisOnly val="1"/>
    <c:dispBlanksAs val="gap"/>
  </c:chart>
  <c:spPr>
    <a:ln>
      <a:noFill/>
    </a:ln>
  </c:spPr>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0418095848563"/>
          <c:y val="6.5718499140220488E-2"/>
          <c:w val="0.66517623994271902"/>
          <c:h val="0.6696081660572818"/>
        </c:manualLayout>
      </c:layout>
      <c:scatterChart>
        <c:scatterStyle val="smoothMarker"/>
        <c:ser>
          <c:idx val="0"/>
          <c:order val="0"/>
          <c:tx>
            <c:v>Control</c:v>
          </c:tx>
          <c:errBars>
            <c:errDir val="y"/>
            <c:errBarType val="both"/>
            <c:errValType val="cust"/>
            <c:plus>
              <c:numRef>
                <c:f>(Color!$B$65,Color!$J$65,Color!$R$65,Color!$Z$65)</c:f>
                <c:numCache>
                  <c:formatCode>General</c:formatCode>
                  <c:ptCount val="4"/>
                  <c:pt idx="0">
                    <c:v>0.58716380451641459</c:v>
                  </c:pt>
                  <c:pt idx="1">
                    <c:v>1.9100013961601339</c:v>
                  </c:pt>
                  <c:pt idx="2">
                    <c:v>0.66939441952289147</c:v>
                  </c:pt>
                  <c:pt idx="3">
                    <c:v>0.37405948724740473</c:v>
                  </c:pt>
                </c:numCache>
              </c:numRef>
            </c:plus>
            <c:minus>
              <c:numRef>
                <c:f>(Color!$B$65,Color!$J$65,Color!$R$65,Color!$Z$65)</c:f>
                <c:numCache>
                  <c:formatCode>General</c:formatCode>
                  <c:ptCount val="4"/>
                  <c:pt idx="0">
                    <c:v>0.58716380451641459</c:v>
                  </c:pt>
                  <c:pt idx="1">
                    <c:v>1.9100013961601339</c:v>
                  </c:pt>
                  <c:pt idx="2">
                    <c:v>0.66939441952289147</c:v>
                  </c:pt>
                  <c:pt idx="3">
                    <c:v>0.37405948724740473</c:v>
                  </c:pt>
                </c:numCache>
              </c:numRef>
            </c:minus>
          </c:errBars>
          <c:xVal>
            <c:numRef>
              <c:f>Color!$AI$38:$AL$38</c:f>
              <c:numCache>
                <c:formatCode>General</c:formatCode>
                <c:ptCount val="4"/>
                <c:pt idx="0">
                  <c:v>0</c:v>
                </c:pt>
                <c:pt idx="1">
                  <c:v>90</c:v>
                </c:pt>
                <c:pt idx="2">
                  <c:v>180</c:v>
                </c:pt>
                <c:pt idx="3">
                  <c:v>270</c:v>
                </c:pt>
              </c:numCache>
            </c:numRef>
          </c:xVal>
          <c:yVal>
            <c:numRef>
              <c:f>(Color!$B$57,Color!$J$57,Color!$R$57,Color!$Z$57)</c:f>
              <c:numCache>
                <c:formatCode>0.00</c:formatCode>
                <c:ptCount val="4"/>
                <c:pt idx="0">
                  <c:v>46.018666666666135</c:v>
                </c:pt>
                <c:pt idx="1">
                  <c:v>44.102666666666245</c:v>
                </c:pt>
                <c:pt idx="2">
                  <c:v>39.616666666666113</c:v>
                </c:pt>
                <c:pt idx="3">
                  <c:v>33.770500000000013</c:v>
                </c:pt>
              </c:numCache>
            </c:numRef>
          </c:yVal>
          <c:smooth val="1"/>
        </c:ser>
        <c:ser>
          <c:idx val="1"/>
          <c:order val="1"/>
          <c:tx>
            <c:v>CaCl2</c:v>
          </c:tx>
          <c:errBars>
            <c:errDir val="y"/>
            <c:errBarType val="both"/>
            <c:errValType val="cust"/>
            <c:plus>
              <c:numRef>
                <c:f>(Color!$B$66,Color!$J$66,Color!$R$66,Color!$Z$66)</c:f>
                <c:numCache>
                  <c:formatCode>General</c:formatCode>
                  <c:ptCount val="4"/>
                  <c:pt idx="0">
                    <c:v>2.0171673207744831</c:v>
                  </c:pt>
                  <c:pt idx="1">
                    <c:v>0.26732252679673402</c:v>
                  </c:pt>
                  <c:pt idx="2">
                    <c:v>1.6145604837091678</c:v>
                  </c:pt>
                  <c:pt idx="3">
                    <c:v>0.14990663761154321</c:v>
                  </c:pt>
                </c:numCache>
              </c:numRef>
            </c:plus>
            <c:minus>
              <c:numRef>
                <c:f>(Color!$B$66,Color!$J$66,Color!$R$66,Color!$Z$66)</c:f>
                <c:numCache>
                  <c:formatCode>General</c:formatCode>
                  <c:ptCount val="4"/>
                  <c:pt idx="0">
                    <c:v>2.0171673207744831</c:v>
                  </c:pt>
                  <c:pt idx="1">
                    <c:v>0.26732252679673402</c:v>
                  </c:pt>
                  <c:pt idx="2">
                    <c:v>1.6145604837091678</c:v>
                  </c:pt>
                  <c:pt idx="3">
                    <c:v>0.14990663761154321</c:v>
                  </c:pt>
                </c:numCache>
              </c:numRef>
            </c:minus>
          </c:errBars>
          <c:xVal>
            <c:numRef>
              <c:f>Color!$AI$38:$AL$38</c:f>
              <c:numCache>
                <c:formatCode>General</c:formatCode>
                <c:ptCount val="4"/>
                <c:pt idx="0">
                  <c:v>0</c:v>
                </c:pt>
                <c:pt idx="1">
                  <c:v>90</c:v>
                </c:pt>
                <c:pt idx="2">
                  <c:v>180</c:v>
                </c:pt>
                <c:pt idx="3">
                  <c:v>270</c:v>
                </c:pt>
              </c:numCache>
            </c:numRef>
          </c:xVal>
          <c:yVal>
            <c:numRef>
              <c:f>(Color!$B$58,Color!$J$58,Color!$R$58,Color!$Z$58)</c:f>
              <c:numCache>
                <c:formatCode>0.00</c:formatCode>
                <c:ptCount val="4"/>
                <c:pt idx="0">
                  <c:v>46.756</c:v>
                </c:pt>
                <c:pt idx="1">
                  <c:v>39.727333333333362</c:v>
                </c:pt>
                <c:pt idx="2">
                  <c:v>35.441666666665988</c:v>
                </c:pt>
                <c:pt idx="3">
                  <c:v>31.763999999999982</c:v>
                </c:pt>
              </c:numCache>
            </c:numRef>
          </c:yVal>
          <c:smooth val="1"/>
        </c:ser>
        <c:ser>
          <c:idx val="2"/>
          <c:order val="2"/>
          <c:tx>
            <c:v>Flavonoid</c:v>
          </c:tx>
          <c:errBars>
            <c:errDir val="y"/>
            <c:errBarType val="both"/>
            <c:errValType val="cust"/>
            <c:plus>
              <c:numRef>
                <c:f>(Color!$B$67,Color!$J$67,Color!$R$67,Color!$AA$67)</c:f>
                <c:numCache>
                  <c:formatCode>General</c:formatCode>
                  <c:ptCount val="4"/>
                  <c:pt idx="0">
                    <c:v>1.6999262729113558</c:v>
                  </c:pt>
                  <c:pt idx="1">
                    <c:v>0.16407721759383201</c:v>
                  </c:pt>
                  <c:pt idx="2">
                    <c:v>0.3747665940293099</c:v>
                  </c:pt>
                  <c:pt idx="3">
                    <c:v>4.4194173824158869E-2</c:v>
                  </c:pt>
                </c:numCache>
              </c:numRef>
            </c:plus>
            <c:minus>
              <c:numRef>
                <c:f>(Color!$B$67,Color!$J$67,Color!$R$67,Color!$AA$67)</c:f>
                <c:numCache>
                  <c:formatCode>General</c:formatCode>
                  <c:ptCount val="4"/>
                  <c:pt idx="0">
                    <c:v>1.6999262729113558</c:v>
                  </c:pt>
                  <c:pt idx="1">
                    <c:v>0.16407721759383201</c:v>
                  </c:pt>
                  <c:pt idx="2">
                    <c:v>0.3747665940293099</c:v>
                  </c:pt>
                  <c:pt idx="3">
                    <c:v>4.4194173824158869E-2</c:v>
                  </c:pt>
                </c:numCache>
              </c:numRef>
            </c:minus>
          </c:errBars>
          <c:xVal>
            <c:numRef>
              <c:f>Color!$AI$38:$AL$38</c:f>
              <c:numCache>
                <c:formatCode>General</c:formatCode>
                <c:ptCount val="4"/>
                <c:pt idx="0">
                  <c:v>0</c:v>
                </c:pt>
                <c:pt idx="1">
                  <c:v>90</c:v>
                </c:pt>
                <c:pt idx="2">
                  <c:v>180</c:v>
                </c:pt>
                <c:pt idx="3">
                  <c:v>270</c:v>
                </c:pt>
              </c:numCache>
            </c:numRef>
          </c:xVal>
          <c:yVal>
            <c:numRef>
              <c:f>(Color!$B$59,Color!$J$59,Color!$R$59,Color!$Z$59)</c:f>
              <c:numCache>
                <c:formatCode>0.00</c:formatCode>
                <c:ptCount val="4"/>
                <c:pt idx="0">
                  <c:v>46.522666666666268</c:v>
                </c:pt>
                <c:pt idx="1">
                  <c:v>44.295333333333595</c:v>
                </c:pt>
                <c:pt idx="2">
                  <c:v>43.73833333333355</c:v>
                </c:pt>
                <c:pt idx="3">
                  <c:v>41.2397500000002</c:v>
                </c:pt>
              </c:numCache>
            </c:numRef>
          </c:yVal>
          <c:smooth val="1"/>
        </c:ser>
        <c:ser>
          <c:idx val="3"/>
          <c:order val="3"/>
          <c:tx>
            <c:v>Flavonoid-CaCl2</c:v>
          </c:tx>
          <c:errBars>
            <c:errDir val="y"/>
            <c:errBarType val="both"/>
            <c:errValType val="cust"/>
            <c:plus>
              <c:numRef>
                <c:f>(Color!$B$68,Color!$J$68,Color!$R$68,Color!$Z$67:$Z$68,Color!$Z$67)</c:f>
                <c:numCache>
                  <c:formatCode>General</c:formatCode>
                  <c:ptCount val="6"/>
                  <c:pt idx="0">
                    <c:v>1.1463931844413426</c:v>
                  </c:pt>
                  <c:pt idx="1">
                    <c:v>1.288146472002907</c:v>
                  </c:pt>
                  <c:pt idx="2">
                    <c:v>0.91452477033490498</c:v>
                  </c:pt>
                  <c:pt idx="3">
                    <c:v>0.65372021920625178</c:v>
                  </c:pt>
                  <c:pt idx="4">
                    <c:v>0.65760930650351268</c:v>
                  </c:pt>
                  <c:pt idx="5">
                    <c:v>0.65372021920625178</c:v>
                  </c:pt>
                </c:numCache>
              </c:numRef>
            </c:plus>
            <c:minus>
              <c:numRef>
                <c:f>(Color!$B$68,Color!$J$68,Color!$R$68,Color!$Z$67:$Z$68,Color!$Z$67)</c:f>
                <c:numCache>
                  <c:formatCode>General</c:formatCode>
                  <c:ptCount val="6"/>
                  <c:pt idx="0">
                    <c:v>1.1463931844413426</c:v>
                  </c:pt>
                  <c:pt idx="1">
                    <c:v>1.288146472002907</c:v>
                  </c:pt>
                  <c:pt idx="2">
                    <c:v>0.91452477033490498</c:v>
                  </c:pt>
                  <c:pt idx="3">
                    <c:v>0.65372021920625178</c:v>
                  </c:pt>
                  <c:pt idx="4">
                    <c:v>0.65760930650351268</c:v>
                  </c:pt>
                  <c:pt idx="5">
                    <c:v>0.65372021920625178</c:v>
                  </c:pt>
                </c:numCache>
              </c:numRef>
            </c:minus>
          </c:errBars>
          <c:xVal>
            <c:numRef>
              <c:f>Color!$AI$38:$AL$38</c:f>
              <c:numCache>
                <c:formatCode>General</c:formatCode>
                <c:ptCount val="4"/>
                <c:pt idx="0">
                  <c:v>0</c:v>
                </c:pt>
                <c:pt idx="1">
                  <c:v>90</c:v>
                </c:pt>
                <c:pt idx="2">
                  <c:v>180</c:v>
                </c:pt>
                <c:pt idx="3">
                  <c:v>270</c:v>
                </c:pt>
              </c:numCache>
            </c:numRef>
          </c:xVal>
          <c:yVal>
            <c:numRef>
              <c:f>(Color!$B$60,Color!$J$60,Color!$R$60,Color!$Z$60)</c:f>
              <c:numCache>
                <c:formatCode>0.00</c:formatCode>
                <c:ptCount val="4"/>
                <c:pt idx="0">
                  <c:v>45.222666666666392</c:v>
                </c:pt>
                <c:pt idx="1">
                  <c:v>41.561333333333351</c:v>
                </c:pt>
                <c:pt idx="2">
                  <c:v>36.536666666666157</c:v>
                </c:pt>
                <c:pt idx="3">
                  <c:v>28.491</c:v>
                </c:pt>
              </c:numCache>
            </c:numRef>
          </c:yVal>
          <c:smooth val="1"/>
        </c:ser>
        <c:axId val="122012416"/>
        <c:axId val="122014336"/>
      </c:scatterChart>
      <c:valAx>
        <c:axId val="122012416"/>
        <c:scaling>
          <c:orientation val="minMax"/>
        </c:scaling>
        <c:axPos val="b"/>
        <c:title>
          <c:tx>
            <c:rich>
              <a:bodyPr/>
              <a:lstStyle/>
              <a:p>
                <a:pPr>
                  <a:defRPr sz="1000"/>
                </a:pPr>
                <a:r>
                  <a:rPr lang="en-US" sz="1000"/>
                  <a:t>Storage</a:t>
                </a:r>
                <a:r>
                  <a:rPr lang="en-US" sz="1000" baseline="0"/>
                  <a:t> (days)</a:t>
                </a:r>
                <a:endParaRPr lang="en-US" sz="1000"/>
              </a:p>
            </c:rich>
          </c:tx>
          <c:layout>
            <c:manualLayout>
              <c:xMode val="edge"/>
              <c:yMode val="edge"/>
              <c:x val="0.33995526967580197"/>
              <c:y val="0.81799000931335464"/>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2014336"/>
        <c:crosses val="autoZero"/>
        <c:crossBetween val="midCat"/>
        <c:majorUnit val="50"/>
      </c:valAx>
      <c:valAx>
        <c:axId val="122014336"/>
        <c:scaling>
          <c:orientation val="minMax"/>
          <c:max val="52"/>
          <c:min val="28"/>
        </c:scaling>
        <c:axPos val="l"/>
        <c:title>
          <c:tx>
            <c:rich>
              <a:bodyPr/>
              <a:lstStyle/>
              <a:p>
                <a:pPr>
                  <a:defRPr sz="1000"/>
                </a:pPr>
                <a:r>
                  <a:rPr lang="en-US" sz="1000"/>
                  <a:t>L*</a:t>
                </a:r>
              </a:p>
            </c:rich>
          </c:tx>
        </c:title>
        <c:numFmt formatCode="0.0" sourceLinked="0"/>
        <c:majorTickMark val="none"/>
        <c:tickLblPos val="nextTo"/>
        <c:txPr>
          <a:bodyPr/>
          <a:lstStyle/>
          <a:p>
            <a:pPr>
              <a:defRPr sz="800"/>
            </a:pPr>
            <a:endParaRPr lang="en-US"/>
          </a:p>
        </c:txPr>
        <c:crossAx val="122012416"/>
        <c:crosses val="autoZero"/>
        <c:crossBetween val="midCat"/>
        <c:majorUnit val="4"/>
      </c:valAx>
      <c:spPr>
        <a:ln>
          <a:noFill/>
        </a:ln>
      </c:spPr>
    </c:plotArea>
    <c:legend>
      <c:legendPos val="b"/>
      <c:layout>
        <c:manualLayout>
          <c:xMode val="edge"/>
          <c:yMode val="edge"/>
          <c:x val="7.4274518502088702E-2"/>
          <c:y val="0.89926920425269397"/>
          <c:w val="0.90992717459613404"/>
          <c:h val="7.8582919070600013E-2"/>
        </c:manualLayout>
      </c:layout>
      <c:txPr>
        <a:bodyPr/>
        <a:lstStyle/>
        <a:p>
          <a:pPr>
            <a:defRPr sz="600"/>
          </a:pPr>
          <a:endParaRPr lang="en-US"/>
        </a:p>
      </c:txPr>
    </c:legend>
    <c:plotVisOnly val="1"/>
    <c:dispBlanksAs val="gap"/>
  </c:chart>
  <c:spPr>
    <a:ln>
      <a:noFill/>
    </a:ln>
  </c:spPr>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5287552703804555"/>
          <c:y val="6.5718499140220488E-2"/>
          <c:w val="0.76778691255146703"/>
          <c:h val="0.6696081660572818"/>
        </c:manualLayout>
      </c:layout>
      <c:scatterChart>
        <c:scatterStyle val="smoothMarker"/>
        <c:ser>
          <c:idx val="0"/>
          <c:order val="0"/>
          <c:tx>
            <c:v>Control</c:v>
          </c:tx>
          <c:errBars>
            <c:errDir val="x"/>
            <c:errBarType val="both"/>
            <c:errValType val="fixedVal"/>
            <c:val val="1"/>
          </c:errBars>
          <c:errBars>
            <c:errDir val="y"/>
            <c:errBarType val="both"/>
            <c:errValType val="cust"/>
            <c:plus>
              <c:numRef>
                <c:f>(Color!$B$100,Color!$J$100,Color!$R$100,Color!$Z$100)</c:f>
                <c:numCache>
                  <c:formatCode>General</c:formatCode>
                  <c:ptCount val="4"/>
                  <c:pt idx="0">
                    <c:v>1.6304563778278081</c:v>
                  </c:pt>
                  <c:pt idx="1">
                    <c:v>1.4057282809989797</c:v>
                  </c:pt>
                  <c:pt idx="2">
                    <c:v>1.8856180831639223E-2</c:v>
                  </c:pt>
                  <c:pt idx="3">
                    <c:v>0.57117163535804005</c:v>
                  </c:pt>
                </c:numCache>
              </c:numRef>
            </c:plus>
            <c:minus>
              <c:numRef>
                <c:f>(Color!$B$100,Color!$J$100,Color!$R$100,Color!$Z$100)</c:f>
                <c:numCache>
                  <c:formatCode>General</c:formatCode>
                  <c:ptCount val="4"/>
                  <c:pt idx="0">
                    <c:v>1.6304563778278081</c:v>
                  </c:pt>
                  <c:pt idx="1">
                    <c:v>1.4057282809989797</c:v>
                  </c:pt>
                  <c:pt idx="2">
                    <c:v>1.8856180831639223E-2</c:v>
                  </c:pt>
                  <c:pt idx="3">
                    <c:v>0.57117163535804005</c:v>
                  </c:pt>
                </c:numCache>
              </c:numRef>
            </c:minus>
          </c:errBars>
          <c:xVal>
            <c:numRef>
              <c:f>Color!$AH$69:$AK$69</c:f>
              <c:numCache>
                <c:formatCode>General</c:formatCode>
                <c:ptCount val="4"/>
                <c:pt idx="0">
                  <c:v>0</c:v>
                </c:pt>
                <c:pt idx="1">
                  <c:v>88</c:v>
                </c:pt>
                <c:pt idx="2">
                  <c:v>193</c:v>
                </c:pt>
                <c:pt idx="3">
                  <c:v>245</c:v>
                </c:pt>
              </c:numCache>
            </c:numRef>
          </c:xVal>
          <c:yVal>
            <c:numRef>
              <c:f>(Color!$B$92,Color!$J$92,Color!$R$92,Color!$Z$92)</c:f>
              <c:numCache>
                <c:formatCode>0.00</c:formatCode>
                <c:ptCount val="4"/>
                <c:pt idx="0">
                  <c:v>43.778000000000013</c:v>
                </c:pt>
                <c:pt idx="1">
                  <c:v>41.222000000000222</c:v>
                </c:pt>
                <c:pt idx="2">
                  <c:v>39.843333333333327</c:v>
                </c:pt>
                <c:pt idx="3">
                  <c:v>38.495555555555562</c:v>
                </c:pt>
              </c:numCache>
            </c:numRef>
          </c:yVal>
          <c:smooth val="1"/>
        </c:ser>
        <c:ser>
          <c:idx val="1"/>
          <c:order val="1"/>
          <c:tx>
            <c:v>CaCl2</c:v>
          </c:tx>
          <c:errBars>
            <c:errDir val="x"/>
            <c:errBarType val="both"/>
            <c:errValType val="fixedVal"/>
            <c:val val="1"/>
          </c:errBars>
          <c:errBars>
            <c:errDir val="y"/>
            <c:errBarType val="both"/>
            <c:errValType val="cust"/>
            <c:plus>
              <c:numRef>
                <c:f>(Color!$B$101,Color!$J$101,Color!$R$101,Color!$Z$101)</c:f>
                <c:numCache>
                  <c:formatCode>General</c:formatCode>
                  <c:ptCount val="4"/>
                  <c:pt idx="0">
                    <c:v>1.4222831410565802</c:v>
                  </c:pt>
                  <c:pt idx="1">
                    <c:v>1.7522106037804619</c:v>
                  </c:pt>
                  <c:pt idx="2">
                    <c:v>0.2498443960193388</c:v>
                  </c:pt>
                  <c:pt idx="3">
                    <c:v>0.187152146463583</c:v>
                  </c:pt>
                </c:numCache>
              </c:numRef>
            </c:plus>
            <c:minus>
              <c:numRef>
                <c:f>(Color!$B$101,Color!$J$101,Color!$R$101,Color!$Z$101)</c:f>
                <c:numCache>
                  <c:formatCode>General</c:formatCode>
                  <c:ptCount val="4"/>
                  <c:pt idx="0">
                    <c:v>1.4222831410565802</c:v>
                  </c:pt>
                  <c:pt idx="1">
                    <c:v>1.7522106037804619</c:v>
                  </c:pt>
                  <c:pt idx="2">
                    <c:v>0.2498443960193388</c:v>
                  </c:pt>
                  <c:pt idx="3">
                    <c:v>0.187152146463583</c:v>
                  </c:pt>
                </c:numCache>
              </c:numRef>
            </c:minus>
          </c:errBars>
          <c:xVal>
            <c:numRef>
              <c:f>Color!$AH$69:$AK$69</c:f>
              <c:numCache>
                <c:formatCode>General</c:formatCode>
                <c:ptCount val="4"/>
                <c:pt idx="0">
                  <c:v>0</c:v>
                </c:pt>
                <c:pt idx="1">
                  <c:v>88</c:v>
                </c:pt>
                <c:pt idx="2">
                  <c:v>193</c:v>
                </c:pt>
                <c:pt idx="3">
                  <c:v>245</c:v>
                </c:pt>
              </c:numCache>
            </c:numRef>
          </c:xVal>
          <c:yVal>
            <c:numRef>
              <c:f>(Color!$B$93,Color!$J$93,Color!$R$93,Color!$Z$93)</c:f>
              <c:numCache>
                <c:formatCode>0.00</c:formatCode>
                <c:ptCount val="4"/>
                <c:pt idx="0">
                  <c:v>43.636666666666208</c:v>
                </c:pt>
                <c:pt idx="1">
                  <c:v>38.865000000000002</c:v>
                </c:pt>
                <c:pt idx="2">
                  <c:v>37.46</c:v>
                </c:pt>
                <c:pt idx="3">
                  <c:v>35.662222222222233</c:v>
                </c:pt>
              </c:numCache>
            </c:numRef>
          </c:yVal>
          <c:smooth val="1"/>
        </c:ser>
        <c:ser>
          <c:idx val="2"/>
          <c:order val="2"/>
          <c:tx>
            <c:v>Flavonoid</c:v>
          </c:tx>
          <c:errBars>
            <c:errDir val="x"/>
            <c:errBarType val="both"/>
            <c:errValType val="fixedVal"/>
            <c:val val="1"/>
          </c:errBars>
          <c:errBars>
            <c:errDir val="y"/>
            <c:errBarType val="both"/>
            <c:errValType val="cust"/>
            <c:plus>
              <c:numRef>
                <c:f>(Color!$B$102,Color!$J$102,Color!$R$102,Color!$Z$102)</c:f>
                <c:numCache>
                  <c:formatCode>General</c:formatCode>
                  <c:ptCount val="4"/>
                  <c:pt idx="0">
                    <c:v>0.34819045448230579</c:v>
                  </c:pt>
                  <c:pt idx="1">
                    <c:v>4.5254833995934093E-2</c:v>
                  </c:pt>
                  <c:pt idx="2">
                    <c:v>0.95223713199796423</c:v>
                  </c:pt>
                  <c:pt idx="3">
                    <c:v>0.88742031462807602</c:v>
                  </c:pt>
                </c:numCache>
              </c:numRef>
            </c:plus>
            <c:minus>
              <c:numRef>
                <c:f>(Color!$B$102,Color!$J$102,Color!$R$102,Color!$Z$102)</c:f>
                <c:numCache>
                  <c:formatCode>General</c:formatCode>
                  <c:ptCount val="4"/>
                  <c:pt idx="0">
                    <c:v>0.34819045448230579</c:v>
                  </c:pt>
                  <c:pt idx="1">
                    <c:v>4.5254833995934093E-2</c:v>
                  </c:pt>
                  <c:pt idx="2">
                    <c:v>0.95223713199796423</c:v>
                  </c:pt>
                  <c:pt idx="3">
                    <c:v>0.88742031462807602</c:v>
                  </c:pt>
                </c:numCache>
              </c:numRef>
            </c:minus>
          </c:errBars>
          <c:xVal>
            <c:numRef>
              <c:f>Color!$AH$69:$AK$69</c:f>
              <c:numCache>
                <c:formatCode>General</c:formatCode>
                <c:ptCount val="4"/>
                <c:pt idx="0">
                  <c:v>0</c:v>
                </c:pt>
                <c:pt idx="1">
                  <c:v>88</c:v>
                </c:pt>
                <c:pt idx="2">
                  <c:v>193</c:v>
                </c:pt>
                <c:pt idx="3">
                  <c:v>245</c:v>
                </c:pt>
              </c:numCache>
            </c:numRef>
          </c:xVal>
          <c:yVal>
            <c:numRef>
              <c:f>(Color!$B$94,Color!$J$94,Color!$R$94,Color!$Z$94)</c:f>
              <c:numCache>
                <c:formatCode>0.00</c:formatCode>
                <c:ptCount val="4"/>
                <c:pt idx="0">
                  <c:v>43.595555555555563</c:v>
                </c:pt>
                <c:pt idx="1">
                  <c:v>42.626000000000012</c:v>
                </c:pt>
                <c:pt idx="2">
                  <c:v>41.43333333333333</c:v>
                </c:pt>
                <c:pt idx="3">
                  <c:v>39.787777777777777</c:v>
                </c:pt>
              </c:numCache>
            </c:numRef>
          </c:yVal>
          <c:smooth val="1"/>
        </c:ser>
        <c:ser>
          <c:idx val="3"/>
          <c:order val="3"/>
          <c:tx>
            <c:v>Flavonoid-CaCl2</c:v>
          </c:tx>
          <c:errBars>
            <c:errDir val="x"/>
            <c:errBarType val="both"/>
            <c:errValType val="fixedVal"/>
            <c:val val="1"/>
          </c:errBars>
          <c:errBars>
            <c:errDir val="y"/>
            <c:errBarType val="both"/>
            <c:errValType val="cust"/>
            <c:plus>
              <c:numRef>
                <c:f>(Color!$B$103,Color!$J$103,Color!$R$103,Color!$Z$103)</c:f>
                <c:numCache>
                  <c:formatCode>General</c:formatCode>
                  <c:ptCount val="4"/>
                  <c:pt idx="0">
                    <c:v>0.15273942953060063</c:v>
                  </c:pt>
                  <c:pt idx="1">
                    <c:v>0.21213203435613648</c:v>
                  </c:pt>
                  <c:pt idx="2">
                    <c:v>0.82024386617684464</c:v>
                  </c:pt>
                  <c:pt idx="3">
                    <c:v>1.1831470901948771</c:v>
                  </c:pt>
                </c:numCache>
              </c:numRef>
            </c:plus>
            <c:minus>
              <c:numRef>
                <c:f>(Color!$B$103,Color!$J$103,Color!$R$103,Color!$Z$103)</c:f>
                <c:numCache>
                  <c:formatCode>General</c:formatCode>
                  <c:ptCount val="4"/>
                  <c:pt idx="0">
                    <c:v>0.15273942953060063</c:v>
                  </c:pt>
                  <c:pt idx="1">
                    <c:v>0.21213203435613648</c:v>
                  </c:pt>
                  <c:pt idx="2">
                    <c:v>0.82024386617684464</c:v>
                  </c:pt>
                  <c:pt idx="3">
                    <c:v>1.1831470901948771</c:v>
                  </c:pt>
                </c:numCache>
              </c:numRef>
            </c:minus>
          </c:errBars>
          <c:xVal>
            <c:numRef>
              <c:f>Color!$AH$69:$AK$69</c:f>
              <c:numCache>
                <c:formatCode>General</c:formatCode>
                <c:ptCount val="4"/>
                <c:pt idx="0">
                  <c:v>0</c:v>
                </c:pt>
                <c:pt idx="1">
                  <c:v>88</c:v>
                </c:pt>
                <c:pt idx="2">
                  <c:v>193</c:v>
                </c:pt>
                <c:pt idx="3">
                  <c:v>245</c:v>
                </c:pt>
              </c:numCache>
            </c:numRef>
          </c:xVal>
          <c:yVal>
            <c:numRef>
              <c:f>(Color!$B$95,Color!$J$95,Color!$R$95,Color!$Z$95)</c:f>
              <c:numCache>
                <c:formatCode>0.00</c:formatCode>
                <c:ptCount val="4"/>
                <c:pt idx="0">
                  <c:v>42.536666666666157</c:v>
                </c:pt>
                <c:pt idx="1">
                  <c:v>40.85</c:v>
                </c:pt>
                <c:pt idx="2">
                  <c:v>38.646666666666142</c:v>
                </c:pt>
                <c:pt idx="3">
                  <c:v>34.205555555555563</c:v>
                </c:pt>
              </c:numCache>
            </c:numRef>
          </c:yVal>
          <c:smooth val="1"/>
        </c:ser>
        <c:axId val="125808640"/>
        <c:axId val="125810560"/>
      </c:scatterChart>
      <c:valAx>
        <c:axId val="125808640"/>
        <c:scaling>
          <c:orientation val="minMax"/>
          <c:min val="0"/>
        </c:scaling>
        <c:axPos val="b"/>
        <c:title>
          <c:tx>
            <c:rich>
              <a:bodyPr/>
              <a:lstStyle/>
              <a:p>
                <a:pPr>
                  <a:defRPr sz="1000"/>
                </a:pPr>
                <a:r>
                  <a:rPr lang="en-US" sz="1000"/>
                  <a:t>Storage</a:t>
                </a:r>
                <a:r>
                  <a:rPr lang="en-US" sz="1000" baseline="0"/>
                  <a:t> (days)</a:t>
                </a:r>
                <a:endParaRPr lang="en-US" sz="1000"/>
              </a:p>
            </c:rich>
          </c:tx>
          <c:layout>
            <c:manualLayout>
              <c:xMode val="edge"/>
              <c:yMode val="edge"/>
              <c:x val="0.33995526967580197"/>
              <c:y val="0.81798986754562863"/>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5810560"/>
        <c:crosses val="autoZero"/>
        <c:crossBetween val="midCat"/>
        <c:majorUnit val="50"/>
      </c:valAx>
      <c:valAx>
        <c:axId val="125810560"/>
        <c:scaling>
          <c:orientation val="minMax"/>
          <c:max val="52"/>
          <c:min val="28"/>
        </c:scaling>
        <c:axPos val="l"/>
        <c:title>
          <c:tx>
            <c:rich>
              <a:bodyPr/>
              <a:lstStyle/>
              <a:p>
                <a:pPr>
                  <a:defRPr sz="800"/>
                </a:pPr>
                <a:r>
                  <a:rPr lang="en-US" sz="800"/>
                  <a:t>L*</a:t>
                </a:r>
              </a:p>
            </c:rich>
          </c:tx>
        </c:title>
        <c:numFmt formatCode="0.0" sourceLinked="0"/>
        <c:majorTickMark val="none"/>
        <c:tickLblPos val="nextTo"/>
        <c:txPr>
          <a:bodyPr/>
          <a:lstStyle/>
          <a:p>
            <a:pPr>
              <a:defRPr sz="800"/>
            </a:pPr>
            <a:endParaRPr lang="en-US"/>
          </a:p>
        </c:txPr>
        <c:crossAx val="125808640"/>
        <c:crosses val="autoZero"/>
        <c:crossBetween val="midCat"/>
        <c:majorUnit val="4"/>
      </c:valAx>
      <c:spPr>
        <a:ln>
          <a:noFill/>
        </a:ln>
      </c:spPr>
    </c:plotArea>
    <c:legend>
      <c:legendPos val="b"/>
      <c:layout>
        <c:manualLayout>
          <c:xMode val="edge"/>
          <c:yMode val="edge"/>
          <c:x val="7.4274518502088702E-2"/>
          <c:y val="0.89926924250747964"/>
          <c:w val="0.86767365346938607"/>
          <c:h val="7.8582921320882113E-2"/>
        </c:manualLayout>
      </c:layout>
      <c:txPr>
        <a:bodyPr/>
        <a:lstStyle/>
        <a:p>
          <a:pPr>
            <a:defRPr sz="600"/>
          </a:pPr>
          <a:endParaRPr lang="en-US"/>
        </a:p>
      </c:txPr>
    </c:legend>
    <c:plotVisOnly val="1"/>
    <c:dispBlanksAs val="gap"/>
  </c:chart>
  <c:spPr>
    <a:ln>
      <a:noFill/>
    </a:ln>
  </c:spPr>
  <c:externalData r:id="rId1"/>
</c:chartSpace>
</file>

<file path=word/charts/chart47.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7983247943767439"/>
          <c:y val="8.8816454783528023E-2"/>
          <c:w val="0.72500400643753404"/>
          <c:h val="0.62982833235447044"/>
        </c:manualLayout>
      </c:layout>
      <c:scatterChart>
        <c:scatterStyle val="smoothMarker"/>
        <c:ser>
          <c:idx val="0"/>
          <c:order val="0"/>
          <c:tx>
            <c:v>Control</c:v>
          </c:tx>
          <c:errBars>
            <c:errDir val="y"/>
            <c:errBarType val="both"/>
            <c:errValType val="cust"/>
            <c:plus>
              <c:numRef>
                <c:f>(Color!$E$31,Color!$M$31,Color!$U$32,Color!$U$32,Color!$U$31,Color!$AC$31)</c:f>
                <c:numCache>
                  <c:formatCode>General</c:formatCode>
                  <c:ptCount val="6"/>
                  <c:pt idx="0">
                    <c:v>0.68821605134821751</c:v>
                  </c:pt>
                  <c:pt idx="1">
                    <c:v>0.2514782959488468</c:v>
                  </c:pt>
                  <c:pt idx="2">
                    <c:v>0.59114126907195019</c:v>
                  </c:pt>
                  <c:pt idx="3">
                    <c:v>0.59114126907195019</c:v>
                  </c:pt>
                  <c:pt idx="4">
                    <c:v>0.91310678455479699</c:v>
                  </c:pt>
                  <c:pt idx="5">
                    <c:v>0.80013082263673663</c:v>
                  </c:pt>
                </c:numCache>
              </c:numRef>
            </c:plus>
            <c:minus>
              <c:numRef>
                <c:f>(Color!$E$31,Color!$M$31,Color!$U$32,Color!$U$32,Color!$U$31,Color!$AC$31)</c:f>
                <c:numCache>
                  <c:formatCode>General</c:formatCode>
                  <c:ptCount val="6"/>
                  <c:pt idx="0">
                    <c:v>0.68821605134821751</c:v>
                  </c:pt>
                  <c:pt idx="1">
                    <c:v>0.2514782959488468</c:v>
                  </c:pt>
                  <c:pt idx="2">
                    <c:v>0.59114126907195019</c:v>
                  </c:pt>
                  <c:pt idx="3">
                    <c:v>0.59114126907195019</c:v>
                  </c:pt>
                  <c:pt idx="4">
                    <c:v>0.91310678455479699</c:v>
                  </c:pt>
                  <c:pt idx="5">
                    <c:v>0.80013082263673663</c:v>
                  </c:pt>
                </c:numCache>
              </c:numRef>
            </c:minus>
          </c:errBars>
          <c:xVal>
            <c:numRef>
              <c:f>Color!$AI$38:$AL$38</c:f>
              <c:numCache>
                <c:formatCode>General</c:formatCode>
                <c:ptCount val="4"/>
                <c:pt idx="0">
                  <c:v>0</c:v>
                </c:pt>
                <c:pt idx="1">
                  <c:v>14</c:v>
                </c:pt>
                <c:pt idx="2">
                  <c:v>28</c:v>
                </c:pt>
                <c:pt idx="3">
                  <c:v>42</c:v>
                </c:pt>
              </c:numCache>
            </c:numRef>
          </c:xVal>
          <c:yVal>
            <c:numRef>
              <c:f>(Color!$E$22,Color!$M$22,Color!$U$22,Color!$AC$22)</c:f>
              <c:numCache>
                <c:formatCode>0.00</c:formatCode>
                <c:ptCount val="4"/>
                <c:pt idx="0">
                  <c:v>-1.009333333333333</c:v>
                </c:pt>
                <c:pt idx="1">
                  <c:v>-0.78400000000000003</c:v>
                </c:pt>
                <c:pt idx="2">
                  <c:v>0.26</c:v>
                </c:pt>
                <c:pt idx="3">
                  <c:v>1.5966666666666671</c:v>
                </c:pt>
              </c:numCache>
            </c:numRef>
          </c:yVal>
          <c:smooth val="1"/>
        </c:ser>
        <c:ser>
          <c:idx val="1"/>
          <c:order val="1"/>
          <c:tx>
            <c:v>CaCl2</c:v>
          </c:tx>
          <c:errBars>
            <c:errDir val="y"/>
            <c:errBarType val="both"/>
            <c:errValType val="cust"/>
            <c:plus>
              <c:numRef>
                <c:f>(Color!$B$32,Color!$J$32,Color!$R$32,Color!$Z$32)</c:f>
                <c:numCache>
                  <c:formatCode>General</c:formatCode>
                  <c:ptCount val="4"/>
                  <c:pt idx="0">
                    <c:v>2.3323164450819922</c:v>
                  </c:pt>
                  <c:pt idx="1">
                    <c:v>0.77951095780237001</c:v>
                  </c:pt>
                  <c:pt idx="2">
                    <c:v>1.436840979371196</c:v>
                  </c:pt>
                  <c:pt idx="3">
                    <c:v>0.52946765718012101</c:v>
                  </c:pt>
                </c:numCache>
              </c:numRef>
            </c:plus>
            <c:minus>
              <c:numRef>
                <c:f>(Color!$B$32,Color!$J$32,Color!$R$32,Color!$Z$32)</c:f>
                <c:numCache>
                  <c:formatCode>General</c:formatCode>
                  <c:ptCount val="4"/>
                  <c:pt idx="0">
                    <c:v>2.3323164450819922</c:v>
                  </c:pt>
                  <c:pt idx="1">
                    <c:v>0.77951095780237001</c:v>
                  </c:pt>
                  <c:pt idx="2">
                    <c:v>1.436840979371196</c:v>
                  </c:pt>
                  <c:pt idx="3">
                    <c:v>0.52946765718012101</c:v>
                  </c:pt>
                </c:numCache>
              </c:numRef>
            </c:minus>
          </c:errBars>
          <c:xVal>
            <c:numRef>
              <c:f>Color!$AI$38:$AL$38</c:f>
              <c:numCache>
                <c:formatCode>General</c:formatCode>
                <c:ptCount val="4"/>
                <c:pt idx="0">
                  <c:v>0</c:v>
                </c:pt>
                <c:pt idx="1">
                  <c:v>14</c:v>
                </c:pt>
                <c:pt idx="2">
                  <c:v>28</c:v>
                </c:pt>
                <c:pt idx="3">
                  <c:v>42</c:v>
                </c:pt>
              </c:numCache>
            </c:numRef>
          </c:xVal>
          <c:yVal>
            <c:numRef>
              <c:f>(Color!$E$23,Color!$M$23,Color!$U$23,Color!$AC$23)</c:f>
              <c:numCache>
                <c:formatCode>0.00</c:formatCode>
                <c:ptCount val="4"/>
                <c:pt idx="0">
                  <c:v>-1.051333333333333</c:v>
                </c:pt>
                <c:pt idx="1">
                  <c:v>0.39666666666666955</c:v>
                </c:pt>
                <c:pt idx="2">
                  <c:v>2.1359999999999997</c:v>
                </c:pt>
                <c:pt idx="3">
                  <c:v>4.4013333333333806</c:v>
                </c:pt>
              </c:numCache>
            </c:numRef>
          </c:yVal>
          <c:smooth val="1"/>
        </c:ser>
        <c:ser>
          <c:idx val="2"/>
          <c:order val="2"/>
          <c:tx>
            <c:v>Flavonoid</c:v>
          </c:tx>
          <c:errBars>
            <c:errDir val="y"/>
            <c:errBarType val="both"/>
            <c:errValType val="cust"/>
            <c:plus>
              <c:numRef>
                <c:f>(Color!$E$32,Color!$M$32,Color!$U$32,Color!$AC$32)</c:f>
                <c:numCache>
                  <c:formatCode>General</c:formatCode>
                  <c:ptCount val="4"/>
                  <c:pt idx="0">
                    <c:v>0.91156202933938257</c:v>
                  </c:pt>
                  <c:pt idx="1">
                    <c:v>8.2953802404309926E-2</c:v>
                  </c:pt>
                  <c:pt idx="2">
                    <c:v>0.59114126907195019</c:v>
                  </c:pt>
                  <c:pt idx="3">
                    <c:v>0.74692525284217193</c:v>
                  </c:pt>
                </c:numCache>
              </c:numRef>
            </c:plus>
            <c:minus>
              <c:numRef>
                <c:f>(Color!$E$32,Color!$M$32,Color!$U$32,Color!$AC$32)</c:f>
                <c:numCache>
                  <c:formatCode>General</c:formatCode>
                  <c:ptCount val="4"/>
                  <c:pt idx="0">
                    <c:v>0.91156202933938257</c:v>
                  </c:pt>
                  <c:pt idx="1">
                    <c:v>8.2953802404309926E-2</c:v>
                  </c:pt>
                  <c:pt idx="2">
                    <c:v>0.59114126907195019</c:v>
                  </c:pt>
                  <c:pt idx="3">
                    <c:v>0.74692525284217193</c:v>
                  </c:pt>
                </c:numCache>
              </c:numRef>
            </c:minus>
          </c:errBars>
          <c:xVal>
            <c:numRef>
              <c:f>Color!$AI$38:$AL$38</c:f>
              <c:numCache>
                <c:formatCode>General</c:formatCode>
                <c:ptCount val="4"/>
                <c:pt idx="0">
                  <c:v>0</c:v>
                </c:pt>
                <c:pt idx="1">
                  <c:v>14</c:v>
                </c:pt>
                <c:pt idx="2">
                  <c:v>28</c:v>
                </c:pt>
                <c:pt idx="3">
                  <c:v>42</c:v>
                </c:pt>
              </c:numCache>
            </c:numRef>
          </c:xVal>
          <c:yVal>
            <c:numRef>
              <c:f>(Color!$E$24,Color!$M$24,Color!$U$24,Color!$AC$24)</c:f>
              <c:numCache>
                <c:formatCode>0.00</c:formatCode>
                <c:ptCount val="4"/>
                <c:pt idx="0">
                  <c:v>1.5666666666666671</c:v>
                </c:pt>
                <c:pt idx="1">
                  <c:v>-0.91266666666666596</c:v>
                </c:pt>
                <c:pt idx="2">
                  <c:v>1.0660000000000001</c:v>
                </c:pt>
                <c:pt idx="3">
                  <c:v>2.2173333333333352</c:v>
                </c:pt>
              </c:numCache>
            </c:numRef>
          </c:yVal>
          <c:smooth val="1"/>
        </c:ser>
        <c:ser>
          <c:idx val="3"/>
          <c:order val="3"/>
          <c:tx>
            <c:v>Flavonoid+CaCl2</c:v>
          </c:tx>
          <c:errBars>
            <c:errDir val="y"/>
            <c:errBarType val="both"/>
            <c:errValType val="cust"/>
            <c:plus>
              <c:numRef>
                <c:f>(Color!$E$33,Color!$M$33,Color!$U$33,Color!$AC$33)</c:f>
                <c:numCache>
                  <c:formatCode>General</c:formatCode>
                  <c:ptCount val="4"/>
                  <c:pt idx="0">
                    <c:v>1.2695847090026458</c:v>
                  </c:pt>
                  <c:pt idx="1">
                    <c:v>0.25000266665244714</c:v>
                  </c:pt>
                  <c:pt idx="2">
                    <c:v>0.49026931374500732</c:v>
                  </c:pt>
                  <c:pt idx="3">
                    <c:v>0.25646637206464573</c:v>
                  </c:pt>
                </c:numCache>
              </c:numRef>
            </c:plus>
            <c:minus>
              <c:numRef>
                <c:f>(Color!$E$33,Color!$M$33,Color!$U$33,Color!$AC$33)</c:f>
                <c:numCache>
                  <c:formatCode>General</c:formatCode>
                  <c:ptCount val="4"/>
                  <c:pt idx="0">
                    <c:v>1.2695847090026458</c:v>
                  </c:pt>
                  <c:pt idx="1">
                    <c:v>0.25000266665244714</c:v>
                  </c:pt>
                  <c:pt idx="2">
                    <c:v>0.49026931374500732</c:v>
                  </c:pt>
                  <c:pt idx="3">
                    <c:v>0.25646637206464573</c:v>
                  </c:pt>
                </c:numCache>
              </c:numRef>
            </c:minus>
          </c:errBars>
          <c:xVal>
            <c:numRef>
              <c:f>Color!$AI$38:$AL$38</c:f>
              <c:numCache>
                <c:formatCode>General</c:formatCode>
                <c:ptCount val="4"/>
                <c:pt idx="0">
                  <c:v>0</c:v>
                </c:pt>
                <c:pt idx="1">
                  <c:v>14</c:v>
                </c:pt>
                <c:pt idx="2">
                  <c:v>28</c:v>
                </c:pt>
                <c:pt idx="3">
                  <c:v>42</c:v>
                </c:pt>
              </c:numCache>
            </c:numRef>
          </c:xVal>
          <c:yVal>
            <c:numRef>
              <c:f>(Color!$E$25,Color!$M$25,Color!$U$25,Color!$AC$25)</c:f>
              <c:numCache>
                <c:formatCode>0.00</c:formatCode>
                <c:ptCount val="4"/>
                <c:pt idx="0">
                  <c:v>-0.73933333333333562</c:v>
                </c:pt>
                <c:pt idx="1">
                  <c:v>-0.911333333333333</c:v>
                </c:pt>
                <c:pt idx="2">
                  <c:v>0.85400000000000165</c:v>
                </c:pt>
                <c:pt idx="3">
                  <c:v>1.8800000000000001</c:v>
                </c:pt>
              </c:numCache>
            </c:numRef>
          </c:yVal>
          <c:smooth val="1"/>
        </c:ser>
        <c:axId val="126715392"/>
        <c:axId val="126717312"/>
      </c:scatterChart>
      <c:valAx>
        <c:axId val="126715392"/>
        <c:scaling>
          <c:orientation val="minMax"/>
          <c:max val="48"/>
          <c:min val="0"/>
        </c:scaling>
        <c:axPos val="b"/>
        <c:title>
          <c:tx>
            <c:rich>
              <a:bodyPr/>
              <a:lstStyle/>
              <a:p>
                <a:pPr>
                  <a:defRPr/>
                </a:pPr>
                <a:r>
                  <a:rPr lang="es-ES"/>
                  <a:t>Storage</a:t>
                </a:r>
                <a:r>
                  <a:rPr lang="es-ES" baseline="0"/>
                  <a:t> (days)</a:t>
                </a:r>
                <a:endParaRPr lang="es-ES"/>
              </a:p>
            </c:rich>
          </c:tx>
          <c:layout>
            <c:manualLayout>
              <c:xMode val="edge"/>
              <c:yMode val="edge"/>
              <c:x val="0.3704469287560489"/>
              <c:y val="0.81239088311262797"/>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6717312"/>
        <c:crosses val="autoZero"/>
        <c:crossBetween val="midCat"/>
        <c:majorUnit val="6"/>
      </c:valAx>
      <c:valAx>
        <c:axId val="126717312"/>
        <c:scaling>
          <c:orientation val="minMax"/>
          <c:max val="8"/>
          <c:min val="-2"/>
        </c:scaling>
        <c:axPos val="l"/>
        <c:title>
          <c:tx>
            <c:rich>
              <a:bodyPr/>
              <a:lstStyle/>
              <a:p>
                <a:pPr>
                  <a:defRPr/>
                </a:pPr>
                <a:r>
                  <a:rPr lang="es-ES"/>
                  <a:t>a*</a:t>
                </a:r>
              </a:p>
            </c:rich>
          </c:tx>
        </c:title>
        <c:numFmt formatCode="0.0" sourceLinked="0"/>
        <c:majorTickMark val="none"/>
        <c:tickLblPos val="nextTo"/>
        <c:txPr>
          <a:bodyPr/>
          <a:lstStyle/>
          <a:p>
            <a:pPr>
              <a:defRPr sz="800"/>
            </a:pPr>
            <a:endParaRPr lang="en-US"/>
          </a:p>
        </c:txPr>
        <c:crossAx val="126715392"/>
        <c:crosses val="autoZero"/>
        <c:crossBetween val="midCat"/>
        <c:majorUnit val="2"/>
      </c:valAx>
    </c:plotArea>
    <c:legend>
      <c:legendPos val="b"/>
      <c:layout>
        <c:manualLayout>
          <c:xMode val="edge"/>
          <c:yMode val="edge"/>
          <c:x val="0"/>
          <c:y val="0.89318734671846556"/>
          <c:w val="0.92843934221924751"/>
          <c:h val="6.4854327476610824E-2"/>
        </c:manualLayout>
      </c:layout>
      <c:txPr>
        <a:bodyPr/>
        <a:lstStyle/>
        <a:p>
          <a:pPr>
            <a:defRPr sz="600"/>
          </a:pPr>
          <a:endParaRPr lang="en-US"/>
        </a:p>
      </c:txPr>
    </c:legend>
    <c:plotVisOnly val="1"/>
    <c:dispBlanksAs val="gap"/>
  </c:chart>
  <c:spPr>
    <a:ln>
      <a:noFill/>
    </a:ln>
  </c:spPr>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9307433817788638"/>
          <c:y val="6.9648305979683703E-2"/>
          <c:w val="0.71639182602175255"/>
          <c:h val="0.63838246991332959"/>
        </c:manualLayout>
      </c:layout>
      <c:scatterChart>
        <c:scatterStyle val="smoothMarker"/>
        <c:ser>
          <c:idx val="0"/>
          <c:order val="0"/>
          <c:tx>
            <c:v>Control</c:v>
          </c:tx>
          <c:errBars>
            <c:errDir val="y"/>
            <c:errBarType val="both"/>
            <c:errValType val="cust"/>
            <c:plus>
              <c:numLit>
                <c:formatCode>General</c:formatCode>
                <c:ptCount val="1"/>
                <c:pt idx="0">
                  <c:v>1</c:v>
                </c:pt>
              </c:numLit>
            </c:plus>
            <c:minus>
              <c:numLit>
                <c:formatCode>General</c:formatCode>
                <c:ptCount val="1"/>
                <c:pt idx="0">
                  <c:v>1</c:v>
                </c:pt>
              </c:numLit>
            </c:minus>
          </c:errBars>
          <c:xVal>
            <c:numRef>
              <c:f>Color!$AI$38:$AL$38</c:f>
              <c:numCache>
                <c:formatCode>General</c:formatCode>
                <c:ptCount val="4"/>
                <c:pt idx="0">
                  <c:v>0</c:v>
                </c:pt>
                <c:pt idx="1">
                  <c:v>14</c:v>
                </c:pt>
                <c:pt idx="2">
                  <c:v>28</c:v>
                </c:pt>
                <c:pt idx="3">
                  <c:v>42</c:v>
                </c:pt>
              </c:numCache>
            </c:numRef>
          </c:xVal>
          <c:yVal>
            <c:numRef>
              <c:f>(Color!$E$57,Color!$M$57,Color!$U$57,Color!$AC$57)</c:f>
              <c:numCache>
                <c:formatCode>0.00</c:formatCode>
                <c:ptCount val="4"/>
                <c:pt idx="0">
                  <c:v>2.4366666666666577</c:v>
                </c:pt>
                <c:pt idx="1">
                  <c:v>3.2319999999999998</c:v>
                </c:pt>
                <c:pt idx="2">
                  <c:v>4.6129999999999765</c:v>
                </c:pt>
                <c:pt idx="3">
                  <c:v>5.2850000000000001</c:v>
                </c:pt>
              </c:numCache>
            </c:numRef>
          </c:yVal>
          <c:smooth val="1"/>
        </c:ser>
        <c:ser>
          <c:idx val="1"/>
          <c:order val="1"/>
          <c:tx>
            <c:v>CaCl2</c:v>
          </c:tx>
          <c:errBars>
            <c:errDir val="y"/>
            <c:errBarType val="both"/>
            <c:errValType val="cust"/>
            <c:plus>
              <c:numRef>
                <c:f>(Color!$E$66,Color!$M$66,Color!$U$66,Color!$AC$66)</c:f>
                <c:numCache>
                  <c:formatCode>General</c:formatCode>
                  <c:ptCount val="4"/>
                  <c:pt idx="0">
                    <c:v>1.168681878585158</c:v>
                  </c:pt>
                  <c:pt idx="1">
                    <c:v>0.61196187245067446</c:v>
                  </c:pt>
                  <c:pt idx="2">
                    <c:v>0.13859292911253401</c:v>
                  </c:pt>
                  <c:pt idx="3">
                    <c:v>3.818376618407341E-2</c:v>
                  </c:pt>
                </c:numCache>
              </c:numRef>
            </c:plus>
            <c:minus>
              <c:numRef>
                <c:f>(Color!$E$66,Color!$M$66,Color!$U$66,Color!$AC$66)</c:f>
                <c:numCache>
                  <c:formatCode>General</c:formatCode>
                  <c:ptCount val="4"/>
                  <c:pt idx="0">
                    <c:v>1.168681878585158</c:v>
                  </c:pt>
                  <c:pt idx="1">
                    <c:v>0.61196187245067446</c:v>
                  </c:pt>
                  <c:pt idx="2">
                    <c:v>0.13859292911253401</c:v>
                  </c:pt>
                  <c:pt idx="3">
                    <c:v>3.818376618407341E-2</c:v>
                  </c:pt>
                </c:numCache>
              </c:numRef>
            </c:minus>
          </c:errBars>
          <c:xVal>
            <c:numRef>
              <c:f>Color!$AI$38:$AL$38</c:f>
              <c:numCache>
                <c:formatCode>General</c:formatCode>
                <c:ptCount val="4"/>
                <c:pt idx="0">
                  <c:v>0</c:v>
                </c:pt>
                <c:pt idx="1">
                  <c:v>14</c:v>
                </c:pt>
                <c:pt idx="2">
                  <c:v>28</c:v>
                </c:pt>
                <c:pt idx="3">
                  <c:v>42</c:v>
                </c:pt>
              </c:numCache>
            </c:numRef>
          </c:xVal>
          <c:yVal>
            <c:numRef>
              <c:f>(Color!$E$58,Color!$M$58,Color!$U$58,Color!$AC$58)</c:f>
              <c:numCache>
                <c:formatCode>0.00</c:formatCode>
                <c:ptCount val="4"/>
                <c:pt idx="0">
                  <c:v>2.254666666666667</c:v>
                </c:pt>
                <c:pt idx="1">
                  <c:v>3.119333333333334</c:v>
                </c:pt>
                <c:pt idx="2">
                  <c:v>4.9860000000000024</c:v>
                </c:pt>
                <c:pt idx="3">
                  <c:v>7.3829999999999956</c:v>
                </c:pt>
              </c:numCache>
            </c:numRef>
          </c:yVal>
          <c:smooth val="1"/>
        </c:ser>
        <c:ser>
          <c:idx val="2"/>
          <c:order val="2"/>
          <c:tx>
            <c:v>Flavonoid</c:v>
          </c:tx>
          <c:errBars>
            <c:errDir val="y"/>
            <c:errBarType val="both"/>
            <c:errValType val="cust"/>
            <c:plus>
              <c:numRef>
                <c:f>(Color!$E$67,Color!$M$67,Color!$U$67,Color!$AC$67)</c:f>
                <c:numCache>
                  <c:formatCode>General</c:formatCode>
                  <c:ptCount val="4"/>
                  <c:pt idx="0">
                    <c:v>0.39530747526451326</c:v>
                  </c:pt>
                  <c:pt idx="1">
                    <c:v>0.21091546489846213</c:v>
                  </c:pt>
                  <c:pt idx="2">
                    <c:v>0.76367532368147795</c:v>
                  </c:pt>
                  <c:pt idx="3">
                    <c:v>0.68165093706383428</c:v>
                  </c:pt>
                </c:numCache>
              </c:numRef>
            </c:plus>
            <c:minus>
              <c:numRef>
                <c:f>(Color!$E$67,Color!$M$67,Color!$U$67,Color!$AC$67)</c:f>
                <c:numCache>
                  <c:formatCode>General</c:formatCode>
                  <c:ptCount val="4"/>
                  <c:pt idx="0">
                    <c:v>0.39530747526451326</c:v>
                  </c:pt>
                  <c:pt idx="1">
                    <c:v>0.21091546489846213</c:v>
                  </c:pt>
                  <c:pt idx="2">
                    <c:v>0.76367532368147795</c:v>
                  </c:pt>
                  <c:pt idx="3">
                    <c:v>0.68165093706383428</c:v>
                  </c:pt>
                </c:numCache>
              </c:numRef>
            </c:minus>
          </c:errBars>
          <c:xVal>
            <c:numRef>
              <c:f>Color!$AI$38:$AL$38</c:f>
              <c:numCache>
                <c:formatCode>General</c:formatCode>
                <c:ptCount val="4"/>
                <c:pt idx="0">
                  <c:v>0</c:v>
                </c:pt>
                <c:pt idx="1">
                  <c:v>14</c:v>
                </c:pt>
                <c:pt idx="2">
                  <c:v>28</c:v>
                </c:pt>
                <c:pt idx="3">
                  <c:v>42</c:v>
                </c:pt>
              </c:numCache>
            </c:numRef>
          </c:xVal>
          <c:yVal>
            <c:numRef>
              <c:f>(Color!$E$59,Color!$M$59,Color!$U$59,Color!$AC$59)</c:f>
              <c:numCache>
                <c:formatCode>0.00</c:formatCode>
                <c:ptCount val="4"/>
                <c:pt idx="0">
                  <c:v>1.839999999999991</c:v>
                </c:pt>
                <c:pt idx="1">
                  <c:v>2.2833333333333412</c:v>
                </c:pt>
                <c:pt idx="2">
                  <c:v>3.1559999999999997</c:v>
                </c:pt>
                <c:pt idx="3">
                  <c:v>4.99</c:v>
                </c:pt>
              </c:numCache>
            </c:numRef>
          </c:yVal>
          <c:smooth val="1"/>
        </c:ser>
        <c:ser>
          <c:idx val="3"/>
          <c:order val="3"/>
          <c:tx>
            <c:v>Flavonoid+CaCl2</c:v>
          </c:tx>
          <c:errBars>
            <c:errDir val="y"/>
            <c:errBarType val="both"/>
            <c:errValType val="cust"/>
            <c:plus>
              <c:numRef>
                <c:f>(Color!$E$68,Color!$M$68,Color!$U$68,Color!$AC$68)</c:f>
                <c:numCache>
                  <c:formatCode>General</c:formatCode>
                  <c:ptCount val="4"/>
                  <c:pt idx="0">
                    <c:v>1.2142904649767134</c:v>
                  </c:pt>
                  <c:pt idx="1">
                    <c:v>0.24989864612144963</c:v>
                  </c:pt>
                  <c:pt idx="2">
                    <c:v>0.78345984793946899</c:v>
                  </c:pt>
                  <c:pt idx="3">
                    <c:v>3.9597979746446715E-2</c:v>
                  </c:pt>
                </c:numCache>
              </c:numRef>
            </c:plus>
            <c:minus>
              <c:numRef>
                <c:f>(Color!$E$68,Color!$M$68,Color!$U$68,Color!$AC$68)</c:f>
                <c:numCache>
                  <c:formatCode>General</c:formatCode>
                  <c:ptCount val="4"/>
                  <c:pt idx="0">
                    <c:v>1.2142904649767134</c:v>
                  </c:pt>
                  <c:pt idx="1">
                    <c:v>0.24989864612144963</c:v>
                  </c:pt>
                  <c:pt idx="2">
                    <c:v>0.78345984793946899</c:v>
                  </c:pt>
                  <c:pt idx="3">
                    <c:v>3.9597979746446715E-2</c:v>
                  </c:pt>
                </c:numCache>
              </c:numRef>
            </c:minus>
          </c:errBars>
          <c:xVal>
            <c:numRef>
              <c:f>Color!$AI$38:$AL$38</c:f>
              <c:numCache>
                <c:formatCode>General</c:formatCode>
                <c:ptCount val="4"/>
                <c:pt idx="0">
                  <c:v>0</c:v>
                </c:pt>
                <c:pt idx="1">
                  <c:v>14</c:v>
                </c:pt>
                <c:pt idx="2">
                  <c:v>28</c:v>
                </c:pt>
                <c:pt idx="3">
                  <c:v>42</c:v>
                </c:pt>
              </c:numCache>
            </c:numRef>
          </c:xVal>
          <c:yVal>
            <c:numRef>
              <c:f>(Color!$E$60,Color!$M$60,Color!$U$60,Color!$AC$60)</c:f>
              <c:numCache>
                <c:formatCode>0.00</c:formatCode>
                <c:ptCount val="4"/>
                <c:pt idx="0">
                  <c:v>1.706666666666667</c:v>
                </c:pt>
                <c:pt idx="1">
                  <c:v>3.2446666666666681</c:v>
                </c:pt>
                <c:pt idx="2">
                  <c:v>4.7426666666666684</c:v>
                </c:pt>
                <c:pt idx="3">
                  <c:v>5.9580000000000002</c:v>
                </c:pt>
              </c:numCache>
            </c:numRef>
          </c:yVal>
          <c:smooth val="1"/>
        </c:ser>
        <c:axId val="126733312"/>
        <c:axId val="126878848"/>
      </c:scatterChart>
      <c:valAx>
        <c:axId val="126733312"/>
        <c:scaling>
          <c:orientation val="minMax"/>
        </c:scaling>
        <c:axPos val="b"/>
        <c:title>
          <c:tx>
            <c:rich>
              <a:bodyPr/>
              <a:lstStyle/>
              <a:p>
                <a:pPr>
                  <a:defRPr/>
                </a:pPr>
                <a:r>
                  <a:rPr lang="es-ES"/>
                  <a:t>Storage</a:t>
                </a:r>
                <a:r>
                  <a:rPr lang="es-ES" baseline="0"/>
                  <a:t> (Week)</a:t>
                </a:r>
                <a:endParaRPr lang="es-ES"/>
              </a:p>
            </c:rich>
          </c:tx>
          <c:layout>
            <c:manualLayout>
              <c:xMode val="edge"/>
              <c:yMode val="edge"/>
              <c:x val="0.36740978943720626"/>
              <c:y val="0.83305839804704851"/>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6878848"/>
        <c:crosses val="autoZero"/>
        <c:crossBetween val="midCat"/>
        <c:majorUnit val="6"/>
      </c:valAx>
      <c:valAx>
        <c:axId val="126878848"/>
        <c:scaling>
          <c:orientation val="minMax"/>
          <c:max val="8"/>
          <c:min val="-2"/>
        </c:scaling>
        <c:axPos val="l"/>
        <c:title>
          <c:tx>
            <c:rich>
              <a:bodyPr/>
              <a:lstStyle/>
              <a:p>
                <a:pPr>
                  <a:defRPr/>
                </a:pPr>
                <a:r>
                  <a:rPr lang="es-ES"/>
                  <a:t>a*</a:t>
                </a:r>
              </a:p>
            </c:rich>
          </c:tx>
        </c:title>
        <c:numFmt formatCode="0.0" sourceLinked="0"/>
        <c:majorTickMark val="none"/>
        <c:tickLblPos val="nextTo"/>
        <c:txPr>
          <a:bodyPr/>
          <a:lstStyle/>
          <a:p>
            <a:pPr>
              <a:defRPr sz="800"/>
            </a:pPr>
            <a:endParaRPr lang="en-US"/>
          </a:p>
        </c:txPr>
        <c:crossAx val="126733312"/>
        <c:crosses val="autoZero"/>
        <c:crossBetween val="midCat"/>
        <c:majorUnit val="2"/>
      </c:valAx>
    </c:plotArea>
    <c:legend>
      <c:legendPos val="b"/>
      <c:layout>
        <c:manualLayout>
          <c:xMode val="edge"/>
          <c:yMode val="edge"/>
          <c:x val="2.1871842089766495E-2"/>
          <c:y val="0.91301949964609763"/>
          <c:w val="0.94285676790401196"/>
          <c:h val="7.4139031503359612E-2"/>
        </c:manualLayout>
      </c:layout>
      <c:txPr>
        <a:bodyPr/>
        <a:lstStyle/>
        <a:p>
          <a:pPr>
            <a:defRPr sz="600"/>
          </a:pPr>
          <a:endParaRPr lang="en-US"/>
        </a:p>
      </c:txPr>
    </c:legend>
    <c:plotVisOnly val="1"/>
    <c:dispBlanksAs val="gap"/>
  </c:chart>
  <c:spPr>
    <a:ln>
      <a:noFill/>
    </a:ln>
  </c:spPr>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9307433817788638"/>
          <c:y val="6.964812375770571E-2"/>
          <c:w val="0.71639182602175255"/>
          <c:h val="0.63838246991332959"/>
        </c:manualLayout>
      </c:layout>
      <c:scatterChart>
        <c:scatterStyle val="smoothMarker"/>
        <c:ser>
          <c:idx val="0"/>
          <c:order val="0"/>
          <c:tx>
            <c:v>Control</c:v>
          </c:tx>
          <c:errBars>
            <c:errDir val="y"/>
            <c:errBarType val="both"/>
            <c:errValType val="cust"/>
            <c:plus>
              <c:numRef>
                <c:f>(Color!$C$100,Color!$K$100,Color!$S$100,Color!$AA$100)</c:f>
                <c:numCache>
                  <c:formatCode>General</c:formatCode>
                  <c:ptCount val="4"/>
                  <c:pt idx="0">
                    <c:v>0.56791287803415502</c:v>
                  </c:pt>
                  <c:pt idx="1">
                    <c:v>0.23758787847867988</c:v>
                  </c:pt>
                  <c:pt idx="2">
                    <c:v>0.36772997339533714</c:v>
                  </c:pt>
                  <c:pt idx="3">
                    <c:v>0.25166114784236399</c:v>
                  </c:pt>
                </c:numCache>
              </c:numRef>
            </c:plus>
            <c:minus>
              <c:numRef>
                <c:f>(Color!$C$100,Color!$K$100,Color!$S$100,Color!$AA$100)</c:f>
                <c:numCache>
                  <c:formatCode>General</c:formatCode>
                  <c:ptCount val="4"/>
                  <c:pt idx="0">
                    <c:v>0.56791287803415502</c:v>
                  </c:pt>
                  <c:pt idx="1">
                    <c:v>0.23758787847867988</c:v>
                  </c:pt>
                  <c:pt idx="2">
                    <c:v>0.36772997339533714</c:v>
                  </c:pt>
                  <c:pt idx="3">
                    <c:v>0.25166114784236399</c:v>
                  </c:pt>
                </c:numCache>
              </c:numRef>
            </c:minus>
          </c:errBars>
          <c:xVal>
            <c:numRef>
              <c:f>Color!$AI$38:$AL$38</c:f>
              <c:numCache>
                <c:formatCode>General</c:formatCode>
                <c:ptCount val="4"/>
                <c:pt idx="0">
                  <c:v>0</c:v>
                </c:pt>
                <c:pt idx="1">
                  <c:v>14</c:v>
                </c:pt>
                <c:pt idx="2">
                  <c:v>28</c:v>
                </c:pt>
                <c:pt idx="3">
                  <c:v>42</c:v>
                </c:pt>
              </c:numCache>
            </c:numRef>
          </c:xVal>
          <c:yVal>
            <c:numRef>
              <c:f>(Color!$C$92,Color!$K$92,Color!$S$92,Color!$AA$92)</c:f>
              <c:numCache>
                <c:formatCode>0.00</c:formatCode>
                <c:ptCount val="4"/>
                <c:pt idx="0">
                  <c:v>-0.12200000000000009</c:v>
                </c:pt>
                <c:pt idx="1">
                  <c:v>0.74400000000000255</c:v>
                </c:pt>
                <c:pt idx="2">
                  <c:v>1.811333333333333</c:v>
                </c:pt>
                <c:pt idx="3">
                  <c:v>2.6</c:v>
                </c:pt>
              </c:numCache>
            </c:numRef>
          </c:yVal>
          <c:smooth val="1"/>
        </c:ser>
        <c:ser>
          <c:idx val="1"/>
          <c:order val="1"/>
          <c:tx>
            <c:v>CaCl2</c:v>
          </c:tx>
          <c:errBars>
            <c:errDir val="y"/>
            <c:errBarType val="both"/>
            <c:errValType val="cust"/>
            <c:plus>
              <c:numRef>
                <c:f>(Color!$C$101,Color!$K$101,Color!$S$101,Color!$AA$101)</c:f>
                <c:numCache>
                  <c:formatCode>General</c:formatCode>
                  <c:ptCount val="4"/>
                  <c:pt idx="0">
                    <c:v>0.7828869650211282</c:v>
                  </c:pt>
                  <c:pt idx="1">
                    <c:v>0.33721803036018277</c:v>
                  </c:pt>
                  <c:pt idx="2">
                    <c:v>0.34430412912617508</c:v>
                  </c:pt>
                  <c:pt idx="3">
                    <c:v>0.28867513459481431</c:v>
                  </c:pt>
                </c:numCache>
              </c:numRef>
            </c:plus>
            <c:minus>
              <c:numRef>
                <c:f>(Color!$C$101,Color!$K$101,Color!$S$101,Color!$AA$101)</c:f>
                <c:numCache>
                  <c:formatCode>General</c:formatCode>
                  <c:ptCount val="4"/>
                  <c:pt idx="0">
                    <c:v>0.7828869650211282</c:v>
                  </c:pt>
                  <c:pt idx="1">
                    <c:v>0.33721803036018277</c:v>
                  </c:pt>
                  <c:pt idx="2">
                    <c:v>0.34430412912617508</c:v>
                  </c:pt>
                  <c:pt idx="3">
                    <c:v>0.28867513459481431</c:v>
                  </c:pt>
                </c:numCache>
              </c:numRef>
            </c:minus>
          </c:errBars>
          <c:xVal>
            <c:numRef>
              <c:f>Color!$AI$38:$AL$38</c:f>
              <c:numCache>
                <c:formatCode>General</c:formatCode>
                <c:ptCount val="4"/>
                <c:pt idx="0">
                  <c:v>0</c:v>
                </c:pt>
                <c:pt idx="1">
                  <c:v>14</c:v>
                </c:pt>
                <c:pt idx="2">
                  <c:v>28</c:v>
                </c:pt>
                <c:pt idx="3">
                  <c:v>42</c:v>
                </c:pt>
              </c:numCache>
            </c:numRef>
          </c:xVal>
          <c:yVal>
            <c:numRef>
              <c:f>(Color!$C$93,Color!$K$93,Color!$S$93,Color!$AA$93)</c:f>
              <c:numCache>
                <c:formatCode>0.00</c:formatCode>
                <c:ptCount val="4"/>
                <c:pt idx="0">
                  <c:v>-0.38266666666666938</c:v>
                </c:pt>
                <c:pt idx="1">
                  <c:v>2.3259999999999987</c:v>
                </c:pt>
                <c:pt idx="2">
                  <c:v>2.9039999999999999</c:v>
                </c:pt>
                <c:pt idx="3">
                  <c:v>3.7333333333333352</c:v>
                </c:pt>
              </c:numCache>
            </c:numRef>
          </c:yVal>
          <c:smooth val="1"/>
        </c:ser>
        <c:ser>
          <c:idx val="2"/>
          <c:order val="2"/>
          <c:tx>
            <c:v>Flavonoid</c:v>
          </c:tx>
          <c:errBars>
            <c:errDir val="y"/>
            <c:errBarType val="both"/>
            <c:errValType val="cust"/>
            <c:plus>
              <c:numRef>
                <c:f>(Color!$C$102,Color!$K$102,Color!$S$102,Color!$AA$102)</c:f>
                <c:numCache>
                  <c:formatCode>General</c:formatCode>
                  <c:ptCount val="4"/>
                  <c:pt idx="0">
                    <c:v>0.82638812511635595</c:v>
                  </c:pt>
                  <c:pt idx="1">
                    <c:v>1.2637707466150638</c:v>
                  </c:pt>
                  <c:pt idx="2">
                    <c:v>0.36832594261062002</c:v>
                  </c:pt>
                  <c:pt idx="3">
                    <c:v>0.8485281374238608</c:v>
                  </c:pt>
                </c:numCache>
              </c:numRef>
            </c:plus>
            <c:minus>
              <c:numRef>
                <c:f>(Color!$C$102,Color!$K$102,Color!$S$102,Color!$AA$102)</c:f>
                <c:numCache>
                  <c:formatCode>General</c:formatCode>
                  <c:ptCount val="4"/>
                  <c:pt idx="0">
                    <c:v>0.82638812511635595</c:v>
                  </c:pt>
                  <c:pt idx="1">
                    <c:v>1.2637707466150638</c:v>
                  </c:pt>
                  <c:pt idx="2">
                    <c:v>0.36832594261062002</c:v>
                  </c:pt>
                  <c:pt idx="3">
                    <c:v>0.8485281374238608</c:v>
                  </c:pt>
                </c:numCache>
              </c:numRef>
            </c:minus>
          </c:errBars>
          <c:xVal>
            <c:numRef>
              <c:f>Color!$AI$38:$AL$38</c:f>
              <c:numCache>
                <c:formatCode>General</c:formatCode>
                <c:ptCount val="4"/>
                <c:pt idx="0">
                  <c:v>0</c:v>
                </c:pt>
                <c:pt idx="1">
                  <c:v>14</c:v>
                </c:pt>
                <c:pt idx="2">
                  <c:v>28</c:v>
                </c:pt>
                <c:pt idx="3">
                  <c:v>42</c:v>
                </c:pt>
              </c:numCache>
            </c:numRef>
          </c:xVal>
          <c:yVal>
            <c:numRef>
              <c:f>(Color!$C$94,Color!$K$94,Color!$S$94,Color!$AA$94)</c:f>
              <c:numCache>
                <c:formatCode>0.00</c:formatCode>
                <c:ptCount val="4"/>
                <c:pt idx="0">
                  <c:v>-1.2848888888888901</c:v>
                </c:pt>
                <c:pt idx="1">
                  <c:v>0.94200000000000161</c:v>
                </c:pt>
                <c:pt idx="2">
                  <c:v>1.724666666666667</c:v>
                </c:pt>
                <c:pt idx="3">
                  <c:v>2.833333333333333</c:v>
                </c:pt>
              </c:numCache>
            </c:numRef>
          </c:yVal>
          <c:smooth val="1"/>
        </c:ser>
        <c:ser>
          <c:idx val="3"/>
          <c:order val="3"/>
          <c:tx>
            <c:v>Flavonoid+CaCl2</c:v>
          </c:tx>
          <c:errBars>
            <c:errDir val="y"/>
            <c:errBarType val="both"/>
            <c:errValType val="cust"/>
            <c:plus>
              <c:numRef>
                <c:f>(Color!$C$103,Color!$K$103,Color!$S$103,Color!$AA$103)</c:f>
                <c:numCache>
                  <c:formatCode>General</c:formatCode>
                  <c:ptCount val="4"/>
                  <c:pt idx="0">
                    <c:v>0.17088397623338858</c:v>
                  </c:pt>
                  <c:pt idx="1">
                    <c:v>0.50204581464245179</c:v>
                  </c:pt>
                  <c:pt idx="2">
                    <c:v>0.13974739115035387</c:v>
                  </c:pt>
                  <c:pt idx="3">
                    <c:v>0.190525588832578</c:v>
                  </c:pt>
                </c:numCache>
              </c:numRef>
            </c:plus>
            <c:minus>
              <c:numRef>
                <c:f>(Color!$C$103,Color!$K$103,Color!$S$103,Color!$AA$103)</c:f>
                <c:numCache>
                  <c:formatCode>General</c:formatCode>
                  <c:ptCount val="4"/>
                  <c:pt idx="0">
                    <c:v>0.17088397623338858</c:v>
                  </c:pt>
                  <c:pt idx="1">
                    <c:v>0.50204581464245179</c:v>
                  </c:pt>
                  <c:pt idx="2">
                    <c:v>0.13974739115035387</c:v>
                  </c:pt>
                  <c:pt idx="3">
                    <c:v>0.190525588832578</c:v>
                  </c:pt>
                </c:numCache>
              </c:numRef>
            </c:minus>
          </c:errBars>
          <c:xVal>
            <c:numRef>
              <c:f>Color!$AI$38:$AL$38</c:f>
              <c:numCache>
                <c:formatCode>General</c:formatCode>
                <c:ptCount val="4"/>
                <c:pt idx="0">
                  <c:v>0</c:v>
                </c:pt>
                <c:pt idx="1">
                  <c:v>14</c:v>
                </c:pt>
                <c:pt idx="2">
                  <c:v>28</c:v>
                </c:pt>
                <c:pt idx="3">
                  <c:v>42</c:v>
                </c:pt>
              </c:numCache>
            </c:numRef>
          </c:xVal>
          <c:yVal>
            <c:numRef>
              <c:f>(Color!$C$95,Color!$K$95,Color!$S$95,Color!$AA$95)</c:f>
              <c:numCache>
                <c:formatCode>0.00</c:formatCode>
                <c:ptCount val="4"/>
                <c:pt idx="0">
                  <c:v>0.65333333333333565</c:v>
                </c:pt>
                <c:pt idx="1">
                  <c:v>2.0053333333333341</c:v>
                </c:pt>
                <c:pt idx="2">
                  <c:v>3.1473333333333402</c:v>
                </c:pt>
                <c:pt idx="3">
                  <c:v>4.09</c:v>
                </c:pt>
              </c:numCache>
            </c:numRef>
          </c:yVal>
          <c:smooth val="1"/>
        </c:ser>
        <c:axId val="126903040"/>
        <c:axId val="126904960"/>
      </c:scatterChart>
      <c:valAx>
        <c:axId val="126903040"/>
        <c:scaling>
          <c:orientation val="minMax"/>
          <c:max val="48"/>
        </c:scaling>
        <c:axPos val="b"/>
        <c:title>
          <c:tx>
            <c:rich>
              <a:bodyPr/>
              <a:lstStyle/>
              <a:p>
                <a:pPr>
                  <a:defRPr/>
                </a:pPr>
                <a:r>
                  <a:rPr lang="es-ES"/>
                  <a:t>Storage</a:t>
                </a:r>
                <a:r>
                  <a:rPr lang="es-ES" baseline="0"/>
                  <a:t> (Week)</a:t>
                </a:r>
                <a:endParaRPr lang="es-ES"/>
              </a:p>
            </c:rich>
          </c:tx>
          <c:layout>
            <c:manualLayout>
              <c:xMode val="edge"/>
              <c:yMode val="edge"/>
              <c:x val="0.36740978943720626"/>
              <c:y val="0.83305839804704851"/>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6904960"/>
        <c:crosses val="autoZero"/>
        <c:crossBetween val="midCat"/>
        <c:majorUnit val="6"/>
      </c:valAx>
      <c:valAx>
        <c:axId val="126904960"/>
        <c:scaling>
          <c:orientation val="minMax"/>
          <c:max val="8"/>
          <c:min val="-2"/>
        </c:scaling>
        <c:axPos val="l"/>
        <c:title>
          <c:tx>
            <c:rich>
              <a:bodyPr/>
              <a:lstStyle/>
              <a:p>
                <a:pPr>
                  <a:defRPr/>
                </a:pPr>
                <a:r>
                  <a:rPr lang="es-ES"/>
                  <a:t>a*</a:t>
                </a:r>
              </a:p>
            </c:rich>
          </c:tx>
        </c:title>
        <c:numFmt formatCode="0.0" sourceLinked="0"/>
        <c:majorTickMark val="none"/>
        <c:tickLblPos val="nextTo"/>
        <c:txPr>
          <a:bodyPr/>
          <a:lstStyle/>
          <a:p>
            <a:pPr>
              <a:defRPr sz="800"/>
            </a:pPr>
            <a:endParaRPr lang="en-US"/>
          </a:p>
        </c:txPr>
        <c:crossAx val="126903040"/>
        <c:crosses val="autoZero"/>
        <c:crossBetween val="midCat"/>
        <c:majorUnit val="2"/>
      </c:valAx>
    </c:plotArea>
    <c:legend>
      <c:legendPos val="b"/>
      <c:layout>
        <c:manualLayout>
          <c:xMode val="edge"/>
          <c:yMode val="edge"/>
          <c:x val="2.1871842089766495E-2"/>
          <c:y val="0.91301949964609763"/>
          <c:w val="0.94285676790401196"/>
          <c:h val="7.4139031503359612E-2"/>
        </c:manualLayout>
      </c:layout>
      <c:txPr>
        <a:bodyPr/>
        <a:lstStyle/>
        <a:p>
          <a:pPr>
            <a:defRPr sz="600"/>
          </a:pPr>
          <a:endParaRPr lang="en-US"/>
        </a:p>
      </c:txPr>
    </c:legend>
    <c:plotVisOnly val="1"/>
    <c:dispBlanksAs val="gap"/>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160118355324404"/>
          <c:y val="3.3517415052848089E-2"/>
          <c:w val="0.74601875370418158"/>
          <c:h val="0.70375496640902224"/>
        </c:manualLayout>
      </c:layout>
      <c:scatterChart>
        <c:scatterStyle val="smoothMarker"/>
        <c:ser>
          <c:idx val="0"/>
          <c:order val="0"/>
          <c:tx>
            <c:v>Control</c:v>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(Color!$AB$27,Color!$AB$58,Color!$AB$91,Color!$AB$121)</c:f>
                <c:numCache>
                  <c:formatCode>General</c:formatCode>
                  <c:ptCount val="4"/>
                  <c:pt idx="0">
                    <c:v>1.412137859181378</c:v>
                  </c:pt>
                  <c:pt idx="1">
                    <c:v>1.0776363022838378</c:v>
                  </c:pt>
                  <c:pt idx="2">
                    <c:v>0.87688843836220043</c:v>
                  </c:pt>
                  <c:pt idx="3">
                    <c:v>2.4204958169763442</c:v>
                  </c:pt>
                </c:numCache>
              </c:numRef>
            </c:plus>
            <c:minus>
              <c:numRef>
                <c:f>(Color!$AB$27,Color!$AB$58,Color!$AB$91,Color!$AB$121)</c:f>
                <c:numCache>
                  <c:formatCode>General</c:formatCode>
                  <c:ptCount val="4"/>
                  <c:pt idx="0">
                    <c:v>1.412137859181378</c:v>
                  </c:pt>
                  <c:pt idx="1">
                    <c:v>1.0776363022838378</c:v>
                  </c:pt>
                  <c:pt idx="2">
                    <c:v>0.87688843836220043</c:v>
                  </c:pt>
                  <c:pt idx="3">
                    <c:v>2.4204958169763442</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(Color!$AA$27,Color!$AA$58,Color!$AA$91,Color!$AA$121)</c:f>
              <c:numCache>
                <c:formatCode>0.00</c:formatCode>
                <c:ptCount val="4"/>
                <c:pt idx="0">
                  <c:v>34.853333333333296</c:v>
                </c:pt>
                <c:pt idx="1">
                  <c:v>36.53</c:v>
                </c:pt>
                <c:pt idx="2">
                  <c:v>38.793333333333663</c:v>
                </c:pt>
                <c:pt idx="3">
                  <c:v>36.64</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(Color!$AB$28,Color!$AB$59,Color!$AB$92,Color!$AB$122)</c:f>
                <c:numCache>
                  <c:formatCode>General</c:formatCode>
                  <c:ptCount val="4"/>
                  <c:pt idx="0">
                    <c:v>2.2859644208370802</c:v>
                  </c:pt>
                  <c:pt idx="1">
                    <c:v>0.99886602371568856</c:v>
                  </c:pt>
                  <c:pt idx="2">
                    <c:v>0.7635007094519195</c:v>
                  </c:pt>
                  <c:pt idx="3">
                    <c:v>0.61518289963242401</c:v>
                  </c:pt>
                </c:numCache>
              </c:numRef>
            </c:plus>
            <c:minus>
              <c:numRef>
                <c:f>(Color!$AB$28,Color!$AB$59,Color!$AB$92,Color!$AB$122)</c:f>
                <c:numCache>
                  <c:formatCode>General</c:formatCode>
                  <c:ptCount val="4"/>
                  <c:pt idx="0">
                    <c:v>2.2859644208370802</c:v>
                  </c:pt>
                  <c:pt idx="1">
                    <c:v>0.99886602371568856</c:v>
                  </c:pt>
                  <c:pt idx="2">
                    <c:v>0.7635007094519195</c:v>
                  </c:pt>
                  <c:pt idx="3">
                    <c:v>0.61518289963242401</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(Color!$AA$28,Color!$AA$59,Color!$AA$92,Color!$AA$122)</c:f>
              <c:numCache>
                <c:formatCode>0.00</c:formatCode>
                <c:ptCount val="4"/>
                <c:pt idx="0">
                  <c:v>37.213333333333352</c:v>
                </c:pt>
                <c:pt idx="1">
                  <c:v>39.69666666666609</c:v>
                </c:pt>
                <c:pt idx="2">
                  <c:v>37.623333333333363</c:v>
                </c:pt>
                <c:pt idx="3">
                  <c:v>35.905000000000001</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(Color!$AB$29,Color!$AB$60,Color!$AB$93,Color!$AB$123)</c:f>
                <c:numCache>
                  <c:formatCode>General</c:formatCode>
                  <c:ptCount val="4"/>
                  <c:pt idx="0">
                    <c:v>2.2459815968377486</c:v>
                  </c:pt>
                  <c:pt idx="1">
                    <c:v>1.889241470361362</c:v>
                  </c:pt>
                  <c:pt idx="2">
                    <c:v>0.87681240867174004</c:v>
                  </c:pt>
                  <c:pt idx="3">
                    <c:v>0.82802979012470523</c:v>
                  </c:pt>
                </c:numCache>
              </c:numRef>
            </c:plus>
            <c:minus>
              <c:numRef>
                <c:f>(Color!$AB$29,Color!$AB$60,Color!$AB$93,Color!$AB$123)</c:f>
                <c:numCache>
                  <c:formatCode>General</c:formatCode>
                  <c:ptCount val="4"/>
                  <c:pt idx="0">
                    <c:v>2.2459815968377486</c:v>
                  </c:pt>
                  <c:pt idx="1">
                    <c:v>1.889241470361362</c:v>
                  </c:pt>
                  <c:pt idx="2">
                    <c:v>0.87681240867174004</c:v>
                  </c:pt>
                  <c:pt idx="3">
                    <c:v>0.82802979012470523</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(Color!$AA$29,Color!$AA$60,Color!$AA$93,Color!$AA$123)</c:f>
              <c:numCache>
                <c:formatCode>0.00</c:formatCode>
                <c:ptCount val="4"/>
                <c:pt idx="0">
                  <c:v>34.746666666665995</c:v>
                </c:pt>
                <c:pt idx="1">
                  <c:v>39.736666666666054</c:v>
                </c:pt>
                <c:pt idx="2">
                  <c:v>38.83</c:v>
                </c:pt>
                <c:pt idx="3">
                  <c:v>38.563333333333333</c:v>
                </c:pt>
              </c:numCache>
            </c:numRef>
          </c:yVal>
          <c:smooth val="1"/>
        </c:ser>
        <c:axId val="80259712"/>
        <c:axId val="80304000"/>
      </c:scatterChart>
      <c:valAx>
        <c:axId val="80259712"/>
        <c:scaling>
          <c:orientation val="minMax"/>
          <c:max val="30"/>
          <c:min val="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40880978201078338"/>
              <c:y val="0.85249632786727259"/>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0304000"/>
        <c:crosses val="autoZero"/>
        <c:crossBetween val="midCat"/>
        <c:majorUnit val="10"/>
        <c:minorUnit val="1"/>
      </c:valAx>
      <c:valAx>
        <c:axId val="80304000"/>
        <c:scaling>
          <c:orientation val="minMax"/>
          <c:max val="44"/>
          <c:min val="24"/>
        </c:scaling>
        <c:axPos val="l"/>
        <c:title>
          <c:tx>
            <c:rich>
              <a:bodyPr/>
              <a:lstStyle/>
              <a:p>
                <a:pPr>
                  <a:defRPr sz="800" b="1" i="0" u="none" strike="noStrike" baseline="0">
                    <a:solidFill>
                      <a:srgbClr val="000000"/>
                    </a:solidFill>
                    <a:latin typeface="Arial"/>
                    <a:ea typeface="Arial"/>
                    <a:cs typeface="Arial"/>
                  </a:defRPr>
                </a:pPr>
                <a:r>
                  <a:rPr lang="en-US" sz="800"/>
                  <a:t>L*</a:t>
                </a:r>
              </a:p>
            </c:rich>
          </c:tx>
          <c:layout>
            <c:manualLayout>
              <c:xMode val="edge"/>
              <c:yMode val="edge"/>
              <c:x val="2.1856130259166721E-2"/>
              <c:y val="0.35906571311613572"/>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0259712"/>
        <c:crosses val="autoZero"/>
        <c:crossBetween val="midCat"/>
        <c:majorUnit val="2"/>
      </c:valAx>
      <c:spPr>
        <a:noFill/>
        <a:ln w="25400">
          <a:noFill/>
        </a:ln>
      </c:spPr>
    </c:plotArea>
    <c:legend>
      <c:legendPos val="b"/>
      <c:layout>
        <c:manualLayout>
          <c:xMode val="edge"/>
          <c:yMode val="edge"/>
          <c:x val="0.22340515818756373"/>
          <c:y val="0.91595222615521699"/>
          <c:w val="0.56117371556100404"/>
          <c:h val="8.4047773844783125E-2"/>
        </c:manualLayout>
      </c:layout>
      <c:spPr>
        <a:solidFill>
          <a:srgbClr val="FFFFFF"/>
        </a:solidFill>
        <a:ln w="25400">
          <a:noFill/>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7848870289815238"/>
          <c:y val="6.6983527511549817E-2"/>
          <c:w val="0.73478626360516364"/>
          <c:h val="0.63173358986234696"/>
        </c:manualLayout>
      </c:layout>
      <c:scatterChart>
        <c:scatterStyle val="lineMarker"/>
        <c:ser>
          <c:idx val="0"/>
          <c:order val="0"/>
          <c:tx>
            <c:v>Control</c:v>
          </c:tx>
          <c:errBars>
            <c:errDir val="x"/>
            <c:errBarType val="both"/>
            <c:errValType val="fixedVal"/>
            <c:val val="1"/>
          </c:errBars>
          <c:errBars>
            <c:errDir val="y"/>
            <c:errBarType val="both"/>
            <c:errValType val="cust"/>
            <c:plus>
              <c:numRef>
                <c:f>(Color!$E$30,Color!$M$30,Color!$U$30,Color!$AC$30)</c:f>
                <c:numCache>
                  <c:formatCode>General</c:formatCode>
                  <c:ptCount val="4"/>
                  <c:pt idx="0">
                    <c:v>0.87637967418998375</c:v>
                  </c:pt>
                  <c:pt idx="1">
                    <c:v>0.35778391989206915</c:v>
                  </c:pt>
                  <c:pt idx="2">
                    <c:v>0.20364675298172524</c:v>
                  </c:pt>
                  <c:pt idx="3">
                    <c:v>0.96307943597608303</c:v>
                  </c:pt>
                </c:numCache>
              </c:numRef>
            </c:plus>
            <c:minus>
              <c:numRef>
                <c:f>(Color!$E$30,Color!$M$30,Color!$U$30,Color!$AC$30)</c:f>
                <c:numCache>
                  <c:formatCode>General</c:formatCode>
                  <c:ptCount val="4"/>
                  <c:pt idx="0">
                    <c:v>0.87637967418998375</c:v>
                  </c:pt>
                  <c:pt idx="1">
                    <c:v>0.35778391989206915</c:v>
                  </c:pt>
                  <c:pt idx="2">
                    <c:v>0.20364675298172524</c:v>
                  </c:pt>
                  <c:pt idx="3">
                    <c:v>0.96307943597608303</c:v>
                  </c:pt>
                </c:numCache>
              </c:numRef>
            </c:minus>
          </c:errBars>
          <c:xVal>
            <c:numRef>
              <c:f>Color!$AI$38:$AL$38</c:f>
              <c:numCache>
                <c:formatCode>General</c:formatCode>
                <c:ptCount val="4"/>
                <c:pt idx="0">
                  <c:v>0</c:v>
                </c:pt>
                <c:pt idx="1">
                  <c:v>90</c:v>
                </c:pt>
                <c:pt idx="2">
                  <c:v>180</c:v>
                </c:pt>
                <c:pt idx="3">
                  <c:v>270</c:v>
                </c:pt>
              </c:numCache>
            </c:numRef>
          </c:xVal>
          <c:yVal>
            <c:numRef>
              <c:f>(Color!$E$22,Color!$M$22,Color!$U$22,Color!$AC$22)</c:f>
              <c:numCache>
                <c:formatCode>0.00</c:formatCode>
                <c:ptCount val="4"/>
                <c:pt idx="0">
                  <c:v>-1.009333333333333</c:v>
                </c:pt>
                <c:pt idx="1">
                  <c:v>-1.6546666666666681</c:v>
                </c:pt>
                <c:pt idx="2">
                  <c:v>1.012</c:v>
                </c:pt>
                <c:pt idx="3">
                  <c:v>2.4089999999999998</c:v>
                </c:pt>
              </c:numCache>
            </c:numRef>
          </c:yVal>
        </c:ser>
        <c:ser>
          <c:idx val="1"/>
          <c:order val="1"/>
          <c:tx>
            <c:v>CaCl2</c:v>
          </c:tx>
          <c:errBars>
            <c:errDir val="x"/>
            <c:errBarType val="both"/>
            <c:errValType val="fixedVal"/>
            <c:val val="1"/>
          </c:errBars>
          <c:errBars>
            <c:errDir val="y"/>
            <c:errBarType val="both"/>
            <c:errValType val="cust"/>
            <c:plus>
              <c:numRef>
                <c:f>(Color!$E$31,Color!$M$31,Color!$U$31,Color!$AC$31)</c:f>
                <c:numCache>
                  <c:formatCode>General</c:formatCode>
                  <c:ptCount val="4"/>
                  <c:pt idx="0">
                    <c:v>0.68821605134821751</c:v>
                  </c:pt>
                  <c:pt idx="1">
                    <c:v>0.93432114393285559</c:v>
                  </c:pt>
                  <c:pt idx="2">
                    <c:v>0.49356053326821214</c:v>
                  </c:pt>
                  <c:pt idx="3">
                    <c:v>0.34223968209428501</c:v>
                  </c:pt>
                </c:numCache>
              </c:numRef>
            </c:plus>
            <c:minus>
              <c:numRef>
                <c:f>(Color!$E$31,Color!$M$31,Color!$U$31,Color!$AC$31)</c:f>
                <c:numCache>
                  <c:formatCode>General</c:formatCode>
                  <c:ptCount val="4"/>
                  <c:pt idx="0">
                    <c:v>0.68821605134821751</c:v>
                  </c:pt>
                  <c:pt idx="1">
                    <c:v>0.93432114393285559</c:v>
                  </c:pt>
                  <c:pt idx="2">
                    <c:v>0.49356053326821214</c:v>
                  </c:pt>
                  <c:pt idx="3">
                    <c:v>0.34223968209428501</c:v>
                  </c:pt>
                </c:numCache>
              </c:numRef>
            </c:minus>
          </c:errBars>
          <c:xVal>
            <c:numRef>
              <c:f>Color!$AI$38:$AL$38</c:f>
              <c:numCache>
                <c:formatCode>General</c:formatCode>
                <c:ptCount val="4"/>
                <c:pt idx="0">
                  <c:v>0</c:v>
                </c:pt>
                <c:pt idx="1">
                  <c:v>90</c:v>
                </c:pt>
                <c:pt idx="2">
                  <c:v>180</c:v>
                </c:pt>
                <c:pt idx="3">
                  <c:v>270</c:v>
                </c:pt>
              </c:numCache>
            </c:numRef>
          </c:xVal>
          <c:yVal>
            <c:numRef>
              <c:f>(Color!$E$23,Color!$M$23,Color!$U$23,Color!$AC$23)</c:f>
              <c:numCache>
                <c:formatCode>0.00</c:formatCode>
                <c:ptCount val="4"/>
                <c:pt idx="0">
                  <c:v>-1.051333333333333</c:v>
                </c:pt>
                <c:pt idx="1">
                  <c:v>-0.60600000000000165</c:v>
                </c:pt>
                <c:pt idx="2">
                  <c:v>1.5509999999999928</c:v>
                </c:pt>
                <c:pt idx="3">
                  <c:v>3.0719999999999987</c:v>
                </c:pt>
              </c:numCache>
            </c:numRef>
          </c:yVal>
        </c:ser>
        <c:ser>
          <c:idx val="2"/>
          <c:order val="2"/>
          <c:tx>
            <c:v>Flavonoid</c:v>
          </c:tx>
          <c:errBars>
            <c:errDir val="x"/>
            <c:errBarType val="both"/>
            <c:errValType val="fixedVal"/>
            <c:val val="1"/>
          </c:errBars>
          <c:errBars>
            <c:errDir val="y"/>
            <c:errBarType val="both"/>
            <c:errValType val="cust"/>
            <c:plus>
              <c:numRef>
                <c:f>(Color!$E$32,Color!$M$32,Color!$U$32,Color!$AC$32)</c:f>
                <c:numCache>
                  <c:formatCode>General</c:formatCode>
                  <c:ptCount val="4"/>
                  <c:pt idx="0">
                    <c:v>0.91156202933938257</c:v>
                  </c:pt>
                  <c:pt idx="1">
                    <c:v>0.21091546489846213</c:v>
                  </c:pt>
                  <c:pt idx="2">
                    <c:v>3.8935844667863706E-2</c:v>
                  </c:pt>
                  <c:pt idx="3">
                    <c:v>1.0040916292848978</c:v>
                  </c:pt>
                </c:numCache>
              </c:numRef>
            </c:plus>
            <c:minus>
              <c:numRef>
                <c:f>(Color!$E$32,Color!$M$32,Color!$U$32,Color!$AC$32)</c:f>
                <c:numCache>
                  <c:formatCode>General</c:formatCode>
                  <c:ptCount val="4"/>
                  <c:pt idx="0">
                    <c:v>0.91156202933938257</c:v>
                  </c:pt>
                  <c:pt idx="1">
                    <c:v>0.21091546489846213</c:v>
                  </c:pt>
                  <c:pt idx="2">
                    <c:v>3.8935844667863706E-2</c:v>
                  </c:pt>
                  <c:pt idx="3">
                    <c:v>1.0040916292848978</c:v>
                  </c:pt>
                </c:numCache>
              </c:numRef>
            </c:minus>
          </c:errBars>
          <c:xVal>
            <c:numRef>
              <c:f>Color!$AI$38:$AL$38</c:f>
              <c:numCache>
                <c:formatCode>General</c:formatCode>
                <c:ptCount val="4"/>
                <c:pt idx="0">
                  <c:v>0</c:v>
                </c:pt>
                <c:pt idx="1">
                  <c:v>90</c:v>
                </c:pt>
                <c:pt idx="2">
                  <c:v>180</c:v>
                </c:pt>
                <c:pt idx="3">
                  <c:v>270</c:v>
                </c:pt>
              </c:numCache>
            </c:numRef>
          </c:xVal>
          <c:yVal>
            <c:numRef>
              <c:f>(Color!$E$24,Color!$M$24,Color!$U$24,Color!$AC$24)</c:f>
              <c:numCache>
                <c:formatCode>0.00</c:formatCode>
                <c:ptCount val="4"/>
                <c:pt idx="0">
                  <c:v>1.5666666666666671</c:v>
                </c:pt>
                <c:pt idx="1">
                  <c:v>-0.82533333333333403</c:v>
                </c:pt>
                <c:pt idx="2">
                  <c:v>3.1159999999999997</c:v>
                </c:pt>
                <c:pt idx="3">
                  <c:v>2.8059999999999987</c:v>
                </c:pt>
              </c:numCache>
            </c:numRef>
          </c:yVal>
        </c:ser>
        <c:ser>
          <c:idx val="3"/>
          <c:order val="3"/>
          <c:tx>
            <c:v>Flavonoid-CaCl2</c:v>
          </c:tx>
          <c:errBars>
            <c:errDir val="x"/>
            <c:errBarType val="both"/>
            <c:errValType val="fixedVal"/>
            <c:val val="1"/>
          </c:errBars>
          <c:errBars>
            <c:errDir val="y"/>
            <c:errBarType val="both"/>
            <c:errValType val="cust"/>
            <c:plus>
              <c:numRef>
                <c:f>(Color!$E$33,Color!$M$33,Color!$U$33,Color!$AC$33)</c:f>
                <c:numCache>
                  <c:formatCode>General</c:formatCode>
                  <c:ptCount val="4"/>
                  <c:pt idx="0">
                    <c:v>1.2695847090026458</c:v>
                  </c:pt>
                  <c:pt idx="1">
                    <c:v>0.51978585334090854</c:v>
                  </c:pt>
                  <c:pt idx="2">
                    <c:v>2.4041630560343294E-2</c:v>
                  </c:pt>
                  <c:pt idx="3">
                    <c:v>0.15556349186104396</c:v>
                  </c:pt>
                </c:numCache>
              </c:numRef>
            </c:plus>
            <c:minus>
              <c:numRef>
                <c:f>(Color!$E$33,Color!$M$33,Color!$U$33,Color!$AC$33)</c:f>
                <c:numCache>
                  <c:formatCode>General</c:formatCode>
                  <c:ptCount val="4"/>
                  <c:pt idx="0">
                    <c:v>1.2695847090026458</c:v>
                  </c:pt>
                  <c:pt idx="1">
                    <c:v>0.51978585334090854</c:v>
                  </c:pt>
                  <c:pt idx="2">
                    <c:v>2.4041630560343294E-2</c:v>
                  </c:pt>
                  <c:pt idx="3">
                    <c:v>0.15556349186104396</c:v>
                  </c:pt>
                </c:numCache>
              </c:numRef>
            </c:minus>
          </c:errBars>
          <c:xVal>
            <c:numRef>
              <c:f>Color!$AI$38:$AL$38</c:f>
              <c:numCache>
                <c:formatCode>General</c:formatCode>
                <c:ptCount val="4"/>
                <c:pt idx="0">
                  <c:v>0</c:v>
                </c:pt>
                <c:pt idx="1">
                  <c:v>90</c:v>
                </c:pt>
                <c:pt idx="2">
                  <c:v>180</c:v>
                </c:pt>
                <c:pt idx="3">
                  <c:v>270</c:v>
                </c:pt>
              </c:numCache>
            </c:numRef>
          </c:xVal>
          <c:yVal>
            <c:numRef>
              <c:f>(Color!$E$25,Color!$M$25,Color!$U$25,Color!$AC$25)</c:f>
              <c:numCache>
                <c:formatCode>0.00</c:formatCode>
                <c:ptCount val="4"/>
                <c:pt idx="0">
                  <c:v>-0.73933333333333562</c:v>
                </c:pt>
                <c:pt idx="1">
                  <c:v>-0.63133333333333563</c:v>
                </c:pt>
                <c:pt idx="2">
                  <c:v>2.407</c:v>
                </c:pt>
                <c:pt idx="3">
                  <c:v>3.14</c:v>
                </c:pt>
              </c:numCache>
            </c:numRef>
          </c:yVal>
        </c:ser>
        <c:axId val="126939136"/>
        <c:axId val="126941056"/>
      </c:scatterChart>
      <c:valAx>
        <c:axId val="126939136"/>
        <c:scaling>
          <c:orientation val="minMax"/>
          <c:min val="0"/>
        </c:scaling>
        <c:axPos val="b"/>
        <c:title>
          <c:tx>
            <c:rich>
              <a:bodyPr/>
              <a:lstStyle/>
              <a:p>
                <a:pPr>
                  <a:defRPr/>
                </a:pPr>
                <a:r>
                  <a:rPr lang="en-US"/>
                  <a:t>Storage</a:t>
                </a:r>
                <a:r>
                  <a:rPr lang="en-US" baseline="0"/>
                  <a:t> (days)</a:t>
                </a:r>
                <a:endParaRPr lang="en-US"/>
              </a:p>
            </c:rich>
          </c:tx>
          <c:layout>
            <c:manualLayout>
              <c:xMode val="edge"/>
              <c:yMode val="edge"/>
              <c:x val="0.40754840959565702"/>
              <c:y val="0.803111601999976"/>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6941056"/>
        <c:crosses val="autoZero"/>
        <c:crossBetween val="midCat"/>
        <c:majorUnit val="50"/>
      </c:valAx>
      <c:valAx>
        <c:axId val="126941056"/>
        <c:scaling>
          <c:orientation val="minMax"/>
          <c:max val="8"/>
          <c:min val="-2"/>
        </c:scaling>
        <c:axPos val="l"/>
        <c:title>
          <c:tx>
            <c:rich>
              <a:bodyPr/>
              <a:lstStyle/>
              <a:p>
                <a:pPr>
                  <a:defRPr/>
                </a:pPr>
                <a:r>
                  <a:rPr lang="en-US"/>
                  <a:t>a*</a:t>
                </a:r>
              </a:p>
            </c:rich>
          </c:tx>
        </c:title>
        <c:numFmt formatCode="0.0" sourceLinked="0"/>
        <c:majorTickMark val="none"/>
        <c:tickLblPos val="nextTo"/>
        <c:txPr>
          <a:bodyPr/>
          <a:lstStyle/>
          <a:p>
            <a:pPr>
              <a:defRPr sz="800"/>
            </a:pPr>
            <a:endParaRPr lang="en-US"/>
          </a:p>
        </c:txPr>
        <c:crossAx val="126939136"/>
        <c:crosses val="autoZero"/>
        <c:crossBetween val="midCat"/>
        <c:majorUnit val="2"/>
      </c:valAx>
    </c:plotArea>
    <c:legend>
      <c:legendPos val="b"/>
      <c:layout>
        <c:manualLayout>
          <c:xMode val="edge"/>
          <c:yMode val="edge"/>
          <c:x val="4.9999816456509423E-2"/>
          <c:y val="0.90798351563520596"/>
          <c:w val="0.9"/>
          <c:h val="7.9950119357252311E-2"/>
        </c:manualLayout>
      </c:layout>
      <c:txPr>
        <a:bodyPr/>
        <a:lstStyle/>
        <a:p>
          <a:pPr>
            <a:defRPr sz="600"/>
          </a:pPr>
          <a:endParaRPr lang="en-US"/>
        </a:p>
      </c:txPr>
    </c:legend>
    <c:plotVisOnly val="1"/>
    <c:dispBlanksAs val="gap"/>
  </c:chart>
  <c:spPr>
    <a:ln>
      <a:noFill/>
    </a:ln>
  </c:spPr>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7470144356955442"/>
          <c:y val="5.5197145078801087E-2"/>
          <c:w val="0.77101738845144296"/>
          <c:h val="0.67295316184419562"/>
        </c:manualLayout>
      </c:layout>
      <c:scatterChart>
        <c:scatterStyle val="smoothMarker"/>
        <c:ser>
          <c:idx val="0"/>
          <c:order val="0"/>
          <c:tx>
            <c:v>Control</c:v>
          </c:tx>
          <c:errBars>
            <c:errDir val="y"/>
            <c:errBarType val="both"/>
            <c:errValType val="cust"/>
            <c:plus>
              <c:numRef>
                <c:f>(Color!$E$65,Color!$M$65,Color!$U$65,Color!$AC$65)</c:f>
                <c:numCache>
                  <c:formatCode>General</c:formatCode>
                  <c:ptCount val="4"/>
                  <c:pt idx="0">
                    <c:v>1.6405564096773262</c:v>
                  </c:pt>
                  <c:pt idx="1">
                    <c:v>0.68955927954020502</c:v>
                  </c:pt>
                  <c:pt idx="2">
                    <c:v>0.46197643037519431</c:v>
                  </c:pt>
                  <c:pt idx="3">
                    <c:v>0.40163665171395302</c:v>
                  </c:pt>
                </c:numCache>
              </c:numRef>
            </c:plus>
            <c:minus>
              <c:numRef>
                <c:f>(Color!$E$65,Color!$M$65,Color!$U$65,Color!$AC$65)</c:f>
                <c:numCache>
                  <c:formatCode>General</c:formatCode>
                  <c:ptCount val="4"/>
                  <c:pt idx="0">
                    <c:v>1.6405564096773262</c:v>
                  </c:pt>
                  <c:pt idx="1">
                    <c:v>0.68955927954020502</c:v>
                  </c:pt>
                  <c:pt idx="2">
                    <c:v>0.46197643037519431</c:v>
                  </c:pt>
                  <c:pt idx="3">
                    <c:v>0.40163665171395302</c:v>
                  </c:pt>
                </c:numCache>
              </c:numRef>
            </c:minus>
          </c:errBars>
          <c:xVal>
            <c:numRef>
              <c:f>Color!$AI$38:$AL$38</c:f>
              <c:numCache>
                <c:formatCode>General</c:formatCode>
                <c:ptCount val="4"/>
                <c:pt idx="0">
                  <c:v>0</c:v>
                </c:pt>
                <c:pt idx="1">
                  <c:v>90</c:v>
                </c:pt>
                <c:pt idx="2">
                  <c:v>180</c:v>
                </c:pt>
                <c:pt idx="3">
                  <c:v>270</c:v>
                </c:pt>
              </c:numCache>
            </c:numRef>
          </c:xVal>
          <c:yVal>
            <c:numRef>
              <c:f>(Color!$E$57,Color!$M$57,Color!$U$57,Color!$AC$57)</c:f>
              <c:numCache>
                <c:formatCode>0.00</c:formatCode>
                <c:ptCount val="4"/>
                <c:pt idx="0">
                  <c:v>2.4366666666666577</c:v>
                </c:pt>
                <c:pt idx="1">
                  <c:v>3.8239999999999998</c:v>
                </c:pt>
                <c:pt idx="2">
                  <c:v>6.0866666666666704</c:v>
                </c:pt>
                <c:pt idx="3">
                  <c:v>7.1939999999999946</c:v>
                </c:pt>
              </c:numCache>
            </c:numRef>
          </c:yVal>
          <c:smooth val="1"/>
        </c:ser>
        <c:ser>
          <c:idx val="1"/>
          <c:order val="1"/>
          <c:tx>
            <c:v>CaCl2</c:v>
          </c:tx>
          <c:errBars>
            <c:errDir val="y"/>
            <c:errBarType val="both"/>
            <c:errValType val="cust"/>
            <c:plus>
              <c:numRef>
                <c:f>(Color!$E$66,Color!$M$66,Color!$U$66,Color!$AC$66)</c:f>
                <c:numCache>
                  <c:formatCode>General</c:formatCode>
                  <c:ptCount val="4"/>
                  <c:pt idx="0">
                    <c:v>1.168681878585158</c:v>
                  </c:pt>
                  <c:pt idx="1">
                    <c:v>0.54916664137582449</c:v>
                  </c:pt>
                  <c:pt idx="2">
                    <c:v>1.1455129855222161</c:v>
                  </c:pt>
                  <c:pt idx="3">
                    <c:v>3.1112698372207804E-2</c:v>
                  </c:pt>
                </c:numCache>
              </c:numRef>
            </c:plus>
            <c:minus>
              <c:numRef>
                <c:f>(Color!$E$66,Color!$M$66,Color!$U$66,Color!$AC$66)</c:f>
                <c:numCache>
                  <c:formatCode>General</c:formatCode>
                  <c:ptCount val="4"/>
                  <c:pt idx="0">
                    <c:v>1.168681878585158</c:v>
                  </c:pt>
                  <c:pt idx="1">
                    <c:v>0.54916664137582449</c:v>
                  </c:pt>
                  <c:pt idx="2">
                    <c:v>1.1455129855222161</c:v>
                  </c:pt>
                  <c:pt idx="3">
                    <c:v>3.1112698372207804E-2</c:v>
                  </c:pt>
                </c:numCache>
              </c:numRef>
            </c:minus>
          </c:errBars>
          <c:xVal>
            <c:numRef>
              <c:f>Color!$AI$38:$AL$38</c:f>
              <c:numCache>
                <c:formatCode>General</c:formatCode>
                <c:ptCount val="4"/>
                <c:pt idx="0">
                  <c:v>0</c:v>
                </c:pt>
                <c:pt idx="1">
                  <c:v>90</c:v>
                </c:pt>
                <c:pt idx="2">
                  <c:v>180</c:v>
                </c:pt>
                <c:pt idx="3">
                  <c:v>270</c:v>
                </c:pt>
              </c:numCache>
            </c:numRef>
          </c:xVal>
          <c:yVal>
            <c:numRef>
              <c:f>(Color!$E$58,Color!$M$58,Color!$U$58,Color!$AC$58)</c:f>
              <c:numCache>
                <c:formatCode>0.00</c:formatCode>
                <c:ptCount val="4"/>
                <c:pt idx="0">
                  <c:v>2.254666666666667</c:v>
                </c:pt>
                <c:pt idx="1">
                  <c:v>5.3279999999999745</c:v>
                </c:pt>
                <c:pt idx="2">
                  <c:v>5.8699999999999957</c:v>
                </c:pt>
                <c:pt idx="3">
                  <c:v>7.5299999999999976</c:v>
                </c:pt>
              </c:numCache>
            </c:numRef>
          </c:yVal>
          <c:smooth val="1"/>
        </c:ser>
        <c:ser>
          <c:idx val="2"/>
          <c:order val="2"/>
          <c:tx>
            <c:v>Flavonoid</c:v>
          </c:tx>
          <c:errBars>
            <c:errDir val="y"/>
            <c:errBarType val="both"/>
            <c:errValType val="cust"/>
            <c:plus>
              <c:numRef>
                <c:f>(Color!$E$67,Color!$M$67,Color!$U$67,Color!$AC$67)</c:f>
                <c:numCache>
                  <c:formatCode>General</c:formatCode>
                  <c:ptCount val="4"/>
                  <c:pt idx="0">
                    <c:v>0.39530747526451326</c:v>
                  </c:pt>
                  <c:pt idx="1">
                    <c:v>0.18268004817166042</c:v>
                  </c:pt>
                  <c:pt idx="2">
                    <c:v>1.1431559629182662</c:v>
                  </c:pt>
                  <c:pt idx="3">
                    <c:v>4.4194173824158869E-2</c:v>
                  </c:pt>
                </c:numCache>
              </c:numRef>
            </c:plus>
            <c:minus>
              <c:numRef>
                <c:f>(Color!$E$67,Color!$M$67,Color!$U$67,Color!$AC$67)</c:f>
                <c:numCache>
                  <c:formatCode>General</c:formatCode>
                  <c:ptCount val="4"/>
                  <c:pt idx="0">
                    <c:v>0.39530747526451326</c:v>
                  </c:pt>
                  <c:pt idx="1">
                    <c:v>0.18268004817166042</c:v>
                  </c:pt>
                  <c:pt idx="2">
                    <c:v>1.1431559629182662</c:v>
                  </c:pt>
                  <c:pt idx="3">
                    <c:v>4.4194173824158869E-2</c:v>
                  </c:pt>
                </c:numCache>
              </c:numRef>
            </c:minus>
          </c:errBars>
          <c:xVal>
            <c:numRef>
              <c:f>Color!$AI$38:$AL$38</c:f>
              <c:numCache>
                <c:formatCode>General</c:formatCode>
                <c:ptCount val="4"/>
                <c:pt idx="0">
                  <c:v>0</c:v>
                </c:pt>
                <c:pt idx="1">
                  <c:v>90</c:v>
                </c:pt>
                <c:pt idx="2">
                  <c:v>180</c:v>
                </c:pt>
                <c:pt idx="3">
                  <c:v>270</c:v>
                </c:pt>
              </c:numCache>
            </c:numRef>
          </c:xVal>
          <c:yVal>
            <c:numRef>
              <c:f>(Color!$E$59,Color!$M$59,Color!$U$59,Color!$AC$59)</c:f>
              <c:numCache>
                <c:formatCode>0.00</c:formatCode>
                <c:ptCount val="4"/>
                <c:pt idx="0">
                  <c:v>1.839999999999991</c:v>
                </c:pt>
                <c:pt idx="1">
                  <c:v>2.1539999999999999</c:v>
                </c:pt>
                <c:pt idx="2">
                  <c:v>3.4883333333333342</c:v>
                </c:pt>
                <c:pt idx="3">
                  <c:v>4.3687499999999986</c:v>
                </c:pt>
              </c:numCache>
            </c:numRef>
          </c:yVal>
          <c:smooth val="1"/>
        </c:ser>
        <c:ser>
          <c:idx val="3"/>
          <c:order val="3"/>
          <c:tx>
            <c:v>Flavonoid-CaCl2</c:v>
          </c:tx>
          <c:errBars>
            <c:errDir val="y"/>
            <c:errBarType val="both"/>
            <c:errValType val="cust"/>
            <c:plus>
              <c:numRef>
                <c:f>(Color!$E$68,Color!$M$68,Color!$U$68,Color!$AC$68)</c:f>
                <c:numCache>
                  <c:formatCode>General</c:formatCode>
                  <c:ptCount val="4"/>
                  <c:pt idx="0">
                    <c:v>1.2142904649767134</c:v>
                  </c:pt>
                  <c:pt idx="1">
                    <c:v>0.64864268540803005</c:v>
                  </c:pt>
                  <c:pt idx="2">
                    <c:v>0.9333809511662432</c:v>
                  </c:pt>
                  <c:pt idx="3">
                    <c:v>0.20788939366883524</c:v>
                  </c:pt>
                </c:numCache>
              </c:numRef>
            </c:plus>
            <c:minus>
              <c:numRef>
                <c:f>(Color!$E$68,Color!$M$68,Color!$U$68,Color!$AC$68)</c:f>
                <c:numCache>
                  <c:formatCode>General</c:formatCode>
                  <c:ptCount val="4"/>
                  <c:pt idx="0">
                    <c:v>1.2142904649767134</c:v>
                  </c:pt>
                  <c:pt idx="1">
                    <c:v>0.64864268540803005</c:v>
                  </c:pt>
                  <c:pt idx="2">
                    <c:v>0.9333809511662432</c:v>
                  </c:pt>
                  <c:pt idx="3">
                    <c:v>0.20788939366883524</c:v>
                  </c:pt>
                </c:numCache>
              </c:numRef>
            </c:minus>
          </c:errBars>
          <c:xVal>
            <c:numRef>
              <c:f>Color!$AI$38:$AL$38</c:f>
              <c:numCache>
                <c:formatCode>General</c:formatCode>
                <c:ptCount val="4"/>
                <c:pt idx="0">
                  <c:v>0</c:v>
                </c:pt>
                <c:pt idx="1">
                  <c:v>90</c:v>
                </c:pt>
                <c:pt idx="2">
                  <c:v>180</c:v>
                </c:pt>
                <c:pt idx="3">
                  <c:v>270</c:v>
                </c:pt>
              </c:numCache>
            </c:numRef>
          </c:xVal>
          <c:yVal>
            <c:numRef>
              <c:f>(Color!$E$60,Color!$M$60,Color!$U$60,Color!$AC$60)</c:f>
              <c:numCache>
                <c:formatCode>0.00</c:formatCode>
                <c:ptCount val="4"/>
                <c:pt idx="0">
                  <c:v>1.706666666666667</c:v>
                </c:pt>
                <c:pt idx="1">
                  <c:v>3.2073333333333411</c:v>
                </c:pt>
                <c:pt idx="2">
                  <c:v>5.52</c:v>
                </c:pt>
                <c:pt idx="3">
                  <c:v>4.8990000000000009</c:v>
                </c:pt>
              </c:numCache>
            </c:numRef>
          </c:yVal>
          <c:smooth val="1"/>
        </c:ser>
        <c:axId val="128894464"/>
        <c:axId val="128896384"/>
      </c:scatterChart>
      <c:valAx>
        <c:axId val="128894464"/>
        <c:scaling>
          <c:orientation val="minMax"/>
        </c:scaling>
        <c:axPos val="b"/>
        <c:title>
          <c:tx>
            <c:rich>
              <a:bodyPr/>
              <a:lstStyle/>
              <a:p>
                <a:pPr>
                  <a:defRPr/>
                </a:pPr>
                <a:r>
                  <a:rPr lang="en-US"/>
                  <a:t>Storage</a:t>
                </a:r>
                <a:r>
                  <a:rPr lang="en-US" baseline="0"/>
                  <a:t> (days)</a:t>
                </a:r>
                <a:endParaRPr lang="en-US"/>
              </a:p>
            </c:rich>
          </c:tx>
          <c:layout>
            <c:manualLayout>
              <c:xMode val="edge"/>
              <c:yMode val="edge"/>
              <c:x val="0.41017880577428273"/>
              <c:y val="0.83003082796468863"/>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28896384"/>
        <c:crosses val="autoZero"/>
        <c:crossBetween val="midCat"/>
      </c:valAx>
      <c:valAx>
        <c:axId val="128896384"/>
        <c:scaling>
          <c:orientation val="minMax"/>
          <c:max val="8"/>
          <c:min val="-2"/>
        </c:scaling>
        <c:axPos val="l"/>
        <c:title>
          <c:tx>
            <c:rich>
              <a:bodyPr/>
              <a:lstStyle/>
              <a:p>
                <a:pPr>
                  <a:defRPr/>
                </a:pPr>
                <a:r>
                  <a:rPr lang="en-US"/>
                  <a:t>a*</a:t>
                </a:r>
              </a:p>
            </c:rich>
          </c:tx>
        </c:title>
        <c:numFmt formatCode="0.0" sourceLinked="0"/>
        <c:majorTickMark val="none"/>
        <c:tickLblPos val="nextTo"/>
        <c:txPr>
          <a:bodyPr/>
          <a:lstStyle/>
          <a:p>
            <a:pPr>
              <a:defRPr sz="800"/>
            </a:pPr>
            <a:endParaRPr lang="en-US"/>
          </a:p>
        </c:txPr>
        <c:crossAx val="128894464"/>
        <c:crosses val="autoZero"/>
        <c:crossBetween val="midCat"/>
        <c:majorUnit val="2"/>
      </c:valAx>
    </c:plotArea>
    <c:legend>
      <c:legendPos val="b"/>
      <c:txPr>
        <a:bodyPr/>
        <a:lstStyle/>
        <a:p>
          <a:pPr>
            <a:defRPr sz="700"/>
          </a:pPr>
          <a:endParaRPr lang="en-US"/>
        </a:p>
      </c:txPr>
    </c:legend>
    <c:plotVisOnly val="1"/>
    <c:dispBlanksAs val="gap"/>
  </c:chart>
  <c:spPr>
    <a:ln>
      <a:noFill/>
    </a:ln>
  </c:spPr>
  <c:externalData r:id="rId1"/>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7470144356955442"/>
          <c:y val="5.5197145078801087E-2"/>
          <c:w val="0.77101738845144296"/>
          <c:h val="0.71482113194298202"/>
        </c:manualLayout>
      </c:layout>
      <c:scatterChart>
        <c:scatterStyle val="smoothMarker"/>
        <c:ser>
          <c:idx val="0"/>
          <c:order val="0"/>
          <c:tx>
            <c:v>Control</c:v>
          </c:tx>
          <c:errBars>
            <c:errDir val="x"/>
            <c:errBarType val="both"/>
            <c:errValType val="fixedVal"/>
            <c:val val="1"/>
          </c:errBars>
          <c:errBars>
            <c:errDir val="y"/>
            <c:errBarType val="both"/>
            <c:errValType val="cust"/>
            <c:plus>
              <c:numRef>
                <c:f>(Color!$C$100,Color!$K$100,Color!$S$100,Color!$AA$100)</c:f>
                <c:numCache>
                  <c:formatCode>General</c:formatCode>
                  <c:ptCount val="4"/>
                  <c:pt idx="0">
                    <c:v>0.7828869650211282</c:v>
                  </c:pt>
                  <c:pt idx="1">
                    <c:v>3.2526911934581203E-2</c:v>
                  </c:pt>
                  <c:pt idx="2">
                    <c:v>0.58454160578088099</c:v>
                  </c:pt>
                  <c:pt idx="3">
                    <c:v>0.22334162505337288</c:v>
                  </c:pt>
                </c:numCache>
              </c:numRef>
            </c:plus>
            <c:minus>
              <c:numRef>
                <c:f>(Color!$C$100,Color!$K$100,Color!$S$100,Color!$AA$100)</c:f>
                <c:numCache>
                  <c:formatCode>General</c:formatCode>
                  <c:ptCount val="4"/>
                  <c:pt idx="0">
                    <c:v>0.7828869650211282</c:v>
                  </c:pt>
                  <c:pt idx="1">
                    <c:v>3.2526911934581203E-2</c:v>
                  </c:pt>
                  <c:pt idx="2">
                    <c:v>0.58454160578088099</c:v>
                  </c:pt>
                  <c:pt idx="3">
                    <c:v>0.22334162505337288</c:v>
                  </c:pt>
                </c:numCache>
              </c:numRef>
            </c:minus>
          </c:errBars>
          <c:xVal>
            <c:numRef>
              <c:f>Color!$AH$69:$AK$69</c:f>
              <c:numCache>
                <c:formatCode>General</c:formatCode>
                <c:ptCount val="4"/>
                <c:pt idx="0">
                  <c:v>0</c:v>
                </c:pt>
                <c:pt idx="1">
                  <c:v>88</c:v>
                </c:pt>
                <c:pt idx="2">
                  <c:v>193</c:v>
                </c:pt>
                <c:pt idx="3">
                  <c:v>245</c:v>
                </c:pt>
              </c:numCache>
            </c:numRef>
          </c:xVal>
          <c:yVal>
            <c:numRef>
              <c:f>(Color!$C$92,Color!$K$92,Color!$S$92,Color!$AA$92)</c:f>
              <c:numCache>
                <c:formatCode>0.00</c:formatCode>
                <c:ptCount val="4"/>
                <c:pt idx="0">
                  <c:v>-0.12200000000000009</c:v>
                </c:pt>
                <c:pt idx="1">
                  <c:v>1.125</c:v>
                </c:pt>
                <c:pt idx="2">
                  <c:v>1.9800000000000073</c:v>
                </c:pt>
                <c:pt idx="3">
                  <c:v>4.1655555555554908</c:v>
                </c:pt>
              </c:numCache>
            </c:numRef>
          </c:yVal>
          <c:smooth val="1"/>
        </c:ser>
        <c:ser>
          <c:idx val="1"/>
          <c:order val="1"/>
          <c:tx>
            <c:v>CaCl2</c:v>
          </c:tx>
          <c:errBars>
            <c:errDir val="x"/>
            <c:errBarType val="both"/>
            <c:errValType val="fixedVal"/>
            <c:val val="1"/>
          </c:errBars>
          <c:errBars>
            <c:errDir val="y"/>
            <c:errBarType val="both"/>
            <c:errValType val="cust"/>
            <c:plus>
              <c:numRef>
                <c:f>(Color!$C$101,Color!$K$101,Color!$S$101,Color!$AA$101)</c:f>
                <c:numCache>
                  <c:formatCode>General</c:formatCode>
                  <c:ptCount val="4"/>
                  <c:pt idx="0">
                    <c:v>0.82638812511635595</c:v>
                  </c:pt>
                  <c:pt idx="1">
                    <c:v>0.24607315985291842</c:v>
                  </c:pt>
                  <c:pt idx="2">
                    <c:v>0.11549410759381802</c:v>
                  </c:pt>
                  <c:pt idx="3">
                    <c:v>0.16405735221200121</c:v>
                  </c:pt>
                </c:numCache>
              </c:numRef>
            </c:plus>
            <c:minus>
              <c:numRef>
                <c:f>(Color!$C$101,Color!$K$101,Color!$S$101,Color!$AA$101)</c:f>
                <c:numCache>
                  <c:formatCode>General</c:formatCode>
                  <c:ptCount val="4"/>
                  <c:pt idx="0">
                    <c:v>0.82638812511635595</c:v>
                  </c:pt>
                  <c:pt idx="1">
                    <c:v>0.24607315985291842</c:v>
                  </c:pt>
                  <c:pt idx="2">
                    <c:v>0.11549410759381802</c:v>
                  </c:pt>
                  <c:pt idx="3">
                    <c:v>0.16405735221200121</c:v>
                  </c:pt>
                </c:numCache>
              </c:numRef>
            </c:minus>
          </c:errBars>
          <c:xVal>
            <c:numRef>
              <c:f>Color!$AH$69:$AK$69</c:f>
              <c:numCache>
                <c:formatCode>General</c:formatCode>
                <c:ptCount val="4"/>
                <c:pt idx="0">
                  <c:v>0</c:v>
                </c:pt>
                <c:pt idx="1">
                  <c:v>88</c:v>
                </c:pt>
                <c:pt idx="2">
                  <c:v>193</c:v>
                </c:pt>
                <c:pt idx="3">
                  <c:v>245</c:v>
                </c:pt>
              </c:numCache>
            </c:numRef>
          </c:xVal>
          <c:yVal>
            <c:numRef>
              <c:f>(Color!$C$93,Color!$K$93,Color!$S$93,Color!$AA$93)</c:f>
              <c:numCache>
                <c:formatCode>0.00</c:formatCode>
                <c:ptCount val="4"/>
                <c:pt idx="0">
                  <c:v>-0.38266666666666938</c:v>
                </c:pt>
                <c:pt idx="1">
                  <c:v>2.262</c:v>
                </c:pt>
                <c:pt idx="2">
                  <c:v>3.8349999999999977</c:v>
                </c:pt>
                <c:pt idx="3">
                  <c:v>4.5822222222222324</c:v>
                </c:pt>
              </c:numCache>
            </c:numRef>
          </c:yVal>
          <c:smooth val="1"/>
        </c:ser>
        <c:ser>
          <c:idx val="2"/>
          <c:order val="2"/>
          <c:tx>
            <c:v>Flavonoid</c:v>
          </c:tx>
          <c:errBars>
            <c:errDir val="x"/>
            <c:errBarType val="both"/>
            <c:errValType val="fixedVal"/>
            <c:val val="1"/>
          </c:errBars>
          <c:errBars>
            <c:errDir val="y"/>
            <c:errBarType val="both"/>
            <c:errValType val="cust"/>
            <c:plus>
              <c:numRef>
                <c:f>(Color!$C$102,Color!$K$102,Color!$S$102,Color!$AA$102)</c:f>
                <c:numCache>
                  <c:formatCode>General</c:formatCode>
                  <c:ptCount val="4"/>
                  <c:pt idx="0">
                    <c:v>0.56791287803415502</c:v>
                  </c:pt>
                  <c:pt idx="1">
                    <c:v>0.82024386617639855</c:v>
                  </c:pt>
                  <c:pt idx="2">
                    <c:v>0.54682924411759903</c:v>
                  </c:pt>
                  <c:pt idx="3">
                    <c:v>0.43697614139464563</c:v>
                  </c:pt>
                </c:numCache>
              </c:numRef>
            </c:plus>
            <c:minus>
              <c:numRef>
                <c:f>(Color!$C$102,Color!$K$102,Color!$S$102,Color!$AA$102)</c:f>
                <c:numCache>
                  <c:formatCode>General</c:formatCode>
                  <c:ptCount val="4"/>
                  <c:pt idx="0">
                    <c:v>0.56791287803415502</c:v>
                  </c:pt>
                  <c:pt idx="1">
                    <c:v>0.82024386617639855</c:v>
                  </c:pt>
                  <c:pt idx="2">
                    <c:v>0.54682924411759903</c:v>
                  </c:pt>
                  <c:pt idx="3">
                    <c:v>0.43697614139464563</c:v>
                  </c:pt>
                </c:numCache>
              </c:numRef>
            </c:minus>
          </c:errBars>
          <c:xVal>
            <c:numRef>
              <c:f>Color!$AH$69:$AK$69</c:f>
              <c:numCache>
                <c:formatCode>General</c:formatCode>
                <c:ptCount val="4"/>
                <c:pt idx="0">
                  <c:v>0</c:v>
                </c:pt>
                <c:pt idx="1">
                  <c:v>88</c:v>
                </c:pt>
                <c:pt idx="2">
                  <c:v>193</c:v>
                </c:pt>
                <c:pt idx="3">
                  <c:v>245</c:v>
                </c:pt>
              </c:numCache>
            </c:numRef>
          </c:xVal>
          <c:yVal>
            <c:numRef>
              <c:f>(Color!$C$94,Color!$K$94,Color!$S$94,Color!$AA$94)</c:f>
              <c:numCache>
                <c:formatCode>0.00</c:formatCode>
                <c:ptCount val="4"/>
                <c:pt idx="0">
                  <c:v>-1.2848888888888901</c:v>
                </c:pt>
                <c:pt idx="1">
                  <c:v>0.68</c:v>
                </c:pt>
                <c:pt idx="2">
                  <c:v>2.6833333333333402</c:v>
                </c:pt>
                <c:pt idx="3">
                  <c:v>3.451111111111111</c:v>
                </c:pt>
              </c:numCache>
            </c:numRef>
          </c:yVal>
          <c:smooth val="1"/>
        </c:ser>
        <c:ser>
          <c:idx val="3"/>
          <c:order val="3"/>
          <c:tx>
            <c:v>Flavonoid-CaCl2</c:v>
          </c:tx>
          <c:errBars>
            <c:errDir val="x"/>
            <c:errBarType val="both"/>
            <c:errValType val="fixedVal"/>
            <c:val val="1"/>
          </c:errBars>
          <c:errBars>
            <c:errDir val="y"/>
            <c:errBarType val="both"/>
            <c:errValType val="cust"/>
            <c:plus>
              <c:numRef>
                <c:f>(Color!$C$103,Color!$K$103,Color!$S$103,Color!$AA$103)</c:f>
                <c:numCache>
                  <c:formatCode>General</c:formatCode>
                  <c:ptCount val="4"/>
                  <c:pt idx="0">
                    <c:v>0.17088397623338858</c:v>
                  </c:pt>
                  <c:pt idx="1">
                    <c:v>0.40305086527633432</c:v>
                  </c:pt>
                  <c:pt idx="2">
                    <c:v>4.9497474683057922E-2</c:v>
                  </c:pt>
                  <c:pt idx="3">
                    <c:v>8.7622929520560028E-2</c:v>
                  </c:pt>
                </c:numCache>
              </c:numRef>
            </c:plus>
            <c:minus>
              <c:numRef>
                <c:f>(Color!$C$103,Color!$K$103,Color!$S$103,Color!$AA$103)</c:f>
                <c:numCache>
                  <c:formatCode>General</c:formatCode>
                  <c:ptCount val="4"/>
                  <c:pt idx="0">
                    <c:v>0.17088397623338858</c:v>
                  </c:pt>
                  <c:pt idx="1">
                    <c:v>0.40305086527633432</c:v>
                  </c:pt>
                  <c:pt idx="2">
                    <c:v>4.9497474683057922E-2</c:v>
                  </c:pt>
                  <c:pt idx="3">
                    <c:v>8.7622929520560028E-2</c:v>
                  </c:pt>
                </c:numCache>
              </c:numRef>
            </c:minus>
          </c:errBars>
          <c:xVal>
            <c:numRef>
              <c:f>Color!$AH$69:$AK$69</c:f>
              <c:numCache>
                <c:formatCode>General</c:formatCode>
                <c:ptCount val="4"/>
                <c:pt idx="0">
                  <c:v>0</c:v>
                </c:pt>
                <c:pt idx="1">
                  <c:v>88</c:v>
                </c:pt>
                <c:pt idx="2">
                  <c:v>193</c:v>
                </c:pt>
                <c:pt idx="3">
                  <c:v>245</c:v>
                </c:pt>
              </c:numCache>
            </c:numRef>
          </c:xVal>
          <c:yVal>
            <c:numRef>
              <c:f>(Color!$C$95,Color!$K$95,Color!$S$95,Color!$AA$95)</c:f>
              <c:numCache>
                <c:formatCode>0.00</c:formatCode>
                <c:ptCount val="4"/>
                <c:pt idx="0">
                  <c:v>0.65333333333333565</c:v>
                </c:pt>
                <c:pt idx="1">
                  <c:v>1.2949999999999928</c:v>
                </c:pt>
                <c:pt idx="2">
                  <c:v>4.0816666666666714</c:v>
                </c:pt>
                <c:pt idx="3">
                  <c:v>4.3366666666666704</c:v>
                </c:pt>
              </c:numCache>
            </c:numRef>
          </c:yVal>
          <c:smooth val="1"/>
        </c:ser>
        <c:axId val="130450176"/>
        <c:axId val="130452096"/>
      </c:scatterChart>
      <c:valAx>
        <c:axId val="130450176"/>
        <c:scaling>
          <c:orientation val="minMax"/>
          <c:min val="0"/>
        </c:scaling>
        <c:axPos val="b"/>
        <c:title>
          <c:tx>
            <c:rich>
              <a:bodyPr/>
              <a:lstStyle/>
              <a:p>
                <a:pPr>
                  <a:defRPr/>
                </a:pPr>
                <a:r>
                  <a:rPr lang="en-US"/>
                  <a:t>Storage</a:t>
                </a:r>
                <a:r>
                  <a:rPr lang="en-US" baseline="0"/>
                  <a:t> (days)</a:t>
                </a:r>
                <a:endParaRPr lang="en-US"/>
              </a:p>
            </c:rich>
          </c:tx>
          <c:layout>
            <c:manualLayout>
              <c:xMode val="edge"/>
              <c:yMode val="edge"/>
              <c:x val="0.41017880577428273"/>
              <c:y val="0.83003103699490455"/>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0452096"/>
        <c:crosses val="autoZero"/>
        <c:crossBetween val="midCat"/>
      </c:valAx>
      <c:valAx>
        <c:axId val="130452096"/>
        <c:scaling>
          <c:orientation val="minMax"/>
          <c:max val="8"/>
          <c:min val="-2"/>
        </c:scaling>
        <c:axPos val="l"/>
        <c:title>
          <c:tx>
            <c:rich>
              <a:bodyPr/>
              <a:lstStyle/>
              <a:p>
                <a:pPr>
                  <a:defRPr/>
                </a:pPr>
                <a:r>
                  <a:rPr lang="en-US"/>
                  <a:t>a*</a:t>
                </a:r>
              </a:p>
            </c:rich>
          </c:tx>
        </c:title>
        <c:numFmt formatCode="0.0" sourceLinked="0"/>
        <c:majorTickMark val="none"/>
        <c:tickLblPos val="nextTo"/>
        <c:txPr>
          <a:bodyPr/>
          <a:lstStyle/>
          <a:p>
            <a:pPr>
              <a:defRPr sz="800"/>
            </a:pPr>
            <a:endParaRPr lang="en-US"/>
          </a:p>
        </c:txPr>
        <c:crossAx val="130450176"/>
        <c:crosses val="autoZero"/>
        <c:crossBetween val="midCat"/>
        <c:majorUnit val="2"/>
      </c:valAx>
    </c:plotArea>
    <c:legend>
      <c:legendPos val="b"/>
      <c:txPr>
        <a:bodyPr/>
        <a:lstStyle/>
        <a:p>
          <a:pPr>
            <a:defRPr sz="700"/>
          </a:pPr>
          <a:endParaRPr lang="en-US"/>
        </a:p>
      </c:txPr>
    </c:legend>
    <c:plotVisOnly val="1"/>
    <c:dispBlanksAs val="gap"/>
  </c:chart>
  <c:spPr>
    <a:ln>
      <a:noFill/>
    </a:ln>
  </c:spPr>
  <c:externalData r:id="rId1"/>
</c:chartSpace>
</file>

<file path=word/charts/chart53.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8577827623811297"/>
          <c:y val="5.8167132122708833E-2"/>
          <c:w val="0.68586789322193098"/>
          <c:h val="0.6891667840817417"/>
        </c:manualLayout>
      </c:layout>
      <c:scatterChart>
        <c:scatterStyle val="smoothMarker"/>
        <c:ser>
          <c:idx val="0"/>
          <c:order val="0"/>
          <c:tx>
            <c:v>Control</c:v>
          </c:tx>
          <c:errBars>
            <c:errDir val="y"/>
            <c:errBarType val="both"/>
            <c:errValType val="cust"/>
            <c:plus>
              <c:numRef>
                <c:f>(Color!$F$30,Color!$N$30,Color!$V$30,Color!$AD$30)</c:f>
                <c:numCache>
                  <c:formatCode>General</c:formatCode>
                  <c:ptCount val="4"/>
                  <c:pt idx="0">
                    <c:v>0.89626409798319362</c:v>
                  </c:pt>
                  <c:pt idx="1">
                    <c:v>2.2755767034606951</c:v>
                  </c:pt>
                  <c:pt idx="2">
                    <c:v>0.39807704446931402</c:v>
                  </c:pt>
                  <c:pt idx="3">
                    <c:v>0.59567216934615896</c:v>
                  </c:pt>
                </c:numCache>
              </c:numRef>
            </c:plus>
            <c:minus>
              <c:numRef>
                <c:f>(Color!$F$30,Color!$N$30,Color!$V$30,Color!$AD$30)</c:f>
                <c:numCache>
                  <c:formatCode>General</c:formatCode>
                  <c:ptCount val="4"/>
                  <c:pt idx="0">
                    <c:v>0.89626409798319362</c:v>
                  </c:pt>
                  <c:pt idx="1">
                    <c:v>2.2755767034606951</c:v>
                  </c:pt>
                  <c:pt idx="2">
                    <c:v>0.39807704446931402</c:v>
                  </c:pt>
                  <c:pt idx="3">
                    <c:v>0.59567216934615896</c:v>
                  </c:pt>
                </c:numCache>
              </c:numRef>
            </c:minus>
          </c:errBars>
          <c:xVal>
            <c:numRef>
              <c:f>Color!$AI$38:$AL$38</c:f>
              <c:numCache>
                <c:formatCode>General</c:formatCode>
                <c:ptCount val="4"/>
                <c:pt idx="0">
                  <c:v>0</c:v>
                </c:pt>
                <c:pt idx="1">
                  <c:v>14</c:v>
                </c:pt>
                <c:pt idx="2">
                  <c:v>28</c:v>
                </c:pt>
                <c:pt idx="3">
                  <c:v>42</c:v>
                </c:pt>
              </c:numCache>
            </c:numRef>
          </c:xVal>
          <c:yVal>
            <c:numRef>
              <c:f>(Color!$F$22,Color!$N$22,Color!$V$22,Color!$AD$22)</c:f>
              <c:numCache>
                <c:formatCode>0.00</c:formatCode>
                <c:ptCount val="4"/>
                <c:pt idx="0">
                  <c:v>29.477333333333085</c:v>
                </c:pt>
                <c:pt idx="1">
                  <c:v>29.006666666666671</c:v>
                </c:pt>
                <c:pt idx="2">
                  <c:v>26.511333333333184</c:v>
                </c:pt>
                <c:pt idx="3">
                  <c:v>26.652666666666661</c:v>
                </c:pt>
              </c:numCache>
            </c:numRef>
          </c:yVal>
          <c:smooth val="1"/>
        </c:ser>
        <c:ser>
          <c:idx val="1"/>
          <c:order val="1"/>
          <c:tx>
            <c:v>CaCl2</c:v>
          </c:tx>
          <c:errBars>
            <c:errDir val="y"/>
            <c:errBarType val="both"/>
            <c:errValType val="cust"/>
            <c:plus>
              <c:numRef>
                <c:f>(Color!$F$31,Color!$N$31,Color!$V$31,Color!$AD$31)</c:f>
                <c:numCache>
                  <c:formatCode>General</c:formatCode>
                  <c:ptCount val="4"/>
                  <c:pt idx="0">
                    <c:v>1.3660107369027166</c:v>
                  </c:pt>
                  <c:pt idx="1">
                    <c:v>1.29571807633195</c:v>
                  </c:pt>
                  <c:pt idx="2">
                    <c:v>0.83164655954305178</c:v>
                  </c:pt>
                  <c:pt idx="3">
                    <c:v>1.657236253525773</c:v>
                  </c:pt>
                </c:numCache>
              </c:numRef>
            </c:plus>
            <c:minus>
              <c:numRef>
                <c:f>(Color!$F$31,Color!$N$31,Color!$V$31,Color!$AD$31)</c:f>
                <c:numCache>
                  <c:formatCode>General</c:formatCode>
                  <c:ptCount val="4"/>
                  <c:pt idx="0">
                    <c:v>1.3660107369027166</c:v>
                  </c:pt>
                  <c:pt idx="1">
                    <c:v>1.29571807633195</c:v>
                  </c:pt>
                  <c:pt idx="2">
                    <c:v>0.83164655954305178</c:v>
                  </c:pt>
                  <c:pt idx="3">
                    <c:v>1.657236253525773</c:v>
                  </c:pt>
                </c:numCache>
              </c:numRef>
            </c:minus>
          </c:errBars>
          <c:xVal>
            <c:numRef>
              <c:f>Color!$AI$38:$AL$38</c:f>
              <c:numCache>
                <c:formatCode>General</c:formatCode>
                <c:ptCount val="4"/>
                <c:pt idx="0">
                  <c:v>0</c:v>
                </c:pt>
                <c:pt idx="1">
                  <c:v>14</c:v>
                </c:pt>
                <c:pt idx="2">
                  <c:v>28</c:v>
                </c:pt>
                <c:pt idx="3">
                  <c:v>42</c:v>
                </c:pt>
              </c:numCache>
            </c:numRef>
          </c:xVal>
          <c:yVal>
            <c:numRef>
              <c:f>(Color!$F$23,Color!$N$23,Color!$V$23,Color!$AD$23)</c:f>
              <c:numCache>
                <c:formatCode>0.00</c:formatCode>
                <c:ptCount val="4"/>
                <c:pt idx="0">
                  <c:v>24.52866666666667</c:v>
                </c:pt>
                <c:pt idx="1">
                  <c:v>25.475333333333023</c:v>
                </c:pt>
                <c:pt idx="2">
                  <c:v>24.081999999999987</c:v>
                </c:pt>
                <c:pt idx="3">
                  <c:v>25.058</c:v>
                </c:pt>
              </c:numCache>
            </c:numRef>
          </c:yVal>
          <c:smooth val="1"/>
        </c:ser>
        <c:ser>
          <c:idx val="2"/>
          <c:order val="2"/>
          <c:tx>
            <c:v>Flavonoid</c:v>
          </c:tx>
          <c:errBars>
            <c:errDir val="y"/>
            <c:errBarType val="both"/>
            <c:errValType val="cust"/>
            <c:plus>
              <c:numRef>
                <c:f>(Color!$F$32,Color!$N$32,Color!$V$32,Color!$AD$32)</c:f>
                <c:numCache>
                  <c:formatCode>General</c:formatCode>
                  <c:ptCount val="4"/>
                  <c:pt idx="0">
                    <c:v>3.9097653808551467</c:v>
                  </c:pt>
                  <c:pt idx="1">
                    <c:v>0.7614906434093881</c:v>
                  </c:pt>
                  <c:pt idx="2">
                    <c:v>2.3843640661609884</c:v>
                  </c:pt>
                  <c:pt idx="3">
                    <c:v>1.448802263940796</c:v>
                  </c:pt>
                </c:numCache>
              </c:numRef>
            </c:plus>
            <c:minus>
              <c:numRef>
                <c:f>(Color!$F$32,Color!$N$32,Color!$V$32,Color!$AD$32)</c:f>
                <c:numCache>
                  <c:formatCode>General</c:formatCode>
                  <c:ptCount val="4"/>
                  <c:pt idx="0">
                    <c:v>3.9097653808551467</c:v>
                  </c:pt>
                  <c:pt idx="1">
                    <c:v>0.7614906434093881</c:v>
                  </c:pt>
                  <c:pt idx="2">
                    <c:v>2.3843640661609884</c:v>
                  </c:pt>
                  <c:pt idx="3">
                    <c:v>1.448802263940796</c:v>
                  </c:pt>
                </c:numCache>
              </c:numRef>
            </c:minus>
          </c:errBars>
          <c:xVal>
            <c:numRef>
              <c:f>Color!$AI$38:$AL$38</c:f>
              <c:numCache>
                <c:formatCode>General</c:formatCode>
                <c:ptCount val="4"/>
                <c:pt idx="0">
                  <c:v>0</c:v>
                </c:pt>
                <c:pt idx="1">
                  <c:v>14</c:v>
                </c:pt>
                <c:pt idx="2">
                  <c:v>28</c:v>
                </c:pt>
                <c:pt idx="3">
                  <c:v>42</c:v>
                </c:pt>
              </c:numCache>
            </c:numRef>
          </c:xVal>
          <c:yVal>
            <c:numRef>
              <c:f>(Color!$F$24,Color!$N$24,Color!$V$24,Color!$AD$24)</c:f>
              <c:numCache>
                <c:formatCode>0.00</c:formatCode>
                <c:ptCount val="4"/>
                <c:pt idx="0">
                  <c:v>27.821333333333119</c:v>
                </c:pt>
                <c:pt idx="1">
                  <c:v>29.4</c:v>
                </c:pt>
                <c:pt idx="2">
                  <c:v>29.602</c:v>
                </c:pt>
                <c:pt idx="3">
                  <c:v>26.061999999999987</c:v>
                </c:pt>
              </c:numCache>
            </c:numRef>
          </c:yVal>
          <c:smooth val="1"/>
        </c:ser>
        <c:ser>
          <c:idx val="3"/>
          <c:order val="3"/>
          <c:tx>
            <c:v>Flavonoid+CaCl2</c:v>
          </c:tx>
          <c:errBars>
            <c:errDir val="y"/>
            <c:errBarType val="both"/>
            <c:errValType val="cust"/>
            <c:plus>
              <c:numRef>
                <c:f>(Color!$F$33,Color!$N$33,Color!$V$33,Color!$AD$33)</c:f>
                <c:numCache>
                  <c:formatCode>General</c:formatCode>
                  <c:ptCount val="4"/>
                  <c:pt idx="0">
                    <c:v>2.4270355031051931</c:v>
                  </c:pt>
                  <c:pt idx="1">
                    <c:v>0.64912967374274555</c:v>
                  </c:pt>
                  <c:pt idx="2">
                    <c:v>1.880351385601519</c:v>
                  </c:pt>
                  <c:pt idx="3">
                    <c:v>1.3396665940946608</c:v>
                  </c:pt>
                </c:numCache>
              </c:numRef>
            </c:plus>
            <c:minus>
              <c:numRef>
                <c:f>(Color!$F$33,Color!$N$33,Color!$V$33,Color!$AD$33)</c:f>
                <c:numCache>
                  <c:formatCode>General</c:formatCode>
                  <c:ptCount val="4"/>
                  <c:pt idx="0">
                    <c:v>2.4270355031051931</c:v>
                  </c:pt>
                  <c:pt idx="1">
                    <c:v>0.64912967374274555</c:v>
                  </c:pt>
                  <c:pt idx="2">
                    <c:v>1.880351385601519</c:v>
                  </c:pt>
                  <c:pt idx="3">
                    <c:v>1.3396665940946608</c:v>
                  </c:pt>
                </c:numCache>
              </c:numRef>
            </c:minus>
          </c:errBars>
          <c:xVal>
            <c:numRef>
              <c:f>Color!$AI$38:$AL$38</c:f>
              <c:numCache>
                <c:formatCode>General</c:formatCode>
                <c:ptCount val="4"/>
                <c:pt idx="0">
                  <c:v>0</c:v>
                </c:pt>
                <c:pt idx="1">
                  <c:v>14</c:v>
                </c:pt>
                <c:pt idx="2">
                  <c:v>28</c:v>
                </c:pt>
                <c:pt idx="3">
                  <c:v>42</c:v>
                </c:pt>
              </c:numCache>
            </c:numRef>
          </c:xVal>
          <c:yVal>
            <c:numRef>
              <c:f>(Color!$F$25,Color!$N$25,Color!$V$25,Color!$AD$25)</c:f>
              <c:numCache>
                <c:formatCode>0.00</c:formatCode>
                <c:ptCount val="4"/>
                <c:pt idx="0">
                  <c:v>25.465333333332982</c:v>
                </c:pt>
                <c:pt idx="1">
                  <c:v>27.32866666666666</c:v>
                </c:pt>
                <c:pt idx="2">
                  <c:v>25.126666666666701</c:v>
                </c:pt>
                <c:pt idx="3">
                  <c:v>24.155333333333111</c:v>
                </c:pt>
              </c:numCache>
            </c:numRef>
          </c:yVal>
          <c:smooth val="1"/>
        </c:ser>
        <c:axId val="130492672"/>
        <c:axId val="130531712"/>
      </c:scatterChart>
      <c:valAx>
        <c:axId val="130492672"/>
        <c:scaling>
          <c:orientation val="minMax"/>
          <c:max val="48"/>
        </c:scaling>
        <c:axPos val="b"/>
        <c:title>
          <c:tx>
            <c:rich>
              <a:bodyPr/>
              <a:lstStyle/>
              <a:p>
                <a:pPr>
                  <a:defRPr sz="800"/>
                </a:pPr>
                <a:r>
                  <a:rPr lang="es-ES" sz="800"/>
                  <a:t>Storage</a:t>
                </a:r>
                <a:r>
                  <a:rPr lang="es-ES" sz="800" baseline="0"/>
                  <a:t> (days)</a:t>
                </a:r>
                <a:endParaRPr lang="es-ES" sz="800"/>
              </a:p>
            </c:rich>
          </c:tx>
          <c:layout>
            <c:manualLayout>
              <c:xMode val="edge"/>
              <c:yMode val="edge"/>
              <c:x val="0.396297120115504"/>
              <c:y val="0.8515577218481305"/>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0531712"/>
        <c:crosses val="autoZero"/>
        <c:crossBetween val="midCat"/>
        <c:majorUnit val="6"/>
      </c:valAx>
      <c:valAx>
        <c:axId val="130531712"/>
        <c:scaling>
          <c:orientation val="minMax"/>
          <c:max val="40"/>
          <c:min val="10"/>
        </c:scaling>
        <c:axPos val="l"/>
        <c:title>
          <c:tx>
            <c:rich>
              <a:bodyPr/>
              <a:lstStyle/>
              <a:p>
                <a:pPr>
                  <a:defRPr sz="800"/>
                </a:pPr>
                <a:r>
                  <a:rPr lang="es-ES" sz="800"/>
                  <a:t>b*</a:t>
                </a:r>
              </a:p>
            </c:rich>
          </c:tx>
        </c:title>
        <c:numFmt formatCode="0.0" sourceLinked="0"/>
        <c:majorTickMark val="none"/>
        <c:tickLblPos val="nextTo"/>
        <c:txPr>
          <a:bodyPr/>
          <a:lstStyle/>
          <a:p>
            <a:pPr>
              <a:defRPr sz="800"/>
            </a:pPr>
            <a:endParaRPr lang="en-US"/>
          </a:p>
        </c:txPr>
        <c:crossAx val="130492672"/>
        <c:crosses val="autoZero"/>
        <c:crossBetween val="midCat"/>
        <c:majorUnit val="4"/>
      </c:valAx>
    </c:plotArea>
    <c:legend>
      <c:legendPos val="b"/>
      <c:layout>
        <c:manualLayout>
          <c:xMode val="edge"/>
          <c:yMode val="edge"/>
          <c:x val="1.6169215523832103E-2"/>
          <c:y val="0.90555319493719744"/>
          <c:w val="0.96723156877366157"/>
          <c:h val="6.9691178156055716E-2"/>
        </c:manualLayout>
      </c:layout>
      <c:txPr>
        <a:bodyPr/>
        <a:lstStyle/>
        <a:p>
          <a:pPr>
            <a:defRPr sz="600"/>
          </a:pPr>
          <a:endParaRPr lang="en-US"/>
        </a:p>
      </c:txPr>
    </c:legend>
    <c:plotVisOnly val="1"/>
    <c:dispBlanksAs val="gap"/>
  </c:chart>
  <c:spPr>
    <a:ln>
      <a:noFill/>
    </a:ln>
  </c:spPr>
  <c:externalData r:id="rId1"/>
</c:chartSpace>
</file>

<file path=word/charts/chart54.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21481094591617442"/>
          <c:y val="4.6200013957708334E-2"/>
          <c:w val="0.67124189958140934"/>
          <c:h val="0.70883348454183803"/>
        </c:manualLayout>
      </c:layout>
      <c:scatterChart>
        <c:scatterStyle val="smoothMarker"/>
        <c:ser>
          <c:idx val="0"/>
          <c:order val="0"/>
          <c:tx>
            <c:v>Control</c:v>
          </c:tx>
          <c:errBars>
            <c:errDir val="y"/>
            <c:errBarType val="both"/>
            <c:errValType val="cust"/>
            <c:plus>
              <c:numRef>
                <c:f>(Color!$F$65,Color!$N$65,Color!$V$65,Color!$AD$65)</c:f>
                <c:numCache>
                  <c:formatCode>General</c:formatCode>
                  <c:ptCount val="4"/>
                  <c:pt idx="0">
                    <c:v>0.62671950131859122</c:v>
                  </c:pt>
                  <c:pt idx="1">
                    <c:v>1.8823182515186601</c:v>
                  </c:pt>
                  <c:pt idx="2">
                    <c:v>0.25455844122647031</c:v>
                  </c:pt>
                  <c:pt idx="3">
                    <c:v>1.8823182515185441</c:v>
                  </c:pt>
                </c:numCache>
              </c:numRef>
            </c:plus>
            <c:minus>
              <c:numRef>
                <c:f>(Color!$F$65,Color!$N$65,Color!$V$65,Color!$AD$65)</c:f>
                <c:numCache>
                  <c:formatCode>General</c:formatCode>
                  <c:ptCount val="4"/>
                  <c:pt idx="0">
                    <c:v>0.62671950131859122</c:v>
                  </c:pt>
                  <c:pt idx="1">
                    <c:v>1.8823182515186601</c:v>
                  </c:pt>
                  <c:pt idx="2">
                    <c:v>0.25455844122647031</c:v>
                  </c:pt>
                  <c:pt idx="3">
                    <c:v>1.8823182515185441</c:v>
                  </c:pt>
                </c:numCache>
              </c:numRef>
            </c:minus>
          </c:errBars>
          <c:xVal>
            <c:numRef>
              <c:f>Color!$AI$38:$AL$38</c:f>
              <c:numCache>
                <c:formatCode>General</c:formatCode>
                <c:ptCount val="4"/>
                <c:pt idx="0">
                  <c:v>0</c:v>
                </c:pt>
                <c:pt idx="1">
                  <c:v>14</c:v>
                </c:pt>
                <c:pt idx="2">
                  <c:v>28</c:v>
                </c:pt>
                <c:pt idx="3">
                  <c:v>42</c:v>
                </c:pt>
              </c:numCache>
            </c:numRef>
          </c:xVal>
          <c:yVal>
            <c:numRef>
              <c:f>(Color!$F$57,Color!$N$57,Color!$V$57,Color!$AD$57)</c:f>
              <c:numCache>
                <c:formatCode>0.00</c:formatCode>
                <c:ptCount val="4"/>
                <c:pt idx="0">
                  <c:v>32.37133333333334</c:v>
                </c:pt>
                <c:pt idx="1">
                  <c:v>30.811000000000096</c:v>
                </c:pt>
                <c:pt idx="2">
                  <c:v>29.698</c:v>
                </c:pt>
                <c:pt idx="3">
                  <c:v>26.277000000000001</c:v>
                </c:pt>
              </c:numCache>
            </c:numRef>
          </c:yVal>
          <c:smooth val="1"/>
        </c:ser>
        <c:ser>
          <c:idx val="1"/>
          <c:order val="1"/>
          <c:tx>
            <c:v>CaCl2</c:v>
          </c:tx>
          <c:errBars>
            <c:errDir val="y"/>
            <c:errBarType val="both"/>
            <c:errValType val="cust"/>
            <c:plus>
              <c:numRef>
                <c:f>(Color!$F$66,Color!$N$66,Color!$V$66,Color!$AD$66)</c:f>
                <c:numCache>
                  <c:formatCode>General</c:formatCode>
                  <c:ptCount val="4"/>
                  <c:pt idx="0">
                    <c:v>2.8423935922622032</c:v>
                  </c:pt>
                  <c:pt idx="1">
                    <c:v>0.79894013125727503</c:v>
                  </c:pt>
                  <c:pt idx="2">
                    <c:v>1.7352400410316711</c:v>
                  </c:pt>
                  <c:pt idx="3">
                    <c:v>1.4410836200581898</c:v>
                  </c:pt>
                </c:numCache>
              </c:numRef>
            </c:plus>
            <c:minus>
              <c:numRef>
                <c:f>(Color!$F$66,Color!$N$66,Color!$V$66,Color!$AD$66)</c:f>
                <c:numCache>
                  <c:formatCode>General</c:formatCode>
                  <c:ptCount val="4"/>
                  <c:pt idx="0">
                    <c:v>2.8423935922622032</c:v>
                  </c:pt>
                  <c:pt idx="1">
                    <c:v>0.79894013125727503</c:v>
                  </c:pt>
                  <c:pt idx="2">
                    <c:v>1.7352400410316711</c:v>
                  </c:pt>
                  <c:pt idx="3">
                    <c:v>1.4410836200581898</c:v>
                  </c:pt>
                </c:numCache>
              </c:numRef>
            </c:minus>
          </c:errBars>
          <c:xVal>
            <c:numRef>
              <c:f>Color!$AI$38:$AL$38</c:f>
              <c:numCache>
                <c:formatCode>General</c:formatCode>
                <c:ptCount val="4"/>
                <c:pt idx="0">
                  <c:v>0</c:v>
                </c:pt>
                <c:pt idx="1">
                  <c:v>14</c:v>
                </c:pt>
                <c:pt idx="2">
                  <c:v>28</c:v>
                </c:pt>
                <c:pt idx="3">
                  <c:v>42</c:v>
                </c:pt>
              </c:numCache>
            </c:numRef>
          </c:xVal>
          <c:yVal>
            <c:numRef>
              <c:f>(Color!$F$58,Color!$N$58,Color!$V$58,Color!$AD$58)</c:f>
              <c:numCache>
                <c:formatCode>0.00</c:formatCode>
                <c:ptCount val="4"/>
                <c:pt idx="0">
                  <c:v>34.436666666666127</c:v>
                </c:pt>
                <c:pt idx="1">
                  <c:v>26.940666666666669</c:v>
                </c:pt>
                <c:pt idx="2">
                  <c:v>25.093</c:v>
                </c:pt>
                <c:pt idx="3">
                  <c:v>24.390999999999988</c:v>
                </c:pt>
              </c:numCache>
            </c:numRef>
          </c:yVal>
          <c:smooth val="1"/>
        </c:ser>
        <c:ser>
          <c:idx val="2"/>
          <c:order val="2"/>
          <c:tx>
            <c:v>Flavonoid</c:v>
          </c:tx>
          <c:errBars>
            <c:errDir val="y"/>
            <c:errBarType val="both"/>
            <c:errValType val="cust"/>
            <c:plus>
              <c:numRef>
                <c:f>(Color!$F$67,Color!$N$67,Color!$V$67,Color!$AD$67)</c:f>
                <c:numCache>
                  <c:formatCode>General</c:formatCode>
                  <c:ptCount val="4"/>
                  <c:pt idx="0">
                    <c:v>2.813553150970014</c:v>
                  </c:pt>
                  <c:pt idx="1">
                    <c:v>0.30319190842372379</c:v>
                  </c:pt>
                  <c:pt idx="2">
                    <c:v>1.5796765491707701</c:v>
                  </c:pt>
                  <c:pt idx="3">
                    <c:v>1.2388510806386579</c:v>
                  </c:pt>
                </c:numCache>
              </c:numRef>
            </c:plus>
            <c:minus>
              <c:numRef>
                <c:f>(Color!$F$67,Color!$N$67,Color!$V$67,Color!$AD$67)</c:f>
                <c:numCache>
                  <c:formatCode>General</c:formatCode>
                  <c:ptCount val="4"/>
                  <c:pt idx="0">
                    <c:v>2.813553150970014</c:v>
                  </c:pt>
                  <c:pt idx="1">
                    <c:v>0.30319190842372379</c:v>
                  </c:pt>
                  <c:pt idx="2">
                    <c:v>1.5796765491707701</c:v>
                  </c:pt>
                  <c:pt idx="3">
                    <c:v>1.2388510806386579</c:v>
                  </c:pt>
                </c:numCache>
              </c:numRef>
            </c:minus>
          </c:errBars>
          <c:xVal>
            <c:numRef>
              <c:f>Color!$AI$38:$AL$38</c:f>
              <c:numCache>
                <c:formatCode>General</c:formatCode>
                <c:ptCount val="4"/>
                <c:pt idx="0">
                  <c:v>0</c:v>
                </c:pt>
                <c:pt idx="1">
                  <c:v>14</c:v>
                </c:pt>
                <c:pt idx="2">
                  <c:v>28</c:v>
                </c:pt>
                <c:pt idx="3">
                  <c:v>42</c:v>
                </c:pt>
              </c:numCache>
            </c:numRef>
          </c:xVal>
          <c:yVal>
            <c:numRef>
              <c:f>(Color!$F$59,Color!$N$59,Color!$V$59,Color!$AD$59)</c:f>
              <c:numCache>
                <c:formatCode>0.00</c:formatCode>
                <c:ptCount val="4"/>
                <c:pt idx="0">
                  <c:v>34.697333333333333</c:v>
                </c:pt>
                <c:pt idx="1">
                  <c:v>29.055333333333071</c:v>
                </c:pt>
                <c:pt idx="2">
                  <c:v>28.857000000000031</c:v>
                </c:pt>
                <c:pt idx="3">
                  <c:v>27.630000000000031</c:v>
                </c:pt>
              </c:numCache>
            </c:numRef>
          </c:yVal>
          <c:smooth val="1"/>
        </c:ser>
        <c:ser>
          <c:idx val="3"/>
          <c:order val="3"/>
          <c:tx>
            <c:v>Flavonoid+CaCl2</c:v>
          </c:tx>
          <c:errBars>
            <c:errDir val="y"/>
            <c:errBarType val="both"/>
            <c:errValType val="cust"/>
            <c:plus>
              <c:numRef>
                <c:f>(Color!$F$68,Color!$N$68,Color!$V$68,Color!$AD$68)</c:f>
                <c:numCache>
                  <c:formatCode>General</c:formatCode>
                  <c:ptCount val="4"/>
                  <c:pt idx="0">
                    <c:v>3.7855653915014011</c:v>
                  </c:pt>
                  <c:pt idx="1">
                    <c:v>0.38409026716815914</c:v>
                  </c:pt>
                  <c:pt idx="2">
                    <c:v>1.0577529642282621</c:v>
                  </c:pt>
                  <c:pt idx="3">
                    <c:v>2.3787072119115402</c:v>
                  </c:pt>
                </c:numCache>
              </c:numRef>
            </c:plus>
            <c:minus>
              <c:numRef>
                <c:f>(Color!$F$68,Color!$N$68,Color!$V$68,Color!$AD$68)</c:f>
                <c:numCache>
                  <c:formatCode>General</c:formatCode>
                  <c:ptCount val="4"/>
                  <c:pt idx="0">
                    <c:v>3.7855653915014011</c:v>
                  </c:pt>
                  <c:pt idx="1">
                    <c:v>0.38409026716815914</c:v>
                  </c:pt>
                  <c:pt idx="2">
                    <c:v>1.0577529642282621</c:v>
                  </c:pt>
                  <c:pt idx="3">
                    <c:v>2.3787072119115402</c:v>
                  </c:pt>
                </c:numCache>
              </c:numRef>
            </c:minus>
          </c:errBars>
          <c:xVal>
            <c:numRef>
              <c:f>Color!$AI$38:$AL$38</c:f>
              <c:numCache>
                <c:formatCode>General</c:formatCode>
                <c:ptCount val="4"/>
                <c:pt idx="0">
                  <c:v>0</c:v>
                </c:pt>
                <c:pt idx="1">
                  <c:v>14</c:v>
                </c:pt>
                <c:pt idx="2">
                  <c:v>28</c:v>
                </c:pt>
                <c:pt idx="3">
                  <c:v>42</c:v>
                </c:pt>
              </c:numCache>
            </c:numRef>
          </c:xVal>
          <c:yVal>
            <c:numRef>
              <c:f>(Color!$F$60,Color!$N$60,Color!$V$60,Color!$AD$60)</c:f>
              <c:numCache>
                <c:formatCode>0.00</c:formatCode>
                <c:ptCount val="4"/>
                <c:pt idx="0">
                  <c:v>32.740666666666193</c:v>
                </c:pt>
                <c:pt idx="1">
                  <c:v>27.29666666666667</c:v>
                </c:pt>
                <c:pt idx="2">
                  <c:v>26.37866666666666</c:v>
                </c:pt>
                <c:pt idx="3">
                  <c:v>22.941999999999986</c:v>
                </c:pt>
              </c:numCache>
            </c:numRef>
          </c:yVal>
          <c:smooth val="1"/>
        </c:ser>
        <c:axId val="130674688"/>
        <c:axId val="130676608"/>
      </c:scatterChart>
      <c:valAx>
        <c:axId val="130674688"/>
        <c:scaling>
          <c:orientation val="minMax"/>
        </c:scaling>
        <c:axPos val="b"/>
        <c:title>
          <c:tx>
            <c:rich>
              <a:bodyPr/>
              <a:lstStyle/>
              <a:p>
                <a:pPr>
                  <a:defRPr sz="800"/>
                </a:pPr>
                <a:r>
                  <a:rPr lang="es-ES" sz="800"/>
                  <a:t>Storage</a:t>
                </a:r>
                <a:r>
                  <a:rPr lang="es-ES" sz="800" baseline="0"/>
                  <a:t> (days)</a:t>
                </a:r>
                <a:endParaRPr lang="es-ES" sz="800"/>
              </a:p>
            </c:rich>
          </c:tx>
          <c:layout>
            <c:manualLayout>
              <c:xMode val="edge"/>
              <c:yMode val="edge"/>
              <c:x val="0.396297120115504"/>
              <c:y val="0.8515577218481305"/>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0676608"/>
        <c:crosses val="autoZero"/>
        <c:crossBetween val="midCat"/>
        <c:majorUnit val="6"/>
      </c:valAx>
      <c:valAx>
        <c:axId val="130676608"/>
        <c:scaling>
          <c:orientation val="minMax"/>
          <c:max val="40"/>
          <c:min val="10"/>
        </c:scaling>
        <c:axPos val="l"/>
        <c:title>
          <c:tx>
            <c:rich>
              <a:bodyPr/>
              <a:lstStyle/>
              <a:p>
                <a:pPr>
                  <a:defRPr sz="800"/>
                </a:pPr>
                <a:r>
                  <a:rPr lang="es-ES" sz="800"/>
                  <a:t>b*</a:t>
                </a:r>
              </a:p>
            </c:rich>
          </c:tx>
        </c:title>
        <c:numFmt formatCode="0.0" sourceLinked="0"/>
        <c:majorTickMark val="none"/>
        <c:tickLblPos val="nextTo"/>
        <c:txPr>
          <a:bodyPr/>
          <a:lstStyle/>
          <a:p>
            <a:pPr>
              <a:defRPr sz="800"/>
            </a:pPr>
            <a:endParaRPr lang="en-US"/>
          </a:p>
        </c:txPr>
        <c:crossAx val="130674688"/>
        <c:crosses val="autoZero"/>
        <c:crossBetween val="midCat"/>
        <c:majorUnit val="4"/>
      </c:valAx>
    </c:plotArea>
    <c:legend>
      <c:legendPos val="b"/>
      <c:layout>
        <c:manualLayout>
          <c:xMode val="edge"/>
          <c:yMode val="edge"/>
          <c:x val="1.6169215523832103E-2"/>
          <c:y val="0.90555319493719832"/>
          <c:w val="0.94824164887676698"/>
          <c:h val="6.9691178156055716E-2"/>
        </c:manualLayout>
      </c:layout>
      <c:txPr>
        <a:bodyPr/>
        <a:lstStyle/>
        <a:p>
          <a:pPr>
            <a:defRPr sz="600"/>
          </a:pPr>
          <a:endParaRPr lang="en-US"/>
        </a:p>
      </c:txPr>
    </c:legend>
    <c:plotVisOnly val="1"/>
    <c:dispBlanksAs val="gap"/>
  </c:chart>
  <c:spPr>
    <a:ln>
      <a:noFill/>
    </a:ln>
  </c:spPr>
  <c:externalData r:id="rId1"/>
</c:chartSpace>
</file>

<file path=word/charts/chart5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0033845125314301"/>
          <c:y val="3.0051721062957011E-2"/>
          <c:w val="0.68571439424443004"/>
          <c:h val="0.71498844611937429"/>
        </c:manualLayout>
      </c:layout>
      <c:scatterChart>
        <c:scatterStyle val="smoothMarker"/>
        <c:ser>
          <c:idx val="0"/>
          <c:order val="0"/>
          <c:tx>
            <c:v>Control</c:v>
          </c:tx>
          <c:errBars>
            <c:errDir val="y"/>
            <c:errBarType val="both"/>
            <c:errValType val="fixedVal"/>
            <c:val val="1"/>
          </c:errBars>
          <c:xVal>
            <c:numRef>
              <c:f>Color!$AI$38:$AL$38</c:f>
              <c:numCache>
                <c:formatCode>General</c:formatCode>
                <c:ptCount val="4"/>
                <c:pt idx="0">
                  <c:v>0</c:v>
                </c:pt>
                <c:pt idx="1">
                  <c:v>14</c:v>
                </c:pt>
                <c:pt idx="2">
                  <c:v>28</c:v>
                </c:pt>
                <c:pt idx="3">
                  <c:v>42</c:v>
                </c:pt>
              </c:numCache>
            </c:numRef>
          </c:xVal>
          <c:yVal>
            <c:numRef>
              <c:f>(Color!$D$92,Color!$L$92,Color!$T$92,Color!$AB$92)</c:f>
              <c:numCache>
                <c:formatCode>0.00</c:formatCode>
                <c:ptCount val="4"/>
                <c:pt idx="0">
                  <c:v>29.24666666666667</c:v>
                </c:pt>
                <c:pt idx="1">
                  <c:v>27.519333333333144</c:v>
                </c:pt>
                <c:pt idx="2">
                  <c:v>26.618333333333144</c:v>
                </c:pt>
                <c:pt idx="3">
                  <c:v>25.5</c:v>
                </c:pt>
              </c:numCache>
            </c:numRef>
          </c:yVal>
          <c:smooth val="1"/>
        </c:ser>
        <c:ser>
          <c:idx val="1"/>
          <c:order val="1"/>
          <c:tx>
            <c:v>CaCl2</c:v>
          </c:tx>
          <c:errBars>
            <c:errDir val="y"/>
            <c:errBarType val="both"/>
            <c:errValType val="cust"/>
            <c:plus>
              <c:numRef>
                <c:f>(Color!$D$101,Color!$L$101,Color!$T$101,Color!$AB$101)</c:f>
                <c:numCache>
                  <c:formatCode>General</c:formatCode>
                  <c:ptCount val="4"/>
                  <c:pt idx="0">
                    <c:v>3.0489029721086487</c:v>
                  </c:pt>
                  <c:pt idx="1">
                    <c:v>1.3683045469971991</c:v>
                  </c:pt>
                  <c:pt idx="2">
                    <c:v>0.50881660088215419</c:v>
                  </c:pt>
                  <c:pt idx="3">
                    <c:v>0.115470053837925</c:v>
                  </c:pt>
                </c:numCache>
              </c:numRef>
            </c:plus>
            <c:minus>
              <c:numRef>
                <c:f>(Color!$D$101,Color!$L$101,Color!$T$101,Color!$AB$101)</c:f>
                <c:numCache>
                  <c:formatCode>General</c:formatCode>
                  <c:ptCount val="4"/>
                  <c:pt idx="0">
                    <c:v>3.0489029721086487</c:v>
                  </c:pt>
                  <c:pt idx="1">
                    <c:v>1.3683045469971991</c:v>
                  </c:pt>
                  <c:pt idx="2">
                    <c:v>0.50881660088215419</c:v>
                  </c:pt>
                  <c:pt idx="3">
                    <c:v>0.115470053837925</c:v>
                  </c:pt>
                </c:numCache>
              </c:numRef>
            </c:minus>
          </c:errBars>
          <c:xVal>
            <c:numRef>
              <c:f>Color!$AI$38:$AL$38</c:f>
              <c:numCache>
                <c:formatCode>General</c:formatCode>
                <c:ptCount val="4"/>
                <c:pt idx="0">
                  <c:v>0</c:v>
                </c:pt>
                <c:pt idx="1">
                  <c:v>14</c:v>
                </c:pt>
                <c:pt idx="2">
                  <c:v>28</c:v>
                </c:pt>
                <c:pt idx="3">
                  <c:v>42</c:v>
                </c:pt>
              </c:numCache>
            </c:numRef>
          </c:xVal>
          <c:yVal>
            <c:numRef>
              <c:f>(Color!$D$93,Color!$L$93,Color!$T$93,Color!$AB$93)</c:f>
              <c:numCache>
                <c:formatCode>0.00</c:formatCode>
                <c:ptCount val="4"/>
                <c:pt idx="0">
                  <c:v>27.39</c:v>
                </c:pt>
                <c:pt idx="1">
                  <c:v>28.447999999999986</c:v>
                </c:pt>
                <c:pt idx="2">
                  <c:v>22.814000000000117</c:v>
                </c:pt>
                <c:pt idx="3">
                  <c:v>20.2</c:v>
                </c:pt>
              </c:numCache>
            </c:numRef>
          </c:yVal>
          <c:smooth val="1"/>
        </c:ser>
        <c:ser>
          <c:idx val="2"/>
          <c:order val="2"/>
          <c:tx>
            <c:v>Flavonoid</c:v>
          </c:tx>
          <c:errBars>
            <c:errDir val="y"/>
            <c:errBarType val="both"/>
            <c:errValType val="cust"/>
            <c:plus>
              <c:numRef>
                <c:f>(Color!$D$102,Color!$L$102,Color!$T$102,Color!$AB$102)</c:f>
                <c:numCache>
                  <c:formatCode>General</c:formatCode>
                  <c:ptCount val="4"/>
                  <c:pt idx="0">
                    <c:v>0.17500857121860755</c:v>
                  </c:pt>
                  <c:pt idx="1">
                    <c:v>2.9528779182350529</c:v>
                  </c:pt>
                  <c:pt idx="2">
                    <c:v>1.6259237374488658</c:v>
                  </c:pt>
                  <c:pt idx="3">
                    <c:v>0.70710678118654757</c:v>
                  </c:pt>
                </c:numCache>
              </c:numRef>
            </c:plus>
            <c:minus>
              <c:numRef>
                <c:f>(Color!$D$102,Color!$L$102,Color!$T$102,Color!$AB$102)</c:f>
                <c:numCache>
                  <c:formatCode>General</c:formatCode>
                  <c:ptCount val="4"/>
                  <c:pt idx="0">
                    <c:v>0.17500857121860755</c:v>
                  </c:pt>
                  <c:pt idx="1">
                    <c:v>2.9528779182350529</c:v>
                  </c:pt>
                  <c:pt idx="2">
                    <c:v>1.6259237374488658</c:v>
                  </c:pt>
                  <c:pt idx="3">
                    <c:v>0.70710678118654757</c:v>
                  </c:pt>
                </c:numCache>
              </c:numRef>
            </c:minus>
          </c:errBars>
          <c:xVal>
            <c:numRef>
              <c:f>Color!$AI$38:$AL$38</c:f>
              <c:numCache>
                <c:formatCode>General</c:formatCode>
                <c:ptCount val="4"/>
                <c:pt idx="0">
                  <c:v>0</c:v>
                </c:pt>
                <c:pt idx="1">
                  <c:v>14</c:v>
                </c:pt>
                <c:pt idx="2">
                  <c:v>28</c:v>
                </c:pt>
                <c:pt idx="3">
                  <c:v>42</c:v>
                </c:pt>
              </c:numCache>
            </c:numRef>
          </c:xVal>
          <c:yVal>
            <c:numRef>
              <c:f>(Color!$D$94,Color!$L$94,Color!$T$94,Color!$AB$94)</c:f>
              <c:numCache>
                <c:formatCode>0.00</c:formatCode>
                <c:ptCount val="4"/>
                <c:pt idx="0">
                  <c:v>27.659555555555631</c:v>
                </c:pt>
                <c:pt idx="1">
                  <c:v>28.951000000000001</c:v>
                </c:pt>
                <c:pt idx="2">
                  <c:v>27.269333333333034</c:v>
                </c:pt>
                <c:pt idx="3">
                  <c:v>26.266666666666669</c:v>
                </c:pt>
              </c:numCache>
            </c:numRef>
          </c:yVal>
          <c:smooth val="1"/>
        </c:ser>
        <c:ser>
          <c:idx val="3"/>
          <c:order val="3"/>
          <c:tx>
            <c:v>Flavonoid+CaCl2</c:v>
          </c:tx>
          <c:errBars>
            <c:errDir val="y"/>
            <c:errBarType val="both"/>
            <c:errValType val="cust"/>
            <c:plus>
              <c:numRef>
                <c:f>(Color!$D$103,Color!$L$103,Color!$T$103,Color!$AB$103)</c:f>
                <c:numCache>
                  <c:formatCode>General</c:formatCode>
                  <c:ptCount val="4"/>
                  <c:pt idx="0">
                    <c:v>0.27671646138271355</c:v>
                  </c:pt>
                  <c:pt idx="1">
                    <c:v>1.9072727474939519</c:v>
                  </c:pt>
                  <c:pt idx="2">
                    <c:v>0.254325251073103</c:v>
                  </c:pt>
                  <c:pt idx="3">
                    <c:v>1.418919776919513</c:v>
                  </c:pt>
                </c:numCache>
              </c:numRef>
            </c:plus>
            <c:minus>
              <c:numRef>
                <c:f>(Color!$D$103,Color!$L$103,Color!$T$103,Color!$AB$103)</c:f>
                <c:numCache>
                  <c:formatCode>General</c:formatCode>
                  <c:ptCount val="4"/>
                  <c:pt idx="0">
                    <c:v>0.27671646138271355</c:v>
                  </c:pt>
                  <c:pt idx="1">
                    <c:v>1.9072727474939519</c:v>
                  </c:pt>
                  <c:pt idx="2">
                    <c:v>0.254325251073103</c:v>
                  </c:pt>
                  <c:pt idx="3">
                    <c:v>1.418919776919513</c:v>
                  </c:pt>
                </c:numCache>
              </c:numRef>
            </c:minus>
          </c:errBars>
          <c:xVal>
            <c:numRef>
              <c:f>Color!$AI$38:$AL$38</c:f>
              <c:numCache>
                <c:formatCode>General</c:formatCode>
                <c:ptCount val="4"/>
                <c:pt idx="0">
                  <c:v>0</c:v>
                </c:pt>
                <c:pt idx="1">
                  <c:v>14</c:v>
                </c:pt>
                <c:pt idx="2">
                  <c:v>28</c:v>
                </c:pt>
                <c:pt idx="3">
                  <c:v>42</c:v>
                </c:pt>
              </c:numCache>
            </c:numRef>
          </c:xVal>
          <c:yVal>
            <c:numRef>
              <c:f>(Color!$D$95,Color!$L$95,Color!$T$95,Color!$AB$95)</c:f>
              <c:numCache>
                <c:formatCode>0.00</c:formatCode>
                <c:ptCount val="4"/>
                <c:pt idx="0">
                  <c:v>28.2</c:v>
                </c:pt>
                <c:pt idx="1">
                  <c:v>24.671333333333184</c:v>
                </c:pt>
                <c:pt idx="2">
                  <c:v>24.624666666666705</c:v>
                </c:pt>
                <c:pt idx="3">
                  <c:v>23.266666666666669</c:v>
                </c:pt>
              </c:numCache>
            </c:numRef>
          </c:yVal>
          <c:smooth val="1"/>
        </c:ser>
        <c:axId val="132089344"/>
        <c:axId val="132091264"/>
      </c:scatterChart>
      <c:valAx>
        <c:axId val="132089344"/>
        <c:scaling>
          <c:orientation val="minMax"/>
          <c:max val="42"/>
          <c:min val="0"/>
        </c:scaling>
        <c:axPos val="b"/>
        <c:title>
          <c:tx>
            <c:rich>
              <a:bodyPr/>
              <a:lstStyle/>
              <a:p>
                <a:pPr>
                  <a:defRPr sz="800"/>
                </a:pPr>
                <a:r>
                  <a:rPr lang="es-ES" sz="800"/>
                  <a:t>Storage</a:t>
                </a:r>
                <a:r>
                  <a:rPr lang="es-ES" sz="800" baseline="0"/>
                  <a:t> (days)</a:t>
                </a:r>
                <a:endParaRPr lang="es-ES" sz="800"/>
              </a:p>
            </c:rich>
          </c:tx>
          <c:layout>
            <c:manualLayout>
              <c:xMode val="edge"/>
              <c:yMode val="edge"/>
              <c:x val="0.396297120115504"/>
              <c:y val="0.8515577218481305"/>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2091264"/>
        <c:crosses val="autoZero"/>
        <c:crossBetween val="midCat"/>
        <c:majorUnit val="6"/>
      </c:valAx>
      <c:valAx>
        <c:axId val="132091264"/>
        <c:scaling>
          <c:orientation val="minMax"/>
          <c:max val="40"/>
          <c:min val="16"/>
        </c:scaling>
        <c:axPos val="l"/>
        <c:title>
          <c:tx>
            <c:rich>
              <a:bodyPr/>
              <a:lstStyle/>
              <a:p>
                <a:pPr>
                  <a:defRPr sz="800"/>
                </a:pPr>
                <a:r>
                  <a:rPr lang="es-ES" sz="800"/>
                  <a:t>b*</a:t>
                </a:r>
              </a:p>
            </c:rich>
          </c:tx>
        </c:title>
        <c:numFmt formatCode="0.0" sourceLinked="0"/>
        <c:majorTickMark val="none"/>
        <c:tickLblPos val="nextTo"/>
        <c:txPr>
          <a:bodyPr/>
          <a:lstStyle/>
          <a:p>
            <a:pPr>
              <a:defRPr sz="800"/>
            </a:pPr>
            <a:endParaRPr lang="en-US"/>
          </a:p>
        </c:txPr>
        <c:crossAx val="132089344"/>
        <c:crosses val="autoZero"/>
        <c:crossBetween val="midCat"/>
        <c:majorUnit val="4"/>
      </c:valAx>
    </c:plotArea>
    <c:legend>
      <c:legendPos val="b"/>
      <c:layout>
        <c:manualLayout>
          <c:xMode val="edge"/>
          <c:yMode val="edge"/>
          <c:x val="1.6169215523832103E-2"/>
          <c:y val="0.90555319493719744"/>
          <c:w val="0.97718663820282803"/>
          <c:h val="6.9691178156055716E-2"/>
        </c:manualLayout>
      </c:layout>
      <c:txPr>
        <a:bodyPr/>
        <a:lstStyle/>
        <a:p>
          <a:pPr>
            <a:defRPr sz="600"/>
          </a:pPr>
          <a:endParaRPr lang="en-US"/>
        </a:p>
      </c:txPr>
    </c:legend>
    <c:plotVisOnly val="1"/>
    <c:dispBlanksAs val="gap"/>
  </c:chart>
  <c:spPr>
    <a:ln>
      <a:noFill/>
    </a:ln>
  </c:spPr>
  <c:externalData r:id="rId1"/>
</c:chartSpace>
</file>

<file path=word/charts/chart56.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794173967690689"/>
          <c:y val="8.6210236664433809E-2"/>
          <c:w val="0.71916232301948202"/>
          <c:h val="0.63276580774810476"/>
        </c:manualLayout>
      </c:layout>
      <c:scatterChart>
        <c:scatterStyle val="smoothMarker"/>
        <c:ser>
          <c:idx val="0"/>
          <c:order val="0"/>
          <c:tx>
            <c:v>Control</c:v>
          </c:tx>
          <c:errBars>
            <c:errDir val="x"/>
            <c:errBarType val="both"/>
            <c:errValType val="fixedVal"/>
            <c:val val="1"/>
          </c:errBars>
          <c:errBars>
            <c:errDir val="y"/>
            <c:errBarType val="both"/>
            <c:errValType val="cust"/>
            <c:plus>
              <c:numRef>
                <c:f>(Color!$F$31,Color!$N$31,Color!$V$31,Color!$AD$31)</c:f>
                <c:numCache>
                  <c:formatCode>General</c:formatCode>
                  <c:ptCount val="4"/>
                  <c:pt idx="0">
                    <c:v>1.3660107369027166</c:v>
                  </c:pt>
                  <c:pt idx="1">
                    <c:v>1.7878862752795546</c:v>
                  </c:pt>
                  <c:pt idx="2">
                    <c:v>2.4253762594698709</c:v>
                  </c:pt>
                  <c:pt idx="3">
                    <c:v>2.8072139213105931</c:v>
                  </c:pt>
                </c:numCache>
              </c:numRef>
            </c:plus>
            <c:minus>
              <c:numRef>
                <c:f>(Color!$F$31,Color!$N$31,Color!$V$31,Color!$AD$31)</c:f>
                <c:numCache>
                  <c:formatCode>General</c:formatCode>
                  <c:ptCount val="4"/>
                  <c:pt idx="0">
                    <c:v>1.3660107369027166</c:v>
                  </c:pt>
                  <c:pt idx="1">
                    <c:v>1.7878862752795546</c:v>
                  </c:pt>
                  <c:pt idx="2">
                    <c:v>2.4253762594698709</c:v>
                  </c:pt>
                  <c:pt idx="3">
                    <c:v>2.8072139213105931</c:v>
                  </c:pt>
                </c:numCache>
              </c:numRef>
            </c:minus>
          </c:errBars>
          <c:xVal>
            <c:numRef>
              <c:f>Color!$AI$38:$AL$38</c:f>
              <c:numCache>
                <c:formatCode>General</c:formatCode>
                <c:ptCount val="4"/>
                <c:pt idx="0">
                  <c:v>0</c:v>
                </c:pt>
                <c:pt idx="1">
                  <c:v>90</c:v>
                </c:pt>
                <c:pt idx="2">
                  <c:v>180</c:v>
                </c:pt>
                <c:pt idx="3">
                  <c:v>270</c:v>
                </c:pt>
              </c:numCache>
            </c:numRef>
          </c:xVal>
          <c:yVal>
            <c:numRef>
              <c:f>(Color!$F$22,Color!$N$22,Color!$V$22,Color!$AD$22)</c:f>
              <c:numCache>
                <c:formatCode>0.00</c:formatCode>
                <c:ptCount val="4"/>
                <c:pt idx="0">
                  <c:v>29.477333333333085</c:v>
                </c:pt>
                <c:pt idx="1">
                  <c:v>29.07</c:v>
                </c:pt>
                <c:pt idx="2">
                  <c:v>29.081</c:v>
                </c:pt>
                <c:pt idx="3">
                  <c:v>24.633000000000031</c:v>
                </c:pt>
              </c:numCache>
            </c:numRef>
          </c:yVal>
          <c:smooth val="1"/>
        </c:ser>
        <c:ser>
          <c:idx val="1"/>
          <c:order val="1"/>
          <c:tx>
            <c:v>CaCl2</c:v>
          </c:tx>
          <c:xVal>
            <c:numRef>
              <c:f>Color!$AI$38:$AL$38</c:f>
              <c:numCache>
                <c:formatCode>General</c:formatCode>
                <c:ptCount val="4"/>
                <c:pt idx="0">
                  <c:v>0</c:v>
                </c:pt>
                <c:pt idx="1">
                  <c:v>90</c:v>
                </c:pt>
                <c:pt idx="2">
                  <c:v>180</c:v>
                </c:pt>
                <c:pt idx="3">
                  <c:v>270</c:v>
                </c:pt>
              </c:numCache>
            </c:numRef>
          </c:xVal>
          <c:yVal>
            <c:numRef>
              <c:f>(Color!$F$23,Color!$N$23,Color!$V$23,Color!$AD$23)</c:f>
              <c:numCache>
                <c:formatCode>0.00</c:formatCode>
                <c:ptCount val="4"/>
                <c:pt idx="0">
                  <c:v>24.52866666666667</c:v>
                </c:pt>
                <c:pt idx="1">
                  <c:v>29.869333333333071</c:v>
                </c:pt>
                <c:pt idx="2">
                  <c:v>27.375</c:v>
                </c:pt>
                <c:pt idx="3">
                  <c:v>22.061</c:v>
                </c:pt>
              </c:numCache>
            </c:numRef>
          </c:yVal>
          <c:smooth val="1"/>
        </c:ser>
        <c:ser>
          <c:idx val="2"/>
          <c:order val="2"/>
          <c:tx>
            <c:v>Flavonoid</c:v>
          </c:tx>
          <c:errBars>
            <c:errDir val="x"/>
            <c:errBarType val="both"/>
            <c:errValType val="fixedVal"/>
            <c:val val="1"/>
          </c:errBars>
          <c:errBars>
            <c:errDir val="y"/>
            <c:errBarType val="both"/>
            <c:errValType val="cust"/>
            <c:plus>
              <c:numRef>
                <c:f>(Color!$F$32,Color!$N$32,Color!$V$32,Color!$AD$32)</c:f>
                <c:numCache>
                  <c:formatCode>General</c:formatCode>
                  <c:ptCount val="4"/>
                  <c:pt idx="0">
                    <c:v>3.9097653808551467</c:v>
                  </c:pt>
                  <c:pt idx="1">
                    <c:v>1.38215821573841</c:v>
                  </c:pt>
                  <c:pt idx="2">
                    <c:v>0.68707301892402162</c:v>
                  </c:pt>
                  <c:pt idx="3">
                    <c:v>1.6249313831666838</c:v>
                  </c:pt>
                </c:numCache>
              </c:numRef>
            </c:plus>
            <c:minus>
              <c:numRef>
                <c:f>(Color!$F$32,Color!$N$32,Color!$V$32,Color!$AD$32)</c:f>
                <c:numCache>
                  <c:formatCode>General</c:formatCode>
                  <c:ptCount val="4"/>
                  <c:pt idx="0">
                    <c:v>3.9097653808551467</c:v>
                  </c:pt>
                  <c:pt idx="1">
                    <c:v>1.38215821573841</c:v>
                  </c:pt>
                  <c:pt idx="2">
                    <c:v>0.68707301892402162</c:v>
                  </c:pt>
                  <c:pt idx="3">
                    <c:v>1.6249313831666838</c:v>
                  </c:pt>
                </c:numCache>
              </c:numRef>
            </c:minus>
          </c:errBars>
          <c:xVal>
            <c:numRef>
              <c:f>Color!$AI$38:$AL$38</c:f>
              <c:numCache>
                <c:formatCode>General</c:formatCode>
                <c:ptCount val="4"/>
                <c:pt idx="0">
                  <c:v>0</c:v>
                </c:pt>
                <c:pt idx="1">
                  <c:v>90</c:v>
                </c:pt>
                <c:pt idx="2">
                  <c:v>180</c:v>
                </c:pt>
                <c:pt idx="3">
                  <c:v>270</c:v>
                </c:pt>
              </c:numCache>
            </c:numRef>
          </c:xVal>
          <c:yVal>
            <c:numRef>
              <c:f>(Color!$F$24,Color!$N$24,Color!$V$24,Color!$AD$24)</c:f>
              <c:numCache>
                <c:formatCode>0.00</c:formatCode>
                <c:ptCount val="4"/>
                <c:pt idx="0">
                  <c:v>27.821333333333119</c:v>
                </c:pt>
                <c:pt idx="1">
                  <c:v>29.590666666666671</c:v>
                </c:pt>
                <c:pt idx="2">
                  <c:v>27.256666666666661</c:v>
                </c:pt>
                <c:pt idx="3">
                  <c:v>23.689</c:v>
                </c:pt>
              </c:numCache>
            </c:numRef>
          </c:yVal>
          <c:smooth val="1"/>
        </c:ser>
        <c:ser>
          <c:idx val="3"/>
          <c:order val="3"/>
          <c:tx>
            <c:v>Flavonoid-CaCl2</c:v>
          </c:tx>
          <c:errBars>
            <c:errDir val="x"/>
            <c:errBarType val="both"/>
            <c:errValType val="fixedVal"/>
            <c:val val="1"/>
          </c:errBars>
          <c:errBars>
            <c:errDir val="y"/>
            <c:errBarType val="both"/>
            <c:errValType val="cust"/>
            <c:plus>
              <c:numRef>
                <c:f>(Color!$F$33,Color!$N$33,Color!$V$33,Color!$AD$33)</c:f>
                <c:numCache>
                  <c:formatCode>General</c:formatCode>
                  <c:ptCount val="4"/>
                  <c:pt idx="0">
                    <c:v>2.4270355031051931</c:v>
                  </c:pt>
                  <c:pt idx="1">
                    <c:v>3.3519106988899847</c:v>
                  </c:pt>
                  <c:pt idx="2">
                    <c:v>1.1596551211460822</c:v>
                  </c:pt>
                  <c:pt idx="3">
                    <c:v>8.0610173055267048E-2</c:v>
                  </c:pt>
                </c:numCache>
              </c:numRef>
            </c:plus>
            <c:minus>
              <c:numRef>
                <c:f>(Color!$F$33,Color!$N$33,Color!$V$33,Color!$AD$33)</c:f>
                <c:numCache>
                  <c:formatCode>General</c:formatCode>
                  <c:ptCount val="4"/>
                  <c:pt idx="0">
                    <c:v>2.4270355031051931</c:v>
                  </c:pt>
                  <c:pt idx="1">
                    <c:v>3.3519106988899847</c:v>
                  </c:pt>
                  <c:pt idx="2">
                    <c:v>1.1596551211460822</c:v>
                  </c:pt>
                  <c:pt idx="3">
                    <c:v>8.0610173055267048E-2</c:v>
                  </c:pt>
                </c:numCache>
              </c:numRef>
            </c:minus>
          </c:errBars>
          <c:xVal>
            <c:numRef>
              <c:f>Color!$AI$38:$AL$38</c:f>
              <c:numCache>
                <c:formatCode>General</c:formatCode>
                <c:ptCount val="4"/>
                <c:pt idx="0">
                  <c:v>0</c:v>
                </c:pt>
                <c:pt idx="1">
                  <c:v>90</c:v>
                </c:pt>
                <c:pt idx="2">
                  <c:v>180</c:v>
                </c:pt>
                <c:pt idx="3">
                  <c:v>270</c:v>
                </c:pt>
              </c:numCache>
            </c:numRef>
          </c:xVal>
          <c:yVal>
            <c:numRef>
              <c:f>(Color!$F$25,Color!$N$25,Color!$V$25,Color!$AD$25)</c:f>
              <c:numCache>
                <c:formatCode>0.00</c:formatCode>
                <c:ptCount val="4"/>
                <c:pt idx="0">
                  <c:v>25.465333333332982</c:v>
                </c:pt>
                <c:pt idx="1">
                  <c:v>29.619333333333206</c:v>
                </c:pt>
                <c:pt idx="2">
                  <c:v>22.318000000000001</c:v>
                </c:pt>
                <c:pt idx="3">
                  <c:v>23.738999999999987</c:v>
                </c:pt>
              </c:numCache>
            </c:numRef>
          </c:yVal>
          <c:smooth val="1"/>
        </c:ser>
        <c:axId val="132341760"/>
        <c:axId val="132343680"/>
      </c:scatterChart>
      <c:valAx>
        <c:axId val="132341760"/>
        <c:scaling>
          <c:orientation val="minMax"/>
          <c:min val="0"/>
        </c:scaling>
        <c:axPos val="b"/>
        <c:title>
          <c:tx>
            <c:rich>
              <a:bodyPr/>
              <a:lstStyle/>
              <a:p>
                <a:pPr>
                  <a:defRPr/>
                </a:pPr>
                <a:r>
                  <a:rPr lang="en-US"/>
                  <a:t>Storage</a:t>
                </a:r>
                <a:r>
                  <a:rPr lang="en-US" baseline="0"/>
                  <a:t> (days)</a:t>
                </a:r>
                <a:endParaRPr lang="en-US"/>
              </a:p>
            </c:rich>
          </c:tx>
          <c:layout>
            <c:manualLayout>
              <c:xMode val="edge"/>
              <c:yMode val="edge"/>
              <c:x val="0.39030128276219284"/>
              <c:y val="0.83820123464524665"/>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2343680"/>
        <c:crosses val="autoZero"/>
        <c:crossBetween val="midCat"/>
        <c:majorUnit val="50"/>
      </c:valAx>
      <c:valAx>
        <c:axId val="132343680"/>
        <c:scaling>
          <c:orientation val="minMax"/>
          <c:max val="40"/>
          <c:min val="10"/>
        </c:scaling>
        <c:axPos val="l"/>
        <c:title>
          <c:tx>
            <c:rich>
              <a:bodyPr/>
              <a:lstStyle/>
              <a:p>
                <a:pPr>
                  <a:defRPr/>
                </a:pPr>
                <a:r>
                  <a:rPr lang="en-US"/>
                  <a:t>b*</a:t>
                </a:r>
              </a:p>
            </c:rich>
          </c:tx>
        </c:title>
        <c:numFmt formatCode="0.0" sourceLinked="0"/>
        <c:majorTickMark val="none"/>
        <c:tickLblPos val="nextTo"/>
        <c:txPr>
          <a:bodyPr/>
          <a:lstStyle/>
          <a:p>
            <a:pPr>
              <a:defRPr sz="800"/>
            </a:pPr>
            <a:endParaRPr lang="en-US"/>
          </a:p>
        </c:txPr>
        <c:crossAx val="132341760"/>
        <c:crosses val="autoZero"/>
        <c:crossBetween val="midCat"/>
        <c:majorUnit val="5"/>
      </c:valAx>
    </c:plotArea>
    <c:legend>
      <c:legendPos val="b"/>
      <c:layout>
        <c:manualLayout>
          <c:xMode val="edge"/>
          <c:yMode val="edge"/>
          <c:x val="3.0516431924882577E-3"/>
          <c:y val="0.91963400408282303"/>
          <c:w val="0.9"/>
          <c:h val="8.0365995917177246E-2"/>
        </c:manualLayout>
      </c:layout>
      <c:txPr>
        <a:bodyPr/>
        <a:lstStyle/>
        <a:p>
          <a:pPr>
            <a:defRPr sz="600"/>
          </a:pPr>
          <a:endParaRPr lang="en-US"/>
        </a:p>
      </c:txPr>
    </c:legend>
    <c:plotVisOnly val="1"/>
    <c:dispBlanksAs val="gap"/>
  </c:chart>
  <c:spPr>
    <a:ln>
      <a:noFill/>
    </a:ln>
  </c:spPr>
  <c:externalData r:id="rId1"/>
</c:chartSpace>
</file>

<file path=word/charts/chart5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8756195684161941"/>
          <c:y val="5.5711558878182708E-2"/>
          <c:w val="0.7562930186663458"/>
          <c:h val="0.70165579516454779"/>
        </c:manualLayout>
      </c:layout>
      <c:scatterChart>
        <c:scatterStyle val="smoothMarker"/>
        <c:ser>
          <c:idx val="0"/>
          <c:order val="0"/>
          <c:tx>
            <c:v>Control</c:v>
          </c:tx>
          <c:errBars>
            <c:errDir val="y"/>
            <c:errBarType val="both"/>
            <c:errValType val="cust"/>
            <c:plus>
              <c:numRef>
                <c:f>(Color!$F$65,Color!$N$65,Color!$V$65,Color!$AD$65)</c:f>
                <c:numCache>
                  <c:formatCode>General</c:formatCode>
                  <c:ptCount val="4"/>
                  <c:pt idx="0">
                    <c:v>0.62671950131859122</c:v>
                  </c:pt>
                  <c:pt idx="1">
                    <c:v>2.4040828466035142</c:v>
                  </c:pt>
                  <c:pt idx="2">
                    <c:v>1.0040916292848918</c:v>
                  </c:pt>
                  <c:pt idx="3">
                    <c:v>0.6066976182580317</c:v>
                  </c:pt>
                </c:numCache>
              </c:numRef>
            </c:plus>
            <c:minus>
              <c:numRef>
                <c:f>(Color!$F$65,Color!$N$65,Color!$V$65,Color!$AD$65)</c:f>
                <c:numCache>
                  <c:formatCode>General</c:formatCode>
                  <c:ptCount val="4"/>
                  <c:pt idx="0">
                    <c:v>0.62671950131859122</c:v>
                  </c:pt>
                  <c:pt idx="1">
                    <c:v>2.4040828466035142</c:v>
                  </c:pt>
                  <c:pt idx="2">
                    <c:v>1.0040916292848918</c:v>
                  </c:pt>
                  <c:pt idx="3">
                    <c:v>0.6066976182580317</c:v>
                  </c:pt>
                </c:numCache>
              </c:numRef>
            </c:minus>
          </c:errBars>
          <c:xVal>
            <c:numRef>
              <c:f>Color!$AI$38:$AL$38</c:f>
              <c:numCache>
                <c:formatCode>General</c:formatCode>
                <c:ptCount val="4"/>
                <c:pt idx="0">
                  <c:v>0</c:v>
                </c:pt>
                <c:pt idx="1">
                  <c:v>90</c:v>
                </c:pt>
                <c:pt idx="2">
                  <c:v>180</c:v>
                </c:pt>
                <c:pt idx="3">
                  <c:v>270</c:v>
                </c:pt>
              </c:numCache>
            </c:numRef>
          </c:xVal>
          <c:yVal>
            <c:numRef>
              <c:f>(Color!$F$57,Color!$N$57,Color!$V$57,Color!$AD$57)</c:f>
              <c:numCache>
                <c:formatCode>0.00</c:formatCode>
                <c:ptCount val="4"/>
                <c:pt idx="0">
                  <c:v>32.37133333333334</c:v>
                </c:pt>
                <c:pt idx="1">
                  <c:v>31.292333333333023</c:v>
                </c:pt>
                <c:pt idx="2">
                  <c:v>26.133333333333184</c:v>
                </c:pt>
                <c:pt idx="3">
                  <c:v>19.471</c:v>
                </c:pt>
              </c:numCache>
            </c:numRef>
          </c:yVal>
          <c:smooth val="1"/>
        </c:ser>
        <c:ser>
          <c:idx val="1"/>
          <c:order val="1"/>
          <c:tx>
            <c:v>CaCl2</c:v>
          </c:tx>
          <c:errBars>
            <c:errDir val="y"/>
            <c:errBarType val="both"/>
            <c:errValType val="cust"/>
            <c:plus>
              <c:numRef>
                <c:f>(Color!$F$66,Color!$N$66,Color!$V$66,Color!$AD$66)</c:f>
                <c:numCache>
                  <c:formatCode>General</c:formatCode>
                  <c:ptCount val="4"/>
                  <c:pt idx="0">
                    <c:v>2.8423935922622032</c:v>
                  </c:pt>
                  <c:pt idx="1">
                    <c:v>0.78105569583722756</c:v>
                  </c:pt>
                  <c:pt idx="2">
                    <c:v>2.7553594240235881</c:v>
                  </c:pt>
                  <c:pt idx="3">
                    <c:v>0.85701341879815363</c:v>
                  </c:pt>
                </c:numCache>
              </c:numRef>
            </c:plus>
            <c:minus>
              <c:numRef>
                <c:f>(Color!$F$66,Color!$N$66,Color!$V$66,Color!$AD$66)</c:f>
                <c:numCache>
                  <c:formatCode>General</c:formatCode>
                  <c:ptCount val="4"/>
                  <c:pt idx="0">
                    <c:v>2.8423935922622032</c:v>
                  </c:pt>
                  <c:pt idx="1">
                    <c:v>0.78105569583722756</c:v>
                  </c:pt>
                  <c:pt idx="2">
                    <c:v>2.7553594240235881</c:v>
                  </c:pt>
                  <c:pt idx="3">
                    <c:v>0.85701341879815363</c:v>
                  </c:pt>
                </c:numCache>
              </c:numRef>
            </c:minus>
          </c:errBars>
          <c:xVal>
            <c:numRef>
              <c:f>Color!$AI$38:$AL$38</c:f>
              <c:numCache>
                <c:formatCode>General</c:formatCode>
                <c:ptCount val="4"/>
                <c:pt idx="0">
                  <c:v>0</c:v>
                </c:pt>
                <c:pt idx="1">
                  <c:v>90</c:v>
                </c:pt>
                <c:pt idx="2">
                  <c:v>180</c:v>
                </c:pt>
                <c:pt idx="3">
                  <c:v>270</c:v>
                </c:pt>
              </c:numCache>
            </c:numRef>
          </c:xVal>
          <c:yVal>
            <c:numRef>
              <c:f>(Color!$F$58,Color!$N$58,Color!$V$58,Color!$AD$58)</c:f>
              <c:numCache>
                <c:formatCode>0.00</c:formatCode>
                <c:ptCount val="4"/>
                <c:pt idx="0">
                  <c:v>34.436666666666127</c:v>
                </c:pt>
                <c:pt idx="1">
                  <c:v>26.33000000000003</c:v>
                </c:pt>
                <c:pt idx="2">
                  <c:v>21.048333333333034</c:v>
                </c:pt>
                <c:pt idx="3">
                  <c:v>17.565999999999907</c:v>
                </c:pt>
              </c:numCache>
            </c:numRef>
          </c:yVal>
          <c:smooth val="1"/>
        </c:ser>
        <c:ser>
          <c:idx val="2"/>
          <c:order val="2"/>
          <c:tx>
            <c:v>Flavonoid</c:v>
          </c:tx>
          <c:errBars>
            <c:errDir val="y"/>
            <c:errBarType val="both"/>
            <c:errValType val="cust"/>
            <c:plus>
              <c:numRef>
                <c:f>(Color!$F$67,Color!$N$67,Color!$V$67,Color!$AD$67)</c:f>
                <c:numCache>
                  <c:formatCode>General</c:formatCode>
                  <c:ptCount val="4"/>
                  <c:pt idx="0">
                    <c:v>2.813553150970014</c:v>
                  </c:pt>
                  <c:pt idx="1">
                    <c:v>0.6961561127599325</c:v>
                  </c:pt>
                  <c:pt idx="2">
                    <c:v>0.47611856599898755</c:v>
                  </c:pt>
                  <c:pt idx="3">
                    <c:v>0.38289832201213508</c:v>
                  </c:pt>
                </c:numCache>
              </c:numRef>
            </c:plus>
            <c:minus>
              <c:numRef>
                <c:f>(Color!$F$67,Color!$N$67,Color!$V$67,Color!$AD$67)</c:f>
                <c:numCache>
                  <c:formatCode>General</c:formatCode>
                  <c:ptCount val="4"/>
                  <c:pt idx="0">
                    <c:v>2.813553150970014</c:v>
                  </c:pt>
                  <c:pt idx="1">
                    <c:v>0.6961561127599325</c:v>
                  </c:pt>
                  <c:pt idx="2">
                    <c:v>0.47611856599898755</c:v>
                  </c:pt>
                  <c:pt idx="3">
                    <c:v>0.38289832201213508</c:v>
                  </c:pt>
                </c:numCache>
              </c:numRef>
            </c:minus>
          </c:errBars>
          <c:xVal>
            <c:numRef>
              <c:f>Color!$AI$38:$AL$38</c:f>
              <c:numCache>
                <c:formatCode>General</c:formatCode>
                <c:ptCount val="4"/>
                <c:pt idx="0">
                  <c:v>0</c:v>
                </c:pt>
                <c:pt idx="1">
                  <c:v>90</c:v>
                </c:pt>
                <c:pt idx="2">
                  <c:v>180</c:v>
                </c:pt>
                <c:pt idx="3">
                  <c:v>270</c:v>
                </c:pt>
              </c:numCache>
            </c:numRef>
          </c:xVal>
          <c:yVal>
            <c:numRef>
              <c:f>(Color!$F$59,Color!$N$59,Color!$V$59,Color!$AD$59)</c:f>
              <c:numCache>
                <c:formatCode>0.00</c:formatCode>
                <c:ptCount val="4"/>
                <c:pt idx="0">
                  <c:v>34.697333333333333</c:v>
                </c:pt>
                <c:pt idx="1">
                  <c:v>31.369333333333071</c:v>
                </c:pt>
                <c:pt idx="2">
                  <c:v>32.226666666666304</c:v>
                </c:pt>
                <c:pt idx="3">
                  <c:v>28.853250000000031</c:v>
                </c:pt>
              </c:numCache>
            </c:numRef>
          </c:yVal>
          <c:smooth val="1"/>
        </c:ser>
        <c:ser>
          <c:idx val="3"/>
          <c:order val="3"/>
          <c:tx>
            <c:v>Flavonoid-CaCl2</c:v>
          </c:tx>
          <c:errBars>
            <c:errDir val="y"/>
            <c:errBarType val="both"/>
            <c:errValType val="cust"/>
            <c:plus>
              <c:numRef>
                <c:f>(Color!$F$68,Color!$N$68,Color!$V$68,Color!$AD$68)</c:f>
                <c:numCache>
                  <c:formatCode>General</c:formatCode>
                  <c:ptCount val="4"/>
                  <c:pt idx="0">
                    <c:v>3.7855653915014011</c:v>
                  </c:pt>
                  <c:pt idx="1">
                    <c:v>1.713852191215345</c:v>
                  </c:pt>
                  <c:pt idx="2">
                    <c:v>1.1785113019780257E-2</c:v>
                  </c:pt>
                  <c:pt idx="3">
                    <c:v>0.66326616075304057</c:v>
                  </c:pt>
                </c:numCache>
              </c:numRef>
            </c:plus>
            <c:minus>
              <c:numRef>
                <c:f>(Color!$F$68,Color!$N$68,Color!$V$68,Color!$AD$68)</c:f>
                <c:numCache>
                  <c:formatCode>General</c:formatCode>
                  <c:ptCount val="4"/>
                  <c:pt idx="0">
                    <c:v>3.7855653915014011</c:v>
                  </c:pt>
                  <c:pt idx="1">
                    <c:v>1.713852191215345</c:v>
                  </c:pt>
                  <c:pt idx="2">
                    <c:v>1.1785113019780257E-2</c:v>
                  </c:pt>
                  <c:pt idx="3">
                    <c:v>0.66326616075304057</c:v>
                  </c:pt>
                </c:numCache>
              </c:numRef>
            </c:minus>
          </c:errBars>
          <c:xVal>
            <c:numRef>
              <c:f>Color!$AI$38:$AL$38</c:f>
              <c:numCache>
                <c:formatCode>General</c:formatCode>
                <c:ptCount val="4"/>
                <c:pt idx="0">
                  <c:v>0</c:v>
                </c:pt>
                <c:pt idx="1">
                  <c:v>90</c:v>
                </c:pt>
                <c:pt idx="2">
                  <c:v>180</c:v>
                </c:pt>
                <c:pt idx="3">
                  <c:v>270</c:v>
                </c:pt>
              </c:numCache>
            </c:numRef>
          </c:xVal>
          <c:yVal>
            <c:numRef>
              <c:f>(Color!$F$60,Color!$N$60,Color!$V$60,Color!$AD$60)</c:f>
              <c:numCache>
                <c:formatCode>0.00</c:formatCode>
                <c:ptCount val="4"/>
                <c:pt idx="0">
                  <c:v>32.740666666666193</c:v>
                </c:pt>
                <c:pt idx="1">
                  <c:v>28.660666666666671</c:v>
                </c:pt>
                <c:pt idx="2">
                  <c:v>24.934999999999999</c:v>
                </c:pt>
                <c:pt idx="3">
                  <c:v>11.895000000000024</c:v>
                </c:pt>
              </c:numCache>
            </c:numRef>
          </c:yVal>
          <c:smooth val="1"/>
        </c:ser>
        <c:axId val="132404736"/>
        <c:axId val="132406656"/>
      </c:scatterChart>
      <c:valAx>
        <c:axId val="132404736"/>
        <c:scaling>
          <c:orientation val="minMax"/>
        </c:scaling>
        <c:axPos val="b"/>
        <c:title>
          <c:tx>
            <c:rich>
              <a:bodyPr/>
              <a:lstStyle/>
              <a:p>
                <a:pPr>
                  <a:defRPr/>
                </a:pPr>
                <a:r>
                  <a:rPr lang="en-US"/>
                  <a:t>Storage</a:t>
                </a:r>
                <a:r>
                  <a:rPr lang="en-US" baseline="0"/>
                  <a:t> (days)</a:t>
                </a:r>
                <a:endParaRPr lang="en-US"/>
              </a:p>
            </c:rich>
          </c:tx>
          <c:layout>
            <c:manualLayout>
              <c:xMode val="edge"/>
              <c:yMode val="edge"/>
              <c:x val="0.35412171304673901"/>
              <c:y val="0.85010290694794644"/>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2406656"/>
        <c:crosses val="autoZero"/>
        <c:crossBetween val="midCat"/>
      </c:valAx>
      <c:valAx>
        <c:axId val="132406656"/>
        <c:scaling>
          <c:orientation val="minMax"/>
          <c:max val="40"/>
          <c:min val="10"/>
        </c:scaling>
        <c:axPos val="l"/>
        <c:title>
          <c:tx>
            <c:rich>
              <a:bodyPr/>
              <a:lstStyle/>
              <a:p>
                <a:pPr>
                  <a:defRPr/>
                </a:pPr>
                <a:r>
                  <a:rPr lang="en-US"/>
                  <a:t>b*</a:t>
                </a:r>
              </a:p>
            </c:rich>
          </c:tx>
        </c:title>
        <c:numFmt formatCode="0.0" sourceLinked="0"/>
        <c:majorTickMark val="none"/>
        <c:tickLblPos val="nextTo"/>
        <c:txPr>
          <a:bodyPr/>
          <a:lstStyle/>
          <a:p>
            <a:pPr>
              <a:defRPr sz="800"/>
            </a:pPr>
            <a:endParaRPr lang="en-US"/>
          </a:p>
        </c:txPr>
        <c:crossAx val="132404736"/>
        <c:crosses val="autoZero"/>
        <c:crossBetween val="midCat"/>
      </c:valAx>
    </c:plotArea>
    <c:legend>
      <c:legendPos val="b"/>
      <c:layout>
        <c:manualLayout>
          <c:xMode val="edge"/>
          <c:yMode val="edge"/>
          <c:x val="7.945648098335617E-2"/>
          <c:y val="0.91134670430347364"/>
          <c:w val="0.89074680882280999"/>
          <c:h val="7.8617342643490309E-2"/>
        </c:manualLayout>
      </c:layout>
      <c:txPr>
        <a:bodyPr/>
        <a:lstStyle/>
        <a:p>
          <a:pPr>
            <a:defRPr sz="700"/>
          </a:pPr>
          <a:endParaRPr lang="en-US"/>
        </a:p>
      </c:txPr>
    </c:legend>
    <c:plotVisOnly val="1"/>
    <c:dispBlanksAs val="gap"/>
  </c:chart>
  <c:spPr>
    <a:ln>
      <a:noFill/>
    </a:ln>
  </c:spPr>
  <c:externalData r:id="rId1"/>
</c:chartSpace>
</file>

<file path=word/charts/chart58.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8756195684161941"/>
          <c:y val="5.5711558878182708E-2"/>
          <c:w val="0.7562930186663458"/>
          <c:h val="0.70165579516454779"/>
        </c:manualLayout>
      </c:layout>
      <c:scatterChart>
        <c:scatterStyle val="smoothMarker"/>
        <c:ser>
          <c:idx val="0"/>
          <c:order val="0"/>
          <c:tx>
            <c:v>Control</c:v>
          </c:tx>
          <c:errBars>
            <c:errDir val="x"/>
            <c:errBarType val="both"/>
            <c:errValType val="fixedVal"/>
            <c:val val="1"/>
          </c:errBars>
          <c:errBars>
            <c:errDir val="y"/>
            <c:errBarType val="both"/>
            <c:errValType val="cust"/>
            <c:plus>
              <c:numRef>
                <c:f>(Color!$D$100,Color!$L$100,Color!$T$100,Color!$AB$100)</c:f>
                <c:numCache>
                  <c:formatCode>General</c:formatCode>
                  <c:ptCount val="4"/>
                  <c:pt idx="0">
                    <c:v>3.0489029721086487</c:v>
                  </c:pt>
                  <c:pt idx="1">
                    <c:v>0.72124891681023262</c:v>
                  </c:pt>
                  <c:pt idx="2">
                    <c:v>3.5355339059325412E-2</c:v>
                  </c:pt>
                  <c:pt idx="3">
                    <c:v>1.1249707815135181</c:v>
                  </c:pt>
                </c:numCache>
              </c:numRef>
            </c:plus>
            <c:minus>
              <c:numRef>
                <c:f>(Color!$D$100,Color!$L$100,Color!$T$100,Color!$AB$100)</c:f>
                <c:numCache>
                  <c:formatCode>General</c:formatCode>
                  <c:ptCount val="4"/>
                  <c:pt idx="0">
                    <c:v>3.0489029721086487</c:v>
                  </c:pt>
                  <c:pt idx="1">
                    <c:v>0.72124891681023262</c:v>
                  </c:pt>
                  <c:pt idx="2">
                    <c:v>3.5355339059325412E-2</c:v>
                  </c:pt>
                  <c:pt idx="3">
                    <c:v>1.1249707815135181</c:v>
                  </c:pt>
                </c:numCache>
              </c:numRef>
            </c:minus>
          </c:errBars>
          <c:xVal>
            <c:numRef>
              <c:f>Color!$AH$69:$AK$69</c:f>
              <c:numCache>
                <c:formatCode>General</c:formatCode>
                <c:ptCount val="4"/>
                <c:pt idx="0">
                  <c:v>0</c:v>
                </c:pt>
                <c:pt idx="1">
                  <c:v>88</c:v>
                </c:pt>
                <c:pt idx="2">
                  <c:v>193</c:v>
                </c:pt>
                <c:pt idx="3">
                  <c:v>245</c:v>
                </c:pt>
              </c:numCache>
            </c:numRef>
          </c:xVal>
          <c:yVal>
            <c:numRef>
              <c:f>(Color!$D$92,Color!$L$92,Color!$T$92,Color!$AB$92)</c:f>
              <c:numCache>
                <c:formatCode>0.00</c:formatCode>
                <c:ptCount val="4"/>
                <c:pt idx="0">
                  <c:v>29.24666666666667</c:v>
                </c:pt>
                <c:pt idx="1">
                  <c:v>27.628</c:v>
                </c:pt>
                <c:pt idx="2">
                  <c:v>26.11500000000003</c:v>
                </c:pt>
                <c:pt idx="3">
                  <c:v>24.92444444444445</c:v>
                </c:pt>
              </c:numCache>
            </c:numRef>
          </c:yVal>
          <c:smooth val="1"/>
        </c:ser>
        <c:ser>
          <c:idx val="1"/>
          <c:order val="1"/>
          <c:tx>
            <c:v>CaCl2</c:v>
          </c:tx>
          <c:errBars>
            <c:errDir val="x"/>
            <c:errBarType val="both"/>
            <c:errValType val="fixedVal"/>
            <c:val val="1"/>
          </c:errBars>
          <c:errBars>
            <c:errDir val="y"/>
            <c:errBarType val="both"/>
            <c:errValType val="cust"/>
            <c:plus>
              <c:numRef>
                <c:f>(Color!$D$101,Color!$L$101,Color!$T$101,Color!$AB$101)</c:f>
                <c:numCache>
                  <c:formatCode>General</c:formatCode>
                  <c:ptCount val="4"/>
                  <c:pt idx="0">
                    <c:v>0.17500857121860755</c:v>
                  </c:pt>
                  <c:pt idx="1">
                    <c:v>1.0394469683441898</c:v>
                  </c:pt>
                  <c:pt idx="2">
                    <c:v>0.70474975858280475</c:v>
                  </c:pt>
                  <c:pt idx="3">
                    <c:v>0.53436358824710495</c:v>
                  </c:pt>
                </c:numCache>
              </c:numRef>
            </c:plus>
            <c:minus>
              <c:numRef>
                <c:f>(Color!$D$101,Color!$L$101,Color!$T$101,Color!$AB$101)</c:f>
                <c:numCache>
                  <c:formatCode>General</c:formatCode>
                  <c:ptCount val="4"/>
                  <c:pt idx="0">
                    <c:v>0.17500857121860755</c:v>
                  </c:pt>
                  <c:pt idx="1">
                    <c:v>1.0394469683441898</c:v>
                  </c:pt>
                  <c:pt idx="2">
                    <c:v>0.70474975858280475</c:v>
                  </c:pt>
                  <c:pt idx="3">
                    <c:v>0.53436358824710495</c:v>
                  </c:pt>
                </c:numCache>
              </c:numRef>
            </c:minus>
          </c:errBars>
          <c:xVal>
            <c:numRef>
              <c:f>Color!$AH$69:$AK$69</c:f>
              <c:numCache>
                <c:formatCode>General</c:formatCode>
                <c:ptCount val="4"/>
                <c:pt idx="0">
                  <c:v>0</c:v>
                </c:pt>
                <c:pt idx="1">
                  <c:v>88</c:v>
                </c:pt>
                <c:pt idx="2">
                  <c:v>193</c:v>
                </c:pt>
                <c:pt idx="3">
                  <c:v>245</c:v>
                </c:pt>
              </c:numCache>
            </c:numRef>
          </c:xVal>
          <c:yVal>
            <c:numRef>
              <c:f>(Color!$D$93,Color!$L$93,Color!$T$93,Color!$AB$93)</c:f>
              <c:numCache>
                <c:formatCode>0.00</c:formatCode>
                <c:ptCount val="4"/>
                <c:pt idx="0">
                  <c:v>27.39</c:v>
                </c:pt>
                <c:pt idx="1">
                  <c:v>25.048999999999932</c:v>
                </c:pt>
                <c:pt idx="2">
                  <c:v>23.25166666666669</c:v>
                </c:pt>
                <c:pt idx="3">
                  <c:v>22.076666666666693</c:v>
                </c:pt>
              </c:numCache>
            </c:numRef>
          </c:yVal>
          <c:smooth val="1"/>
        </c:ser>
        <c:ser>
          <c:idx val="2"/>
          <c:order val="2"/>
          <c:tx>
            <c:v>Flavonoid</c:v>
          </c:tx>
          <c:errBars>
            <c:errDir val="x"/>
            <c:errBarType val="both"/>
            <c:errValType val="fixedVal"/>
            <c:val val="1"/>
          </c:errBars>
          <c:errBars>
            <c:errDir val="y"/>
            <c:errBarType val="both"/>
            <c:errValType val="cust"/>
            <c:plus>
              <c:numRef>
                <c:f>(Color!$D$102,Color!$L$102,Color!$T$102,Color!$AB$102)</c:f>
                <c:numCache>
                  <c:formatCode>General</c:formatCode>
                  <c:ptCount val="4"/>
                  <c:pt idx="0">
                    <c:v>0.41282190582125844</c:v>
                  </c:pt>
                  <c:pt idx="1">
                    <c:v>0.23900209204091921</c:v>
                  </c:pt>
                  <c:pt idx="2">
                    <c:v>1.449568901432557</c:v>
                  </c:pt>
                  <c:pt idx="3">
                    <c:v>1.0750521089866907</c:v>
                  </c:pt>
                </c:numCache>
              </c:numRef>
            </c:plus>
            <c:minus>
              <c:numRef>
                <c:f>(Color!$D$102,Color!$L$102,Color!$T$102,Color!$AB$102)</c:f>
                <c:numCache>
                  <c:formatCode>General</c:formatCode>
                  <c:ptCount val="4"/>
                  <c:pt idx="0">
                    <c:v>0.41282190582125844</c:v>
                  </c:pt>
                  <c:pt idx="1">
                    <c:v>0.23900209204091921</c:v>
                  </c:pt>
                  <c:pt idx="2">
                    <c:v>1.449568901432557</c:v>
                  </c:pt>
                  <c:pt idx="3">
                    <c:v>1.0750521089866907</c:v>
                  </c:pt>
                </c:numCache>
              </c:numRef>
            </c:minus>
          </c:errBars>
          <c:xVal>
            <c:numRef>
              <c:f>Color!$AH$69:$AK$69</c:f>
              <c:numCache>
                <c:formatCode>General</c:formatCode>
                <c:ptCount val="4"/>
                <c:pt idx="0">
                  <c:v>0</c:v>
                </c:pt>
                <c:pt idx="1">
                  <c:v>88</c:v>
                </c:pt>
                <c:pt idx="2">
                  <c:v>193</c:v>
                </c:pt>
                <c:pt idx="3">
                  <c:v>245</c:v>
                </c:pt>
              </c:numCache>
            </c:numRef>
          </c:xVal>
          <c:yVal>
            <c:numRef>
              <c:f>(Color!$D$94,Color!$L$94,Color!$T$94,Color!$AB$94)</c:f>
              <c:numCache>
                <c:formatCode>0.00</c:formatCode>
                <c:ptCount val="4"/>
                <c:pt idx="0">
                  <c:v>27.659555555555631</c:v>
                </c:pt>
                <c:pt idx="1">
                  <c:v>29.048999999999932</c:v>
                </c:pt>
                <c:pt idx="2">
                  <c:v>29.151666666666731</c:v>
                </c:pt>
                <c:pt idx="3">
                  <c:v>26.692222222222107</c:v>
                </c:pt>
              </c:numCache>
            </c:numRef>
          </c:yVal>
          <c:smooth val="1"/>
        </c:ser>
        <c:ser>
          <c:idx val="3"/>
          <c:order val="3"/>
          <c:tx>
            <c:v>Flavonoid-CaCl2</c:v>
          </c:tx>
          <c:errBars>
            <c:errDir val="x"/>
            <c:errBarType val="both"/>
            <c:errValType val="fixedVal"/>
            <c:val val="1"/>
          </c:errBars>
          <c:errBars>
            <c:errDir val="y"/>
            <c:errBarType val="both"/>
            <c:errValType val="cust"/>
            <c:plus>
              <c:numRef>
                <c:f>(Color!$D$103,Color!$L$103,Color!$T$103,Color!$AB$103)</c:f>
                <c:numCache>
                  <c:formatCode>General</c:formatCode>
                  <c:ptCount val="4"/>
                  <c:pt idx="0">
                    <c:v>0.27671646138271355</c:v>
                  </c:pt>
                  <c:pt idx="1">
                    <c:v>1.0762165209659211</c:v>
                  </c:pt>
                  <c:pt idx="2">
                    <c:v>1.807836337233564</c:v>
                  </c:pt>
                  <c:pt idx="3">
                    <c:v>1.0044917638804058</c:v>
                  </c:pt>
                </c:numCache>
              </c:numRef>
            </c:plus>
            <c:minus>
              <c:numRef>
                <c:f>(Color!$D$103,Color!$L$103,Color!$T$103,Color!$AB$103)</c:f>
                <c:numCache>
                  <c:formatCode>General</c:formatCode>
                  <c:ptCount val="4"/>
                  <c:pt idx="0">
                    <c:v>0.27671646138271355</c:v>
                  </c:pt>
                  <c:pt idx="1">
                    <c:v>1.0762165209659211</c:v>
                  </c:pt>
                  <c:pt idx="2">
                    <c:v>1.807836337233564</c:v>
                  </c:pt>
                  <c:pt idx="3">
                    <c:v>1.0044917638804058</c:v>
                  </c:pt>
                </c:numCache>
              </c:numRef>
            </c:minus>
          </c:errBars>
          <c:xVal>
            <c:numRef>
              <c:f>Color!$AH$69:$AK$69</c:f>
              <c:numCache>
                <c:formatCode>General</c:formatCode>
                <c:ptCount val="4"/>
                <c:pt idx="0">
                  <c:v>0</c:v>
                </c:pt>
                <c:pt idx="1">
                  <c:v>88</c:v>
                </c:pt>
                <c:pt idx="2">
                  <c:v>193</c:v>
                </c:pt>
                <c:pt idx="3">
                  <c:v>245</c:v>
                </c:pt>
              </c:numCache>
            </c:numRef>
          </c:xVal>
          <c:yVal>
            <c:numRef>
              <c:f>(Color!$D$95,Color!$L$95,Color!$T$95,Color!$AB$95)</c:f>
              <c:numCache>
                <c:formatCode>0.00</c:formatCode>
                <c:ptCount val="4"/>
                <c:pt idx="0">
                  <c:v>28.2</c:v>
                </c:pt>
                <c:pt idx="1">
                  <c:v>23.760999999999889</c:v>
                </c:pt>
                <c:pt idx="2">
                  <c:v>25.131666666666735</c:v>
                </c:pt>
                <c:pt idx="3">
                  <c:v>19.982222222221953</c:v>
                </c:pt>
              </c:numCache>
            </c:numRef>
          </c:yVal>
          <c:smooth val="1"/>
        </c:ser>
        <c:axId val="133354240"/>
        <c:axId val="133356160"/>
      </c:scatterChart>
      <c:valAx>
        <c:axId val="133354240"/>
        <c:scaling>
          <c:orientation val="minMax"/>
          <c:min val="0"/>
        </c:scaling>
        <c:axPos val="b"/>
        <c:title>
          <c:tx>
            <c:rich>
              <a:bodyPr/>
              <a:lstStyle/>
              <a:p>
                <a:pPr>
                  <a:defRPr/>
                </a:pPr>
                <a:r>
                  <a:rPr lang="en-US"/>
                  <a:t>Storage</a:t>
                </a:r>
                <a:r>
                  <a:rPr lang="en-US" baseline="0"/>
                  <a:t> (days)</a:t>
                </a:r>
                <a:endParaRPr lang="en-US"/>
              </a:p>
            </c:rich>
          </c:tx>
          <c:layout>
            <c:manualLayout>
              <c:xMode val="edge"/>
              <c:yMode val="edge"/>
              <c:x val="0.35412166674432038"/>
              <c:y val="0.85010305697082478"/>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3356160"/>
        <c:crosses val="autoZero"/>
        <c:crossBetween val="midCat"/>
      </c:valAx>
      <c:valAx>
        <c:axId val="133356160"/>
        <c:scaling>
          <c:orientation val="minMax"/>
          <c:max val="40"/>
          <c:min val="10"/>
        </c:scaling>
        <c:axPos val="l"/>
        <c:title>
          <c:tx>
            <c:rich>
              <a:bodyPr/>
              <a:lstStyle/>
              <a:p>
                <a:pPr>
                  <a:defRPr/>
                </a:pPr>
                <a:r>
                  <a:rPr lang="en-US"/>
                  <a:t>b*</a:t>
                </a:r>
              </a:p>
            </c:rich>
          </c:tx>
        </c:title>
        <c:numFmt formatCode="0.0" sourceLinked="0"/>
        <c:majorTickMark val="none"/>
        <c:tickLblPos val="nextTo"/>
        <c:txPr>
          <a:bodyPr/>
          <a:lstStyle/>
          <a:p>
            <a:pPr>
              <a:defRPr sz="800"/>
            </a:pPr>
            <a:endParaRPr lang="en-US"/>
          </a:p>
        </c:txPr>
        <c:crossAx val="133354240"/>
        <c:crosses val="autoZero"/>
        <c:crossBetween val="midCat"/>
      </c:valAx>
    </c:plotArea>
    <c:legend>
      <c:legendPos val="b"/>
      <c:layout>
        <c:manualLayout>
          <c:xMode val="edge"/>
          <c:yMode val="edge"/>
          <c:x val="7.945642889313477E-2"/>
          <c:y val="0.91134668828161158"/>
          <c:w val="0.89074686670083403"/>
          <c:h val="7.8617415470125004E-2"/>
        </c:manualLayout>
      </c:layout>
      <c:txPr>
        <a:bodyPr/>
        <a:lstStyle/>
        <a:p>
          <a:pPr>
            <a:defRPr sz="700"/>
          </a:pPr>
          <a:endParaRPr lang="en-US"/>
        </a:p>
      </c:txPr>
    </c:legend>
    <c:plotVisOnly val="1"/>
    <c:dispBlanksAs val="gap"/>
  </c:chart>
  <c:spPr>
    <a:ln>
      <a:noFill/>
    </a:ln>
  </c:spPr>
  <c:externalData r:id="rId1"/>
</c:chartSpace>
</file>

<file path=word/charts/chart59.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70579017837519"/>
          <c:y val="7.1831901051002039E-2"/>
          <c:w val="0.706233067346556"/>
          <c:h val="0.6472053923975718"/>
        </c:manualLayout>
      </c:layout>
      <c:scatterChart>
        <c:scatterStyle val="smoothMarker"/>
        <c:ser>
          <c:idx val="0"/>
          <c:order val="0"/>
          <c:tx>
            <c:v>Control</c:v>
          </c:tx>
          <c:errBars>
            <c:errDir val="y"/>
            <c:errBarType val="both"/>
            <c:errValType val="cust"/>
            <c:plus>
              <c:numRef>
                <c:f>(Color!$I$30,Color!$Q$30,Color!$Y$30,Color!$AG$30)</c:f>
                <c:numCache>
                  <c:formatCode>General</c:formatCode>
                  <c:ptCount val="4"/>
                  <c:pt idx="0">
                    <c:v>0</c:v>
                  </c:pt>
                  <c:pt idx="1">
                    <c:v>1.5034048281741226</c:v>
                  </c:pt>
                  <c:pt idx="2">
                    <c:v>0.85988365258627775</c:v>
                  </c:pt>
                  <c:pt idx="3">
                    <c:v>1.0885991574870508</c:v>
                  </c:pt>
                </c:numCache>
              </c:numRef>
            </c:plus>
            <c:minus>
              <c:numRef>
                <c:f>(Color!$I$30,Color!$Q$30,Color!$Y$30,Color!$AG$30)</c:f>
                <c:numCache>
                  <c:formatCode>General</c:formatCode>
                  <c:ptCount val="4"/>
                  <c:pt idx="0">
                    <c:v>0</c:v>
                  </c:pt>
                  <c:pt idx="1">
                    <c:v>1.5034048281741226</c:v>
                  </c:pt>
                  <c:pt idx="2">
                    <c:v>0.85988365258627775</c:v>
                  </c:pt>
                  <c:pt idx="3">
                    <c:v>1.0885991574870508</c:v>
                  </c:pt>
                </c:numCache>
              </c:numRef>
            </c:minus>
          </c:errBars>
          <c:xVal>
            <c:numRef>
              <c:f>Color!$AI$38:$AL$38</c:f>
              <c:numCache>
                <c:formatCode>General</c:formatCode>
                <c:ptCount val="4"/>
                <c:pt idx="0">
                  <c:v>0</c:v>
                </c:pt>
                <c:pt idx="1">
                  <c:v>14</c:v>
                </c:pt>
                <c:pt idx="2">
                  <c:v>28</c:v>
                </c:pt>
                <c:pt idx="3">
                  <c:v>42</c:v>
                </c:pt>
              </c:numCache>
            </c:numRef>
          </c:xVal>
          <c:yVal>
            <c:numRef>
              <c:f>(Color!$I$22,Color!$Q$22,Color!$Y$22,Color!$AG$22)</c:f>
              <c:numCache>
                <c:formatCode>0.00</c:formatCode>
                <c:ptCount val="4"/>
                <c:pt idx="0">
                  <c:v>0</c:v>
                </c:pt>
                <c:pt idx="1">
                  <c:v>3.8907317154680006</c:v>
                </c:pt>
                <c:pt idx="2">
                  <c:v>5.9990891588648934</c:v>
                </c:pt>
                <c:pt idx="3">
                  <c:v>7.585252000837702</c:v>
                </c:pt>
              </c:numCache>
            </c:numRef>
          </c:yVal>
          <c:smooth val="1"/>
        </c:ser>
        <c:ser>
          <c:idx val="1"/>
          <c:order val="1"/>
          <c:tx>
            <c:v>CaCl2</c:v>
          </c:tx>
          <c:errBars>
            <c:errDir val="y"/>
            <c:errBarType val="both"/>
            <c:errValType val="cust"/>
            <c:plus>
              <c:numRef>
                <c:f>(Color!$I$31,Color!$Q$31,Color!$Y$31,Color!$AG$31)</c:f>
                <c:numCache>
                  <c:formatCode>General</c:formatCode>
                  <c:ptCount val="4"/>
                  <c:pt idx="0">
                    <c:v>0</c:v>
                  </c:pt>
                  <c:pt idx="1">
                    <c:v>0.46016804353122476</c:v>
                  </c:pt>
                  <c:pt idx="2">
                    <c:v>1.1961795903308721</c:v>
                  </c:pt>
                  <c:pt idx="3">
                    <c:v>0.83872648718729403</c:v>
                  </c:pt>
                </c:numCache>
              </c:numRef>
            </c:plus>
            <c:minus>
              <c:numRef>
                <c:f>(Color!$I$31,Color!$Q$31,Color!$Y$31,Color!$AG$31)</c:f>
                <c:numCache>
                  <c:formatCode>General</c:formatCode>
                  <c:ptCount val="4"/>
                  <c:pt idx="0">
                    <c:v>0</c:v>
                  </c:pt>
                  <c:pt idx="1">
                    <c:v>0.46016804353122476</c:v>
                  </c:pt>
                  <c:pt idx="2">
                    <c:v>1.1961795903308721</c:v>
                  </c:pt>
                  <c:pt idx="3">
                    <c:v>0.83872648718729403</c:v>
                  </c:pt>
                </c:numCache>
              </c:numRef>
            </c:minus>
          </c:errBars>
          <c:xVal>
            <c:numRef>
              <c:f>Color!$AI$38:$AL$38</c:f>
              <c:numCache>
                <c:formatCode>General</c:formatCode>
                <c:ptCount val="4"/>
                <c:pt idx="0">
                  <c:v>0</c:v>
                </c:pt>
                <c:pt idx="1">
                  <c:v>14</c:v>
                </c:pt>
                <c:pt idx="2">
                  <c:v>28</c:v>
                </c:pt>
                <c:pt idx="3">
                  <c:v>42</c:v>
                </c:pt>
              </c:numCache>
            </c:numRef>
          </c:xVal>
          <c:yVal>
            <c:numRef>
              <c:f>(Color!$I$23,Color!$Q$23,Color!$Y$23,Color!$AG$23)</c:f>
              <c:numCache>
                <c:formatCode>0.00</c:formatCode>
                <c:ptCount val="4"/>
                <c:pt idx="0">
                  <c:v>0</c:v>
                </c:pt>
                <c:pt idx="1">
                  <c:v>4.5259759442365644</c:v>
                </c:pt>
                <c:pt idx="2">
                  <c:v>5.4231961294471516</c:v>
                </c:pt>
                <c:pt idx="3">
                  <c:v>8.4000228523375835</c:v>
                </c:pt>
              </c:numCache>
            </c:numRef>
          </c:yVal>
          <c:smooth val="1"/>
        </c:ser>
        <c:ser>
          <c:idx val="2"/>
          <c:order val="2"/>
          <c:tx>
            <c:v>Flavonoid</c:v>
          </c:tx>
          <c:errBars>
            <c:errDir val="y"/>
            <c:errBarType val="both"/>
            <c:errValType val="cust"/>
            <c:plus>
              <c:numRef>
                <c:f>(Color!$I$32,Color!$Q$32,Color!$Y$32,Color!$AG$32)</c:f>
                <c:numCache>
                  <c:formatCode>General</c:formatCode>
                  <c:ptCount val="4"/>
                  <c:pt idx="0">
                    <c:v>0</c:v>
                  </c:pt>
                  <c:pt idx="1">
                    <c:v>0.63153705873897104</c:v>
                  </c:pt>
                  <c:pt idx="2">
                    <c:v>0.41042210655528932</c:v>
                  </c:pt>
                  <c:pt idx="3">
                    <c:v>0.57362881496584028</c:v>
                  </c:pt>
                </c:numCache>
              </c:numRef>
            </c:plus>
            <c:minus>
              <c:numRef>
                <c:f>(Color!$I$32,Color!$Q$32,Color!$Y$32,Color!$AG$32)</c:f>
                <c:numCache>
                  <c:formatCode>General</c:formatCode>
                  <c:ptCount val="4"/>
                  <c:pt idx="0">
                    <c:v>0</c:v>
                  </c:pt>
                  <c:pt idx="1">
                    <c:v>0.63153705873897104</c:v>
                  </c:pt>
                  <c:pt idx="2">
                    <c:v>0.41042210655528932</c:v>
                  </c:pt>
                  <c:pt idx="3">
                    <c:v>0.57362881496584028</c:v>
                  </c:pt>
                </c:numCache>
              </c:numRef>
            </c:minus>
          </c:errBars>
          <c:xVal>
            <c:numRef>
              <c:f>Color!$AI$38:$AL$38</c:f>
              <c:numCache>
                <c:formatCode>General</c:formatCode>
                <c:ptCount val="4"/>
                <c:pt idx="0">
                  <c:v>0</c:v>
                </c:pt>
                <c:pt idx="1">
                  <c:v>14</c:v>
                </c:pt>
                <c:pt idx="2">
                  <c:v>28</c:v>
                </c:pt>
                <c:pt idx="3">
                  <c:v>42</c:v>
                </c:pt>
              </c:numCache>
            </c:numRef>
          </c:xVal>
          <c:yVal>
            <c:numRef>
              <c:f>(Color!$I$24,Color!$Q$24,Color!$Y$24,Color!$AG$24)</c:f>
              <c:numCache>
                <c:formatCode>0.00</c:formatCode>
                <c:ptCount val="4"/>
                <c:pt idx="0">
                  <c:v>0</c:v>
                </c:pt>
                <c:pt idx="1">
                  <c:v>2.7479118063770507</c:v>
                </c:pt>
                <c:pt idx="2">
                  <c:v>5.3230694948709534</c:v>
                </c:pt>
                <c:pt idx="3">
                  <c:v>8.1033241731460972</c:v>
                </c:pt>
              </c:numCache>
            </c:numRef>
          </c:yVal>
          <c:smooth val="1"/>
        </c:ser>
        <c:ser>
          <c:idx val="3"/>
          <c:order val="3"/>
          <c:tx>
            <c:v>Flavonoid+CaCl2</c:v>
          </c:tx>
          <c:errBars>
            <c:errDir val="y"/>
            <c:errBarType val="both"/>
            <c:errValType val="cust"/>
            <c:plus>
              <c:numRef>
                <c:f>(Color!$I$33,Color!$Q$33,Color!$Y$33,Color!$AG$33)</c:f>
                <c:numCache>
                  <c:formatCode>General</c:formatCode>
                  <c:ptCount val="4"/>
                  <c:pt idx="0">
                    <c:v>0</c:v>
                  </c:pt>
                  <c:pt idx="1">
                    <c:v>0.23719076159992442</c:v>
                  </c:pt>
                  <c:pt idx="2">
                    <c:v>0.29969126139461055</c:v>
                  </c:pt>
                  <c:pt idx="3">
                    <c:v>0.35697499973954233</c:v>
                  </c:pt>
                </c:numCache>
              </c:numRef>
            </c:plus>
            <c:minus>
              <c:numRef>
                <c:f>(Color!$I$33,Color!$Q$33,Color!$Y$33,Color!$AG$33)</c:f>
                <c:numCache>
                  <c:formatCode>General</c:formatCode>
                  <c:ptCount val="4"/>
                  <c:pt idx="0">
                    <c:v>0</c:v>
                  </c:pt>
                  <c:pt idx="1">
                    <c:v>0.23719076159992442</c:v>
                  </c:pt>
                  <c:pt idx="2">
                    <c:v>0.29969126139461055</c:v>
                  </c:pt>
                  <c:pt idx="3">
                    <c:v>0.35697499973954233</c:v>
                  </c:pt>
                </c:numCache>
              </c:numRef>
            </c:minus>
          </c:errBars>
          <c:xVal>
            <c:numRef>
              <c:f>Color!$AI$38:$AL$38</c:f>
              <c:numCache>
                <c:formatCode>General</c:formatCode>
                <c:ptCount val="4"/>
                <c:pt idx="0">
                  <c:v>0</c:v>
                </c:pt>
                <c:pt idx="1">
                  <c:v>14</c:v>
                </c:pt>
                <c:pt idx="2">
                  <c:v>28</c:v>
                </c:pt>
                <c:pt idx="3">
                  <c:v>42</c:v>
                </c:pt>
              </c:numCache>
            </c:numRef>
          </c:xVal>
          <c:yVal>
            <c:numRef>
              <c:f>(Color!$I$25,Color!$Q$25,Color!$Y$25,Color!$AG$25)</c:f>
              <c:numCache>
                <c:formatCode>0.00</c:formatCode>
                <c:ptCount val="4"/>
                <c:pt idx="0">
                  <c:v>0</c:v>
                </c:pt>
                <c:pt idx="1">
                  <c:v>2.521274088314827</c:v>
                </c:pt>
                <c:pt idx="2">
                  <c:v>4.0498020649445534</c:v>
                </c:pt>
                <c:pt idx="3">
                  <c:v>6.1484141166407245</c:v>
                </c:pt>
              </c:numCache>
            </c:numRef>
          </c:yVal>
          <c:smooth val="1"/>
        </c:ser>
        <c:axId val="133425408"/>
        <c:axId val="133431680"/>
      </c:scatterChart>
      <c:valAx>
        <c:axId val="133425408"/>
        <c:scaling>
          <c:orientation val="minMax"/>
          <c:max val="48"/>
          <c:min val="0"/>
        </c:scaling>
        <c:axPos val="b"/>
        <c:title>
          <c:tx>
            <c:rich>
              <a:bodyPr/>
              <a:lstStyle/>
              <a:p>
                <a:pPr>
                  <a:defRPr sz="800"/>
                </a:pPr>
                <a:r>
                  <a:rPr lang="es-ES" sz="800"/>
                  <a:t>Storage</a:t>
                </a:r>
                <a:r>
                  <a:rPr lang="es-ES" sz="800" baseline="0"/>
                  <a:t> (Week)</a:t>
                </a:r>
                <a:endParaRPr lang="es-ES" sz="800"/>
              </a:p>
            </c:rich>
          </c:tx>
          <c:layout>
            <c:manualLayout>
              <c:xMode val="edge"/>
              <c:yMode val="edge"/>
              <c:x val="0.37279246298491214"/>
              <c:y val="0.82430251626916062"/>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3431680"/>
        <c:crosses val="autoZero"/>
        <c:crossBetween val="midCat"/>
        <c:majorUnit val="6"/>
      </c:valAx>
      <c:valAx>
        <c:axId val="133431680"/>
        <c:scaling>
          <c:orientation val="minMax"/>
          <c:max val="16"/>
          <c:min val="0"/>
        </c:scaling>
        <c:axPos val="l"/>
        <c:title>
          <c:tx>
            <c:rich>
              <a:bodyPr/>
              <a:lstStyle/>
              <a:p>
                <a:pPr>
                  <a:defRPr sz="800"/>
                </a:pPr>
                <a:r>
                  <a:rPr lang="es-ES" sz="800">
                    <a:latin typeface="Times New Roman"/>
                    <a:cs typeface="Times New Roman"/>
                  </a:rPr>
                  <a:t>∆</a:t>
                </a:r>
                <a:r>
                  <a:rPr lang="es-ES" sz="800" b="0">
                    <a:latin typeface="Times New Roman"/>
                    <a:cs typeface="Times New Roman"/>
                  </a:rPr>
                  <a:t>E*</a:t>
                </a:r>
                <a:endParaRPr lang="es-ES" sz="800"/>
              </a:p>
            </c:rich>
          </c:tx>
        </c:title>
        <c:numFmt formatCode="0.0" sourceLinked="0"/>
        <c:majorTickMark val="none"/>
        <c:tickLblPos val="nextTo"/>
        <c:txPr>
          <a:bodyPr/>
          <a:lstStyle/>
          <a:p>
            <a:pPr>
              <a:defRPr sz="800"/>
            </a:pPr>
            <a:endParaRPr lang="en-US"/>
          </a:p>
        </c:txPr>
        <c:crossAx val="133425408"/>
        <c:crosses val="autoZero"/>
        <c:crossBetween val="midCat"/>
      </c:valAx>
    </c:plotArea>
    <c:legend>
      <c:legendPos val="b"/>
      <c:layout>
        <c:manualLayout>
          <c:xMode val="edge"/>
          <c:yMode val="edge"/>
          <c:x val="4.9174226902597033E-2"/>
          <c:y val="0.89049269902393458"/>
          <c:w val="0.93330276507846044"/>
          <c:h val="7.1994752755352318E-2"/>
        </c:manualLayout>
      </c:layout>
      <c:txPr>
        <a:bodyPr/>
        <a:lstStyle/>
        <a:p>
          <a:pPr>
            <a:defRPr sz="600"/>
          </a:pPr>
          <a:endParaRPr lang="en-US"/>
        </a:p>
      </c:txPr>
    </c:legend>
    <c:plotVisOnly val="1"/>
    <c:dispBlanksAs val="gap"/>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5368545598466901"/>
          <c:y val="5.1599724276889601E-2"/>
          <c:w val="0.80304331523776851"/>
          <c:h val="0.67236940140546964"/>
        </c:manualLayout>
      </c:layout>
      <c:scatterChart>
        <c:scatterStyle val="smoothMarker"/>
        <c:ser>
          <c:idx val="0"/>
          <c:order val="0"/>
          <c:tx>
            <c:v>Control</c:v>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Lit>
                <c:formatCode>General</c:formatCode>
                <c:ptCount val="1"/>
                <c:pt idx="0">
                  <c:v>1</c:v>
                </c:pt>
              </c:numLit>
            </c:plus>
            <c:minus>
              <c:numLit>
                <c:formatCode>General</c:formatCode>
                <c:ptCount val="1"/>
                <c:pt idx="0">
                  <c:v>1</c:v>
                </c:pt>
              </c:numLit>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(Color!$AZ$27,Color!$AZ$58,Color!$AZ$91,Color!$AZ$121)</c:f>
              <c:numCache>
                <c:formatCode>0.00</c:formatCode>
                <c:ptCount val="4"/>
                <c:pt idx="0">
                  <c:v>34.853333333333296</c:v>
                </c:pt>
                <c:pt idx="1">
                  <c:v>37.33</c:v>
                </c:pt>
                <c:pt idx="2">
                  <c:v>36.456666666665789</c:v>
                </c:pt>
                <c:pt idx="3">
                  <c:v>33.080000000000005</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(Color!$BA$28,Color!$BA$59,Color!$BA$92,Color!$BA$122)</c:f>
                <c:numCache>
                  <c:formatCode>General</c:formatCode>
                  <c:ptCount val="4"/>
                  <c:pt idx="0">
                    <c:v>2.2859644208370802</c:v>
                  </c:pt>
                  <c:pt idx="1">
                    <c:v>0.46608296829352247</c:v>
                  </c:pt>
                  <c:pt idx="2">
                    <c:v>1.1879393923937858</c:v>
                  </c:pt>
                  <c:pt idx="3">
                    <c:v>1.0244185342592347</c:v>
                  </c:pt>
                </c:numCache>
              </c:numRef>
            </c:plus>
            <c:minus>
              <c:numRef>
                <c:f>(Color!$BA$28,Color!$BA$59,Color!$BA$92,Color!$BA$122)</c:f>
                <c:numCache>
                  <c:formatCode>General</c:formatCode>
                  <c:ptCount val="4"/>
                  <c:pt idx="0">
                    <c:v>2.2859644208370802</c:v>
                  </c:pt>
                  <c:pt idx="1">
                    <c:v>0.46608296829352247</c:v>
                  </c:pt>
                  <c:pt idx="2">
                    <c:v>1.1879393923937858</c:v>
                  </c:pt>
                  <c:pt idx="3">
                    <c:v>1.0244185342592347</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(Color!$AZ$28,Color!$AZ$59,Color!$AZ$92,Color!$AZ$122)</c:f>
              <c:numCache>
                <c:formatCode>0.00</c:formatCode>
                <c:ptCount val="4"/>
                <c:pt idx="0">
                  <c:v>37.213333333333352</c:v>
                </c:pt>
                <c:pt idx="1">
                  <c:v>40.466666666665994</c:v>
                </c:pt>
                <c:pt idx="2">
                  <c:v>37.660000000000011</c:v>
                </c:pt>
                <c:pt idx="3">
                  <c:v>34.043333333333329</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(Color!$BA$29,Color!$BA$60,Color!$BA$93,Color!$BA$123)</c:f>
                <c:numCache>
                  <c:formatCode>General</c:formatCode>
                  <c:ptCount val="4"/>
                  <c:pt idx="0">
                    <c:v>2.2459815968377486</c:v>
                  </c:pt>
                  <c:pt idx="1">
                    <c:v>0.66775744099164502</c:v>
                  </c:pt>
                  <c:pt idx="2">
                    <c:v>1.0677312395916738</c:v>
                  </c:pt>
                  <c:pt idx="3">
                    <c:v>0.68607579756214665</c:v>
                  </c:pt>
                </c:numCache>
              </c:numRef>
            </c:plus>
            <c:minus>
              <c:numRef>
                <c:f>(Color!$BA$29,Color!$BA$60,Color!$BA$93,Color!$BA$123)</c:f>
                <c:numCache>
                  <c:formatCode>General</c:formatCode>
                  <c:ptCount val="4"/>
                  <c:pt idx="0">
                    <c:v>2.2459815968377486</c:v>
                  </c:pt>
                  <c:pt idx="1">
                    <c:v>0.66775744099164502</c:v>
                  </c:pt>
                  <c:pt idx="2">
                    <c:v>1.0677312395916738</c:v>
                  </c:pt>
                  <c:pt idx="3">
                    <c:v>0.68607579756214665</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(Color!$AZ$29,Color!$AZ$60,Color!$AZ$93,Color!$AZ$123)</c:f>
              <c:numCache>
                <c:formatCode>0.00</c:formatCode>
                <c:ptCount val="4"/>
                <c:pt idx="0">
                  <c:v>34.746666666665995</c:v>
                </c:pt>
                <c:pt idx="1">
                  <c:v>39.57</c:v>
                </c:pt>
                <c:pt idx="2">
                  <c:v>36.414999999999999</c:v>
                </c:pt>
                <c:pt idx="3">
                  <c:v>34.61</c:v>
                </c:pt>
              </c:numCache>
            </c:numRef>
          </c:yVal>
          <c:smooth val="1"/>
        </c:ser>
        <c:axId val="84796928"/>
        <c:axId val="84934656"/>
      </c:scatterChart>
      <c:valAx>
        <c:axId val="84796928"/>
        <c:scaling>
          <c:orientation val="minMax"/>
          <c:max val="30"/>
          <c:min val="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39173396594656451"/>
              <c:y val="0.81634577935822561"/>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4934656"/>
        <c:crosses val="autoZero"/>
        <c:crossBetween val="midCat"/>
        <c:majorUnit val="10"/>
        <c:minorUnit val="1"/>
      </c:valAx>
      <c:valAx>
        <c:axId val="84934656"/>
        <c:scaling>
          <c:orientation val="minMax"/>
          <c:max val="44"/>
          <c:min val="24"/>
        </c:scaling>
        <c:axPos val="l"/>
        <c:title>
          <c:tx>
            <c:rich>
              <a:bodyPr/>
              <a:lstStyle/>
              <a:p>
                <a:pPr>
                  <a:defRPr sz="800" b="1" i="0" u="none" strike="noStrike" baseline="0">
                    <a:solidFill>
                      <a:srgbClr val="000000"/>
                    </a:solidFill>
                    <a:latin typeface="Arial"/>
                    <a:ea typeface="Arial"/>
                    <a:cs typeface="Arial"/>
                  </a:defRPr>
                </a:pPr>
                <a:r>
                  <a:rPr lang="en-US" sz="800"/>
                  <a:t>L*</a:t>
                </a:r>
              </a:p>
            </c:rich>
          </c:tx>
          <c:layout>
            <c:manualLayout>
              <c:xMode val="edge"/>
              <c:yMode val="edge"/>
              <c:x val="2.5848307423110607E-2"/>
              <c:y val="0.3899923799847605"/>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4796928"/>
        <c:crosses val="autoZero"/>
        <c:crossBetween val="midCat"/>
        <c:majorUnit val="2"/>
      </c:valAx>
      <c:spPr>
        <a:noFill/>
        <a:ln w="25400">
          <a:noFill/>
        </a:ln>
      </c:spPr>
    </c:plotArea>
    <c:legend>
      <c:legendPos val="b"/>
      <c:spPr>
        <a:solidFill>
          <a:srgbClr val="FFFFFF"/>
        </a:solidFill>
        <a:ln w="25400">
          <a:noFill/>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60.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70579017837519"/>
          <c:y val="8.8000519835072247E-2"/>
          <c:w val="0.706233067346556"/>
          <c:h val="0.63103691888960001"/>
        </c:manualLayout>
      </c:layout>
      <c:scatterChart>
        <c:scatterStyle val="smoothMarker"/>
        <c:ser>
          <c:idx val="0"/>
          <c:order val="0"/>
          <c:tx>
            <c:v>Control</c:v>
          </c:tx>
          <c:errBars>
            <c:errDir val="y"/>
            <c:errBarType val="both"/>
            <c:errValType val="cust"/>
            <c:plus>
              <c:numRef>
                <c:f>(Color!$I$65,Color!$Q$65,Color!$Y$65,Color!$AG$65)</c:f>
                <c:numCache>
                  <c:formatCode>General</c:formatCode>
                  <c:ptCount val="4"/>
                  <c:pt idx="0">
                    <c:v>0</c:v>
                  </c:pt>
                  <c:pt idx="1">
                    <c:v>1.8238079313618791</c:v>
                  </c:pt>
                  <c:pt idx="2">
                    <c:v>0.65087060143104203</c:v>
                  </c:pt>
                  <c:pt idx="3">
                    <c:v>2.188763968037343</c:v>
                  </c:pt>
                </c:numCache>
              </c:numRef>
            </c:plus>
            <c:minus>
              <c:numRef>
                <c:f>(Color!$I$65,Color!$Q$65,Color!$Y$65,Color!$AG$65)</c:f>
                <c:numCache>
                  <c:formatCode>General</c:formatCode>
                  <c:ptCount val="4"/>
                  <c:pt idx="0">
                    <c:v>0</c:v>
                  </c:pt>
                  <c:pt idx="1">
                    <c:v>1.8238079313618791</c:v>
                  </c:pt>
                  <c:pt idx="2">
                    <c:v>0.65087060143104203</c:v>
                  </c:pt>
                  <c:pt idx="3">
                    <c:v>2.188763968037343</c:v>
                  </c:pt>
                </c:numCache>
              </c:numRef>
            </c:minus>
          </c:errBars>
          <c:xVal>
            <c:numRef>
              <c:f>Color!$AI$38:$AL$38</c:f>
              <c:numCache>
                <c:formatCode>General</c:formatCode>
                <c:ptCount val="4"/>
                <c:pt idx="0">
                  <c:v>0</c:v>
                </c:pt>
                <c:pt idx="1">
                  <c:v>14</c:v>
                </c:pt>
                <c:pt idx="2">
                  <c:v>28</c:v>
                </c:pt>
                <c:pt idx="3">
                  <c:v>42</c:v>
                </c:pt>
              </c:numCache>
            </c:numRef>
          </c:xVal>
          <c:yVal>
            <c:numRef>
              <c:f>(Color!$I$57,Color!$Q$57,Color!$Y$57,Color!$AG$57)</c:f>
              <c:numCache>
                <c:formatCode>0.00</c:formatCode>
                <c:ptCount val="4"/>
                <c:pt idx="0">
                  <c:v>0</c:v>
                </c:pt>
                <c:pt idx="1">
                  <c:v>3.0333585865754089</c:v>
                </c:pt>
                <c:pt idx="2">
                  <c:v>5.0596888965722417</c:v>
                </c:pt>
                <c:pt idx="3">
                  <c:v>9.6233228225031482</c:v>
                </c:pt>
              </c:numCache>
            </c:numRef>
          </c:yVal>
          <c:smooth val="1"/>
        </c:ser>
        <c:ser>
          <c:idx val="1"/>
          <c:order val="1"/>
          <c:tx>
            <c:v>CaCl2</c:v>
          </c:tx>
          <c:errBars>
            <c:errDir val="y"/>
            <c:errBarType val="both"/>
            <c:errValType val="cust"/>
            <c:plus>
              <c:numRef>
                <c:f>(Color!$I$66,Color!$Q$66,Color!$Y$66,Color!$AG$66)</c:f>
                <c:numCache>
                  <c:formatCode>General</c:formatCode>
                  <c:ptCount val="4"/>
                  <c:pt idx="0">
                    <c:v>0</c:v>
                  </c:pt>
                  <c:pt idx="1">
                    <c:v>1.4070918589562538</c:v>
                  </c:pt>
                  <c:pt idx="2">
                    <c:v>1.534721602082783</c:v>
                  </c:pt>
                  <c:pt idx="3">
                    <c:v>1.0368065746717301</c:v>
                  </c:pt>
                </c:numCache>
              </c:numRef>
            </c:plus>
            <c:minus>
              <c:numRef>
                <c:f>(Color!$I$66,Color!$Q$66,Color!$Y$66,Color!$AG$66)</c:f>
                <c:numCache>
                  <c:formatCode>General</c:formatCode>
                  <c:ptCount val="4"/>
                  <c:pt idx="0">
                    <c:v>0</c:v>
                  </c:pt>
                  <c:pt idx="1">
                    <c:v>1.4070918589562538</c:v>
                  </c:pt>
                  <c:pt idx="2">
                    <c:v>1.534721602082783</c:v>
                  </c:pt>
                  <c:pt idx="3">
                    <c:v>1.0368065746717301</c:v>
                  </c:pt>
                </c:numCache>
              </c:numRef>
            </c:minus>
          </c:errBars>
          <c:xVal>
            <c:numRef>
              <c:f>Color!$AI$38:$AL$38</c:f>
              <c:numCache>
                <c:formatCode>General</c:formatCode>
                <c:ptCount val="4"/>
                <c:pt idx="0">
                  <c:v>0</c:v>
                </c:pt>
                <c:pt idx="1">
                  <c:v>14</c:v>
                </c:pt>
                <c:pt idx="2">
                  <c:v>28</c:v>
                </c:pt>
                <c:pt idx="3">
                  <c:v>42</c:v>
                </c:pt>
              </c:numCache>
            </c:numRef>
          </c:xVal>
          <c:yVal>
            <c:numRef>
              <c:f>(Color!$I$58,Color!$Q$58,Color!$Y$58,Color!$AG$58)</c:f>
              <c:numCache>
                <c:formatCode>0.00</c:formatCode>
                <c:ptCount val="4"/>
                <c:pt idx="0">
                  <c:v>0</c:v>
                </c:pt>
                <c:pt idx="1">
                  <c:v>9.1920354111755849</c:v>
                </c:pt>
                <c:pt idx="2">
                  <c:v>12.1351803778127</c:v>
                </c:pt>
                <c:pt idx="3">
                  <c:v>14.82456879856405</c:v>
                </c:pt>
              </c:numCache>
            </c:numRef>
          </c:yVal>
          <c:smooth val="1"/>
        </c:ser>
        <c:ser>
          <c:idx val="2"/>
          <c:order val="2"/>
          <c:tx>
            <c:v>Flavonoid</c:v>
          </c:tx>
          <c:errBars>
            <c:errDir val="y"/>
            <c:errBarType val="both"/>
            <c:errValType val="cust"/>
            <c:plus>
              <c:numRef>
                <c:f>(Color!$I$67,Color!$N$67,Color!$N$67,Color!$Q$67,Color!$Y$67,Color!$AG$67)</c:f>
                <c:numCache>
                  <c:formatCode>General</c:formatCode>
                  <c:ptCount val="6"/>
                  <c:pt idx="0">
                    <c:v>0</c:v>
                  </c:pt>
                  <c:pt idx="1">
                    <c:v>0.30319190842372379</c:v>
                  </c:pt>
                  <c:pt idx="2">
                    <c:v>0.30319190842372379</c:v>
                  </c:pt>
                  <c:pt idx="3">
                    <c:v>0.29691258179682573</c:v>
                  </c:pt>
                  <c:pt idx="4">
                    <c:v>1.7225990602047299</c:v>
                  </c:pt>
                  <c:pt idx="5">
                    <c:v>1.0922848766103821</c:v>
                  </c:pt>
                </c:numCache>
              </c:numRef>
            </c:plus>
            <c:minus>
              <c:numRef>
                <c:f>(Color!$I$67,Color!$N$67,Color!$N$67,Color!$Q$67,Color!$Y$67,Color!$AG$67)</c:f>
                <c:numCache>
                  <c:formatCode>General</c:formatCode>
                  <c:ptCount val="6"/>
                  <c:pt idx="0">
                    <c:v>0</c:v>
                  </c:pt>
                  <c:pt idx="1">
                    <c:v>0.30319190842372379</c:v>
                  </c:pt>
                  <c:pt idx="2">
                    <c:v>0.30319190842372379</c:v>
                  </c:pt>
                  <c:pt idx="3">
                    <c:v>0.29691258179682573</c:v>
                  </c:pt>
                  <c:pt idx="4">
                    <c:v>1.7225990602047299</c:v>
                  </c:pt>
                  <c:pt idx="5">
                    <c:v>1.0922848766103821</c:v>
                  </c:pt>
                </c:numCache>
              </c:numRef>
            </c:minus>
          </c:errBars>
          <c:xVal>
            <c:numRef>
              <c:f>Color!$AI$38:$AL$38</c:f>
              <c:numCache>
                <c:formatCode>General</c:formatCode>
                <c:ptCount val="4"/>
                <c:pt idx="0">
                  <c:v>0</c:v>
                </c:pt>
                <c:pt idx="1">
                  <c:v>14</c:v>
                </c:pt>
                <c:pt idx="2">
                  <c:v>28</c:v>
                </c:pt>
                <c:pt idx="3">
                  <c:v>42</c:v>
                </c:pt>
              </c:numCache>
            </c:numRef>
          </c:xVal>
          <c:yVal>
            <c:numRef>
              <c:f>(Color!$I$59,Color!$Q$59,Color!$Y$59,Color!$AG$59)</c:f>
              <c:numCache>
                <c:formatCode>0.00</c:formatCode>
                <c:ptCount val="4"/>
                <c:pt idx="0">
                  <c:v>0</c:v>
                </c:pt>
                <c:pt idx="1">
                  <c:v>7.1279994817980876</c:v>
                </c:pt>
                <c:pt idx="2">
                  <c:v>7.8368474681399096</c:v>
                </c:pt>
                <c:pt idx="3">
                  <c:v>10.468511588290099</c:v>
                </c:pt>
              </c:numCache>
            </c:numRef>
          </c:yVal>
          <c:smooth val="1"/>
        </c:ser>
        <c:ser>
          <c:idx val="3"/>
          <c:order val="3"/>
          <c:tx>
            <c:v>Flavonoid+CaCl2</c:v>
          </c:tx>
          <c:errBars>
            <c:errDir val="y"/>
            <c:errBarType val="both"/>
            <c:errValType val="cust"/>
            <c:plus>
              <c:numRef>
                <c:f>(Color!$I$68,Color!$Q$68,Color!$Y$68,Color!$AG$68)</c:f>
                <c:numCache>
                  <c:formatCode>General</c:formatCode>
                  <c:ptCount val="4"/>
                  <c:pt idx="0">
                    <c:v>0</c:v>
                  </c:pt>
                  <c:pt idx="1">
                    <c:v>0.46374860387148908</c:v>
                  </c:pt>
                  <c:pt idx="2">
                    <c:v>1.3634216710557798</c:v>
                  </c:pt>
                  <c:pt idx="3">
                    <c:v>2.7863069661856752</c:v>
                  </c:pt>
                </c:numCache>
              </c:numRef>
            </c:plus>
            <c:minus>
              <c:numRef>
                <c:f>(Color!$I$68,Color!$Q$68,Color!$Y$68,Color!$AG$68)</c:f>
                <c:numCache>
                  <c:formatCode>General</c:formatCode>
                  <c:ptCount val="4"/>
                  <c:pt idx="0">
                    <c:v>0</c:v>
                  </c:pt>
                  <c:pt idx="1">
                    <c:v>0.46374860387148908</c:v>
                  </c:pt>
                  <c:pt idx="2">
                    <c:v>1.3634216710557798</c:v>
                  </c:pt>
                  <c:pt idx="3">
                    <c:v>2.7863069661856752</c:v>
                  </c:pt>
                </c:numCache>
              </c:numRef>
            </c:minus>
          </c:errBars>
          <c:xVal>
            <c:numRef>
              <c:f>Color!$AI$38:$AL$38</c:f>
              <c:numCache>
                <c:formatCode>General</c:formatCode>
                <c:ptCount val="4"/>
                <c:pt idx="0">
                  <c:v>0</c:v>
                </c:pt>
                <c:pt idx="1">
                  <c:v>14</c:v>
                </c:pt>
                <c:pt idx="2">
                  <c:v>28</c:v>
                </c:pt>
                <c:pt idx="3">
                  <c:v>42</c:v>
                </c:pt>
              </c:numCache>
            </c:numRef>
          </c:xVal>
          <c:yVal>
            <c:numRef>
              <c:f>(Color!$I$60,Color!$Q$60,Color!$Y$60,Color!$AG$60)</c:f>
              <c:numCache>
                <c:formatCode>0.00</c:formatCode>
                <c:ptCount val="4"/>
                <c:pt idx="0">
                  <c:v>0</c:v>
                </c:pt>
                <c:pt idx="1">
                  <c:v>7.7261555438828369</c:v>
                </c:pt>
                <c:pt idx="2">
                  <c:v>9.0104684801214638</c:v>
                </c:pt>
                <c:pt idx="3">
                  <c:v>14.051670105190068</c:v>
                </c:pt>
              </c:numCache>
            </c:numRef>
          </c:yVal>
          <c:smooth val="1"/>
        </c:ser>
        <c:axId val="133496832"/>
        <c:axId val="133498752"/>
      </c:scatterChart>
      <c:valAx>
        <c:axId val="133496832"/>
        <c:scaling>
          <c:orientation val="minMax"/>
          <c:max val="48"/>
        </c:scaling>
        <c:axPos val="b"/>
        <c:title>
          <c:tx>
            <c:rich>
              <a:bodyPr/>
              <a:lstStyle/>
              <a:p>
                <a:pPr>
                  <a:defRPr sz="800"/>
                </a:pPr>
                <a:r>
                  <a:rPr lang="es-ES" sz="800"/>
                  <a:t>Storage</a:t>
                </a:r>
                <a:r>
                  <a:rPr lang="es-ES" sz="800" baseline="0"/>
                  <a:t> (Week)</a:t>
                </a:r>
                <a:endParaRPr lang="es-ES" sz="800"/>
              </a:p>
            </c:rich>
          </c:tx>
          <c:layout>
            <c:manualLayout>
              <c:xMode val="edge"/>
              <c:yMode val="edge"/>
              <c:x val="0.37279246298491114"/>
              <c:y val="0.82430251626916062"/>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3498752"/>
        <c:crosses val="autoZero"/>
        <c:crossBetween val="midCat"/>
        <c:majorUnit val="6"/>
      </c:valAx>
      <c:valAx>
        <c:axId val="133498752"/>
        <c:scaling>
          <c:orientation val="minMax"/>
          <c:max val="16"/>
          <c:min val="0"/>
        </c:scaling>
        <c:axPos val="l"/>
        <c:title>
          <c:tx>
            <c:rich>
              <a:bodyPr/>
              <a:lstStyle/>
              <a:p>
                <a:pPr>
                  <a:defRPr sz="800"/>
                </a:pPr>
                <a:r>
                  <a:rPr lang="es-ES" sz="800">
                    <a:latin typeface="Times New Roman"/>
                    <a:cs typeface="Times New Roman"/>
                  </a:rPr>
                  <a:t>∆</a:t>
                </a:r>
                <a:r>
                  <a:rPr lang="es-ES" sz="800" b="0">
                    <a:latin typeface="Times New Roman"/>
                    <a:cs typeface="Times New Roman"/>
                  </a:rPr>
                  <a:t>E*</a:t>
                </a:r>
                <a:endParaRPr lang="es-ES" sz="800"/>
              </a:p>
            </c:rich>
          </c:tx>
        </c:title>
        <c:numFmt formatCode="0.0" sourceLinked="0"/>
        <c:majorTickMark val="none"/>
        <c:tickLblPos val="nextTo"/>
        <c:txPr>
          <a:bodyPr/>
          <a:lstStyle/>
          <a:p>
            <a:pPr>
              <a:defRPr sz="800"/>
            </a:pPr>
            <a:endParaRPr lang="en-US"/>
          </a:p>
        </c:txPr>
        <c:crossAx val="133496832"/>
        <c:crosses val="autoZero"/>
        <c:crossBetween val="midCat"/>
        <c:majorUnit val="2"/>
      </c:valAx>
    </c:plotArea>
    <c:legend>
      <c:legendPos val="b"/>
      <c:layout>
        <c:manualLayout>
          <c:xMode val="edge"/>
          <c:yMode val="edge"/>
          <c:x val="9.2688416346370497E-2"/>
          <c:y val="0.89049268659337555"/>
          <c:w val="0.89999996694859374"/>
          <c:h val="7.1994752755352318E-2"/>
        </c:manualLayout>
      </c:layout>
      <c:txPr>
        <a:bodyPr/>
        <a:lstStyle/>
        <a:p>
          <a:pPr>
            <a:defRPr sz="600"/>
          </a:pPr>
          <a:endParaRPr lang="en-US"/>
        </a:p>
      </c:txPr>
    </c:legend>
    <c:plotVisOnly val="1"/>
    <c:dispBlanksAs val="gap"/>
  </c:chart>
  <c:spPr>
    <a:ln>
      <a:noFill/>
    </a:ln>
  </c:spPr>
  <c:externalData r:id="rId1"/>
</c:chartSpace>
</file>

<file path=word/charts/chart6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0579017837519"/>
          <c:y val="0.13482255371523397"/>
          <c:w val="0.706233067346556"/>
          <c:h val="0.58421484084960795"/>
        </c:manualLayout>
      </c:layout>
      <c:scatterChart>
        <c:scatterStyle val="smoothMarker"/>
        <c:ser>
          <c:idx val="0"/>
          <c:order val="0"/>
          <c:tx>
            <c:v>Control</c:v>
          </c:tx>
          <c:errBars>
            <c:errDir val="y"/>
            <c:errBarType val="both"/>
            <c:errValType val="cust"/>
            <c:plus>
              <c:numRef>
                <c:f>(Color!$I$100,Color!$Q$100,Color!$Y$100,Color!$AG$100)</c:f>
                <c:numCache>
                  <c:formatCode>General</c:formatCode>
                  <c:ptCount val="4"/>
                  <c:pt idx="0">
                    <c:v>0</c:v>
                  </c:pt>
                  <c:pt idx="1">
                    <c:v>1.64326944338071</c:v>
                  </c:pt>
                  <c:pt idx="2">
                    <c:v>4.2619993969134733E-2</c:v>
                  </c:pt>
                  <c:pt idx="3">
                    <c:v>0.478995028186945</c:v>
                  </c:pt>
                </c:numCache>
              </c:numRef>
            </c:plus>
            <c:minus>
              <c:numRef>
                <c:f>(Color!$I$100,Color!$Q$100,Color!$Y$100,Color!$AG$100)</c:f>
                <c:numCache>
                  <c:formatCode>General</c:formatCode>
                  <c:ptCount val="4"/>
                  <c:pt idx="0">
                    <c:v>0</c:v>
                  </c:pt>
                  <c:pt idx="1">
                    <c:v>1.64326944338071</c:v>
                  </c:pt>
                  <c:pt idx="2">
                    <c:v>4.2619993969134733E-2</c:v>
                  </c:pt>
                  <c:pt idx="3">
                    <c:v>0.478995028186945</c:v>
                  </c:pt>
                </c:numCache>
              </c:numRef>
            </c:minus>
          </c:errBars>
          <c:xVal>
            <c:numRef>
              <c:f>Color!$AI$38:$AL$38</c:f>
              <c:numCache>
                <c:formatCode>General</c:formatCode>
                <c:ptCount val="4"/>
                <c:pt idx="0">
                  <c:v>0</c:v>
                </c:pt>
                <c:pt idx="1">
                  <c:v>14</c:v>
                </c:pt>
                <c:pt idx="2">
                  <c:v>28</c:v>
                </c:pt>
                <c:pt idx="3">
                  <c:v>42</c:v>
                </c:pt>
              </c:numCache>
            </c:numRef>
          </c:xVal>
          <c:yVal>
            <c:numRef>
              <c:f>(Color!$I$92,Color!$Q$92,Color!$Y$92,Color!$AG$92)</c:f>
              <c:numCache>
                <c:formatCode>0.00</c:formatCode>
                <c:ptCount val="4"/>
                <c:pt idx="0">
                  <c:v>0</c:v>
                </c:pt>
                <c:pt idx="1">
                  <c:v>3.147246578249129</c:v>
                </c:pt>
                <c:pt idx="2">
                  <c:v>4.6120530523194656</c:v>
                </c:pt>
                <c:pt idx="3">
                  <c:v>7.0770461268445963</c:v>
                </c:pt>
              </c:numCache>
            </c:numRef>
          </c:yVal>
          <c:smooth val="1"/>
        </c:ser>
        <c:ser>
          <c:idx val="1"/>
          <c:order val="1"/>
          <c:tx>
            <c:v>CaCl2</c:v>
          </c:tx>
          <c:errBars>
            <c:errDir val="y"/>
            <c:errBarType val="both"/>
            <c:errValType val="cust"/>
            <c:plus>
              <c:numRef>
                <c:f>(Color!$I$101,Color!$Q$101,Color!$Y$101,Color!$AG$101)</c:f>
                <c:numCache>
                  <c:formatCode>General</c:formatCode>
                  <c:ptCount val="4"/>
                  <c:pt idx="0">
                    <c:v>0</c:v>
                  </c:pt>
                  <c:pt idx="1">
                    <c:v>1.089273051226324</c:v>
                  </c:pt>
                  <c:pt idx="2">
                    <c:v>1.9448984199730421</c:v>
                  </c:pt>
                  <c:pt idx="3">
                    <c:v>0.81376769253860204</c:v>
                  </c:pt>
                </c:numCache>
              </c:numRef>
            </c:plus>
            <c:minus>
              <c:numRef>
                <c:f>(Color!$I$101,Color!$Q$101,Color!$Y$101,Color!$AG$101)</c:f>
                <c:numCache>
                  <c:formatCode>General</c:formatCode>
                  <c:ptCount val="4"/>
                  <c:pt idx="0">
                    <c:v>0</c:v>
                  </c:pt>
                  <c:pt idx="1">
                    <c:v>1.089273051226324</c:v>
                  </c:pt>
                  <c:pt idx="2">
                    <c:v>1.9448984199730421</c:v>
                  </c:pt>
                  <c:pt idx="3">
                    <c:v>0.81376769253860204</c:v>
                  </c:pt>
                </c:numCache>
              </c:numRef>
            </c:minus>
          </c:errBars>
          <c:xVal>
            <c:numRef>
              <c:f>Color!$AI$38:$AL$38</c:f>
              <c:numCache>
                <c:formatCode>General</c:formatCode>
                <c:ptCount val="4"/>
                <c:pt idx="0">
                  <c:v>0</c:v>
                </c:pt>
                <c:pt idx="1">
                  <c:v>14</c:v>
                </c:pt>
                <c:pt idx="2">
                  <c:v>28</c:v>
                </c:pt>
                <c:pt idx="3">
                  <c:v>42</c:v>
                </c:pt>
              </c:numCache>
            </c:numRef>
          </c:xVal>
          <c:yVal>
            <c:numRef>
              <c:f>(Color!$I$93,Color!$Q$93,Color!$Y$93,Color!$AG$93)</c:f>
              <c:numCache>
                <c:formatCode>0.00</c:formatCode>
                <c:ptCount val="4"/>
                <c:pt idx="0">
                  <c:v>0</c:v>
                </c:pt>
                <c:pt idx="1">
                  <c:v>4.5583374282665856</c:v>
                </c:pt>
                <c:pt idx="2">
                  <c:v>8.2302772790871117</c:v>
                </c:pt>
                <c:pt idx="3">
                  <c:v>11.445870642363568</c:v>
                </c:pt>
              </c:numCache>
            </c:numRef>
          </c:yVal>
          <c:smooth val="1"/>
        </c:ser>
        <c:ser>
          <c:idx val="2"/>
          <c:order val="2"/>
          <c:tx>
            <c:v>Flavonoid</c:v>
          </c:tx>
          <c:errBars>
            <c:errDir val="y"/>
            <c:errBarType val="both"/>
            <c:errValType val="cust"/>
            <c:plus>
              <c:numRef>
                <c:f>(Color!$I$102,Color!$N$102,Color!$Y$102,Color!$AG$102)</c:f>
                <c:numCache>
                  <c:formatCode>General</c:formatCode>
                  <c:ptCount val="4"/>
                  <c:pt idx="0">
                    <c:v>0</c:v>
                  </c:pt>
                  <c:pt idx="1">
                    <c:v>4.5889289370282298E-2</c:v>
                  </c:pt>
                  <c:pt idx="2">
                    <c:v>0.75900300949029564</c:v>
                  </c:pt>
                  <c:pt idx="3">
                    <c:v>0.92799552549458575</c:v>
                  </c:pt>
                </c:numCache>
              </c:numRef>
            </c:plus>
            <c:minus>
              <c:numRef>
                <c:f>(Color!$I$102,Color!$N$102,Color!$Y$102,Color!$AG$102)</c:f>
                <c:numCache>
                  <c:formatCode>General</c:formatCode>
                  <c:ptCount val="4"/>
                  <c:pt idx="0">
                    <c:v>0</c:v>
                  </c:pt>
                  <c:pt idx="1">
                    <c:v>4.5889289370282298E-2</c:v>
                  </c:pt>
                  <c:pt idx="2">
                    <c:v>0.75900300949029564</c:v>
                  </c:pt>
                  <c:pt idx="3">
                    <c:v>0.92799552549458575</c:v>
                  </c:pt>
                </c:numCache>
              </c:numRef>
            </c:minus>
          </c:errBars>
          <c:xVal>
            <c:numRef>
              <c:f>Color!$AI$38:$AL$38</c:f>
              <c:numCache>
                <c:formatCode>General</c:formatCode>
                <c:ptCount val="4"/>
                <c:pt idx="0">
                  <c:v>0</c:v>
                </c:pt>
                <c:pt idx="1">
                  <c:v>14</c:v>
                </c:pt>
                <c:pt idx="2">
                  <c:v>28</c:v>
                </c:pt>
                <c:pt idx="3">
                  <c:v>42</c:v>
                </c:pt>
              </c:numCache>
            </c:numRef>
          </c:xVal>
          <c:yVal>
            <c:numRef>
              <c:f>(Color!$I$94,Color!$Q$94,Color!$Y$94,Color!$AG$94)</c:f>
              <c:numCache>
                <c:formatCode>0.00</c:formatCode>
                <c:ptCount val="4"/>
                <c:pt idx="0">
                  <c:v>0</c:v>
                </c:pt>
                <c:pt idx="1">
                  <c:v>3.2569734743940777</c:v>
                </c:pt>
                <c:pt idx="2">
                  <c:v>4.0609220982091152</c:v>
                </c:pt>
                <c:pt idx="3">
                  <c:v>6.4898291864867392</c:v>
                </c:pt>
              </c:numCache>
            </c:numRef>
          </c:yVal>
          <c:smooth val="1"/>
        </c:ser>
        <c:ser>
          <c:idx val="3"/>
          <c:order val="3"/>
          <c:tx>
            <c:v>Flavonoid+CaCl2</c:v>
          </c:tx>
          <c:errBars>
            <c:errDir val="y"/>
            <c:errBarType val="both"/>
            <c:errValType val="cust"/>
            <c:plus>
              <c:numRef>
                <c:f>(Color!$I$103,Color!$Q$103,Color!$Y$103,Color!$AG$103)</c:f>
                <c:numCache>
                  <c:formatCode>General</c:formatCode>
                  <c:ptCount val="4"/>
                  <c:pt idx="0">
                    <c:v>0</c:v>
                  </c:pt>
                  <c:pt idx="1">
                    <c:v>0.777683945914456</c:v>
                  </c:pt>
                  <c:pt idx="2">
                    <c:v>0.46500238260429638</c:v>
                  </c:pt>
                  <c:pt idx="3">
                    <c:v>1.487518116661358</c:v>
                  </c:pt>
                </c:numCache>
              </c:numRef>
            </c:plus>
            <c:minus>
              <c:numRef>
                <c:f>(Color!$I$103,Color!$Q$103,Color!$Y$103,Color!$AG$103)</c:f>
                <c:numCache>
                  <c:formatCode>General</c:formatCode>
                  <c:ptCount val="4"/>
                  <c:pt idx="0">
                    <c:v>0</c:v>
                  </c:pt>
                  <c:pt idx="1">
                    <c:v>0.777683945914456</c:v>
                  </c:pt>
                  <c:pt idx="2">
                    <c:v>0.46500238260429638</c:v>
                  </c:pt>
                  <c:pt idx="3">
                    <c:v>1.487518116661358</c:v>
                  </c:pt>
                </c:numCache>
              </c:numRef>
            </c:minus>
          </c:errBars>
          <c:xVal>
            <c:numRef>
              <c:f>Color!$AI$38:$AL$38</c:f>
              <c:numCache>
                <c:formatCode>General</c:formatCode>
                <c:ptCount val="4"/>
                <c:pt idx="0">
                  <c:v>0</c:v>
                </c:pt>
                <c:pt idx="1">
                  <c:v>14</c:v>
                </c:pt>
                <c:pt idx="2">
                  <c:v>28</c:v>
                </c:pt>
                <c:pt idx="3">
                  <c:v>42</c:v>
                </c:pt>
              </c:numCache>
            </c:numRef>
          </c:xVal>
          <c:yVal>
            <c:numRef>
              <c:f>(Color!$I$95,Color!$Q$95,Color!$Y$95,Color!$AG$95)</c:f>
              <c:numCache>
                <c:formatCode>0.00</c:formatCode>
                <c:ptCount val="4"/>
                <c:pt idx="0">
                  <c:v>0</c:v>
                </c:pt>
                <c:pt idx="1">
                  <c:v>6.0651019051766886</c:v>
                </c:pt>
                <c:pt idx="2">
                  <c:v>5.8335127658597106</c:v>
                </c:pt>
                <c:pt idx="3">
                  <c:v>7.931178552716454</c:v>
                </c:pt>
              </c:numCache>
            </c:numRef>
          </c:yVal>
          <c:smooth val="1"/>
        </c:ser>
        <c:axId val="133654016"/>
        <c:axId val="133655936"/>
      </c:scatterChart>
      <c:valAx>
        <c:axId val="133654016"/>
        <c:scaling>
          <c:orientation val="minMax"/>
          <c:max val="48"/>
          <c:min val="0"/>
        </c:scaling>
        <c:axPos val="b"/>
        <c:title>
          <c:tx>
            <c:rich>
              <a:bodyPr/>
              <a:lstStyle/>
              <a:p>
                <a:pPr>
                  <a:defRPr sz="800"/>
                </a:pPr>
                <a:r>
                  <a:rPr lang="es-ES" sz="800"/>
                  <a:t>Storage</a:t>
                </a:r>
                <a:r>
                  <a:rPr lang="es-ES" sz="800" baseline="0"/>
                  <a:t> (Week)</a:t>
                </a:r>
                <a:endParaRPr lang="es-ES" sz="800"/>
              </a:p>
            </c:rich>
          </c:tx>
          <c:layout>
            <c:manualLayout>
              <c:xMode val="edge"/>
              <c:yMode val="edge"/>
              <c:x val="0.37279246298491214"/>
              <c:y val="0.82430251626916062"/>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3655936"/>
        <c:crosses val="autoZero"/>
        <c:crossBetween val="midCat"/>
        <c:majorUnit val="6"/>
      </c:valAx>
      <c:valAx>
        <c:axId val="133655936"/>
        <c:scaling>
          <c:orientation val="minMax"/>
          <c:max val="16"/>
        </c:scaling>
        <c:axPos val="l"/>
        <c:title>
          <c:tx>
            <c:rich>
              <a:bodyPr/>
              <a:lstStyle/>
              <a:p>
                <a:pPr>
                  <a:defRPr sz="800"/>
                </a:pPr>
                <a:r>
                  <a:rPr lang="es-ES" sz="800">
                    <a:latin typeface="Times New Roman"/>
                    <a:cs typeface="Times New Roman"/>
                  </a:rPr>
                  <a:t>∆</a:t>
                </a:r>
                <a:r>
                  <a:rPr lang="es-ES" sz="800" b="0">
                    <a:latin typeface="Times New Roman"/>
                    <a:cs typeface="Times New Roman"/>
                  </a:rPr>
                  <a:t>E*</a:t>
                </a:r>
                <a:endParaRPr lang="es-ES" sz="800"/>
              </a:p>
            </c:rich>
          </c:tx>
        </c:title>
        <c:numFmt formatCode="0.0" sourceLinked="0"/>
        <c:majorTickMark val="none"/>
        <c:tickLblPos val="nextTo"/>
        <c:txPr>
          <a:bodyPr/>
          <a:lstStyle/>
          <a:p>
            <a:pPr>
              <a:defRPr sz="800"/>
            </a:pPr>
            <a:endParaRPr lang="en-US"/>
          </a:p>
        </c:txPr>
        <c:crossAx val="133654016"/>
        <c:crosses val="autoZero"/>
        <c:crossBetween val="midCat"/>
      </c:valAx>
    </c:plotArea>
    <c:legend>
      <c:legendPos val="b"/>
      <c:layout>
        <c:manualLayout>
          <c:xMode val="edge"/>
          <c:yMode val="edge"/>
          <c:x val="0"/>
          <c:y val="0.89049269902393458"/>
          <c:w val="0.95318372306923849"/>
          <c:h val="7.1994752755352318E-2"/>
        </c:manualLayout>
      </c:layout>
      <c:txPr>
        <a:bodyPr/>
        <a:lstStyle/>
        <a:p>
          <a:pPr>
            <a:defRPr sz="600"/>
          </a:pPr>
          <a:endParaRPr lang="en-US"/>
        </a:p>
      </c:txPr>
    </c:legend>
    <c:plotVisOnly val="1"/>
    <c:dispBlanksAs val="gap"/>
  </c:chart>
  <c:spPr>
    <a:ln>
      <a:noFill/>
    </a:ln>
  </c:spPr>
  <c:externalData r:id="rId1"/>
</c:chartSpace>
</file>

<file path=word/charts/chart62.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6237588733676001"/>
          <c:y val="6.318508351291531E-2"/>
          <c:w val="0.75037613255228963"/>
          <c:h val="0.629852691220669"/>
        </c:manualLayout>
      </c:layout>
      <c:scatterChart>
        <c:scatterStyle val="smoothMarker"/>
        <c:ser>
          <c:idx val="0"/>
          <c:order val="0"/>
          <c:tx>
            <c:v>Control</c:v>
          </c:tx>
          <c:errBars>
            <c:errDir val="x"/>
            <c:errBarType val="both"/>
            <c:errValType val="fixedVal"/>
            <c:val val="1"/>
          </c:errBars>
          <c:errBars>
            <c:errDir val="y"/>
            <c:errBarType val="both"/>
            <c:errValType val="cust"/>
            <c:plus>
              <c:numRef>
                <c:f>(Color!$Q$30,Color!$Y$30,Color!$AG$30)</c:f>
                <c:numCache>
                  <c:formatCode>General</c:formatCode>
                  <c:ptCount val="3"/>
                  <c:pt idx="0">
                    <c:v>0.225770471438799</c:v>
                  </c:pt>
                  <c:pt idx="1">
                    <c:v>0.46052092071878631</c:v>
                  </c:pt>
                  <c:pt idx="2">
                    <c:v>0.35113602828437401</c:v>
                  </c:pt>
                </c:numCache>
              </c:numRef>
            </c:plus>
            <c:minus>
              <c:numRef>
                <c:f>(Color!$Q$30,Color!$Y$30,Color!$AG$30)</c:f>
                <c:numCache>
                  <c:formatCode>General</c:formatCode>
                  <c:ptCount val="3"/>
                  <c:pt idx="0">
                    <c:v>0.225770471438799</c:v>
                  </c:pt>
                  <c:pt idx="1">
                    <c:v>0.46052092071878631</c:v>
                  </c:pt>
                  <c:pt idx="2">
                    <c:v>0.35113602828437401</c:v>
                  </c:pt>
                </c:numCache>
              </c:numRef>
            </c:minus>
          </c:errBars>
          <c:xVal>
            <c:numRef>
              <c:f>Color!$AI$38:$AL$38</c:f>
              <c:numCache>
                <c:formatCode>General</c:formatCode>
                <c:ptCount val="4"/>
                <c:pt idx="0">
                  <c:v>0</c:v>
                </c:pt>
                <c:pt idx="1">
                  <c:v>90</c:v>
                </c:pt>
                <c:pt idx="2">
                  <c:v>180</c:v>
                </c:pt>
                <c:pt idx="3">
                  <c:v>270</c:v>
                </c:pt>
              </c:numCache>
            </c:numRef>
          </c:xVal>
          <c:yVal>
            <c:numRef>
              <c:f>(Color!$F$19,Color!$Q$22,Color!$Y$22,Color!$AG$22)</c:f>
              <c:numCache>
                <c:formatCode>0.00</c:formatCode>
                <c:ptCount val="4"/>
                <c:pt idx="0" formatCode="General">
                  <c:v>0</c:v>
                </c:pt>
                <c:pt idx="1">
                  <c:v>3.7358543596011438</c:v>
                </c:pt>
                <c:pt idx="2">
                  <c:v>4.2712284229236444</c:v>
                </c:pt>
                <c:pt idx="3">
                  <c:v>9.421695269155137</c:v>
                </c:pt>
              </c:numCache>
            </c:numRef>
          </c:yVal>
          <c:smooth val="1"/>
        </c:ser>
        <c:ser>
          <c:idx val="1"/>
          <c:order val="1"/>
          <c:tx>
            <c:v>CaCl2</c:v>
          </c:tx>
          <c:errBars>
            <c:errDir val="x"/>
            <c:errBarType val="both"/>
            <c:errValType val="fixedVal"/>
            <c:val val="1"/>
          </c:errBars>
          <c:errBars>
            <c:errDir val="y"/>
            <c:errBarType val="both"/>
            <c:errValType val="cust"/>
            <c:plus>
              <c:numRef>
                <c:f>(Color!$I$31,Color!$Q$31,Color!$Y$31,Color!$AG$31)</c:f>
                <c:numCache>
                  <c:formatCode>General</c:formatCode>
                  <c:ptCount val="4"/>
                  <c:pt idx="1">
                    <c:v>1.4995789245295861</c:v>
                  </c:pt>
                  <c:pt idx="2">
                    <c:v>1.768675672710776</c:v>
                  </c:pt>
                  <c:pt idx="3">
                    <c:v>1.8763372693809941</c:v>
                  </c:pt>
                </c:numCache>
              </c:numRef>
            </c:plus>
            <c:minus>
              <c:numRef>
                <c:f>(Color!$I$31,Color!$Q$31,Color!$Y$31,Color!$AG$31)</c:f>
                <c:numCache>
                  <c:formatCode>General</c:formatCode>
                  <c:ptCount val="4"/>
                  <c:pt idx="1">
                    <c:v>1.4995789245295861</c:v>
                  </c:pt>
                  <c:pt idx="2">
                    <c:v>1.768675672710776</c:v>
                  </c:pt>
                  <c:pt idx="3">
                    <c:v>1.8763372693809941</c:v>
                  </c:pt>
                </c:numCache>
              </c:numRef>
            </c:minus>
          </c:errBars>
          <c:xVal>
            <c:numRef>
              <c:f>Color!$AI$38:$AL$38</c:f>
              <c:numCache>
                <c:formatCode>General</c:formatCode>
                <c:ptCount val="4"/>
                <c:pt idx="0">
                  <c:v>0</c:v>
                </c:pt>
                <c:pt idx="1">
                  <c:v>90</c:v>
                </c:pt>
                <c:pt idx="2">
                  <c:v>180</c:v>
                </c:pt>
                <c:pt idx="3">
                  <c:v>270</c:v>
                </c:pt>
              </c:numCache>
            </c:numRef>
          </c:xVal>
          <c:yVal>
            <c:numRef>
              <c:f>(Color!$F$19,Color!$Q$23,Color!$Y$23,Color!$AG$23)</c:f>
              <c:numCache>
                <c:formatCode>0.00</c:formatCode>
                <c:ptCount val="4"/>
                <c:pt idx="0" formatCode="General">
                  <c:v>0</c:v>
                </c:pt>
                <c:pt idx="1">
                  <c:v>5.6958263696093745</c:v>
                </c:pt>
                <c:pt idx="2">
                  <c:v>5.0539732075249946</c:v>
                </c:pt>
                <c:pt idx="3">
                  <c:v>8.963671749108503</c:v>
                </c:pt>
              </c:numCache>
            </c:numRef>
          </c:yVal>
          <c:smooth val="1"/>
        </c:ser>
        <c:ser>
          <c:idx val="2"/>
          <c:order val="2"/>
          <c:tx>
            <c:v>Flavonoid</c:v>
          </c:tx>
          <c:errBars>
            <c:errDir val="x"/>
            <c:errBarType val="both"/>
            <c:errValType val="fixedVal"/>
            <c:val val="1"/>
          </c:errBars>
          <c:errBars>
            <c:errDir val="y"/>
            <c:errBarType val="both"/>
            <c:errValType val="cust"/>
            <c:plus>
              <c:numRef>
                <c:f>(Color!$I$32,Color!$Q$32,Color!$Y$32,Color!$AG$32)</c:f>
                <c:numCache>
                  <c:formatCode>General</c:formatCode>
                  <c:ptCount val="4"/>
                  <c:pt idx="1">
                    <c:v>0.75365164407085417</c:v>
                  </c:pt>
                  <c:pt idx="2">
                    <c:v>0.30786481641569502</c:v>
                  </c:pt>
                  <c:pt idx="3">
                    <c:v>2.4719629526725679</c:v>
                  </c:pt>
                </c:numCache>
              </c:numRef>
            </c:plus>
            <c:minus>
              <c:numRef>
                <c:f>(Color!$I$32,Color!$Q$32,Color!$Y$32,Color!$AG$32)</c:f>
                <c:numCache>
                  <c:formatCode>General</c:formatCode>
                  <c:ptCount val="4"/>
                  <c:pt idx="1">
                    <c:v>0.75365164407085417</c:v>
                  </c:pt>
                  <c:pt idx="2">
                    <c:v>0.30786481641569502</c:v>
                  </c:pt>
                  <c:pt idx="3">
                    <c:v>2.4719629526725679</c:v>
                  </c:pt>
                </c:numCache>
              </c:numRef>
            </c:minus>
          </c:errBars>
          <c:xVal>
            <c:numRef>
              <c:f>Color!$AI$38:$AL$38</c:f>
              <c:numCache>
                <c:formatCode>General</c:formatCode>
                <c:ptCount val="4"/>
                <c:pt idx="0">
                  <c:v>0</c:v>
                </c:pt>
                <c:pt idx="1">
                  <c:v>90</c:v>
                </c:pt>
                <c:pt idx="2">
                  <c:v>180</c:v>
                </c:pt>
                <c:pt idx="3">
                  <c:v>270</c:v>
                </c:pt>
              </c:numCache>
            </c:numRef>
          </c:xVal>
          <c:yVal>
            <c:numRef>
              <c:f>(Color!$F$19,Color!$Q$24,Color!$Y$24,Color!$AG$24)</c:f>
              <c:numCache>
                <c:formatCode>0.00</c:formatCode>
                <c:ptCount val="4"/>
                <c:pt idx="0" formatCode="General">
                  <c:v>0</c:v>
                </c:pt>
                <c:pt idx="1">
                  <c:v>4.7250201551167477</c:v>
                </c:pt>
                <c:pt idx="2">
                  <c:v>7.5049537975399145</c:v>
                </c:pt>
                <c:pt idx="3">
                  <c:v>10.187402886914169</c:v>
                </c:pt>
              </c:numCache>
            </c:numRef>
          </c:yVal>
          <c:smooth val="1"/>
        </c:ser>
        <c:ser>
          <c:idx val="3"/>
          <c:order val="3"/>
          <c:tx>
            <c:v>Flavonoid-CaCl2</c:v>
          </c:tx>
          <c:errBars>
            <c:errDir val="x"/>
            <c:errBarType val="both"/>
            <c:errValType val="fixedVal"/>
            <c:val val="1"/>
          </c:errBars>
          <c:errBars>
            <c:errDir val="y"/>
            <c:errBarType val="both"/>
            <c:errValType val="cust"/>
            <c:plus>
              <c:numRef>
                <c:f>(Color!$I$33,Color!$Q$33,Color!$Y$33,Color!$AG$33)</c:f>
                <c:numCache>
                  <c:formatCode>General</c:formatCode>
                  <c:ptCount val="4"/>
                  <c:pt idx="1">
                    <c:v>2.6338203191185277</c:v>
                  </c:pt>
                  <c:pt idx="2">
                    <c:v>1.2146979236177642</c:v>
                  </c:pt>
                  <c:pt idx="3">
                    <c:v>0.47786428530374497</c:v>
                  </c:pt>
                </c:numCache>
              </c:numRef>
            </c:plus>
            <c:minus>
              <c:numRef>
                <c:f>(Color!$I$33,Color!$Q$33,Color!$Y$33,Color!$AG$33)</c:f>
                <c:numCache>
                  <c:formatCode>General</c:formatCode>
                  <c:ptCount val="4"/>
                  <c:pt idx="1">
                    <c:v>2.6338203191185277</c:v>
                  </c:pt>
                  <c:pt idx="2">
                    <c:v>1.2146979236177642</c:v>
                  </c:pt>
                  <c:pt idx="3">
                    <c:v>0.47786428530374497</c:v>
                  </c:pt>
                </c:numCache>
              </c:numRef>
            </c:minus>
          </c:errBars>
          <c:xVal>
            <c:numRef>
              <c:f>Color!$AI$38:$AL$38</c:f>
              <c:numCache>
                <c:formatCode>General</c:formatCode>
                <c:ptCount val="4"/>
                <c:pt idx="0">
                  <c:v>0</c:v>
                </c:pt>
                <c:pt idx="1">
                  <c:v>90</c:v>
                </c:pt>
                <c:pt idx="2">
                  <c:v>180</c:v>
                </c:pt>
                <c:pt idx="3">
                  <c:v>270</c:v>
                </c:pt>
              </c:numCache>
            </c:numRef>
          </c:xVal>
          <c:yVal>
            <c:numRef>
              <c:f>(Color!$F$19,Color!$Q$25,Color!$Y$25,Color!$AG$25)</c:f>
              <c:numCache>
                <c:formatCode>0.00</c:formatCode>
                <c:ptCount val="4"/>
                <c:pt idx="0" formatCode="General">
                  <c:v>0</c:v>
                </c:pt>
                <c:pt idx="1">
                  <c:v>4.7647952405532275</c:v>
                </c:pt>
                <c:pt idx="2">
                  <c:v>7.6440242331627255</c:v>
                </c:pt>
                <c:pt idx="3">
                  <c:v>7.2435726587379206</c:v>
                </c:pt>
              </c:numCache>
            </c:numRef>
          </c:yVal>
          <c:smooth val="1"/>
        </c:ser>
        <c:axId val="133751552"/>
        <c:axId val="133753472"/>
      </c:scatterChart>
      <c:valAx>
        <c:axId val="133751552"/>
        <c:scaling>
          <c:orientation val="minMax"/>
          <c:min val="0"/>
        </c:scaling>
        <c:axPos val="b"/>
        <c:title>
          <c:tx>
            <c:rich>
              <a:bodyPr/>
              <a:lstStyle/>
              <a:p>
                <a:pPr>
                  <a:defRPr sz="800"/>
                </a:pPr>
                <a:r>
                  <a:rPr lang="en-US" sz="800"/>
                  <a:t>Storage</a:t>
                </a:r>
                <a:r>
                  <a:rPr lang="en-US" sz="800" baseline="0"/>
                  <a:t> (days)</a:t>
                </a:r>
                <a:endParaRPr lang="en-US" sz="800"/>
              </a:p>
            </c:rich>
          </c:tx>
          <c:layout>
            <c:manualLayout>
              <c:xMode val="edge"/>
              <c:yMode val="edge"/>
              <c:x val="0.40855035225859893"/>
              <c:y val="0.80390442573988863"/>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3753472"/>
        <c:crosses val="autoZero"/>
        <c:crossBetween val="midCat"/>
        <c:majorUnit val="50"/>
      </c:valAx>
      <c:valAx>
        <c:axId val="133753472"/>
        <c:scaling>
          <c:orientation val="minMax"/>
          <c:max val="30"/>
          <c:min val="0"/>
        </c:scaling>
        <c:axPos val="l"/>
        <c:title>
          <c:tx>
            <c:rich>
              <a:bodyPr/>
              <a:lstStyle/>
              <a:p>
                <a:pPr>
                  <a:defRPr sz="1000"/>
                </a:pPr>
                <a:r>
                  <a:rPr lang="en-US" sz="1000" b="1" i="0" u="none" strike="noStrike" baseline="0"/>
                  <a:t>∆E* </a:t>
                </a:r>
                <a:endParaRPr lang="en-US" sz="1000"/>
              </a:p>
            </c:rich>
          </c:tx>
          <c:layout>
            <c:manualLayout>
              <c:xMode val="edge"/>
              <c:yMode val="edge"/>
              <c:x val="1.8760602293134521E-2"/>
              <c:y val="0.29028373608471408"/>
            </c:manualLayout>
          </c:layout>
        </c:title>
        <c:numFmt formatCode="General" sourceLinked="1"/>
        <c:majorTickMark val="none"/>
        <c:tickLblPos val="nextTo"/>
        <c:txPr>
          <a:bodyPr/>
          <a:lstStyle/>
          <a:p>
            <a:pPr>
              <a:defRPr sz="800"/>
            </a:pPr>
            <a:endParaRPr lang="en-US"/>
          </a:p>
        </c:txPr>
        <c:crossAx val="133751552"/>
        <c:crosses val="autoZero"/>
        <c:crossBetween val="midCat"/>
      </c:valAx>
    </c:plotArea>
    <c:legend>
      <c:legendPos val="b"/>
      <c:txPr>
        <a:bodyPr/>
        <a:lstStyle/>
        <a:p>
          <a:pPr>
            <a:defRPr sz="600"/>
          </a:pPr>
          <a:endParaRPr lang="en-US"/>
        </a:p>
      </c:txPr>
    </c:legend>
    <c:plotVisOnly val="1"/>
    <c:dispBlanksAs val="gap"/>
  </c:chart>
  <c:spPr>
    <a:ln>
      <a:noFill/>
    </a:ln>
  </c:spPr>
  <c:externalData r:id="rId1"/>
</c:chartSpace>
</file>

<file path=word/charts/chart63.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21508687169065888"/>
          <c:y val="5.5711580890487923E-2"/>
          <c:w val="0.72851747752051565"/>
          <c:h val="0.64645853220637228"/>
        </c:manualLayout>
      </c:layout>
      <c:scatterChart>
        <c:scatterStyle val="smoothMarker"/>
        <c:ser>
          <c:idx val="0"/>
          <c:order val="0"/>
          <c:tx>
            <c:v>Control</c:v>
          </c:tx>
          <c:xVal>
            <c:numRef>
              <c:f>Color!$AI$38:$AL$38</c:f>
              <c:numCache>
                <c:formatCode>General</c:formatCode>
                <c:ptCount val="4"/>
                <c:pt idx="0">
                  <c:v>0</c:v>
                </c:pt>
                <c:pt idx="1">
                  <c:v>90</c:v>
                </c:pt>
                <c:pt idx="2">
                  <c:v>180</c:v>
                </c:pt>
                <c:pt idx="3">
                  <c:v>270</c:v>
                </c:pt>
              </c:numCache>
            </c:numRef>
          </c:xVal>
          <c:yVal>
            <c:numRef>
              <c:f>(Color!$Q$54,Color!$Q$57,Color!$Y$57,Color!$AG$57)</c:f>
              <c:numCache>
                <c:formatCode>0.00</c:formatCode>
                <c:ptCount val="4"/>
                <c:pt idx="0" formatCode="General">
                  <c:v>0</c:v>
                </c:pt>
                <c:pt idx="1">
                  <c:v>3.346903603140996</c:v>
                </c:pt>
                <c:pt idx="2">
                  <c:v>9.6969722831876357</c:v>
                </c:pt>
                <c:pt idx="3">
                  <c:v>18.413781531029528</c:v>
                </c:pt>
              </c:numCache>
            </c:numRef>
          </c:yVal>
          <c:smooth val="1"/>
        </c:ser>
        <c:ser>
          <c:idx val="1"/>
          <c:order val="1"/>
          <c:tx>
            <c:v>CaCl2</c:v>
          </c:tx>
          <c:errBars>
            <c:errDir val="y"/>
            <c:errBarType val="both"/>
            <c:errValType val="cust"/>
            <c:plus>
              <c:numRef>
                <c:f>(Color!$I$66,Color!$Q$66,Color!$Y$66,Color!$AG$66)</c:f>
                <c:numCache>
                  <c:formatCode>General</c:formatCode>
                  <c:ptCount val="4"/>
                  <c:pt idx="0">
                    <c:v>0</c:v>
                  </c:pt>
                  <c:pt idx="1">
                    <c:v>0.56782117275463762</c:v>
                  </c:pt>
                  <c:pt idx="2">
                    <c:v>3.3118487849244644</c:v>
                  </c:pt>
                  <c:pt idx="3">
                    <c:v>0.72773665291791401</c:v>
                  </c:pt>
                </c:numCache>
              </c:numRef>
            </c:plus>
            <c:minus>
              <c:numRef>
                <c:f>(Color!$I$66,Color!$Q$66,Color!$Y$66,Color!$AG$66)</c:f>
                <c:numCache>
                  <c:formatCode>General</c:formatCode>
                  <c:ptCount val="4"/>
                  <c:pt idx="0">
                    <c:v>0</c:v>
                  </c:pt>
                  <c:pt idx="1">
                    <c:v>0.56782117275463762</c:v>
                  </c:pt>
                  <c:pt idx="2">
                    <c:v>3.3118487849244644</c:v>
                  </c:pt>
                  <c:pt idx="3">
                    <c:v>0.72773665291791401</c:v>
                  </c:pt>
                </c:numCache>
              </c:numRef>
            </c:minus>
          </c:errBars>
          <c:xVal>
            <c:numRef>
              <c:f>Color!$AI$38:$AL$38</c:f>
              <c:numCache>
                <c:formatCode>General</c:formatCode>
                <c:ptCount val="4"/>
                <c:pt idx="0">
                  <c:v>0</c:v>
                </c:pt>
                <c:pt idx="1">
                  <c:v>90</c:v>
                </c:pt>
                <c:pt idx="2">
                  <c:v>180</c:v>
                </c:pt>
                <c:pt idx="3">
                  <c:v>270</c:v>
                </c:pt>
              </c:numCache>
            </c:numRef>
          </c:xVal>
          <c:yVal>
            <c:numRef>
              <c:f>(Color!$Q$54,Color!$Q$58,Color!$Y$58,Color!$AG$58)</c:f>
              <c:numCache>
                <c:formatCode>0.00</c:formatCode>
                <c:ptCount val="4"/>
                <c:pt idx="0" formatCode="General">
                  <c:v>0</c:v>
                </c:pt>
                <c:pt idx="1">
                  <c:v>11.186824068691148</c:v>
                </c:pt>
                <c:pt idx="2">
                  <c:v>17.911369013115888</c:v>
                </c:pt>
                <c:pt idx="3">
                  <c:v>23.186298705959928</c:v>
                </c:pt>
              </c:numCache>
            </c:numRef>
          </c:yVal>
          <c:smooth val="1"/>
        </c:ser>
        <c:ser>
          <c:idx val="2"/>
          <c:order val="2"/>
          <c:tx>
            <c:v>Flavonoid</c:v>
          </c:tx>
          <c:errBars>
            <c:errDir val="y"/>
            <c:errBarType val="both"/>
            <c:errValType val="cust"/>
            <c:plus>
              <c:numRef>
                <c:f>(Color!$I$67,Color!$Q$67,Color!$Y$67,Color!$AG$67)</c:f>
                <c:numCache>
                  <c:formatCode>General</c:formatCode>
                  <c:ptCount val="4"/>
                  <c:pt idx="0">
                    <c:v>0</c:v>
                  </c:pt>
                  <c:pt idx="1">
                    <c:v>0.63929010358002303</c:v>
                  </c:pt>
                  <c:pt idx="2">
                    <c:v>8.0482180929767499E-2</c:v>
                  </c:pt>
                  <c:pt idx="3">
                    <c:v>0.67394746146341911</c:v>
                  </c:pt>
                </c:numCache>
              </c:numRef>
            </c:plus>
            <c:minus>
              <c:numRef>
                <c:f>(Color!$I$67,Color!$Q$67,Color!$Y$67,Color!$AG$67)</c:f>
                <c:numCache>
                  <c:formatCode>General</c:formatCode>
                  <c:ptCount val="4"/>
                  <c:pt idx="0">
                    <c:v>0</c:v>
                  </c:pt>
                  <c:pt idx="1">
                    <c:v>0.63929010358002303</c:v>
                  </c:pt>
                  <c:pt idx="2">
                    <c:v>8.0482180929767499E-2</c:v>
                  </c:pt>
                  <c:pt idx="3">
                    <c:v>0.67394746146341911</c:v>
                  </c:pt>
                </c:numCache>
              </c:numRef>
            </c:minus>
          </c:errBars>
          <c:xVal>
            <c:numRef>
              <c:f>Color!$AI$38:$AL$38</c:f>
              <c:numCache>
                <c:formatCode>General</c:formatCode>
                <c:ptCount val="4"/>
                <c:pt idx="0">
                  <c:v>0</c:v>
                </c:pt>
                <c:pt idx="1">
                  <c:v>90</c:v>
                </c:pt>
                <c:pt idx="2">
                  <c:v>180</c:v>
                </c:pt>
                <c:pt idx="3">
                  <c:v>270</c:v>
                </c:pt>
              </c:numCache>
            </c:numRef>
          </c:xVal>
          <c:yVal>
            <c:numRef>
              <c:f>(Color!$Q$54,Color!$Q$59,Color!$Y$59,Color!$AG$59)</c:f>
              <c:numCache>
                <c:formatCode>0.00</c:formatCode>
                <c:ptCount val="4"/>
                <c:pt idx="0" formatCode="General">
                  <c:v>0</c:v>
                </c:pt>
                <c:pt idx="1">
                  <c:v>4.0288833989468849</c:v>
                </c:pt>
                <c:pt idx="2">
                  <c:v>4.1720239131024464</c:v>
                </c:pt>
                <c:pt idx="3">
                  <c:v>8.2777386274630338</c:v>
                </c:pt>
              </c:numCache>
            </c:numRef>
          </c:yVal>
          <c:smooth val="1"/>
        </c:ser>
        <c:ser>
          <c:idx val="3"/>
          <c:order val="3"/>
          <c:tx>
            <c:v>Flavonoid-CaCl2</c:v>
          </c:tx>
          <c:errBars>
            <c:errDir val="y"/>
            <c:errBarType val="both"/>
            <c:errValType val="cust"/>
            <c:plus>
              <c:numRef>
                <c:f>(Color!$I$68,Color!$Q$68,Color!$Y$68,Color!$AG$68)</c:f>
                <c:numCache>
                  <c:formatCode>General</c:formatCode>
                  <c:ptCount val="4"/>
                  <c:pt idx="0">
                    <c:v>0</c:v>
                  </c:pt>
                  <c:pt idx="1">
                    <c:v>1.8282395170371646</c:v>
                  </c:pt>
                  <c:pt idx="2">
                    <c:v>0.92735926082352105</c:v>
                  </c:pt>
                  <c:pt idx="3">
                    <c:v>0.89767617736472205</c:v>
                  </c:pt>
                </c:numCache>
              </c:numRef>
            </c:plus>
            <c:minus>
              <c:numRef>
                <c:f>(Color!$I$68,Color!$Q$68,Color!$Y$68,Color!$AG$68)</c:f>
                <c:numCache>
                  <c:formatCode>General</c:formatCode>
                  <c:ptCount val="4"/>
                  <c:pt idx="0">
                    <c:v>0</c:v>
                  </c:pt>
                  <c:pt idx="1">
                    <c:v>1.8282395170371646</c:v>
                  </c:pt>
                  <c:pt idx="2">
                    <c:v>0.92735926082352105</c:v>
                  </c:pt>
                  <c:pt idx="3">
                    <c:v>0.89767617736472205</c:v>
                  </c:pt>
                </c:numCache>
              </c:numRef>
            </c:minus>
          </c:errBars>
          <c:xVal>
            <c:numRef>
              <c:f>Color!$AI$38:$AL$38</c:f>
              <c:numCache>
                <c:formatCode>General</c:formatCode>
                <c:ptCount val="4"/>
                <c:pt idx="0">
                  <c:v>0</c:v>
                </c:pt>
                <c:pt idx="1">
                  <c:v>90</c:v>
                </c:pt>
                <c:pt idx="2">
                  <c:v>180</c:v>
                </c:pt>
                <c:pt idx="3">
                  <c:v>270</c:v>
                </c:pt>
              </c:numCache>
            </c:numRef>
          </c:xVal>
          <c:yVal>
            <c:numRef>
              <c:f>(Color!$Q$54,Color!$Q$60,Color!$Y$60,Color!$AG$60)</c:f>
              <c:numCache>
                <c:formatCode>0.00</c:formatCode>
                <c:ptCount val="4"/>
                <c:pt idx="0" formatCode="General">
                  <c:v>0</c:v>
                </c:pt>
                <c:pt idx="1">
                  <c:v>5.7780101689274446</c:v>
                </c:pt>
                <c:pt idx="2">
                  <c:v>12.298709379470768</c:v>
                </c:pt>
                <c:pt idx="3">
                  <c:v>26.918359361972559</c:v>
                </c:pt>
              </c:numCache>
            </c:numRef>
          </c:yVal>
          <c:smooth val="1"/>
        </c:ser>
        <c:axId val="133904256"/>
        <c:axId val="133910528"/>
      </c:scatterChart>
      <c:valAx>
        <c:axId val="133904256"/>
        <c:scaling>
          <c:orientation val="minMax"/>
        </c:scaling>
        <c:axPos val="b"/>
        <c:title>
          <c:tx>
            <c:rich>
              <a:bodyPr/>
              <a:lstStyle/>
              <a:p>
                <a:pPr>
                  <a:defRPr/>
                </a:pPr>
                <a:r>
                  <a:rPr lang="en-US"/>
                  <a:t>Storage</a:t>
                </a:r>
                <a:r>
                  <a:rPr lang="en-US" baseline="0"/>
                  <a:t> (days)</a:t>
                </a:r>
                <a:endParaRPr lang="en-US"/>
              </a:p>
            </c:rich>
          </c:tx>
          <c:layout>
            <c:manualLayout>
              <c:xMode val="edge"/>
              <c:yMode val="edge"/>
              <c:x val="0.4168143044619449"/>
              <c:y val="0.82501342049224957"/>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3910528"/>
        <c:crosses val="autoZero"/>
        <c:crossBetween val="midCat"/>
      </c:valAx>
      <c:valAx>
        <c:axId val="133910528"/>
        <c:scaling>
          <c:orientation val="minMax"/>
        </c:scaling>
        <c:axPos val="l"/>
        <c:title>
          <c:tx>
            <c:rich>
              <a:bodyPr/>
              <a:lstStyle/>
              <a:p>
                <a:pPr>
                  <a:defRPr/>
                </a:pPr>
                <a:r>
                  <a:rPr lang="en-US" sz="1000" b="1" i="0" u="none" strike="noStrike" baseline="0"/>
                  <a:t>∆E* </a:t>
                </a:r>
                <a:endParaRPr lang="en-US"/>
              </a:p>
            </c:rich>
          </c:tx>
        </c:title>
        <c:numFmt formatCode="#,##0.0" sourceLinked="0"/>
        <c:majorTickMark val="none"/>
        <c:tickLblPos val="nextTo"/>
        <c:txPr>
          <a:bodyPr/>
          <a:lstStyle/>
          <a:p>
            <a:pPr>
              <a:defRPr sz="800"/>
            </a:pPr>
            <a:endParaRPr lang="en-US"/>
          </a:p>
        </c:txPr>
        <c:crossAx val="133904256"/>
        <c:crosses val="autoZero"/>
        <c:crossBetween val="midCat"/>
      </c:valAx>
    </c:plotArea>
    <c:legend>
      <c:legendPos val="b"/>
      <c:txPr>
        <a:bodyPr/>
        <a:lstStyle/>
        <a:p>
          <a:pPr>
            <a:defRPr sz="700"/>
          </a:pPr>
          <a:endParaRPr lang="en-US"/>
        </a:p>
      </c:txPr>
    </c:legend>
    <c:plotVisOnly val="1"/>
    <c:dispBlanksAs val="gap"/>
  </c:chart>
  <c:spPr>
    <a:ln>
      <a:noFill/>
    </a:ln>
  </c:spPr>
  <c:externalData r:id="rId1"/>
</c:chartSpace>
</file>

<file path=word/charts/chart6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1508687169065888"/>
          <c:y val="5.5711580890487923E-2"/>
          <c:w val="0.72851747752051665"/>
          <c:h val="0.64645853220637228"/>
        </c:manualLayout>
      </c:layout>
      <c:scatterChart>
        <c:scatterStyle val="smoothMarker"/>
        <c:ser>
          <c:idx val="0"/>
          <c:order val="0"/>
          <c:tx>
            <c:v>Control</c:v>
          </c:tx>
          <c:errBars>
            <c:errDir val="x"/>
            <c:errBarType val="both"/>
            <c:errValType val="fixedVal"/>
            <c:val val="1"/>
          </c:errBars>
          <c:errBars>
            <c:errDir val="y"/>
            <c:errBarType val="both"/>
            <c:errValType val="cust"/>
            <c:plus>
              <c:numRef>
                <c:f>(Color!$I$100,Color!$P$100,Color!$Y$100,Color!$AG$100)</c:f>
                <c:numCache>
                  <c:formatCode>General</c:formatCode>
                  <c:ptCount val="4"/>
                  <c:pt idx="0">
                    <c:v>0</c:v>
                  </c:pt>
                  <c:pt idx="1">
                    <c:v>1.3910139949310691</c:v>
                  </c:pt>
                  <c:pt idx="2">
                    <c:v>0.23126155075688501</c:v>
                  </c:pt>
                  <c:pt idx="3">
                    <c:v>0.90602156025978864</c:v>
                  </c:pt>
                </c:numCache>
              </c:numRef>
            </c:plus>
            <c:minus>
              <c:numRef>
                <c:f>(Color!$I$100,Color!$P$100,Color!$Y$100,Color!$AG$100)</c:f>
                <c:numCache>
                  <c:formatCode>General</c:formatCode>
                  <c:ptCount val="4"/>
                  <c:pt idx="0">
                    <c:v>0</c:v>
                  </c:pt>
                  <c:pt idx="1">
                    <c:v>1.3910139949310691</c:v>
                  </c:pt>
                  <c:pt idx="2">
                    <c:v>0.23126155075688501</c:v>
                  </c:pt>
                  <c:pt idx="3">
                    <c:v>0.90602156025978864</c:v>
                  </c:pt>
                </c:numCache>
              </c:numRef>
            </c:minus>
          </c:errBars>
          <c:xVal>
            <c:numRef>
              <c:f>Color!$AH$69:$AK$69</c:f>
              <c:numCache>
                <c:formatCode>General</c:formatCode>
                <c:ptCount val="4"/>
                <c:pt idx="0">
                  <c:v>0</c:v>
                </c:pt>
                <c:pt idx="1">
                  <c:v>88</c:v>
                </c:pt>
                <c:pt idx="2">
                  <c:v>193</c:v>
                </c:pt>
                <c:pt idx="3">
                  <c:v>245</c:v>
                </c:pt>
              </c:numCache>
            </c:numRef>
          </c:xVal>
          <c:yVal>
            <c:numRef>
              <c:f>(Color!$I$92,Color!$Q$92,Color!$Y$92,Color!$AG$92)</c:f>
              <c:numCache>
                <c:formatCode>0.00</c:formatCode>
                <c:ptCount val="4"/>
                <c:pt idx="0">
                  <c:v>0</c:v>
                </c:pt>
                <c:pt idx="1">
                  <c:v>3.3037479891055477</c:v>
                </c:pt>
                <c:pt idx="2">
                  <c:v>5.4663036609977542</c:v>
                </c:pt>
                <c:pt idx="3">
                  <c:v>8.0962319740184405</c:v>
                </c:pt>
              </c:numCache>
            </c:numRef>
          </c:yVal>
          <c:smooth val="1"/>
        </c:ser>
        <c:ser>
          <c:idx val="1"/>
          <c:order val="1"/>
          <c:tx>
            <c:v>CaCl2</c:v>
          </c:tx>
          <c:errBars>
            <c:errDir val="x"/>
            <c:errBarType val="both"/>
            <c:errValType val="fixedVal"/>
            <c:val val="1"/>
          </c:errBars>
          <c:errBars>
            <c:errDir val="y"/>
            <c:errBarType val="both"/>
            <c:errValType val="cust"/>
            <c:plus>
              <c:numRef>
                <c:f>(Color!$I$101,Color!$Q$101,Color!$Y$101,Color!$AG$101)</c:f>
                <c:numCache>
                  <c:formatCode>General</c:formatCode>
                  <c:ptCount val="4"/>
                  <c:pt idx="0">
                    <c:v>0</c:v>
                  </c:pt>
                  <c:pt idx="1">
                    <c:v>1.6932436946246199</c:v>
                  </c:pt>
                  <c:pt idx="2">
                    <c:v>0.10339833335510902</c:v>
                  </c:pt>
                  <c:pt idx="3">
                    <c:v>0.37461503388945055</c:v>
                  </c:pt>
                </c:numCache>
              </c:numRef>
            </c:plus>
            <c:minus>
              <c:numRef>
                <c:f>(Color!$I$101,Color!$Q$101,Color!$Y$101,Color!$AG$101)</c:f>
                <c:numCache>
                  <c:formatCode>General</c:formatCode>
                  <c:ptCount val="4"/>
                  <c:pt idx="0">
                    <c:v>0</c:v>
                  </c:pt>
                  <c:pt idx="1">
                    <c:v>1.6932436946246199</c:v>
                  </c:pt>
                  <c:pt idx="2">
                    <c:v>0.10339833335510902</c:v>
                  </c:pt>
                  <c:pt idx="3">
                    <c:v>0.37461503388945055</c:v>
                  </c:pt>
                </c:numCache>
              </c:numRef>
            </c:minus>
          </c:errBars>
          <c:xVal>
            <c:numRef>
              <c:f>Color!$AH$69:$AK$69</c:f>
              <c:numCache>
                <c:formatCode>General</c:formatCode>
                <c:ptCount val="4"/>
                <c:pt idx="0">
                  <c:v>0</c:v>
                </c:pt>
                <c:pt idx="1">
                  <c:v>88</c:v>
                </c:pt>
                <c:pt idx="2">
                  <c:v>193</c:v>
                </c:pt>
                <c:pt idx="3">
                  <c:v>245</c:v>
                </c:pt>
              </c:numCache>
            </c:numRef>
          </c:xVal>
          <c:yVal>
            <c:numRef>
              <c:f>(Color!$I$93,Color!$Q$93,Color!$Y$93,Color!$AG$93)</c:f>
              <c:numCache>
                <c:formatCode>0.00</c:formatCode>
                <c:ptCount val="4"/>
                <c:pt idx="0">
                  <c:v>0</c:v>
                </c:pt>
                <c:pt idx="1">
                  <c:v>5.9944269864022042</c:v>
                </c:pt>
                <c:pt idx="2">
                  <c:v>8.5653545657359764</c:v>
                </c:pt>
                <c:pt idx="3">
                  <c:v>10.799916570965372</c:v>
                </c:pt>
              </c:numCache>
            </c:numRef>
          </c:yVal>
          <c:smooth val="1"/>
        </c:ser>
        <c:ser>
          <c:idx val="2"/>
          <c:order val="2"/>
          <c:tx>
            <c:v>Flavonoid</c:v>
          </c:tx>
          <c:errBars>
            <c:errDir val="x"/>
            <c:errBarType val="both"/>
            <c:errValType val="fixedVal"/>
            <c:val val="1"/>
          </c:errBars>
          <c:errBars>
            <c:errDir val="y"/>
            <c:errBarType val="both"/>
            <c:errValType val="cust"/>
            <c:plus>
              <c:numRef>
                <c:f>(Color!$I$102,Color!$Q$102,Color!$Y$102,Color!$AG$102)</c:f>
                <c:numCache>
                  <c:formatCode>General</c:formatCode>
                  <c:ptCount val="4"/>
                  <c:pt idx="0">
                    <c:v>0</c:v>
                  </c:pt>
                  <c:pt idx="1">
                    <c:v>0.76094610580229949</c:v>
                  </c:pt>
                  <c:pt idx="2">
                    <c:v>0.46094314266674175</c:v>
                  </c:pt>
                  <c:pt idx="3">
                    <c:v>0.42698317217513732</c:v>
                  </c:pt>
                </c:numCache>
              </c:numRef>
            </c:plus>
            <c:minus>
              <c:numRef>
                <c:f>(Color!$I$102,Color!$Q$102,Color!$Y$102,Color!$AG$102)</c:f>
                <c:numCache>
                  <c:formatCode>General</c:formatCode>
                  <c:ptCount val="4"/>
                  <c:pt idx="0">
                    <c:v>0</c:v>
                  </c:pt>
                  <c:pt idx="1">
                    <c:v>0.76094610580229949</c:v>
                  </c:pt>
                  <c:pt idx="2">
                    <c:v>0.46094314266674175</c:v>
                  </c:pt>
                  <c:pt idx="3">
                    <c:v>0.42698317217513732</c:v>
                  </c:pt>
                </c:numCache>
              </c:numRef>
            </c:minus>
          </c:errBars>
          <c:xVal>
            <c:numRef>
              <c:f>Color!$AH$69:$AK$69</c:f>
              <c:numCache>
                <c:formatCode>General</c:formatCode>
                <c:ptCount val="4"/>
                <c:pt idx="0">
                  <c:v>0</c:v>
                </c:pt>
                <c:pt idx="1">
                  <c:v>88</c:v>
                </c:pt>
                <c:pt idx="2">
                  <c:v>193</c:v>
                </c:pt>
                <c:pt idx="3">
                  <c:v>245</c:v>
                </c:pt>
              </c:numCache>
            </c:numRef>
          </c:xVal>
          <c:yVal>
            <c:numRef>
              <c:f>(Color!$I$94,Color!$Q$94,Color!$Y$94,Color!$AG$94)</c:f>
              <c:numCache>
                <c:formatCode>0.00</c:formatCode>
                <c:ptCount val="4"/>
                <c:pt idx="0">
                  <c:v>0</c:v>
                </c:pt>
                <c:pt idx="1">
                  <c:v>2.6069258739043861</c:v>
                </c:pt>
                <c:pt idx="2">
                  <c:v>4.9167880367678203</c:v>
                </c:pt>
                <c:pt idx="3">
                  <c:v>6.2573397988466821</c:v>
                </c:pt>
              </c:numCache>
            </c:numRef>
          </c:yVal>
          <c:smooth val="1"/>
        </c:ser>
        <c:ser>
          <c:idx val="3"/>
          <c:order val="3"/>
          <c:tx>
            <c:v>Flavonoid-CaCl2</c:v>
          </c:tx>
          <c:errBars>
            <c:errDir val="x"/>
            <c:errBarType val="both"/>
            <c:errValType val="fixedVal"/>
            <c:val val="1"/>
          </c:errBars>
          <c:errBars>
            <c:errDir val="y"/>
            <c:errBarType val="both"/>
            <c:errValType val="cust"/>
            <c:plus>
              <c:numRef>
                <c:f>(Color!$I$103,Color!$Q$103,Color!$Y$103,Color!$AG$103)</c:f>
                <c:numCache>
                  <c:formatCode>General</c:formatCode>
                  <c:ptCount val="4"/>
                  <c:pt idx="0">
                    <c:v>0</c:v>
                  </c:pt>
                  <c:pt idx="1">
                    <c:v>0.86179579719057653</c:v>
                  </c:pt>
                  <c:pt idx="2">
                    <c:v>1.4026337505925506</c:v>
                  </c:pt>
                  <c:pt idx="3">
                    <c:v>1.440121078436585</c:v>
                  </c:pt>
                </c:numCache>
              </c:numRef>
            </c:plus>
            <c:minus>
              <c:numRef>
                <c:f>(Color!$I$103,Color!$Q$103,Color!$Y$103,Color!$AG$103)</c:f>
                <c:numCache>
                  <c:formatCode>General</c:formatCode>
                  <c:ptCount val="4"/>
                  <c:pt idx="0">
                    <c:v>0</c:v>
                  </c:pt>
                  <c:pt idx="1">
                    <c:v>0.86179579719057653</c:v>
                  </c:pt>
                  <c:pt idx="2">
                    <c:v>1.4026337505925506</c:v>
                  </c:pt>
                  <c:pt idx="3">
                    <c:v>1.440121078436585</c:v>
                  </c:pt>
                </c:numCache>
              </c:numRef>
            </c:minus>
          </c:errBars>
          <c:xVal>
            <c:numRef>
              <c:f>Color!$AH$69:$AK$69</c:f>
              <c:numCache>
                <c:formatCode>General</c:formatCode>
                <c:ptCount val="4"/>
                <c:pt idx="0">
                  <c:v>0</c:v>
                </c:pt>
                <c:pt idx="1">
                  <c:v>88</c:v>
                </c:pt>
                <c:pt idx="2">
                  <c:v>193</c:v>
                </c:pt>
                <c:pt idx="3">
                  <c:v>245</c:v>
                </c:pt>
              </c:numCache>
            </c:numRef>
          </c:xVal>
          <c:yVal>
            <c:numRef>
              <c:f>(Color!$I$95,Color!$Q$95,Color!$Y$95,Color!$AG$95)</c:f>
              <c:numCache>
                <c:formatCode>0.00</c:formatCode>
                <c:ptCount val="4"/>
                <c:pt idx="0">
                  <c:v>0</c:v>
                </c:pt>
                <c:pt idx="1">
                  <c:v>4.8258000375038677</c:v>
                </c:pt>
                <c:pt idx="2">
                  <c:v>6.1104108202280347</c:v>
                </c:pt>
                <c:pt idx="3">
                  <c:v>12.280664753134808</c:v>
                </c:pt>
              </c:numCache>
            </c:numRef>
          </c:yVal>
          <c:smooth val="1"/>
        </c:ser>
        <c:axId val="133993600"/>
        <c:axId val="133995520"/>
      </c:scatterChart>
      <c:valAx>
        <c:axId val="133993600"/>
        <c:scaling>
          <c:orientation val="minMax"/>
          <c:min val="0"/>
        </c:scaling>
        <c:axPos val="b"/>
        <c:title>
          <c:tx>
            <c:rich>
              <a:bodyPr/>
              <a:lstStyle/>
              <a:p>
                <a:pPr>
                  <a:defRPr/>
                </a:pPr>
                <a:r>
                  <a:rPr lang="en-US"/>
                  <a:t>Storage</a:t>
                </a:r>
                <a:r>
                  <a:rPr lang="en-US" baseline="0"/>
                  <a:t> (days)</a:t>
                </a:r>
                <a:endParaRPr lang="en-US"/>
              </a:p>
            </c:rich>
          </c:tx>
          <c:layout>
            <c:manualLayout>
              <c:xMode val="edge"/>
              <c:yMode val="edge"/>
              <c:x val="0.4168143044619449"/>
              <c:y val="0.82501352103713721"/>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3995520"/>
        <c:crosses val="autoZero"/>
        <c:crossBetween val="midCat"/>
      </c:valAx>
      <c:valAx>
        <c:axId val="133995520"/>
        <c:scaling>
          <c:orientation val="minMax"/>
          <c:max val="30"/>
          <c:min val="0"/>
        </c:scaling>
        <c:axPos val="l"/>
        <c:title>
          <c:tx>
            <c:rich>
              <a:bodyPr/>
              <a:lstStyle/>
              <a:p>
                <a:pPr>
                  <a:defRPr/>
                </a:pPr>
                <a:r>
                  <a:rPr lang="en-US" sz="1000" b="1" i="0" u="none" strike="noStrike" baseline="0"/>
                  <a:t>∆E* </a:t>
                </a:r>
                <a:endParaRPr lang="en-US"/>
              </a:p>
            </c:rich>
          </c:tx>
        </c:title>
        <c:numFmt formatCode="#,##0.0" sourceLinked="0"/>
        <c:majorTickMark val="none"/>
        <c:tickLblPos val="nextTo"/>
        <c:txPr>
          <a:bodyPr/>
          <a:lstStyle/>
          <a:p>
            <a:pPr>
              <a:defRPr sz="800"/>
            </a:pPr>
            <a:endParaRPr lang="en-US"/>
          </a:p>
        </c:txPr>
        <c:crossAx val="133993600"/>
        <c:crosses val="autoZero"/>
        <c:crossBetween val="midCat"/>
      </c:valAx>
    </c:plotArea>
    <c:legend>
      <c:legendPos val="b"/>
      <c:txPr>
        <a:bodyPr/>
        <a:lstStyle/>
        <a:p>
          <a:pPr>
            <a:defRPr sz="700"/>
          </a:pPr>
          <a:endParaRPr lang="en-US"/>
        </a:p>
      </c:txPr>
    </c:legend>
    <c:plotVisOnly val="1"/>
    <c:dispBlanksAs val="gap"/>
  </c:chart>
  <c:spPr>
    <a:ln>
      <a:noFill/>
    </a:ln>
  </c:spPr>
  <c:externalData r:id="rId1"/>
</c:chartSpace>
</file>

<file path=word/charts/chart65.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21300301668244748"/>
          <c:y val="5.2649589657314096E-2"/>
          <c:w val="0.73096510179472496"/>
          <c:h val="0.65419644754582729"/>
        </c:manualLayout>
      </c:layout>
      <c:scatterChart>
        <c:scatterStyle val="smoothMarker"/>
        <c:ser>
          <c:idx val="0"/>
          <c:order val="0"/>
          <c:tx>
            <c:v>Control</c:v>
          </c:tx>
          <c:errBars>
            <c:errDir val="y"/>
            <c:errBarType val="both"/>
            <c:errValType val="cust"/>
            <c:plus>
              <c:numRef>
                <c:f>(AA!$B$30,AA!$E$30,AA!$H$30,AA!$K$30)</c:f>
                <c:numCache>
                  <c:formatCode>General</c:formatCode>
                  <c:ptCount val="4"/>
                  <c:pt idx="0">
                    <c:v>55.304036104297339</c:v>
                  </c:pt>
                  <c:pt idx="1">
                    <c:v>13.659478369565432</c:v>
                  </c:pt>
                  <c:pt idx="2">
                    <c:v>18.245680784124502</c:v>
                  </c:pt>
                  <c:pt idx="3">
                    <c:v>9.6190529765363273</c:v>
                  </c:pt>
                </c:numCache>
              </c:numRef>
            </c:plus>
            <c:minus>
              <c:numRef>
                <c:f>(AA!$B$30,AA!$E$30,AA!$H$30,AA!$K$30)</c:f>
                <c:numCache>
                  <c:formatCode>General</c:formatCode>
                  <c:ptCount val="4"/>
                  <c:pt idx="0">
                    <c:v>55.304036104297339</c:v>
                  </c:pt>
                  <c:pt idx="1">
                    <c:v>13.659478369565432</c:v>
                  </c:pt>
                  <c:pt idx="2">
                    <c:v>18.245680784124502</c:v>
                  </c:pt>
                  <c:pt idx="3">
                    <c:v>9.6190529765363273</c:v>
                  </c:pt>
                </c:numCache>
              </c:numRef>
            </c:minus>
          </c:errBars>
          <c:xVal>
            <c:numRef>
              <c:f>AA!$E$35:$H$35</c:f>
              <c:numCache>
                <c:formatCode>General</c:formatCode>
                <c:ptCount val="4"/>
                <c:pt idx="0">
                  <c:v>0</c:v>
                </c:pt>
                <c:pt idx="1">
                  <c:v>14</c:v>
                </c:pt>
                <c:pt idx="2">
                  <c:v>28</c:v>
                </c:pt>
                <c:pt idx="3">
                  <c:v>42</c:v>
                </c:pt>
              </c:numCache>
            </c:numRef>
          </c:xVal>
          <c:yVal>
            <c:numRef>
              <c:f>(AA!$B$22,AA!$E$22,AA!$H$22,AA!$K$22)</c:f>
              <c:numCache>
                <c:formatCode>0.00</c:formatCode>
                <c:ptCount val="4"/>
                <c:pt idx="0">
                  <c:v>583.51166045194248</c:v>
                </c:pt>
                <c:pt idx="1">
                  <c:v>518.00848747886073</c:v>
                </c:pt>
                <c:pt idx="2">
                  <c:v>406.63867500730152</c:v>
                </c:pt>
                <c:pt idx="3">
                  <c:v>312.27293355339566</c:v>
                </c:pt>
              </c:numCache>
            </c:numRef>
          </c:yVal>
          <c:smooth val="1"/>
        </c:ser>
        <c:ser>
          <c:idx val="1"/>
          <c:order val="1"/>
          <c:tx>
            <c:v>CaCl2</c:v>
          </c:tx>
          <c:errBars>
            <c:errDir val="y"/>
            <c:errBarType val="both"/>
            <c:errValType val="cust"/>
            <c:plus>
              <c:numRef>
                <c:f>(AA!$B$31,AA!$E$31,AA!$H$31,AA!$K$31)</c:f>
                <c:numCache>
                  <c:formatCode>General</c:formatCode>
                  <c:ptCount val="4"/>
                  <c:pt idx="0">
                    <c:v>30.916147952591782</c:v>
                  </c:pt>
                  <c:pt idx="1">
                    <c:v>18.910377080676678</c:v>
                  </c:pt>
                  <c:pt idx="2">
                    <c:v>31.502307959177074</c:v>
                  </c:pt>
                  <c:pt idx="3">
                    <c:v>9.2849217605618417</c:v>
                  </c:pt>
                </c:numCache>
              </c:numRef>
            </c:plus>
            <c:minus>
              <c:numRef>
                <c:f>(AA!$B$31,AA!$E$31,AA!$H$31,AA!$K$31)</c:f>
                <c:numCache>
                  <c:formatCode>General</c:formatCode>
                  <c:ptCount val="4"/>
                  <c:pt idx="0">
                    <c:v>30.916147952591782</c:v>
                  </c:pt>
                  <c:pt idx="1">
                    <c:v>18.910377080676678</c:v>
                  </c:pt>
                  <c:pt idx="2">
                    <c:v>31.502307959177074</c:v>
                  </c:pt>
                  <c:pt idx="3">
                    <c:v>9.2849217605618417</c:v>
                  </c:pt>
                </c:numCache>
              </c:numRef>
            </c:minus>
          </c:errBars>
          <c:xVal>
            <c:numRef>
              <c:f>AA!$E$35:$H$35</c:f>
              <c:numCache>
                <c:formatCode>General</c:formatCode>
                <c:ptCount val="4"/>
                <c:pt idx="0">
                  <c:v>0</c:v>
                </c:pt>
                <c:pt idx="1">
                  <c:v>14</c:v>
                </c:pt>
                <c:pt idx="2">
                  <c:v>28</c:v>
                </c:pt>
                <c:pt idx="3">
                  <c:v>42</c:v>
                </c:pt>
              </c:numCache>
            </c:numRef>
          </c:xVal>
          <c:yVal>
            <c:numRef>
              <c:f>(AA!$B$23,AA!$E$23,AA!$H$23,AA!$K$23)</c:f>
              <c:numCache>
                <c:formatCode>0.00</c:formatCode>
                <c:ptCount val="4"/>
                <c:pt idx="0">
                  <c:v>586.64853189885309</c:v>
                </c:pt>
                <c:pt idx="1">
                  <c:v>497.74203150151806</c:v>
                </c:pt>
                <c:pt idx="2">
                  <c:v>360.8538652865227</c:v>
                </c:pt>
                <c:pt idx="3">
                  <c:v>250.77009760172771</c:v>
                </c:pt>
              </c:numCache>
            </c:numRef>
          </c:yVal>
          <c:smooth val="1"/>
        </c:ser>
        <c:ser>
          <c:idx val="2"/>
          <c:order val="2"/>
          <c:tx>
            <c:v>Flavonoid</c:v>
          </c:tx>
          <c:errBars>
            <c:errDir val="y"/>
            <c:errBarType val="both"/>
            <c:errValType val="cust"/>
            <c:plus>
              <c:numRef>
                <c:f>(AA!$B$32,AA!$E$32,AA!$H$32,AA!$K$32)</c:f>
                <c:numCache>
                  <c:formatCode>General</c:formatCode>
                  <c:ptCount val="4"/>
                  <c:pt idx="0">
                    <c:v>23.253001545212733</c:v>
                  </c:pt>
                  <c:pt idx="1">
                    <c:v>41.492661970133881</c:v>
                  </c:pt>
                  <c:pt idx="2">
                    <c:v>9.7786960723191072</c:v>
                  </c:pt>
                  <c:pt idx="3">
                    <c:v>19.358064469590506</c:v>
                  </c:pt>
                </c:numCache>
              </c:numRef>
            </c:plus>
            <c:minus>
              <c:numRef>
                <c:f>(AA!$B$32,AA!$E$32,AA!$H$32,AA!$K$32)</c:f>
                <c:numCache>
                  <c:formatCode>General</c:formatCode>
                  <c:ptCount val="4"/>
                  <c:pt idx="0">
                    <c:v>23.253001545212733</c:v>
                  </c:pt>
                  <c:pt idx="1">
                    <c:v>41.492661970133881</c:v>
                  </c:pt>
                  <c:pt idx="2">
                    <c:v>9.7786960723191072</c:v>
                  </c:pt>
                  <c:pt idx="3">
                    <c:v>19.358064469590506</c:v>
                  </c:pt>
                </c:numCache>
              </c:numRef>
            </c:minus>
          </c:errBars>
          <c:xVal>
            <c:numRef>
              <c:f>AA!$E$35:$H$35</c:f>
              <c:numCache>
                <c:formatCode>General</c:formatCode>
                <c:ptCount val="4"/>
                <c:pt idx="0">
                  <c:v>0</c:v>
                </c:pt>
                <c:pt idx="1">
                  <c:v>14</c:v>
                </c:pt>
                <c:pt idx="2">
                  <c:v>28</c:v>
                </c:pt>
                <c:pt idx="3">
                  <c:v>42</c:v>
                </c:pt>
              </c:numCache>
            </c:numRef>
          </c:xVal>
          <c:yVal>
            <c:numRef>
              <c:f>(AA!$B$24,AA!$E$24,AA!$H$24,AA!$K$24)</c:f>
              <c:numCache>
                <c:formatCode>0.00</c:formatCode>
                <c:ptCount val="4"/>
                <c:pt idx="0">
                  <c:v>615.85677853169591</c:v>
                </c:pt>
                <c:pt idx="1">
                  <c:v>518.48758563074341</c:v>
                </c:pt>
                <c:pt idx="2">
                  <c:v>414.53049072545872</c:v>
                </c:pt>
                <c:pt idx="3">
                  <c:v>291.3696498699328</c:v>
                </c:pt>
              </c:numCache>
            </c:numRef>
          </c:yVal>
          <c:smooth val="1"/>
        </c:ser>
        <c:ser>
          <c:idx val="3"/>
          <c:order val="3"/>
          <c:tx>
            <c:v>CaCl2+Flavonoid</c:v>
          </c:tx>
          <c:errBars>
            <c:errDir val="y"/>
            <c:errBarType val="both"/>
            <c:errValType val="cust"/>
            <c:plus>
              <c:numRef>
                <c:f>(AA!$B$33,AA!$E$33,AA!$H$33,AA!$K$33)</c:f>
                <c:numCache>
                  <c:formatCode>General</c:formatCode>
                  <c:ptCount val="4"/>
                  <c:pt idx="0">
                    <c:v>18.365549096608589</c:v>
                  </c:pt>
                  <c:pt idx="1">
                    <c:v>46.550979405810537</c:v>
                  </c:pt>
                  <c:pt idx="2">
                    <c:v>1.1784908173514346</c:v>
                  </c:pt>
                  <c:pt idx="3">
                    <c:v>21.206320723802175</c:v>
                  </c:pt>
                </c:numCache>
              </c:numRef>
            </c:plus>
            <c:minus>
              <c:numRef>
                <c:f>(AA!$B$33,AA!$E$33,AA!$H$33,AA!$K$33)</c:f>
                <c:numCache>
                  <c:formatCode>General</c:formatCode>
                  <c:ptCount val="4"/>
                  <c:pt idx="0">
                    <c:v>18.365549096608589</c:v>
                  </c:pt>
                  <c:pt idx="1">
                    <c:v>46.550979405810537</c:v>
                  </c:pt>
                  <c:pt idx="2">
                    <c:v>1.1784908173514346</c:v>
                  </c:pt>
                  <c:pt idx="3">
                    <c:v>21.206320723802175</c:v>
                  </c:pt>
                </c:numCache>
              </c:numRef>
            </c:minus>
          </c:errBars>
          <c:xVal>
            <c:numRef>
              <c:f>AA!$E$35:$H$35</c:f>
              <c:numCache>
                <c:formatCode>General</c:formatCode>
                <c:ptCount val="4"/>
                <c:pt idx="0">
                  <c:v>0</c:v>
                </c:pt>
                <c:pt idx="1">
                  <c:v>14</c:v>
                </c:pt>
                <c:pt idx="2">
                  <c:v>28</c:v>
                </c:pt>
                <c:pt idx="3">
                  <c:v>42</c:v>
                </c:pt>
              </c:numCache>
            </c:numRef>
          </c:xVal>
          <c:yVal>
            <c:numRef>
              <c:f>(AA!$B$25,AA!$E$25,AA!$H$25,AA!$K$25)</c:f>
              <c:numCache>
                <c:formatCode>0.00</c:formatCode>
                <c:ptCount val="4"/>
                <c:pt idx="0">
                  <c:v>580.2613539268234</c:v>
                </c:pt>
                <c:pt idx="1">
                  <c:v>503.71140561430701</c:v>
                </c:pt>
                <c:pt idx="2">
                  <c:v>410.04013638432173</c:v>
                </c:pt>
                <c:pt idx="3">
                  <c:v>273.8466572936407</c:v>
                </c:pt>
              </c:numCache>
            </c:numRef>
          </c:yVal>
          <c:smooth val="1"/>
        </c:ser>
        <c:axId val="134027904"/>
        <c:axId val="134107904"/>
      </c:scatterChart>
      <c:valAx>
        <c:axId val="134027904"/>
        <c:scaling>
          <c:orientation val="minMax"/>
        </c:scaling>
        <c:axPos val="b"/>
        <c:title>
          <c:tx>
            <c:rich>
              <a:bodyPr/>
              <a:lstStyle/>
              <a:p>
                <a:pPr>
                  <a:defRPr sz="800"/>
                </a:pPr>
                <a:r>
                  <a:rPr lang="es-ES" sz="800"/>
                  <a:t>Storage time (days)</a:t>
                </a:r>
              </a:p>
            </c:rich>
          </c:tx>
          <c:layout>
            <c:manualLayout>
              <c:xMode val="edge"/>
              <c:yMode val="edge"/>
              <c:x val="0.37985150546837132"/>
              <c:y val="0.82227765996031399"/>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4107904"/>
        <c:crosses val="autoZero"/>
        <c:crossBetween val="midCat"/>
        <c:majorUnit val="4"/>
      </c:valAx>
      <c:valAx>
        <c:axId val="134107904"/>
        <c:scaling>
          <c:orientation val="minMax"/>
        </c:scaling>
        <c:axPos val="l"/>
        <c:title>
          <c:tx>
            <c:rich>
              <a:bodyPr/>
              <a:lstStyle/>
              <a:p>
                <a:pPr>
                  <a:defRPr sz="800"/>
                </a:pPr>
                <a:r>
                  <a:rPr lang="es-ES" sz="800"/>
                  <a:t>L-ascorbic</a:t>
                </a:r>
                <a:r>
                  <a:rPr lang="es-ES" sz="800" baseline="0"/>
                  <a:t> acid (ppm)</a:t>
                </a:r>
                <a:endParaRPr lang="es-ES" sz="800"/>
              </a:p>
            </c:rich>
          </c:tx>
        </c:title>
        <c:numFmt formatCode="0.0" sourceLinked="0"/>
        <c:majorTickMark val="none"/>
        <c:tickLblPos val="nextTo"/>
        <c:txPr>
          <a:bodyPr/>
          <a:lstStyle/>
          <a:p>
            <a:pPr>
              <a:defRPr sz="800"/>
            </a:pPr>
            <a:endParaRPr lang="en-US"/>
          </a:p>
        </c:txPr>
        <c:crossAx val="134027904"/>
        <c:crosses val="autoZero"/>
        <c:crossBetween val="midCat"/>
      </c:valAx>
    </c:plotArea>
    <c:legend>
      <c:legendPos val="b"/>
      <c:layout>
        <c:manualLayout>
          <c:xMode val="edge"/>
          <c:yMode val="edge"/>
          <c:x val="2.5930400370428906E-2"/>
          <c:y val="0.89401630707119051"/>
          <c:w val="0.943369513744438"/>
          <c:h val="6.8585305378447495E-2"/>
        </c:manualLayout>
      </c:layout>
      <c:txPr>
        <a:bodyPr/>
        <a:lstStyle/>
        <a:p>
          <a:pPr>
            <a:defRPr sz="600"/>
          </a:pPr>
          <a:endParaRPr lang="en-US"/>
        </a:p>
      </c:txPr>
    </c:legend>
    <c:plotVisOnly val="1"/>
    <c:dispBlanksAs val="gap"/>
  </c:chart>
  <c:spPr>
    <a:ln>
      <a:noFill/>
    </a:ln>
  </c:spPr>
  <c:externalData r:id="rId1"/>
</c:chartSpace>
</file>

<file path=word/charts/chart6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8433003217868404"/>
          <c:y val="5.2649589657314096E-2"/>
          <c:w val="0.75963798887529499"/>
          <c:h val="0.69150753233638762"/>
        </c:manualLayout>
      </c:layout>
      <c:scatterChart>
        <c:scatterStyle val="smoothMarker"/>
        <c:ser>
          <c:idx val="0"/>
          <c:order val="0"/>
          <c:tx>
            <c:v>Control</c:v>
          </c:tx>
          <c:errBars>
            <c:errDir val="y"/>
            <c:errBarType val="both"/>
            <c:errValType val="cust"/>
            <c:plus>
              <c:numRef>
                <c:f>(AA!$B$65,AA!$E$65,AA!$H$65,AA!$K$65)</c:f>
                <c:numCache>
                  <c:formatCode>General</c:formatCode>
                  <c:ptCount val="4"/>
                  <c:pt idx="0">
                    <c:v>20.447007370170123</c:v>
                  </c:pt>
                  <c:pt idx="1">
                    <c:v>0.18053519467237542</c:v>
                  </c:pt>
                  <c:pt idx="2">
                    <c:v>29.714608383176593</c:v>
                  </c:pt>
                  <c:pt idx="3">
                    <c:v>6.2692453053367334</c:v>
                  </c:pt>
                </c:numCache>
              </c:numRef>
            </c:plus>
            <c:minus>
              <c:numRef>
                <c:f>(AA!$B$65,AA!$E$65,AA!$H$65,AA!$K$65)</c:f>
                <c:numCache>
                  <c:formatCode>General</c:formatCode>
                  <c:ptCount val="4"/>
                  <c:pt idx="0">
                    <c:v>20.447007370170123</c:v>
                  </c:pt>
                  <c:pt idx="1">
                    <c:v>0.18053519467237542</c:v>
                  </c:pt>
                  <c:pt idx="2">
                    <c:v>29.714608383176593</c:v>
                  </c:pt>
                  <c:pt idx="3">
                    <c:v>6.2692453053367334</c:v>
                  </c:pt>
                </c:numCache>
              </c:numRef>
            </c:minus>
          </c:errBars>
          <c:xVal>
            <c:numRef>
              <c:f>AA!$E$35:$H$35</c:f>
              <c:numCache>
                <c:formatCode>General</c:formatCode>
                <c:ptCount val="4"/>
                <c:pt idx="0">
                  <c:v>0</c:v>
                </c:pt>
                <c:pt idx="1">
                  <c:v>14</c:v>
                </c:pt>
                <c:pt idx="2">
                  <c:v>28</c:v>
                </c:pt>
                <c:pt idx="3">
                  <c:v>42</c:v>
                </c:pt>
              </c:numCache>
            </c:numRef>
          </c:xVal>
          <c:yVal>
            <c:numRef>
              <c:f>(AA!$B$57,AA!$E$57,AA!$H$57,AA!$K$57)</c:f>
              <c:numCache>
                <c:formatCode>0.00</c:formatCode>
                <c:ptCount val="4"/>
                <c:pt idx="0">
                  <c:v>510.13705518240465</c:v>
                </c:pt>
                <c:pt idx="1">
                  <c:v>351.83494939671203</c:v>
                </c:pt>
                <c:pt idx="2">
                  <c:v>287.90048445430511</c:v>
                </c:pt>
                <c:pt idx="3">
                  <c:v>162.46444883445281</c:v>
                </c:pt>
              </c:numCache>
            </c:numRef>
          </c:yVal>
          <c:smooth val="1"/>
        </c:ser>
        <c:ser>
          <c:idx val="1"/>
          <c:order val="1"/>
          <c:tx>
            <c:v>CaCl2</c:v>
          </c:tx>
          <c:errBars>
            <c:errDir val="y"/>
            <c:errBarType val="both"/>
            <c:errValType val="cust"/>
            <c:plus>
              <c:numRef>
                <c:f>(AA!$B$66,AA!$E$66,AA!$H$66,AA!$K$66)</c:f>
                <c:numCache>
                  <c:formatCode>General</c:formatCode>
                  <c:ptCount val="4"/>
                  <c:pt idx="0">
                    <c:v>22.916775603661687</c:v>
                  </c:pt>
                  <c:pt idx="1">
                    <c:v>39.137328899717645</c:v>
                  </c:pt>
                  <c:pt idx="2">
                    <c:v>1.0395679607120809</c:v>
                  </c:pt>
                  <c:pt idx="3">
                    <c:v>17.245884593883446</c:v>
                  </c:pt>
                </c:numCache>
              </c:numRef>
            </c:plus>
            <c:minus>
              <c:numRef>
                <c:f>(AA!$B$66,AA!$E$66,AA!$H$66,AA!$K$66)</c:f>
                <c:numCache>
                  <c:formatCode>General</c:formatCode>
                  <c:ptCount val="4"/>
                  <c:pt idx="0">
                    <c:v>22.916775603661687</c:v>
                  </c:pt>
                  <c:pt idx="1">
                    <c:v>39.137328899717645</c:v>
                  </c:pt>
                  <c:pt idx="2">
                    <c:v>1.0395679607120809</c:v>
                  </c:pt>
                  <c:pt idx="3">
                    <c:v>17.245884593883446</c:v>
                  </c:pt>
                </c:numCache>
              </c:numRef>
            </c:minus>
          </c:errBars>
          <c:xVal>
            <c:numRef>
              <c:f>AA!$E$35:$H$35</c:f>
              <c:numCache>
                <c:formatCode>General</c:formatCode>
                <c:ptCount val="4"/>
                <c:pt idx="0">
                  <c:v>0</c:v>
                </c:pt>
                <c:pt idx="1">
                  <c:v>14</c:v>
                </c:pt>
                <c:pt idx="2">
                  <c:v>28</c:v>
                </c:pt>
                <c:pt idx="3">
                  <c:v>42</c:v>
                </c:pt>
              </c:numCache>
            </c:numRef>
          </c:xVal>
          <c:yVal>
            <c:numRef>
              <c:f>(AA!$B$58,AA!$E$58,AA!$H$58,AA!$K$58)</c:f>
              <c:numCache>
                <c:formatCode>0.00</c:formatCode>
                <c:ptCount val="4"/>
                <c:pt idx="0">
                  <c:v>462.31445744562262</c:v>
                </c:pt>
                <c:pt idx="1">
                  <c:v>313.97048354253394</c:v>
                </c:pt>
                <c:pt idx="2">
                  <c:v>235.61150077500514</c:v>
                </c:pt>
                <c:pt idx="3">
                  <c:v>155.43621979758683</c:v>
                </c:pt>
              </c:numCache>
            </c:numRef>
          </c:yVal>
          <c:smooth val="1"/>
        </c:ser>
        <c:ser>
          <c:idx val="2"/>
          <c:order val="2"/>
          <c:tx>
            <c:v>Flavonoid</c:v>
          </c:tx>
          <c:errBars>
            <c:errDir val="y"/>
            <c:errBarType val="both"/>
            <c:errValType val="cust"/>
            <c:plus>
              <c:numRef>
                <c:f>(AA!$B$67,AA!$E$67,AA!$H$67,AA!$K$67)</c:f>
                <c:numCache>
                  <c:formatCode>General</c:formatCode>
                  <c:ptCount val="4"/>
                  <c:pt idx="0">
                    <c:v>70.414853678658218</c:v>
                  </c:pt>
                  <c:pt idx="1">
                    <c:v>17.402462669744676</c:v>
                  </c:pt>
                  <c:pt idx="2">
                    <c:v>15.180389360548306</c:v>
                  </c:pt>
                  <c:pt idx="3">
                    <c:v>21.393575917741988</c:v>
                  </c:pt>
                </c:numCache>
              </c:numRef>
            </c:plus>
            <c:minus>
              <c:numRef>
                <c:f>(AA!$B$67,AA!$E$67,AA!$H$67,AA!$K$67)</c:f>
                <c:numCache>
                  <c:formatCode>General</c:formatCode>
                  <c:ptCount val="4"/>
                  <c:pt idx="0">
                    <c:v>70.414853678658218</c:v>
                  </c:pt>
                  <c:pt idx="1">
                    <c:v>17.402462669744676</c:v>
                  </c:pt>
                  <c:pt idx="2">
                    <c:v>15.180389360548306</c:v>
                  </c:pt>
                  <c:pt idx="3">
                    <c:v>21.393575917741988</c:v>
                  </c:pt>
                </c:numCache>
              </c:numRef>
            </c:minus>
          </c:errBars>
          <c:xVal>
            <c:numRef>
              <c:f>AA!$E$35:$H$35</c:f>
              <c:numCache>
                <c:formatCode>General</c:formatCode>
                <c:ptCount val="4"/>
                <c:pt idx="0">
                  <c:v>0</c:v>
                </c:pt>
                <c:pt idx="1">
                  <c:v>14</c:v>
                </c:pt>
                <c:pt idx="2">
                  <c:v>28</c:v>
                </c:pt>
                <c:pt idx="3">
                  <c:v>42</c:v>
                </c:pt>
              </c:numCache>
            </c:numRef>
          </c:xVal>
          <c:yVal>
            <c:numRef>
              <c:f>(AA!$B$59,AA!$E$59,AA!$H$59,AA!$K$59)</c:f>
              <c:numCache>
                <c:formatCode>0.00</c:formatCode>
                <c:ptCount val="4"/>
                <c:pt idx="0">
                  <c:v>493.35864753973902</c:v>
                </c:pt>
                <c:pt idx="1">
                  <c:v>402.63023209636418</c:v>
                </c:pt>
                <c:pt idx="2">
                  <c:v>280.94393216424027</c:v>
                </c:pt>
                <c:pt idx="3">
                  <c:v>158.55671580099084</c:v>
                </c:pt>
              </c:numCache>
            </c:numRef>
          </c:yVal>
          <c:smooth val="1"/>
        </c:ser>
        <c:ser>
          <c:idx val="3"/>
          <c:order val="3"/>
          <c:tx>
            <c:v>CaCl2+Flavonoid</c:v>
          </c:tx>
          <c:errBars>
            <c:errDir val="y"/>
            <c:errBarType val="both"/>
            <c:errValType val="cust"/>
            <c:plus>
              <c:numRef>
                <c:f>(AA!$B$68,AA!$E$68,AA!$H$68,AA!$K$68)</c:f>
                <c:numCache>
                  <c:formatCode>General</c:formatCode>
                  <c:ptCount val="4"/>
                  <c:pt idx="0">
                    <c:v>95.867906682924968</c:v>
                  </c:pt>
                  <c:pt idx="1">
                    <c:v>30.984828588596329</c:v>
                  </c:pt>
                  <c:pt idx="2">
                    <c:v>6.9718436399282924</c:v>
                  </c:pt>
                  <c:pt idx="3">
                    <c:v>14.062321077434689</c:v>
                  </c:pt>
                </c:numCache>
              </c:numRef>
            </c:plus>
            <c:minus>
              <c:numRef>
                <c:f>(AA!$B$68,AA!$E$68,AA!$H$68,AA!$K$68)</c:f>
                <c:numCache>
                  <c:formatCode>General</c:formatCode>
                  <c:ptCount val="4"/>
                  <c:pt idx="0">
                    <c:v>95.867906682924968</c:v>
                  </c:pt>
                  <c:pt idx="1">
                    <c:v>30.984828588596329</c:v>
                  </c:pt>
                  <c:pt idx="2">
                    <c:v>6.9718436399282924</c:v>
                  </c:pt>
                  <c:pt idx="3">
                    <c:v>14.062321077434689</c:v>
                  </c:pt>
                </c:numCache>
              </c:numRef>
            </c:minus>
          </c:errBars>
          <c:xVal>
            <c:numRef>
              <c:f>AA!$E$35:$H$35</c:f>
              <c:numCache>
                <c:formatCode>General</c:formatCode>
                <c:ptCount val="4"/>
                <c:pt idx="0">
                  <c:v>0</c:v>
                </c:pt>
                <c:pt idx="1">
                  <c:v>14</c:v>
                </c:pt>
                <c:pt idx="2">
                  <c:v>28</c:v>
                </c:pt>
                <c:pt idx="3">
                  <c:v>42</c:v>
                </c:pt>
              </c:numCache>
            </c:numRef>
          </c:xVal>
          <c:yVal>
            <c:numRef>
              <c:f>(AA!$B$60,AA!$E$60,AA!$H$60,AA!$K$60)</c:f>
              <c:numCache>
                <c:formatCode>0.00</c:formatCode>
                <c:ptCount val="4"/>
                <c:pt idx="0">
                  <c:v>486.20002279427399</c:v>
                </c:pt>
                <c:pt idx="1">
                  <c:v>325.0554457040393</c:v>
                </c:pt>
                <c:pt idx="2">
                  <c:v>239.35363219159345</c:v>
                </c:pt>
                <c:pt idx="3">
                  <c:v>117.9238379479075</c:v>
                </c:pt>
              </c:numCache>
            </c:numRef>
          </c:yVal>
          <c:smooth val="1"/>
        </c:ser>
        <c:axId val="134160768"/>
        <c:axId val="134162688"/>
      </c:scatterChart>
      <c:valAx>
        <c:axId val="134160768"/>
        <c:scaling>
          <c:orientation val="minMax"/>
        </c:scaling>
        <c:axPos val="b"/>
        <c:title>
          <c:tx>
            <c:rich>
              <a:bodyPr/>
              <a:lstStyle/>
              <a:p>
                <a:pPr>
                  <a:defRPr sz="800"/>
                </a:pPr>
                <a:r>
                  <a:rPr lang="es-ES" sz="800"/>
                  <a:t>Storage time (days)</a:t>
                </a:r>
              </a:p>
            </c:rich>
          </c:tx>
          <c:layout>
            <c:manualLayout>
              <c:xMode val="edge"/>
              <c:yMode val="edge"/>
              <c:x val="0.3798513250359879"/>
              <c:y val="0.84097675729783061"/>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4162688"/>
        <c:crosses val="autoZero"/>
        <c:crossBetween val="midCat"/>
        <c:majorUnit val="4"/>
      </c:valAx>
      <c:valAx>
        <c:axId val="134162688"/>
        <c:scaling>
          <c:orientation val="minMax"/>
        </c:scaling>
        <c:axPos val="l"/>
        <c:title>
          <c:tx>
            <c:rich>
              <a:bodyPr/>
              <a:lstStyle/>
              <a:p>
                <a:pPr>
                  <a:defRPr sz="800"/>
                </a:pPr>
                <a:r>
                  <a:rPr lang="es-ES" sz="800"/>
                  <a:t>L-ascorbic</a:t>
                </a:r>
                <a:r>
                  <a:rPr lang="es-ES" sz="800" baseline="0"/>
                  <a:t> acid (ppm)</a:t>
                </a:r>
                <a:endParaRPr lang="es-ES" sz="800"/>
              </a:p>
            </c:rich>
          </c:tx>
        </c:title>
        <c:numFmt formatCode="0.0" sourceLinked="0"/>
        <c:majorTickMark val="none"/>
        <c:tickLblPos val="nextTo"/>
        <c:txPr>
          <a:bodyPr/>
          <a:lstStyle/>
          <a:p>
            <a:pPr>
              <a:defRPr sz="800"/>
            </a:pPr>
            <a:endParaRPr lang="en-US"/>
          </a:p>
        </c:txPr>
        <c:crossAx val="134160768"/>
        <c:crosses val="autoZero"/>
        <c:crossBetween val="midCat"/>
      </c:valAx>
    </c:plotArea>
    <c:legend>
      <c:legendPos val="b"/>
      <c:layout>
        <c:manualLayout>
          <c:xMode val="edge"/>
          <c:yMode val="edge"/>
          <c:x val="2.3068558961275198E-2"/>
          <c:y val="0.89352167790238501"/>
          <c:w val="0.93961157415217955"/>
          <c:h val="8.7691858607454723E-2"/>
        </c:manualLayout>
      </c:layout>
      <c:txPr>
        <a:bodyPr/>
        <a:lstStyle/>
        <a:p>
          <a:pPr>
            <a:defRPr sz="600"/>
          </a:pPr>
          <a:endParaRPr lang="en-US"/>
        </a:p>
      </c:txPr>
    </c:legend>
    <c:plotVisOnly val="1"/>
    <c:dispBlanksAs val="gap"/>
  </c:chart>
  <c:spPr>
    <a:ln>
      <a:noFill/>
    </a:ln>
  </c:spPr>
  <c:externalData r:id="rId1"/>
</c:chartSpace>
</file>

<file path=word/charts/chart67.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9773052528952267"/>
          <c:y val="5.2649589657314096E-2"/>
          <c:w val="0.74623779505791377"/>
          <c:h val="0.69150753233638762"/>
        </c:manualLayout>
      </c:layout>
      <c:scatterChart>
        <c:scatterStyle val="smoothMarker"/>
        <c:ser>
          <c:idx val="0"/>
          <c:order val="0"/>
          <c:tx>
            <c:v>Control</c:v>
          </c:tx>
          <c:errBars>
            <c:errDir val="y"/>
            <c:errBarType val="both"/>
            <c:errValType val="cust"/>
            <c:plus>
              <c:numRef>
                <c:f>(AA!$C$92,AA!$F$92,AA!$I$92,AA!$L$92)</c:f>
                <c:numCache>
                  <c:formatCode>General</c:formatCode>
                  <c:ptCount val="4"/>
                  <c:pt idx="0">
                    <c:v>38.152268399223594</c:v>
                  </c:pt>
                  <c:pt idx="1">
                    <c:v>60.389536697806946</c:v>
                  </c:pt>
                  <c:pt idx="2">
                    <c:v>7.05623105570929</c:v>
                  </c:pt>
                  <c:pt idx="3">
                    <c:v>3.9832400775312684</c:v>
                  </c:pt>
                </c:numCache>
              </c:numRef>
            </c:plus>
            <c:minus>
              <c:numRef>
                <c:f>(AA!$C$92,AA!$F$92,AA!$I$92,AA!$L$92)</c:f>
                <c:numCache>
                  <c:formatCode>General</c:formatCode>
                  <c:ptCount val="4"/>
                  <c:pt idx="0">
                    <c:v>38.152268399223594</c:v>
                  </c:pt>
                  <c:pt idx="1">
                    <c:v>60.389536697806946</c:v>
                  </c:pt>
                  <c:pt idx="2">
                    <c:v>7.05623105570929</c:v>
                  </c:pt>
                  <c:pt idx="3">
                    <c:v>3.9832400775312684</c:v>
                  </c:pt>
                </c:numCache>
              </c:numRef>
            </c:minus>
          </c:errBars>
          <c:xVal>
            <c:numRef>
              <c:f>AA!$E$35:$H$35</c:f>
              <c:numCache>
                <c:formatCode>General</c:formatCode>
                <c:ptCount val="4"/>
                <c:pt idx="0">
                  <c:v>0</c:v>
                </c:pt>
                <c:pt idx="1">
                  <c:v>14</c:v>
                </c:pt>
                <c:pt idx="2">
                  <c:v>28</c:v>
                </c:pt>
                <c:pt idx="3">
                  <c:v>42</c:v>
                </c:pt>
              </c:numCache>
            </c:numRef>
          </c:xVal>
          <c:yVal>
            <c:numRef>
              <c:f>(AA!$B$92,AA!$E$92,AA!$H$92,AA!$K$92)</c:f>
              <c:numCache>
                <c:formatCode>0.00</c:formatCode>
                <c:ptCount val="4"/>
                <c:pt idx="0">
                  <c:v>806.86627176853187</c:v>
                </c:pt>
                <c:pt idx="1">
                  <c:v>688.07306912236982</c:v>
                </c:pt>
                <c:pt idx="2">
                  <c:v>652.59943789011822</c:v>
                </c:pt>
                <c:pt idx="3">
                  <c:v>430.23870652240322</c:v>
                </c:pt>
              </c:numCache>
            </c:numRef>
          </c:yVal>
          <c:smooth val="1"/>
        </c:ser>
        <c:ser>
          <c:idx val="1"/>
          <c:order val="1"/>
          <c:tx>
            <c:v>CaCl2</c:v>
          </c:tx>
          <c:errBars>
            <c:errDir val="y"/>
            <c:errBarType val="both"/>
            <c:errValType val="cust"/>
            <c:plus>
              <c:numRef>
                <c:f>(AA!$C$93,AA!$F$93,AA!$I$93,AA!$L$93)</c:f>
                <c:numCache>
                  <c:formatCode>General</c:formatCode>
                  <c:ptCount val="4"/>
                  <c:pt idx="0">
                    <c:v>56.353344174954245</c:v>
                  </c:pt>
                  <c:pt idx="1">
                    <c:v>28.109216167951921</c:v>
                  </c:pt>
                  <c:pt idx="2">
                    <c:v>57.662530884487275</c:v>
                  </c:pt>
                  <c:pt idx="3">
                    <c:v>24.84543180946941</c:v>
                  </c:pt>
                </c:numCache>
              </c:numRef>
            </c:plus>
            <c:minus>
              <c:numRef>
                <c:f>(AA!$C$93,AA!$F$93,AA!$I$93,AA!$L$93)</c:f>
                <c:numCache>
                  <c:formatCode>General</c:formatCode>
                  <c:ptCount val="4"/>
                  <c:pt idx="0">
                    <c:v>56.353344174954245</c:v>
                  </c:pt>
                  <c:pt idx="1">
                    <c:v>28.109216167951921</c:v>
                  </c:pt>
                  <c:pt idx="2">
                    <c:v>57.662530884487275</c:v>
                  </c:pt>
                  <c:pt idx="3">
                    <c:v>24.84543180946941</c:v>
                  </c:pt>
                </c:numCache>
              </c:numRef>
            </c:minus>
          </c:errBars>
          <c:xVal>
            <c:numRef>
              <c:f>AA!$E$35:$H$35</c:f>
              <c:numCache>
                <c:formatCode>General</c:formatCode>
                <c:ptCount val="4"/>
                <c:pt idx="0">
                  <c:v>0</c:v>
                </c:pt>
                <c:pt idx="1">
                  <c:v>14</c:v>
                </c:pt>
                <c:pt idx="2">
                  <c:v>28</c:v>
                </c:pt>
                <c:pt idx="3">
                  <c:v>42</c:v>
                </c:pt>
              </c:numCache>
            </c:numRef>
          </c:xVal>
          <c:yVal>
            <c:numRef>
              <c:f>(AA!$B$93,AA!$E$93,AA!$H$93,AA!$K$93)</c:f>
              <c:numCache>
                <c:formatCode>0.00</c:formatCode>
                <c:ptCount val="4"/>
                <c:pt idx="0">
                  <c:v>1003.0409187612073</c:v>
                </c:pt>
                <c:pt idx="1">
                  <c:v>707.13155031456108</c:v>
                </c:pt>
                <c:pt idx="2">
                  <c:v>675.96194850269308</c:v>
                </c:pt>
                <c:pt idx="3">
                  <c:v>432.89573744659663</c:v>
                </c:pt>
              </c:numCache>
            </c:numRef>
          </c:yVal>
          <c:smooth val="1"/>
        </c:ser>
        <c:ser>
          <c:idx val="2"/>
          <c:order val="2"/>
          <c:tx>
            <c:v>Flavonoid</c:v>
          </c:tx>
          <c:errBars>
            <c:errDir val="y"/>
            <c:errBarType val="both"/>
            <c:errValType val="cust"/>
            <c:plus>
              <c:numRef>
                <c:f>(AA!$C$94,AA!$F$94,AA!$I$94,AA!$L$94)</c:f>
                <c:numCache>
                  <c:formatCode>General</c:formatCode>
                  <c:ptCount val="4"/>
                  <c:pt idx="0">
                    <c:v>40.437453014368799</c:v>
                  </c:pt>
                  <c:pt idx="1">
                    <c:v>117.68159491947425</c:v>
                  </c:pt>
                  <c:pt idx="2">
                    <c:v>92.847752622887455</c:v>
                  </c:pt>
                  <c:pt idx="3">
                    <c:v>71.743967754530345</c:v>
                  </c:pt>
                </c:numCache>
              </c:numRef>
            </c:plus>
            <c:minus>
              <c:numRef>
                <c:f>(AA!$C$94,AA!$F$94,AA!$I$94,AA!$L$94)</c:f>
                <c:numCache>
                  <c:formatCode>General</c:formatCode>
                  <c:ptCount val="4"/>
                  <c:pt idx="0">
                    <c:v>40.437453014368799</c:v>
                  </c:pt>
                  <c:pt idx="1">
                    <c:v>117.68159491947425</c:v>
                  </c:pt>
                  <c:pt idx="2">
                    <c:v>92.847752622887455</c:v>
                  </c:pt>
                  <c:pt idx="3">
                    <c:v>71.743967754530345</c:v>
                  </c:pt>
                </c:numCache>
              </c:numRef>
            </c:minus>
          </c:errBars>
          <c:xVal>
            <c:numRef>
              <c:f>AA!$E$35:$H$35</c:f>
              <c:numCache>
                <c:formatCode>General</c:formatCode>
                <c:ptCount val="4"/>
                <c:pt idx="0">
                  <c:v>0</c:v>
                </c:pt>
                <c:pt idx="1">
                  <c:v>14</c:v>
                </c:pt>
                <c:pt idx="2">
                  <c:v>28</c:v>
                </c:pt>
                <c:pt idx="3">
                  <c:v>42</c:v>
                </c:pt>
              </c:numCache>
            </c:numRef>
          </c:xVal>
          <c:yVal>
            <c:numRef>
              <c:f>(AA!$B$94,AA!$E$94,AA!$H$94,AA!$K$94)</c:f>
              <c:numCache>
                <c:formatCode>0.00</c:formatCode>
                <c:ptCount val="4"/>
                <c:pt idx="0">
                  <c:v>952.52544114518457</c:v>
                </c:pt>
                <c:pt idx="1">
                  <c:v>798.43797374099631</c:v>
                </c:pt>
                <c:pt idx="2">
                  <c:v>776.94684543336643</c:v>
                </c:pt>
                <c:pt idx="3">
                  <c:v>495.7599608778043</c:v>
                </c:pt>
              </c:numCache>
            </c:numRef>
          </c:yVal>
          <c:smooth val="1"/>
        </c:ser>
        <c:ser>
          <c:idx val="3"/>
          <c:order val="3"/>
          <c:tx>
            <c:v>CaCl2+Flavonoid</c:v>
          </c:tx>
          <c:errBars>
            <c:errDir val="y"/>
            <c:errBarType val="both"/>
            <c:errValType val="cust"/>
            <c:plus>
              <c:numRef>
                <c:f>(AA!$C$95,AA!$F$95,AA!$I$95,AA!$L$95)</c:f>
                <c:numCache>
                  <c:formatCode>General</c:formatCode>
                  <c:ptCount val="4"/>
                  <c:pt idx="0">
                    <c:v>54.420322952117857</c:v>
                  </c:pt>
                  <c:pt idx="1">
                    <c:v>7.9707531467011323</c:v>
                  </c:pt>
                  <c:pt idx="2">
                    <c:v>16.303117236093222</c:v>
                  </c:pt>
                  <c:pt idx="3">
                    <c:v>12.279780657175701</c:v>
                  </c:pt>
                </c:numCache>
              </c:numRef>
            </c:plus>
            <c:minus>
              <c:numRef>
                <c:f>(AA!$C$95,AA!$F$95,AA!$I$95,AA!$L$95)</c:f>
                <c:numCache>
                  <c:formatCode>General</c:formatCode>
                  <c:ptCount val="4"/>
                  <c:pt idx="0">
                    <c:v>54.420322952117857</c:v>
                  </c:pt>
                  <c:pt idx="1">
                    <c:v>7.9707531467011323</c:v>
                  </c:pt>
                  <c:pt idx="2">
                    <c:v>16.303117236093222</c:v>
                  </c:pt>
                  <c:pt idx="3">
                    <c:v>12.279780657175701</c:v>
                  </c:pt>
                </c:numCache>
              </c:numRef>
            </c:minus>
          </c:errBars>
          <c:xVal>
            <c:numRef>
              <c:f>AA!$E$35:$H$35</c:f>
              <c:numCache>
                <c:formatCode>General</c:formatCode>
                <c:ptCount val="4"/>
                <c:pt idx="0">
                  <c:v>0</c:v>
                </c:pt>
                <c:pt idx="1">
                  <c:v>14</c:v>
                </c:pt>
                <c:pt idx="2">
                  <c:v>28</c:v>
                </c:pt>
                <c:pt idx="3">
                  <c:v>42</c:v>
                </c:pt>
              </c:numCache>
            </c:numRef>
          </c:xVal>
          <c:yVal>
            <c:numRef>
              <c:f>(AA!$B$95,AA!$E$95,AA!$H$95,AA!$K$95)</c:f>
              <c:numCache>
                <c:formatCode>0.00</c:formatCode>
                <c:ptCount val="4"/>
                <c:pt idx="0">
                  <c:v>738.036968868087</c:v>
                </c:pt>
                <c:pt idx="1">
                  <c:v>612.49381697717718</c:v>
                </c:pt>
                <c:pt idx="2">
                  <c:v>507.40128206695607</c:v>
                </c:pt>
                <c:pt idx="3">
                  <c:v>328.12733731347339</c:v>
                </c:pt>
              </c:numCache>
            </c:numRef>
          </c:yVal>
          <c:smooth val="1"/>
        </c:ser>
        <c:axId val="134236032"/>
        <c:axId val="134316032"/>
      </c:scatterChart>
      <c:valAx>
        <c:axId val="134236032"/>
        <c:scaling>
          <c:orientation val="minMax"/>
        </c:scaling>
        <c:axPos val="b"/>
        <c:title>
          <c:tx>
            <c:rich>
              <a:bodyPr/>
              <a:lstStyle/>
              <a:p>
                <a:pPr>
                  <a:defRPr sz="800"/>
                </a:pPr>
                <a:r>
                  <a:rPr lang="es-ES" sz="800"/>
                  <a:t>Storage time (days)</a:t>
                </a:r>
              </a:p>
            </c:rich>
          </c:tx>
          <c:layout>
            <c:manualLayout>
              <c:xMode val="edge"/>
              <c:yMode val="edge"/>
              <c:x val="0.3798513250359869"/>
              <c:y val="0.84097675729783061"/>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4316032"/>
        <c:crosses val="autoZero"/>
        <c:crossBetween val="midCat"/>
        <c:majorUnit val="4"/>
      </c:valAx>
      <c:valAx>
        <c:axId val="134316032"/>
        <c:scaling>
          <c:orientation val="minMax"/>
        </c:scaling>
        <c:axPos val="l"/>
        <c:title>
          <c:tx>
            <c:rich>
              <a:bodyPr/>
              <a:lstStyle/>
              <a:p>
                <a:pPr>
                  <a:defRPr sz="800"/>
                </a:pPr>
                <a:r>
                  <a:rPr lang="es-ES" sz="800"/>
                  <a:t>L-ascorbic</a:t>
                </a:r>
                <a:r>
                  <a:rPr lang="es-ES" sz="800" baseline="0"/>
                  <a:t> acid (ppm)</a:t>
                </a:r>
                <a:endParaRPr lang="es-ES" sz="800"/>
              </a:p>
            </c:rich>
          </c:tx>
        </c:title>
        <c:numFmt formatCode="0.0" sourceLinked="0"/>
        <c:majorTickMark val="none"/>
        <c:tickLblPos val="nextTo"/>
        <c:txPr>
          <a:bodyPr/>
          <a:lstStyle/>
          <a:p>
            <a:pPr>
              <a:defRPr sz="800"/>
            </a:pPr>
            <a:endParaRPr lang="en-US"/>
          </a:p>
        </c:txPr>
        <c:crossAx val="134236032"/>
        <c:crosses val="autoZero"/>
        <c:crossBetween val="midCat"/>
      </c:valAx>
    </c:plotArea>
    <c:legend>
      <c:legendPos val="b"/>
      <c:layout>
        <c:manualLayout>
          <c:xMode val="edge"/>
          <c:yMode val="edge"/>
          <c:x val="2.3068558961275198E-2"/>
          <c:y val="0.89352167790238501"/>
          <c:w val="0.93961157415217755"/>
          <c:h val="8.7691858607454723E-2"/>
        </c:manualLayout>
      </c:layout>
      <c:txPr>
        <a:bodyPr/>
        <a:lstStyle/>
        <a:p>
          <a:pPr>
            <a:defRPr sz="600"/>
          </a:pPr>
          <a:endParaRPr lang="en-US"/>
        </a:p>
      </c:txPr>
    </c:legend>
    <c:plotVisOnly val="1"/>
    <c:dispBlanksAs val="gap"/>
  </c:chart>
  <c:spPr>
    <a:ln>
      <a:noFill/>
    </a:ln>
  </c:spPr>
  <c:externalData r:id="rId1"/>
</c:chartSpace>
</file>

<file path=word/charts/chart68.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93013269174686"/>
          <c:y val="7.08294716748923E-2"/>
          <c:w val="0.72790099154272403"/>
          <c:h val="0.61172135779679204"/>
        </c:manualLayout>
      </c:layout>
      <c:scatterChart>
        <c:scatterStyle val="smoothMarker"/>
        <c:ser>
          <c:idx val="0"/>
          <c:order val="0"/>
          <c:tx>
            <c:v>Control</c:v>
          </c:tx>
          <c:errBars>
            <c:errDir val="y"/>
            <c:errBarType val="both"/>
            <c:errValType val="cust"/>
            <c:plus>
              <c:numRef>
                <c:f>(AA!$B$30,AA!$E$30,AA!$H$30,AA!$K$30)</c:f>
                <c:numCache>
                  <c:formatCode>General</c:formatCode>
                  <c:ptCount val="4"/>
                  <c:pt idx="0">
                    <c:v>55.304036104297055</c:v>
                  </c:pt>
                  <c:pt idx="1">
                    <c:v>54.696278423803108</c:v>
                  </c:pt>
                  <c:pt idx="2">
                    <c:v>32.667841109803874</c:v>
                  </c:pt>
                  <c:pt idx="3">
                    <c:v>20.690692774716926</c:v>
                  </c:pt>
                </c:numCache>
              </c:numRef>
            </c:plus>
            <c:minus>
              <c:numRef>
                <c:f>(AA!$B$30,AA!$E$30,AA!$H$30,AA!$K$30)</c:f>
                <c:numCache>
                  <c:formatCode>General</c:formatCode>
                  <c:ptCount val="4"/>
                  <c:pt idx="0">
                    <c:v>55.304036104297055</c:v>
                  </c:pt>
                  <c:pt idx="1">
                    <c:v>54.696278423803108</c:v>
                  </c:pt>
                  <c:pt idx="2">
                    <c:v>32.667841109803874</c:v>
                  </c:pt>
                  <c:pt idx="3">
                    <c:v>20.690692774716926</c:v>
                  </c:pt>
                </c:numCache>
              </c:numRef>
            </c:minus>
          </c:errBars>
          <c:errBars>
            <c:errDir val="x"/>
            <c:errBarType val="both"/>
            <c:errValType val="fixedVal"/>
            <c:val val="1"/>
          </c:errBars>
          <c:xVal>
            <c:numRef>
              <c:f>AA!$O$7:$O$10</c:f>
              <c:numCache>
                <c:formatCode>General</c:formatCode>
                <c:ptCount val="4"/>
                <c:pt idx="0">
                  <c:v>0</c:v>
                </c:pt>
                <c:pt idx="1">
                  <c:v>90</c:v>
                </c:pt>
                <c:pt idx="2">
                  <c:v>180</c:v>
                </c:pt>
                <c:pt idx="3">
                  <c:v>270</c:v>
                </c:pt>
              </c:numCache>
            </c:numRef>
          </c:xVal>
          <c:yVal>
            <c:numRef>
              <c:f>(AA!$B$22,AA!$E$22,AA!$H$22,AA!$K$22)</c:f>
              <c:numCache>
                <c:formatCode>0.00</c:formatCode>
                <c:ptCount val="4"/>
                <c:pt idx="0">
                  <c:v>583.51166045194236</c:v>
                </c:pt>
                <c:pt idx="1">
                  <c:v>503.83880962569026</c:v>
                </c:pt>
                <c:pt idx="2">
                  <c:v>313.12858202416732</c:v>
                </c:pt>
                <c:pt idx="3">
                  <c:v>176.98789575564984</c:v>
                </c:pt>
              </c:numCache>
            </c:numRef>
          </c:yVal>
          <c:smooth val="1"/>
        </c:ser>
        <c:ser>
          <c:idx val="1"/>
          <c:order val="1"/>
          <c:tx>
            <c:v>CaCl2</c:v>
          </c:tx>
          <c:errBars>
            <c:errDir val="y"/>
            <c:errBarType val="both"/>
            <c:errValType val="cust"/>
            <c:plus>
              <c:numRef>
                <c:f>(AA!$B$31,AA!$E$31,AA!$H$31,AA!$K$31)</c:f>
                <c:numCache>
                  <c:formatCode>General</c:formatCode>
                  <c:ptCount val="4"/>
                  <c:pt idx="0">
                    <c:v>30.916147952591729</c:v>
                  </c:pt>
                  <c:pt idx="1">
                    <c:v>61.060906246701407</c:v>
                  </c:pt>
                  <c:pt idx="2">
                    <c:v>16.843899008427986</c:v>
                  </c:pt>
                  <c:pt idx="3">
                    <c:v>35.086996668074171</c:v>
                  </c:pt>
                </c:numCache>
              </c:numRef>
            </c:plus>
            <c:minus>
              <c:numRef>
                <c:f>(AA!$B$31,AA!$E$31,AA!$H$31,AA!$K$31)</c:f>
                <c:numCache>
                  <c:formatCode>General</c:formatCode>
                  <c:ptCount val="4"/>
                  <c:pt idx="0">
                    <c:v>30.916147952591729</c:v>
                  </c:pt>
                  <c:pt idx="1">
                    <c:v>61.060906246701407</c:v>
                  </c:pt>
                  <c:pt idx="2">
                    <c:v>16.843899008427986</c:v>
                  </c:pt>
                  <c:pt idx="3">
                    <c:v>35.086996668074171</c:v>
                  </c:pt>
                </c:numCache>
              </c:numRef>
            </c:minus>
          </c:errBars>
          <c:errBars>
            <c:errDir val="x"/>
            <c:errBarType val="both"/>
            <c:errValType val="fixedVal"/>
            <c:val val="1"/>
          </c:errBars>
          <c:xVal>
            <c:numRef>
              <c:f>AA!$O$7:$O$10</c:f>
              <c:numCache>
                <c:formatCode>General</c:formatCode>
                <c:ptCount val="4"/>
                <c:pt idx="0">
                  <c:v>0</c:v>
                </c:pt>
                <c:pt idx="1">
                  <c:v>90</c:v>
                </c:pt>
                <c:pt idx="2">
                  <c:v>180</c:v>
                </c:pt>
                <c:pt idx="3">
                  <c:v>270</c:v>
                </c:pt>
              </c:numCache>
            </c:numRef>
          </c:xVal>
          <c:yVal>
            <c:numRef>
              <c:f>(AA!$B$23,AA!$E$23,AA!$H$23,AA!$K$23)</c:f>
              <c:numCache>
                <c:formatCode>0.00</c:formatCode>
                <c:ptCount val="4"/>
                <c:pt idx="0">
                  <c:v>586.64853189885309</c:v>
                </c:pt>
                <c:pt idx="1">
                  <c:v>476.05297987516241</c:v>
                </c:pt>
                <c:pt idx="2">
                  <c:v>285.16157874360653</c:v>
                </c:pt>
                <c:pt idx="3">
                  <c:v>158.13211320985332</c:v>
                </c:pt>
              </c:numCache>
            </c:numRef>
          </c:yVal>
          <c:smooth val="1"/>
        </c:ser>
        <c:ser>
          <c:idx val="2"/>
          <c:order val="2"/>
          <c:tx>
            <c:v>Flavonoid</c:v>
          </c:tx>
          <c:errBars>
            <c:errDir val="y"/>
            <c:errBarType val="both"/>
            <c:errValType val="cust"/>
            <c:plus>
              <c:numRef>
                <c:f>(AA!$B$32,AA!$E$32,AA!$H$32,AA!$K$32)</c:f>
                <c:numCache>
                  <c:formatCode>General</c:formatCode>
                  <c:ptCount val="4"/>
                  <c:pt idx="0">
                    <c:v>23.253001545212733</c:v>
                  </c:pt>
                  <c:pt idx="1">
                    <c:v>41.737534337198113</c:v>
                  </c:pt>
                  <c:pt idx="2">
                    <c:v>32.117717681257794</c:v>
                  </c:pt>
                  <c:pt idx="3">
                    <c:v>72.808411234605558</c:v>
                  </c:pt>
                </c:numCache>
              </c:numRef>
            </c:plus>
            <c:minus>
              <c:numRef>
                <c:f>(AA!$B$32,AA!$E$32,AA!$H$32,AA!$K$32)</c:f>
                <c:numCache>
                  <c:formatCode>General</c:formatCode>
                  <c:ptCount val="4"/>
                  <c:pt idx="0">
                    <c:v>23.253001545212733</c:v>
                  </c:pt>
                  <c:pt idx="1">
                    <c:v>41.737534337198113</c:v>
                  </c:pt>
                  <c:pt idx="2">
                    <c:v>32.117717681257794</c:v>
                  </c:pt>
                  <c:pt idx="3">
                    <c:v>72.808411234605558</c:v>
                  </c:pt>
                </c:numCache>
              </c:numRef>
            </c:minus>
          </c:errBars>
          <c:errBars>
            <c:errDir val="x"/>
            <c:errBarType val="both"/>
            <c:errValType val="fixedVal"/>
            <c:val val="1"/>
          </c:errBars>
          <c:xVal>
            <c:numRef>
              <c:f>AA!$O$7:$O$10</c:f>
              <c:numCache>
                <c:formatCode>General</c:formatCode>
                <c:ptCount val="4"/>
                <c:pt idx="0">
                  <c:v>0</c:v>
                </c:pt>
                <c:pt idx="1">
                  <c:v>90</c:v>
                </c:pt>
                <c:pt idx="2">
                  <c:v>180</c:v>
                </c:pt>
                <c:pt idx="3">
                  <c:v>270</c:v>
                </c:pt>
              </c:numCache>
            </c:numRef>
          </c:xVal>
          <c:yVal>
            <c:numRef>
              <c:f>(AA!$B$24,AA!$E$24,AA!$H$24,AA!$K$24)</c:f>
              <c:numCache>
                <c:formatCode>0.00</c:formatCode>
                <c:ptCount val="4"/>
                <c:pt idx="0">
                  <c:v>615.85677853169852</c:v>
                </c:pt>
                <c:pt idx="1">
                  <c:v>523.69357078332803</c:v>
                </c:pt>
                <c:pt idx="2">
                  <c:v>233.09624685018909</c:v>
                </c:pt>
                <c:pt idx="3">
                  <c:v>170.88515108910499</c:v>
                </c:pt>
              </c:numCache>
            </c:numRef>
          </c:yVal>
          <c:smooth val="1"/>
        </c:ser>
        <c:ser>
          <c:idx val="3"/>
          <c:order val="3"/>
          <c:tx>
            <c:v>Flavonoid-CaCl2</c:v>
          </c:tx>
          <c:errBars>
            <c:errDir val="y"/>
            <c:errBarType val="both"/>
            <c:errValType val="cust"/>
            <c:plus>
              <c:numRef>
                <c:f>(AA!$B$33,AA!$E$33,AA!$H$33,AA!$K$33)</c:f>
                <c:numCache>
                  <c:formatCode>General</c:formatCode>
                  <c:ptCount val="4"/>
                  <c:pt idx="0">
                    <c:v>18.365549096608586</c:v>
                  </c:pt>
                  <c:pt idx="1">
                    <c:v>23.447176740561684</c:v>
                  </c:pt>
                  <c:pt idx="2">
                    <c:v>23.542449510076626</c:v>
                  </c:pt>
                  <c:pt idx="3">
                    <c:v>6.2407866804109631</c:v>
                  </c:pt>
                </c:numCache>
              </c:numRef>
            </c:plus>
            <c:minus>
              <c:numRef>
                <c:f>(AA!$B$33,AA!$E$33,AA!$H$33,AA!$K$33)</c:f>
                <c:numCache>
                  <c:formatCode>General</c:formatCode>
                  <c:ptCount val="4"/>
                  <c:pt idx="0">
                    <c:v>18.365549096608586</c:v>
                  </c:pt>
                  <c:pt idx="1">
                    <c:v>23.447176740561684</c:v>
                  </c:pt>
                  <c:pt idx="2">
                    <c:v>23.542449510076626</c:v>
                  </c:pt>
                  <c:pt idx="3">
                    <c:v>6.2407866804109631</c:v>
                  </c:pt>
                </c:numCache>
              </c:numRef>
            </c:minus>
          </c:errBars>
          <c:errBars>
            <c:errDir val="x"/>
            <c:errBarType val="both"/>
            <c:errValType val="fixedVal"/>
            <c:val val="1"/>
          </c:errBars>
          <c:xVal>
            <c:numRef>
              <c:f>AA!$O$7:$O$10</c:f>
              <c:numCache>
                <c:formatCode>General</c:formatCode>
                <c:ptCount val="4"/>
                <c:pt idx="0">
                  <c:v>0</c:v>
                </c:pt>
                <c:pt idx="1">
                  <c:v>90</c:v>
                </c:pt>
                <c:pt idx="2">
                  <c:v>180</c:v>
                </c:pt>
                <c:pt idx="3">
                  <c:v>270</c:v>
                </c:pt>
              </c:numCache>
            </c:numRef>
          </c:xVal>
          <c:yVal>
            <c:numRef>
              <c:f>(AA!$B$25,AA!$E$25,AA!$H$25,AA!$K$25)</c:f>
              <c:numCache>
                <c:formatCode>0.00</c:formatCode>
                <c:ptCount val="4"/>
                <c:pt idx="0">
                  <c:v>580.26135392682352</c:v>
                </c:pt>
                <c:pt idx="1">
                  <c:v>461.99499181558195</c:v>
                </c:pt>
                <c:pt idx="2">
                  <c:v>184.5899138089126</c:v>
                </c:pt>
                <c:pt idx="3">
                  <c:v>134.37264910243206</c:v>
                </c:pt>
              </c:numCache>
            </c:numRef>
          </c:yVal>
          <c:smooth val="1"/>
        </c:ser>
        <c:axId val="134444160"/>
        <c:axId val="134446080"/>
      </c:scatterChart>
      <c:valAx>
        <c:axId val="134444160"/>
        <c:scaling>
          <c:orientation val="minMax"/>
          <c:min val="0"/>
        </c:scaling>
        <c:axPos val="b"/>
        <c:title>
          <c:tx>
            <c:rich>
              <a:bodyPr/>
              <a:lstStyle/>
              <a:p>
                <a:pPr>
                  <a:defRPr/>
                </a:pPr>
                <a:r>
                  <a:rPr lang="en-US"/>
                  <a:t>Storage (days)</a:t>
                </a:r>
              </a:p>
            </c:rich>
          </c:tx>
          <c:layout>
            <c:manualLayout>
              <c:xMode val="edge"/>
              <c:yMode val="edge"/>
              <c:x val="0.41264654418197699"/>
              <c:y val="0.78655967047181563"/>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4446080"/>
        <c:crosses val="autoZero"/>
        <c:crossBetween val="midCat"/>
        <c:majorUnit val="50"/>
      </c:valAx>
      <c:valAx>
        <c:axId val="134446080"/>
        <c:scaling>
          <c:orientation val="minMax"/>
          <c:max val="600"/>
          <c:min val="0"/>
        </c:scaling>
        <c:axPos val="l"/>
        <c:title>
          <c:tx>
            <c:rich>
              <a:bodyPr/>
              <a:lstStyle/>
              <a:p>
                <a:pPr>
                  <a:defRPr sz="800"/>
                </a:pPr>
                <a:r>
                  <a:rPr lang="en-US" sz="800"/>
                  <a:t>L-ascorbic</a:t>
                </a:r>
                <a:r>
                  <a:rPr lang="en-US" sz="800" baseline="0"/>
                  <a:t> acid</a:t>
                </a:r>
                <a:r>
                  <a:rPr lang="en-US" sz="800"/>
                  <a:t> (ppm)</a:t>
                </a:r>
              </a:p>
            </c:rich>
          </c:tx>
          <c:layout>
            <c:manualLayout>
              <c:xMode val="edge"/>
              <c:yMode val="edge"/>
              <c:x val="3.2407407407407898E-2"/>
              <c:y val="9.7662911753255713E-2"/>
            </c:manualLayout>
          </c:layout>
        </c:title>
        <c:numFmt formatCode="0" sourceLinked="0"/>
        <c:majorTickMark val="none"/>
        <c:tickLblPos val="nextTo"/>
        <c:txPr>
          <a:bodyPr/>
          <a:lstStyle/>
          <a:p>
            <a:pPr>
              <a:defRPr sz="800"/>
            </a:pPr>
            <a:endParaRPr lang="en-US"/>
          </a:p>
        </c:txPr>
        <c:crossAx val="134444160"/>
        <c:crosses val="autoZero"/>
        <c:crossBetween val="midCat"/>
      </c:valAx>
      <c:spPr>
        <a:ln>
          <a:noFill/>
        </a:ln>
      </c:spPr>
    </c:plotArea>
    <c:legend>
      <c:legendPos val="b"/>
      <c:txPr>
        <a:bodyPr/>
        <a:lstStyle/>
        <a:p>
          <a:pPr>
            <a:defRPr sz="600"/>
          </a:pPr>
          <a:endParaRPr lang="en-US"/>
        </a:p>
      </c:txPr>
    </c:legend>
    <c:plotVisOnly val="1"/>
    <c:dispBlanksAs val="gap"/>
  </c:chart>
  <c:spPr>
    <a:ln>
      <a:noFill/>
    </a:ln>
  </c:spPr>
  <c:externalData r:id="rId1"/>
</c:chartSpace>
</file>

<file path=word/charts/chart69.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21898299956145686"/>
          <c:y val="5.1324200181925302E-2"/>
          <c:w val="0.7221514784019788"/>
          <c:h val="0.69992374453633499"/>
        </c:manualLayout>
      </c:layout>
      <c:scatterChart>
        <c:scatterStyle val="smoothMarker"/>
        <c:ser>
          <c:idx val="0"/>
          <c:order val="0"/>
          <c:tx>
            <c:v>Control</c:v>
          </c:tx>
          <c:errBars>
            <c:errDir val="y"/>
            <c:errBarType val="both"/>
            <c:errValType val="cust"/>
            <c:plus>
              <c:numRef>
                <c:f>(AA!$B$65,AA!$E$65,AA!$H$65,AA!$K$65)</c:f>
                <c:numCache>
                  <c:formatCode>General</c:formatCode>
                  <c:ptCount val="4"/>
                  <c:pt idx="0">
                    <c:v>77.859324884527808</c:v>
                  </c:pt>
                  <c:pt idx="1">
                    <c:v>33.560909492890097</c:v>
                  </c:pt>
                  <c:pt idx="2">
                    <c:v>54.808458878322199</c:v>
                  </c:pt>
                  <c:pt idx="3">
                    <c:v>0</c:v>
                  </c:pt>
                </c:numCache>
              </c:numRef>
            </c:plus>
            <c:minus>
              <c:numRef>
                <c:f>(AA!$B$65,AA!$E$65,AA!$H$65,AA!$K$65)</c:f>
                <c:numCache>
                  <c:formatCode>General</c:formatCode>
                  <c:ptCount val="4"/>
                  <c:pt idx="0">
                    <c:v>77.859324884527808</c:v>
                  </c:pt>
                  <c:pt idx="1">
                    <c:v>33.560909492890097</c:v>
                  </c:pt>
                  <c:pt idx="2">
                    <c:v>54.808458878322199</c:v>
                  </c:pt>
                  <c:pt idx="3">
                    <c:v>0</c:v>
                  </c:pt>
                </c:numCache>
              </c:numRef>
            </c:minus>
          </c:errBars>
          <c:errBars>
            <c:errDir val="x"/>
            <c:errBarType val="both"/>
            <c:errValType val="fixedVal"/>
            <c:val val="1"/>
          </c:errBars>
          <c:xVal>
            <c:numRef>
              <c:f>AA!$J$38:$M$38</c:f>
              <c:numCache>
                <c:formatCode>General</c:formatCode>
                <c:ptCount val="4"/>
                <c:pt idx="0">
                  <c:v>0</c:v>
                </c:pt>
                <c:pt idx="1">
                  <c:v>90</c:v>
                </c:pt>
                <c:pt idx="2">
                  <c:v>180</c:v>
                </c:pt>
                <c:pt idx="3">
                  <c:v>270</c:v>
                </c:pt>
              </c:numCache>
            </c:numRef>
          </c:xVal>
          <c:yVal>
            <c:numRef>
              <c:f>(AA!$B$57,AA!$E$57,AA!$H$57,AA!$K$57)</c:f>
              <c:numCache>
                <c:formatCode>0.00</c:formatCode>
                <c:ptCount val="4"/>
                <c:pt idx="0">
                  <c:v>542.84435684600817</c:v>
                </c:pt>
                <c:pt idx="1">
                  <c:v>323.71448864845172</c:v>
                </c:pt>
                <c:pt idx="2">
                  <c:v>88.266512779989668</c:v>
                </c:pt>
                <c:pt idx="3">
                  <c:v>0</c:v>
                </c:pt>
              </c:numCache>
            </c:numRef>
          </c:yVal>
          <c:smooth val="1"/>
        </c:ser>
        <c:ser>
          <c:idx val="1"/>
          <c:order val="1"/>
          <c:tx>
            <c:v>CaCl2</c:v>
          </c:tx>
          <c:errBars>
            <c:errDir val="y"/>
            <c:errBarType val="both"/>
            <c:errValType val="cust"/>
            <c:plus>
              <c:numRef>
                <c:f>(AA!$B$66,AA!$E$66,AA!$H$66,AA!$K$66)</c:f>
                <c:numCache>
                  <c:formatCode>General</c:formatCode>
                  <c:ptCount val="4"/>
                  <c:pt idx="0">
                    <c:v>22.608726803802526</c:v>
                  </c:pt>
                  <c:pt idx="1">
                    <c:v>3.8055969898475901</c:v>
                  </c:pt>
                  <c:pt idx="2">
                    <c:v>64.123738293913249</c:v>
                  </c:pt>
                  <c:pt idx="3">
                    <c:v>0</c:v>
                  </c:pt>
                </c:numCache>
              </c:numRef>
            </c:plus>
            <c:minus>
              <c:numRef>
                <c:f>(AA!$B$66,AA!$E$66,AA!$H$66,AA!$K$66)</c:f>
                <c:numCache>
                  <c:formatCode>General</c:formatCode>
                  <c:ptCount val="4"/>
                  <c:pt idx="0">
                    <c:v>22.608726803802526</c:v>
                  </c:pt>
                  <c:pt idx="1">
                    <c:v>3.8055969898475901</c:v>
                  </c:pt>
                  <c:pt idx="2">
                    <c:v>64.123738293913249</c:v>
                  </c:pt>
                  <c:pt idx="3">
                    <c:v>0</c:v>
                  </c:pt>
                </c:numCache>
              </c:numRef>
            </c:minus>
          </c:errBars>
          <c:errBars>
            <c:errDir val="x"/>
            <c:errBarType val="both"/>
            <c:errValType val="fixedVal"/>
            <c:val val="1"/>
          </c:errBars>
          <c:xVal>
            <c:numRef>
              <c:f>AA!$J$38:$M$38</c:f>
              <c:numCache>
                <c:formatCode>General</c:formatCode>
                <c:ptCount val="4"/>
                <c:pt idx="0">
                  <c:v>0</c:v>
                </c:pt>
                <c:pt idx="1">
                  <c:v>90</c:v>
                </c:pt>
                <c:pt idx="2">
                  <c:v>180</c:v>
                </c:pt>
                <c:pt idx="3">
                  <c:v>270</c:v>
                </c:pt>
              </c:numCache>
            </c:numRef>
          </c:xVal>
          <c:yVal>
            <c:numRef>
              <c:f>(AA!$B$58,AA!$E$58,AA!$H$58,AA!$K$58)</c:f>
              <c:numCache>
                <c:formatCode>0.00</c:formatCode>
                <c:ptCount val="4"/>
                <c:pt idx="0">
                  <c:v>489.96580950140566</c:v>
                </c:pt>
                <c:pt idx="1">
                  <c:v>196.51788134820541</c:v>
                </c:pt>
                <c:pt idx="2">
                  <c:v>45.342330182658131</c:v>
                </c:pt>
                <c:pt idx="3">
                  <c:v>0</c:v>
                </c:pt>
              </c:numCache>
            </c:numRef>
          </c:yVal>
          <c:smooth val="1"/>
        </c:ser>
        <c:ser>
          <c:idx val="2"/>
          <c:order val="2"/>
          <c:tx>
            <c:v>Flavonoid</c:v>
          </c:tx>
          <c:errBars>
            <c:errDir val="y"/>
            <c:errBarType val="both"/>
            <c:errValType val="cust"/>
            <c:plus>
              <c:numRef>
                <c:f>(AA!$B$67,AA!$E$67,AA!$H$67,AA!$K$67)</c:f>
                <c:numCache>
                  <c:formatCode>General</c:formatCode>
                  <c:ptCount val="4"/>
                  <c:pt idx="0">
                    <c:v>25.33960640143107</c:v>
                  </c:pt>
                  <c:pt idx="1">
                    <c:v>23.208221293922684</c:v>
                  </c:pt>
                  <c:pt idx="2">
                    <c:v>0.90291022142142097</c:v>
                  </c:pt>
                  <c:pt idx="3">
                    <c:v>41.425183383749626</c:v>
                  </c:pt>
                </c:numCache>
              </c:numRef>
            </c:plus>
            <c:minus>
              <c:numRef>
                <c:f>(AA!$B$67,AA!$E$67,AA!$H$67,AA!$K$67)</c:f>
                <c:numCache>
                  <c:formatCode>General</c:formatCode>
                  <c:ptCount val="4"/>
                  <c:pt idx="0">
                    <c:v>25.33960640143107</c:v>
                  </c:pt>
                  <c:pt idx="1">
                    <c:v>23.208221293922684</c:v>
                  </c:pt>
                  <c:pt idx="2">
                    <c:v>0.90291022142142097</c:v>
                  </c:pt>
                  <c:pt idx="3">
                    <c:v>41.425183383749626</c:v>
                  </c:pt>
                </c:numCache>
              </c:numRef>
            </c:minus>
          </c:errBars>
          <c:errBars>
            <c:errDir val="x"/>
            <c:errBarType val="both"/>
            <c:errValType val="fixedVal"/>
            <c:val val="1"/>
          </c:errBars>
          <c:xVal>
            <c:numRef>
              <c:f>AA!$J$38:$M$38</c:f>
              <c:numCache>
                <c:formatCode>General</c:formatCode>
                <c:ptCount val="4"/>
                <c:pt idx="0">
                  <c:v>0</c:v>
                </c:pt>
                <c:pt idx="1">
                  <c:v>90</c:v>
                </c:pt>
                <c:pt idx="2">
                  <c:v>180</c:v>
                </c:pt>
                <c:pt idx="3">
                  <c:v>270</c:v>
                </c:pt>
              </c:numCache>
            </c:numRef>
          </c:xVal>
          <c:yVal>
            <c:numRef>
              <c:f>(AA!$B$59,AA!$E$59,AA!$H$59,AA!$K$59)</c:f>
              <c:numCache>
                <c:formatCode>0.00</c:formatCode>
                <c:ptCount val="4"/>
                <c:pt idx="0">
                  <c:v>524.29208522364854</c:v>
                </c:pt>
                <c:pt idx="1">
                  <c:v>338.67939478669626</c:v>
                </c:pt>
                <c:pt idx="2">
                  <c:v>256.79693918487624</c:v>
                </c:pt>
                <c:pt idx="3">
                  <c:v>211.95831383156604</c:v>
                </c:pt>
              </c:numCache>
            </c:numRef>
          </c:yVal>
          <c:smooth val="1"/>
        </c:ser>
        <c:ser>
          <c:idx val="3"/>
          <c:order val="3"/>
          <c:tx>
            <c:v>Flavonoid+CaCl2</c:v>
          </c:tx>
          <c:errBars>
            <c:errDir val="y"/>
            <c:errBarType val="both"/>
            <c:errValType val="cust"/>
            <c:plus>
              <c:numRef>
                <c:f>(AA!$B$68,AA!$E$68,AA!$H$68,AA!$K$68)</c:f>
                <c:numCache>
                  <c:formatCode>General</c:formatCode>
                  <c:ptCount val="4"/>
                  <c:pt idx="0">
                    <c:v>106.00335160091012</c:v>
                  </c:pt>
                  <c:pt idx="1">
                    <c:v>33.560909492890097</c:v>
                  </c:pt>
                  <c:pt idx="2">
                    <c:v>15.664020533933344</c:v>
                  </c:pt>
                  <c:pt idx="3">
                    <c:v>0</c:v>
                  </c:pt>
                </c:numCache>
              </c:numRef>
            </c:plus>
            <c:minus>
              <c:numRef>
                <c:f>(AA!$B$68,AA!$E$68,AA!$H$68,AA!$K$68)</c:f>
                <c:numCache>
                  <c:formatCode>General</c:formatCode>
                  <c:ptCount val="4"/>
                  <c:pt idx="0">
                    <c:v>106.00335160091012</c:v>
                  </c:pt>
                  <c:pt idx="1">
                    <c:v>33.560909492890097</c:v>
                  </c:pt>
                  <c:pt idx="2">
                    <c:v>15.664020533933344</c:v>
                  </c:pt>
                  <c:pt idx="3">
                    <c:v>0</c:v>
                  </c:pt>
                </c:numCache>
              </c:numRef>
            </c:minus>
          </c:errBars>
          <c:errBars>
            <c:errDir val="x"/>
            <c:errBarType val="both"/>
            <c:errValType val="fixedVal"/>
            <c:val val="1"/>
          </c:errBars>
          <c:xVal>
            <c:numRef>
              <c:f>AA!$J$38:$M$38</c:f>
              <c:numCache>
                <c:formatCode>General</c:formatCode>
                <c:ptCount val="4"/>
                <c:pt idx="0">
                  <c:v>0</c:v>
                </c:pt>
                <c:pt idx="1">
                  <c:v>90</c:v>
                </c:pt>
                <c:pt idx="2">
                  <c:v>180</c:v>
                </c:pt>
                <c:pt idx="3">
                  <c:v>270</c:v>
                </c:pt>
              </c:numCache>
            </c:numRef>
          </c:xVal>
          <c:yVal>
            <c:numRef>
              <c:f>(AA!$B$60,AA!$E$60,AA!$H$60,AA!$K$60)</c:f>
              <c:numCache>
                <c:formatCode>0.00</c:formatCode>
                <c:ptCount val="4"/>
                <c:pt idx="0">
                  <c:v>516.37662902846239</c:v>
                </c:pt>
                <c:pt idx="1">
                  <c:v>323.71448864845172</c:v>
                </c:pt>
                <c:pt idx="2">
                  <c:v>137.65846179173118</c:v>
                </c:pt>
                <c:pt idx="3">
                  <c:v>0</c:v>
                </c:pt>
              </c:numCache>
            </c:numRef>
          </c:yVal>
          <c:smooth val="1"/>
        </c:ser>
        <c:axId val="134640000"/>
        <c:axId val="134641920"/>
      </c:scatterChart>
      <c:valAx>
        <c:axId val="134640000"/>
        <c:scaling>
          <c:orientation val="minMax"/>
          <c:max val="300"/>
          <c:min val="0"/>
        </c:scaling>
        <c:axPos val="b"/>
        <c:title>
          <c:tx>
            <c:rich>
              <a:bodyPr/>
              <a:lstStyle/>
              <a:p>
                <a:pPr>
                  <a:defRPr/>
                </a:pPr>
                <a:r>
                  <a:rPr lang="en-US"/>
                  <a:t>Storage (days)</a:t>
                </a:r>
              </a:p>
            </c:rich>
          </c:tx>
          <c:layout>
            <c:manualLayout>
              <c:xMode val="edge"/>
              <c:yMode val="edge"/>
              <c:x val="0.38404636920385926"/>
              <c:y val="0.83871851514103302"/>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34641920"/>
        <c:crosses val="autoZero"/>
        <c:crossBetween val="midCat"/>
        <c:majorUnit val="50"/>
      </c:valAx>
      <c:valAx>
        <c:axId val="134641920"/>
        <c:scaling>
          <c:orientation val="minMax"/>
          <c:max val="600"/>
          <c:min val="0"/>
        </c:scaling>
        <c:axPos val="l"/>
        <c:title>
          <c:tx>
            <c:rich>
              <a:bodyPr/>
              <a:lstStyle/>
              <a:p>
                <a:pPr>
                  <a:defRPr sz="800"/>
                </a:pPr>
                <a:r>
                  <a:rPr lang="en-US" sz="800"/>
                  <a:t>L-ascorbic acid (ppm)</a:t>
                </a:r>
              </a:p>
            </c:rich>
          </c:tx>
        </c:title>
        <c:numFmt formatCode="0" sourceLinked="0"/>
        <c:majorTickMark val="none"/>
        <c:tickLblPos val="nextTo"/>
        <c:txPr>
          <a:bodyPr/>
          <a:lstStyle/>
          <a:p>
            <a:pPr>
              <a:defRPr sz="800"/>
            </a:pPr>
            <a:endParaRPr lang="en-US"/>
          </a:p>
        </c:txPr>
        <c:crossAx val="134640000"/>
        <c:crosses val="autoZero"/>
        <c:crossBetween val="midCat"/>
      </c:valAx>
    </c:plotArea>
    <c:legend>
      <c:legendPos val="b"/>
      <c:layout>
        <c:manualLayout>
          <c:xMode val="edge"/>
          <c:yMode val="edge"/>
          <c:x val="0.05"/>
          <c:y val="0.92885561774787428"/>
          <c:w val="0.9"/>
          <c:h val="6.6152400867897324E-2"/>
        </c:manualLayout>
      </c:layout>
      <c:txPr>
        <a:bodyPr/>
        <a:lstStyle/>
        <a:p>
          <a:pPr>
            <a:defRPr sz="600"/>
          </a:pPr>
          <a:endParaRPr lang="en-US"/>
        </a:p>
      </c:txPr>
    </c:legend>
    <c:plotVisOnly val="1"/>
    <c:dispBlanksAs val="gap"/>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033062313239421"/>
          <c:y val="6.7176284794342192E-2"/>
          <c:w val="0.80118970872021456"/>
          <c:h val="0.73337773946820661"/>
        </c:manualLayout>
      </c:layout>
      <c:scatterChart>
        <c:scatterStyle val="smoothMarker"/>
        <c:ser>
          <c:idx val="0"/>
          <c:order val="0"/>
          <c:tx>
            <c:v>Control</c:v>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(Color!$F$27,Color!$F$58,Color!$F$91,Color!$F$121)</c:f>
                <c:numCache>
                  <c:formatCode>General</c:formatCode>
                  <c:ptCount val="4"/>
                  <c:pt idx="0">
                    <c:v>1.2198497175198644</c:v>
                  </c:pt>
                  <c:pt idx="1">
                    <c:v>2.027864229511759</c:v>
                  </c:pt>
                  <c:pt idx="2">
                    <c:v>0.51081634011972199</c:v>
                  </c:pt>
                  <c:pt idx="3">
                    <c:v>0.47318072657284188</c:v>
                  </c:pt>
                </c:numCache>
              </c:numRef>
            </c:plus>
            <c:minus>
              <c:numRef>
                <c:f>(Color!$F$27,Color!$F$58,Color!$F$91,Color!$F$121)</c:f>
                <c:numCache>
                  <c:formatCode>General</c:formatCode>
                  <c:ptCount val="4"/>
                  <c:pt idx="0">
                    <c:v>1.2198497175198644</c:v>
                  </c:pt>
                  <c:pt idx="1">
                    <c:v>2.027864229511759</c:v>
                  </c:pt>
                  <c:pt idx="2">
                    <c:v>0.51081634011972199</c:v>
                  </c:pt>
                  <c:pt idx="3">
                    <c:v>0.47318072657284188</c:v>
                  </c:pt>
                </c:numCache>
              </c:numRef>
            </c:minus>
          </c:errBars>
          <c:xVal>
            <c:numRef>
              <c:f>Color!$K$138:$K$141</c:f>
              <c:numCache>
                <c:formatCode>General</c:formatCode>
                <c:ptCount val="4"/>
                <c:pt idx="0">
                  <c:v>0</c:v>
                </c:pt>
                <c:pt idx="1">
                  <c:v>10</c:v>
                </c:pt>
                <c:pt idx="2">
                  <c:v>20</c:v>
                </c:pt>
                <c:pt idx="3">
                  <c:v>29</c:v>
                </c:pt>
              </c:numCache>
            </c:numRef>
          </c:xVal>
          <c:yVal>
            <c:numRef>
              <c:f>(Color!$E$27,Color!$E$58,Color!$E$91,Color!$E$121)</c:f>
              <c:numCache>
                <c:formatCode>0.00</c:formatCode>
                <c:ptCount val="4"/>
                <c:pt idx="0">
                  <c:v>10.566666666666771</c:v>
                </c:pt>
                <c:pt idx="1">
                  <c:v>4.9333333333334037</c:v>
                </c:pt>
                <c:pt idx="2">
                  <c:v>3.3966666666666567</c:v>
                </c:pt>
                <c:pt idx="3">
                  <c:v>2.3566666666666567</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(Color!$F$28,Color!$F$59,Color!$F$92,Color!$F$122)</c:f>
                <c:numCache>
                  <c:formatCode>General</c:formatCode>
                  <c:ptCount val="4"/>
                  <c:pt idx="0">
                    <c:v>0.32192131543800612</c:v>
                  </c:pt>
                  <c:pt idx="1">
                    <c:v>2.9783888261944629</c:v>
                  </c:pt>
                  <c:pt idx="2">
                    <c:v>1.740756540511436</c:v>
                  </c:pt>
                  <c:pt idx="3">
                    <c:v>1.1607038094765765</c:v>
                  </c:pt>
                </c:numCache>
              </c:numRef>
            </c:plus>
            <c:minus>
              <c:numRef>
                <c:f>(Color!$F$28,Color!$F$59,Color!$F$92,Color!$F$122)</c:f>
                <c:numCache>
                  <c:formatCode>General</c:formatCode>
                  <c:ptCount val="4"/>
                  <c:pt idx="0">
                    <c:v>0.32192131543800612</c:v>
                  </c:pt>
                  <c:pt idx="1">
                    <c:v>2.9783888261944629</c:v>
                  </c:pt>
                  <c:pt idx="2">
                    <c:v>1.740756540511436</c:v>
                  </c:pt>
                  <c:pt idx="3">
                    <c:v>1.1607038094765765</c:v>
                  </c:pt>
                </c:numCache>
              </c:numRef>
            </c:minus>
          </c:errBars>
          <c:xVal>
            <c:numRef>
              <c:f>Color!$K$138:$K$141</c:f>
              <c:numCache>
                <c:formatCode>General</c:formatCode>
                <c:ptCount val="4"/>
                <c:pt idx="0">
                  <c:v>0</c:v>
                </c:pt>
                <c:pt idx="1">
                  <c:v>10</c:v>
                </c:pt>
                <c:pt idx="2">
                  <c:v>20</c:v>
                </c:pt>
                <c:pt idx="3">
                  <c:v>29</c:v>
                </c:pt>
              </c:numCache>
            </c:numRef>
          </c:xVal>
          <c:yVal>
            <c:numRef>
              <c:f>(Color!$E$28,Color!$E$59,Color!$E$92,Color!$E$122)</c:f>
              <c:numCache>
                <c:formatCode>0.00</c:formatCode>
                <c:ptCount val="4"/>
                <c:pt idx="0">
                  <c:v>9.2666666666666728</c:v>
                </c:pt>
                <c:pt idx="1">
                  <c:v>-1.2133333333333318</c:v>
                </c:pt>
                <c:pt idx="2">
                  <c:v>-2.5933333333333342</c:v>
                </c:pt>
                <c:pt idx="3">
                  <c:v>-2.5966666666666627</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(Color!$F$29,Color!$F$60,Color!$F$93,Color!$F$123)</c:f>
                <c:numCache>
                  <c:formatCode>General</c:formatCode>
                  <c:ptCount val="4"/>
                  <c:pt idx="0">
                    <c:v>0.57818682101896157</c:v>
                  </c:pt>
                  <c:pt idx="1">
                    <c:v>0.39703064533271476</c:v>
                  </c:pt>
                  <c:pt idx="2">
                    <c:v>2.0892422868909541</c:v>
                  </c:pt>
                  <c:pt idx="3">
                    <c:v>0.77745310683883762</c:v>
                  </c:pt>
                </c:numCache>
              </c:numRef>
            </c:plus>
            <c:minus>
              <c:numRef>
                <c:f>(Color!$F$29,Color!$F$60,Color!$F$93,Color!$F$123)</c:f>
                <c:numCache>
                  <c:formatCode>General</c:formatCode>
                  <c:ptCount val="4"/>
                  <c:pt idx="0">
                    <c:v>0.57818682101896157</c:v>
                  </c:pt>
                  <c:pt idx="1">
                    <c:v>0.39703064533271476</c:v>
                  </c:pt>
                  <c:pt idx="2">
                    <c:v>2.0892422868909541</c:v>
                  </c:pt>
                  <c:pt idx="3">
                    <c:v>0.77745310683883762</c:v>
                  </c:pt>
                </c:numCache>
              </c:numRef>
            </c:minus>
          </c:errBars>
          <c:xVal>
            <c:numRef>
              <c:f>Color!$K$138:$K$141</c:f>
              <c:numCache>
                <c:formatCode>General</c:formatCode>
                <c:ptCount val="4"/>
                <c:pt idx="0">
                  <c:v>0</c:v>
                </c:pt>
                <c:pt idx="1">
                  <c:v>10</c:v>
                </c:pt>
                <c:pt idx="2">
                  <c:v>20</c:v>
                </c:pt>
                <c:pt idx="3">
                  <c:v>29</c:v>
                </c:pt>
              </c:numCache>
            </c:numRef>
          </c:xVal>
          <c:yVal>
            <c:numRef>
              <c:f>(Color!$E$29,Color!$E$60,Color!$E$93,Color!$E$123)</c:f>
              <c:numCache>
                <c:formatCode>0.00</c:formatCode>
                <c:ptCount val="4"/>
                <c:pt idx="0">
                  <c:v>9.92</c:v>
                </c:pt>
                <c:pt idx="1">
                  <c:v>0.8966666666666665</c:v>
                </c:pt>
                <c:pt idx="2">
                  <c:v>-1.6533333333333331</c:v>
                </c:pt>
                <c:pt idx="3">
                  <c:v>-1.7033333333333318</c:v>
                </c:pt>
              </c:numCache>
            </c:numRef>
          </c:yVal>
          <c:smooth val="1"/>
        </c:ser>
        <c:axId val="92039040"/>
        <c:axId val="92119040"/>
      </c:scatterChart>
      <c:valAx>
        <c:axId val="92039040"/>
        <c:scaling>
          <c:orientation val="minMax"/>
          <c:max val="30"/>
          <c:min val="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43017220869219208"/>
              <c:y val="0.80329943952260063"/>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92119040"/>
        <c:crosses val="autoZero"/>
        <c:crossBetween val="midCat"/>
        <c:majorUnit val="10"/>
        <c:minorUnit val="1"/>
      </c:valAx>
      <c:valAx>
        <c:axId val="92119040"/>
        <c:scaling>
          <c:orientation val="minMax"/>
        </c:scaling>
        <c:axPos val="l"/>
        <c:title>
          <c:tx>
            <c:rich>
              <a:bodyPr/>
              <a:lstStyle/>
              <a:p>
                <a:pPr>
                  <a:defRPr sz="800" b="1" i="0" u="none" strike="noStrike" baseline="0">
                    <a:solidFill>
                      <a:srgbClr val="000000"/>
                    </a:solidFill>
                    <a:latin typeface="Arial"/>
                    <a:ea typeface="Arial"/>
                    <a:cs typeface="Arial"/>
                  </a:defRPr>
                </a:pPr>
                <a:r>
                  <a:rPr lang="en-US" sz="800"/>
                  <a:t>a*</a:t>
                </a:r>
              </a:p>
            </c:rich>
          </c:tx>
          <c:layout>
            <c:manualLayout>
              <c:xMode val="edge"/>
              <c:yMode val="edge"/>
              <c:x val="2.3132607405744406E-2"/>
              <c:y val="0.33102137379870988"/>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92039040"/>
        <c:crosses val="autoZero"/>
        <c:crossBetween val="midCat"/>
      </c:valAx>
      <c:spPr>
        <a:noFill/>
        <a:ln w="25400">
          <a:noFill/>
        </a:ln>
      </c:spPr>
    </c:plotArea>
    <c:legend>
      <c:legendPos val="b"/>
      <c:layout>
        <c:manualLayout>
          <c:xMode val="edge"/>
          <c:yMode val="edge"/>
          <c:x val="0.25719583746083374"/>
          <c:y val="0.91214244819182899"/>
          <c:w val="0.57325725755170465"/>
          <c:h val="5.6714072718979706E-2"/>
        </c:manualLayout>
      </c:layout>
      <c:spPr>
        <a:solidFill>
          <a:srgbClr val="FFFFFF"/>
        </a:solidFill>
        <a:ln w="25400">
          <a:noFill/>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7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1898299956145487"/>
          <c:y val="5.1324200181925302E-2"/>
          <c:w val="0.72215147840197602"/>
          <c:h val="0.64002007803352634"/>
        </c:manualLayout>
      </c:layout>
      <c:scatterChart>
        <c:scatterStyle val="smoothMarker"/>
        <c:ser>
          <c:idx val="0"/>
          <c:order val="0"/>
          <c:tx>
            <c:v>Control</c:v>
          </c:tx>
          <c:errBars>
            <c:errDir val="y"/>
            <c:errBarType val="both"/>
            <c:errValType val="cust"/>
            <c:plus>
              <c:numRef>
                <c:f>(AA!$B$100,AA!$E$100,AA!$H$100,AA!$K$100)</c:f>
                <c:numCache>
                  <c:formatCode>General</c:formatCode>
                  <c:ptCount val="4"/>
                  <c:pt idx="0">
                    <c:v>40.437453014368799</c:v>
                  </c:pt>
                  <c:pt idx="1">
                    <c:v>0</c:v>
                  </c:pt>
                  <c:pt idx="2">
                    <c:v>0</c:v>
                  </c:pt>
                  <c:pt idx="3">
                    <c:v>75.539280650671202</c:v>
                  </c:pt>
                </c:numCache>
              </c:numRef>
            </c:plus>
            <c:minus>
              <c:numRef>
                <c:f>(AA!$B$100,AA!$E$100,AA!$H$100,AA!$K$100)</c:f>
                <c:numCache>
                  <c:formatCode>General</c:formatCode>
                  <c:ptCount val="4"/>
                  <c:pt idx="0">
                    <c:v>40.437453014368799</c:v>
                  </c:pt>
                  <c:pt idx="1">
                    <c:v>0</c:v>
                  </c:pt>
                  <c:pt idx="2">
                    <c:v>0</c:v>
                  </c:pt>
                  <c:pt idx="3">
                    <c:v>75.539280650671202</c:v>
                  </c:pt>
                </c:numCache>
              </c:numRef>
            </c:minus>
          </c:errBars>
          <c:errBars>
            <c:errDir val="x"/>
            <c:errBarType val="both"/>
            <c:errValType val="fixedVal"/>
            <c:val val="1"/>
          </c:errBars>
          <c:xVal>
            <c:numRef>
              <c:f>AA!$N$70:$Q$70</c:f>
              <c:numCache>
                <c:formatCode>General</c:formatCode>
                <c:ptCount val="4"/>
                <c:pt idx="0">
                  <c:v>0</c:v>
                </c:pt>
                <c:pt idx="1">
                  <c:v>88</c:v>
                </c:pt>
                <c:pt idx="2">
                  <c:v>193</c:v>
                </c:pt>
                <c:pt idx="3">
                  <c:v>245</c:v>
                </c:pt>
              </c:numCache>
            </c:numRef>
          </c:xVal>
          <c:yVal>
            <c:numRef>
              <c:f>(AA!$B$92,AA!$E$92,AA!$H$92,AA!$K$92)</c:f>
              <c:numCache>
                <c:formatCode>0.00</c:formatCode>
                <c:ptCount val="4"/>
                <c:pt idx="0">
                  <c:v>952.52544114518457</c:v>
                </c:pt>
                <c:pt idx="1">
                  <c:v>667.59991490137804</c:v>
                </c:pt>
                <c:pt idx="2">
                  <c:v>449.1594840760464</c:v>
                </c:pt>
                <c:pt idx="3">
                  <c:v>201.1228613539277</c:v>
                </c:pt>
              </c:numCache>
            </c:numRef>
          </c:yVal>
          <c:smooth val="1"/>
        </c:ser>
        <c:ser>
          <c:idx val="1"/>
          <c:order val="1"/>
          <c:tx>
            <c:v>CaCl2</c:v>
          </c:tx>
          <c:errBars>
            <c:errDir val="y"/>
            <c:errBarType val="both"/>
            <c:errValType val="cust"/>
            <c:plus>
              <c:numRef>
                <c:f>(AA!$B$101,AA!$E$101,AA!$H$101,AA!$K$101)</c:f>
                <c:numCache>
                  <c:formatCode>General</c:formatCode>
                  <c:ptCount val="4"/>
                  <c:pt idx="0">
                    <c:v>38.152268399223495</c:v>
                  </c:pt>
                  <c:pt idx="1">
                    <c:v>2.850919236663076</c:v>
                  </c:pt>
                  <c:pt idx="2">
                    <c:v>0</c:v>
                  </c:pt>
                  <c:pt idx="3">
                    <c:v>20.774764668934441</c:v>
                  </c:pt>
                </c:numCache>
              </c:numRef>
            </c:plus>
            <c:minus>
              <c:numRef>
                <c:f>(AA!$B$101,AA!$E$101,AA!$H$101,AA!$K$101)</c:f>
                <c:numCache>
                  <c:formatCode>General</c:formatCode>
                  <c:ptCount val="4"/>
                  <c:pt idx="0">
                    <c:v>38.152268399223495</c:v>
                  </c:pt>
                  <c:pt idx="1">
                    <c:v>2.850919236663076</c:v>
                  </c:pt>
                  <c:pt idx="2">
                    <c:v>0</c:v>
                  </c:pt>
                  <c:pt idx="3">
                    <c:v>20.774764668934441</c:v>
                  </c:pt>
                </c:numCache>
              </c:numRef>
            </c:minus>
          </c:errBars>
          <c:errBars>
            <c:errDir val="x"/>
            <c:errBarType val="both"/>
            <c:errValType val="fixedVal"/>
            <c:val val="1"/>
          </c:errBars>
          <c:xVal>
            <c:numRef>
              <c:f>AA!$N$70:$Q$70</c:f>
              <c:numCache>
                <c:formatCode>General</c:formatCode>
                <c:ptCount val="4"/>
                <c:pt idx="0">
                  <c:v>0</c:v>
                </c:pt>
                <c:pt idx="1">
                  <c:v>88</c:v>
                </c:pt>
                <c:pt idx="2">
                  <c:v>193</c:v>
                </c:pt>
                <c:pt idx="3">
                  <c:v>245</c:v>
                </c:pt>
              </c:numCache>
            </c:numRef>
          </c:xVal>
          <c:yVal>
            <c:numRef>
              <c:f>(AA!$B$93,AA!$E$93,AA!$H$93,AA!$K$93)</c:f>
              <c:numCache>
                <c:formatCode>0.00</c:formatCode>
                <c:ptCount val="4"/>
                <c:pt idx="0">
                  <c:v>806.86627176853187</c:v>
                </c:pt>
                <c:pt idx="1">
                  <c:v>583.31973680211559</c:v>
                </c:pt>
                <c:pt idx="2">
                  <c:v>314.24496199849222</c:v>
                </c:pt>
                <c:pt idx="3">
                  <c:v>303.03523035230319</c:v>
                </c:pt>
              </c:numCache>
            </c:numRef>
          </c:yVal>
          <c:smooth val="1"/>
        </c:ser>
        <c:ser>
          <c:idx val="2"/>
          <c:order val="2"/>
          <c:tx>
            <c:v>Flavonoid</c:v>
          </c:tx>
          <c:errBars>
            <c:errDir val="y"/>
            <c:errBarType val="both"/>
            <c:errValType val="cust"/>
            <c:plus>
              <c:numRef>
                <c:f>(AA!$B$102,AA!$E$102,AA!$H$102,AA!$K$102)</c:f>
                <c:numCache>
                  <c:formatCode>General</c:formatCode>
                  <c:ptCount val="4"/>
                  <c:pt idx="0">
                    <c:v>101.3418300796386</c:v>
                  </c:pt>
                  <c:pt idx="1">
                    <c:v>19.176499508652128</c:v>
                  </c:pt>
                  <c:pt idx="2">
                    <c:v>0</c:v>
                  </c:pt>
                  <c:pt idx="3">
                    <c:v>78.2080225992176</c:v>
                  </c:pt>
                </c:numCache>
              </c:numRef>
            </c:plus>
            <c:minus>
              <c:numRef>
                <c:f>(AA!$B$102,AA!$E$102,AA!$H$102,AA!$K$102)</c:f>
                <c:numCache>
                  <c:formatCode>General</c:formatCode>
                  <c:ptCount val="4"/>
                  <c:pt idx="0">
                    <c:v>101.3418300796386</c:v>
                  </c:pt>
                  <c:pt idx="1">
                    <c:v>19.176499508652128</c:v>
                  </c:pt>
                  <c:pt idx="2">
                    <c:v>0</c:v>
                  </c:pt>
                  <c:pt idx="3">
                    <c:v>78.2080225992176</c:v>
                  </c:pt>
                </c:numCache>
              </c:numRef>
            </c:minus>
          </c:errBars>
          <c:errBars>
            <c:errDir val="x"/>
            <c:errBarType val="both"/>
            <c:errValType val="fixedVal"/>
            <c:val val="1"/>
          </c:errBars>
          <c:xVal>
            <c:numRef>
              <c:f>AA!$N$70:$Q$70</c:f>
              <c:numCache>
                <c:formatCode>General</c:formatCode>
                <c:ptCount val="4"/>
                <c:pt idx="0">
                  <c:v>0</c:v>
                </c:pt>
                <c:pt idx="1">
                  <c:v>88</c:v>
                </c:pt>
                <c:pt idx="2">
                  <c:v>193</c:v>
                </c:pt>
                <c:pt idx="3">
                  <c:v>245</c:v>
                </c:pt>
              </c:numCache>
            </c:numRef>
          </c:xVal>
          <c:yVal>
            <c:numRef>
              <c:f>(AA!$B$94,AA!$E$94,AA!$H$94,AA!$K$94)</c:f>
              <c:numCache>
                <c:formatCode>0.00</c:formatCode>
                <c:ptCount val="4"/>
                <c:pt idx="0">
                  <c:v>1056.8378109392249</c:v>
                </c:pt>
                <c:pt idx="1">
                  <c:v>536.97197884691377</c:v>
                </c:pt>
                <c:pt idx="2">
                  <c:v>362.67905536198219</c:v>
                </c:pt>
                <c:pt idx="3">
                  <c:v>210.84010840108479</c:v>
                </c:pt>
              </c:numCache>
            </c:numRef>
          </c:yVal>
          <c:smooth val="1"/>
        </c:ser>
        <c:ser>
          <c:idx val="3"/>
          <c:order val="3"/>
          <c:tx>
            <c:v>Flavonoid+CaCl2</c:v>
          </c:tx>
          <c:errBars>
            <c:errDir val="y"/>
            <c:errBarType val="both"/>
            <c:errValType val="cust"/>
            <c:plus>
              <c:numRef>
                <c:f>(AA!$B$103,AA!$E$103,AA!$H$103,AA!$K$103)</c:f>
                <c:numCache>
                  <c:formatCode>General</c:formatCode>
                  <c:ptCount val="4"/>
                  <c:pt idx="0">
                    <c:v>54.420322952118006</c:v>
                  </c:pt>
                  <c:pt idx="1">
                    <c:v>0</c:v>
                  </c:pt>
                  <c:pt idx="2">
                    <c:v>0</c:v>
                  </c:pt>
                  <c:pt idx="3">
                    <c:v>0</c:v>
                  </c:pt>
                </c:numCache>
              </c:numRef>
            </c:plus>
            <c:minus>
              <c:numRef>
                <c:f>(AA!$B$103,AA!$E$103,AA!$H$103,AA!$K$103)</c:f>
                <c:numCache>
                  <c:formatCode>General</c:formatCode>
                  <c:ptCount val="4"/>
                  <c:pt idx="0">
                    <c:v>54.420322952118006</c:v>
                  </c:pt>
                  <c:pt idx="1">
                    <c:v>0</c:v>
                  </c:pt>
                  <c:pt idx="2">
                    <c:v>0</c:v>
                  </c:pt>
                  <c:pt idx="3">
                    <c:v>0</c:v>
                  </c:pt>
                </c:numCache>
              </c:numRef>
            </c:minus>
          </c:errBars>
          <c:errBars>
            <c:errDir val="x"/>
            <c:errBarType val="both"/>
            <c:errValType val="fixedVal"/>
            <c:val val="1"/>
          </c:errBars>
          <c:xVal>
            <c:numRef>
              <c:f>AA!$N$70:$Q$70</c:f>
              <c:numCache>
                <c:formatCode>General</c:formatCode>
                <c:ptCount val="4"/>
                <c:pt idx="0">
                  <c:v>0</c:v>
                </c:pt>
                <c:pt idx="1">
                  <c:v>88</c:v>
                </c:pt>
                <c:pt idx="2">
                  <c:v>193</c:v>
                </c:pt>
                <c:pt idx="3">
                  <c:v>245</c:v>
                </c:pt>
              </c:numCache>
            </c:numRef>
          </c:xVal>
          <c:yVal>
            <c:numRef>
              <c:f>(AA!$B$95,AA!$E$95,AA!$H$95,AA!$K$95)</c:f>
              <c:numCache>
                <c:formatCode>0.00</c:formatCode>
                <c:ptCount val="4"/>
                <c:pt idx="0">
                  <c:v>738.036968868087</c:v>
                </c:pt>
                <c:pt idx="1">
                  <c:v>636.3498769109201</c:v>
                </c:pt>
                <c:pt idx="2">
                  <c:v>291.29408888073931</c:v>
                </c:pt>
                <c:pt idx="3">
                  <c:v>137.10291990137961</c:v>
                </c:pt>
              </c:numCache>
            </c:numRef>
          </c:yVal>
          <c:smooth val="1"/>
        </c:ser>
        <c:axId val="153636224"/>
        <c:axId val="153699840"/>
      </c:scatterChart>
      <c:valAx>
        <c:axId val="153636224"/>
        <c:scaling>
          <c:orientation val="minMax"/>
          <c:min val="0"/>
        </c:scaling>
        <c:axPos val="b"/>
        <c:title>
          <c:tx>
            <c:rich>
              <a:bodyPr/>
              <a:lstStyle/>
              <a:p>
                <a:pPr>
                  <a:defRPr sz="1000" b="1" i="0" u="none" strike="noStrike" baseline="0">
                    <a:solidFill>
                      <a:srgbClr val="000000"/>
                    </a:solidFill>
                    <a:latin typeface="Calibri"/>
                    <a:ea typeface="Calibri"/>
                    <a:cs typeface="Calibri"/>
                  </a:defRPr>
                </a:pPr>
                <a:r>
                  <a:rPr lang="en-US"/>
                  <a:t>Storage (days)</a:t>
                </a:r>
              </a:p>
            </c:rich>
          </c:tx>
          <c:layout>
            <c:manualLayout>
              <c:xMode val="edge"/>
              <c:yMode val="edge"/>
              <c:x val="0.4349722193816718"/>
              <c:y val="0.813758748906387"/>
            </c:manualLayout>
          </c:layout>
        </c:title>
        <c:numFmt formatCode="General" sourceLinked="1"/>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53699840"/>
        <c:crosses val="autoZero"/>
        <c:crossBetween val="midCat"/>
        <c:majorUnit val="50"/>
      </c:valAx>
      <c:valAx>
        <c:axId val="153699840"/>
        <c:scaling>
          <c:orientation val="minMax"/>
          <c:max val="1200"/>
          <c:min val="0"/>
        </c:scaling>
        <c:axPos val="l"/>
        <c:title>
          <c:tx>
            <c:rich>
              <a:bodyPr/>
              <a:lstStyle/>
              <a:p>
                <a:pPr>
                  <a:defRPr sz="800" b="1" i="0" u="none" strike="noStrike" baseline="0">
                    <a:solidFill>
                      <a:srgbClr val="000000"/>
                    </a:solidFill>
                    <a:latin typeface="Calibri"/>
                    <a:ea typeface="Calibri"/>
                    <a:cs typeface="Calibri"/>
                  </a:defRPr>
                </a:pPr>
                <a:r>
                  <a:rPr lang="en-US" sz="800"/>
                  <a:t>L-ascorbic acid (ppm)</a:t>
                </a:r>
              </a:p>
            </c:rich>
          </c:tx>
        </c:title>
        <c:numFmt formatCode="0.0" sourceLinked="0"/>
        <c:majorTickMark val="none"/>
        <c:tickLblPos val="nextTo"/>
        <c:txPr>
          <a:bodyPr rot="0" vert="horz"/>
          <a:lstStyle/>
          <a:p>
            <a:pPr>
              <a:defRPr sz="800" b="0" i="0" u="none" strike="noStrike" baseline="0">
                <a:solidFill>
                  <a:srgbClr val="000000"/>
                </a:solidFill>
                <a:latin typeface="Calibri"/>
                <a:ea typeface="Calibri"/>
                <a:cs typeface="Calibri"/>
              </a:defRPr>
            </a:pPr>
            <a:endParaRPr lang="en-US"/>
          </a:p>
        </c:txPr>
        <c:crossAx val="153636224"/>
        <c:crosses val="autoZero"/>
        <c:crossBetween val="midCat"/>
      </c:valAx>
    </c:plotArea>
    <c:legend>
      <c:legendPos val="b"/>
      <c:txPr>
        <a:bodyPr/>
        <a:lstStyle/>
        <a:p>
          <a:pPr>
            <a:defRPr sz="640" b="0" i="0" u="none" strike="noStrike" baseline="0">
              <a:solidFill>
                <a:srgbClr val="000000"/>
              </a:solidFill>
              <a:latin typeface="Calibri"/>
              <a:ea typeface="Calibri"/>
              <a:cs typeface="Calibri"/>
            </a:defRPr>
          </a:pPr>
          <a:endParaRPr lang="en-US"/>
        </a:p>
      </c:txPr>
    </c:legend>
    <c:plotVisOnly val="1"/>
    <c:dispBlanksAs val="gap"/>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2818456201091316"/>
          <c:y val="6.064118558991359E-2"/>
          <c:w val="0.81502646839674608"/>
          <c:h val="0.78996835400057064"/>
        </c:manualLayout>
      </c:layout>
      <c:scatterChart>
        <c:scatterStyle val="smoothMarker"/>
        <c:ser>
          <c:idx val="0"/>
          <c:order val="0"/>
          <c:tx>
            <c:strRef>
              <c:f>Color!$AF$166</c:f>
              <c:strCache>
                <c:ptCount val="1"/>
                <c:pt idx="0">
                  <c:v>Control</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(Color!$AD$27,Color!$AD$58,Color!$AD$91,Color!$AD$121)</c:f>
                <c:numCache>
                  <c:formatCode>General</c:formatCode>
                  <c:ptCount val="4"/>
                  <c:pt idx="0">
                    <c:v>1.2198497175198855</c:v>
                  </c:pt>
                  <c:pt idx="1">
                    <c:v>1.5865371095565346</c:v>
                  </c:pt>
                  <c:pt idx="2">
                    <c:v>0.70887234393788967</c:v>
                  </c:pt>
                  <c:pt idx="3">
                    <c:v>0.54993939059985564</c:v>
                  </c:pt>
                </c:numCache>
              </c:numRef>
            </c:plus>
            <c:minus>
              <c:numRef>
                <c:f>(Color!$AD$27,Color!$AD$58,Color!$AD$91,Color!$AD$121)</c:f>
                <c:numCache>
                  <c:formatCode>General</c:formatCode>
                  <c:ptCount val="4"/>
                  <c:pt idx="0">
                    <c:v>1.2198497175198855</c:v>
                  </c:pt>
                  <c:pt idx="1">
                    <c:v>1.5865371095565346</c:v>
                  </c:pt>
                  <c:pt idx="2">
                    <c:v>0.70887234393788967</c:v>
                  </c:pt>
                  <c:pt idx="3">
                    <c:v>0.54993939059985564</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(Color!$AC$27,Color!$AC$58,Color!$AC$91,Color!$AC$121)</c:f>
              <c:numCache>
                <c:formatCode>0.00</c:formatCode>
                <c:ptCount val="4"/>
                <c:pt idx="0">
                  <c:v>10.566666666666674</c:v>
                </c:pt>
                <c:pt idx="1">
                  <c:v>2.2466666666666666</c:v>
                </c:pt>
                <c:pt idx="2">
                  <c:v>-0.1566666666666667</c:v>
                </c:pt>
                <c:pt idx="3">
                  <c:v>0.20666666666666669</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Ref>
                <c:f>(Color!$AD$28,Color!$AD$59,Color!$AD$92,Color!$AD$122)</c:f>
                <c:numCache>
                  <c:formatCode>General</c:formatCode>
                  <c:ptCount val="4"/>
                  <c:pt idx="0">
                    <c:v>0.32192131543800373</c:v>
                  </c:pt>
                  <c:pt idx="1">
                    <c:v>7.2341781380702852E-2</c:v>
                  </c:pt>
                  <c:pt idx="2">
                    <c:v>0.65493002170713221</c:v>
                  </c:pt>
                  <c:pt idx="3">
                    <c:v>2.192031021678313</c:v>
                  </c:pt>
                </c:numCache>
              </c:numRef>
            </c:plus>
            <c:minus>
              <c:numRef>
                <c:f>(Color!$AD$28,Color!$AD$59,Color!$AD$92,Color!$AD$122)</c:f>
                <c:numCache>
                  <c:formatCode>General</c:formatCode>
                  <c:ptCount val="4"/>
                  <c:pt idx="0">
                    <c:v>0.32192131543800373</c:v>
                  </c:pt>
                  <c:pt idx="1">
                    <c:v>7.2341781380702852E-2</c:v>
                  </c:pt>
                  <c:pt idx="2">
                    <c:v>0.65493002170713221</c:v>
                  </c:pt>
                  <c:pt idx="3">
                    <c:v>2.192031021678313</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(Color!$AC$28,Color!$AC$59,Color!$AC$92,Color!$AC$122)</c:f>
              <c:numCache>
                <c:formatCode>0.00</c:formatCode>
                <c:ptCount val="4"/>
                <c:pt idx="0">
                  <c:v>9.266666666666671</c:v>
                </c:pt>
                <c:pt idx="1">
                  <c:v>-2.6366666666666667</c:v>
                </c:pt>
                <c:pt idx="2">
                  <c:v>-1.3866666666666667</c:v>
                </c:pt>
                <c:pt idx="3">
                  <c:v>-1.1099999999999992</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(Color!$AD$29,Color!$AD$60,Color!$AD$93,Color!$AD$123)</c:f>
                <c:numCache>
                  <c:formatCode>General</c:formatCode>
                  <c:ptCount val="4"/>
                  <c:pt idx="0">
                    <c:v>0.57818682101896157</c:v>
                  </c:pt>
                  <c:pt idx="1">
                    <c:v>1.2564367605786442</c:v>
                  </c:pt>
                  <c:pt idx="2">
                    <c:v>2.2485995641732202</c:v>
                  </c:pt>
                  <c:pt idx="3">
                    <c:v>3.215032400044092</c:v>
                  </c:pt>
                </c:numCache>
              </c:numRef>
            </c:plus>
            <c:minus>
              <c:numRef>
                <c:f>(Color!$AD$29,Color!$AD$60,Color!$AD$93,Color!$AD$123)</c:f>
                <c:numCache>
                  <c:formatCode>General</c:formatCode>
                  <c:ptCount val="4"/>
                  <c:pt idx="0">
                    <c:v>0.57818682101896157</c:v>
                  </c:pt>
                  <c:pt idx="1">
                    <c:v>1.2564367605786442</c:v>
                  </c:pt>
                  <c:pt idx="2">
                    <c:v>2.2485995641732202</c:v>
                  </c:pt>
                  <c:pt idx="3">
                    <c:v>3.215032400044092</c:v>
                  </c:pt>
                </c:numCache>
              </c:numRef>
            </c:minus>
            <c:spPr>
              <a:ln w="3175">
                <a:solidFill>
                  <a:srgbClr val="000000"/>
                </a:solidFill>
                <a:prstDash val="solid"/>
              </a:ln>
            </c:spPr>
          </c:errBars>
          <c:xVal>
            <c:numRef>
              <c:f>Color!$K$138:$K$141</c:f>
              <c:numCache>
                <c:formatCode>General</c:formatCode>
                <c:ptCount val="4"/>
                <c:pt idx="0">
                  <c:v>0</c:v>
                </c:pt>
                <c:pt idx="1">
                  <c:v>10</c:v>
                </c:pt>
                <c:pt idx="2">
                  <c:v>20</c:v>
                </c:pt>
                <c:pt idx="3">
                  <c:v>29</c:v>
                </c:pt>
              </c:numCache>
            </c:numRef>
          </c:xVal>
          <c:yVal>
            <c:numRef>
              <c:f>(Color!$AC$29,Color!$AC$60,Color!$AC$93,Color!$AC$123)</c:f>
              <c:numCache>
                <c:formatCode>0.00</c:formatCode>
                <c:ptCount val="4"/>
                <c:pt idx="0">
                  <c:v>9.92</c:v>
                </c:pt>
                <c:pt idx="1">
                  <c:v>-1.1273333333333333</c:v>
                </c:pt>
                <c:pt idx="2">
                  <c:v>-1.9000000000000001</c:v>
                </c:pt>
                <c:pt idx="3">
                  <c:v>-1.1299999999999992</c:v>
                </c:pt>
              </c:numCache>
            </c:numRef>
          </c:yVal>
          <c:smooth val="1"/>
        </c:ser>
        <c:axId val="92357376"/>
        <c:axId val="92359296"/>
      </c:scatterChart>
      <c:valAx>
        <c:axId val="92357376"/>
        <c:scaling>
          <c:orientation val="minMax"/>
          <c:max val="30"/>
          <c:min val="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40194083015680576"/>
              <c:y val="0.77935307117536468"/>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92359296"/>
        <c:crosses val="autoZero"/>
        <c:crossBetween val="midCat"/>
        <c:majorUnit val="10"/>
        <c:minorUnit val="1"/>
      </c:valAx>
      <c:valAx>
        <c:axId val="92359296"/>
        <c:scaling>
          <c:orientation val="minMax"/>
        </c:scaling>
        <c:axPos val="l"/>
        <c:title>
          <c:tx>
            <c:rich>
              <a:bodyPr/>
              <a:lstStyle/>
              <a:p>
                <a:pPr>
                  <a:defRPr sz="800" b="1" i="0" u="none" strike="noStrike" baseline="0">
                    <a:solidFill>
                      <a:srgbClr val="000000"/>
                    </a:solidFill>
                    <a:latin typeface="Arial"/>
                    <a:ea typeface="Arial"/>
                    <a:cs typeface="Arial"/>
                  </a:defRPr>
                </a:pPr>
                <a:r>
                  <a:rPr lang="en-US" sz="800"/>
                  <a:t>a*</a:t>
                </a:r>
              </a:p>
            </c:rich>
          </c:tx>
          <c:layout>
            <c:manualLayout>
              <c:xMode val="edge"/>
              <c:yMode val="edge"/>
              <c:x val="2.1892736089019843E-2"/>
              <c:y val="0.35342624697073488"/>
            </c:manualLayout>
          </c:layout>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92357376"/>
        <c:crosses val="autoZero"/>
        <c:crossBetween val="midCat"/>
      </c:valAx>
      <c:spPr>
        <a:noFill/>
        <a:ln w="25400">
          <a:noFill/>
        </a:ln>
      </c:spPr>
    </c:plotArea>
    <c:legend>
      <c:legendPos val="b"/>
      <c:spPr>
        <a:solidFill>
          <a:srgbClr val="FFFFFF"/>
        </a:solidFill>
        <a:ln w="25400">
          <a:noFill/>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2379352045655585"/>
          <c:y val="6.1461090574998004E-2"/>
          <c:w val="0.7835536411137175"/>
          <c:h val="0.73297425963822072"/>
        </c:manualLayout>
      </c:layout>
      <c:scatterChart>
        <c:scatterStyle val="smoothMarker"/>
        <c:ser>
          <c:idx val="0"/>
          <c:order val="0"/>
          <c:tx>
            <c:strRef>
              <c:f>Color!$BF$173</c:f>
              <c:strCache>
                <c:ptCount val="1"/>
                <c:pt idx="0">
                  <c:v>Control</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errBars>
            <c:errDir val="y"/>
            <c:errBarType val="both"/>
            <c:errValType val="cust"/>
            <c:plus>
              <c:numRef>
                <c:f>(Color!$BC$27,Color!$BC$58,Color!$BC$91,Color!$BC$121)</c:f>
                <c:numCache>
                  <c:formatCode>General</c:formatCode>
                  <c:ptCount val="4"/>
                  <c:pt idx="0">
                    <c:v>1.2198497175198855</c:v>
                  </c:pt>
                  <c:pt idx="1">
                    <c:v>2.0278642295117595</c:v>
                  </c:pt>
                  <c:pt idx="2">
                    <c:v>1.2687526683058987</c:v>
                  </c:pt>
                  <c:pt idx="3">
                    <c:v>0.88928810479695031</c:v>
                  </c:pt>
                </c:numCache>
              </c:numRef>
            </c:plus>
            <c:minus>
              <c:numRef>
                <c:f>(Color!$BC$27,Color!$BC$58,Color!$BC$91,Color!$BC$121)</c:f>
                <c:numCache>
                  <c:formatCode>General</c:formatCode>
                  <c:ptCount val="4"/>
                  <c:pt idx="0">
                    <c:v>1.2198497175198855</c:v>
                  </c:pt>
                  <c:pt idx="1">
                    <c:v>2.0278642295117595</c:v>
                  </c:pt>
                  <c:pt idx="2">
                    <c:v>1.2687526683058987</c:v>
                  </c:pt>
                  <c:pt idx="3">
                    <c:v>0.88928810479695031</c:v>
                  </c:pt>
                </c:numCache>
              </c:numRef>
            </c:minus>
          </c:errBars>
          <c:xVal>
            <c:numRef>
              <c:f>Color!$K$138:$K$141</c:f>
              <c:numCache>
                <c:formatCode>General</c:formatCode>
                <c:ptCount val="4"/>
                <c:pt idx="0">
                  <c:v>0</c:v>
                </c:pt>
                <c:pt idx="1">
                  <c:v>10</c:v>
                </c:pt>
                <c:pt idx="2">
                  <c:v>20</c:v>
                </c:pt>
                <c:pt idx="3">
                  <c:v>29</c:v>
                </c:pt>
              </c:numCache>
            </c:numRef>
          </c:xVal>
          <c:yVal>
            <c:numRef>
              <c:f>(Color!$BB$27,Color!$BB$58,Color!$BB$91,Color!$BB$121)</c:f>
              <c:numCache>
                <c:formatCode>0.00</c:formatCode>
                <c:ptCount val="4"/>
                <c:pt idx="0">
                  <c:v>10.566666666666674</c:v>
                </c:pt>
                <c:pt idx="1">
                  <c:v>4.9333333333333389</c:v>
                </c:pt>
                <c:pt idx="2">
                  <c:v>1.2533333333333332</c:v>
                </c:pt>
                <c:pt idx="3">
                  <c:v>2.4266666666666667</c:v>
                </c:pt>
              </c:numCache>
            </c:numRef>
          </c:yVal>
          <c:smooth val="1"/>
        </c:ser>
        <c:ser>
          <c:idx val="1"/>
          <c:order val="1"/>
          <c:tx>
            <c:v>AA</c:v>
          </c:tx>
          <c:spPr>
            <a:ln w="12700">
              <a:solidFill>
                <a:srgbClr val="FF00FF"/>
              </a:solidFill>
              <a:prstDash val="solid"/>
            </a:ln>
          </c:spPr>
          <c:marker>
            <c:symbol val="square"/>
            <c:size val="5"/>
            <c:spPr>
              <a:solidFill>
                <a:srgbClr val="FF00FF"/>
              </a:solidFill>
              <a:ln>
                <a:solidFill>
                  <a:srgbClr val="FF00FF"/>
                </a:solidFill>
                <a:prstDash val="solid"/>
              </a:ln>
            </c:spPr>
          </c:marker>
          <c:errBars>
            <c:errDir val="y"/>
            <c:errBarType val="both"/>
            <c:errValType val="cust"/>
            <c:plus>
              <c:numLit>
                <c:formatCode>General</c:formatCode>
                <c:ptCount val="1"/>
                <c:pt idx="0">
                  <c:v>1</c:v>
                </c:pt>
              </c:numLit>
            </c:plus>
            <c:minus>
              <c:numLit>
                <c:formatCode>General</c:formatCode>
                <c:ptCount val="1"/>
                <c:pt idx="0">
                  <c:v>1</c:v>
                </c:pt>
              </c:numLit>
            </c:minus>
          </c:errBars>
          <c:xVal>
            <c:numRef>
              <c:f>Color!$K$138:$K$141</c:f>
              <c:numCache>
                <c:formatCode>General</c:formatCode>
                <c:ptCount val="4"/>
                <c:pt idx="0">
                  <c:v>0</c:v>
                </c:pt>
                <c:pt idx="1">
                  <c:v>10</c:v>
                </c:pt>
                <c:pt idx="2">
                  <c:v>20</c:v>
                </c:pt>
                <c:pt idx="3">
                  <c:v>29</c:v>
                </c:pt>
              </c:numCache>
            </c:numRef>
          </c:xVal>
          <c:yVal>
            <c:numRef>
              <c:f>(Color!$BB$28,Color!$BB$59,Color!$BB$92,Color!$BB$122)</c:f>
              <c:numCache>
                <c:formatCode>0.00</c:formatCode>
                <c:ptCount val="4"/>
                <c:pt idx="0">
                  <c:v>9.266666666666671</c:v>
                </c:pt>
                <c:pt idx="1">
                  <c:v>-1.2133333333333334</c:v>
                </c:pt>
                <c:pt idx="2">
                  <c:v>-8.5000000000000006E-2</c:v>
                </c:pt>
                <c:pt idx="3">
                  <c:v>1.5066666666666666</c:v>
                </c:pt>
              </c:numCache>
            </c:numRef>
          </c:yVal>
          <c:smooth val="1"/>
        </c:ser>
        <c:ser>
          <c:idx val="2"/>
          <c:order val="2"/>
          <c:tx>
            <c:v>A2P</c:v>
          </c:tx>
          <c:spPr>
            <a:ln w="12700">
              <a:solidFill>
                <a:srgbClr val="FFFF00"/>
              </a:solidFill>
              <a:prstDash val="solid"/>
            </a:ln>
          </c:spPr>
          <c:marker>
            <c:symbol val="triangle"/>
            <c:size val="5"/>
            <c:spPr>
              <a:solidFill>
                <a:srgbClr val="FFFF00"/>
              </a:solidFill>
              <a:ln>
                <a:solidFill>
                  <a:srgbClr val="FFFF00"/>
                </a:solidFill>
                <a:prstDash val="solid"/>
              </a:ln>
            </c:spPr>
          </c:marker>
          <c:errBars>
            <c:errDir val="y"/>
            <c:errBarType val="both"/>
            <c:errValType val="cust"/>
            <c:plus>
              <c:numRef>
                <c:f>(Color!$BC$29,Color!$BC$60,Color!$BC$93,Color!$BC$123)</c:f>
                <c:numCache>
                  <c:formatCode>General</c:formatCode>
                  <c:ptCount val="4"/>
                  <c:pt idx="0">
                    <c:v>0.57818682101896157</c:v>
                  </c:pt>
                  <c:pt idx="1">
                    <c:v>0.39703064533271037</c:v>
                  </c:pt>
                  <c:pt idx="2">
                    <c:v>0.30405591591028491</c:v>
                  </c:pt>
                  <c:pt idx="3">
                    <c:v>0.54638203972433419</c:v>
                  </c:pt>
                </c:numCache>
              </c:numRef>
            </c:plus>
            <c:minus>
              <c:numRef>
                <c:f>(Color!$BC$29,Color!$BC$60,Color!$BC$93,Color!$BC$123)</c:f>
                <c:numCache>
                  <c:formatCode>General</c:formatCode>
                  <c:ptCount val="4"/>
                  <c:pt idx="0">
                    <c:v>0.57818682101896157</c:v>
                  </c:pt>
                  <c:pt idx="1">
                    <c:v>0.39703064533271037</c:v>
                  </c:pt>
                  <c:pt idx="2">
                    <c:v>0.30405591591028491</c:v>
                  </c:pt>
                  <c:pt idx="3">
                    <c:v>0.54638203972433419</c:v>
                  </c:pt>
                </c:numCache>
              </c:numRef>
            </c:minus>
          </c:errBars>
          <c:xVal>
            <c:numRef>
              <c:f>Color!$K$138:$K$141</c:f>
              <c:numCache>
                <c:formatCode>General</c:formatCode>
                <c:ptCount val="4"/>
                <c:pt idx="0">
                  <c:v>0</c:v>
                </c:pt>
                <c:pt idx="1">
                  <c:v>10</c:v>
                </c:pt>
                <c:pt idx="2">
                  <c:v>20</c:v>
                </c:pt>
                <c:pt idx="3">
                  <c:v>29</c:v>
                </c:pt>
              </c:numCache>
            </c:numRef>
          </c:xVal>
          <c:yVal>
            <c:numRef>
              <c:f>(Color!$BB$29,Color!$BB$60,Color!$BB$93,Color!$BB$123)</c:f>
              <c:numCache>
                <c:formatCode>0.00</c:formatCode>
                <c:ptCount val="4"/>
                <c:pt idx="0">
                  <c:v>9.92</c:v>
                </c:pt>
                <c:pt idx="1">
                  <c:v>0.8966666666666665</c:v>
                </c:pt>
                <c:pt idx="2">
                  <c:v>0.24500000000000008</c:v>
                </c:pt>
                <c:pt idx="3">
                  <c:v>1.4433333333333334</c:v>
                </c:pt>
              </c:numCache>
            </c:numRef>
          </c:yVal>
          <c:smooth val="1"/>
        </c:ser>
        <c:axId val="93863296"/>
        <c:axId val="93885184"/>
      </c:scatterChart>
      <c:valAx>
        <c:axId val="93863296"/>
        <c:scaling>
          <c:orientation val="minMax"/>
          <c:max val="30"/>
          <c:min val="0"/>
        </c:scaling>
        <c:axPos val="b"/>
        <c:title>
          <c:tx>
            <c:rich>
              <a:bodyPr/>
              <a:lstStyle/>
              <a:p>
                <a:pPr>
                  <a:defRPr sz="800" b="1" i="0" u="none" strike="noStrike" baseline="0">
                    <a:solidFill>
                      <a:srgbClr val="000000"/>
                    </a:solidFill>
                    <a:latin typeface="Arial"/>
                    <a:ea typeface="Arial"/>
                    <a:cs typeface="Arial"/>
                  </a:defRPr>
                </a:pPr>
                <a:r>
                  <a:rPr lang="en-US" sz="800"/>
                  <a:t>Storage (days)</a:t>
                </a:r>
              </a:p>
            </c:rich>
          </c:tx>
          <c:layout>
            <c:manualLayout>
              <c:xMode val="edge"/>
              <c:yMode val="edge"/>
              <c:x val="0.38407569766413935"/>
              <c:y val="0.79936807887476657"/>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93885184"/>
        <c:crosses val="autoZero"/>
        <c:crossBetween val="midCat"/>
        <c:majorUnit val="10"/>
        <c:minorUnit val="1"/>
      </c:valAx>
      <c:valAx>
        <c:axId val="93885184"/>
        <c:scaling>
          <c:orientation val="minMax"/>
        </c:scaling>
        <c:axPos val="l"/>
        <c:title>
          <c:tx>
            <c:rich>
              <a:bodyPr/>
              <a:lstStyle/>
              <a:p>
                <a:pPr>
                  <a:defRPr sz="800" b="1" i="0" u="none" strike="noStrike" baseline="0">
                    <a:solidFill>
                      <a:srgbClr val="000000"/>
                    </a:solidFill>
                    <a:latin typeface="Arial"/>
                    <a:ea typeface="Arial"/>
                    <a:cs typeface="Arial"/>
                  </a:defRPr>
                </a:pPr>
                <a:r>
                  <a:rPr lang="en-US" sz="800"/>
                  <a:t>a*</a:t>
                </a:r>
              </a:p>
            </c:rich>
          </c:tx>
          <c:spPr>
            <a:noFill/>
            <a:ln w="25400">
              <a:noFill/>
            </a:ln>
          </c:spPr>
        </c:title>
        <c:numFmt formatCode="0" sourceLinked="0"/>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93863296"/>
        <c:crosses val="autoZero"/>
        <c:crossBetween val="midCat"/>
      </c:valAx>
      <c:spPr>
        <a:noFill/>
        <a:ln w="12700">
          <a:noFill/>
          <a:prstDash val="solid"/>
        </a:ln>
      </c:spPr>
    </c:plotArea>
    <c:legend>
      <c:legendPos val="b"/>
      <c:spPr>
        <a:solidFill>
          <a:srgbClr val="FFFFFF"/>
        </a:solidFill>
        <a:ln w="3175">
          <a:noFill/>
          <a:prstDash val="solid"/>
        </a:ln>
      </c:spPr>
      <c:txPr>
        <a:bodyPr/>
        <a:lstStyle/>
        <a:p>
          <a:pPr>
            <a:defRPr sz="7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5">
      <a:no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146</Pages>
  <Words>35858</Words>
  <Characters>204395</Characters>
  <Application>Microsoft Office Word</Application>
  <DocSecurity>0</DocSecurity>
  <Lines>1703</Lines>
  <Paragraphs>479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239774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dc:creator>
  <cp:lastModifiedBy>Silvia</cp:lastModifiedBy>
  <cp:revision>2</cp:revision>
  <cp:lastPrinted>2010-11-29T01:45:00Z</cp:lastPrinted>
  <dcterms:created xsi:type="dcterms:W3CDTF">2010-12-17T05:41:00Z</dcterms:created>
  <dcterms:modified xsi:type="dcterms:W3CDTF">2010-12-17T05:41:00Z</dcterms:modified>
</cp:coreProperties>
</file>