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FA4AC9" w14:textId="51A94AA3" w:rsidR="00542438" w:rsidRDefault="008720CA" w:rsidP="744FDEE0">
      <w:pPr>
        <w:pBdr>
          <w:top w:val="nil"/>
          <w:left w:val="nil"/>
          <w:bottom w:val="nil"/>
          <w:right w:val="nil"/>
          <w:between w:val="nil"/>
        </w:pBd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bCs/>
          <w:noProof/>
          <w:color w:val="000000" w:themeColor="text1"/>
          <w:sz w:val="24"/>
          <w:szCs w:val="24"/>
        </w:rPr>
        <mc:AlternateContent>
          <mc:Choice Requires="wps">
            <w:drawing>
              <wp:anchor distT="0" distB="0" distL="114300" distR="114300" simplePos="0" relativeHeight="251659264" behindDoc="0" locked="0" layoutInCell="1" allowOverlap="1" wp14:anchorId="66A13DE2" wp14:editId="48D9A62D">
                <wp:simplePos x="0" y="0"/>
                <wp:positionH relativeFrom="column">
                  <wp:posOffset>-464820</wp:posOffset>
                </wp:positionH>
                <wp:positionV relativeFrom="paragraph">
                  <wp:posOffset>-821690</wp:posOffset>
                </wp:positionV>
                <wp:extent cx="6294120" cy="746760"/>
                <wp:effectExtent l="0" t="0" r="11430" b="15240"/>
                <wp:wrapNone/>
                <wp:docPr id="626603948" name="Text Box 1"/>
                <wp:cNvGraphicFramePr/>
                <a:graphic xmlns:a="http://schemas.openxmlformats.org/drawingml/2006/main">
                  <a:graphicData uri="http://schemas.microsoft.com/office/word/2010/wordprocessingShape">
                    <wps:wsp>
                      <wps:cNvSpPr txBox="1"/>
                      <wps:spPr>
                        <a:xfrm>
                          <a:off x="0" y="0"/>
                          <a:ext cx="6294120" cy="746760"/>
                        </a:xfrm>
                        <a:prstGeom prst="rect">
                          <a:avLst/>
                        </a:prstGeom>
                        <a:solidFill>
                          <a:schemeClr val="lt1"/>
                        </a:solidFill>
                        <a:ln w="6350">
                          <a:solidFill>
                            <a:prstClr val="black"/>
                          </a:solidFill>
                        </a:ln>
                      </wps:spPr>
                      <wps:txbx>
                        <w:txbxContent>
                          <w:p w14:paraId="5556586A" w14:textId="2F2DBC62" w:rsidR="008720CA" w:rsidRDefault="008720CA">
                            <w:pPr>
                              <w:rPr>
                                <w:color w:val="FF0000"/>
                              </w:rPr>
                            </w:pPr>
                            <w:r>
                              <w:rPr>
                                <w:color w:val="FF0000"/>
                              </w:rPr>
                              <w:t>APA Citation:</w:t>
                            </w:r>
                          </w:p>
                          <w:p w14:paraId="6CD555B5" w14:textId="6FBA337E" w:rsidR="008720CA" w:rsidRPr="008720CA" w:rsidRDefault="008720CA">
                            <w:pPr>
                              <w:rPr>
                                <w:color w:val="FF0000"/>
                              </w:rPr>
                            </w:pPr>
                            <w:r w:rsidRPr="008720CA">
                              <w:rPr>
                                <w:color w:val="FF0000"/>
                              </w:rPr>
                              <w:t>Rose, M., &amp; Johnson, M.L. (2025). Polytrauma and Executive Functioning: A Review of Cognitive Protective Mechanisms and Resilience</w:t>
                            </w:r>
                            <w:r w:rsidRPr="008720CA">
                              <w:rPr>
                                <w:i/>
                                <w:iCs/>
                                <w:color w:val="FF0000"/>
                              </w:rPr>
                              <w:t>. European Journal of Trauma &amp; Dissociation</w:t>
                            </w:r>
                            <w:r w:rsidRPr="008720CA">
                              <w:rPr>
                                <w:color w:val="FF000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6A13DE2" id="_x0000_t202" coordsize="21600,21600" o:spt="202" path="m,l,21600r21600,l21600,xe">
                <v:stroke joinstyle="miter"/>
                <v:path gradientshapeok="t" o:connecttype="rect"/>
              </v:shapetype>
              <v:shape id="Text Box 1" o:spid="_x0000_s1026" type="#_x0000_t202" style="position:absolute;left:0;text-align:left;margin-left:-36.6pt;margin-top:-64.7pt;width:495.6pt;height:58.8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" fillcolor="white [3201]" strokeweight=".5pt">
                <v:textbox>
                  <w:txbxContent>
                    <w:p w14:paraId="5556586A" w14:textId="2F2DBC62" w:rsidR="008720CA" w:rsidRDefault="008720CA">
                      <w:pPr>
                        <w:rPr>
                          <w:color w:val="FF0000"/>
                        </w:rPr>
                      </w:pPr>
                      <w:r>
                        <w:rPr>
                          <w:color w:val="FF0000"/>
                        </w:rPr>
                        <w:t>APA Citation:</w:t>
                      </w:r>
                    </w:p>
                    <w:p w14:paraId="6CD555B5" w14:textId="6FBA337E" w:rsidR="008720CA" w:rsidRPr="008720CA" w:rsidRDefault="008720CA">
                      <w:pPr>
                        <w:rPr>
                          <w:color w:val="FF0000"/>
                        </w:rPr>
                      </w:pPr>
                      <w:r w:rsidRPr="008720CA">
                        <w:rPr>
                          <w:color w:val="FF0000"/>
                        </w:rPr>
                        <w:t>Rose, M., &amp; Johnson, M.L. (2025). Polytrauma and Executive Functioning: A Review of Cognitive Protective Mechanisms and Resilience</w:t>
                      </w:r>
                      <w:r w:rsidRPr="008720CA">
                        <w:rPr>
                          <w:i/>
                          <w:iCs/>
                          <w:color w:val="FF0000"/>
                        </w:rPr>
                        <w:t>. European Journal of Trauma &amp; Dissociation</w:t>
                      </w:r>
                      <w:r w:rsidRPr="008720CA">
                        <w:rPr>
                          <w:color w:val="FF0000"/>
                        </w:rPr>
                        <w:t>.</w:t>
                      </w:r>
                    </w:p>
                  </w:txbxContent>
                </v:textbox>
              </v:shape>
            </w:pict>
          </mc:Fallback>
        </mc:AlternateContent>
      </w:r>
      <w:r w:rsidR="00F41472" w:rsidRPr="744FDEE0">
        <w:rPr>
          <w:rFonts w:ascii="Times New Roman" w:eastAsia="Times New Roman" w:hAnsi="Times New Roman" w:cs="Times New Roman"/>
          <w:b/>
          <w:bCs/>
          <w:color w:val="000000" w:themeColor="text1"/>
          <w:sz w:val="24"/>
          <w:szCs w:val="24"/>
        </w:rPr>
        <w:t>Polytrauma and Executive Functioning: A Review of Cognitive Protective Mechanisms and Resilience</w:t>
      </w:r>
    </w:p>
    <w:p w14:paraId="6813DE87" w14:textId="77777777" w:rsidR="00542438" w:rsidRDefault="00542438">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p>
    <w:p w14:paraId="5D4CD541" w14:textId="3A006EA4" w:rsidR="00542438" w:rsidRDefault="00F41472" w:rsidP="5E98361F">
      <w:pPr>
        <w:pBdr>
          <w:top w:val="nil"/>
          <w:left w:val="nil"/>
          <w:bottom w:val="nil"/>
          <w:right w:val="nil"/>
          <w:between w:val="nil"/>
        </w:pBdr>
        <w:spacing w:after="0" w:line="480" w:lineRule="auto"/>
        <w:ind w:firstLine="720"/>
        <w:rPr>
          <w:rFonts w:ascii="Times New Roman" w:eastAsia="Times New Roman" w:hAnsi="Times New Roman" w:cs="Times New Roman"/>
          <w:color w:val="000000" w:themeColor="text1"/>
          <w:sz w:val="24"/>
          <w:szCs w:val="24"/>
        </w:rPr>
      </w:pPr>
      <w:r w:rsidRPr="5E98361F">
        <w:rPr>
          <w:rFonts w:ascii="Times New Roman" w:eastAsia="Times New Roman" w:hAnsi="Times New Roman" w:cs="Times New Roman"/>
          <w:color w:val="000000" w:themeColor="text1"/>
          <w:sz w:val="24"/>
          <w:szCs w:val="24"/>
        </w:rPr>
        <w:t>Polytrauma survivors face unique and complex challenges</w:t>
      </w:r>
      <w:r w:rsidRPr="5E98361F">
        <w:rPr>
          <w:rFonts w:ascii="Times New Roman" w:eastAsia="Times New Roman" w:hAnsi="Times New Roman" w:cs="Times New Roman"/>
          <w:sz w:val="24"/>
          <w:szCs w:val="24"/>
        </w:rPr>
        <w:t xml:space="preserve"> as </w:t>
      </w:r>
      <w:r w:rsidRPr="5E98361F">
        <w:rPr>
          <w:rFonts w:ascii="Times New Roman" w:eastAsia="Times New Roman" w:hAnsi="Times New Roman" w:cs="Times New Roman"/>
          <w:color w:val="000000" w:themeColor="text1"/>
          <w:sz w:val="24"/>
          <w:szCs w:val="24"/>
        </w:rPr>
        <w:t xml:space="preserve">the cumulative impact of multiple traumatic events disrupts not only emotional and psychological well-being but also critical cognitive processes. Despite the growing recognition of trauma’s widespread consequences, much of the research on trauma survivors continues to focus on deficits, pathologizing survivors and overlooking their adaptive capacities. Executive functioning, including cognitive flexibility, working memory, and inhibitory control, plays a crucial role as a protective mechanism in trauma survivors’ ability to navigate and recover from repeated trauma exposure. This </w:t>
      </w:r>
      <w:r w:rsidR="185071C4" w:rsidRPr="5E98361F">
        <w:rPr>
          <w:rFonts w:ascii="Times New Roman" w:eastAsia="Times New Roman" w:hAnsi="Times New Roman" w:cs="Times New Roman"/>
          <w:color w:val="000000" w:themeColor="text1"/>
          <w:sz w:val="24"/>
          <w:szCs w:val="24"/>
        </w:rPr>
        <w:t>scoping review</w:t>
      </w:r>
      <w:r w:rsidRPr="5E98361F">
        <w:rPr>
          <w:rFonts w:ascii="Times New Roman" w:eastAsia="Times New Roman" w:hAnsi="Times New Roman" w:cs="Times New Roman"/>
          <w:color w:val="000000" w:themeColor="text1"/>
          <w:sz w:val="24"/>
          <w:szCs w:val="24"/>
        </w:rPr>
        <w:t xml:space="preserve"> examines how resilience emerges as a critical adaptive response in polytrauma survivors, particularly through their deployment of cognitive mechanisms like cognitive flexibility and executive functioning. By</w:t>
      </w:r>
      <w:r w:rsidR="7471BB52" w:rsidRPr="5E98361F">
        <w:rPr>
          <w:rFonts w:ascii="Times New Roman" w:eastAsia="Times New Roman" w:hAnsi="Times New Roman" w:cs="Times New Roman"/>
          <w:color w:val="000000" w:themeColor="text1"/>
          <w:sz w:val="24"/>
          <w:szCs w:val="24"/>
        </w:rPr>
        <w:t xml:space="preserve"> </w:t>
      </w:r>
      <w:r w:rsidR="08640B16" w:rsidRPr="5E98361F">
        <w:rPr>
          <w:rFonts w:ascii="Times New Roman" w:eastAsia="Times New Roman" w:hAnsi="Times New Roman" w:cs="Times New Roman"/>
          <w:color w:val="000000" w:themeColor="text1"/>
          <w:sz w:val="24"/>
          <w:szCs w:val="24"/>
        </w:rPr>
        <w:t xml:space="preserve">strategically </w:t>
      </w:r>
      <w:r w:rsidRPr="5E98361F">
        <w:rPr>
          <w:rFonts w:ascii="Times New Roman" w:eastAsia="Times New Roman" w:hAnsi="Times New Roman" w:cs="Times New Roman"/>
          <w:color w:val="000000" w:themeColor="text1"/>
          <w:sz w:val="24"/>
          <w:szCs w:val="24"/>
        </w:rPr>
        <w:t>analyzing the available scientific evidence, this review explores how these cognitive processes serve as protective factors that enable survivors to navigate ongoing adversities. Moving beyond deficit-based models, we investigate how these cognitive mechanisms actively foster and strengthen resilience in polytrauma survivors.</w:t>
      </w:r>
      <w:r w:rsidRPr="5E98361F">
        <w:rPr>
          <w:rFonts w:ascii="Times New Roman" w:eastAsia="Times New Roman" w:hAnsi="Times New Roman" w:cs="Times New Roman"/>
          <w:sz w:val="24"/>
          <w:szCs w:val="24"/>
        </w:rPr>
        <w:t xml:space="preserve"> </w:t>
      </w:r>
      <w:r w:rsidRPr="5E98361F">
        <w:rPr>
          <w:rFonts w:ascii="Times New Roman" w:eastAsia="Times New Roman" w:hAnsi="Times New Roman" w:cs="Times New Roman"/>
          <w:color w:val="000000" w:themeColor="text1"/>
          <w:sz w:val="24"/>
          <w:szCs w:val="24"/>
        </w:rPr>
        <w:t xml:space="preserve">For the purposes of this manuscript, we operationalize polytrauma as the experience of multiple traumatic events that compound and interact with each other, creating complex patterns of physical, psychological, and social impacts. Unlike single-event trauma, polytrauma involves the layered effects of various traumatic experiences that may occur either simultaneously or over time. </w:t>
      </w:r>
      <w:r w:rsidR="19D1B51E" w:rsidRPr="5E98361F">
        <w:rPr>
          <w:rFonts w:ascii="Times New Roman" w:eastAsia="Times New Roman" w:hAnsi="Times New Roman" w:cs="Times New Roman"/>
          <w:color w:val="000000" w:themeColor="text1"/>
          <w:sz w:val="24"/>
          <w:szCs w:val="24"/>
        </w:rPr>
        <w:t xml:space="preserve">Given the </w:t>
      </w:r>
      <w:r w:rsidR="5EBE619D" w:rsidRPr="5E98361F">
        <w:rPr>
          <w:rFonts w:ascii="Times New Roman" w:eastAsia="Times New Roman" w:hAnsi="Times New Roman" w:cs="Times New Roman"/>
          <w:color w:val="000000" w:themeColor="text1"/>
          <w:sz w:val="24"/>
          <w:szCs w:val="24"/>
        </w:rPr>
        <w:t>multifaceted</w:t>
      </w:r>
      <w:r w:rsidR="19D1B51E" w:rsidRPr="5E98361F">
        <w:rPr>
          <w:rFonts w:ascii="Times New Roman" w:eastAsia="Times New Roman" w:hAnsi="Times New Roman" w:cs="Times New Roman"/>
          <w:color w:val="000000" w:themeColor="text1"/>
          <w:sz w:val="24"/>
          <w:szCs w:val="24"/>
        </w:rPr>
        <w:t xml:space="preserve"> nature of polytrauma and its connections to resilience, the literature reviewed spans medical, psychological, and sociological disciplines. </w:t>
      </w:r>
      <w:r w:rsidRPr="5E98361F">
        <w:rPr>
          <w:rFonts w:ascii="Times New Roman" w:eastAsia="Times New Roman" w:hAnsi="Times New Roman" w:cs="Times New Roman"/>
          <w:color w:val="000000" w:themeColor="text1"/>
          <w:sz w:val="24"/>
          <w:szCs w:val="24"/>
        </w:rPr>
        <w:t xml:space="preserve"> By reviewing foundational and contemporary literature which captures facets of this subject, we aim </w:t>
      </w:r>
      <w:r w:rsidRPr="5E98361F">
        <w:rPr>
          <w:rFonts w:ascii="Times New Roman" w:eastAsia="Times New Roman" w:hAnsi="Times New Roman" w:cs="Times New Roman"/>
          <w:color w:val="000000" w:themeColor="text1"/>
          <w:sz w:val="24"/>
          <w:szCs w:val="24"/>
        </w:rPr>
        <w:lastRenderedPageBreak/>
        <w:t>to contribute to a growing understanding of how polytrauma survivors demonstrate healthy executive functioning that supports their growth from trauma, promotes resilience, and, most importantly, develops cognitive mechanisms to survive additional traumas. </w:t>
      </w:r>
    </w:p>
    <w:p w14:paraId="7C33DFE5" w14:textId="563573C7" w:rsidR="61D3E843" w:rsidRDefault="61D3E843" w:rsidP="5E98361F">
      <w:pPr>
        <w:pBdr>
          <w:top w:val="nil"/>
          <w:left w:val="nil"/>
          <w:bottom w:val="nil"/>
          <w:right w:val="nil"/>
          <w:between w:val="nil"/>
        </w:pBdr>
        <w:spacing w:after="0" w:line="480" w:lineRule="auto"/>
        <w:jc w:val="center"/>
        <w:rPr>
          <w:rFonts w:ascii="Times New Roman" w:eastAsia="Times New Roman" w:hAnsi="Times New Roman" w:cs="Times New Roman"/>
          <w:color w:val="000000" w:themeColor="text1"/>
          <w:sz w:val="24"/>
          <w:szCs w:val="24"/>
          <w:u w:val="single"/>
        </w:rPr>
      </w:pPr>
      <w:r w:rsidRPr="5E98361F">
        <w:rPr>
          <w:rFonts w:ascii="Times New Roman" w:eastAsia="Times New Roman" w:hAnsi="Times New Roman" w:cs="Times New Roman"/>
          <w:color w:val="000000" w:themeColor="text1"/>
          <w:sz w:val="24"/>
          <w:szCs w:val="24"/>
          <w:u w:val="single"/>
        </w:rPr>
        <w:t>Scoping Review Methods</w:t>
      </w:r>
    </w:p>
    <w:p w14:paraId="481ACAE0" w14:textId="1355226C" w:rsidR="61D3E843" w:rsidRDefault="55F61DBF" w:rsidP="003335B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20DB9FDD">
        <w:rPr>
          <w:rFonts w:ascii="Times New Roman" w:eastAsia="Times New Roman" w:hAnsi="Times New Roman" w:cs="Times New Roman"/>
          <w:sz w:val="24"/>
          <w:szCs w:val="24"/>
        </w:rPr>
        <w:t xml:space="preserve">This scoping review followed the five-stage framework proposed by Arksey and O’Malley (2005), to map the key concepts and literature sources concerning resilience and cognitive mechanisms in polytrauma survivors (see also Levac et al. </w:t>
      </w:r>
      <w:r w:rsidR="5BC60DF9" w:rsidRPr="20DB9FDD">
        <w:rPr>
          <w:rFonts w:ascii="Times New Roman" w:eastAsia="Times New Roman" w:hAnsi="Times New Roman" w:cs="Times New Roman"/>
          <w:sz w:val="24"/>
          <w:szCs w:val="24"/>
        </w:rPr>
        <w:t>201</w:t>
      </w:r>
      <w:r w:rsidR="787F2BCE" w:rsidRPr="20DB9FDD">
        <w:rPr>
          <w:rFonts w:ascii="Times New Roman" w:eastAsia="Times New Roman" w:hAnsi="Times New Roman" w:cs="Times New Roman"/>
          <w:sz w:val="24"/>
          <w:szCs w:val="24"/>
        </w:rPr>
        <w:t>0</w:t>
      </w:r>
      <w:r w:rsidRPr="20DB9FDD">
        <w:rPr>
          <w:rFonts w:ascii="Times New Roman" w:eastAsia="Times New Roman" w:hAnsi="Times New Roman" w:cs="Times New Roman"/>
          <w:sz w:val="24"/>
          <w:szCs w:val="24"/>
        </w:rPr>
        <w:t>). We began with stage 1 of the framework to establish our primary objective, which was to explore how cognitive mechanisms such as executive functioning and cognitive flexibility serve as protective factors for polytrauma survivors. Additionally, the review aimed to identify gaps in the existing literature and highlight opportunities for future research on resilience in this population. To identify</w:t>
      </w:r>
      <w:r w:rsidRPr="744FDEE0">
        <w:rPr>
          <w:rFonts w:ascii="Times New Roman" w:eastAsia="Times New Roman" w:hAnsi="Times New Roman" w:cs="Times New Roman"/>
          <w:sz w:val="24"/>
          <w:szCs w:val="24"/>
        </w:rPr>
        <w:t xml:space="preserve"> relevant studies for stage 2, we conducted a comprehensive search of five electronic databases: PubMed, Google Scholar, JSTOR, ScienceDirect, and ResearchGate. Search terms included "polytrauma," "executive functioning," "resilience," "cognitive flexibility," and </w:t>
      </w:r>
      <w:r w:rsidR="7AFB0226" w:rsidRPr="744FDEE0">
        <w:rPr>
          <w:rFonts w:ascii="Times New Roman" w:eastAsia="Times New Roman" w:hAnsi="Times New Roman" w:cs="Times New Roman"/>
          <w:sz w:val="24"/>
          <w:szCs w:val="24"/>
        </w:rPr>
        <w:t xml:space="preserve">other </w:t>
      </w:r>
      <w:r w:rsidRPr="20DB9FDD">
        <w:rPr>
          <w:rFonts w:ascii="Times New Roman" w:eastAsia="Times New Roman" w:hAnsi="Times New Roman" w:cs="Times New Roman"/>
          <w:sz w:val="24"/>
          <w:szCs w:val="24"/>
        </w:rPr>
        <w:t xml:space="preserve">related concepts. Searches were limited to peer-reviewed articles published over the past 50 years. Additional records were identified through manual searches of reference lists. </w:t>
      </w:r>
      <w:r w:rsidRPr="744FDEE0">
        <w:rPr>
          <w:rFonts w:ascii="Times New Roman" w:eastAsia="Times New Roman" w:hAnsi="Times New Roman" w:cs="Times New Roman"/>
          <w:sz w:val="24"/>
          <w:szCs w:val="24"/>
        </w:rPr>
        <w:t xml:space="preserve">In stage 3, a total of </w:t>
      </w:r>
      <w:r w:rsidR="315BF611" w:rsidRPr="744FDEE0">
        <w:rPr>
          <w:rFonts w:ascii="Times New Roman" w:eastAsia="Times New Roman" w:hAnsi="Times New Roman" w:cs="Times New Roman"/>
          <w:sz w:val="24"/>
          <w:szCs w:val="24"/>
        </w:rPr>
        <w:t>7</w:t>
      </w:r>
      <w:r w:rsidR="6939FBC4" w:rsidRPr="744FDEE0">
        <w:rPr>
          <w:rFonts w:ascii="Times New Roman" w:eastAsia="Times New Roman" w:hAnsi="Times New Roman" w:cs="Times New Roman"/>
          <w:sz w:val="24"/>
          <w:szCs w:val="24"/>
        </w:rPr>
        <w:t xml:space="preserve">63 </w:t>
      </w:r>
      <w:r w:rsidRPr="20DB9FDD">
        <w:rPr>
          <w:rFonts w:ascii="Times New Roman" w:eastAsia="Times New Roman" w:hAnsi="Times New Roman" w:cs="Times New Roman"/>
          <w:sz w:val="24"/>
          <w:szCs w:val="24"/>
        </w:rPr>
        <w:t>records were initially identified</w:t>
      </w:r>
      <w:r w:rsidRPr="744FDEE0">
        <w:rPr>
          <w:rFonts w:ascii="Times New Roman" w:eastAsia="Times New Roman" w:hAnsi="Times New Roman" w:cs="Times New Roman"/>
          <w:sz w:val="24"/>
          <w:szCs w:val="24"/>
        </w:rPr>
        <w:t xml:space="preserve">. After removal of duplicates, </w:t>
      </w:r>
      <w:r w:rsidR="6E2D03B3" w:rsidRPr="744FDEE0">
        <w:rPr>
          <w:rFonts w:ascii="Times New Roman" w:eastAsia="Times New Roman" w:hAnsi="Times New Roman" w:cs="Times New Roman"/>
          <w:sz w:val="24"/>
          <w:szCs w:val="24"/>
        </w:rPr>
        <w:t xml:space="preserve">445 </w:t>
      </w:r>
      <w:r w:rsidRPr="744FDEE0">
        <w:rPr>
          <w:rFonts w:ascii="Times New Roman" w:eastAsia="Times New Roman" w:hAnsi="Times New Roman" w:cs="Times New Roman"/>
          <w:sz w:val="24"/>
          <w:szCs w:val="24"/>
        </w:rPr>
        <w:t xml:space="preserve">articles were screened by title and abstract, and </w:t>
      </w:r>
      <w:r w:rsidR="7D0D9C4F" w:rsidRPr="744FDEE0">
        <w:rPr>
          <w:rFonts w:ascii="Times New Roman" w:eastAsia="Times New Roman" w:hAnsi="Times New Roman" w:cs="Times New Roman"/>
          <w:sz w:val="24"/>
          <w:szCs w:val="24"/>
        </w:rPr>
        <w:t xml:space="preserve">321 </w:t>
      </w:r>
      <w:r w:rsidRPr="20DB9FDD">
        <w:rPr>
          <w:rFonts w:ascii="Times New Roman" w:eastAsia="Times New Roman" w:hAnsi="Times New Roman" w:cs="Times New Roman"/>
          <w:sz w:val="24"/>
          <w:szCs w:val="24"/>
        </w:rPr>
        <w:t xml:space="preserve">were further assessed based on predefined inclusion criteria that included, empirical, theoretical, or review studies focused on polytrauma and published in English. With exception to foundational works, preferences were given to contemporary articles published within the past decade, as well as those published in peer-reviewed journals. Exclusion criteria included articles focusing exclusively on single-event trauma or lacking relevance to cognitive mechanisms or resilience. </w:t>
      </w:r>
      <w:r w:rsidRPr="744FDEE0">
        <w:rPr>
          <w:rFonts w:ascii="Times New Roman" w:eastAsia="Times New Roman" w:hAnsi="Times New Roman" w:cs="Times New Roman"/>
          <w:sz w:val="24"/>
          <w:szCs w:val="24"/>
        </w:rPr>
        <w:t xml:space="preserve">Ultimately, </w:t>
      </w:r>
      <w:r w:rsidR="71EE3318" w:rsidRPr="744FDEE0">
        <w:rPr>
          <w:rFonts w:ascii="Times New Roman" w:eastAsia="Times New Roman" w:hAnsi="Times New Roman" w:cs="Times New Roman"/>
          <w:sz w:val="24"/>
          <w:szCs w:val="24"/>
        </w:rPr>
        <w:t>17</w:t>
      </w:r>
      <w:r w:rsidR="030F49B4" w:rsidRPr="744FDEE0">
        <w:rPr>
          <w:rFonts w:ascii="Times New Roman" w:eastAsia="Times New Roman" w:hAnsi="Times New Roman" w:cs="Times New Roman"/>
          <w:sz w:val="24"/>
          <w:szCs w:val="24"/>
        </w:rPr>
        <w:t>2</w:t>
      </w:r>
      <w:r w:rsidR="71EE3318" w:rsidRPr="20DB9FDD">
        <w:rPr>
          <w:rFonts w:ascii="Times New Roman" w:eastAsia="Times New Roman" w:hAnsi="Times New Roman" w:cs="Times New Roman"/>
          <w:sz w:val="24"/>
          <w:szCs w:val="24"/>
        </w:rPr>
        <w:t xml:space="preserve"> </w:t>
      </w:r>
      <w:r w:rsidR="2BC3FF61" w:rsidRPr="5E98361F">
        <w:rPr>
          <w:rFonts w:ascii="Times New Roman" w:eastAsia="Times New Roman" w:hAnsi="Times New Roman" w:cs="Times New Roman"/>
          <w:sz w:val="24"/>
          <w:szCs w:val="24"/>
        </w:rPr>
        <w:t xml:space="preserve">articles </w:t>
      </w:r>
      <w:r w:rsidRPr="20DB9FDD">
        <w:rPr>
          <w:rFonts w:ascii="Times New Roman" w:eastAsia="Times New Roman" w:hAnsi="Times New Roman" w:cs="Times New Roman"/>
          <w:sz w:val="24"/>
          <w:szCs w:val="24"/>
        </w:rPr>
        <w:t>were</w:t>
      </w:r>
      <w:r w:rsidR="586D139E" w:rsidRPr="20DB9FDD">
        <w:rPr>
          <w:rFonts w:ascii="Times New Roman" w:eastAsia="Times New Roman" w:hAnsi="Times New Roman" w:cs="Times New Roman"/>
          <w:sz w:val="24"/>
          <w:szCs w:val="24"/>
        </w:rPr>
        <w:t xml:space="preserve"> reviewed, of which </w:t>
      </w:r>
      <w:r w:rsidR="1DD1E5AF" w:rsidRPr="2AC4EF20">
        <w:rPr>
          <w:rFonts w:ascii="Times New Roman" w:eastAsia="Times New Roman" w:hAnsi="Times New Roman" w:cs="Times New Roman"/>
          <w:sz w:val="24"/>
          <w:szCs w:val="24"/>
        </w:rPr>
        <w:t xml:space="preserve">68 </w:t>
      </w:r>
      <w:r w:rsidR="371C92AB" w:rsidRPr="20DB9FDD">
        <w:rPr>
          <w:rFonts w:ascii="Times New Roman" w:eastAsia="Times New Roman" w:hAnsi="Times New Roman" w:cs="Times New Roman"/>
          <w:sz w:val="24"/>
          <w:szCs w:val="24"/>
        </w:rPr>
        <w:t>were</w:t>
      </w:r>
      <w:r w:rsidRPr="20DB9FDD">
        <w:rPr>
          <w:rFonts w:ascii="Times New Roman" w:eastAsia="Times New Roman" w:hAnsi="Times New Roman" w:cs="Times New Roman"/>
          <w:sz w:val="24"/>
          <w:szCs w:val="24"/>
        </w:rPr>
        <w:t xml:space="preserve"> </w:t>
      </w:r>
      <w:r w:rsidR="50681ED2" w:rsidRPr="5E98361F">
        <w:rPr>
          <w:rFonts w:ascii="Times New Roman" w:eastAsia="Times New Roman" w:hAnsi="Times New Roman" w:cs="Times New Roman"/>
          <w:sz w:val="24"/>
          <w:szCs w:val="24"/>
        </w:rPr>
        <w:lastRenderedPageBreak/>
        <w:t>empirical research studies</w:t>
      </w:r>
      <w:r w:rsidRPr="20DB9FDD">
        <w:rPr>
          <w:rFonts w:ascii="Times New Roman" w:eastAsia="Times New Roman" w:hAnsi="Times New Roman" w:cs="Times New Roman"/>
          <w:sz w:val="24"/>
          <w:szCs w:val="24"/>
        </w:rPr>
        <w:t xml:space="preserve">. For stages 4 and 5, a </w:t>
      </w:r>
      <w:r w:rsidR="2C78478D" w:rsidRPr="5E98361F">
        <w:rPr>
          <w:rFonts w:ascii="Times New Roman" w:eastAsia="Times New Roman" w:hAnsi="Times New Roman" w:cs="Times New Roman"/>
          <w:sz w:val="24"/>
          <w:szCs w:val="24"/>
        </w:rPr>
        <w:t xml:space="preserve">flowchart </w:t>
      </w:r>
      <w:r w:rsidR="23D9DAD4" w:rsidRPr="5E98361F">
        <w:rPr>
          <w:rFonts w:ascii="Times New Roman" w:eastAsia="Times New Roman" w:hAnsi="Times New Roman" w:cs="Times New Roman"/>
          <w:sz w:val="24"/>
          <w:szCs w:val="24"/>
        </w:rPr>
        <w:t>illustrates our identification of articles</w:t>
      </w:r>
      <w:r w:rsidR="64826191" w:rsidRPr="5E98361F">
        <w:rPr>
          <w:rFonts w:ascii="Times New Roman" w:eastAsia="Times New Roman" w:hAnsi="Times New Roman" w:cs="Times New Roman"/>
          <w:sz w:val="24"/>
          <w:szCs w:val="24"/>
        </w:rPr>
        <w:t xml:space="preserve">, and </w:t>
      </w:r>
      <w:r w:rsidR="41161BEE" w:rsidRPr="5E98361F">
        <w:rPr>
          <w:rFonts w:ascii="Times New Roman" w:eastAsia="Times New Roman" w:hAnsi="Times New Roman" w:cs="Times New Roman"/>
          <w:sz w:val="24"/>
          <w:szCs w:val="24"/>
        </w:rPr>
        <w:t xml:space="preserve">in a later table, </w:t>
      </w:r>
      <w:r w:rsidRPr="20DB9FDD">
        <w:rPr>
          <w:rFonts w:ascii="Times New Roman" w:eastAsia="Times New Roman" w:hAnsi="Times New Roman" w:cs="Times New Roman"/>
          <w:sz w:val="24"/>
          <w:szCs w:val="24"/>
        </w:rPr>
        <w:t xml:space="preserve">a </w:t>
      </w:r>
      <w:r w:rsidR="12FE7FA3" w:rsidRPr="20DB9FDD">
        <w:rPr>
          <w:rFonts w:ascii="Times New Roman" w:eastAsia="Times New Roman" w:hAnsi="Times New Roman" w:cs="Times New Roman"/>
          <w:sz w:val="24"/>
          <w:szCs w:val="24"/>
        </w:rPr>
        <w:t xml:space="preserve">list of what different categories of polytraumas encompass is provided. In the remainder of this article, we </w:t>
      </w:r>
      <w:r w:rsidR="45007744" w:rsidRPr="20DB9FDD">
        <w:rPr>
          <w:rFonts w:ascii="Times New Roman" w:eastAsia="Times New Roman" w:hAnsi="Times New Roman" w:cs="Times New Roman"/>
          <w:sz w:val="24"/>
          <w:szCs w:val="24"/>
        </w:rPr>
        <w:t>s</w:t>
      </w:r>
      <w:r w:rsidR="763FA299" w:rsidRPr="20DB9FDD">
        <w:rPr>
          <w:rFonts w:ascii="Times New Roman" w:eastAsia="Times New Roman" w:hAnsi="Times New Roman" w:cs="Times New Roman"/>
          <w:sz w:val="24"/>
          <w:szCs w:val="24"/>
        </w:rPr>
        <w:t xml:space="preserve">ynthesize and summarize studies that report on </w:t>
      </w:r>
      <w:r w:rsidRPr="20DB9FDD">
        <w:rPr>
          <w:rFonts w:ascii="Times New Roman" w:eastAsia="Times New Roman" w:hAnsi="Times New Roman" w:cs="Times New Roman"/>
          <w:sz w:val="24"/>
          <w:szCs w:val="24"/>
        </w:rPr>
        <w:t xml:space="preserve">results </w:t>
      </w:r>
      <w:r w:rsidR="0AC51173" w:rsidRPr="20DB9FDD">
        <w:rPr>
          <w:rFonts w:ascii="Times New Roman" w:eastAsia="Times New Roman" w:hAnsi="Times New Roman" w:cs="Times New Roman"/>
          <w:sz w:val="24"/>
          <w:szCs w:val="24"/>
        </w:rPr>
        <w:t>concerning</w:t>
      </w:r>
      <w:r w:rsidRPr="20DB9FDD">
        <w:rPr>
          <w:rFonts w:ascii="Times New Roman" w:eastAsia="Times New Roman" w:hAnsi="Times New Roman" w:cs="Times New Roman"/>
          <w:sz w:val="24"/>
          <w:szCs w:val="24"/>
        </w:rPr>
        <w:t xml:space="preserve"> cognitive protective factors</w:t>
      </w:r>
      <w:r w:rsidR="5441CAFC" w:rsidRPr="20DB9FDD">
        <w:rPr>
          <w:rFonts w:ascii="Times New Roman" w:eastAsia="Times New Roman" w:hAnsi="Times New Roman" w:cs="Times New Roman"/>
          <w:sz w:val="24"/>
          <w:szCs w:val="24"/>
        </w:rPr>
        <w:t xml:space="preserve"> and</w:t>
      </w:r>
      <w:r w:rsidRPr="20DB9FDD">
        <w:rPr>
          <w:rFonts w:ascii="Times New Roman" w:eastAsia="Times New Roman" w:hAnsi="Times New Roman" w:cs="Times New Roman"/>
          <w:sz w:val="24"/>
          <w:szCs w:val="24"/>
        </w:rPr>
        <w:t xml:space="preserve"> resilience mechanisms</w:t>
      </w:r>
      <w:r w:rsidR="34547151" w:rsidRPr="20DB9FDD">
        <w:rPr>
          <w:rFonts w:ascii="Times New Roman" w:eastAsia="Times New Roman" w:hAnsi="Times New Roman" w:cs="Times New Roman"/>
          <w:sz w:val="24"/>
          <w:szCs w:val="24"/>
        </w:rPr>
        <w:t xml:space="preserve"> for polytrauma survivors</w:t>
      </w:r>
      <w:r w:rsidRPr="20DB9FDD">
        <w:rPr>
          <w:rFonts w:ascii="Times New Roman" w:eastAsia="Times New Roman" w:hAnsi="Times New Roman" w:cs="Times New Roman"/>
          <w:sz w:val="24"/>
          <w:szCs w:val="24"/>
        </w:rPr>
        <w:t xml:space="preserve">. </w:t>
      </w:r>
      <w:r w:rsidR="544EAF2F" w:rsidRPr="20DB9FDD">
        <w:rPr>
          <w:rFonts w:ascii="Times New Roman" w:eastAsia="Times New Roman" w:hAnsi="Times New Roman" w:cs="Times New Roman"/>
          <w:sz w:val="24"/>
          <w:szCs w:val="24"/>
        </w:rPr>
        <w:t>Additionally, we elaborate on r</w:t>
      </w:r>
      <w:r w:rsidRPr="20DB9FDD">
        <w:rPr>
          <w:rFonts w:ascii="Times New Roman" w:eastAsia="Times New Roman" w:hAnsi="Times New Roman" w:cs="Times New Roman"/>
          <w:sz w:val="24"/>
          <w:szCs w:val="24"/>
        </w:rPr>
        <w:t xml:space="preserve">esearch gaps, </w:t>
      </w:r>
      <w:r w:rsidR="7DE37F57" w:rsidRPr="5E98361F">
        <w:rPr>
          <w:rFonts w:ascii="Times New Roman" w:eastAsia="Times New Roman" w:hAnsi="Times New Roman" w:cs="Times New Roman"/>
          <w:sz w:val="24"/>
          <w:szCs w:val="24"/>
        </w:rPr>
        <w:t>and conclude with</w:t>
      </w:r>
      <w:r w:rsidR="7DE37F57" w:rsidRPr="20DB9FDD">
        <w:rPr>
          <w:rFonts w:ascii="Times New Roman" w:eastAsia="Times New Roman" w:hAnsi="Times New Roman" w:cs="Times New Roman"/>
          <w:sz w:val="24"/>
          <w:szCs w:val="24"/>
        </w:rPr>
        <w:t xml:space="preserve"> </w:t>
      </w:r>
      <w:r w:rsidRPr="20DB9FDD">
        <w:rPr>
          <w:rFonts w:ascii="Times New Roman" w:eastAsia="Times New Roman" w:hAnsi="Times New Roman" w:cs="Times New Roman"/>
          <w:sz w:val="24"/>
          <w:szCs w:val="24"/>
        </w:rPr>
        <w:t>practical recommendations proposed for clinicians, researchers, and policymakers.</w:t>
      </w:r>
    </w:p>
    <w:p w14:paraId="1CFB11A4" w14:textId="6D206063" w:rsidR="32A3C375" w:rsidRDefault="2EFB34DF" w:rsidP="60B321D3">
      <w:pPr>
        <w:pBdr>
          <w:top w:val="nil"/>
          <w:left w:val="nil"/>
          <w:bottom w:val="nil"/>
          <w:right w:val="nil"/>
          <w:between w:val="nil"/>
        </w:pBdr>
        <w:spacing w:after="0" w:line="480" w:lineRule="auto"/>
        <w:jc w:val="center"/>
      </w:pPr>
      <w:r>
        <w:rPr>
          <w:noProof/>
        </w:rPr>
        <w:drawing>
          <wp:inline distT="0" distB="0" distL="0" distR="0" wp14:anchorId="7DFF401C" wp14:editId="770B0CC8">
            <wp:extent cx="3676160" cy="4038600"/>
            <wp:effectExtent l="0" t="0" r="0" b="0"/>
            <wp:docPr id="2048034748" name="Picture 2048034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3676160" cy="4038600"/>
                    </a:xfrm>
                    <a:prstGeom prst="rect">
                      <a:avLst/>
                    </a:prstGeom>
                  </pic:spPr>
                </pic:pic>
              </a:graphicData>
            </a:graphic>
          </wp:inline>
        </w:drawing>
      </w:r>
    </w:p>
    <w:p w14:paraId="33DD394B" w14:textId="302D3952" w:rsidR="07FD0192" w:rsidRDefault="07FD0192" w:rsidP="744FDEE0">
      <w:pPr>
        <w:pBdr>
          <w:top w:val="nil"/>
          <w:left w:val="nil"/>
          <w:bottom w:val="nil"/>
          <w:right w:val="nil"/>
          <w:between w:val="nil"/>
        </w:pBdr>
        <w:spacing w:after="0" w:line="480" w:lineRule="auto"/>
        <w:jc w:val="center"/>
        <w:rPr>
          <w:rFonts w:ascii="Times New Roman" w:eastAsia="Times New Roman" w:hAnsi="Times New Roman" w:cs="Times New Roman"/>
          <w:sz w:val="24"/>
          <w:szCs w:val="24"/>
        </w:rPr>
      </w:pPr>
      <w:r w:rsidRPr="744FDEE0">
        <w:rPr>
          <w:rFonts w:ascii="Times New Roman" w:eastAsia="Times New Roman" w:hAnsi="Times New Roman" w:cs="Times New Roman"/>
          <w:sz w:val="24"/>
          <w:szCs w:val="24"/>
        </w:rPr>
        <w:t>Figure 1. PRISMA flowchart of the scoping review with thematic analysis.</w:t>
      </w:r>
    </w:p>
    <w:p w14:paraId="679E1440" w14:textId="77777777" w:rsidR="00542438" w:rsidRDefault="00F41472" w:rsidP="5E98361F">
      <w:pPr>
        <w:pBdr>
          <w:top w:val="nil"/>
          <w:left w:val="nil"/>
          <w:bottom w:val="nil"/>
          <w:right w:val="nil"/>
          <w:between w:val="nil"/>
        </w:pBdr>
        <w:spacing w:after="0" w:line="480" w:lineRule="auto"/>
        <w:jc w:val="center"/>
        <w:rPr>
          <w:rFonts w:ascii="Times New Roman" w:eastAsia="Times New Roman" w:hAnsi="Times New Roman" w:cs="Times New Roman"/>
          <w:color w:val="000000"/>
          <w:sz w:val="24"/>
          <w:szCs w:val="24"/>
          <w:u w:val="single"/>
        </w:rPr>
      </w:pPr>
      <w:r w:rsidRPr="5E98361F">
        <w:rPr>
          <w:rFonts w:ascii="Times New Roman" w:eastAsia="Times New Roman" w:hAnsi="Times New Roman" w:cs="Times New Roman"/>
          <w:color w:val="000000" w:themeColor="text1"/>
          <w:sz w:val="24"/>
          <w:szCs w:val="24"/>
          <w:u w:val="single"/>
        </w:rPr>
        <w:t>Deficit Models and the Pathologization of Trauma</w:t>
      </w:r>
    </w:p>
    <w:p w14:paraId="367BBBD5"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Trauma and post-traumatic stress disorder (PTSD) fundamentally alter both brain function and social wellbeing through complex biological and psychological mechanisms. Survivors typically experience serious emotional problems including dissociation, intense </w:t>
      </w:r>
      <w:r>
        <w:rPr>
          <w:rFonts w:ascii="Times New Roman" w:eastAsia="Times New Roman" w:hAnsi="Times New Roman" w:cs="Times New Roman"/>
          <w:color w:val="000000"/>
          <w:sz w:val="24"/>
          <w:szCs w:val="24"/>
        </w:rPr>
        <w:lastRenderedPageBreak/>
        <w:t>anxiety, and loss of emotional control (Shepherd &amp; Wild, 2014). Physical health impacts are equally severe, manifesting as diverse conditions ranging from chronic digestive problems (Stam et al., 1997) to persistent skin conditions (Gupta et al., 2017) and difficulties with urinary function (Singer et al., 2021). Over time, these changes often trigger major health conditions including diabetes (Tsai &amp; Shen, 2017), cardiovascular disease (Lee et al., 2020), and chronic high blood pressure (Paulus et al., 2013). Many survivors turn to problematic coping mechanisms, particularly substance abuse and disordered eating patterns (Downey &amp; Crummy, 2022), while battling persistent sleep disruptions and trauma-related nightmares (Casement &amp; Swanson, 2012). These challenges severely impact personal relationships and family dynamics (Goff et al., 2006) while creating substantial societal costs through increased healthcare expenses, disability claims, and reduced workforce participation (Davis et al., 2022).</w:t>
      </w:r>
    </w:p>
    <w:p w14:paraId="43E1B963"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Deficit-Based Model, emerging in the 1960s, was fundamentally rooted in discriminatory pseudoscience and racist, classist assumptions (Valencia, 1997). This harmful framework incorrectly attributed the struggles of marginalized communities to personal and cultural deficiencies rather than acknowledging systemic barriers and institutional discrimination (Bruton &amp; Robles-Piña, 2009). In educational settings, this manifested as excessive disciplinary actions and reduced expectations for marginalized students, creating cycles of academic struggle (Shields et al., 2005). Early psychological theories, particularly those developed by Freud and Janet (van der Kolk, 2000), unintentionally reinforced these deficit-based views by treating trauma responses, especially in women (Tasca et al., 2012), as signs of inherent weakness rather than natural responses to overwhelming stress.</w:t>
      </w:r>
    </w:p>
    <w:p w14:paraId="4591F118" w14:textId="0D2F902E" w:rsidR="00542438" w:rsidRDefault="00F41472" w:rsidP="744FDEE0">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sidRPr="744FDEE0">
        <w:rPr>
          <w:rFonts w:ascii="Times New Roman" w:eastAsia="Times New Roman" w:hAnsi="Times New Roman" w:cs="Times New Roman"/>
          <w:color w:val="000000" w:themeColor="text1"/>
          <w:sz w:val="24"/>
          <w:szCs w:val="24"/>
        </w:rPr>
        <w:t xml:space="preserve">Contemporary trauma treatment continues to wrestle with the persistent influence of deficit-based thinking, despite growing recognition of trauma's multifaceted nature. While the </w:t>
      </w:r>
      <w:r w:rsidRPr="744FDEE0">
        <w:rPr>
          <w:rFonts w:ascii="Times New Roman" w:eastAsia="Times New Roman" w:hAnsi="Times New Roman" w:cs="Times New Roman"/>
          <w:color w:val="000000" w:themeColor="text1"/>
          <w:sz w:val="24"/>
          <w:szCs w:val="24"/>
        </w:rPr>
        <w:lastRenderedPageBreak/>
        <w:t>DSM</w:t>
      </w:r>
      <w:r w:rsidR="4E44607C" w:rsidRPr="744FDEE0">
        <w:rPr>
          <w:rFonts w:ascii="Times New Roman" w:eastAsia="Times New Roman" w:hAnsi="Times New Roman" w:cs="Times New Roman"/>
          <w:color w:val="000000" w:themeColor="text1"/>
          <w:sz w:val="24"/>
          <w:szCs w:val="24"/>
        </w:rPr>
        <w:t xml:space="preserve"> (Diagnostic and Statistical Manual of Mental Disorders) </w:t>
      </w:r>
      <w:r w:rsidRPr="744FDEE0">
        <w:rPr>
          <w:rFonts w:ascii="Times New Roman" w:eastAsia="Times New Roman" w:hAnsi="Times New Roman" w:cs="Times New Roman"/>
          <w:color w:val="000000" w:themeColor="text1"/>
          <w:sz w:val="24"/>
          <w:szCs w:val="24"/>
        </w:rPr>
        <w:t xml:space="preserve">has evolved to acknowledge both acute and complex trauma (van der Kolk, 2000), clinical language still emphasizes dysfunction over adaptation and survival capabilities (Zuj et al., 2006; Tan et al., 2019; </w:t>
      </w:r>
      <w:proofErr w:type="spellStart"/>
      <w:r w:rsidRPr="744FDEE0">
        <w:rPr>
          <w:rFonts w:ascii="Times New Roman" w:eastAsia="Times New Roman" w:hAnsi="Times New Roman" w:cs="Times New Roman"/>
          <w:color w:val="000000" w:themeColor="text1"/>
          <w:sz w:val="24"/>
          <w:szCs w:val="24"/>
        </w:rPr>
        <w:t>Seligowski</w:t>
      </w:r>
      <w:proofErr w:type="spellEnd"/>
      <w:r w:rsidRPr="744FDEE0">
        <w:rPr>
          <w:rFonts w:ascii="Times New Roman" w:eastAsia="Times New Roman" w:hAnsi="Times New Roman" w:cs="Times New Roman"/>
          <w:color w:val="000000" w:themeColor="text1"/>
          <w:sz w:val="24"/>
          <w:szCs w:val="24"/>
        </w:rPr>
        <w:t xml:space="preserve"> et al. 2022). This stigmatizing perspective generates cycles of victim-blaming and internalized shame (Thornberg et al., 2013) preventing many survivors from seeking necessary help while allowing systemic healthcare inequities to persist unchallenged (Morgan &amp; </w:t>
      </w:r>
      <w:proofErr w:type="spellStart"/>
      <w:r w:rsidRPr="744FDEE0">
        <w:rPr>
          <w:rFonts w:ascii="Times New Roman" w:eastAsia="Times New Roman" w:hAnsi="Times New Roman" w:cs="Times New Roman"/>
          <w:color w:val="000000" w:themeColor="text1"/>
          <w:sz w:val="24"/>
          <w:szCs w:val="24"/>
        </w:rPr>
        <w:t>Ziglio</w:t>
      </w:r>
      <w:proofErr w:type="spellEnd"/>
      <w:r w:rsidRPr="744FDEE0">
        <w:rPr>
          <w:rFonts w:ascii="Times New Roman" w:eastAsia="Times New Roman" w:hAnsi="Times New Roman" w:cs="Times New Roman"/>
          <w:color w:val="000000" w:themeColor="text1"/>
          <w:sz w:val="24"/>
          <w:szCs w:val="24"/>
        </w:rPr>
        <w:t>, 2007). Research paradigms continue to overemphasize deficits and maladaptive behaviors (Botsford et al., 2019; Nalipay &amp; Mordeno, 2018) instead of exploring the remarkable resilience and adaptive strategies many survivors develop.</w:t>
      </w:r>
    </w:p>
    <w:p w14:paraId="0ADAEF4D"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Exploration of how multiple traumas interact and influence each other within a single lifetime is still necessary. While research aims to expand PTSD conception (</w:t>
      </w:r>
      <w:proofErr w:type="spellStart"/>
      <w:r>
        <w:rPr>
          <w:rFonts w:ascii="Times New Roman" w:eastAsia="Times New Roman" w:hAnsi="Times New Roman" w:cs="Times New Roman"/>
          <w:color w:val="000000"/>
          <w:sz w:val="24"/>
          <w:szCs w:val="24"/>
        </w:rPr>
        <w:t>Pelcovitz</w:t>
      </w:r>
      <w:proofErr w:type="spellEnd"/>
      <w:r>
        <w:rPr>
          <w:rFonts w:ascii="Times New Roman" w:eastAsia="Times New Roman" w:hAnsi="Times New Roman" w:cs="Times New Roman"/>
          <w:color w:val="000000"/>
          <w:sz w:val="24"/>
          <w:szCs w:val="24"/>
        </w:rPr>
        <w:t xml:space="preserve"> et al., 1997) through advanced neurocognitive studies (Bloomfield et al., 2021), examining multiple traumas reveals increasingly complex patterns. Traditional single-trauma models fail to capture how environmental stressors and childhood risk factors combine and compound to create intricate patterns of behavioral and psychological outcomes (Appleyard et al., 2005).</w:t>
      </w:r>
    </w:p>
    <w:p w14:paraId="0C1B1EB0"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Extensive research has identified several key factors that support trauma recovery and resilience. These protective elements include strong self-belief and personal efficacy (Smith et al., 2017), robust social support networks and community connections (Cénat et al., 2020), spiritual or religious practices (Andu et al., 2018), educational resources and understanding (Andu et al., 2018), opportunities for narrative sharing and story processing (Delker et al., 2020; Williams, 2006), developed interpersonal skills (Luthar, 1991), and the establishment of perceived safety (McGuire et al., 2018). Among these, social support systems, comprehensive self-care practices, and maintained optimism emerge as particularly crucial elements (Lifshitz et </w:t>
      </w:r>
      <w:r>
        <w:rPr>
          <w:rFonts w:ascii="Times New Roman" w:eastAsia="Times New Roman" w:hAnsi="Times New Roman" w:cs="Times New Roman"/>
          <w:color w:val="000000"/>
          <w:sz w:val="24"/>
          <w:szCs w:val="24"/>
        </w:rPr>
        <w:lastRenderedPageBreak/>
        <w:t xml:space="preserve">al., 2002). Cognitive mechanisms, including mental flexibility and executive functions like self-regulation (Hoffman et al., 2021), play vital roles in trauma processing and recovery as well. However, there remains a significant research gap regarding resilience patterns of polytrauma survivors, especially in regard to cognitive mechanisms, highlighting the need for more comprehensive studies in this area (Contractor et al., 2018; Green et al., 2000, </w:t>
      </w:r>
      <w:proofErr w:type="spellStart"/>
      <w:r>
        <w:rPr>
          <w:rFonts w:ascii="Times New Roman" w:eastAsia="Times New Roman" w:hAnsi="Times New Roman" w:cs="Times New Roman"/>
          <w:color w:val="000000"/>
          <w:sz w:val="24"/>
          <w:szCs w:val="24"/>
        </w:rPr>
        <w:t>Finkelhor</w:t>
      </w:r>
      <w:proofErr w:type="spellEnd"/>
      <w:r>
        <w:rPr>
          <w:rFonts w:ascii="Times New Roman" w:eastAsia="Times New Roman" w:hAnsi="Times New Roman" w:cs="Times New Roman"/>
          <w:color w:val="000000"/>
          <w:sz w:val="24"/>
          <w:szCs w:val="24"/>
        </w:rPr>
        <w:t xml:space="preserve"> et al., 2015).</w:t>
      </w:r>
    </w:p>
    <w:p w14:paraId="077504E2" w14:textId="77777777" w:rsidR="00542438" w:rsidRDefault="00F41472">
      <w:pPr>
        <w:pBdr>
          <w:top w:val="nil"/>
          <w:left w:val="nil"/>
          <w:bottom w:val="nil"/>
          <w:right w:val="nil"/>
          <w:between w:val="nil"/>
        </w:pBd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u w:val="single"/>
        </w:rPr>
        <w:t>An Overview of Polytrauma Survivors</w:t>
      </w:r>
    </w:p>
    <w:p w14:paraId="2F48F565" w14:textId="58400DEE" w:rsidR="00542438" w:rsidRDefault="00F41472" w:rsidP="69B4F93C">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sidRPr="69B4F93C">
        <w:rPr>
          <w:rFonts w:ascii="Times New Roman" w:eastAsia="Times New Roman" w:hAnsi="Times New Roman" w:cs="Times New Roman"/>
          <w:color w:val="000000" w:themeColor="text1"/>
          <w:sz w:val="24"/>
          <w:szCs w:val="24"/>
        </w:rPr>
        <w:t>The human experience invo</w:t>
      </w:r>
      <w:r w:rsidRPr="69B4F93C">
        <w:rPr>
          <w:rFonts w:ascii="Times New Roman" w:eastAsia="Times New Roman" w:hAnsi="Times New Roman" w:cs="Times New Roman"/>
          <w:sz w:val="24"/>
          <w:szCs w:val="24"/>
        </w:rPr>
        <w:t xml:space="preserve">lves ever changing events </w:t>
      </w:r>
      <w:r w:rsidR="429DB5C4" w:rsidRPr="69B4F93C">
        <w:rPr>
          <w:rFonts w:ascii="Times New Roman" w:eastAsia="Times New Roman" w:hAnsi="Times New Roman" w:cs="Times New Roman"/>
          <w:sz w:val="24"/>
          <w:szCs w:val="24"/>
        </w:rPr>
        <w:t>to</w:t>
      </w:r>
      <w:r w:rsidRPr="69B4F93C">
        <w:rPr>
          <w:rFonts w:ascii="Times New Roman" w:eastAsia="Times New Roman" w:hAnsi="Times New Roman" w:cs="Times New Roman"/>
          <w:sz w:val="24"/>
          <w:szCs w:val="24"/>
        </w:rPr>
        <w:t xml:space="preserve"> which are attached meaning and select responses. </w:t>
      </w:r>
      <w:r w:rsidRPr="69B4F93C">
        <w:rPr>
          <w:rFonts w:ascii="Times New Roman" w:eastAsia="Times New Roman" w:hAnsi="Times New Roman" w:cs="Times New Roman"/>
          <w:color w:val="000000" w:themeColor="text1"/>
          <w:sz w:val="24"/>
          <w:szCs w:val="24"/>
        </w:rPr>
        <w:t xml:space="preserve">Temporary yet challenging situations result in acute stressors which incite negative affective responses and impact sleep, </w:t>
      </w:r>
      <w:r w:rsidRPr="69B4F93C">
        <w:rPr>
          <w:rFonts w:ascii="Times New Roman" w:eastAsia="Times New Roman" w:hAnsi="Times New Roman" w:cs="Times New Roman"/>
          <w:sz w:val="24"/>
          <w:szCs w:val="24"/>
        </w:rPr>
        <w:t>judgment</w:t>
      </w:r>
      <w:r w:rsidRPr="69B4F93C">
        <w:rPr>
          <w:rFonts w:ascii="Times New Roman" w:eastAsia="Times New Roman" w:hAnsi="Times New Roman" w:cs="Times New Roman"/>
          <w:color w:val="000000" w:themeColor="text1"/>
          <w:sz w:val="24"/>
          <w:szCs w:val="24"/>
        </w:rPr>
        <w:t xml:space="preserve">, and physical activity (Nordberg et al., 2022). An individual who struggles to reach a work deadline, for instance, may experience acute stress. However, it is well documented </w:t>
      </w:r>
      <w:r w:rsidRPr="69B4F93C">
        <w:rPr>
          <w:rFonts w:ascii="Times New Roman" w:eastAsia="Times New Roman" w:hAnsi="Times New Roman" w:cs="Times New Roman"/>
          <w:sz w:val="24"/>
          <w:szCs w:val="24"/>
        </w:rPr>
        <w:t xml:space="preserve">that </w:t>
      </w:r>
      <w:r w:rsidRPr="69B4F93C">
        <w:rPr>
          <w:rFonts w:ascii="Times New Roman" w:eastAsia="Times New Roman" w:hAnsi="Times New Roman" w:cs="Times New Roman"/>
          <w:color w:val="000000" w:themeColor="text1"/>
          <w:sz w:val="24"/>
          <w:szCs w:val="24"/>
        </w:rPr>
        <w:t>events that surpass the temporal measure and cumulate in chronic stressors greatly impact behavioral health and increase chances of high blood pressure, heart disease, and weight gain (</w:t>
      </w:r>
      <w:r w:rsidRPr="69B4F93C">
        <w:rPr>
          <w:rFonts w:ascii="Times New Roman" w:eastAsia="Times New Roman" w:hAnsi="Times New Roman" w:cs="Times New Roman"/>
          <w:sz w:val="24"/>
          <w:szCs w:val="24"/>
        </w:rPr>
        <w:t>Fattouh et al., 2019)</w:t>
      </w:r>
      <w:r w:rsidRPr="69B4F93C">
        <w:rPr>
          <w:rFonts w:ascii="Times New Roman" w:eastAsia="Times New Roman" w:hAnsi="Times New Roman" w:cs="Times New Roman"/>
          <w:color w:val="000000" w:themeColor="text1"/>
          <w:sz w:val="24"/>
          <w:szCs w:val="24"/>
        </w:rPr>
        <w:t>.</w:t>
      </w:r>
      <w:r w:rsidRPr="69B4F93C">
        <w:rPr>
          <w:rFonts w:ascii="Times New Roman" w:eastAsia="Times New Roman" w:hAnsi="Times New Roman" w:cs="Times New Roman"/>
          <w:sz w:val="24"/>
          <w:szCs w:val="24"/>
        </w:rPr>
        <w:t xml:space="preserve"> Consider a hostile working environment. An employee enduring unrelenting hostility may experience chronic stress. Unlike acute stress, the employee's responses gone unchecked may lead to depression, anxiety, and alcoholism (Tate et al., 2006). </w:t>
      </w:r>
      <w:r w:rsidRPr="69B4F93C">
        <w:rPr>
          <w:rFonts w:ascii="Times New Roman" w:eastAsia="Times New Roman" w:hAnsi="Times New Roman" w:cs="Times New Roman"/>
          <w:color w:val="000000" w:themeColor="text1"/>
          <w:sz w:val="24"/>
          <w:szCs w:val="24"/>
        </w:rPr>
        <w:t xml:space="preserve">Due to the commitments and relationships observable in the lifespan of a single person, the </w:t>
      </w:r>
      <w:r w:rsidRPr="69B4F93C">
        <w:rPr>
          <w:rFonts w:ascii="Times New Roman" w:eastAsia="Times New Roman" w:hAnsi="Times New Roman" w:cs="Times New Roman"/>
          <w:sz w:val="24"/>
          <w:szCs w:val="24"/>
        </w:rPr>
        <w:t>predictability</w:t>
      </w:r>
      <w:r w:rsidRPr="69B4F93C">
        <w:rPr>
          <w:rFonts w:ascii="Times New Roman" w:eastAsia="Times New Roman" w:hAnsi="Times New Roman" w:cs="Times New Roman"/>
          <w:color w:val="000000" w:themeColor="text1"/>
          <w:sz w:val="24"/>
          <w:szCs w:val="24"/>
        </w:rPr>
        <w:t xml:space="preserve"> of routine acute stressors is high while experiencing chronic stress may be less frequent but more intense. </w:t>
      </w:r>
    </w:p>
    <w:p w14:paraId="1CFAEC60"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bookmarkStart w:id="0" w:name="_gjdgxs" w:colFirst="0" w:colLast="0"/>
      <w:bookmarkEnd w:id="0"/>
      <w:r>
        <w:rPr>
          <w:rFonts w:ascii="Times New Roman" w:eastAsia="Times New Roman" w:hAnsi="Times New Roman" w:cs="Times New Roman"/>
          <w:sz w:val="24"/>
          <w:szCs w:val="24"/>
        </w:rPr>
        <w:t xml:space="preserve">Understanding trauma requires distinguishing it from general stressors and focusing on events beyond a survivor's control. The core element is an unexpected threat of harm or death that compromises perceived safety (Witt et al., 2024). This differs from situations where risk is anticipated, like military service, where individuals voluntarily enter potentially traumatic </w:t>
      </w:r>
      <w:r>
        <w:rPr>
          <w:rFonts w:ascii="Times New Roman" w:eastAsia="Times New Roman" w:hAnsi="Times New Roman" w:cs="Times New Roman"/>
          <w:sz w:val="24"/>
          <w:szCs w:val="24"/>
        </w:rPr>
        <w:lastRenderedPageBreak/>
        <w:t>situations with prior awareness. Such voluntary exposure to risk differs fundamentally from trauma that occurs without warning or choice, as the element of preparation and mental readiness can significantly alter both the immediate response and long-term psychological impact. This distinction helps explain why similar events may result in different trauma responses across individuals, depending on their prior knowledge and voluntary acceptance of risk.</w:t>
      </w:r>
    </w:p>
    <w:p w14:paraId="614AD9B1"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Pr>
          <w:rFonts w:ascii="Times New Roman" w:eastAsia="Times New Roman" w:hAnsi="Times New Roman" w:cs="Times New Roman"/>
          <w:color w:val="000000"/>
          <w:sz w:val="24"/>
          <w:szCs w:val="24"/>
        </w:rPr>
        <w:t>nterpersonal violence (</w:t>
      </w:r>
      <w:proofErr w:type="spellStart"/>
      <w:r>
        <w:rPr>
          <w:rFonts w:ascii="Times New Roman" w:eastAsia="Times New Roman" w:hAnsi="Times New Roman" w:cs="Times New Roman"/>
          <w:color w:val="000000"/>
          <w:sz w:val="24"/>
          <w:szCs w:val="24"/>
        </w:rPr>
        <w:t>Ziaei</w:t>
      </w:r>
      <w:proofErr w:type="spellEnd"/>
      <w:r>
        <w:rPr>
          <w:rFonts w:ascii="Times New Roman" w:eastAsia="Times New Roman" w:hAnsi="Times New Roman" w:cs="Times New Roman"/>
          <w:color w:val="000000"/>
          <w:sz w:val="24"/>
          <w:szCs w:val="24"/>
        </w:rPr>
        <w:t xml:space="preserve"> &amp; </w:t>
      </w:r>
      <w:proofErr w:type="spellStart"/>
      <w:r>
        <w:rPr>
          <w:rFonts w:ascii="Times New Roman" w:eastAsia="Times New Roman" w:hAnsi="Times New Roman" w:cs="Times New Roman"/>
          <w:color w:val="000000"/>
          <w:sz w:val="24"/>
          <w:szCs w:val="24"/>
        </w:rPr>
        <w:t>Hammarström</w:t>
      </w:r>
      <w:proofErr w:type="spellEnd"/>
      <w:r>
        <w:rPr>
          <w:rFonts w:ascii="Times New Roman" w:eastAsia="Times New Roman" w:hAnsi="Times New Roman" w:cs="Times New Roman"/>
          <w:color w:val="000000"/>
          <w:sz w:val="24"/>
          <w:szCs w:val="24"/>
        </w:rPr>
        <w:t xml:space="preserve">, 2023), sexual exploitation and assault (Scott et al., 2018), natural disasters (Neria et al., 2008), illness (Alonzo, 2000), and the sudden death of a loved </w:t>
      </w:r>
      <w:r>
        <w:rPr>
          <w:rFonts w:ascii="Times New Roman" w:eastAsia="Times New Roman" w:hAnsi="Times New Roman" w:cs="Times New Roman"/>
          <w:sz w:val="24"/>
          <w:szCs w:val="24"/>
        </w:rPr>
        <w:t>one (</w:t>
      </w:r>
      <w:proofErr w:type="spellStart"/>
      <w:r>
        <w:rPr>
          <w:rFonts w:ascii="Times New Roman" w:eastAsia="Times New Roman" w:hAnsi="Times New Roman" w:cs="Times New Roman"/>
          <w:sz w:val="24"/>
          <w:szCs w:val="24"/>
        </w:rPr>
        <w:t>Atwoli</w:t>
      </w:r>
      <w:proofErr w:type="spellEnd"/>
      <w:r>
        <w:rPr>
          <w:rFonts w:ascii="Times New Roman" w:eastAsia="Times New Roman" w:hAnsi="Times New Roman" w:cs="Times New Roman"/>
          <w:sz w:val="24"/>
          <w:szCs w:val="24"/>
        </w:rPr>
        <w:t xml:space="preserve"> et al., 2017) are a few examples of an unexpected experience of threat. </w:t>
      </w:r>
      <w:r>
        <w:rPr>
          <w:rFonts w:ascii="Times New Roman" w:eastAsia="Times New Roman" w:hAnsi="Times New Roman" w:cs="Times New Roman"/>
          <w:sz w:val="24"/>
          <w:szCs w:val="24"/>
          <w:highlight w:val="white"/>
        </w:rPr>
        <w:t>Whether trauma is a known result of a behavior or event or an unexpected result, the outcome can be horrific and deserves the utmost attention. Due to the confines of this single review, the latter will be the focus.</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Focusing on the initial threat to perceived safety and wellbeing, the trajectory of responses is the most indicative of psychopathological outcomes (Witt et al., 2024). </w:t>
      </w:r>
      <w:r>
        <w:rPr>
          <w:rFonts w:ascii="Times New Roman" w:eastAsia="Times New Roman" w:hAnsi="Times New Roman" w:cs="Times New Roman"/>
          <w:sz w:val="24"/>
          <w:szCs w:val="24"/>
        </w:rPr>
        <w:t>Nonetheless, t</w:t>
      </w:r>
      <w:r>
        <w:rPr>
          <w:rFonts w:ascii="Times New Roman" w:eastAsia="Times New Roman" w:hAnsi="Times New Roman" w:cs="Times New Roman"/>
          <w:color w:val="000000"/>
          <w:sz w:val="24"/>
          <w:szCs w:val="24"/>
        </w:rPr>
        <w:t xml:space="preserve">he greater the traumatic event resounds </w:t>
      </w:r>
      <w:r>
        <w:rPr>
          <w:rFonts w:ascii="Times New Roman" w:eastAsia="Times New Roman" w:hAnsi="Times New Roman" w:cs="Times New Roman"/>
          <w:sz w:val="24"/>
          <w:szCs w:val="24"/>
        </w:rPr>
        <w:t>for the survivor</w:t>
      </w:r>
      <w:r>
        <w:rPr>
          <w:rFonts w:ascii="Times New Roman" w:eastAsia="Times New Roman" w:hAnsi="Times New Roman" w:cs="Times New Roman"/>
          <w:color w:val="000000"/>
          <w:sz w:val="24"/>
          <w:szCs w:val="24"/>
        </w:rPr>
        <w:t>, the greater the overall negative effects (</w:t>
      </w:r>
      <w:proofErr w:type="spellStart"/>
      <w:r>
        <w:rPr>
          <w:rFonts w:ascii="Times New Roman" w:eastAsia="Times New Roman" w:hAnsi="Times New Roman" w:cs="Times New Roman"/>
          <w:sz w:val="24"/>
          <w:szCs w:val="24"/>
        </w:rPr>
        <w:t>Bryngeirsdottir</w:t>
      </w:r>
      <w:proofErr w:type="spellEnd"/>
      <w:r>
        <w:rPr>
          <w:rFonts w:ascii="Times New Roman" w:eastAsia="Times New Roman" w:hAnsi="Times New Roman" w:cs="Times New Roman"/>
          <w:sz w:val="24"/>
          <w:szCs w:val="24"/>
        </w:rPr>
        <w:t xml:space="preserve"> &amp; Halldorsdottir, 2022). </w:t>
      </w:r>
    </w:p>
    <w:p w14:paraId="0F8E4BB2"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Polytrauma requires us to not only recognize trauma's difference from stress and its division into potential expected occurrence and unexpected occurrence but also to recognize that, unlike the early history of trauma, it is not confined to the result of one event. Thus, two or more traumatic events survived by an</w:t>
      </w:r>
      <w:r>
        <w:rPr>
          <w:rFonts w:ascii="Times New Roman" w:eastAsia="Times New Roman" w:hAnsi="Times New Roman" w:cs="Times New Roman"/>
          <w:color w:val="000000"/>
          <w:sz w:val="24"/>
          <w:szCs w:val="24"/>
        </w:rPr>
        <w:t xml:space="preserve"> individual emphasize the need for a deliberate term and definition (Seery et al., 2010). As a collective categorization, polytrauma engages with a duplicity or even a multiplicity of traumatic experiences (Sherman et al., 2020)</w:t>
      </w:r>
      <w:r>
        <w:rPr>
          <w:rFonts w:ascii="Times New Roman" w:eastAsia="Times New Roman" w:hAnsi="Times New Roman" w:cs="Times New Roman"/>
          <w:sz w:val="24"/>
          <w:szCs w:val="24"/>
        </w:rPr>
        <w:t>. Unlike single-event trauma, polytrauma encompasses:</w:t>
      </w:r>
    </w:p>
    <w:tbl>
      <w:tblPr>
        <w:tblStyle w:val="a"/>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38"/>
        <w:gridCol w:w="2656"/>
        <w:gridCol w:w="2656"/>
      </w:tblGrid>
      <w:tr w:rsidR="00542438" w14:paraId="6C6C6727" w14:textId="77777777" w:rsidTr="69B4F93C">
        <w:tc>
          <w:tcPr>
            <w:tcW w:w="4038" w:type="dxa"/>
          </w:tcPr>
          <w:p w14:paraId="60FAB0D2" w14:textId="77777777" w:rsidR="00542438" w:rsidRDefault="00F41472">
            <w:pPr>
              <w:pBdr>
                <w:top w:val="nil"/>
                <w:left w:val="nil"/>
                <w:bottom w:val="nil"/>
                <w:right w:val="nil"/>
                <w:between w:val="nil"/>
              </w:pBdr>
              <w:spacing w:after="160" w:line="259"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Category</w:t>
            </w:r>
          </w:p>
        </w:tc>
        <w:tc>
          <w:tcPr>
            <w:tcW w:w="2656" w:type="dxa"/>
          </w:tcPr>
          <w:p w14:paraId="0C5E5B3C" w14:textId="77777777" w:rsidR="00542438" w:rsidRDefault="00F41472">
            <w:pPr>
              <w:rPr>
                <w:rFonts w:ascii="Times New Roman" w:eastAsia="Times New Roman" w:hAnsi="Times New Roman" w:cs="Times New Roman"/>
                <w:sz w:val="24"/>
                <w:szCs w:val="24"/>
              </w:rPr>
            </w:pPr>
            <w:r>
              <w:rPr>
                <w:rFonts w:ascii="Times New Roman" w:eastAsia="Times New Roman" w:hAnsi="Times New Roman" w:cs="Times New Roman"/>
                <w:sz w:val="24"/>
                <w:szCs w:val="24"/>
              </w:rPr>
              <w:t>Definition</w:t>
            </w:r>
          </w:p>
        </w:tc>
        <w:tc>
          <w:tcPr>
            <w:tcW w:w="2656" w:type="dxa"/>
          </w:tcPr>
          <w:p w14:paraId="1ADEB257" w14:textId="77777777" w:rsidR="00542438" w:rsidRDefault="00F41472">
            <w:pPr>
              <w:rPr>
                <w:rFonts w:ascii="Times New Roman" w:eastAsia="Times New Roman" w:hAnsi="Times New Roman" w:cs="Times New Roman"/>
                <w:sz w:val="24"/>
                <w:szCs w:val="24"/>
              </w:rPr>
            </w:pPr>
            <w:r>
              <w:rPr>
                <w:rFonts w:ascii="Times New Roman" w:eastAsia="Times New Roman" w:hAnsi="Times New Roman" w:cs="Times New Roman"/>
                <w:sz w:val="24"/>
                <w:szCs w:val="24"/>
              </w:rPr>
              <w:t>Example</w:t>
            </w:r>
          </w:p>
        </w:tc>
      </w:tr>
      <w:tr w:rsidR="00542438" w14:paraId="1C552B1B" w14:textId="77777777" w:rsidTr="69B4F93C">
        <w:tc>
          <w:tcPr>
            <w:tcW w:w="4038" w:type="dxa"/>
          </w:tcPr>
          <w:p w14:paraId="15BE422D" w14:textId="77777777" w:rsidR="00542438" w:rsidRDefault="00F41472">
            <w:pPr>
              <w:numPr>
                <w:ilvl w:val="0"/>
                <w:numId w:val="1"/>
              </w:numPr>
              <w:pBdr>
                <w:top w:val="nil"/>
                <w:left w:val="nil"/>
                <w:bottom w:val="nil"/>
                <w:right w:val="nil"/>
                <w:between w:val="nil"/>
              </w:pBdr>
              <w:spacing w:after="160" w:line="259"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Sequential traumas across time</w:t>
            </w:r>
          </w:p>
        </w:tc>
        <w:tc>
          <w:tcPr>
            <w:tcW w:w="2656" w:type="dxa"/>
          </w:tcPr>
          <w:p w14:paraId="3EFD6754" w14:textId="77777777" w:rsidR="00542438" w:rsidRDefault="00F4147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Multiple traumatic experiences that occur at </w:t>
            </w:r>
            <w:r>
              <w:rPr>
                <w:rFonts w:ascii="Times New Roman" w:eastAsia="Times New Roman" w:hAnsi="Times New Roman" w:cs="Times New Roman"/>
                <w:sz w:val="24"/>
                <w:szCs w:val="24"/>
              </w:rPr>
              <w:lastRenderedPageBreak/>
              <w:t>different points in a person's life. Each event compounds the impact of previous traumas, potentially making recovery more complex (Kube et al., 2023).</w:t>
            </w:r>
          </w:p>
        </w:tc>
        <w:tc>
          <w:tcPr>
            <w:tcW w:w="2656" w:type="dxa"/>
          </w:tcPr>
          <w:p w14:paraId="1A71D716" w14:textId="77777777" w:rsidR="00542438" w:rsidRDefault="00F41472">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First, childhood neglect is experienced, followed </w:t>
            </w:r>
            <w:r>
              <w:rPr>
                <w:rFonts w:ascii="Times New Roman" w:eastAsia="Times New Roman" w:hAnsi="Times New Roman" w:cs="Times New Roman"/>
                <w:sz w:val="24"/>
                <w:szCs w:val="24"/>
              </w:rPr>
              <w:lastRenderedPageBreak/>
              <w:t>by a physically abusive relationship in young adulthood, and later workplace sexual harassment.</w:t>
            </w:r>
          </w:p>
        </w:tc>
      </w:tr>
      <w:tr w:rsidR="00542438" w14:paraId="09EFF696" w14:textId="77777777" w:rsidTr="69B4F93C">
        <w:tc>
          <w:tcPr>
            <w:tcW w:w="4038" w:type="dxa"/>
          </w:tcPr>
          <w:p w14:paraId="0A63628F" w14:textId="77777777" w:rsidR="00542438" w:rsidRDefault="00F41472">
            <w:pPr>
              <w:numPr>
                <w:ilvl w:val="0"/>
                <w:numId w:val="1"/>
              </w:numPr>
              <w:pBdr>
                <w:top w:val="nil"/>
                <w:left w:val="nil"/>
                <w:bottom w:val="nil"/>
                <w:right w:val="nil"/>
                <w:between w:val="nil"/>
              </w:pBdr>
              <w:spacing w:after="160" w:line="259"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Concurrent traumas occurring simultaneously</w:t>
            </w:r>
          </w:p>
        </w:tc>
        <w:tc>
          <w:tcPr>
            <w:tcW w:w="2656" w:type="dxa"/>
          </w:tcPr>
          <w:p w14:paraId="21C8C0D2" w14:textId="77777777" w:rsidR="00542438" w:rsidRDefault="00F41472">
            <w:pPr>
              <w:rPr>
                <w:rFonts w:ascii="Times New Roman" w:eastAsia="Times New Roman" w:hAnsi="Times New Roman" w:cs="Times New Roman"/>
                <w:sz w:val="24"/>
                <w:szCs w:val="24"/>
              </w:rPr>
            </w:pPr>
            <w:r>
              <w:rPr>
                <w:rFonts w:ascii="Times New Roman" w:eastAsia="Times New Roman" w:hAnsi="Times New Roman" w:cs="Times New Roman"/>
                <w:sz w:val="24"/>
                <w:szCs w:val="24"/>
              </w:rPr>
              <w:t>Multiple traumatic experiences happening at the same time period. When traumas overlap, it can overwhelm typical coping resources and make it particularly challenging to address any single aspect of the trauma in isolation (Silver et al., 2021).</w:t>
            </w:r>
          </w:p>
        </w:tc>
        <w:tc>
          <w:tcPr>
            <w:tcW w:w="2656" w:type="dxa"/>
          </w:tcPr>
          <w:p w14:paraId="2D9A0CF6" w14:textId="77777777" w:rsidR="00542438" w:rsidRDefault="00F4147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Simultaneously, while facing domestic violence, housing insecurity and workplace discrimination is being experienced. </w:t>
            </w:r>
          </w:p>
        </w:tc>
      </w:tr>
      <w:tr w:rsidR="00542438" w14:paraId="6A2CF102" w14:textId="77777777" w:rsidTr="69B4F93C">
        <w:tc>
          <w:tcPr>
            <w:tcW w:w="4038" w:type="dxa"/>
          </w:tcPr>
          <w:p w14:paraId="55D39B54" w14:textId="77777777" w:rsidR="00542438" w:rsidRDefault="00F41472">
            <w:pPr>
              <w:numPr>
                <w:ilvl w:val="0"/>
                <w:numId w:val="1"/>
              </w:numPr>
              <w:pBdr>
                <w:top w:val="nil"/>
                <w:left w:val="nil"/>
                <w:bottom w:val="nil"/>
                <w:right w:val="nil"/>
                <w:between w:val="nil"/>
              </w:pBdr>
              <w:spacing w:after="160" w:line="259"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Developmental traumas during critical growth periods</w:t>
            </w:r>
          </w:p>
        </w:tc>
        <w:tc>
          <w:tcPr>
            <w:tcW w:w="2656" w:type="dxa"/>
          </w:tcPr>
          <w:p w14:paraId="31FAC041" w14:textId="77777777" w:rsidR="00542438" w:rsidRDefault="00F41472">
            <w:pPr>
              <w:rPr>
                <w:rFonts w:ascii="Times New Roman" w:eastAsia="Times New Roman" w:hAnsi="Times New Roman" w:cs="Times New Roman"/>
                <w:sz w:val="24"/>
                <w:szCs w:val="24"/>
              </w:rPr>
            </w:pPr>
            <w:r>
              <w:rPr>
                <w:rFonts w:ascii="Times New Roman" w:eastAsia="Times New Roman" w:hAnsi="Times New Roman" w:cs="Times New Roman"/>
                <w:sz w:val="24"/>
                <w:szCs w:val="24"/>
              </w:rPr>
              <w:t>Traumas which occur during key stages of psychological, neurological, or social development, particularly in childhood and adolescence. The timing of these traumas can fundamentally alter developmental trajectories, affecting everything from neurological organization to personality formation and relationship patterns (Cruz et al., 2022).</w:t>
            </w:r>
          </w:p>
        </w:tc>
        <w:tc>
          <w:tcPr>
            <w:tcW w:w="2656" w:type="dxa"/>
          </w:tcPr>
          <w:p w14:paraId="7BAE562D" w14:textId="77777777" w:rsidR="00542438" w:rsidRDefault="00F41472">
            <w:pPr>
              <w:rPr>
                <w:rFonts w:ascii="Times New Roman" w:eastAsia="Times New Roman" w:hAnsi="Times New Roman" w:cs="Times New Roman"/>
                <w:sz w:val="24"/>
                <w:szCs w:val="24"/>
              </w:rPr>
            </w:pPr>
            <w:r>
              <w:rPr>
                <w:rFonts w:ascii="Times New Roman" w:eastAsia="Times New Roman" w:hAnsi="Times New Roman" w:cs="Times New Roman"/>
                <w:sz w:val="24"/>
                <w:szCs w:val="24"/>
              </w:rPr>
              <w:t>Exposure to chronic neglect during early attachment formation in infancy, and experiencing severe bullying or harassment during identity development in adolescence.</w:t>
            </w:r>
          </w:p>
        </w:tc>
      </w:tr>
      <w:tr w:rsidR="00542438" w14:paraId="7F55FA2F" w14:textId="77777777" w:rsidTr="69B4F93C">
        <w:tc>
          <w:tcPr>
            <w:tcW w:w="4038" w:type="dxa"/>
          </w:tcPr>
          <w:p w14:paraId="5926D2E2" w14:textId="77777777" w:rsidR="00542438" w:rsidRDefault="00F41472">
            <w:pPr>
              <w:numPr>
                <w:ilvl w:val="0"/>
                <w:numId w:val="1"/>
              </w:numPr>
              <w:pBdr>
                <w:top w:val="nil"/>
                <w:left w:val="nil"/>
                <w:bottom w:val="nil"/>
                <w:right w:val="nil"/>
                <w:between w:val="nil"/>
              </w:pBdr>
              <w:spacing w:after="160" w:line="259"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Environmental/systemic traumas</w:t>
            </w:r>
          </w:p>
        </w:tc>
        <w:tc>
          <w:tcPr>
            <w:tcW w:w="2656" w:type="dxa"/>
          </w:tcPr>
          <w:p w14:paraId="41751D4A" w14:textId="39A6F7B4" w:rsidR="00542438" w:rsidRDefault="00F41472">
            <w:pPr>
              <w:rPr>
                <w:rFonts w:ascii="Times New Roman" w:eastAsia="Times New Roman" w:hAnsi="Times New Roman" w:cs="Times New Roman"/>
                <w:sz w:val="24"/>
                <w:szCs w:val="24"/>
              </w:rPr>
            </w:pPr>
            <w:r w:rsidRPr="69B4F93C">
              <w:rPr>
                <w:rFonts w:ascii="Times New Roman" w:eastAsia="Times New Roman" w:hAnsi="Times New Roman" w:cs="Times New Roman"/>
                <w:sz w:val="24"/>
                <w:szCs w:val="24"/>
              </w:rPr>
              <w:t xml:space="preserve">Traumatic experiences </w:t>
            </w:r>
            <w:r w:rsidR="37EF0CD5" w:rsidRPr="69B4F93C">
              <w:rPr>
                <w:rFonts w:ascii="Times New Roman" w:eastAsia="Times New Roman" w:hAnsi="Times New Roman" w:cs="Times New Roman"/>
                <w:sz w:val="24"/>
                <w:szCs w:val="24"/>
              </w:rPr>
              <w:t>are embedded</w:t>
            </w:r>
            <w:r w:rsidRPr="69B4F93C">
              <w:rPr>
                <w:rFonts w:ascii="Times New Roman" w:eastAsia="Times New Roman" w:hAnsi="Times New Roman" w:cs="Times New Roman"/>
                <w:sz w:val="24"/>
                <w:szCs w:val="24"/>
              </w:rPr>
              <w:t xml:space="preserve"> in broader social, political, or institutional systems. These traumas are particularly challenging because they're often chronic and inescapable, requiring navigation of hostile or unsafe </w:t>
            </w:r>
            <w:r w:rsidRPr="69B4F93C">
              <w:rPr>
                <w:rFonts w:ascii="Times New Roman" w:eastAsia="Times New Roman" w:hAnsi="Times New Roman" w:cs="Times New Roman"/>
                <w:sz w:val="24"/>
                <w:szCs w:val="24"/>
              </w:rPr>
              <w:lastRenderedPageBreak/>
              <w:t>environments on a daily basis (Goldsmith et al., 2014).</w:t>
            </w:r>
          </w:p>
        </w:tc>
        <w:tc>
          <w:tcPr>
            <w:tcW w:w="2656" w:type="dxa"/>
          </w:tcPr>
          <w:p w14:paraId="44F17D05" w14:textId="77777777" w:rsidR="00542438" w:rsidRDefault="00F41472">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Living in neighborhoods with chronic violence, experiencing persistent racism or discrimination, and existing within systems of poverty that create ongoing toxic stress.</w:t>
            </w:r>
          </w:p>
        </w:tc>
      </w:tr>
      <w:tr w:rsidR="00542438" w14:paraId="1AE56B0D" w14:textId="77777777" w:rsidTr="69B4F93C">
        <w:tc>
          <w:tcPr>
            <w:tcW w:w="4038" w:type="dxa"/>
          </w:tcPr>
          <w:p w14:paraId="206BE752" w14:textId="77777777" w:rsidR="00542438" w:rsidRDefault="00F41472">
            <w:pPr>
              <w:numPr>
                <w:ilvl w:val="0"/>
                <w:numId w:val="1"/>
              </w:numPr>
              <w:pBdr>
                <w:top w:val="nil"/>
                <w:left w:val="nil"/>
                <w:bottom w:val="nil"/>
                <w:right w:val="nil"/>
                <w:between w:val="nil"/>
              </w:pBdr>
              <w:spacing w:after="160" w:line="259"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Intergenerational trauma passed through families/communities</w:t>
            </w:r>
          </w:p>
        </w:tc>
        <w:tc>
          <w:tcPr>
            <w:tcW w:w="2656" w:type="dxa"/>
          </w:tcPr>
          <w:p w14:paraId="6695ED35" w14:textId="77777777" w:rsidR="00542438" w:rsidRDefault="00F41472">
            <w:pPr>
              <w:rPr>
                <w:rFonts w:ascii="Times New Roman" w:eastAsia="Times New Roman" w:hAnsi="Times New Roman" w:cs="Times New Roman"/>
                <w:sz w:val="24"/>
                <w:szCs w:val="24"/>
              </w:rPr>
            </w:pPr>
            <w:r>
              <w:rPr>
                <w:rFonts w:ascii="Times New Roman" w:eastAsia="Times New Roman" w:hAnsi="Times New Roman" w:cs="Times New Roman"/>
                <w:sz w:val="24"/>
                <w:szCs w:val="24"/>
              </w:rPr>
              <w:t>Transmission of traumatic experiences and their effects across generations, through both biological and social mechanisms</w:t>
            </w:r>
            <w:r>
              <w:rPr>
                <w:color w:val="212121"/>
              </w:rPr>
              <w:t xml:space="preserve"> (</w:t>
            </w:r>
            <w:r>
              <w:rPr>
                <w:rFonts w:ascii="Times New Roman" w:eastAsia="Times New Roman" w:hAnsi="Times New Roman" w:cs="Times New Roman"/>
                <w:sz w:val="24"/>
                <w:szCs w:val="24"/>
              </w:rPr>
              <w:t>Lehrner &amp; Yehuda, 2018). This can occur through various channels including parenting styles shaped by trauma, epigenetic changes that affect stress response systems (Yehuda &amp; Lehrner, 2018), cultural narratives and collective memory, learned coping mechanisms passed down through families, and socioeconomic impacts that create ongoing stressors.</w:t>
            </w:r>
          </w:p>
        </w:tc>
        <w:tc>
          <w:tcPr>
            <w:tcW w:w="2656" w:type="dxa"/>
          </w:tcPr>
          <w:p w14:paraId="20BA01D7" w14:textId="77777777" w:rsidR="00542438" w:rsidRDefault="00F41472">
            <w:pPr>
              <w:rPr>
                <w:rFonts w:ascii="Times New Roman" w:eastAsia="Times New Roman" w:hAnsi="Times New Roman" w:cs="Times New Roman"/>
                <w:sz w:val="24"/>
                <w:szCs w:val="24"/>
              </w:rPr>
            </w:pPr>
            <w:r>
              <w:rPr>
                <w:rFonts w:ascii="Times New Roman" w:eastAsia="Times New Roman" w:hAnsi="Times New Roman" w:cs="Times New Roman"/>
                <w:sz w:val="24"/>
                <w:szCs w:val="24"/>
              </w:rPr>
              <w:t>Children and grandchildren of Holocaust survivors, despite not experiencing the Holocaust directly, may exhibit trauma responses which then impact emotional regulation, implicate somatic responses to stress, and manifest in anxiety disorders.</w:t>
            </w:r>
          </w:p>
        </w:tc>
      </w:tr>
    </w:tbl>
    <w:p w14:paraId="6E48924F" w14:textId="77777777" w:rsidR="00542438" w:rsidRDefault="00542438">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p>
    <w:p w14:paraId="7121D091"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Each of these forms of polytrauma can interact with and amplify the others (Williams, 2006). For instance, someone might experience developmental trauma in childhood, which occurs within a context of systemic racism, while also carrying the weight of historical traumas experienced by their community.</w:t>
      </w:r>
      <w:r>
        <w:rPr>
          <w:rFonts w:ascii="Times New Roman" w:eastAsia="Times New Roman" w:hAnsi="Times New Roman" w:cs="Times New Roman"/>
          <w:b/>
          <w:sz w:val="24"/>
          <w:szCs w:val="24"/>
        </w:rPr>
        <w:t xml:space="preserve"> </w:t>
      </w:r>
      <w:r>
        <w:rPr>
          <w:rFonts w:ascii="Times New Roman" w:eastAsia="Times New Roman" w:hAnsi="Times New Roman" w:cs="Times New Roman"/>
          <w:color w:val="000000"/>
          <w:sz w:val="24"/>
          <w:szCs w:val="24"/>
        </w:rPr>
        <w:t xml:space="preserve">Therefore, our operational definition of polytrauma clarifies that </w:t>
      </w:r>
      <w:r>
        <w:rPr>
          <w:rFonts w:ascii="Times New Roman" w:eastAsia="Times New Roman" w:hAnsi="Times New Roman" w:cs="Times New Roman"/>
          <w:sz w:val="24"/>
          <w:szCs w:val="24"/>
        </w:rPr>
        <w:t>it is not</w:t>
      </w:r>
      <w:r>
        <w:rPr>
          <w:rFonts w:ascii="Times New Roman" w:eastAsia="Times New Roman" w:hAnsi="Times New Roman" w:cs="Times New Roman"/>
          <w:color w:val="000000"/>
          <w:sz w:val="24"/>
          <w:szCs w:val="24"/>
        </w:rPr>
        <w:t xml:space="preserve"> multiple, separate traumas in one </w:t>
      </w:r>
      <w:r>
        <w:rPr>
          <w:rFonts w:ascii="Times New Roman" w:eastAsia="Times New Roman" w:hAnsi="Times New Roman" w:cs="Times New Roman"/>
          <w:sz w:val="24"/>
          <w:szCs w:val="24"/>
        </w:rPr>
        <w:t>lifetime</w:t>
      </w:r>
      <w:r>
        <w:rPr>
          <w:rFonts w:ascii="Times New Roman" w:eastAsia="Times New Roman" w:hAnsi="Times New Roman" w:cs="Times New Roman"/>
          <w:color w:val="000000"/>
          <w:sz w:val="24"/>
          <w:szCs w:val="24"/>
        </w:rPr>
        <w:t xml:space="preserve"> but rather an interconnected web of traumatic experiences that influence and magnify each other. Based on the categorical </w:t>
      </w:r>
      <w:r>
        <w:rPr>
          <w:rFonts w:ascii="Times New Roman" w:eastAsia="Times New Roman" w:hAnsi="Times New Roman" w:cs="Times New Roman"/>
          <w:sz w:val="24"/>
          <w:szCs w:val="24"/>
        </w:rPr>
        <w:t xml:space="preserve">table </w:t>
      </w:r>
      <w:r>
        <w:rPr>
          <w:rFonts w:ascii="Times New Roman" w:eastAsia="Times New Roman" w:hAnsi="Times New Roman" w:cs="Times New Roman"/>
          <w:color w:val="000000"/>
          <w:sz w:val="24"/>
          <w:szCs w:val="24"/>
        </w:rPr>
        <w:t>above, several key characteristics include the following:</w:t>
      </w:r>
    </w:p>
    <w:p w14:paraId="394B2BDC" w14:textId="77777777" w:rsidR="00542438" w:rsidRDefault="00F41472">
      <w:pPr>
        <w:numPr>
          <w:ilvl w:val="0"/>
          <w:numId w:val="2"/>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Cumulative effects: Each trauma builds upon and intensifies the impact of others</w:t>
      </w:r>
    </w:p>
    <w:p w14:paraId="13DE6107" w14:textId="77777777" w:rsidR="00542438" w:rsidRDefault="00F41472">
      <w:pPr>
        <w:numPr>
          <w:ilvl w:val="0"/>
          <w:numId w:val="2"/>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Interactive nature: Traumas do</w:t>
      </w:r>
      <w:r>
        <w:rPr>
          <w:rFonts w:ascii="Times New Roman" w:eastAsia="Times New Roman" w:hAnsi="Times New Roman" w:cs="Times New Roman"/>
          <w:sz w:val="24"/>
          <w:szCs w:val="24"/>
        </w:rPr>
        <w:t xml:space="preserve"> no</w:t>
      </w:r>
      <w:r>
        <w:rPr>
          <w:rFonts w:ascii="Times New Roman" w:eastAsia="Times New Roman" w:hAnsi="Times New Roman" w:cs="Times New Roman"/>
          <w:color w:val="000000"/>
          <w:sz w:val="24"/>
          <w:szCs w:val="24"/>
        </w:rPr>
        <w:t>t exist in isolation but create complex feedback loops.</w:t>
      </w:r>
    </w:p>
    <w:p w14:paraId="553D15AB" w14:textId="77777777" w:rsidR="00542438" w:rsidRDefault="00F41472">
      <w:pPr>
        <w:numPr>
          <w:ilvl w:val="0"/>
          <w:numId w:val="2"/>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Systemic components: Polytrauma often involves both personal and broader societal/structural traumas.</w:t>
      </w:r>
    </w:p>
    <w:p w14:paraId="23752FF1" w14:textId="77777777" w:rsidR="00542438" w:rsidRDefault="00F41472">
      <w:pPr>
        <w:numPr>
          <w:ilvl w:val="0"/>
          <w:numId w:val="2"/>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Temporal complexity: Polytrauma can span different time periods or occur simultaneously.</w:t>
      </w:r>
    </w:p>
    <w:p w14:paraId="61BCFCD3" w14:textId="77777777" w:rsidR="00542438" w:rsidRDefault="00F41472">
      <w:pPr>
        <w:numPr>
          <w:ilvl w:val="0"/>
          <w:numId w:val="2"/>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Multi-dimensional impact: Multiple domains of functioning (psychological, physical, social, developmental) can be affected.</w:t>
      </w:r>
    </w:p>
    <w:p w14:paraId="2A3C2769" w14:textId="7B6865DB" w:rsidR="00542438" w:rsidRDefault="00F41472" w:rsidP="736BBD3F">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736BBD3F">
        <w:rPr>
          <w:rFonts w:ascii="Times New Roman" w:eastAsia="Times New Roman" w:hAnsi="Times New Roman" w:cs="Times New Roman"/>
          <w:color w:val="000000" w:themeColor="text1"/>
          <w:sz w:val="24"/>
          <w:szCs w:val="24"/>
        </w:rPr>
        <w:t xml:space="preserve">Further insight into the larger phenomenon of polytrauma requires additional information of a survivor’s background. This evaluation includes cumulative risks such as family demographics (Cunningham et al., 2021), genetic affective </w:t>
      </w:r>
      <w:r w:rsidRPr="736BBD3F">
        <w:rPr>
          <w:rFonts w:ascii="Times New Roman" w:eastAsia="Times New Roman" w:hAnsi="Times New Roman" w:cs="Times New Roman"/>
          <w:sz w:val="24"/>
          <w:szCs w:val="24"/>
        </w:rPr>
        <w:t>disorders (</w:t>
      </w:r>
      <w:proofErr w:type="spellStart"/>
      <w:r w:rsidRPr="736BBD3F">
        <w:rPr>
          <w:rFonts w:ascii="Times New Roman" w:eastAsia="Times New Roman" w:hAnsi="Times New Roman" w:cs="Times New Roman"/>
          <w:sz w:val="24"/>
          <w:szCs w:val="24"/>
        </w:rPr>
        <w:t>Garmezy</w:t>
      </w:r>
      <w:proofErr w:type="spellEnd"/>
      <w:r w:rsidRPr="736BBD3F">
        <w:rPr>
          <w:rFonts w:ascii="Times New Roman" w:eastAsia="Times New Roman" w:hAnsi="Times New Roman" w:cs="Times New Roman"/>
          <w:sz w:val="24"/>
          <w:szCs w:val="24"/>
        </w:rPr>
        <w:t xml:space="preserve">, 1993), </w:t>
      </w:r>
      <w:r w:rsidRPr="736BBD3F">
        <w:rPr>
          <w:rFonts w:ascii="Times New Roman" w:eastAsia="Times New Roman" w:hAnsi="Times New Roman" w:cs="Times New Roman"/>
          <w:color w:val="000000" w:themeColor="text1"/>
          <w:sz w:val="24"/>
          <w:szCs w:val="24"/>
        </w:rPr>
        <w:t xml:space="preserve">poverty and insecurities in homelife (Brown et al., 2021), </w:t>
      </w:r>
      <w:r w:rsidRPr="736BBD3F">
        <w:rPr>
          <w:rFonts w:ascii="Times New Roman" w:eastAsia="Times New Roman" w:hAnsi="Times New Roman" w:cs="Times New Roman"/>
          <w:sz w:val="24"/>
          <w:szCs w:val="24"/>
        </w:rPr>
        <w:t xml:space="preserve">and </w:t>
      </w:r>
      <w:r w:rsidRPr="736BBD3F">
        <w:rPr>
          <w:rFonts w:ascii="Times New Roman" w:eastAsia="Times New Roman" w:hAnsi="Times New Roman" w:cs="Times New Roman"/>
          <w:color w:val="000000" w:themeColor="text1"/>
          <w:sz w:val="24"/>
          <w:szCs w:val="24"/>
        </w:rPr>
        <w:t xml:space="preserve">lack of critical health and social services (Jiang et al., 2020). </w:t>
      </w:r>
      <w:r w:rsidRPr="736BBD3F">
        <w:rPr>
          <w:rFonts w:ascii="Times New Roman" w:eastAsia="Times New Roman" w:hAnsi="Times New Roman" w:cs="Times New Roman"/>
          <w:sz w:val="24"/>
          <w:szCs w:val="24"/>
        </w:rPr>
        <w:t>Yet, p</w:t>
      </w:r>
      <w:r w:rsidRPr="736BBD3F">
        <w:rPr>
          <w:rFonts w:ascii="Times New Roman" w:eastAsia="Times New Roman" w:hAnsi="Times New Roman" w:cs="Times New Roman"/>
          <w:color w:val="000000" w:themeColor="text1"/>
          <w:sz w:val="24"/>
          <w:szCs w:val="24"/>
        </w:rPr>
        <w:t>erhaps the most profuse r</w:t>
      </w:r>
      <w:r w:rsidRPr="736BBD3F">
        <w:rPr>
          <w:rFonts w:ascii="Times New Roman" w:eastAsia="Times New Roman" w:hAnsi="Times New Roman" w:cs="Times New Roman"/>
          <w:sz w:val="24"/>
          <w:szCs w:val="24"/>
        </w:rPr>
        <w:t xml:space="preserve">isk factor is childhood abuse (Bürgin et al., 2021). </w:t>
      </w:r>
      <w:r w:rsidRPr="736BBD3F">
        <w:rPr>
          <w:rFonts w:ascii="Times New Roman" w:eastAsia="Times New Roman" w:hAnsi="Times New Roman" w:cs="Times New Roman"/>
          <w:color w:val="000000" w:themeColor="text1"/>
          <w:sz w:val="24"/>
          <w:szCs w:val="24"/>
        </w:rPr>
        <w:t xml:space="preserve">Risk exposures at a young age </w:t>
      </w:r>
      <w:r w:rsidR="6113FD8C" w:rsidRPr="736BBD3F">
        <w:rPr>
          <w:rFonts w:ascii="Times New Roman" w:eastAsia="Times New Roman" w:hAnsi="Times New Roman" w:cs="Times New Roman"/>
          <w:color w:val="000000" w:themeColor="text1"/>
          <w:sz w:val="24"/>
          <w:szCs w:val="24"/>
        </w:rPr>
        <w:t>led</w:t>
      </w:r>
      <w:r w:rsidRPr="736BBD3F">
        <w:rPr>
          <w:rFonts w:ascii="Times New Roman" w:eastAsia="Times New Roman" w:hAnsi="Times New Roman" w:cs="Times New Roman"/>
          <w:color w:val="000000" w:themeColor="text1"/>
          <w:sz w:val="24"/>
          <w:szCs w:val="24"/>
        </w:rPr>
        <w:t xml:space="preserve"> to developmental and behavioral problems</w:t>
      </w:r>
      <w:r w:rsidRPr="736BBD3F">
        <w:rPr>
          <w:rFonts w:ascii="Times New Roman" w:eastAsia="Times New Roman" w:hAnsi="Times New Roman" w:cs="Times New Roman"/>
          <w:sz w:val="24"/>
          <w:szCs w:val="24"/>
        </w:rPr>
        <w:t xml:space="preserve"> (Callaghan &amp; Tottenham, 2016</w:t>
      </w:r>
      <w:r w:rsidRPr="736BBD3F">
        <w:rPr>
          <w:rFonts w:ascii="Times New Roman" w:eastAsia="Times New Roman" w:hAnsi="Times New Roman" w:cs="Times New Roman"/>
          <w:color w:val="000000" w:themeColor="text1"/>
          <w:sz w:val="24"/>
          <w:szCs w:val="24"/>
        </w:rPr>
        <w:t xml:space="preserve">), and the larger the number of risk exposures, the greater the identifiable behavioral and affective problems. Conclusively, the quantity of risk exposures outweighs the specificity of the environmental conditions when assimilating causal information (Zeanah &amp; </w:t>
      </w:r>
      <w:proofErr w:type="spellStart"/>
      <w:r w:rsidRPr="736BBD3F">
        <w:rPr>
          <w:rFonts w:ascii="Times New Roman" w:eastAsia="Times New Roman" w:hAnsi="Times New Roman" w:cs="Times New Roman"/>
          <w:color w:val="000000" w:themeColor="text1"/>
          <w:sz w:val="24"/>
          <w:szCs w:val="24"/>
        </w:rPr>
        <w:t>Sonuga</w:t>
      </w:r>
      <w:proofErr w:type="spellEnd"/>
      <w:r w:rsidRPr="736BBD3F">
        <w:rPr>
          <w:rFonts w:ascii="Times New Roman" w:eastAsia="Times New Roman" w:hAnsi="Times New Roman" w:cs="Times New Roman"/>
          <w:color w:val="000000" w:themeColor="text1"/>
          <w:sz w:val="24"/>
          <w:szCs w:val="24"/>
        </w:rPr>
        <w:t xml:space="preserve">, 2016). Burgeoning cumulative risks position an individual on an opportunistic course (Bürgin et al., 2021), where traumatic events have a </w:t>
      </w:r>
      <w:r w:rsidRPr="736BBD3F">
        <w:rPr>
          <w:rFonts w:ascii="Times New Roman" w:eastAsia="Times New Roman" w:hAnsi="Times New Roman" w:cs="Times New Roman"/>
          <w:sz w:val="24"/>
          <w:szCs w:val="24"/>
        </w:rPr>
        <w:t xml:space="preserve">greater </w:t>
      </w:r>
      <w:r w:rsidRPr="736BBD3F">
        <w:rPr>
          <w:rFonts w:ascii="Times New Roman" w:eastAsia="Times New Roman" w:hAnsi="Times New Roman" w:cs="Times New Roman"/>
          <w:color w:val="000000" w:themeColor="text1"/>
          <w:sz w:val="24"/>
          <w:szCs w:val="24"/>
        </w:rPr>
        <w:t xml:space="preserve">chance of happening repeatedly. </w:t>
      </w:r>
      <w:r w:rsidR="1C53F269" w:rsidRPr="736BBD3F">
        <w:rPr>
          <w:rFonts w:ascii="Times New Roman" w:eastAsia="Times New Roman" w:hAnsi="Times New Roman" w:cs="Times New Roman"/>
          <w:color w:val="000000" w:themeColor="text1"/>
          <w:sz w:val="24"/>
          <w:szCs w:val="24"/>
        </w:rPr>
        <w:t xml:space="preserve">However, </w:t>
      </w:r>
      <w:r w:rsidR="2BA6E6FF" w:rsidRPr="736BBD3F">
        <w:rPr>
          <w:rFonts w:ascii="Times New Roman" w:eastAsia="Times New Roman" w:hAnsi="Times New Roman" w:cs="Times New Roman"/>
          <w:color w:val="000000" w:themeColor="text1"/>
          <w:sz w:val="24"/>
          <w:szCs w:val="24"/>
        </w:rPr>
        <w:t>risks do not dictate all outcomes as disadvantage is not a determinant of fate (</w:t>
      </w:r>
      <w:r w:rsidR="7BCB5389" w:rsidRPr="736BBD3F">
        <w:rPr>
          <w:rFonts w:ascii="Times New Roman" w:eastAsia="Times New Roman" w:hAnsi="Times New Roman" w:cs="Times New Roman"/>
          <w:sz w:val="24"/>
          <w:szCs w:val="24"/>
        </w:rPr>
        <w:t>Szalavitz &amp; Perry, 2010).</w:t>
      </w:r>
    </w:p>
    <w:p w14:paraId="60C0AB2E"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Polytrauma encircles various negative affective responses to stressors, risk exposures, unexpected traumatic threats, and successive traumatic events. </w:t>
      </w:r>
      <w:r>
        <w:rPr>
          <w:rFonts w:ascii="Times New Roman" w:eastAsia="Times New Roman" w:hAnsi="Times New Roman" w:cs="Times New Roman"/>
          <w:sz w:val="24"/>
          <w:szCs w:val="24"/>
        </w:rPr>
        <w:t>A definite count of polytrauma is not available since the compartmentalized classifications of trauma are regularly compared with each other for psychopathological assessments (Contractor et al., 2018).</w:t>
      </w:r>
      <w:r>
        <w:rPr>
          <w:rFonts w:ascii="Times New Roman" w:eastAsia="Times New Roman" w:hAnsi="Times New Roman" w:cs="Times New Roman"/>
          <w:color w:val="000000"/>
          <w:sz w:val="24"/>
          <w:szCs w:val="24"/>
        </w:rPr>
        <w:t xml:space="preserve"> Therefore, it is critical </w:t>
      </w:r>
      <w:r>
        <w:rPr>
          <w:rFonts w:ascii="Times New Roman" w:eastAsia="Times New Roman" w:hAnsi="Times New Roman" w:cs="Times New Roman"/>
          <w:color w:val="000000"/>
          <w:sz w:val="24"/>
          <w:szCs w:val="24"/>
        </w:rPr>
        <w:lastRenderedPageBreak/>
        <w:t>to assess polytrauma as not only a recurring victimization but as multidimensional</w:t>
      </w:r>
      <w:r>
        <w:rPr>
          <w:rFonts w:ascii="Times New Roman" w:eastAsia="Times New Roman" w:hAnsi="Times New Roman" w:cs="Times New Roman"/>
          <w:sz w:val="24"/>
          <w:szCs w:val="24"/>
        </w:rPr>
        <w:t xml:space="preserve"> exposures to adversity and trauma</w:t>
      </w:r>
      <w:r>
        <w:rPr>
          <w:rFonts w:ascii="Times New Roman" w:eastAsia="Times New Roman" w:hAnsi="Times New Roman" w:cs="Times New Roman"/>
          <w:color w:val="000000"/>
          <w:sz w:val="24"/>
          <w:szCs w:val="24"/>
        </w:rPr>
        <w:t xml:space="preserve">. </w:t>
      </w:r>
    </w:p>
    <w:p w14:paraId="5A73DADA" w14:textId="77777777" w:rsidR="00542438" w:rsidRDefault="00F41472" w:rsidP="20DB9FDD">
      <w:pPr>
        <w:pBdr>
          <w:top w:val="nil"/>
          <w:left w:val="nil"/>
          <w:bottom w:val="nil"/>
          <w:right w:val="nil"/>
          <w:between w:val="nil"/>
        </w:pBdr>
        <w:spacing w:after="0" w:line="480" w:lineRule="auto"/>
        <w:jc w:val="center"/>
        <w:rPr>
          <w:rFonts w:ascii="Times New Roman" w:eastAsia="Times New Roman" w:hAnsi="Times New Roman" w:cs="Times New Roman"/>
          <w:color w:val="000000"/>
          <w:sz w:val="24"/>
          <w:szCs w:val="24"/>
          <w:u w:val="single"/>
        </w:rPr>
      </w:pPr>
      <w:r w:rsidRPr="736BBD3F">
        <w:rPr>
          <w:rFonts w:ascii="Times New Roman" w:eastAsia="Times New Roman" w:hAnsi="Times New Roman" w:cs="Times New Roman"/>
          <w:color w:val="000000" w:themeColor="text1"/>
          <w:sz w:val="24"/>
          <w:szCs w:val="24"/>
          <w:u w:val="single"/>
        </w:rPr>
        <w:t>Resilience and Protective Factors</w:t>
      </w:r>
    </w:p>
    <w:p w14:paraId="299FC08D"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the Deficit-Based Model places blame on individuals for factors outside of their immediate control, responsive asset-based approaches emerged with the intent to shift negative ways of thinking within education pedagogy (Ramasubramanian et al., 2021), health fields, and in the interest of better community development. This all-inclusive emphasis on valuing diversity as a strength sustains backgrounds and experiences beyond dominant cultural and social conditions. </w:t>
      </w:r>
    </w:p>
    <w:p w14:paraId="70AAB584" w14:textId="49544C59" w:rsidR="00542438" w:rsidRDefault="00F41472" w:rsidP="60B321D3">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60B321D3">
        <w:rPr>
          <w:rFonts w:ascii="Times New Roman" w:eastAsia="Times New Roman" w:hAnsi="Times New Roman" w:cs="Times New Roman"/>
          <w:sz w:val="24"/>
          <w:szCs w:val="24"/>
        </w:rPr>
        <w:t>As early as the 1930’s, the British Pioneer Health Clinic instituted the Peckham Experiment to examine a localized community as a holistic living system with various collective abilities that could be translated into health advantages (Barlow, 1985). An inherent understanding of viewing health positively paralleled the more prominent deficit-based thinking. Through the Peckham Experiment, health was shown to be more than the absence of disease (</w:t>
      </w:r>
      <w:proofErr w:type="spellStart"/>
      <w:r w:rsidRPr="60B321D3">
        <w:rPr>
          <w:rFonts w:ascii="Times New Roman" w:eastAsia="Times New Roman" w:hAnsi="Times New Roman" w:cs="Times New Roman"/>
          <w:sz w:val="24"/>
          <w:szCs w:val="24"/>
        </w:rPr>
        <w:t>Conford</w:t>
      </w:r>
      <w:proofErr w:type="spellEnd"/>
      <w:r w:rsidRPr="60B321D3">
        <w:rPr>
          <w:rFonts w:ascii="Times New Roman" w:eastAsia="Times New Roman" w:hAnsi="Times New Roman" w:cs="Times New Roman"/>
          <w:sz w:val="24"/>
          <w:szCs w:val="24"/>
        </w:rPr>
        <w:t xml:space="preserve">, 2016), and emphasis on positive environmental impacts was correlated to better individual and community outcomes. However, further experimentation of large-scale asset-based health appraisal was abandoned due to the morbid impact of the World Wars and sequential international tensions (Whiting et al., 2012). For </w:t>
      </w:r>
      <w:r w:rsidR="7C08E780" w:rsidRPr="60B321D3">
        <w:rPr>
          <w:rFonts w:ascii="Times New Roman" w:eastAsia="Times New Roman" w:hAnsi="Times New Roman" w:cs="Times New Roman"/>
          <w:sz w:val="24"/>
          <w:szCs w:val="24"/>
        </w:rPr>
        <w:t>many years, the focus in healthcare was mainly on treating diseases rather than promoting people’s overall well-being. This made it difficult to develop approaches that emphasized positive health outcomes and individual streng</w:t>
      </w:r>
      <w:r w:rsidR="175538A4" w:rsidRPr="60B321D3">
        <w:rPr>
          <w:rFonts w:ascii="Times New Roman" w:eastAsia="Times New Roman" w:hAnsi="Times New Roman" w:cs="Times New Roman"/>
          <w:sz w:val="24"/>
          <w:szCs w:val="24"/>
        </w:rPr>
        <w:t xml:space="preserve">ths. However, over the past thirty years, there has been a growing interest in asset-based approaches, especially in fields like education, where the focus is on building community strengths and resources </w:t>
      </w:r>
      <w:r w:rsidRPr="60B321D3">
        <w:rPr>
          <w:rFonts w:ascii="Times New Roman" w:eastAsia="Times New Roman" w:hAnsi="Times New Roman" w:cs="Times New Roman"/>
          <w:sz w:val="24"/>
          <w:szCs w:val="24"/>
        </w:rPr>
        <w:t xml:space="preserve">(Kretzmann &amp; McKnight, 1993; Greene &amp; Haines, 2008). The </w:t>
      </w:r>
      <w:r w:rsidRPr="60B321D3">
        <w:rPr>
          <w:rFonts w:ascii="Times New Roman" w:eastAsia="Times New Roman" w:hAnsi="Times New Roman" w:cs="Times New Roman"/>
          <w:sz w:val="24"/>
          <w:szCs w:val="24"/>
        </w:rPr>
        <w:lastRenderedPageBreak/>
        <w:t>regeneration of individuals and communities’ attributes as benefits and opportunities not only began to establish strength in present health and social factors but in the possibility of adaptation and flexibility (Kashdan &amp; Rottenberg, 2010). Moreover, with a reduction in deficit-based approaches in educational settings, students' external and internal assets have been found to strengthen and lead to positive social values and higher self-efficacy (</w:t>
      </w:r>
      <w:proofErr w:type="spellStart"/>
      <w:r w:rsidRPr="60B321D3">
        <w:rPr>
          <w:rFonts w:ascii="Times New Roman" w:eastAsia="Times New Roman" w:hAnsi="Times New Roman" w:cs="Times New Roman"/>
          <w:sz w:val="24"/>
          <w:szCs w:val="24"/>
        </w:rPr>
        <w:t>Renkly</w:t>
      </w:r>
      <w:proofErr w:type="spellEnd"/>
      <w:r w:rsidRPr="60B321D3">
        <w:rPr>
          <w:rFonts w:ascii="Times New Roman" w:eastAsia="Times New Roman" w:hAnsi="Times New Roman" w:cs="Times New Roman"/>
          <w:sz w:val="24"/>
          <w:szCs w:val="24"/>
        </w:rPr>
        <w:t xml:space="preserve"> &amp; Bertolini, 2018). </w:t>
      </w:r>
    </w:p>
    <w:p w14:paraId="6002700E" w14:textId="66C8BAE5" w:rsidR="00542438" w:rsidRDefault="00F41472" w:rsidP="736BBD3F">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736BBD3F">
        <w:rPr>
          <w:rFonts w:ascii="Times New Roman" w:eastAsia="Times New Roman" w:hAnsi="Times New Roman" w:cs="Times New Roman"/>
          <w:sz w:val="24"/>
          <w:szCs w:val="24"/>
        </w:rPr>
        <w:t xml:space="preserve">Building on this understanding of how positive approaches enhance individuals’ outcomes, resilience emerges as a dynamic </w:t>
      </w:r>
      <w:r w:rsidR="699D13B7" w:rsidRPr="736BBD3F">
        <w:rPr>
          <w:rFonts w:ascii="Times New Roman" w:eastAsia="Times New Roman" w:hAnsi="Times New Roman" w:cs="Times New Roman"/>
          <w:sz w:val="24"/>
          <w:szCs w:val="24"/>
        </w:rPr>
        <w:t xml:space="preserve">developmental </w:t>
      </w:r>
      <w:r w:rsidRPr="736BBD3F">
        <w:rPr>
          <w:rFonts w:ascii="Times New Roman" w:eastAsia="Times New Roman" w:hAnsi="Times New Roman" w:cs="Times New Roman"/>
          <w:sz w:val="24"/>
          <w:szCs w:val="24"/>
        </w:rPr>
        <w:t>process strengthened through cumulative positive experiences and crucial social support. Having even one consistent, supportive relationship can dramatically enhance a survivor's capacity to develop adaptive responses to stress (Luthar &amp; Cicchetti, 2000). Through these supportive interactions and ongoing engagement with their environment, the brain and body learn to perceive challenges as manageable rather than overwhelming. This adaptive development accumulates through the interplay of personal capabilities, social support, and environmental resources (Scales et al., 2000; Morgan, 2011), creating neurobiological changes that enhance coping capacity over time.</w:t>
      </w:r>
    </w:p>
    <w:p w14:paraId="5891A087" w14:textId="0DBE8791" w:rsidR="00542438" w:rsidRDefault="00F41472" w:rsidP="44C4E0DB">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44C4E0DB">
        <w:rPr>
          <w:rFonts w:ascii="Times New Roman" w:eastAsia="Times New Roman" w:hAnsi="Times New Roman" w:cs="Times New Roman"/>
          <w:sz w:val="24"/>
          <w:szCs w:val="24"/>
        </w:rPr>
        <w:t>The interactive nature of resilience develops through multiple pathways</w:t>
      </w:r>
      <w:r w:rsidR="4DA39D6C" w:rsidRPr="44C4E0DB">
        <w:rPr>
          <w:rFonts w:ascii="Times New Roman" w:eastAsia="Times New Roman" w:hAnsi="Times New Roman" w:cs="Times New Roman"/>
          <w:sz w:val="24"/>
          <w:szCs w:val="24"/>
        </w:rPr>
        <w:t xml:space="preserve">, making </w:t>
      </w:r>
      <w:r w:rsidR="7290D503" w:rsidRPr="44C4E0DB">
        <w:rPr>
          <w:rFonts w:ascii="Times New Roman" w:eastAsia="Times New Roman" w:hAnsi="Times New Roman" w:cs="Times New Roman"/>
          <w:sz w:val="24"/>
          <w:szCs w:val="24"/>
        </w:rPr>
        <w:t xml:space="preserve">it </w:t>
      </w:r>
      <w:r w:rsidR="4DA39D6C" w:rsidRPr="44C4E0DB">
        <w:rPr>
          <w:rFonts w:ascii="Times New Roman" w:eastAsia="Times New Roman" w:hAnsi="Times New Roman" w:cs="Times New Roman"/>
          <w:sz w:val="24"/>
          <w:szCs w:val="24"/>
        </w:rPr>
        <w:t xml:space="preserve">a dynamic system of </w:t>
      </w:r>
      <w:r w:rsidR="30284F9C" w:rsidRPr="44C4E0DB">
        <w:rPr>
          <w:rFonts w:ascii="Times New Roman" w:eastAsia="Times New Roman" w:hAnsi="Times New Roman" w:cs="Times New Roman"/>
          <w:sz w:val="24"/>
          <w:szCs w:val="24"/>
        </w:rPr>
        <w:t xml:space="preserve">transformation </w:t>
      </w:r>
      <w:r w:rsidR="4DA39D6C" w:rsidRPr="44C4E0DB">
        <w:rPr>
          <w:rFonts w:ascii="Times New Roman" w:eastAsia="Times New Roman" w:hAnsi="Times New Roman" w:cs="Times New Roman"/>
          <w:sz w:val="24"/>
          <w:szCs w:val="24"/>
        </w:rPr>
        <w:t>rather than a fixed trait</w:t>
      </w:r>
      <w:r w:rsidRPr="44C4E0DB">
        <w:rPr>
          <w:rFonts w:ascii="Times New Roman" w:eastAsia="Times New Roman" w:hAnsi="Times New Roman" w:cs="Times New Roman"/>
          <w:sz w:val="24"/>
          <w:szCs w:val="24"/>
        </w:rPr>
        <w:t xml:space="preserve"> (Banyard et al., 2017). </w:t>
      </w:r>
      <w:r w:rsidR="72A4FA1D" w:rsidRPr="44C4E0DB">
        <w:rPr>
          <w:rFonts w:ascii="Times New Roman" w:eastAsia="Times New Roman" w:hAnsi="Times New Roman" w:cs="Times New Roman"/>
          <w:sz w:val="24"/>
          <w:szCs w:val="24"/>
        </w:rPr>
        <w:t xml:space="preserve">Masten’s theory of resilience </w:t>
      </w:r>
      <w:r w:rsidR="6BFC3388" w:rsidRPr="44C4E0DB">
        <w:rPr>
          <w:rFonts w:ascii="Times New Roman" w:eastAsia="Times New Roman" w:hAnsi="Times New Roman" w:cs="Times New Roman"/>
          <w:sz w:val="24"/>
          <w:szCs w:val="24"/>
        </w:rPr>
        <w:t xml:space="preserve">reflects </w:t>
      </w:r>
      <w:r w:rsidR="7B594716" w:rsidRPr="44C4E0DB">
        <w:rPr>
          <w:rFonts w:ascii="Times New Roman" w:eastAsia="Times New Roman" w:hAnsi="Times New Roman" w:cs="Times New Roman"/>
          <w:sz w:val="24"/>
          <w:szCs w:val="24"/>
        </w:rPr>
        <w:t xml:space="preserve">the utilization of </w:t>
      </w:r>
      <w:r w:rsidR="6E8E202E" w:rsidRPr="44C4E0DB">
        <w:rPr>
          <w:rFonts w:ascii="Times New Roman" w:eastAsia="Times New Roman" w:hAnsi="Times New Roman" w:cs="Times New Roman"/>
          <w:sz w:val="24"/>
          <w:szCs w:val="24"/>
        </w:rPr>
        <w:t>many</w:t>
      </w:r>
      <w:r w:rsidR="72A4FA1D" w:rsidRPr="44C4E0DB">
        <w:rPr>
          <w:rFonts w:ascii="Times New Roman" w:eastAsia="Times New Roman" w:hAnsi="Times New Roman" w:cs="Times New Roman"/>
          <w:sz w:val="24"/>
          <w:szCs w:val="24"/>
        </w:rPr>
        <w:t xml:space="preserve"> </w:t>
      </w:r>
      <w:r w:rsidR="48C763A8" w:rsidRPr="44C4E0DB">
        <w:rPr>
          <w:rFonts w:ascii="Times New Roman" w:eastAsia="Times New Roman" w:hAnsi="Times New Roman" w:cs="Times New Roman"/>
          <w:sz w:val="24"/>
          <w:szCs w:val="24"/>
        </w:rPr>
        <w:t xml:space="preserve">integral </w:t>
      </w:r>
      <w:r w:rsidR="72A4FA1D" w:rsidRPr="44C4E0DB">
        <w:rPr>
          <w:rFonts w:ascii="Times New Roman" w:eastAsia="Times New Roman" w:hAnsi="Times New Roman" w:cs="Times New Roman"/>
          <w:sz w:val="24"/>
          <w:szCs w:val="24"/>
        </w:rPr>
        <w:t>processes and resources</w:t>
      </w:r>
      <w:r w:rsidR="4FC4AAAB" w:rsidRPr="44C4E0DB">
        <w:rPr>
          <w:rFonts w:ascii="Times New Roman" w:eastAsia="Times New Roman" w:hAnsi="Times New Roman" w:cs="Times New Roman"/>
          <w:sz w:val="24"/>
          <w:szCs w:val="24"/>
        </w:rPr>
        <w:t xml:space="preserve"> to establish </w:t>
      </w:r>
      <w:r w:rsidR="0E27D001" w:rsidRPr="44C4E0DB">
        <w:rPr>
          <w:rFonts w:ascii="Times New Roman" w:eastAsia="Times New Roman" w:hAnsi="Times New Roman" w:cs="Times New Roman"/>
          <w:sz w:val="24"/>
          <w:szCs w:val="24"/>
        </w:rPr>
        <w:t>equilibrium</w:t>
      </w:r>
      <w:r w:rsidR="4FC4AAAB" w:rsidRPr="44C4E0DB">
        <w:rPr>
          <w:rFonts w:ascii="Times New Roman" w:eastAsia="Times New Roman" w:hAnsi="Times New Roman" w:cs="Times New Roman"/>
          <w:sz w:val="24"/>
          <w:szCs w:val="24"/>
        </w:rPr>
        <w:t xml:space="preserve"> </w:t>
      </w:r>
      <w:r w:rsidR="5FF89214" w:rsidRPr="44C4E0DB">
        <w:rPr>
          <w:rFonts w:ascii="Times New Roman" w:eastAsia="Times New Roman" w:hAnsi="Times New Roman" w:cs="Times New Roman"/>
          <w:sz w:val="24"/>
          <w:szCs w:val="24"/>
        </w:rPr>
        <w:t xml:space="preserve">and </w:t>
      </w:r>
      <w:r w:rsidR="6B0EF6FD" w:rsidRPr="44C4E0DB">
        <w:rPr>
          <w:rFonts w:ascii="Times New Roman" w:eastAsia="Times New Roman" w:hAnsi="Times New Roman" w:cs="Times New Roman"/>
          <w:sz w:val="24"/>
          <w:szCs w:val="24"/>
        </w:rPr>
        <w:t xml:space="preserve">support natural adaptation </w:t>
      </w:r>
      <w:r w:rsidR="4FC4AAAB" w:rsidRPr="44C4E0DB">
        <w:rPr>
          <w:rFonts w:ascii="Times New Roman" w:eastAsia="Times New Roman" w:hAnsi="Times New Roman" w:cs="Times New Roman"/>
          <w:sz w:val="24"/>
          <w:szCs w:val="24"/>
        </w:rPr>
        <w:t xml:space="preserve">(2019). </w:t>
      </w:r>
      <w:r w:rsidR="4FE9F946" w:rsidRPr="44C4E0DB">
        <w:rPr>
          <w:rFonts w:ascii="Times New Roman" w:eastAsia="Times New Roman" w:hAnsi="Times New Roman" w:cs="Times New Roman"/>
          <w:sz w:val="24"/>
          <w:szCs w:val="24"/>
        </w:rPr>
        <w:t xml:space="preserve">Resilience emerges through the growth of internal adaptive systems, such as immunity and self-regulation, </w:t>
      </w:r>
      <w:r w:rsidR="3E2DC3A5" w:rsidRPr="44C4E0DB">
        <w:rPr>
          <w:rFonts w:ascii="Times New Roman" w:eastAsia="Times New Roman" w:hAnsi="Times New Roman" w:cs="Times New Roman"/>
          <w:sz w:val="24"/>
          <w:szCs w:val="24"/>
        </w:rPr>
        <w:t xml:space="preserve">and the influential contexts of </w:t>
      </w:r>
      <w:r w:rsidR="4FE9F946" w:rsidRPr="44C4E0DB">
        <w:rPr>
          <w:rFonts w:ascii="Times New Roman" w:eastAsia="Times New Roman" w:hAnsi="Times New Roman" w:cs="Times New Roman"/>
          <w:sz w:val="24"/>
          <w:szCs w:val="24"/>
        </w:rPr>
        <w:t>external environments</w:t>
      </w:r>
      <w:r w:rsidR="5CFDD04F" w:rsidRPr="44C4E0DB">
        <w:rPr>
          <w:rFonts w:ascii="Times New Roman" w:eastAsia="Times New Roman" w:hAnsi="Times New Roman" w:cs="Times New Roman"/>
          <w:sz w:val="24"/>
          <w:szCs w:val="24"/>
        </w:rPr>
        <w:t>,</w:t>
      </w:r>
      <w:r w:rsidR="4FE9F946" w:rsidRPr="44C4E0DB">
        <w:rPr>
          <w:rFonts w:ascii="Times New Roman" w:eastAsia="Times New Roman" w:hAnsi="Times New Roman" w:cs="Times New Roman"/>
          <w:sz w:val="24"/>
          <w:szCs w:val="24"/>
        </w:rPr>
        <w:t xml:space="preserve"> such as family, school, and community</w:t>
      </w:r>
      <w:r w:rsidR="7E11ED81" w:rsidRPr="44C4E0DB">
        <w:rPr>
          <w:rFonts w:ascii="Times New Roman" w:eastAsia="Times New Roman" w:hAnsi="Times New Roman" w:cs="Times New Roman"/>
          <w:sz w:val="24"/>
          <w:szCs w:val="24"/>
        </w:rPr>
        <w:t>,</w:t>
      </w:r>
      <w:r w:rsidR="4FE9F946" w:rsidRPr="44C4E0DB">
        <w:rPr>
          <w:rFonts w:ascii="Times New Roman" w:eastAsia="Times New Roman" w:hAnsi="Times New Roman" w:cs="Times New Roman"/>
          <w:sz w:val="24"/>
          <w:szCs w:val="24"/>
        </w:rPr>
        <w:t xml:space="preserve"> </w:t>
      </w:r>
      <w:r w:rsidR="2C765E64" w:rsidRPr="44C4E0DB">
        <w:rPr>
          <w:rFonts w:ascii="Times New Roman" w:eastAsia="Times New Roman" w:hAnsi="Times New Roman" w:cs="Times New Roman"/>
          <w:sz w:val="24"/>
          <w:szCs w:val="24"/>
        </w:rPr>
        <w:t xml:space="preserve">which </w:t>
      </w:r>
      <w:r w:rsidR="4FE9F946" w:rsidRPr="44C4E0DB">
        <w:rPr>
          <w:rFonts w:ascii="Times New Roman" w:eastAsia="Times New Roman" w:hAnsi="Times New Roman" w:cs="Times New Roman"/>
          <w:sz w:val="24"/>
          <w:szCs w:val="24"/>
        </w:rPr>
        <w:t>simultaneously shap</w:t>
      </w:r>
      <w:r w:rsidR="43C98695" w:rsidRPr="44C4E0DB">
        <w:rPr>
          <w:rFonts w:ascii="Times New Roman" w:eastAsia="Times New Roman" w:hAnsi="Times New Roman" w:cs="Times New Roman"/>
          <w:sz w:val="24"/>
          <w:szCs w:val="24"/>
        </w:rPr>
        <w:t>e</w:t>
      </w:r>
      <w:r w:rsidR="7FB28B8C" w:rsidRPr="44C4E0DB">
        <w:rPr>
          <w:rFonts w:ascii="Times New Roman" w:eastAsia="Times New Roman" w:hAnsi="Times New Roman" w:cs="Times New Roman"/>
          <w:sz w:val="24"/>
          <w:szCs w:val="24"/>
        </w:rPr>
        <w:t xml:space="preserve"> an</w:t>
      </w:r>
      <w:r w:rsidR="4FE9F946" w:rsidRPr="44C4E0DB">
        <w:rPr>
          <w:rFonts w:ascii="Times New Roman" w:eastAsia="Times New Roman" w:hAnsi="Times New Roman" w:cs="Times New Roman"/>
          <w:sz w:val="24"/>
          <w:szCs w:val="24"/>
        </w:rPr>
        <w:t xml:space="preserve"> individual</w:t>
      </w:r>
      <w:r w:rsidR="3A41B1E5" w:rsidRPr="44C4E0DB">
        <w:rPr>
          <w:rFonts w:ascii="Times New Roman" w:eastAsia="Times New Roman" w:hAnsi="Times New Roman" w:cs="Times New Roman"/>
          <w:sz w:val="24"/>
          <w:szCs w:val="24"/>
        </w:rPr>
        <w:t>’s</w:t>
      </w:r>
      <w:r w:rsidR="4FE9F946" w:rsidRPr="44C4E0DB">
        <w:rPr>
          <w:rFonts w:ascii="Times New Roman" w:eastAsia="Times New Roman" w:hAnsi="Times New Roman" w:cs="Times New Roman"/>
          <w:sz w:val="24"/>
          <w:szCs w:val="24"/>
        </w:rPr>
        <w:t xml:space="preserve"> development (Masten, 2019). </w:t>
      </w:r>
      <w:r w:rsidR="3E35D1CB" w:rsidRPr="44C4E0DB">
        <w:rPr>
          <w:rFonts w:ascii="Times New Roman" w:eastAsia="Times New Roman" w:hAnsi="Times New Roman" w:cs="Times New Roman"/>
          <w:sz w:val="24"/>
          <w:szCs w:val="24"/>
        </w:rPr>
        <w:t>The theory identifies several key systems</w:t>
      </w:r>
      <w:r w:rsidR="2D150643" w:rsidRPr="44C4E0DB">
        <w:rPr>
          <w:rFonts w:ascii="Times New Roman" w:eastAsia="Times New Roman" w:hAnsi="Times New Roman" w:cs="Times New Roman"/>
          <w:sz w:val="24"/>
          <w:szCs w:val="24"/>
        </w:rPr>
        <w:t>, also recognized as protective factors,</w:t>
      </w:r>
      <w:r w:rsidR="3E35D1CB" w:rsidRPr="44C4E0DB">
        <w:rPr>
          <w:rFonts w:ascii="Times New Roman" w:eastAsia="Times New Roman" w:hAnsi="Times New Roman" w:cs="Times New Roman"/>
          <w:sz w:val="24"/>
          <w:szCs w:val="24"/>
        </w:rPr>
        <w:t xml:space="preserve"> which support the </w:t>
      </w:r>
      <w:r w:rsidR="500AFD4F" w:rsidRPr="44C4E0DB">
        <w:rPr>
          <w:rFonts w:ascii="Times New Roman" w:eastAsia="Times New Roman" w:hAnsi="Times New Roman" w:cs="Times New Roman"/>
          <w:sz w:val="24"/>
          <w:szCs w:val="24"/>
        </w:rPr>
        <w:t>evolution of resilience:</w:t>
      </w:r>
      <w:r w:rsidR="652B2672" w:rsidRPr="44C4E0DB">
        <w:rPr>
          <w:rFonts w:ascii="Times New Roman" w:eastAsia="Times New Roman" w:hAnsi="Times New Roman" w:cs="Times New Roman"/>
          <w:sz w:val="24"/>
          <w:szCs w:val="24"/>
        </w:rPr>
        <w:t xml:space="preserve"> neurological systems, motivation beliefs,</w:t>
      </w:r>
      <w:r w:rsidR="500AFD4F" w:rsidRPr="44C4E0DB">
        <w:rPr>
          <w:rFonts w:ascii="Times New Roman" w:eastAsia="Times New Roman" w:hAnsi="Times New Roman" w:cs="Times New Roman"/>
          <w:sz w:val="24"/>
          <w:szCs w:val="24"/>
        </w:rPr>
        <w:t xml:space="preserve"> social support networks</w:t>
      </w:r>
      <w:r w:rsidR="36B30772" w:rsidRPr="44C4E0DB">
        <w:rPr>
          <w:rFonts w:ascii="Times New Roman" w:eastAsia="Times New Roman" w:hAnsi="Times New Roman" w:cs="Times New Roman"/>
          <w:sz w:val="24"/>
          <w:szCs w:val="24"/>
        </w:rPr>
        <w:t>,</w:t>
      </w:r>
      <w:r w:rsidR="500AFD4F" w:rsidRPr="44C4E0DB">
        <w:rPr>
          <w:rFonts w:ascii="Times New Roman" w:eastAsia="Times New Roman" w:hAnsi="Times New Roman" w:cs="Times New Roman"/>
          <w:sz w:val="24"/>
          <w:szCs w:val="24"/>
        </w:rPr>
        <w:t xml:space="preserve"> learning systems, </w:t>
      </w:r>
      <w:r w:rsidR="41E1C1E2" w:rsidRPr="44C4E0DB">
        <w:rPr>
          <w:rFonts w:ascii="Times New Roman" w:eastAsia="Times New Roman" w:hAnsi="Times New Roman" w:cs="Times New Roman"/>
          <w:sz w:val="24"/>
          <w:szCs w:val="24"/>
        </w:rPr>
        <w:t xml:space="preserve">spiritual and/or cultural belief </w:t>
      </w:r>
      <w:r w:rsidR="41E1C1E2" w:rsidRPr="44C4E0DB">
        <w:rPr>
          <w:rFonts w:ascii="Times New Roman" w:eastAsia="Times New Roman" w:hAnsi="Times New Roman" w:cs="Times New Roman"/>
          <w:sz w:val="24"/>
          <w:szCs w:val="24"/>
        </w:rPr>
        <w:lastRenderedPageBreak/>
        <w:t xml:space="preserve">systems, </w:t>
      </w:r>
      <w:r w:rsidR="0CB1B10E" w:rsidRPr="44C4E0DB">
        <w:rPr>
          <w:rFonts w:ascii="Times New Roman" w:eastAsia="Times New Roman" w:hAnsi="Times New Roman" w:cs="Times New Roman"/>
          <w:sz w:val="24"/>
          <w:szCs w:val="24"/>
        </w:rPr>
        <w:t xml:space="preserve">and </w:t>
      </w:r>
      <w:r w:rsidR="41E1C1E2" w:rsidRPr="44C4E0DB">
        <w:rPr>
          <w:rFonts w:ascii="Times New Roman" w:eastAsia="Times New Roman" w:hAnsi="Times New Roman" w:cs="Times New Roman"/>
          <w:sz w:val="24"/>
          <w:szCs w:val="24"/>
        </w:rPr>
        <w:t>community resource support</w:t>
      </w:r>
      <w:r w:rsidR="6A938715" w:rsidRPr="44C4E0DB">
        <w:rPr>
          <w:rFonts w:ascii="Times New Roman" w:eastAsia="Times New Roman" w:hAnsi="Times New Roman" w:cs="Times New Roman"/>
          <w:sz w:val="24"/>
          <w:szCs w:val="24"/>
        </w:rPr>
        <w:t xml:space="preserve"> (Masten &amp; Barnes, 2018)</w:t>
      </w:r>
      <w:r w:rsidR="7BBE3BE6" w:rsidRPr="44C4E0DB">
        <w:rPr>
          <w:rFonts w:ascii="Times New Roman" w:eastAsia="Times New Roman" w:hAnsi="Times New Roman" w:cs="Times New Roman"/>
          <w:sz w:val="24"/>
          <w:szCs w:val="24"/>
        </w:rPr>
        <w:t>.</w:t>
      </w:r>
      <w:r w:rsidR="20744F94" w:rsidRPr="44C4E0DB">
        <w:rPr>
          <w:rFonts w:ascii="Times New Roman" w:eastAsia="Times New Roman" w:hAnsi="Times New Roman" w:cs="Times New Roman"/>
          <w:sz w:val="24"/>
          <w:szCs w:val="24"/>
        </w:rPr>
        <w:t xml:space="preserve"> </w:t>
      </w:r>
      <w:r w:rsidR="47B7D35C" w:rsidRPr="44C4E0DB">
        <w:rPr>
          <w:rFonts w:ascii="Times New Roman" w:eastAsia="Times New Roman" w:hAnsi="Times New Roman" w:cs="Times New Roman"/>
          <w:sz w:val="24"/>
          <w:szCs w:val="24"/>
        </w:rPr>
        <w:t>The</w:t>
      </w:r>
      <w:r w:rsidR="11D15ECE" w:rsidRPr="44C4E0DB">
        <w:rPr>
          <w:rFonts w:ascii="Times New Roman" w:eastAsia="Times New Roman" w:hAnsi="Times New Roman" w:cs="Times New Roman"/>
          <w:sz w:val="24"/>
          <w:szCs w:val="24"/>
        </w:rPr>
        <w:t>refore, the</w:t>
      </w:r>
      <w:r w:rsidR="47B7D35C" w:rsidRPr="44C4E0DB">
        <w:rPr>
          <w:rFonts w:ascii="Times New Roman" w:eastAsia="Times New Roman" w:hAnsi="Times New Roman" w:cs="Times New Roman"/>
          <w:sz w:val="24"/>
          <w:szCs w:val="24"/>
        </w:rPr>
        <w:t xml:space="preserve"> ability to </w:t>
      </w:r>
      <w:r w:rsidR="1C773373" w:rsidRPr="44C4E0DB">
        <w:rPr>
          <w:rFonts w:ascii="Times New Roman" w:eastAsia="Times New Roman" w:hAnsi="Times New Roman" w:cs="Times New Roman"/>
          <w:sz w:val="24"/>
          <w:szCs w:val="24"/>
        </w:rPr>
        <w:t xml:space="preserve">successfully adjust to challenges that could disrupt survival, operation, or growth </w:t>
      </w:r>
      <w:r w:rsidR="778FD10D" w:rsidRPr="44C4E0DB">
        <w:rPr>
          <w:rFonts w:ascii="Times New Roman" w:eastAsia="Times New Roman" w:hAnsi="Times New Roman" w:cs="Times New Roman"/>
          <w:sz w:val="24"/>
          <w:szCs w:val="24"/>
        </w:rPr>
        <w:t xml:space="preserve">can be </w:t>
      </w:r>
      <w:r w:rsidR="1C773373" w:rsidRPr="44C4E0DB">
        <w:rPr>
          <w:rFonts w:ascii="Times New Roman" w:eastAsia="Times New Roman" w:hAnsi="Times New Roman" w:cs="Times New Roman"/>
          <w:sz w:val="24"/>
          <w:szCs w:val="24"/>
        </w:rPr>
        <w:t xml:space="preserve">broadly </w:t>
      </w:r>
      <w:r w:rsidR="47806533" w:rsidRPr="44C4E0DB">
        <w:rPr>
          <w:rFonts w:ascii="Times New Roman" w:eastAsia="Times New Roman" w:hAnsi="Times New Roman" w:cs="Times New Roman"/>
          <w:sz w:val="24"/>
          <w:szCs w:val="24"/>
        </w:rPr>
        <w:t>accepted as</w:t>
      </w:r>
      <w:r w:rsidR="1C773373" w:rsidRPr="44C4E0DB">
        <w:rPr>
          <w:rFonts w:ascii="Times New Roman" w:eastAsia="Times New Roman" w:hAnsi="Times New Roman" w:cs="Times New Roman"/>
          <w:sz w:val="24"/>
          <w:szCs w:val="24"/>
        </w:rPr>
        <w:t xml:space="preserve"> the fundamental definition of resilience and can be </w:t>
      </w:r>
      <w:r w:rsidR="0D8F63EE" w:rsidRPr="44C4E0DB">
        <w:rPr>
          <w:rFonts w:ascii="Times New Roman" w:eastAsia="Times New Roman" w:hAnsi="Times New Roman" w:cs="Times New Roman"/>
          <w:sz w:val="24"/>
          <w:szCs w:val="24"/>
        </w:rPr>
        <w:t xml:space="preserve">further </w:t>
      </w:r>
      <w:r w:rsidR="4811F881" w:rsidRPr="44C4E0DB">
        <w:rPr>
          <w:rFonts w:ascii="Times New Roman" w:eastAsia="Times New Roman" w:hAnsi="Times New Roman" w:cs="Times New Roman"/>
          <w:sz w:val="24"/>
          <w:szCs w:val="24"/>
        </w:rPr>
        <w:t>applied to a multitude of</w:t>
      </w:r>
      <w:r w:rsidR="20BAAB7A" w:rsidRPr="44C4E0DB">
        <w:rPr>
          <w:rFonts w:ascii="Times New Roman" w:eastAsia="Times New Roman" w:hAnsi="Times New Roman" w:cs="Times New Roman"/>
          <w:sz w:val="24"/>
          <w:szCs w:val="24"/>
        </w:rPr>
        <w:t xml:space="preserve"> varied</w:t>
      </w:r>
      <w:r w:rsidR="4811F881" w:rsidRPr="44C4E0DB">
        <w:rPr>
          <w:rFonts w:ascii="Times New Roman" w:eastAsia="Times New Roman" w:hAnsi="Times New Roman" w:cs="Times New Roman"/>
          <w:sz w:val="24"/>
          <w:szCs w:val="24"/>
        </w:rPr>
        <w:t xml:space="preserve"> systems, including individuals, families, communities</w:t>
      </w:r>
      <w:r w:rsidR="6335C298" w:rsidRPr="44C4E0DB">
        <w:rPr>
          <w:rFonts w:ascii="Times New Roman" w:eastAsia="Times New Roman" w:hAnsi="Times New Roman" w:cs="Times New Roman"/>
          <w:sz w:val="24"/>
          <w:szCs w:val="24"/>
        </w:rPr>
        <w:t>, organizations, and ecosystems</w:t>
      </w:r>
      <w:r w:rsidR="20E851B7" w:rsidRPr="44C4E0DB">
        <w:rPr>
          <w:rFonts w:ascii="Times New Roman" w:eastAsia="Times New Roman" w:hAnsi="Times New Roman" w:cs="Times New Roman"/>
          <w:sz w:val="24"/>
          <w:szCs w:val="24"/>
        </w:rPr>
        <w:t xml:space="preserve"> (Masten, 2014)</w:t>
      </w:r>
      <w:r w:rsidR="1C773373" w:rsidRPr="44C4E0DB">
        <w:rPr>
          <w:rFonts w:ascii="Times New Roman" w:eastAsia="Times New Roman" w:hAnsi="Times New Roman" w:cs="Times New Roman"/>
          <w:sz w:val="24"/>
          <w:szCs w:val="24"/>
        </w:rPr>
        <w:t xml:space="preserve">. </w:t>
      </w:r>
      <w:r w:rsidRPr="44C4E0DB">
        <w:rPr>
          <w:rFonts w:ascii="Times New Roman" w:eastAsia="Times New Roman" w:hAnsi="Times New Roman" w:cs="Times New Roman"/>
          <w:sz w:val="24"/>
          <w:szCs w:val="24"/>
        </w:rPr>
        <w:t>Wolin &amp; Wolin's (1993) key behaviors for resilience flourish in this context: insight, independence, humor, initiative, relationships, creativity, and morality. Research suggests these key competencies</w:t>
      </w:r>
      <w:r w:rsidR="56788202" w:rsidRPr="44C4E0DB">
        <w:rPr>
          <w:rFonts w:ascii="Times New Roman" w:eastAsia="Times New Roman" w:hAnsi="Times New Roman" w:cs="Times New Roman"/>
          <w:sz w:val="24"/>
          <w:szCs w:val="24"/>
        </w:rPr>
        <w:t xml:space="preserve"> fluidly interact with one another to</w:t>
      </w:r>
      <w:r w:rsidRPr="44C4E0DB">
        <w:rPr>
          <w:rFonts w:ascii="Times New Roman" w:eastAsia="Times New Roman" w:hAnsi="Times New Roman" w:cs="Times New Roman"/>
          <w:sz w:val="24"/>
          <w:szCs w:val="24"/>
        </w:rPr>
        <w:t xml:space="preserve"> enable individuals </w:t>
      </w:r>
      <w:r w:rsidR="4B1FE02A" w:rsidRPr="44C4E0DB">
        <w:rPr>
          <w:rFonts w:ascii="Times New Roman" w:eastAsia="Times New Roman" w:hAnsi="Times New Roman" w:cs="Times New Roman"/>
          <w:sz w:val="24"/>
          <w:szCs w:val="24"/>
        </w:rPr>
        <w:t xml:space="preserve">in the </w:t>
      </w:r>
      <w:r w:rsidRPr="44C4E0DB">
        <w:rPr>
          <w:rFonts w:ascii="Times New Roman" w:eastAsia="Times New Roman" w:hAnsi="Times New Roman" w:cs="Times New Roman"/>
          <w:sz w:val="24"/>
          <w:szCs w:val="24"/>
        </w:rPr>
        <w:t xml:space="preserve">successful </w:t>
      </w:r>
      <w:r w:rsidR="2D1D24C5" w:rsidRPr="44C4E0DB">
        <w:rPr>
          <w:rFonts w:ascii="Times New Roman" w:eastAsia="Times New Roman" w:hAnsi="Times New Roman" w:cs="Times New Roman"/>
          <w:sz w:val="24"/>
          <w:szCs w:val="24"/>
        </w:rPr>
        <w:t>navigation</w:t>
      </w:r>
      <w:r w:rsidR="162B1443" w:rsidRPr="44C4E0DB">
        <w:rPr>
          <w:rFonts w:ascii="Times New Roman" w:eastAsia="Times New Roman" w:hAnsi="Times New Roman" w:cs="Times New Roman"/>
          <w:sz w:val="24"/>
          <w:szCs w:val="24"/>
        </w:rPr>
        <w:t xml:space="preserve"> of </w:t>
      </w:r>
      <w:r w:rsidRPr="44C4E0DB">
        <w:rPr>
          <w:rFonts w:ascii="Times New Roman" w:eastAsia="Times New Roman" w:hAnsi="Times New Roman" w:cs="Times New Roman"/>
          <w:sz w:val="24"/>
          <w:szCs w:val="24"/>
        </w:rPr>
        <w:t xml:space="preserve">difficult circumstances (Wolin and Wolin, 1993). </w:t>
      </w:r>
      <w:r w:rsidR="1D700821" w:rsidRPr="44C4E0DB">
        <w:rPr>
          <w:rFonts w:ascii="Times New Roman" w:eastAsia="Times New Roman" w:hAnsi="Times New Roman" w:cs="Times New Roman"/>
          <w:sz w:val="24"/>
          <w:szCs w:val="24"/>
        </w:rPr>
        <w:t>Masten emphasizes that resilience processes operate differently across developmental stages (2014</w:t>
      </w:r>
      <w:r w:rsidR="68C5DD69" w:rsidRPr="44C4E0DB">
        <w:rPr>
          <w:rFonts w:ascii="Times New Roman" w:eastAsia="Times New Roman" w:hAnsi="Times New Roman" w:cs="Times New Roman"/>
          <w:sz w:val="24"/>
          <w:szCs w:val="24"/>
        </w:rPr>
        <w:t>),</w:t>
      </w:r>
      <w:r w:rsidR="1D700821" w:rsidRPr="44C4E0DB">
        <w:rPr>
          <w:rFonts w:ascii="Times New Roman" w:eastAsia="Times New Roman" w:hAnsi="Times New Roman" w:cs="Times New Roman"/>
          <w:sz w:val="24"/>
          <w:szCs w:val="24"/>
        </w:rPr>
        <w:t xml:space="preserve"> </w:t>
      </w:r>
      <w:r w:rsidR="61AD61D1" w:rsidRPr="44C4E0DB">
        <w:rPr>
          <w:rFonts w:ascii="Times New Roman" w:eastAsia="Times New Roman" w:hAnsi="Times New Roman" w:cs="Times New Roman"/>
          <w:sz w:val="24"/>
          <w:szCs w:val="24"/>
        </w:rPr>
        <w:t xml:space="preserve">yet </w:t>
      </w:r>
      <w:r w:rsidR="4480CD46" w:rsidRPr="44C4E0DB">
        <w:rPr>
          <w:rFonts w:ascii="Times New Roman" w:eastAsia="Times New Roman" w:hAnsi="Times New Roman" w:cs="Times New Roman"/>
          <w:sz w:val="24"/>
          <w:szCs w:val="24"/>
        </w:rPr>
        <w:t xml:space="preserve">diverse </w:t>
      </w:r>
      <w:r w:rsidR="1D700821" w:rsidRPr="44C4E0DB">
        <w:rPr>
          <w:rFonts w:ascii="Times New Roman" w:eastAsia="Times New Roman" w:hAnsi="Times New Roman" w:cs="Times New Roman"/>
          <w:sz w:val="24"/>
          <w:szCs w:val="24"/>
        </w:rPr>
        <w:t xml:space="preserve">combinations of protective factors can </w:t>
      </w:r>
      <w:r w:rsidR="6FD6D4F9" w:rsidRPr="44C4E0DB">
        <w:rPr>
          <w:rFonts w:ascii="Times New Roman" w:eastAsia="Times New Roman" w:hAnsi="Times New Roman" w:cs="Times New Roman"/>
          <w:sz w:val="24"/>
          <w:szCs w:val="24"/>
        </w:rPr>
        <w:t xml:space="preserve">still </w:t>
      </w:r>
      <w:r w:rsidR="1D700821" w:rsidRPr="44C4E0DB">
        <w:rPr>
          <w:rFonts w:ascii="Times New Roman" w:eastAsia="Times New Roman" w:hAnsi="Times New Roman" w:cs="Times New Roman"/>
          <w:sz w:val="24"/>
          <w:szCs w:val="24"/>
        </w:rPr>
        <w:t xml:space="preserve">lead to positive adaptation in the face of adversity (2019). </w:t>
      </w:r>
      <w:r w:rsidRPr="44C4E0DB">
        <w:rPr>
          <w:rFonts w:ascii="Times New Roman" w:eastAsia="Times New Roman" w:hAnsi="Times New Roman" w:cs="Times New Roman"/>
          <w:sz w:val="24"/>
          <w:szCs w:val="24"/>
        </w:rPr>
        <w:t xml:space="preserve">Consequently, developing a comprehensive resilience measurement tool would need to incorporate items specifically assessing each of </w:t>
      </w:r>
      <w:r w:rsidR="6BD21ABB" w:rsidRPr="44C4E0DB">
        <w:rPr>
          <w:rFonts w:ascii="Times New Roman" w:eastAsia="Times New Roman" w:hAnsi="Times New Roman" w:cs="Times New Roman"/>
          <w:sz w:val="24"/>
          <w:szCs w:val="24"/>
        </w:rPr>
        <w:t xml:space="preserve">Wolin &amp; Wolin’s </w:t>
      </w:r>
      <w:r w:rsidRPr="44C4E0DB">
        <w:rPr>
          <w:rFonts w:ascii="Times New Roman" w:eastAsia="Times New Roman" w:hAnsi="Times New Roman" w:cs="Times New Roman"/>
          <w:sz w:val="24"/>
          <w:szCs w:val="24"/>
        </w:rPr>
        <w:t xml:space="preserve">seven distinct domains (Hurtz &amp; Allen, 2001). </w:t>
      </w:r>
    </w:p>
    <w:p w14:paraId="65C833E8" w14:textId="3B6917E3" w:rsidR="00542438" w:rsidRDefault="01FEE23F" w:rsidP="5E98361F">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5E98361F">
        <w:rPr>
          <w:rFonts w:ascii="Times New Roman" w:eastAsia="Times New Roman" w:hAnsi="Times New Roman" w:cs="Times New Roman"/>
          <w:sz w:val="24"/>
          <w:szCs w:val="24"/>
        </w:rPr>
        <w:t xml:space="preserve">While genes set the baseline </w:t>
      </w:r>
      <w:r w:rsidR="6262D667" w:rsidRPr="5E98361F">
        <w:rPr>
          <w:rFonts w:ascii="Times New Roman" w:eastAsia="Times New Roman" w:hAnsi="Times New Roman" w:cs="Times New Roman"/>
          <w:sz w:val="24"/>
          <w:szCs w:val="24"/>
        </w:rPr>
        <w:t xml:space="preserve">by which resilience can </w:t>
      </w:r>
      <w:r w:rsidR="60F4A8A5" w:rsidRPr="5E98361F">
        <w:rPr>
          <w:rFonts w:ascii="Times New Roman" w:eastAsia="Times New Roman" w:hAnsi="Times New Roman" w:cs="Times New Roman"/>
          <w:sz w:val="24"/>
          <w:szCs w:val="24"/>
        </w:rPr>
        <w:t xml:space="preserve">be </w:t>
      </w:r>
      <w:r w:rsidR="6262D667" w:rsidRPr="5E98361F">
        <w:rPr>
          <w:rFonts w:ascii="Times New Roman" w:eastAsia="Times New Roman" w:hAnsi="Times New Roman" w:cs="Times New Roman"/>
          <w:sz w:val="24"/>
          <w:szCs w:val="24"/>
        </w:rPr>
        <w:t>measured</w:t>
      </w:r>
      <w:r w:rsidR="409ED0C5" w:rsidRPr="5E98361F">
        <w:rPr>
          <w:rFonts w:ascii="Times New Roman" w:eastAsia="Times New Roman" w:hAnsi="Times New Roman" w:cs="Times New Roman"/>
          <w:sz w:val="24"/>
          <w:szCs w:val="24"/>
        </w:rPr>
        <w:t>, positive experien</w:t>
      </w:r>
      <w:r w:rsidR="7C61F64C" w:rsidRPr="5E98361F">
        <w:rPr>
          <w:rFonts w:ascii="Times New Roman" w:eastAsia="Times New Roman" w:hAnsi="Times New Roman" w:cs="Times New Roman"/>
          <w:sz w:val="24"/>
          <w:szCs w:val="24"/>
        </w:rPr>
        <w:t xml:space="preserve">ce can </w:t>
      </w:r>
      <w:r w:rsidR="2D8E693E" w:rsidRPr="5E98361F">
        <w:rPr>
          <w:rFonts w:ascii="Times New Roman" w:eastAsia="Times New Roman" w:hAnsi="Times New Roman" w:cs="Times New Roman"/>
          <w:sz w:val="24"/>
          <w:szCs w:val="24"/>
        </w:rPr>
        <w:t>shift the balance</w:t>
      </w:r>
      <w:r w:rsidR="7CCD4EA1" w:rsidRPr="5E98361F">
        <w:rPr>
          <w:rFonts w:ascii="Times New Roman" w:eastAsia="Times New Roman" w:hAnsi="Times New Roman" w:cs="Times New Roman"/>
          <w:sz w:val="24"/>
          <w:szCs w:val="24"/>
        </w:rPr>
        <w:t xml:space="preserve"> and</w:t>
      </w:r>
      <w:r w:rsidR="7E094B98" w:rsidRPr="5E98361F">
        <w:rPr>
          <w:rFonts w:ascii="Times New Roman" w:eastAsia="Times New Roman" w:hAnsi="Times New Roman" w:cs="Times New Roman"/>
          <w:sz w:val="24"/>
          <w:szCs w:val="24"/>
        </w:rPr>
        <w:t xml:space="preserve"> gradually tip toward better </w:t>
      </w:r>
      <w:r w:rsidR="7CCD4EA1" w:rsidRPr="5E98361F">
        <w:rPr>
          <w:rFonts w:ascii="Times New Roman" w:eastAsia="Times New Roman" w:hAnsi="Times New Roman" w:cs="Times New Roman"/>
          <w:sz w:val="24"/>
          <w:szCs w:val="24"/>
        </w:rPr>
        <w:t>outcomes (Masten, 201</w:t>
      </w:r>
      <w:r w:rsidR="3D1D9E8A" w:rsidRPr="5E98361F">
        <w:rPr>
          <w:rFonts w:ascii="Times New Roman" w:eastAsia="Times New Roman" w:hAnsi="Times New Roman" w:cs="Times New Roman"/>
          <w:sz w:val="24"/>
          <w:szCs w:val="24"/>
        </w:rPr>
        <w:t>8</w:t>
      </w:r>
      <w:r w:rsidR="7CCD4EA1" w:rsidRPr="5E98361F">
        <w:rPr>
          <w:rFonts w:ascii="Times New Roman" w:eastAsia="Times New Roman" w:hAnsi="Times New Roman" w:cs="Times New Roman"/>
          <w:sz w:val="24"/>
          <w:szCs w:val="24"/>
        </w:rPr>
        <w:t>).</w:t>
      </w:r>
      <w:r w:rsidR="7C61F64C" w:rsidRPr="5E98361F">
        <w:rPr>
          <w:rFonts w:ascii="Times New Roman" w:eastAsia="Times New Roman" w:hAnsi="Times New Roman" w:cs="Times New Roman"/>
          <w:sz w:val="24"/>
          <w:szCs w:val="24"/>
        </w:rPr>
        <w:t xml:space="preserve"> </w:t>
      </w:r>
      <w:r w:rsidR="1350D048" w:rsidRPr="5E98361F">
        <w:rPr>
          <w:rFonts w:ascii="Times New Roman" w:eastAsia="Times New Roman" w:hAnsi="Times New Roman" w:cs="Times New Roman"/>
          <w:sz w:val="24"/>
          <w:szCs w:val="24"/>
        </w:rPr>
        <w:t xml:space="preserve">Successfully navigating challenges strengthens </w:t>
      </w:r>
      <w:r w:rsidR="114F3AE7" w:rsidRPr="5E98361F">
        <w:rPr>
          <w:rFonts w:ascii="Times New Roman" w:eastAsia="Times New Roman" w:hAnsi="Times New Roman" w:cs="Times New Roman"/>
          <w:sz w:val="24"/>
          <w:szCs w:val="24"/>
        </w:rPr>
        <w:t>internal resources</w:t>
      </w:r>
      <w:r w:rsidR="51FCBFFE" w:rsidRPr="5E98361F">
        <w:rPr>
          <w:rFonts w:ascii="Times New Roman" w:eastAsia="Times New Roman" w:hAnsi="Times New Roman" w:cs="Times New Roman"/>
          <w:sz w:val="24"/>
          <w:szCs w:val="24"/>
        </w:rPr>
        <w:t xml:space="preserve"> (Pulvirenti &amp; Mason, 2011)</w:t>
      </w:r>
      <w:r w:rsidR="00733FE7" w:rsidRPr="5E98361F">
        <w:rPr>
          <w:rFonts w:ascii="Times New Roman" w:eastAsia="Times New Roman" w:hAnsi="Times New Roman" w:cs="Times New Roman"/>
          <w:sz w:val="24"/>
          <w:szCs w:val="24"/>
        </w:rPr>
        <w:t xml:space="preserve"> and </w:t>
      </w:r>
      <w:r w:rsidR="51FCBFFE" w:rsidRPr="5E98361F">
        <w:rPr>
          <w:rFonts w:ascii="Times New Roman" w:eastAsia="Times New Roman" w:hAnsi="Times New Roman" w:cs="Times New Roman"/>
          <w:sz w:val="24"/>
          <w:szCs w:val="24"/>
        </w:rPr>
        <w:t xml:space="preserve">creates a positive feedback loop where each managed challenge then builds confidence and capability. </w:t>
      </w:r>
      <w:r w:rsidR="00F41472" w:rsidRPr="5E98361F">
        <w:rPr>
          <w:rFonts w:ascii="Times New Roman" w:eastAsia="Times New Roman" w:hAnsi="Times New Roman" w:cs="Times New Roman"/>
          <w:sz w:val="24"/>
          <w:szCs w:val="24"/>
        </w:rPr>
        <w:t xml:space="preserve">The capacity to develop resilience-building behaviors grows stronger through repeated </w:t>
      </w:r>
      <w:r w:rsidR="3586E90A" w:rsidRPr="5E98361F">
        <w:rPr>
          <w:rFonts w:ascii="Times New Roman" w:eastAsia="Times New Roman" w:hAnsi="Times New Roman" w:cs="Times New Roman"/>
          <w:sz w:val="24"/>
          <w:szCs w:val="24"/>
        </w:rPr>
        <w:t xml:space="preserve">each </w:t>
      </w:r>
      <w:r w:rsidR="00F41472" w:rsidRPr="5E98361F">
        <w:rPr>
          <w:rFonts w:ascii="Times New Roman" w:eastAsia="Times New Roman" w:hAnsi="Times New Roman" w:cs="Times New Roman"/>
          <w:sz w:val="24"/>
          <w:szCs w:val="24"/>
        </w:rPr>
        <w:t xml:space="preserve">successful interaction with stressors (Masten, 2019) as the brain learns to categorize challenges as opportunities for growth rather than threats (Bonanno, 2004). Evidence from survivors of significant adversity demonstrates how individuals, bolstered by even minimal but consistent social support, develop increasingly sophisticated coping mechanisms (Greene, 2002). This establishes resilience as a vigorous protective factor that strengthens through the positive </w:t>
      </w:r>
      <w:r w:rsidR="00F41472" w:rsidRPr="5E98361F">
        <w:rPr>
          <w:rFonts w:ascii="Times New Roman" w:eastAsia="Times New Roman" w:hAnsi="Times New Roman" w:cs="Times New Roman"/>
          <w:sz w:val="24"/>
          <w:szCs w:val="24"/>
        </w:rPr>
        <w:lastRenderedPageBreak/>
        <w:t xml:space="preserve">adaptation to stress (Smith et al., 2017). The transformative power of supportive relationships extends beyond immediate comfort, creating lasting neural pathways that enhance stress tolerance and emotional regulation. These neurobiological changes, combined with growing self-efficacy, create a foundation for sustained resilience </w:t>
      </w:r>
      <w:r w:rsidR="4440341C" w:rsidRPr="5E98361F">
        <w:rPr>
          <w:rFonts w:ascii="Times New Roman" w:eastAsia="Times New Roman" w:hAnsi="Times New Roman" w:cs="Times New Roman"/>
          <w:sz w:val="24"/>
          <w:szCs w:val="24"/>
        </w:rPr>
        <w:t xml:space="preserve">(Masten, 2019) </w:t>
      </w:r>
      <w:r w:rsidR="00F41472" w:rsidRPr="5E98361F">
        <w:rPr>
          <w:rFonts w:ascii="Times New Roman" w:eastAsia="Times New Roman" w:hAnsi="Times New Roman" w:cs="Times New Roman"/>
          <w:sz w:val="24"/>
          <w:szCs w:val="24"/>
        </w:rPr>
        <w:t>that can be accessed and strengthened throughout life.</w:t>
      </w:r>
    </w:p>
    <w:p w14:paraId="4C7C3574" w14:textId="74E842B9" w:rsidR="00542438" w:rsidRDefault="00F41472" w:rsidP="69B4F93C">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bookmarkStart w:id="1" w:name="_30j0zll"/>
      <w:bookmarkEnd w:id="1"/>
      <w:r w:rsidRPr="69B4F93C">
        <w:rPr>
          <w:rFonts w:ascii="Times New Roman" w:eastAsia="Times New Roman" w:hAnsi="Times New Roman" w:cs="Times New Roman"/>
          <w:sz w:val="24"/>
          <w:szCs w:val="24"/>
        </w:rPr>
        <w:t>Considering multiple adversities and traumatic events within an individual’s lifetime, resilience remains an accessible protective factor, and polytrauma survivors dynamically develop and utilize resilience to constructively adjust to life post-trauma. In a study of adult survivors of cumulative adversities and traumas, three interviews took place over the span of eight years seeking insight into the effects of past and future physical and mental health (</w:t>
      </w:r>
      <w:r w:rsidRPr="69B4F93C">
        <w:rPr>
          <w:rFonts w:ascii="Times New Roman" w:eastAsia="Times New Roman" w:hAnsi="Times New Roman" w:cs="Times New Roman"/>
          <w:color w:val="000000" w:themeColor="text1"/>
          <w:sz w:val="24"/>
          <w:szCs w:val="24"/>
        </w:rPr>
        <w:t>Lifshitz et. al.</w:t>
      </w:r>
      <w:r w:rsidRPr="69B4F93C">
        <w:rPr>
          <w:rFonts w:ascii="Times New Roman" w:eastAsia="Times New Roman" w:hAnsi="Times New Roman" w:cs="Times New Roman"/>
          <w:sz w:val="24"/>
          <w:szCs w:val="24"/>
        </w:rPr>
        <w:t xml:space="preserve">, </w:t>
      </w:r>
      <w:r w:rsidRPr="69B4F93C">
        <w:rPr>
          <w:rFonts w:ascii="Times New Roman" w:eastAsia="Times New Roman" w:hAnsi="Times New Roman" w:cs="Times New Roman"/>
          <w:color w:val="000000" w:themeColor="text1"/>
          <w:sz w:val="24"/>
          <w:szCs w:val="24"/>
        </w:rPr>
        <w:t xml:space="preserve">2020). </w:t>
      </w:r>
      <w:r w:rsidR="61DA2925" w:rsidRPr="69B4F93C">
        <w:rPr>
          <w:rFonts w:ascii="Times New Roman" w:eastAsia="Times New Roman" w:hAnsi="Times New Roman" w:cs="Times New Roman"/>
          <w:sz w:val="24"/>
          <w:szCs w:val="24"/>
        </w:rPr>
        <w:t>Conclusive</w:t>
      </w:r>
      <w:r w:rsidRPr="69B4F93C">
        <w:rPr>
          <w:rFonts w:ascii="Times New Roman" w:eastAsia="Times New Roman" w:hAnsi="Times New Roman" w:cs="Times New Roman"/>
          <w:sz w:val="24"/>
          <w:szCs w:val="24"/>
        </w:rPr>
        <w:t xml:space="preserve"> reports illustrate survivors practicing flexibility during the accruement of adversities and traumas thus increasingly exhibiting </w:t>
      </w:r>
      <w:r w:rsidRPr="69B4F93C">
        <w:rPr>
          <w:rFonts w:ascii="Times New Roman" w:eastAsia="Times New Roman" w:hAnsi="Times New Roman" w:cs="Times New Roman"/>
          <w:color w:val="000000" w:themeColor="text1"/>
          <w:sz w:val="24"/>
          <w:szCs w:val="24"/>
        </w:rPr>
        <w:t xml:space="preserve">resilience </w:t>
      </w:r>
      <w:r w:rsidRPr="69B4F93C">
        <w:rPr>
          <w:rFonts w:ascii="Times New Roman" w:eastAsia="Times New Roman" w:hAnsi="Times New Roman" w:cs="Times New Roman"/>
          <w:sz w:val="24"/>
          <w:szCs w:val="24"/>
        </w:rPr>
        <w:t>and</w:t>
      </w:r>
      <w:r w:rsidRPr="69B4F93C">
        <w:rPr>
          <w:rFonts w:ascii="Times New Roman" w:eastAsia="Times New Roman" w:hAnsi="Times New Roman" w:cs="Times New Roman"/>
          <w:color w:val="000000" w:themeColor="text1"/>
          <w:sz w:val="24"/>
          <w:szCs w:val="24"/>
        </w:rPr>
        <w:t xml:space="preserve"> adaptive coping. </w:t>
      </w:r>
      <w:r w:rsidRPr="69B4F93C">
        <w:rPr>
          <w:rFonts w:ascii="Times New Roman" w:eastAsia="Times New Roman" w:hAnsi="Times New Roman" w:cs="Times New Roman"/>
          <w:sz w:val="24"/>
          <w:szCs w:val="24"/>
        </w:rPr>
        <w:t xml:space="preserve">These survivors’ </w:t>
      </w:r>
      <w:r w:rsidRPr="69B4F93C">
        <w:rPr>
          <w:rFonts w:ascii="Times New Roman" w:eastAsia="Times New Roman" w:hAnsi="Times New Roman" w:cs="Times New Roman"/>
          <w:color w:val="000000" w:themeColor="text1"/>
          <w:sz w:val="24"/>
          <w:szCs w:val="24"/>
        </w:rPr>
        <w:t xml:space="preserve">functional tolerance and responsiveness </w:t>
      </w:r>
      <w:r w:rsidRPr="69B4F93C">
        <w:rPr>
          <w:rFonts w:ascii="Times New Roman" w:eastAsia="Times New Roman" w:hAnsi="Times New Roman" w:cs="Times New Roman"/>
          <w:sz w:val="24"/>
          <w:szCs w:val="24"/>
        </w:rPr>
        <w:t xml:space="preserve">promotes </w:t>
      </w:r>
      <w:r w:rsidRPr="69B4F93C">
        <w:rPr>
          <w:rFonts w:ascii="Times New Roman" w:eastAsia="Times New Roman" w:hAnsi="Times New Roman" w:cs="Times New Roman"/>
          <w:color w:val="000000" w:themeColor="text1"/>
          <w:sz w:val="24"/>
          <w:szCs w:val="24"/>
        </w:rPr>
        <w:t xml:space="preserve">positive functioning and a greater </w:t>
      </w:r>
      <w:r w:rsidRPr="69B4F93C">
        <w:rPr>
          <w:rFonts w:ascii="Times New Roman" w:eastAsia="Times New Roman" w:hAnsi="Times New Roman" w:cs="Times New Roman"/>
          <w:sz w:val="24"/>
          <w:szCs w:val="24"/>
        </w:rPr>
        <w:t>propensity</w:t>
      </w:r>
      <w:r w:rsidRPr="69B4F93C">
        <w:rPr>
          <w:rFonts w:ascii="Times New Roman" w:eastAsia="Times New Roman" w:hAnsi="Times New Roman" w:cs="Times New Roman"/>
          <w:color w:val="000000" w:themeColor="text1"/>
          <w:sz w:val="24"/>
          <w:szCs w:val="24"/>
        </w:rPr>
        <w:t xml:space="preserve"> for long-term </w:t>
      </w:r>
      <w:r w:rsidRPr="69B4F93C">
        <w:rPr>
          <w:rFonts w:ascii="Times New Roman" w:eastAsia="Times New Roman" w:hAnsi="Times New Roman" w:cs="Times New Roman"/>
          <w:sz w:val="24"/>
          <w:szCs w:val="24"/>
        </w:rPr>
        <w:t>stable physical and mental health</w:t>
      </w:r>
      <w:r w:rsidRPr="69B4F93C">
        <w:rPr>
          <w:rFonts w:ascii="Times New Roman" w:eastAsia="Times New Roman" w:hAnsi="Times New Roman" w:cs="Times New Roman"/>
          <w:color w:val="000000" w:themeColor="text1"/>
          <w:sz w:val="24"/>
          <w:szCs w:val="24"/>
        </w:rPr>
        <w:t xml:space="preserve"> (Lifshitz et al, 2020). And, again, in another longitudinal study of survivors of multiple adversities, Seery et. al. (2010) f</w:t>
      </w:r>
      <w:r w:rsidRPr="69B4F93C">
        <w:rPr>
          <w:rFonts w:ascii="Times New Roman" w:eastAsia="Times New Roman" w:hAnsi="Times New Roman" w:cs="Times New Roman"/>
          <w:sz w:val="24"/>
          <w:szCs w:val="24"/>
        </w:rPr>
        <w:t>in</w:t>
      </w:r>
      <w:r w:rsidRPr="69B4F93C">
        <w:rPr>
          <w:rFonts w:ascii="Times New Roman" w:eastAsia="Times New Roman" w:hAnsi="Times New Roman" w:cs="Times New Roman"/>
          <w:color w:val="000000" w:themeColor="text1"/>
          <w:sz w:val="24"/>
          <w:szCs w:val="24"/>
        </w:rPr>
        <w:t xml:space="preserve">ds more results of positive mental and physical health in relation to adaptive coping mechanisms and resilience, especially against the control of individuals with no lifetime adversity. The impact of adversities and traumas in </w:t>
      </w:r>
      <w:r w:rsidRPr="69B4F93C">
        <w:rPr>
          <w:rFonts w:ascii="Times New Roman" w:eastAsia="Times New Roman" w:hAnsi="Times New Roman" w:cs="Times New Roman"/>
          <w:sz w:val="24"/>
          <w:szCs w:val="24"/>
        </w:rPr>
        <w:t xml:space="preserve">an individual’s life prompts Seery’s et al. (2010) conclusion of lower lifetime chronic stress due to the presence of proceeding resilience. </w:t>
      </w:r>
      <w:r w:rsidRPr="69B4F93C">
        <w:rPr>
          <w:rFonts w:ascii="Times New Roman" w:eastAsia="Times New Roman" w:hAnsi="Times New Roman" w:cs="Times New Roman"/>
          <w:color w:val="000000" w:themeColor="text1"/>
          <w:sz w:val="24"/>
          <w:szCs w:val="24"/>
        </w:rPr>
        <w:t xml:space="preserve">In fact, </w:t>
      </w:r>
      <w:r w:rsidRPr="69B4F93C">
        <w:rPr>
          <w:rFonts w:ascii="Times New Roman" w:eastAsia="Times New Roman" w:hAnsi="Times New Roman" w:cs="Times New Roman"/>
          <w:sz w:val="24"/>
          <w:szCs w:val="24"/>
        </w:rPr>
        <w:t>p</w:t>
      </w:r>
      <w:r w:rsidRPr="69B4F93C">
        <w:rPr>
          <w:rFonts w:ascii="Times New Roman" w:eastAsia="Times New Roman" w:hAnsi="Times New Roman" w:cs="Times New Roman"/>
          <w:color w:val="000000" w:themeColor="text1"/>
          <w:sz w:val="24"/>
          <w:szCs w:val="24"/>
        </w:rPr>
        <w:t>ost</w:t>
      </w:r>
      <w:r w:rsidRPr="69B4F93C">
        <w:rPr>
          <w:rFonts w:ascii="Times New Roman" w:eastAsia="Times New Roman" w:hAnsi="Times New Roman" w:cs="Times New Roman"/>
          <w:sz w:val="24"/>
          <w:szCs w:val="24"/>
        </w:rPr>
        <w:t>t</w:t>
      </w:r>
      <w:r w:rsidRPr="69B4F93C">
        <w:rPr>
          <w:rFonts w:ascii="Times New Roman" w:eastAsia="Times New Roman" w:hAnsi="Times New Roman" w:cs="Times New Roman"/>
          <w:color w:val="000000" w:themeColor="text1"/>
          <w:sz w:val="24"/>
          <w:szCs w:val="24"/>
        </w:rPr>
        <w:t xml:space="preserve">raumatic </w:t>
      </w:r>
      <w:r w:rsidRPr="69B4F93C">
        <w:rPr>
          <w:rFonts w:ascii="Times New Roman" w:eastAsia="Times New Roman" w:hAnsi="Times New Roman" w:cs="Times New Roman"/>
          <w:sz w:val="24"/>
          <w:szCs w:val="24"/>
        </w:rPr>
        <w:t>g</w:t>
      </w:r>
      <w:r w:rsidRPr="69B4F93C">
        <w:rPr>
          <w:rFonts w:ascii="Times New Roman" w:eastAsia="Times New Roman" w:hAnsi="Times New Roman" w:cs="Times New Roman"/>
          <w:color w:val="000000" w:themeColor="text1"/>
          <w:sz w:val="24"/>
          <w:szCs w:val="24"/>
        </w:rPr>
        <w:t xml:space="preserve">rowth (PTG) recognizes the positive </w:t>
      </w:r>
      <w:r w:rsidRPr="69B4F93C">
        <w:rPr>
          <w:rFonts w:ascii="Times New Roman" w:eastAsia="Times New Roman" w:hAnsi="Times New Roman" w:cs="Times New Roman"/>
          <w:sz w:val="24"/>
          <w:szCs w:val="24"/>
        </w:rPr>
        <w:t>changes that are psychologically applied during survivors’ ongoing processing of traumatic events (Tedeschi &amp; Calhoun, 2004;</w:t>
      </w:r>
      <w:r w:rsidRPr="69B4F93C">
        <w:rPr>
          <w:color w:val="000000" w:themeColor="text1"/>
        </w:rPr>
        <w:t xml:space="preserve"> </w:t>
      </w:r>
      <w:r w:rsidRPr="69B4F93C">
        <w:rPr>
          <w:rFonts w:ascii="Times New Roman" w:eastAsia="Times New Roman" w:hAnsi="Times New Roman" w:cs="Times New Roman"/>
          <w:sz w:val="24"/>
          <w:szCs w:val="24"/>
        </w:rPr>
        <w:t xml:space="preserve">Yehuda &amp; Flory, 2007). Ultimately, PTG does not negate the occurrence of negative psychological symptoms resulting from trauma but, rather, as an equivalent and parallel process (Kadri et al., 2022). A survivor </w:t>
      </w:r>
      <w:r w:rsidRPr="69B4F93C">
        <w:rPr>
          <w:rFonts w:ascii="Times New Roman" w:eastAsia="Times New Roman" w:hAnsi="Times New Roman" w:cs="Times New Roman"/>
          <w:sz w:val="24"/>
          <w:szCs w:val="24"/>
        </w:rPr>
        <w:lastRenderedPageBreak/>
        <w:t>exhibits PTG through a motivated search for aligning adverse events with personal benefits, practicing emotional stability, and projecting positively into the future (Penagos-Corzo et al., 2020). While spirituality serves as an established protective factor, the deliberate process of examining adversity and trauma to extract meaningful insights can serve multiple therapeutic purposes (</w:t>
      </w:r>
      <w:proofErr w:type="spellStart"/>
      <w:r w:rsidRPr="69B4F93C">
        <w:rPr>
          <w:rFonts w:ascii="Times New Roman" w:eastAsia="Times New Roman" w:hAnsi="Times New Roman" w:cs="Times New Roman"/>
          <w:sz w:val="24"/>
          <w:szCs w:val="24"/>
        </w:rPr>
        <w:t>Koslouski</w:t>
      </w:r>
      <w:proofErr w:type="spellEnd"/>
      <w:r w:rsidRPr="69B4F93C">
        <w:rPr>
          <w:rFonts w:ascii="Times New Roman" w:eastAsia="Times New Roman" w:hAnsi="Times New Roman" w:cs="Times New Roman"/>
          <w:sz w:val="24"/>
          <w:szCs w:val="24"/>
        </w:rPr>
        <w:t xml:space="preserve"> et al., 2023). By actively seeking to identify specific lessons or wisdom gained through difficult experiences, survivors can transform painful memories into sources of personal growth and future resilience (</w:t>
      </w:r>
      <w:proofErr w:type="spellStart"/>
      <w:r w:rsidRPr="69B4F93C">
        <w:rPr>
          <w:rFonts w:ascii="Times New Roman" w:eastAsia="Times New Roman" w:hAnsi="Times New Roman" w:cs="Times New Roman"/>
          <w:sz w:val="24"/>
          <w:szCs w:val="24"/>
        </w:rPr>
        <w:t>Denckla</w:t>
      </w:r>
      <w:proofErr w:type="spellEnd"/>
      <w:r w:rsidRPr="69B4F93C">
        <w:rPr>
          <w:rFonts w:ascii="Times New Roman" w:eastAsia="Times New Roman" w:hAnsi="Times New Roman" w:cs="Times New Roman"/>
          <w:sz w:val="24"/>
          <w:szCs w:val="24"/>
        </w:rPr>
        <w:t xml:space="preserve"> et al., 2020). This meaning-making process provides a structured way to process trauma while simultaneously building psychological resources for facing future challenges (Park, 2010). The practice of consciously deriving lessons from adversity can help survivors reclaim agency by transforming passive experiences of trauma into active opportunities for learning (Southwick et al., 2014) through developing a coherent narrative, fostering a sense of purpose (Schaefer et al., 2013), and using their experiences to help others. Rather than simply enduring trauma, survivors can engage in intentional reflection that allows them to derive meaningful insights and practical wisdom (Park &amp; Ai, 2006). This process can help shift the focus from pure survival to productive growth, while acknowledging that such meaning-making should occur at a pace that feels safe and manageable for </w:t>
      </w:r>
      <w:bookmarkStart w:id="2" w:name="_Int_24EqhJCi"/>
      <w:r w:rsidRPr="69B4F93C">
        <w:rPr>
          <w:rFonts w:ascii="Times New Roman" w:eastAsia="Times New Roman" w:hAnsi="Times New Roman" w:cs="Times New Roman"/>
          <w:sz w:val="24"/>
          <w:szCs w:val="24"/>
        </w:rPr>
        <w:t>each individual</w:t>
      </w:r>
      <w:bookmarkEnd w:id="2"/>
      <w:r w:rsidRPr="69B4F93C">
        <w:rPr>
          <w:rFonts w:ascii="Times New Roman" w:eastAsia="Times New Roman" w:hAnsi="Times New Roman" w:cs="Times New Roman"/>
          <w:sz w:val="24"/>
          <w:szCs w:val="24"/>
        </w:rPr>
        <w:t xml:space="preserve"> (Tedeschi &amp; Calhoun, 2004). The emphasis on extracting lessons and meaning differs from toxic positivity or forced “silver-lining” thinking, as it respects the genuine pain of trauma while creating space for eventual growth and learning. This nuanced approach recognizes that trauma processing involves both honoring the difficulty of the experience and identifying ways to move forward with new wisdom gained.</w:t>
      </w:r>
    </w:p>
    <w:p w14:paraId="541B8BBD"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adaptability of polytrauma survivors’ PTG and resilience can be further characterized by both behavioral and cognitive mechanisms, such as hopefulness, coping skills, </w:t>
      </w:r>
      <w:r>
        <w:rPr>
          <w:rFonts w:ascii="Times New Roman" w:eastAsia="Times New Roman" w:hAnsi="Times New Roman" w:cs="Times New Roman"/>
          <w:sz w:val="24"/>
          <w:szCs w:val="24"/>
        </w:rPr>
        <w:lastRenderedPageBreak/>
        <w:t xml:space="preserve">establishing a supportive social network, pursuing physical well-being, establishing personal morality, and, most importantly, for the purposes of this discussion, cognitive flexibility (Nugent et al., 2014). </w:t>
      </w:r>
    </w:p>
    <w:p w14:paraId="3FCCC161" w14:textId="77777777" w:rsidR="00542438" w:rsidRDefault="00F41472">
      <w:pPr>
        <w:pBdr>
          <w:top w:val="nil"/>
          <w:left w:val="nil"/>
          <w:bottom w:val="nil"/>
          <w:right w:val="nil"/>
          <w:between w:val="nil"/>
        </w:pBdr>
        <w:spacing w:after="0" w:line="480" w:lineRule="auto"/>
        <w:jc w:val="center"/>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Cognitive Flexibility and Executive Functioning</w:t>
      </w:r>
    </w:p>
    <w:p w14:paraId="2D237969" w14:textId="79E42882" w:rsidR="00542438" w:rsidRDefault="00F41472" w:rsidP="736BBD3F">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736BBD3F">
        <w:rPr>
          <w:rFonts w:ascii="Times New Roman" w:eastAsia="Times New Roman" w:hAnsi="Times New Roman" w:cs="Times New Roman"/>
          <w:color w:val="000000" w:themeColor="text1"/>
          <w:sz w:val="24"/>
          <w:szCs w:val="24"/>
        </w:rPr>
        <w:t>The brain’s motivation is to survive. Prompted by the vast network of brain regions,</w:t>
      </w:r>
      <w:r w:rsidRPr="736BBD3F">
        <w:rPr>
          <w:rFonts w:ascii="Times New Roman" w:eastAsia="Times New Roman" w:hAnsi="Times New Roman" w:cs="Times New Roman"/>
          <w:sz w:val="24"/>
          <w:szCs w:val="24"/>
        </w:rPr>
        <w:t xml:space="preserve"> procedural, episodic, and semantic memory systems evaluate</w:t>
      </w:r>
      <w:r w:rsidRPr="736BBD3F">
        <w:rPr>
          <w:rFonts w:ascii="Times New Roman" w:eastAsia="Times New Roman" w:hAnsi="Times New Roman" w:cs="Times New Roman"/>
          <w:color w:val="000000" w:themeColor="text1"/>
          <w:sz w:val="24"/>
          <w:szCs w:val="24"/>
        </w:rPr>
        <w:t xml:space="preserve"> external stimuli, evalu</w:t>
      </w:r>
      <w:r w:rsidRPr="736BBD3F">
        <w:rPr>
          <w:rFonts w:ascii="Times New Roman" w:eastAsia="Times New Roman" w:hAnsi="Times New Roman" w:cs="Times New Roman"/>
          <w:sz w:val="24"/>
          <w:szCs w:val="24"/>
        </w:rPr>
        <w:t>ate the inputting information,</w:t>
      </w:r>
      <w:r w:rsidRPr="736BBD3F">
        <w:rPr>
          <w:rFonts w:ascii="Times New Roman" w:eastAsia="Times New Roman" w:hAnsi="Times New Roman" w:cs="Times New Roman"/>
          <w:color w:val="000000" w:themeColor="text1"/>
          <w:sz w:val="24"/>
          <w:szCs w:val="24"/>
        </w:rPr>
        <w:t xml:space="preserve"> and encode necessary episodes and experiences (Henke, 2010). From here, the hippocampus, with attention from the amygdala and the </w:t>
      </w:r>
      <w:r w:rsidRPr="736BBD3F">
        <w:rPr>
          <w:rFonts w:ascii="Times New Roman" w:eastAsia="Times New Roman" w:hAnsi="Times New Roman" w:cs="Times New Roman"/>
          <w:sz w:val="24"/>
          <w:szCs w:val="24"/>
        </w:rPr>
        <w:t>prefrontal</w:t>
      </w:r>
      <w:r w:rsidRPr="736BBD3F">
        <w:rPr>
          <w:rFonts w:ascii="Times New Roman" w:eastAsia="Times New Roman" w:hAnsi="Times New Roman" w:cs="Times New Roman"/>
          <w:color w:val="000000" w:themeColor="text1"/>
          <w:sz w:val="24"/>
          <w:szCs w:val="24"/>
        </w:rPr>
        <w:t xml:space="preserve"> circuitry (Haim-Nachum et al, 2022), enables the episodic memory to consolidate contextually rich experiences for future retrieval. Retrieval processes use available cues and context to reconstruct knowledge (Karpicke, 2012). Nondeclarative long-term memory reactivates information, triggering associative learning due to emotional responses and </w:t>
      </w:r>
      <w:r w:rsidRPr="736BBD3F">
        <w:rPr>
          <w:rFonts w:ascii="Times New Roman" w:eastAsia="Times New Roman" w:hAnsi="Times New Roman" w:cs="Times New Roman"/>
          <w:sz w:val="24"/>
          <w:szCs w:val="24"/>
        </w:rPr>
        <w:t>sensory experiences</w:t>
      </w:r>
      <w:r w:rsidRPr="736BBD3F">
        <w:rPr>
          <w:rFonts w:ascii="Times New Roman" w:eastAsia="Times New Roman" w:hAnsi="Times New Roman" w:cs="Times New Roman"/>
          <w:color w:val="000000" w:themeColor="text1"/>
          <w:sz w:val="24"/>
          <w:szCs w:val="24"/>
        </w:rPr>
        <w:t xml:space="preserve"> (Henke, 2010). </w:t>
      </w:r>
      <w:r w:rsidRPr="736BBD3F">
        <w:rPr>
          <w:rFonts w:ascii="Times New Roman" w:eastAsia="Times New Roman" w:hAnsi="Times New Roman" w:cs="Times New Roman"/>
          <w:sz w:val="24"/>
          <w:szCs w:val="24"/>
        </w:rPr>
        <w:t xml:space="preserve">However, this elaborate </w:t>
      </w:r>
      <w:r w:rsidRPr="736BBD3F">
        <w:rPr>
          <w:rFonts w:ascii="Times New Roman" w:eastAsia="Times New Roman" w:hAnsi="Times New Roman" w:cs="Times New Roman"/>
          <w:color w:val="000000" w:themeColor="text1"/>
          <w:sz w:val="24"/>
          <w:szCs w:val="24"/>
        </w:rPr>
        <w:t xml:space="preserve">trajectory of encoded information is </w:t>
      </w:r>
      <w:r w:rsidRPr="736BBD3F">
        <w:rPr>
          <w:rFonts w:ascii="Times New Roman" w:eastAsia="Times New Roman" w:hAnsi="Times New Roman" w:cs="Times New Roman"/>
          <w:sz w:val="24"/>
          <w:szCs w:val="24"/>
        </w:rPr>
        <w:t xml:space="preserve">only </w:t>
      </w:r>
      <w:r w:rsidRPr="736BBD3F">
        <w:rPr>
          <w:rFonts w:ascii="Times New Roman" w:eastAsia="Times New Roman" w:hAnsi="Times New Roman" w:cs="Times New Roman"/>
          <w:color w:val="000000" w:themeColor="text1"/>
          <w:sz w:val="24"/>
          <w:szCs w:val="24"/>
        </w:rPr>
        <w:t>made possible by executive functioning and its variables: inhibiting, updating, and shifting (Diamond, 2013). These variables of executive functioning</w:t>
      </w:r>
      <w:r w:rsidRPr="736BBD3F">
        <w:rPr>
          <w:rFonts w:ascii="Times New Roman" w:eastAsia="Times New Roman" w:hAnsi="Times New Roman" w:cs="Times New Roman"/>
          <w:sz w:val="24"/>
          <w:szCs w:val="24"/>
        </w:rPr>
        <w:t xml:space="preserve"> are mechanisms of thought and behavior regulation thus supporting cognitive flexibility </w:t>
      </w:r>
      <w:r w:rsidRPr="736BBD3F">
        <w:rPr>
          <w:rFonts w:ascii="Times New Roman" w:eastAsia="Times New Roman" w:hAnsi="Times New Roman" w:cs="Times New Roman"/>
          <w:color w:val="000000" w:themeColor="text1"/>
          <w:sz w:val="24"/>
          <w:szCs w:val="24"/>
        </w:rPr>
        <w:t>(Friedman et al., 2006</w:t>
      </w:r>
      <w:r w:rsidRPr="736BBD3F">
        <w:rPr>
          <w:rFonts w:ascii="Times New Roman" w:eastAsia="Times New Roman" w:hAnsi="Times New Roman" w:cs="Times New Roman"/>
          <w:sz w:val="24"/>
          <w:szCs w:val="24"/>
        </w:rPr>
        <w:t xml:space="preserve">; </w:t>
      </w:r>
      <w:r w:rsidRPr="736BBD3F">
        <w:rPr>
          <w:rFonts w:ascii="Times New Roman" w:eastAsia="Times New Roman" w:hAnsi="Times New Roman" w:cs="Times New Roman"/>
          <w:color w:val="000000" w:themeColor="text1"/>
          <w:sz w:val="24"/>
          <w:szCs w:val="24"/>
        </w:rPr>
        <w:t xml:space="preserve">Miyake &amp; Friedman, 2012). To </w:t>
      </w:r>
      <w:r w:rsidR="0D9B525A" w:rsidRPr="736BBD3F">
        <w:rPr>
          <w:rFonts w:ascii="Times New Roman" w:eastAsia="Times New Roman" w:hAnsi="Times New Roman" w:cs="Times New Roman"/>
          <w:color w:val="000000" w:themeColor="text1"/>
          <w:sz w:val="24"/>
          <w:szCs w:val="24"/>
        </w:rPr>
        <w:t>our knowledge</w:t>
      </w:r>
      <w:r w:rsidRPr="736BBD3F">
        <w:rPr>
          <w:rFonts w:ascii="Times New Roman" w:eastAsia="Times New Roman" w:hAnsi="Times New Roman" w:cs="Times New Roman"/>
          <w:color w:val="000000" w:themeColor="text1"/>
          <w:sz w:val="24"/>
          <w:szCs w:val="24"/>
        </w:rPr>
        <w:t xml:space="preserve">, no studies have examined executive functioning’s </w:t>
      </w:r>
      <w:r w:rsidRPr="736BBD3F">
        <w:rPr>
          <w:rFonts w:ascii="Times New Roman" w:eastAsia="Times New Roman" w:hAnsi="Times New Roman" w:cs="Times New Roman"/>
          <w:sz w:val="24"/>
          <w:szCs w:val="24"/>
        </w:rPr>
        <w:t xml:space="preserve">outcome </w:t>
      </w:r>
      <w:r w:rsidRPr="736BBD3F">
        <w:rPr>
          <w:rFonts w:ascii="Times New Roman" w:eastAsia="Times New Roman" w:hAnsi="Times New Roman" w:cs="Times New Roman"/>
          <w:color w:val="000000" w:themeColor="text1"/>
          <w:sz w:val="24"/>
          <w:szCs w:val="24"/>
        </w:rPr>
        <w:t xml:space="preserve">of cognitive flexibility </w:t>
      </w:r>
      <w:r w:rsidRPr="736BBD3F">
        <w:rPr>
          <w:rFonts w:ascii="Times New Roman" w:eastAsia="Times New Roman" w:hAnsi="Times New Roman" w:cs="Times New Roman"/>
          <w:sz w:val="24"/>
          <w:szCs w:val="24"/>
        </w:rPr>
        <w:t>as a protective factor</w:t>
      </w:r>
      <w:r w:rsidRPr="736BBD3F">
        <w:rPr>
          <w:rFonts w:ascii="Times New Roman" w:eastAsia="Times New Roman" w:hAnsi="Times New Roman" w:cs="Times New Roman"/>
          <w:color w:val="000000" w:themeColor="text1"/>
          <w:sz w:val="24"/>
          <w:szCs w:val="24"/>
        </w:rPr>
        <w:t xml:space="preserve"> </w:t>
      </w:r>
      <w:r w:rsidR="0BC9878F" w:rsidRPr="736BBD3F">
        <w:rPr>
          <w:rFonts w:ascii="Times New Roman" w:eastAsia="Times New Roman" w:hAnsi="Times New Roman" w:cs="Times New Roman"/>
          <w:color w:val="000000" w:themeColor="text1"/>
          <w:sz w:val="24"/>
          <w:szCs w:val="24"/>
        </w:rPr>
        <w:t xml:space="preserve">for polytrauma survivors </w:t>
      </w:r>
      <w:r w:rsidRPr="736BBD3F">
        <w:rPr>
          <w:rFonts w:ascii="Times New Roman" w:eastAsia="Times New Roman" w:hAnsi="Times New Roman" w:cs="Times New Roman"/>
          <w:color w:val="000000" w:themeColor="text1"/>
          <w:sz w:val="24"/>
          <w:szCs w:val="24"/>
        </w:rPr>
        <w:t>(Matte-Landry et al., 2023)</w:t>
      </w:r>
      <w:r w:rsidRPr="736BBD3F">
        <w:rPr>
          <w:rFonts w:ascii="Times New Roman" w:eastAsia="Times New Roman" w:hAnsi="Times New Roman" w:cs="Times New Roman"/>
          <w:sz w:val="24"/>
          <w:szCs w:val="24"/>
        </w:rPr>
        <w:t xml:space="preserve">. Some studies have discussed peripheral issues. One example can be seen in the Hinton &amp; </w:t>
      </w:r>
      <w:proofErr w:type="spellStart"/>
      <w:r w:rsidRPr="736BBD3F">
        <w:rPr>
          <w:rFonts w:ascii="Times New Roman" w:eastAsia="Times New Roman" w:hAnsi="Times New Roman" w:cs="Times New Roman"/>
          <w:sz w:val="24"/>
          <w:szCs w:val="24"/>
        </w:rPr>
        <w:t>Kirmayer</w:t>
      </w:r>
      <w:proofErr w:type="spellEnd"/>
      <w:r w:rsidRPr="736BBD3F">
        <w:rPr>
          <w:rFonts w:ascii="Times New Roman" w:eastAsia="Times New Roman" w:hAnsi="Times New Roman" w:cs="Times New Roman"/>
          <w:sz w:val="24"/>
          <w:szCs w:val="24"/>
        </w:rPr>
        <w:t xml:space="preserve"> (2017) study which proposes a flexibility hypothesis. This presents potential transformations in trauma survivors’ self-perception through interpretative narratives and symbols within a ritualistic scenario. Additional cognitive-emotional interventions with the focus on mindfulness aim to change negative emotional responses to positive emotional states with the emphasis on promoting </w:t>
      </w:r>
      <w:r w:rsidRPr="736BBD3F">
        <w:rPr>
          <w:rFonts w:ascii="Times New Roman" w:eastAsia="Times New Roman" w:hAnsi="Times New Roman" w:cs="Times New Roman"/>
          <w:sz w:val="24"/>
          <w:szCs w:val="24"/>
        </w:rPr>
        <w:lastRenderedPageBreak/>
        <w:t>neuroplasticity (Garland et al., 2010).</w:t>
      </w:r>
      <w:r w:rsidRPr="736BBD3F">
        <w:rPr>
          <w:rFonts w:ascii="Times New Roman" w:eastAsia="Times New Roman" w:hAnsi="Times New Roman" w:cs="Times New Roman"/>
          <w:color w:val="000000" w:themeColor="text1"/>
          <w:sz w:val="24"/>
          <w:szCs w:val="24"/>
        </w:rPr>
        <w:t xml:space="preserve"> Haim-Nachum et al. (2022) found strong evidence supporting a decrease in negative PTSD symptoms in individuals with trauma who exercised intentional updating of both global and localized b</w:t>
      </w:r>
      <w:r w:rsidRPr="736BBD3F">
        <w:rPr>
          <w:rFonts w:ascii="Times New Roman" w:eastAsia="Times New Roman" w:hAnsi="Times New Roman" w:cs="Times New Roman"/>
          <w:sz w:val="24"/>
          <w:szCs w:val="24"/>
        </w:rPr>
        <w:t>eliefs and behaviors</w:t>
      </w:r>
      <w:r w:rsidRPr="736BBD3F">
        <w:rPr>
          <w:rFonts w:ascii="Times New Roman" w:eastAsia="Times New Roman" w:hAnsi="Times New Roman" w:cs="Times New Roman"/>
          <w:color w:val="000000" w:themeColor="text1"/>
          <w:sz w:val="24"/>
          <w:szCs w:val="24"/>
        </w:rPr>
        <w:t xml:space="preserve">. The specificity of the Haim-Nachum et al. (2022) study does support </w:t>
      </w:r>
      <w:r w:rsidRPr="736BBD3F">
        <w:rPr>
          <w:rFonts w:ascii="Times New Roman" w:eastAsia="Times New Roman" w:hAnsi="Times New Roman" w:cs="Times New Roman"/>
          <w:sz w:val="24"/>
          <w:szCs w:val="24"/>
        </w:rPr>
        <w:t xml:space="preserve">future </w:t>
      </w:r>
      <w:r w:rsidRPr="736BBD3F">
        <w:rPr>
          <w:rFonts w:ascii="Times New Roman" w:eastAsia="Times New Roman" w:hAnsi="Times New Roman" w:cs="Times New Roman"/>
          <w:color w:val="000000" w:themeColor="text1"/>
          <w:sz w:val="24"/>
          <w:szCs w:val="24"/>
        </w:rPr>
        <w:t>examination of executive functioning as an additional protective factor</w:t>
      </w:r>
      <w:r w:rsidRPr="736BBD3F">
        <w:rPr>
          <w:rFonts w:ascii="Times New Roman" w:eastAsia="Times New Roman" w:hAnsi="Times New Roman" w:cs="Times New Roman"/>
          <w:sz w:val="24"/>
          <w:szCs w:val="24"/>
        </w:rPr>
        <w:t>, and f</w:t>
      </w:r>
      <w:r w:rsidRPr="736BBD3F">
        <w:rPr>
          <w:rFonts w:ascii="Times New Roman" w:eastAsia="Times New Roman" w:hAnsi="Times New Roman" w:cs="Times New Roman"/>
          <w:color w:val="000000" w:themeColor="text1"/>
          <w:sz w:val="24"/>
          <w:szCs w:val="24"/>
        </w:rPr>
        <w:t xml:space="preserve">uture research </w:t>
      </w:r>
      <w:r w:rsidRPr="736BBD3F">
        <w:rPr>
          <w:rFonts w:ascii="Times New Roman" w:eastAsia="Times New Roman" w:hAnsi="Times New Roman" w:cs="Times New Roman"/>
          <w:sz w:val="24"/>
          <w:szCs w:val="24"/>
        </w:rPr>
        <w:t>can build upon the Haim-Nachum et al. study by emphasizing the three variables of executive functioning’s development on cognitive flexibility in trauma survivors and explicitly articulates how the interdependence acts a protective factor thus conveying an asset-based approach, similar to the outcome of resilience.</w:t>
      </w:r>
    </w:p>
    <w:p w14:paraId="44F57C73"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brain's ability to adapt and remain flexible plays a crucial role in trauma recovery. Neurotransmitters and hormones work together to help trauma survivors maintain mental and emotional balance (</w:t>
      </w:r>
      <w:proofErr w:type="spellStart"/>
      <w:r>
        <w:rPr>
          <w:rFonts w:ascii="Times New Roman" w:eastAsia="Times New Roman" w:hAnsi="Times New Roman" w:cs="Times New Roman"/>
          <w:sz w:val="24"/>
          <w:szCs w:val="24"/>
        </w:rPr>
        <w:t>Kavalali</w:t>
      </w:r>
      <w:proofErr w:type="spellEnd"/>
      <w:r>
        <w:rPr>
          <w:rFonts w:ascii="Times New Roman" w:eastAsia="Times New Roman" w:hAnsi="Times New Roman" w:cs="Times New Roman"/>
          <w:sz w:val="24"/>
          <w:szCs w:val="24"/>
        </w:rPr>
        <w:t>, 2015). This flexibility shows up in how the brain constantly adjusts to both internal and external challenges (Citri &amp; Malenka, 2008), changing its structure and function to maintain stability (</w:t>
      </w:r>
      <w:proofErr w:type="spellStart"/>
      <w:r>
        <w:rPr>
          <w:rFonts w:ascii="Times New Roman" w:eastAsia="Times New Roman" w:hAnsi="Times New Roman" w:cs="Times New Roman"/>
          <w:sz w:val="24"/>
          <w:szCs w:val="24"/>
        </w:rPr>
        <w:t>Berlucchi</w:t>
      </w:r>
      <w:proofErr w:type="spellEnd"/>
      <w:r>
        <w:rPr>
          <w:rFonts w:ascii="Times New Roman" w:eastAsia="Times New Roman" w:hAnsi="Times New Roman" w:cs="Times New Roman"/>
          <w:sz w:val="24"/>
          <w:szCs w:val="24"/>
        </w:rPr>
        <w:t xml:space="preserve"> &amp; Buchtel, 2009). For polytrauma survivors, this flexibility becomes especially important when processing and recovering from multiple traumatic experiences. When survivors successfully manage trauma responses, like controlling flashbacks (Levy, 1998), the brain's reward system reinforces these positive coping strategies through dopamine release (Potts et al., 2006). While PTSD can disrupt normal brain function through excess stress hormones and heightened fear responses (Sherin &amp; Nemeroff, 2011), the brain's natural adaptability provides opportunities for healing. As survivors build more successful experiences, their cognitive flexibility increases, leading to greater confidence and resilience (Ryan &amp; Deci, 2020).</w:t>
      </w:r>
    </w:p>
    <w:p w14:paraId="18B41050" w14:textId="0FBACEED" w:rsidR="00542438" w:rsidRDefault="00F41472" w:rsidP="736BBD3F">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736BBD3F">
        <w:rPr>
          <w:rFonts w:ascii="Times New Roman" w:eastAsia="Times New Roman" w:hAnsi="Times New Roman" w:cs="Times New Roman"/>
          <w:color w:val="000000" w:themeColor="text1"/>
          <w:sz w:val="24"/>
          <w:szCs w:val="24"/>
        </w:rPr>
        <w:t xml:space="preserve"> Furthermore, executive functioning, as associated with the prefrontal cortex, informs decision making, supports positive problem solving, and ensures organized goal pursuit. Goal </w:t>
      </w:r>
      <w:r w:rsidRPr="736BBD3F">
        <w:rPr>
          <w:rFonts w:ascii="Times New Roman" w:eastAsia="Times New Roman" w:hAnsi="Times New Roman" w:cs="Times New Roman"/>
          <w:color w:val="000000" w:themeColor="text1"/>
          <w:sz w:val="24"/>
          <w:szCs w:val="24"/>
        </w:rPr>
        <w:lastRenderedPageBreak/>
        <w:t xml:space="preserve">pursuit is a critical mechanism of survival and is highly applicable to polytrauma survivors. </w:t>
      </w:r>
      <w:r w:rsidRPr="736BBD3F">
        <w:rPr>
          <w:rFonts w:ascii="Times New Roman" w:eastAsia="Times New Roman" w:hAnsi="Times New Roman" w:cs="Times New Roman"/>
          <w:sz w:val="24"/>
          <w:szCs w:val="24"/>
        </w:rPr>
        <w:t>T</w:t>
      </w:r>
      <w:r w:rsidRPr="736BBD3F">
        <w:rPr>
          <w:rFonts w:ascii="Times New Roman" w:eastAsia="Times New Roman" w:hAnsi="Times New Roman" w:cs="Times New Roman"/>
          <w:color w:val="000000" w:themeColor="text1"/>
          <w:sz w:val="24"/>
          <w:szCs w:val="24"/>
        </w:rPr>
        <w:t>he inevitable connection of contextually rich past experiences of</w:t>
      </w:r>
      <w:r w:rsidRPr="736BBD3F">
        <w:rPr>
          <w:rFonts w:ascii="Times New Roman" w:eastAsia="Times New Roman" w:hAnsi="Times New Roman" w:cs="Times New Roman"/>
          <w:sz w:val="24"/>
          <w:szCs w:val="24"/>
        </w:rPr>
        <w:t xml:space="preserve"> </w:t>
      </w:r>
      <w:r w:rsidRPr="736BBD3F">
        <w:rPr>
          <w:rFonts w:ascii="Times New Roman" w:eastAsia="Times New Roman" w:hAnsi="Times New Roman" w:cs="Times New Roman"/>
          <w:color w:val="000000" w:themeColor="text1"/>
          <w:sz w:val="24"/>
          <w:szCs w:val="24"/>
        </w:rPr>
        <w:t xml:space="preserve">surviving traumatic events </w:t>
      </w:r>
      <w:r w:rsidR="7FBA3F00" w:rsidRPr="736BBD3F">
        <w:rPr>
          <w:rFonts w:ascii="Times New Roman" w:eastAsia="Times New Roman" w:hAnsi="Times New Roman" w:cs="Times New Roman"/>
          <w:color w:val="000000" w:themeColor="text1"/>
          <w:sz w:val="24"/>
          <w:szCs w:val="24"/>
        </w:rPr>
        <w:t>reinforces</w:t>
      </w:r>
      <w:r w:rsidRPr="736BBD3F">
        <w:rPr>
          <w:rFonts w:ascii="Times New Roman" w:eastAsia="Times New Roman" w:hAnsi="Times New Roman" w:cs="Times New Roman"/>
          <w:color w:val="000000" w:themeColor="text1"/>
          <w:sz w:val="24"/>
          <w:szCs w:val="24"/>
        </w:rPr>
        <w:t xml:space="preserve"> future goals of surviving additional traumatic events. </w:t>
      </w:r>
      <w:r w:rsidRPr="736BBD3F">
        <w:rPr>
          <w:rFonts w:ascii="Times New Roman" w:eastAsia="Times New Roman" w:hAnsi="Times New Roman" w:cs="Times New Roman"/>
          <w:sz w:val="24"/>
          <w:szCs w:val="24"/>
        </w:rPr>
        <w:t>So, when facing trauma after surviving a previous traumatic event, the motivation to successfully survive again establishes the necessary goal and supports executing functioning’s roles in achieving it. The influence of prior knowledge on goal orientation is applied in the memory encoding and retrieval processes (Brod et al., 2013). Due to memories not being precisely encoded detail-for-detail, memory encoding relies on prior knowledge but allows for further development of knowledge through the reconstruction of memories during retrieval, supporting goal-accommodation (Kibler, 2011). Likewise, goal pursuit additionally directs attention. Endogenous and exogenous attention processes influence perception of external stimuli. Exogenous, or involuntary attention, can attribute to trauma survivors’ hypervigilance and arousal of the sympathetic nervous system (Caballero &amp; Saavedra, 2014), yet the orientation from exogenous attention activation can, with the prefrontal cortex, r</w:t>
      </w:r>
      <w:r w:rsidRPr="736BBD3F">
        <w:rPr>
          <w:rFonts w:ascii="Times New Roman" w:eastAsia="Times New Roman" w:hAnsi="Times New Roman" w:cs="Times New Roman"/>
          <w:color w:val="000000" w:themeColor="text1"/>
          <w:sz w:val="24"/>
          <w:szCs w:val="24"/>
        </w:rPr>
        <w:t>egister inferences, elect actions, and continue to learn for developing behaviors (Kurzawa et al., 2017).</w:t>
      </w:r>
      <w:r w:rsidRPr="736BBD3F">
        <w:rPr>
          <w:rFonts w:ascii="Times New Roman" w:eastAsia="Times New Roman" w:hAnsi="Times New Roman" w:cs="Times New Roman"/>
          <w:sz w:val="24"/>
          <w:szCs w:val="24"/>
        </w:rPr>
        <w:t xml:space="preserve"> Exogenous attention processes focus polytrauma survivors’ decision making on their longitudinal goal of surviving.  </w:t>
      </w:r>
    </w:p>
    <w:p w14:paraId="4EE279F2" w14:textId="1B6C2F6E" w:rsidR="00542438" w:rsidRDefault="00F41472" w:rsidP="69B4F93C">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69B4F93C">
        <w:rPr>
          <w:rFonts w:ascii="Times New Roman" w:eastAsia="Times New Roman" w:hAnsi="Times New Roman" w:cs="Times New Roman"/>
          <w:sz w:val="24"/>
          <w:szCs w:val="24"/>
        </w:rPr>
        <w:t xml:space="preserve">Yet, trauma survivors often struggle with executive functioning, particularly attention control and the ability to inhibit responses. When exposed to trauma-related triggers, survivors may experience problems with working memory, completing cognitive tasks, and decision-making (Aupperle et al., 2012). These </w:t>
      </w:r>
      <w:r w:rsidR="2340BFEF" w:rsidRPr="69B4F93C">
        <w:rPr>
          <w:rFonts w:ascii="Times New Roman" w:eastAsia="Times New Roman" w:hAnsi="Times New Roman" w:cs="Times New Roman"/>
          <w:sz w:val="24"/>
          <w:szCs w:val="24"/>
        </w:rPr>
        <w:t>difficulties with executive function</w:t>
      </w:r>
      <w:r w:rsidRPr="69B4F93C">
        <w:rPr>
          <w:rFonts w:ascii="Times New Roman" w:eastAsia="Times New Roman" w:hAnsi="Times New Roman" w:cs="Times New Roman"/>
          <w:sz w:val="24"/>
          <w:szCs w:val="24"/>
        </w:rPr>
        <w:t xml:space="preserve"> can become a risk factor, making it harder to cope with trauma-related triggers. This often leads to avoidance behaviors, which reduce resilience and can worsen PTSD symptoms (Foa &amp; Kozak, 1986). When survivors rely on avoidance, they lose opportunities to develop better emotional regulation </w:t>
      </w:r>
      <w:r w:rsidRPr="69B4F93C">
        <w:rPr>
          <w:rFonts w:ascii="Times New Roman" w:eastAsia="Times New Roman" w:hAnsi="Times New Roman" w:cs="Times New Roman"/>
          <w:sz w:val="24"/>
          <w:szCs w:val="24"/>
        </w:rPr>
        <w:lastRenderedPageBreak/>
        <w:t>and learn to disengage from triggers (</w:t>
      </w:r>
      <w:proofErr w:type="spellStart"/>
      <w:r w:rsidRPr="69B4F93C">
        <w:rPr>
          <w:rFonts w:ascii="Times New Roman" w:eastAsia="Times New Roman" w:hAnsi="Times New Roman" w:cs="Times New Roman"/>
          <w:sz w:val="24"/>
          <w:szCs w:val="24"/>
        </w:rPr>
        <w:t>Compas</w:t>
      </w:r>
      <w:proofErr w:type="spellEnd"/>
      <w:r w:rsidRPr="69B4F93C">
        <w:rPr>
          <w:rFonts w:ascii="Times New Roman" w:eastAsia="Times New Roman" w:hAnsi="Times New Roman" w:cs="Times New Roman"/>
          <w:sz w:val="24"/>
          <w:szCs w:val="24"/>
        </w:rPr>
        <w:t xml:space="preserve"> et al., 2014). The constant attention to trauma-related emotions and triggers interferes with </w:t>
      </w:r>
      <w:r w:rsidR="69A31D5B" w:rsidRPr="69B4F93C">
        <w:rPr>
          <w:rFonts w:ascii="Times New Roman" w:eastAsia="Times New Roman" w:hAnsi="Times New Roman" w:cs="Times New Roman"/>
          <w:sz w:val="24"/>
          <w:szCs w:val="24"/>
        </w:rPr>
        <w:t>goal setting</w:t>
      </w:r>
      <w:r w:rsidRPr="69B4F93C">
        <w:rPr>
          <w:rFonts w:ascii="Times New Roman" w:eastAsia="Times New Roman" w:hAnsi="Times New Roman" w:cs="Times New Roman"/>
          <w:sz w:val="24"/>
          <w:szCs w:val="24"/>
        </w:rPr>
        <w:t xml:space="preserve"> and reward processing, while increasing intrusive memories, heightened arousal, and depression risk (Shalev et al., 1998). These challenges significantly impact quality of life, limiting new experiences and social connections. Survivors often view themselves and the world through a lens of threat, which blocks the meaning-making needed for post-traumatic growth. While a person's pre-trauma mental state might predict their executive functioning outcomes, research on survivors of multiple traumas suggests that executive functioning can better serve as a protective factor by promoting positive coping strategies (Goodman et al., 2018). Cognitive-focused therapy can help break avoidance patterns and improve emotional control (Aupperle et al., 2012). The ability to think flexibly is an important but often overlooked resource in trauma recovery which ultimately supports metacognitive development and growth.</w:t>
      </w:r>
    </w:p>
    <w:p w14:paraId="616D0B2F" w14:textId="77777777" w:rsidR="00542438" w:rsidRDefault="00F41472">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Wells and Matthews’ Self-Regulatory Executive Function model, metacognitive processes permit individuals to compare before and after versions of themselves and stimulate growth from the comparison while practicing mechanisms of self-regulation (Myers &amp; Wells, 2015). The development of metacognitive skills, established as the ability to think about and understand one's own thought processes, plays a crucial role in helping survivors gain mastery over post-traumatic cognitions and responses (Nalipay &amp; Mordeno, 2018). When survivors can observe and analyze their thought patterns in a detached, objective manner, they begin to recognize that thoughts and memories, while powerful, do not have to control their responses (Bennet &amp; Wells, 2010). Through consistent practice in environments that feel emotionally and physically safe, these metacognitive abilities become increasingly natural and reflexive, similar to building any other cognitive skill. As these metacognitive capabilities strengthen through </w:t>
      </w:r>
      <w:r>
        <w:rPr>
          <w:rFonts w:ascii="Times New Roman" w:eastAsia="Times New Roman" w:hAnsi="Times New Roman" w:cs="Times New Roman"/>
          <w:sz w:val="24"/>
          <w:szCs w:val="24"/>
        </w:rPr>
        <w:lastRenderedPageBreak/>
        <w:t xml:space="preserve">repeated use (Wells &amp; Matthews, 1996), survivors develop the capacity to pause between trigger and response, creating vital moments for conscious choice rather than operating purely from trauma-driven reactivity (Wells &amp; </w:t>
      </w:r>
      <w:proofErr w:type="spellStart"/>
      <w:r>
        <w:rPr>
          <w:rFonts w:ascii="Times New Roman" w:eastAsia="Times New Roman" w:hAnsi="Times New Roman" w:cs="Times New Roman"/>
          <w:sz w:val="24"/>
          <w:szCs w:val="24"/>
        </w:rPr>
        <w:t>Colbear</w:t>
      </w:r>
      <w:proofErr w:type="spellEnd"/>
      <w:r>
        <w:rPr>
          <w:rFonts w:ascii="Times New Roman" w:eastAsia="Times New Roman" w:hAnsi="Times New Roman" w:cs="Times New Roman"/>
          <w:sz w:val="24"/>
          <w:szCs w:val="24"/>
        </w:rPr>
        <w:t xml:space="preserve">, 2012). This growing awareness allows survivors to recognize when they are entering triggered states and implement learned coping strategies before becoming overwhelmed. The practice helps survivors move from feeling controlled by their trauma responses to feeling more capable of managing them. The integration of metacognitive skills enhances survivors' ability to bridge past traumatic experiences with present-moment awareness, enabling them to develop increasingly sophisticated understandings of their personal trigger patterns and response tendencies (Hosseini </w:t>
      </w:r>
      <w:proofErr w:type="spellStart"/>
      <w:r>
        <w:rPr>
          <w:rFonts w:ascii="Times New Roman" w:eastAsia="Times New Roman" w:hAnsi="Times New Roman" w:cs="Times New Roman"/>
          <w:sz w:val="24"/>
          <w:szCs w:val="24"/>
        </w:rPr>
        <w:t>Ramaghani</w:t>
      </w:r>
      <w:proofErr w:type="spellEnd"/>
      <w:r>
        <w:rPr>
          <w:rFonts w:ascii="Times New Roman" w:eastAsia="Times New Roman" w:hAnsi="Times New Roman" w:cs="Times New Roman"/>
          <w:sz w:val="24"/>
          <w:szCs w:val="24"/>
        </w:rPr>
        <w:t xml:space="preserve"> et al., 2019). This deepened self-knowledge allows survivors to anticipate potential triggers and proactively implement coping strategies. They can begin to recognize subtle early warning signs of emotional dysregulation and engage appropriate self-regulation techniques before reaching crisis points. Furthermore, this elevated metacognitive functioning supports the development of increasingly nuanced emotional regulation strategies (</w:t>
      </w:r>
      <w:proofErr w:type="spellStart"/>
      <w:r>
        <w:rPr>
          <w:rFonts w:ascii="Times New Roman" w:eastAsia="Times New Roman" w:hAnsi="Times New Roman" w:cs="Times New Roman"/>
          <w:sz w:val="24"/>
          <w:szCs w:val="24"/>
        </w:rPr>
        <w:t>Roeckner</w:t>
      </w:r>
      <w:proofErr w:type="spellEnd"/>
      <w:r>
        <w:rPr>
          <w:rFonts w:ascii="Times New Roman" w:eastAsia="Times New Roman" w:hAnsi="Times New Roman" w:cs="Times New Roman"/>
          <w:sz w:val="24"/>
          <w:szCs w:val="24"/>
        </w:rPr>
        <w:t xml:space="preserve"> et al., 2021). Survivors learn to distinguish between different types and intensities of triggers, allowing them to calibrate their responses appropriately rather than defaulting to all-or-nothing survival reactions. This granular understanding of their internal processes strengthens survivors' sense of agency and control over their trauma responses, contributing to increased confidence in their ability to navigate challenging situations. The recursive relationship between metacognitive awareness and trauma recovery creates a positive feedback loop: as survivors become more adept at observing and understanding their thought processes, they gain greater capacity to modify their responses, which in turn reinforces their sense of agency and control (</w:t>
      </w:r>
      <w:proofErr w:type="spellStart"/>
      <w:r>
        <w:rPr>
          <w:rFonts w:ascii="Times New Roman" w:eastAsia="Times New Roman" w:hAnsi="Times New Roman" w:cs="Times New Roman"/>
          <w:sz w:val="24"/>
          <w:szCs w:val="24"/>
        </w:rPr>
        <w:t>Büyüköksüz</w:t>
      </w:r>
      <w:proofErr w:type="spellEnd"/>
      <w:r>
        <w:rPr>
          <w:rFonts w:ascii="Times New Roman" w:eastAsia="Times New Roman" w:hAnsi="Times New Roman" w:cs="Times New Roman"/>
          <w:sz w:val="24"/>
          <w:szCs w:val="24"/>
        </w:rPr>
        <w:t xml:space="preserve">, 2024). This growing mastery over their internal </w:t>
      </w:r>
      <w:r>
        <w:rPr>
          <w:rFonts w:ascii="Times New Roman" w:eastAsia="Times New Roman" w:hAnsi="Times New Roman" w:cs="Times New Roman"/>
          <w:sz w:val="24"/>
          <w:szCs w:val="24"/>
        </w:rPr>
        <w:lastRenderedPageBreak/>
        <w:t>experience helps transform their relationship with trauma from one of helpless reactivity to conscious engagement and choice.</w:t>
      </w:r>
    </w:p>
    <w:p w14:paraId="2F52F4D9" w14:textId="77777777" w:rsidR="00542438" w:rsidRDefault="00F41472">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While we do not fully understand how multiple trauma survivors’ brains regulate during new traumas, their bodies’ ability to maintain balance supports adjusting to changing environments (Billman, 2020). Brain chemistry and adaptability contribute to resilience and can protect survivors of multiple traumas (Caspi et al., 2002). Therapeutic approaches like cognitive behavioral therapy (TF-CBT) and Eye Movement Desensitization and Reprocessing (EMDR) help rebuild cognitive flexibility by improving brain processing and emotional control (</w:t>
      </w:r>
      <w:proofErr w:type="spellStart"/>
      <w:r>
        <w:rPr>
          <w:rFonts w:ascii="Times New Roman" w:eastAsia="Times New Roman" w:hAnsi="Times New Roman" w:cs="Times New Roman"/>
          <w:sz w:val="24"/>
          <w:szCs w:val="24"/>
        </w:rPr>
        <w:t>Boukezzi</w:t>
      </w:r>
      <w:proofErr w:type="spellEnd"/>
      <w:r>
        <w:rPr>
          <w:rFonts w:ascii="Times New Roman" w:eastAsia="Times New Roman" w:hAnsi="Times New Roman" w:cs="Times New Roman"/>
          <w:sz w:val="24"/>
          <w:szCs w:val="24"/>
        </w:rPr>
        <w:t xml:space="preserve"> et al., 2017; Tang et al., 2020). This adaptability allows survivors to develop new coping strategies and better regulate their responses to trauma triggers (Zuj et al., 2016; Myers &amp; Davis, 2007). The brain's ability to remain flexible and adaptive through multiple traumas becomes a crucial protective factor in recovery (Caspi et al., 2002), supporting survivors' ability to process trauma and build resilience. Therefore, neural chemicals, adaptability, and regulatory systems serve as protective factors for trauma survivors, and the brain's executive functions and ability to adapt through various traumas are crucial tools for survival.</w:t>
      </w:r>
    </w:p>
    <w:p w14:paraId="1C87FC74" w14:textId="77777777" w:rsidR="00542438" w:rsidRDefault="00F41472">
      <w:pPr>
        <w:pBdr>
          <w:top w:val="nil"/>
          <w:left w:val="nil"/>
          <w:bottom w:val="nil"/>
          <w:right w:val="nil"/>
          <w:between w:val="nil"/>
        </w:pBdr>
        <w:spacing w:after="0" w:line="480" w:lineRule="auto"/>
        <w:jc w:val="center"/>
        <w:rPr>
          <w:rFonts w:ascii="Times New Roman" w:eastAsia="Times New Roman" w:hAnsi="Times New Roman" w:cs="Times New Roman"/>
          <w:color w:val="000000"/>
          <w:sz w:val="24"/>
          <w:szCs w:val="24"/>
          <w:u w:val="single"/>
        </w:rPr>
      </w:pPr>
      <w:r>
        <w:rPr>
          <w:rFonts w:ascii="Times New Roman" w:eastAsia="Times New Roman" w:hAnsi="Times New Roman" w:cs="Times New Roman"/>
          <w:sz w:val="24"/>
          <w:szCs w:val="24"/>
          <w:u w:val="single"/>
        </w:rPr>
        <w:t>Discussion</w:t>
      </w:r>
    </w:p>
    <w:p w14:paraId="27ECBCE4" w14:textId="6D817584" w:rsidR="00542438" w:rsidRDefault="00F41472" w:rsidP="744FDEE0">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744FDEE0">
        <w:rPr>
          <w:rFonts w:ascii="Times New Roman" w:eastAsia="Times New Roman" w:hAnsi="Times New Roman" w:cs="Times New Roman"/>
          <w:color w:val="000000" w:themeColor="text1"/>
          <w:sz w:val="24"/>
          <w:szCs w:val="24"/>
        </w:rPr>
        <w:t xml:space="preserve">The literature reviewed </w:t>
      </w:r>
      <w:r w:rsidR="0884FC70" w:rsidRPr="744FDEE0">
        <w:rPr>
          <w:rFonts w:ascii="Times New Roman" w:eastAsia="Times New Roman" w:hAnsi="Times New Roman" w:cs="Times New Roman"/>
          <w:color w:val="000000" w:themeColor="text1"/>
          <w:sz w:val="24"/>
          <w:szCs w:val="24"/>
        </w:rPr>
        <w:t xml:space="preserve">for this scoping review </w:t>
      </w:r>
      <w:r w:rsidR="70CE0D2B" w:rsidRPr="744FDEE0">
        <w:rPr>
          <w:rFonts w:ascii="Times New Roman" w:eastAsia="Times New Roman" w:hAnsi="Times New Roman" w:cs="Times New Roman"/>
          <w:color w:val="000000" w:themeColor="text1"/>
          <w:sz w:val="24"/>
          <w:szCs w:val="24"/>
        </w:rPr>
        <w:t xml:space="preserve">suggests </w:t>
      </w:r>
      <w:r w:rsidRPr="744FDEE0">
        <w:rPr>
          <w:rFonts w:ascii="Times New Roman" w:eastAsia="Times New Roman" w:hAnsi="Times New Roman" w:cs="Times New Roman"/>
          <w:color w:val="000000" w:themeColor="text1"/>
          <w:sz w:val="24"/>
          <w:szCs w:val="24"/>
        </w:rPr>
        <w:t xml:space="preserve">both the significance of identifying polytrauma and its survivors </w:t>
      </w:r>
      <w:r w:rsidRPr="744FDEE0">
        <w:rPr>
          <w:rFonts w:ascii="Times New Roman" w:eastAsia="Times New Roman" w:hAnsi="Times New Roman" w:cs="Times New Roman"/>
          <w:sz w:val="24"/>
          <w:szCs w:val="24"/>
        </w:rPr>
        <w:t>and of</w:t>
      </w:r>
      <w:r w:rsidRPr="744FDEE0">
        <w:rPr>
          <w:rFonts w:ascii="Times New Roman" w:eastAsia="Times New Roman" w:hAnsi="Times New Roman" w:cs="Times New Roman"/>
          <w:color w:val="000000" w:themeColor="text1"/>
          <w:sz w:val="24"/>
          <w:szCs w:val="24"/>
        </w:rPr>
        <w:t xml:space="preserve"> highlighting a great need in further research on the development of polytrauma survival and resilience. Due to the </w:t>
      </w:r>
      <w:r w:rsidRPr="744FDEE0">
        <w:rPr>
          <w:rFonts w:ascii="Times New Roman" w:eastAsia="Times New Roman" w:hAnsi="Times New Roman" w:cs="Times New Roman"/>
          <w:sz w:val="24"/>
          <w:szCs w:val="24"/>
        </w:rPr>
        <w:t xml:space="preserve">understanding that </w:t>
      </w:r>
      <w:r w:rsidR="601184A4" w:rsidRPr="744FDEE0">
        <w:rPr>
          <w:rFonts w:ascii="Times New Roman" w:eastAsia="Times New Roman" w:hAnsi="Times New Roman" w:cs="Times New Roman"/>
          <w:sz w:val="24"/>
          <w:szCs w:val="24"/>
        </w:rPr>
        <w:t>most</w:t>
      </w:r>
      <w:r w:rsidRPr="744FDEE0">
        <w:rPr>
          <w:rFonts w:ascii="Times New Roman" w:eastAsia="Times New Roman" w:hAnsi="Times New Roman" w:cs="Times New Roman"/>
          <w:sz w:val="24"/>
          <w:szCs w:val="24"/>
        </w:rPr>
        <w:t xml:space="preserve"> trauma survivors experience more than one traumatic event, many trauma survivors </w:t>
      </w:r>
      <w:r w:rsidRPr="744FDEE0">
        <w:rPr>
          <w:rFonts w:ascii="Times New Roman" w:eastAsia="Times New Roman" w:hAnsi="Times New Roman" w:cs="Times New Roman"/>
          <w:color w:val="000000" w:themeColor="text1"/>
          <w:sz w:val="24"/>
          <w:szCs w:val="24"/>
        </w:rPr>
        <w:t>are classifiable as polytrauma survivors (</w:t>
      </w:r>
      <w:r w:rsidRPr="744FDEE0">
        <w:rPr>
          <w:rFonts w:ascii="Times New Roman" w:eastAsia="Times New Roman" w:hAnsi="Times New Roman" w:cs="Times New Roman"/>
          <w:sz w:val="24"/>
          <w:szCs w:val="24"/>
        </w:rPr>
        <w:t xml:space="preserve">Green et al., 2000; </w:t>
      </w:r>
      <w:r w:rsidRPr="744FDEE0">
        <w:rPr>
          <w:rFonts w:ascii="Times New Roman" w:eastAsia="Times New Roman" w:hAnsi="Times New Roman" w:cs="Times New Roman"/>
          <w:color w:val="000000" w:themeColor="text1"/>
          <w:sz w:val="24"/>
          <w:szCs w:val="24"/>
        </w:rPr>
        <w:t xml:space="preserve">Contractor et al., 2018). </w:t>
      </w:r>
      <w:r w:rsidRPr="744FDEE0">
        <w:rPr>
          <w:rFonts w:ascii="Times New Roman" w:eastAsia="Times New Roman" w:hAnsi="Times New Roman" w:cs="Times New Roman"/>
          <w:sz w:val="24"/>
          <w:szCs w:val="24"/>
        </w:rPr>
        <w:t>However, t</w:t>
      </w:r>
      <w:r w:rsidRPr="744FDEE0">
        <w:rPr>
          <w:rFonts w:ascii="Times New Roman" w:eastAsia="Times New Roman" w:hAnsi="Times New Roman" w:cs="Times New Roman"/>
          <w:color w:val="000000" w:themeColor="text1"/>
          <w:sz w:val="24"/>
          <w:szCs w:val="24"/>
        </w:rPr>
        <w:t>he examination of polytr</w:t>
      </w:r>
      <w:r w:rsidRPr="744FDEE0">
        <w:rPr>
          <w:rFonts w:ascii="Times New Roman" w:eastAsia="Times New Roman" w:hAnsi="Times New Roman" w:cs="Times New Roman"/>
          <w:sz w:val="24"/>
          <w:szCs w:val="24"/>
        </w:rPr>
        <w:t xml:space="preserve">auma survivors needs to depart from solely identifying deficits and impairments and instead fully encompass asset-based research. As recent scoping reviews have </w:t>
      </w:r>
      <w:r w:rsidRPr="744FDEE0">
        <w:rPr>
          <w:rFonts w:ascii="Times New Roman" w:eastAsia="Times New Roman" w:hAnsi="Times New Roman" w:cs="Times New Roman"/>
          <w:sz w:val="24"/>
          <w:szCs w:val="24"/>
        </w:rPr>
        <w:lastRenderedPageBreak/>
        <w:t xml:space="preserve">highlighted, implementing trauma-informed care requires a multidimensional understanding of trauma’s impact, which is essential when considering the cumulative effects of polytrauma (Wathen, Schmitt, &amp; MacGregor, 2023). The threat of harmful hypotheses utilizing deficit-based approaches to trauma research perpetuates negative messaging about survivors, especially polytrauma survivors with a lifetime of adversity, and projects social perceptions of survivors’ unworthiness. </w:t>
      </w:r>
    </w:p>
    <w:p w14:paraId="40174CFF"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Research is responsible for conceptual change, and deficit-based approaches are biased, reactionarily preserving a dominant versus inferior social hierarchy without progressing human science advancements. It is critical to acknowledge the risk factors and adversities that predict potential traumas; however, the depth of protective factors reflects beneficial outcomes for trauma survivors, which is greatly expressed in the development of resilience. The reality of resilience developing as a widely evident protective factor leads to observing additional mechanisms that promote coping and adaptation such as cognitive flexibility, executive functioning, neurotransmitters, and neuro plasticity. The reconceptualization of surviving one or more traumas by readily available resources not only will reflect the commonality of trauma occurring in everyday life but will produce more fundamental and interventional research for the success in survivors’ adaptation. </w:t>
      </w:r>
    </w:p>
    <w:p w14:paraId="58F1A821" w14:textId="5BF69F38" w:rsidR="00542438" w:rsidRDefault="00F41472" w:rsidP="744FDEE0">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744FDEE0">
        <w:rPr>
          <w:rFonts w:ascii="Times New Roman" w:eastAsia="Times New Roman" w:hAnsi="Times New Roman" w:cs="Times New Roman"/>
          <w:sz w:val="24"/>
          <w:szCs w:val="24"/>
        </w:rPr>
        <w:t xml:space="preserve">Data that enfold the multiplicity of polytrauma within one lifetime are sparse. Studies which cite polytrauma largely focus on childhood adversity or elder abuse but encourage future studies to consider the co-occurrence of traumas (Teaster, 2017; Turner et al., 2010), as hypotheses of a sensitizing effect from early violent victimization increasing the chance of additional trauma events add to the already robust examination of risk factors (Simmons &amp; </w:t>
      </w:r>
      <w:proofErr w:type="spellStart"/>
      <w:r w:rsidRPr="744FDEE0">
        <w:rPr>
          <w:rFonts w:ascii="Times New Roman" w:eastAsia="Times New Roman" w:hAnsi="Times New Roman" w:cs="Times New Roman"/>
          <w:sz w:val="24"/>
          <w:szCs w:val="24"/>
        </w:rPr>
        <w:t>Swahnberg</w:t>
      </w:r>
      <w:proofErr w:type="spellEnd"/>
      <w:r w:rsidRPr="744FDEE0">
        <w:rPr>
          <w:rFonts w:ascii="Times New Roman" w:eastAsia="Times New Roman" w:hAnsi="Times New Roman" w:cs="Times New Roman"/>
          <w:sz w:val="24"/>
          <w:szCs w:val="24"/>
        </w:rPr>
        <w:t xml:space="preserve">, 2021). Despite the few studies that do highlight polytrauma as a paramount </w:t>
      </w:r>
      <w:r w:rsidRPr="744FDEE0">
        <w:rPr>
          <w:rFonts w:ascii="Times New Roman" w:eastAsia="Times New Roman" w:hAnsi="Times New Roman" w:cs="Times New Roman"/>
          <w:sz w:val="24"/>
          <w:szCs w:val="24"/>
        </w:rPr>
        <w:lastRenderedPageBreak/>
        <w:t>phenomenon, the more readily available literature on trauma and PTSD concentrates on studies of military personnel and veterans. Having a clear entry point to mark the initial incident of trauma is effective in producing concise data on changes in the brain through neuroimaging. However, and as briefly mentioned previously, experiencing trauma and developing PTSD is a transparent outcome of entering the military service. The aim to rehabilitate members of the military experiencing PTSD poses as an authority for priority funding for trauma research to be military driven (Engel et al., 2008). Unlike the military, social services, such as women’s centers and clinics with missions to support domestic violence survivors, must apply for funding through federal and statewide grants. Competition for this funding is high and ebbs in accessibility due to large scale political influences and policy changes. Domestic violence is costly due to rehabilitation needing to address not only the legality of the offense but the potential displacement of family members, many times including school-aged children. Many survivors of interpersonal violences lose over 100 hours of work hours a year due to medical and legal needs (Wathen et al., 2015). In turn, this impacts workplace reliability of survivors and results in many survivors losing their jobs (Prescod &amp; Zeligman, 2018), scrambling for support from family and community members, and turning to assistance from federally funded programs, such as Supplemental Nutrition Assistance Program</w:t>
      </w:r>
      <w:r w:rsidR="2DC3CBEF" w:rsidRPr="744FDEE0">
        <w:rPr>
          <w:rFonts w:ascii="Times New Roman" w:eastAsia="Times New Roman" w:hAnsi="Times New Roman" w:cs="Times New Roman"/>
          <w:sz w:val="24"/>
          <w:szCs w:val="24"/>
        </w:rPr>
        <w:t xml:space="preserve"> in the United States</w:t>
      </w:r>
      <w:r w:rsidR="4230D803" w:rsidRPr="744FDEE0">
        <w:rPr>
          <w:rFonts w:ascii="Times New Roman" w:eastAsia="Times New Roman" w:hAnsi="Times New Roman" w:cs="Times New Roman"/>
          <w:sz w:val="24"/>
          <w:szCs w:val="24"/>
        </w:rPr>
        <w:t xml:space="preserve"> and the Fund for European Aid to the Most Deprived (FEAD) within European countries.</w:t>
      </w:r>
      <w:r w:rsidRPr="744FDEE0">
        <w:rPr>
          <w:rFonts w:ascii="Times New Roman" w:eastAsia="Times New Roman" w:hAnsi="Times New Roman" w:cs="Times New Roman"/>
          <w:sz w:val="24"/>
          <w:szCs w:val="24"/>
        </w:rPr>
        <w:t xml:space="preserve"> The interpersonal violence and abuse that occurs outside of military controlled environments requires the same level of thorough research and result dissemination since the real-world application of understanding trauma and its growing population of survivors is equally salient. National samples of adults in the </w:t>
      </w:r>
      <w:r w:rsidR="09D3D782" w:rsidRPr="744FDEE0">
        <w:rPr>
          <w:rFonts w:ascii="Times New Roman" w:eastAsia="Times New Roman" w:hAnsi="Times New Roman" w:cs="Times New Roman"/>
          <w:sz w:val="24"/>
          <w:szCs w:val="24"/>
        </w:rPr>
        <w:t xml:space="preserve">United States </w:t>
      </w:r>
      <w:r w:rsidRPr="744FDEE0">
        <w:rPr>
          <w:rFonts w:ascii="Times New Roman" w:eastAsia="Times New Roman" w:hAnsi="Times New Roman" w:cs="Times New Roman"/>
          <w:sz w:val="24"/>
          <w:szCs w:val="24"/>
        </w:rPr>
        <w:t xml:space="preserve">indicate nine out of every ten participants surveyed have experienced at least one traumatic event (Kilpatrick et al., 2013; Fink &amp; Galea, 2015). </w:t>
      </w:r>
      <w:r w:rsidR="0D5FA73A" w:rsidRPr="744FDEE0">
        <w:rPr>
          <w:rFonts w:ascii="Times New Roman" w:eastAsia="Times New Roman" w:hAnsi="Times New Roman" w:cs="Times New Roman"/>
          <w:sz w:val="24"/>
          <w:szCs w:val="24"/>
        </w:rPr>
        <w:t>Similarly, d</w:t>
      </w:r>
      <w:r w:rsidR="4C60CBE0" w:rsidRPr="744FDEE0">
        <w:rPr>
          <w:rFonts w:ascii="Times New Roman" w:eastAsia="Times New Roman" w:hAnsi="Times New Roman" w:cs="Times New Roman"/>
          <w:sz w:val="24"/>
          <w:szCs w:val="24"/>
        </w:rPr>
        <w:t xml:space="preserve">ata </w:t>
      </w:r>
      <w:proofErr w:type="spellStart"/>
      <w:r w:rsidR="4C60CBE0" w:rsidRPr="744FDEE0">
        <w:rPr>
          <w:rFonts w:ascii="Times New Roman" w:eastAsia="Times New Roman" w:hAnsi="Times New Roman" w:cs="Times New Roman"/>
          <w:sz w:val="24"/>
          <w:szCs w:val="24"/>
        </w:rPr>
        <w:t>reviewd</w:t>
      </w:r>
      <w:proofErr w:type="spellEnd"/>
      <w:r w:rsidR="4C60CBE0" w:rsidRPr="744FDEE0">
        <w:rPr>
          <w:rFonts w:ascii="Times New Roman" w:eastAsia="Times New Roman" w:hAnsi="Times New Roman" w:cs="Times New Roman"/>
          <w:sz w:val="24"/>
          <w:szCs w:val="24"/>
        </w:rPr>
        <w:t xml:space="preserve"> from the </w:t>
      </w:r>
      <w:r w:rsidR="4C60CBE0" w:rsidRPr="744FDEE0">
        <w:rPr>
          <w:rFonts w:ascii="Times New Roman" w:eastAsia="Times New Roman" w:hAnsi="Times New Roman" w:cs="Times New Roman"/>
          <w:sz w:val="24"/>
          <w:szCs w:val="24"/>
        </w:rPr>
        <w:lastRenderedPageBreak/>
        <w:t xml:space="preserve">World Mental Health Survey Consortium showed 70% of the 69,000 respondents </w:t>
      </w:r>
      <w:r w:rsidR="63C25985" w:rsidRPr="744FDEE0">
        <w:rPr>
          <w:rFonts w:ascii="Times New Roman" w:eastAsia="Times New Roman" w:hAnsi="Times New Roman" w:cs="Times New Roman"/>
          <w:sz w:val="24"/>
          <w:szCs w:val="24"/>
        </w:rPr>
        <w:t xml:space="preserve">from over 24 countries </w:t>
      </w:r>
      <w:r w:rsidR="4C60CBE0" w:rsidRPr="744FDEE0">
        <w:rPr>
          <w:rFonts w:ascii="Times New Roman" w:eastAsia="Times New Roman" w:hAnsi="Times New Roman" w:cs="Times New Roman"/>
          <w:sz w:val="24"/>
          <w:szCs w:val="24"/>
        </w:rPr>
        <w:t>hav</w:t>
      </w:r>
      <w:r w:rsidR="4083F941" w:rsidRPr="744FDEE0">
        <w:rPr>
          <w:rFonts w:ascii="Times New Roman" w:eastAsia="Times New Roman" w:hAnsi="Times New Roman" w:cs="Times New Roman"/>
          <w:sz w:val="24"/>
          <w:szCs w:val="24"/>
        </w:rPr>
        <w:t>e</w:t>
      </w:r>
      <w:r w:rsidR="4C60CBE0" w:rsidRPr="744FDEE0">
        <w:rPr>
          <w:rFonts w:ascii="Times New Roman" w:eastAsia="Times New Roman" w:hAnsi="Times New Roman" w:cs="Times New Roman"/>
          <w:sz w:val="24"/>
          <w:szCs w:val="24"/>
        </w:rPr>
        <w:t xml:space="preserve"> experienced a traumatic event (</w:t>
      </w:r>
      <w:r w:rsidR="33E1E400" w:rsidRPr="744FDEE0">
        <w:rPr>
          <w:rFonts w:ascii="Times New Roman" w:eastAsia="Times New Roman" w:hAnsi="Times New Roman" w:cs="Times New Roman"/>
          <w:sz w:val="24"/>
          <w:szCs w:val="24"/>
        </w:rPr>
        <w:t xml:space="preserve">Benjet et al., 2016). </w:t>
      </w:r>
      <w:r w:rsidR="5817E4CA" w:rsidRPr="744FDEE0">
        <w:rPr>
          <w:rFonts w:ascii="Times New Roman" w:eastAsia="Times New Roman" w:hAnsi="Times New Roman" w:cs="Times New Roman"/>
          <w:sz w:val="24"/>
          <w:szCs w:val="24"/>
        </w:rPr>
        <w:t xml:space="preserve">Additional studies </w:t>
      </w:r>
      <w:r w:rsidRPr="744FDEE0">
        <w:rPr>
          <w:rFonts w:ascii="Times New Roman" w:eastAsia="Times New Roman" w:hAnsi="Times New Roman" w:cs="Times New Roman"/>
          <w:sz w:val="24"/>
          <w:szCs w:val="24"/>
        </w:rPr>
        <w:t xml:space="preserve">indicate that events survived are </w:t>
      </w:r>
      <w:bookmarkStart w:id="3" w:name="_Int_oRYQyuUb"/>
      <w:r w:rsidRPr="744FDEE0">
        <w:rPr>
          <w:rFonts w:ascii="Times New Roman" w:eastAsia="Times New Roman" w:hAnsi="Times New Roman" w:cs="Times New Roman"/>
          <w:sz w:val="24"/>
          <w:szCs w:val="24"/>
        </w:rPr>
        <w:t>most commonly grouped</w:t>
      </w:r>
      <w:bookmarkEnd w:id="3"/>
      <w:r w:rsidRPr="744FDEE0">
        <w:rPr>
          <w:rFonts w:ascii="Times New Roman" w:eastAsia="Times New Roman" w:hAnsi="Times New Roman" w:cs="Times New Roman"/>
          <w:sz w:val="24"/>
          <w:szCs w:val="24"/>
        </w:rPr>
        <w:t xml:space="preserve"> under injurious accidents and unexpected loss of a loved one; however, strong associations of previous trauma, subsequent exposure, and </w:t>
      </w:r>
      <w:r w:rsidR="675F4EE2" w:rsidRPr="744FDEE0">
        <w:rPr>
          <w:rFonts w:ascii="Times New Roman" w:eastAsia="Times New Roman" w:hAnsi="Times New Roman" w:cs="Times New Roman"/>
          <w:sz w:val="24"/>
          <w:szCs w:val="24"/>
        </w:rPr>
        <w:t xml:space="preserve">mechanisms of </w:t>
      </w:r>
      <w:r w:rsidRPr="744FDEE0">
        <w:rPr>
          <w:rFonts w:ascii="Times New Roman" w:eastAsia="Times New Roman" w:hAnsi="Times New Roman" w:cs="Times New Roman"/>
          <w:sz w:val="24"/>
          <w:szCs w:val="24"/>
        </w:rPr>
        <w:t xml:space="preserve">revictimization can be </w:t>
      </w:r>
      <w:r w:rsidR="2217B435" w:rsidRPr="744FDEE0">
        <w:rPr>
          <w:rFonts w:ascii="Times New Roman" w:eastAsia="Times New Roman" w:hAnsi="Times New Roman" w:cs="Times New Roman"/>
          <w:sz w:val="24"/>
          <w:szCs w:val="24"/>
        </w:rPr>
        <w:t xml:space="preserve">more </w:t>
      </w:r>
      <w:r w:rsidRPr="744FDEE0">
        <w:rPr>
          <w:rFonts w:ascii="Times New Roman" w:eastAsia="Times New Roman" w:hAnsi="Times New Roman" w:cs="Times New Roman"/>
          <w:sz w:val="24"/>
          <w:szCs w:val="24"/>
        </w:rPr>
        <w:t xml:space="preserve">attentively pursued with </w:t>
      </w:r>
      <w:r w:rsidR="2BB87135" w:rsidRPr="744FDEE0">
        <w:rPr>
          <w:rFonts w:ascii="Times New Roman" w:eastAsia="Times New Roman" w:hAnsi="Times New Roman" w:cs="Times New Roman"/>
          <w:sz w:val="24"/>
          <w:szCs w:val="24"/>
        </w:rPr>
        <w:t>specific survey and questionnaire design</w:t>
      </w:r>
      <w:r w:rsidRPr="744FDEE0">
        <w:rPr>
          <w:rFonts w:ascii="Times New Roman" w:eastAsia="Times New Roman" w:hAnsi="Times New Roman" w:cs="Times New Roman"/>
          <w:sz w:val="24"/>
          <w:szCs w:val="24"/>
        </w:rPr>
        <w:t xml:space="preserve"> (Benjet et al., 2016). </w:t>
      </w:r>
    </w:p>
    <w:p w14:paraId="49CBDD7E"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Advancing research on polytrauma survivors will enhance discernment of specific survivor reenactments or re-creations of past trauma (Levy, 1998). Reenactments are indicative and symptomatic of the trauma an individual survived and can frequently match experiences in very destructive ways (Schwartz, 1996), and despite reenactments being a form of taking back control, these displays are unconsciously driven. This repetitive reliving of trauma is additionally traumatic for a survivor, reestablishing a “victim” mindset, but is misunderstood as an addiction to trauma and fear (Levy, 1998). The importance of comprehending polytrauma is underscored by the lack of general knowledge about PTSD and other prominent behavioral and mental health outcomes, therefore leading to a global stigmatization and fear of those already actively working to process multiple adversities and traumas.</w:t>
      </w:r>
    </w:p>
    <w:p w14:paraId="2CFD0D02" w14:textId="77777777" w:rsidR="00542438" w:rsidRDefault="00F41472">
      <w:pPr>
        <w:pBdr>
          <w:top w:val="nil"/>
          <w:left w:val="nil"/>
          <w:bottom w:val="nil"/>
          <w:right w:val="nil"/>
          <w:between w:val="nil"/>
        </w:pBdr>
        <w:spacing w:after="0" w:line="480" w:lineRule="auto"/>
        <w:jc w:val="cente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Practical Applications</w:t>
      </w:r>
    </w:p>
    <w:p w14:paraId="02E8BE3A"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Understanding polytrauma can revolutionize therapeutic practices by requiring clinicians to fundamentally rethink traditional treatment approaches that were developed around single-trauma models. When working with survivors of multiple traumas, therapists must recognize that symptoms and recovery patterns may not follow conventional PTSD presentations, as laid out by the DSM. The interaction between different traumas can create complex, overlapping patterns of responses that require more nuanced and comprehensive treatment strategies. For example, a </w:t>
      </w:r>
      <w:r>
        <w:rPr>
          <w:rFonts w:ascii="Times New Roman" w:eastAsia="Times New Roman" w:hAnsi="Times New Roman" w:cs="Times New Roman"/>
          <w:sz w:val="24"/>
          <w:szCs w:val="24"/>
        </w:rPr>
        <w:lastRenderedPageBreak/>
        <w:t>survivor dealing with childhood sexual abuse, adult domestic violence, and workplace harassment may experience unique symptom combinations that standard PTSD protocols do not fully address.</w:t>
      </w:r>
    </w:p>
    <w:p w14:paraId="35D668E6"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deeper understanding of polytrauma supports more sophisticated assessment and intake procedures. Clinicians need to conduct more thorough trauma history evaluations that examine not just individual traumatic events, but also their temporal relationships, interactions, and cumulative impacts (Novilla et al., 2024). This comprehensive assessment helps identify how earlier traumas might influence responses to later ones and how various trauma responses might reinforce or complicate each other. Such detailed understanding enables therapists to develop more precisely targeted treatment plans that address both individual trauma responses and their complex interactions (</w:t>
      </w:r>
      <w:proofErr w:type="spellStart"/>
      <w:r>
        <w:rPr>
          <w:rFonts w:ascii="Times New Roman" w:eastAsia="Times New Roman" w:hAnsi="Times New Roman" w:cs="Times New Roman"/>
          <w:sz w:val="24"/>
          <w:szCs w:val="24"/>
        </w:rPr>
        <w:t>Menschner</w:t>
      </w:r>
      <w:proofErr w:type="spellEnd"/>
      <w:r>
        <w:rPr>
          <w:rFonts w:ascii="Times New Roman" w:eastAsia="Times New Roman" w:hAnsi="Times New Roman" w:cs="Times New Roman"/>
          <w:sz w:val="24"/>
          <w:szCs w:val="24"/>
        </w:rPr>
        <w:t xml:space="preserve"> &amp; Maul, 2016). The implications for treatment planning extend beyond initial assessment (Raja et al., 2015). Therapists must consider how different trauma responses might affect treatment pacing and sequencing. For instance, addressing recent trauma might inadvertently trigger responses related to earlier traumas, requiring careful attention to treatment timing and intensity. Additionally, understanding polytrauma helps clinicians better anticipate and prepare for potential complications in the recovery process, such as how processing one trauma might temporarily intensify symptoms related to others (Yadav et al., 2024). This knowledge supports more effective crisis planning and the development of more robust coping strategies.</w:t>
      </w:r>
    </w:p>
    <w:p w14:paraId="7D831160"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polytrauma understanding influences the therapeutic relationship itself (Abuse, 2014). Clinicians must be prepared to work with multiple layers of trust issues, potentially complicated attachment patterns, and varied trauma-related interpersonal dynamics (Sweeney et al., 2018). This might require integrating different therapeutic approaches (</w:t>
      </w:r>
      <w:proofErr w:type="spellStart"/>
      <w:r>
        <w:rPr>
          <w:rFonts w:ascii="Times New Roman" w:eastAsia="Times New Roman" w:hAnsi="Times New Roman" w:cs="Times New Roman"/>
          <w:sz w:val="24"/>
          <w:szCs w:val="24"/>
        </w:rPr>
        <w:t>Haeyen</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&amp; </w:t>
      </w:r>
      <w:proofErr w:type="spellStart"/>
      <w:r>
        <w:rPr>
          <w:rFonts w:ascii="Times New Roman" w:eastAsia="Times New Roman" w:hAnsi="Times New Roman" w:cs="Times New Roman"/>
          <w:sz w:val="24"/>
          <w:szCs w:val="24"/>
        </w:rPr>
        <w:t>Wanten</w:t>
      </w:r>
      <w:proofErr w:type="spellEnd"/>
      <w:r>
        <w:rPr>
          <w:rFonts w:ascii="Times New Roman" w:eastAsia="Times New Roman" w:hAnsi="Times New Roman" w:cs="Times New Roman"/>
          <w:sz w:val="24"/>
          <w:szCs w:val="24"/>
        </w:rPr>
        <w:t>, 2024) or adapting standard protocols to address multiple traumas’ impacts simultaneously. For example, a therapist might need to combine elements of cognitive processing therapy for recent trauma with attachment-based approaches for addressing earlier developmental trauma.</w:t>
      </w:r>
    </w:p>
    <w:p w14:paraId="283E8E35"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These insights also shape how therapists approach resilience and post-traumatic growth in polytrauma survivors. Rather than focusing solely on symptom reduction (</w:t>
      </w:r>
      <w:proofErr w:type="spellStart"/>
      <w:r>
        <w:rPr>
          <w:rFonts w:ascii="Times New Roman" w:eastAsia="Times New Roman" w:hAnsi="Times New Roman" w:cs="Times New Roman"/>
          <w:sz w:val="24"/>
          <w:szCs w:val="24"/>
        </w:rPr>
        <w:t>Ejeby</w:t>
      </w:r>
      <w:proofErr w:type="spellEnd"/>
      <w:r>
        <w:rPr>
          <w:rFonts w:ascii="Times New Roman" w:eastAsia="Times New Roman" w:hAnsi="Times New Roman" w:cs="Times New Roman"/>
          <w:sz w:val="24"/>
          <w:szCs w:val="24"/>
        </w:rPr>
        <w:t xml:space="preserve"> et al., 2014), treatment can acknowledge and build upon the unique strengths and coping strategies that survivors have developed across multiple traumas. This might include recognizing how surviving earlier traumas has contributed to current coping abilities, while also addressing any maladaptive patterns that may have emerged (Nakao et al., 2021). Understanding polytrauma helps clinicians balance validation of survival strategies with the introduction of more effective coping mechanisms.</w:t>
      </w:r>
    </w:p>
    <w:p w14:paraId="02E24453" w14:textId="75247C84" w:rsidR="00542438" w:rsidRDefault="00F41472" w:rsidP="69B4F93C">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69B4F93C">
        <w:rPr>
          <w:rFonts w:ascii="Times New Roman" w:eastAsia="Times New Roman" w:hAnsi="Times New Roman" w:cs="Times New Roman"/>
          <w:sz w:val="24"/>
          <w:szCs w:val="24"/>
        </w:rPr>
        <w:t xml:space="preserve">Moreover, societal implications of understanding polytrauma extend into policy development, resource allocation, public health initiatives, and trauma-informed care in educational settings. PTSD becomes a relative risk factor for trauma survivors and has shown to increase suicide ideation and attempt (Kessler et al., 1995). Despite not having a direct causal link of trauma survivors’ death by suicide, longitudinal findings support the correlation with survivors citing isolation, stigmatization, and triggering legal proceedings as catalysts for suicide attempts (Fox et al., 2021). This knowledge helps shape healthcare coverage policies, guides the creation of more effective support services, and influences how communities allocate mental health resources. Furthermore, feelings of shame and defeat follow myopic social behaviors concerning trauma (López-Castro et al., 2019), especially </w:t>
      </w:r>
      <w:r w:rsidR="6AF84CBC" w:rsidRPr="69B4F93C">
        <w:rPr>
          <w:rFonts w:ascii="Times New Roman" w:eastAsia="Times New Roman" w:hAnsi="Times New Roman" w:cs="Times New Roman"/>
          <w:sz w:val="24"/>
          <w:szCs w:val="24"/>
        </w:rPr>
        <w:t>regarding</w:t>
      </w:r>
      <w:r w:rsidRPr="69B4F93C">
        <w:rPr>
          <w:rFonts w:ascii="Times New Roman" w:eastAsia="Times New Roman" w:hAnsi="Times New Roman" w:cs="Times New Roman"/>
          <w:sz w:val="24"/>
          <w:szCs w:val="24"/>
        </w:rPr>
        <w:t xml:space="preserve"> bodies with physical evidence of trauma such as scarring, deformation, or the loss of autonomous mobility. Normative </w:t>
      </w:r>
      <w:r w:rsidRPr="69B4F93C">
        <w:rPr>
          <w:rFonts w:ascii="Times New Roman" w:eastAsia="Times New Roman" w:hAnsi="Times New Roman" w:cs="Times New Roman"/>
          <w:sz w:val="24"/>
          <w:szCs w:val="24"/>
        </w:rPr>
        <w:lastRenderedPageBreak/>
        <w:t xml:space="preserve">perspectives of </w:t>
      </w:r>
      <w:r w:rsidRPr="69B4F93C">
        <w:rPr>
          <w:rFonts w:ascii="Times New Roman" w:eastAsia="Times New Roman" w:hAnsi="Times New Roman" w:cs="Times New Roman"/>
          <w:i/>
          <w:iCs/>
          <w:sz w:val="24"/>
          <w:szCs w:val="24"/>
        </w:rPr>
        <w:t xml:space="preserve">wholeness </w:t>
      </w:r>
      <w:r w:rsidRPr="69B4F93C">
        <w:rPr>
          <w:rFonts w:ascii="Times New Roman" w:eastAsia="Times New Roman" w:hAnsi="Times New Roman" w:cs="Times New Roman"/>
          <w:sz w:val="24"/>
          <w:szCs w:val="24"/>
        </w:rPr>
        <w:t xml:space="preserve">or </w:t>
      </w:r>
      <w:r w:rsidRPr="69B4F93C">
        <w:rPr>
          <w:rFonts w:ascii="Times New Roman" w:eastAsia="Times New Roman" w:hAnsi="Times New Roman" w:cs="Times New Roman"/>
          <w:i/>
          <w:iCs/>
          <w:sz w:val="24"/>
          <w:szCs w:val="24"/>
        </w:rPr>
        <w:t xml:space="preserve">healthiness </w:t>
      </w:r>
      <w:r w:rsidRPr="69B4F93C">
        <w:rPr>
          <w:rFonts w:ascii="Times New Roman" w:eastAsia="Times New Roman" w:hAnsi="Times New Roman" w:cs="Times New Roman"/>
          <w:sz w:val="24"/>
          <w:szCs w:val="24"/>
        </w:rPr>
        <w:t xml:space="preserve">reify standardizing not only life experiences but bodies (Weaver et al, 2007). Consequently, asset-based research on survivors’ resilience and adaptation can further support interdisciplinary disability studies. The relevance of resilience and coping can impact a similar deficit-based approach to individuals with nontypical physical and intellectual conditions. Information derived from accessibility research can impact social institutions, such as political organizations and public education, and combat discrimination and exclusion of individuals with disabilities. Despite </w:t>
      </w:r>
      <w:bookmarkStart w:id="4" w:name="_Int_znOpyQKc"/>
      <w:r w:rsidRPr="69B4F93C">
        <w:rPr>
          <w:rFonts w:ascii="Times New Roman" w:eastAsia="Times New Roman" w:hAnsi="Times New Roman" w:cs="Times New Roman"/>
          <w:sz w:val="24"/>
          <w:szCs w:val="24"/>
        </w:rPr>
        <w:t>a number of</w:t>
      </w:r>
      <w:bookmarkEnd w:id="4"/>
      <w:r w:rsidRPr="69B4F93C">
        <w:rPr>
          <w:rFonts w:ascii="Times New Roman" w:eastAsia="Times New Roman" w:hAnsi="Times New Roman" w:cs="Times New Roman"/>
          <w:sz w:val="24"/>
          <w:szCs w:val="24"/>
        </w:rPr>
        <w:t xml:space="preserve"> reputable American universities including programs in disability studies, the gap in asset based consumable research is still too large, as also seen with trauma studies (Olff et al., 2015).</w:t>
      </w:r>
    </w:p>
    <w:p w14:paraId="3D63D90D"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better understanding of polytrauma impacts healthcare cost planning, workplace accommodation development, and disability support service design. Public health initiatives benefit from improved trauma prevention strategies and more effective interventions, while policymakers can use this understanding to develop more comprehensive support systems for trauma survivors. This broader societal awareness helps create more responsive and effective support networks for individuals dealing with multiple interconnected traumas.</w:t>
      </w:r>
    </w:p>
    <w:p w14:paraId="3A8AAAB5" w14:textId="77777777" w:rsidR="00542438" w:rsidRDefault="00F41472">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Understanding polytrauma fundamentally reshapes how we approach trauma recovery and resilience development at both individual and societal levels. When we recognize the complex interplay between multiple traumas, we can better support survivors in developing more sophisticated and effective coping strategies while acknowledging their existing strengths and survival skills. This specific understanding moves us beyond simple deficit-based models toward approaches that honor survivors' capabilities while providing more comprehensive support. As communities and institutions become more trauma-informed through this deeper understanding, environments can be shaped to actively support healing rather than inadvertently perpetuating </w:t>
      </w:r>
      <w:r>
        <w:rPr>
          <w:rFonts w:ascii="Times New Roman" w:eastAsia="Times New Roman" w:hAnsi="Times New Roman" w:cs="Times New Roman"/>
          <w:sz w:val="24"/>
          <w:szCs w:val="24"/>
        </w:rPr>
        <w:lastRenderedPageBreak/>
        <w:t>harm. Healthcare systems can provide more effective treatments, educational institutions can better support student development, and workplaces can implement more supportive policies. This ripple effect of improved trauma understanding ultimately strengthens society's collective resilience, reducing the impact of intergenerational trauma transmission and fostering more compassionate, adaptive communities. By recognizing and responding to the complexity of polytrauma, we create a foundation for both individual healing and broader societal transformation toward more trauma-informed, resilient systems of support.</w:t>
      </w:r>
    </w:p>
    <w:p w14:paraId="74C3AA35" w14:textId="77777777" w:rsidR="00542438" w:rsidRDefault="00542438">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p>
    <w:p w14:paraId="60E3E1A0" w14:textId="77777777" w:rsidR="000B0156" w:rsidRDefault="000B0156" w:rsidP="000B0156">
      <w:pPr>
        <w:rPr>
          <w:rFonts w:ascii="Times New Roman" w:eastAsia="Times New Roman" w:hAnsi="Times New Roman" w:cs="Times New Roman"/>
          <w:sz w:val="24"/>
          <w:szCs w:val="24"/>
        </w:rPr>
      </w:pPr>
    </w:p>
    <w:p w14:paraId="0C941AA6" w14:textId="4753C9C9" w:rsidR="69B4F93C" w:rsidRDefault="69B4F93C" w:rsidP="69B4F93C">
      <w:pPr>
        <w:rPr>
          <w:rFonts w:ascii="Times New Roman" w:eastAsia="Times New Roman" w:hAnsi="Times New Roman" w:cs="Times New Roman"/>
          <w:sz w:val="24"/>
          <w:szCs w:val="24"/>
        </w:rPr>
      </w:pPr>
    </w:p>
    <w:p w14:paraId="18D8E0DA" w14:textId="20A2B1CE" w:rsidR="744FDEE0" w:rsidRDefault="744FDEE0" w:rsidP="744FDEE0">
      <w:pPr>
        <w:rPr>
          <w:rFonts w:ascii="Times New Roman" w:eastAsia="Times New Roman" w:hAnsi="Times New Roman" w:cs="Times New Roman"/>
          <w:sz w:val="24"/>
          <w:szCs w:val="24"/>
        </w:rPr>
      </w:pPr>
    </w:p>
    <w:p w14:paraId="5DDBED9F" w14:textId="480B8E4D" w:rsidR="744FDEE0" w:rsidRDefault="744FDEE0" w:rsidP="744FDEE0">
      <w:pPr>
        <w:rPr>
          <w:rFonts w:ascii="Times New Roman" w:eastAsia="Times New Roman" w:hAnsi="Times New Roman" w:cs="Times New Roman"/>
          <w:sz w:val="24"/>
          <w:szCs w:val="24"/>
        </w:rPr>
      </w:pPr>
    </w:p>
    <w:p w14:paraId="49352302" w14:textId="16E4D63A" w:rsidR="744FDEE0" w:rsidRDefault="744FDEE0" w:rsidP="744FDEE0">
      <w:pPr>
        <w:rPr>
          <w:rFonts w:ascii="Times New Roman" w:eastAsia="Times New Roman" w:hAnsi="Times New Roman" w:cs="Times New Roman"/>
          <w:sz w:val="24"/>
          <w:szCs w:val="24"/>
        </w:rPr>
      </w:pPr>
    </w:p>
    <w:p w14:paraId="532745AA" w14:textId="6A979096" w:rsidR="744FDEE0" w:rsidRDefault="744FDEE0" w:rsidP="744FDEE0">
      <w:pPr>
        <w:rPr>
          <w:rFonts w:ascii="Times New Roman" w:eastAsia="Times New Roman" w:hAnsi="Times New Roman" w:cs="Times New Roman"/>
          <w:sz w:val="24"/>
          <w:szCs w:val="24"/>
        </w:rPr>
      </w:pPr>
    </w:p>
    <w:p w14:paraId="09379E99" w14:textId="31A2DBCB" w:rsidR="744FDEE0" w:rsidRDefault="744FDEE0" w:rsidP="744FDEE0">
      <w:pPr>
        <w:rPr>
          <w:rFonts w:ascii="Times New Roman" w:eastAsia="Times New Roman" w:hAnsi="Times New Roman" w:cs="Times New Roman"/>
          <w:sz w:val="24"/>
          <w:szCs w:val="24"/>
        </w:rPr>
      </w:pPr>
    </w:p>
    <w:p w14:paraId="4A3C4C1C" w14:textId="16C4D988" w:rsidR="744FDEE0" w:rsidRDefault="744FDEE0" w:rsidP="744FDEE0">
      <w:pPr>
        <w:rPr>
          <w:rFonts w:ascii="Times New Roman" w:eastAsia="Times New Roman" w:hAnsi="Times New Roman" w:cs="Times New Roman"/>
          <w:sz w:val="24"/>
          <w:szCs w:val="24"/>
        </w:rPr>
      </w:pPr>
    </w:p>
    <w:p w14:paraId="462D8CAA" w14:textId="07E9C9FF" w:rsidR="744FDEE0" w:rsidRDefault="744FDEE0" w:rsidP="744FDEE0">
      <w:pPr>
        <w:rPr>
          <w:rFonts w:ascii="Times New Roman" w:eastAsia="Times New Roman" w:hAnsi="Times New Roman" w:cs="Times New Roman"/>
          <w:sz w:val="24"/>
          <w:szCs w:val="24"/>
        </w:rPr>
      </w:pPr>
    </w:p>
    <w:p w14:paraId="5BABE880" w14:textId="106F1CBF" w:rsidR="744FDEE0" w:rsidRDefault="744FDEE0" w:rsidP="744FDEE0">
      <w:pPr>
        <w:rPr>
          <w:rFonts w:ascii="Times New Roman" w:eastAsia="Times New Roman" w:hAnsi="Times New Roman" w:cs="Times New Roman"/>
          <w:sz w:val="24"/>
          <w:szCs w:val="24"/>
        </w:rPr>
      </w:pPr>
    </w:p>
    <w:p w14:paraId="09F93A45" w14:textId="114BEB18" w:rsidR="744FDEE0" w:rsidRDefault="744FDEE0" w:rsidP="744FDEE0">
      <w:pPr>
        <w:rPr>
          <w:rFonts w:ascii="Times New Roman" w:eastAsia="Times New Roman" w:hAnsi="Times New Roman" w:cs="Times New Roman"/>
          <w:sz w:val="24"/>
          <w:szCs w:val="24"/>
        </w:rPr>
      </w:pPr>
    </w:p>
    <w:p w14:paraId="446BB8E7" w14:textId="72578BAE" w:rsidR="744FDEE0" w:rsidRDefault="744FDEE0" w:rsidP="744FDEE0">
      <w:pPr>
        <w:rPr>
          <w:rFonts w:ascii="Times New Roman" w:eastAsia="Times New Roman" w:hAnsi="Times New Roman" w:cs="Times New Roman"/>
          <w:sz w:val="24"/>
          <w:szCs w:val="24"/>
        </w:rPr>
      </w:pPr>
    </w:p>
    <w:p w14:paraId="7EB58BFA" w14:textId="3DDC356A" w:rsidR="744FDEE0" w:rsidRDefault="744FDEE0" w:rsidP="744FDEE0">
      <w:pPr>
        <w:rPr>
          <w:rFonts w:ascii="Times New Roman" w:eastAsia="Times New Roman" w:hAnsi="Times New Roman" w:cs="Times New Roman"/>
          <w:sz w:val="24"/>
          <w:szCs w:val="24"/>
        </w:rPr>
      </w:pPr>
    </w:p>
    <w:p w14:paraId="553FD182" w14:textId="69B69DC7" w:rsidR="744FDEE0" w:rsidRDefault="744FDEE0" w:rsidP="744FDEE0">
      <w:pPr>
        <w:rPr>
          <w:rFonts w:ascii="Times New Roman" w:eastAsia="Times New Roman" w:hAnsi="Times New Roman" w:cs="Times New Roman"/>
          <w:sz w:val="24"/>
          <w:szCs w:val="24"/>
        </w:rPr>
      </w:pPr>
    </w:p>
    <w:p w14:paraId="1153FB32" w14:textId="13DE7853" w:rsidR="744FDEE0" w:rsidRDefault="744FDEE0" w:rsidP="744FDEE0">
      <w:pPr>
        <w:rPr>
          <w:rFonts w:ascii="Times New Roman" w:eastAsia="Times New Roman" w:hAnsi="Times New Roman" w:cs="Times New Roman"/>
          <w:sz w:val="24"/>
          <w:szCs w:val="24"/>
        </w:rPr>
      </w:pPr>
    </w:p>
    <w:p w14:paraId="1E8B7B65" w14:textId="2A4BF94F" w:rsidR="744FDEE0" w:rsidRDefault="744FDEE0" w:rsidP="744FDEE0">
      <w:pPr>
        <w:rPr>
          <w:rFonts w:ascii="Times New Roman" w:eastAsia="Times New Roman" w:hAnsi="Times New Roman" w:cs="Times New Roman"/>
          <w:sz w:val="24"/>
          <w:szCs w:val="24"/>
        </w:rPr>
      </w:pPr>
    </w:p>
    <w:p w14:paraId="3359CF38" w14:textId="0747FC6B" w:rsidR="744FDEE0" w:rsidRDefault="744FDEE0" w:rsidP="744FDEE0">
      <w:pPr>
        <w:rPr>
          <w:rFonts w:ascii="Times New Roman" w:eastAsia="Times New Roman" w:hAnsi="Times New Roman" w:cs="Times New Roman"/>
          <w:sz w:val="24"/>
          <w:szCs w:val="24"/>
        </w:rPr>
      </w:pPr>
    </w:p>
    <w:p w14:paraId="5713508F" w14:textId="2EF75F53" w:rsidR="744FDEE0" w:rsidRDefault="744FDEE0" w:rsidP="744FDEE0">
      <w:pPr>
        <w:rPr>
          <w:rFonts w:ascii="Times New Roman" w:eastAsia="Times New Roman" w:hAnsi="Times New Roman" w:cs="Times New Roman"/>
          <w:sz w:val="24"/>
          <w:szCs w:val="24"/>
        </w:rPr>
      </w:pPr>
    </w:p>
    <w:p w14:paraId="053D3E3C" w14:textId="5D8560EA" w:rsidR="00542438" w:rsidRDefault="00F41472" w:rsidP="000B015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References</w:t>
      </w:r>
    </w:p>
    <w:p w14:paraId="4B1EF760" w14:textId="7DC0AE11" w:rsidR="000B0156" w:rsidRPr="000B0156" w:rsidRDefault="00F41472" w:rsidP="08CD0080">
      <w:pPr>
        <w:spacing w:line="480" w:lineRule="auto"/>
        <w:rPr>
          <w:rFonts w:ascii="Times New Roman" w:eastAsia="Times New Roman" w:hAnsi="Times New Roman" w:cs="Times New Roman"/>
          <w:sz w:val="24"/>
          <w:szCs w:val="24"/>
        </w:rPr>
      </w:pPr>
      <w:r w:rsidRPr="08CD0080">
        <w:rPr>
          <w:rFonts w:ascii="Times New Roman" w:eastAsia="Times New Roman" w:hAnsi="Times New Roman" w:cs="Times New Roman"/>
          <w:sz w:val="24"/>
          <w:szCs w:val="24"/>
        </w:rPr>
        <w:t xml:space="preserve"> </w:t>
      </w:r>
      <w:r w:rsidR="000B0156" w:rsidRPr="08CD0080">
        <w:rPr>
          <w:rFonts w:ascii="Times New Roman" w:eastAsia="Times New Roman" w:hAnsi="Times New Roman" w:cs="Times New Roman"/>
          <w:sz w:val="24"/>
          <w:szCs w:val="24"/>
        </w:rPr>
        <w:t>Abuse, S. (2014). SAMHSA’s concept of trauma and guidance for a trauma-informed</w:t>
      </w:r>
      <w:r w:rsidR="5B800A0D" w:rsidRPr="08CD0080">
        <w:rPr>
          <w:rFonts w:ascii="Times New Roman" w:eastAsia="Times New Roman" w:hAnsi="Times New Roman" w:cs="Times New Roman"/>
          <w:sz w:val="24"/>
          <w:szCs w:val="24"/>
        </w:rPr>
        <w:t xml:space="preserve"> </w:t>
      </w:r>
      <w:r>
        <w:tab/>
      </w:r>
      <w:r>
        <w:tab/>
      </w:r>
      <w:r w:rsidR="5B800A0D" w:rsidRPr="08CD0080">
        <w:rPr>
          <w:rFonts w:ascii="Times New Roman" w:eastAsia="Times New Roman" w:hAnsi="Times New Roman" w:cs="Times New Roman"/>
          <w:sz w:val="24"/>
          <w:szCs w:val="24"/>
        </w:rPr>
        <w:t>a</w:t>
      </w:r>
      <w:r w:rsidR="000B0156" w:rsidRPr="08CD0080">
        <w:rPr>
          <w:rFonts w:ascii="Times New Roman" w:eastAsia="Times New Roman" w:hAnsi="Times New Roman" w:cs="Times New Roman"/>
          <w:sz w:val="24"/>
          <w:szCs w:val="24"/>
        </w:rPr>
        <w:t>pproach. </w:t>
      </w:r>
    </w:p>
    <w:p w14:paraId="7E04FAC8"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Alonzo A. A. (2000). The experience of chronic illness and post-traumatic stress disorder: the consequences of cumulative adversity. </w:t>
      </w:r>
      <w:r w:rsidRPr="000B0156">
        <w:rPr>
          <w:rFonts w:ascii="Times New Roman" w:eastAsia="Times New Roman" w:hAnsi="Times New Roman" w:cs="Times New Roman"/>
          <w:i/>
          <w:iCs/>
          <w:sz w:val="24"/>
          <w:szCs w:val="24"/>
        </w:rPr>
        <w:t>Social science &amp; medicine (1982)</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50</w:t>
      </w:r>
      <w:r w:rsidRPr="000B0156">
        <w:rPr>
          <w:rFonts w:ascii="Times New Roman" w:eastAsia="Times New Roman" w:hAnsi="Times New Roman" w:cs="Times New Roman"/>
          <w:sz w:val="24"/>
          <w:szCs w:val="24"/>
        </w:rPr>
        <w:t xml:space="preserve">(10), 1475–1484. </w:t>
      </w:r>
      <w:hyperlink r:id="rId8" w:tgtFrame="_blank" w:history="1">
        <w:r w:rsidRPr="000B0156">
          <w:rPr>
            <w:rStyle w:val="Hyperlink"/>
            <w:rFonts w:ascii="Times New Roman" w:eastAsia="Times New Roman" w:hAnsi="Times New Roman" w:cs="Times New Roman"/>
            <w:sz w:val="24"/>
            <w:szCs w:val="24"/>
          </w:rPr>
          <w:t>https://doi.org/10.1016/s0277-9536(99)00399-8</w:t>
        </w:r>
      </w:hyperlink>
      <w:r w:rsidRPr="000B0156">
        <w:rPr>
          <w:rFonts w:ascii="Times New Roman" w:eastAsia="Times New Roman" w:hAnsi="Times New Roman" w:cs="Times New Roman"/>
          <w:sz w:val="24"/>
          <w:szCs w:val="24"/>
        </w:rPr>
        <w:t>. </w:t>
      </w:r>
    </w:p>
    <w:p w14:paraId="2015D3DA"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Andu, E., Wagenaar, B. H., Kemp, C. G., Nevin, P. E., Simoni, J. M., Andrasik, M., Cohn, S. E., French, A. L., &amp; Rao, D. (2018). Risk and protective factors of posttraumatic stress disorder among African American women living with HIV. </w:t>
      </w:r>
      <w:r w:rsidRPr="000B0156">
        <w:rPr>
          <w:rFonts w:ascii="Times New Roman" w:eastAsia="Times New Roman" w:hAnsi="Times New Roman" w:cs="Times New Roman"/>
          <w:i/>
          <w:iCs/>
          <w:sz w:val="24"/>
          <w:szCs w:val="24"/>
        </w:rPr>
        <w:t>AIDS Care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30</w:t>
      </w:r>
      <w:r w:rsidRPr="000B0156">
        <w:rPr>
          <w:rFonts w:ascii="Times New Roman" w:eastAsia="Times New Roman" w:hAnsi="Times New Roman" w:cs="Times New Roman"/>
          <w:sz w:val="24"/>
          <w:szCs w:val="24"/>
        </w:rPr>
        <w:t xml:space="preserve">(11), 1393- 1399. </w:t>
      </w:r>
      <w:hyperlink r:id="rId9" w:tgtFrame="_blank" w:history="1">
        <w:r w:rsidRPr="000B0156">
          <w:rPr>
            <w:rStyle w:val="Hyperlink"/>
            <w:rFonts w:ascii="Times New Roman" w:eastAsia="Times New Roman" w:hAnsi="Times New Roman" w:cs="Times New Roman"/>
            <w:sz w:val="24"/>
            <w:szCs w:val="24"/>
          </w:rPr>
          <w:t>https://doi-org.ezproxy.lib.vt.edu/10.1080/09540121.2018.1466981</w:t>
        </w:r>
      </w:hyperlink>
      <w:r w:rsidRPr="000B0156">
        <w:rPr>
          <w:rFonts w:ascii="Times New Roman" w:eastAsia="Times New Roman" w:hAnsi="Times New Roman" w:cs="Times New Roman"/>
          <w:sz w:val="24"/>
          <w:szCs w:val="24"/>
        </w:rPr>
        <w:t>. </w:t>
      </w:r>
    </w:p>
    <w:p w14:paraId="006D1C27"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744FDEE0">
        <w:rPr>
          <w:rFonts w:ascii="Times New Roman" w:eastAsia="Times New Roman" w:hAnsi="Times New Roman" w:cs="Times New Roman"/>
          <w:sz w:val="24"/>
          <w:szCs w:val="24"/>
        </w:rPr>
        <w:t xml:space="preserve">Appleyard K., Egeland B., van </w:t>
      </w:r>
      <w:proofErr w:type="spellStart"/>
      <w:r w:rsidRPr="744FDEE0">
        <w:rPr>
          <w:rFonts w:ascii="Times New Roman" w:eastAsia="Times New Roman" w:hAnsi="Times New Roman" w:cs="Times New Roman"/>
          <w:sz w:val="24"/>
          <w:szCs w:val="24"/>
        </w:rPr>
        <w:t>Dulmen</w:t>
      </w:r>
      <w:proofErr w:type="spellEnd"/>
      <w:r w:rsidRPr="744FDEE0">
        <w:rPr>
          <w:rFonts w:ascii="Times New Roman" w:eastAsia="Times New Roman" w:hAnsi="Times New Roman" w:cs="Times New Roman"/>
          <w:sz w:val="24"/>
          <w:szCs w:val="24"/>
        </w:rPr>
        <w:t xml:space="preserve"> M. H. M., Sroufe L. A. (2005). When more is not better: The role of cumulative risk in child behavior outcomes. </w:t>
      </w:r>
      <w:r w:rsidRPr="744FDEE0">
        <w:rPr>
          <w:rFonts w:ascii="Times New Roman" w:eastAsia="Times New Roman" w:hAnsi="Times New Roman" w:cs="Times New Roman"/>
          <w:i/>
          <w:iCs/>
          <w:sz w:val="24"/>
          <w:szCs w:val="24"/>
        </w:rPr>
        <w:t>Journal of Child Psychology and Psychiatry and Allied Disciplines</w:t>
      </w:r>
      <w:r w:rsidRPr="744FDEE0">
        <w:rPr>
          <w:rFonts w:ascii="Times New Roman" w:eastAsia="Times New Roman" w:hAnsi="Times New Roman" w:cs="Times New Roman"/>
          <w:sz w:val="24"/>
          <w:szCs w:val="24"/>
        </w:rPr>
        <w:t>, 46(3), 235–245. </w:t>
      </w:r>
    </w:p>
    <w:p w14:paraId="054AEE3E" w14:textId="18A99A79" w:rsidR="4B0D1A4D" w:rsidRDefault="4B0D1A4D" w:rsidP="744FDEE0">
      <w:pPr>
        <w:spacing w:after="0" w:line="480" w:lineRule="auto"/>
        <w:ind w:left="720" w:hanging="720"/>
        <w:rPr>
          <w:rFonts w:ascii="Times New Roman" w:eastAsia="Times New Roman" w:hAnsi="Times New Roman" w:cs="Times New Roman"/>
          <w:sz w:val="24"/>
          <w:szCs w:val="24"/>
        </w:rPr>
      </w:pPr>
      <w:r w:rsidRPr="744FDEE0">
        <w:rPr>
          <w:rFonts w:ascii="Times New Roman" w:eastAsia="Times New Roman" w:hAnsi="Times New Roman" w:cs="Times New Roman"/>
          <w:sz w:val="24"/>
          <w:szCs w:val="24"/>
        </w:rPr>
        <w:t xml:space="preserve">Arksey, H. &amp; O’Malley, L. (2005). Scoping Studies: Towards a Methodological Framework. </w:t>
      </w:r>
      <w:r w:rsidRPr="744FDEE0">
        <w:rPr>
          <w:rFonts w:ascii="Times New Roman" w:eastAsia="Times New Roman" w:hAnsi="Times New Roman" w:cs="Times New Roman"/>
          <w:i/>
          <w:iCs/>
          <w:sz w:val="24"/>
          <w:szCs w:val="24"/>
        </w:rPr>
        <w:t>International Journal of Social Research Methodology, 8</w:t>
      </w:r>
      <w:r w:rsidRPr="744FDEE0">
        <w:rPr>
          <w:rFonts w:ascii="Times New Roman" w:eastAsia="Times New Roman" w:hAnsi="Times New Roman" w:cs="Times New Roman"/>
          <w:sz w:val="24"/>
          <w:szCs w:val="24"/>
        </w:rPr>
        <w:t>(1), 19-32.</w:t>
      </w:r>
    </w:p>
    <w:p w14:paraId="74DDC25B"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Atwoli</w:t>
      </w:r>
      <w:proofErr w:type="spellEnd"/>
      <w:r w:rsidRPr="000B0156">
        <w:rPr>
          <w:rFonts w:ascii="Times New Roman" w:eastAsia="Times New Roman" w:hAnsi="Times New Roman" w:cs="Times New Roman"/>
          <w:sz w:val="24"/>
          <w:szCs w:val="24"/>
        </w:rPr>
        <w:t xml:space="preserve">, L., Stein, D. J., King, A., Petukhova, M., Aguilar-Gaxiola, S., Alonso, J., </w:t>
      </w:r>
      <w:proofErr w:type="spellStart"/>
      <w:r w:rsidRPr="000B0156">
        <w:rPr>
          <w:rFonts w:ascii="Times New Roman" w:eastAsia="Times New Roman" w:hAnsi="Times New Roman" w:cs="Times New Roman"/>
          <w:sz w:val="24"/>
          <w:szCs w:val="24"/>
        </w:rPr>
        <w:t>Bromet</w:t>
      </w:r>
      <w:proofErr w:type="spellEnd"/>
      <w:r w:rsidRPr="000B0156">
        <w:rPr>
          <w:rFonts w:ascii="Times New Roman" w:eastAsia="Times New Roman" w:hAnsi="Times New Roman" w:cs="Times New Roman"/>
          <w:sz w:val="24"/>
          <w:szCs w:val="24"/>
        </w:rPr>
        <w:t xml:space="preserve">, E. J., de Girolamo, G., </w:t>
      </w:r>
      <w:proofErr w:type="spellStart"/>
      <w:r w:rsidRPr="000B0156">
        <w:rPr>
          <w:rFonts w:ascii="Times New Roman" w:eastAsia="Times New Roman" w:hAnsi="Times New Roman" w:cs="Times New Roman"/>
          <w:sz w:val="24"/>
          <w:szCs w:val="24"/>
        </w:rPr>
        <w:t>Demyttenaere</w:t>
      </w:r>
      <w:proofErr w:type="spellEnd"/>
      <w:r w:rsidRPr="000B0156">
        <w:rPr>
          <w:rFonts w:ascii="Times New Roman" w:eastAsia="Times New Roman" w:hAnsi="Times New Roman" w:cs="Times New Roman"/>
          <w:sz w:val="24"/>
          <w:szCs w:val="24"/>
        </w:rPr>
        <w:t xml:space="preserve">, K., Florescu, S., Maria Haro, J., Karam, E. G., Kawakami, N., Lee, S., Lepine, J. P., Navarro-Mateu, F., O'Neill, S., Pennell, B. E., Piazza, M., Posada-Villa, J., … WHO World Mental Health Survey Collaborators (2017). Posttraumatic stress disorder associated with unexpected death of a loved one: Cross-national findings from the world mental health surveys. </w:t>
      </w:r>
      <w:r w:rsidRPr="000B0156">
        <w:rPr>
          <w:rFonts w:ascii="Times New Roman" w:eastAsia="Times New Roman" w:hAnsi="Times New Roman" w:cs="Times New Roman"/>
          <w:i/>
          <w:iCs/>
          <w:sz w:val="24"/>
          <w:szCs w:val="24"/>
        </w:rPr>
        <w:t>Depression and anxiety</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34</w:t>
      </w:r>
      <w:r w:rsidRPr="000B0156">
        <w:rPr>
          <w:rFonts w:ascii="Times New Roman" w:eastAsia="Times New Roman" w:hAnsi="Times New Roman" w:cs="Times New Roman"/>
          <w:sz w:val="24"/>
          <w:szCs w:val="24"/>
        </w:rPr>
        <w:t xml:space="preserve">(4), 315–326. </w:t>
      </w:r>
      <w:hyperlink r:id="rId10" w:tgtFrame="_blank" w:history="1">
        <w:r w:rsidRPr="000B0156">
          <w:rPr>
            <w:rStyle w:val="Hyperlink"/>
            <w:rFonts w:ascii="Times New Roman" w:eastAsia="Times New Roman" w:hAnsi="Times New Roman" w:cs="Times New Roman"/>
            <w:sz w:val="24"/>
            <w:szCs w:val="24"/>
          </w:rPr>
          <w:t>https://doi.org/10.1002/da.22579</w:t>
        </w:r>
      </w:hyperlink>
      <w:r w:rsidRPr="000B0156">
        <w:rPr>
          <w:rFonts w:ascii="Times New Roman" w:eastAsia="Times New Roman" w:hAnsi="Times New Roman" w:cs="Times New Roman"/>
          <w:sz w:val="24"/>
          <w:szCs w:val="24"/>
        </w:rPr>
        <w:t>. </w:t>
      </w:r>
    </w:p>
    <w:p w14:paraId="7A76141E" w14:textId="7F8C5843"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Aupperle, R. L., Melrose, A. J., Stein, M. B., &amp; Paulus, M. P. (2012). Executive function and PTSD: disengaging from trauma. </w:t>
      </w:r>
      <w:r w:rsidRPr="000B0156">
        <w:rPr>
          <w:rFonts w:ascii="Times New Roman" w:eastAsia="Times New Roman" w:hAnsi="Times New Roman" w:cs="Times New Roman"/>
          <w:i/>
          <w:iCs/>
          <w:sz w:val="24"/>
          <w:szCs w:val="24"/>
        </w:rPr>
        <w:t>Neuropharmacology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62</w:t>
      </w:r>
      <w:r w:rsidRPr="000B0156">
        <w:rPr>
          <w:rFonts w:ascii="Times New Roman" w:eastAsia="Times New Roman" w:hAnsi="Times New Roman" w:cs="Times New Roman"/>
          <w:sz w:val="24"/>
          <w:szCs w:val="24"/>
        </w:rPr>
        <w:t>(2), 686–694.</w:t>
      </w:r>
      <w:r>
        <w:rPr>
          <w:rFonts w:ascii="Times New Roman" w:eastAsia="Times New Roman" w:hAnsi="Times New Roman" w:cs="Times New Roman"/>
          <w:sz w:val="24"/>
          <w:szCs w:val="24"/>
        </w:rPr>
        <w:t xml:space="preserve"> </w:t>
      </w:r>
      <w:hyperlink r:id="rId11" w:tgtFrame="_blank" w:history="1">
        <w:r w:rsidRPr="000B0156">
          <w:rPr>
            <w:rStyle w:val="Hyperlink"/>
            <w:rFonts w:ascii="Times New Roman" w:eastAsia="Times New Roman" w:hAnsi="Times New Roman" w:cs="Times New Roman"/>
            <w:sz w:val="24"/>
            <w:szCs w:val="24"/>
          </w:rPr>
          <w:t>https://doi.org/10.1016/j.neuropharm.2011.02.008</w:t>
        </w:r>
      </w:hyperlink>
      <w:r w:rsidRPr="000B0156">
        <w:rPr>
          <w:rFonts w:ascii="Times New Roman" w:eastAsia="Times New Roman" w:hAnsi="Times New Roman" w:cs="Times New Roman"/>
          <w:sz w:val="24"/>
          <w:szCs w:val="24"/>
        </w:rPr>
        <w:t>. </w:t>
      </w:r>
    </w:p>
    <w:p w14:paraId="1EEEC068" w14:textId="6C3287BA"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Babakr</w:t>
      </w:r>
      <w:proofErr w:type="spellEnd"/>
      <w:r w:rsidRPr="000B0156">
        <w:rPr>
          <w:rFonts w:ascii="Times New Roman" w:eastAsia="Times New Roman" w:hAnsi="Times New Roman" w:cs="Times New Roman"/>
          <w:sz w:val="24"/>
          <w:szCs w:val="24"/>
        </w:rPr>
        <w:t xml:space="preserve">, Z. H., Mohamedamin, P., &amp; </w:t>
      </w:r>
      <w:proofErr w:type="spellStart"/>
      <w:r w:rsidRPr="000B0156">
        <w:rPr>
          <w:rFonts w:ascii="Times New Roman" w:eastAsia="Times New Roman" w:hAnsi="Times New Roman" w:cs="Times New Roman"/>
          <w:sz w:val="24"/>
          <w:szCs w:val="24"/>
        </w:rPr>
        <w:t>Kakamad</w:t>
      </w:r>
      <w:proofErr w:type="spellEnd"/>
      <w:r w:rsidRPr="000B0156">
        <w:rPr>
          <w:rFonts w:ascii="Times New Roman" w:eastAsia="Times New Roman" w:hAnsi="Times New Roman" w:cs="Times New Roman"/>
          <w:sz w:val="24"/>
          <w:szCs w:val="24"/>
        </w:rPr>
        <w:t>, K. (2019), Piaget’s Cognitive</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Developmental Theory: Critical Review. In: Education Quarterly Reviews, Vol.2, No.3, 517-524. </w:t>
      </w:r>
    </w:p>
    <w:p w14:paraId="485812D9" w14:textId="2C564BBA"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Barlow K. (1985). The Peckham experiment. </w:t>
      </w:r>
      <w:r w:rsidRPr="000B0156">
        <w:rPr>
          <w:rFonts w:ascii="Times New Roman" w:eastAsia="Times New Roman" w:hAnsi="Times New Roman" w:cs="Times New Roman"/>
          <w:i/>
          <w:iCs/>
          <w:sz w:val="24"/>
          <w:szCs w:val="24"/>
        </w:rPr>
        <w:t>Medical history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29</w:t>
      </w:r>
      <w:r w:rsidRPr="000B0156">
        <w:rPr>
          <w:rFonts w:ascii="Times New Roman" w:eastAsia="Times New Roman" w:hAnsi="Times New Roman" w:cs="Times New Roman"/>
          <w:sz w:val="24"/>
          <w:szCs w:val="24"/>
        </w:rPr>
        <w:t>(3), 264–271.</w:t>
      </w:r>
      <w:r>
        <w:rPr>
          <w:rFonts w:ascii="Times New Roman" w:eastAsia="Times New Roman" w:hAnsi="Times New Roman" w:cs="Times New Roman"/>
          <w:sz w:val="24"/>
          <w:szCs w:val="24"/>
        </w:rPr>
        <w:t xml:space="preserve"> </w:t>
      </w:r>
      <w:hyperlink r:id="rId12" w:history="1">
        <w:r w:rsidRPr="000B0156">
          <w:rPr>
            <w:rStyle w:val="Hyperlink"/>
            <w:rFonts w:ascii="Times New Roman" w:eastAsia="Times New Roman" w:hAnsi="Times New Roman" w:cs="Times New Roman"/>
            <w:sz w:val="24"/>
            <w:szCs w:val="24"/>
          </w:rPr>
          <w:t>https://doi.org/10.1017/s002572730004432x</w:t>
        </w:r>
      </w:hyperlink>
      <w:r w:rsidRPr="000B0156">
        <w:rPr>
          <w:rFonts w:ascii="Times New Roman" w:eastAsia="Times New Roman" w:hAnsi="Times New Roman" w:cs="Times New Roman"/>
          <w:sz w:val="24"/>
          <w:szCs w:val="24"/>
        </w:rPr>
        <w:t>. </w:t>
      </w:r>
    </w:p>
    <w:p w14:paraId="75D7EA17"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Bennett, H., &amp; Wells, A. (2010). Metacognition, memory disorganization and rumination in posttraumatic stress symptoms. </w:t>
      </w:r>
      <w:r w:rsidRPr="000B0156">
        <w:rPr>
          <w:rFonts w:ascii="Times New Roman" w:eastAsia="Times New Roman" w:hAnsi="Times New Roman" w:cs="Times New Roman"/>
          <w:i/>
          <w:iCs/>
          <w:sz w:val="24"/>
          <w:szCs w:val="24"/>
        </w:rPr>
        <w:t>Journal of Anxiety Disorders, 24</w:t>
      </w:r>
      <w:r w:rsidRPr="000B0156">
        <w:rPr>
          <w:rFonts w:ascii="Times New Roman" w:eastAsia="Times New Roman" w:hAnsi="Times New Roman" w:cs="Times New Roman"/>
          <w:sz w:val="24"/>
          <w:szCs w:val="24"/>
        </w:rPr>
        <w:t>(3), 318-325. </w:t>
      </w:r>
    </w:p>
    <w:p w14:paraId="773C7DB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Benjet, C., </w:t>
      </w:r>
      <w:proofErr w:type="spellStart"/>
      <w:r w:rsidRPr="000B0156">
        <w:rPr>
          <w:rFonts w:ascii="Times New Roman" w:eastAsia="Times New Roman" w:hAnsi="Times New Roman" w:cs="Times New Roman"/>
          <w:sz w:val="24"/>
          <w:szCs w:val="24"/>
        </w:rPr>
        <w:t>Bromet</w:t>
      </w:r>
      <w:proofErr w:type="spellEnd"/>
      <w:r w:rsidRPr="000B0156">
        <w:rPr>
          <w:rFonts w:ascii="Times New Roman" w:eastAsia="Times New Roman" w:hAnsi="Times New Roman" w:cs="Times New Roman"/>
          <w:sz w:val="24"/>
          <w:szCs w:val="24"/>
        </w:rPr>
        <w:t xml:space="preserve">, E., Karam, E. G., Kessler, R. C., McLaughlin, K. A., Ruscio, A. M., </w:t>
      </w:r>
      <w:proofErr w:type="spellStart"/>
      <w:r w:rsidRPr="000B0156">
        <w:rPr>
          <w:rFonts w:ascii="Times New Roman" w:eastAsia="Times New Roman" w:hAnsi="Times New Roman" w:cs="Times New Roman"/>
          <w:sz w:val="24"/>
          <w:szCs w:val="24"/>
        </w:rPr>
        <w:t>Shahly</w:t>
      </w:r>
      <w:proofErr w:type="spellEnd"/>
      <w:r w:rsidRPr="000B0156">
        <w:rPr>
          <w:rFonts w:ascii="Times New Roman" w:eastAsia="Times New Roman" w:hAnsi="Times New Roman" w:cs="Times New Roman"/>
          <w:sz w:val="24"/>
          <w:szCs w:val="24"/>
        </w:rPr>
        <w:t xml:space="preserve">, V., Stein, D. J., Petukhova, M., Hill, E., Alonso, J., </w:t>
      </w:r>
      <w:proofErr w:type="spellStart"/>
      <w:r w:rsidRPr="000B0156">
        <w:rPr>
          <w:rFonts w:ascii="Times New Roman" w:eastAsia="Times New Roman" w:hAnsi="Times New Roman" w:cs="Times New Roman"/>
          <w:sz w:val="24"/>
          <w:szCs w:val="24"/>
        </w:rPr>
        <w:t>Atwoli</w:t>
      </w:r>
      <w:proofErr w:type="spellEnd"/>
      <w:r w:rsidRPr="000B0156">
        <w:rPr>
          <w:rFonts w:ascii="Times New Roman" w:eastAsia="Times New Roman" w:hAnsi="Times New Roman" w:cs="Times New Roman"/>
          <w:sz w:val="24"/>
          <w:szCs w:val="24"/>
        </w:rPr>
        <w:t xml:space="preserve">, L., Bunting, B., </w:t>
      </w:r>
      <w:proofErr w:type="spellStart"/>
      <w:r w:rsidRPr="000B0156">
        <w:rPr>
          <w:rFonts w:ascii="Times New Roman" w:eastAsia="Times New Roman" w:hAnsi="Times New Roman" w:cs="Times New Roman"/>
          <w:sz w:val="24"/>
          <w:szCs w:val="24"/>
        </w:rPr>
        <w:t>Bruffaerts</w:t>
      </w:r>
      <w:proofErr w:type="spellEnd"/>
      <w:r w:rsidRPr="000B0156">
        <w:rPr>
          <w:rFonts w:ascii="Times New Roman" w:eastAsia="Times New Roman" w:hAnsi="Times New Roman" w:cs="Times New Roman"/>
          <w:sz w:val="24"/>
          <w:szCs w:val="24"/>
        </w:rPr>
        <w:t xml:space="preserve">, R., Caldas-de-Almeida, J. M., de Girolamo, G., Florescu, S., </w:t>
      </w:r>
      <w:proofErr w:type="spellStart"/>
      <w:r w:rsidRPr="000B0156">
        <w:rPr>
          <w:rFonts w:ascii="Times New Roman" w:eastAsia="Times New Roman" w:hAnsi="Times New Roman" w:cs="Times New Roman"/>
          <w:sz w:val="24"/>
          <w:szCs w:val="24"/>
        </w:rPr>
        <w:t>Gureje</w:t>
      </w:r>
      <w:proofErr w:type="spellEnd"/>
      <w:r w:rsidRPr="000B0156">
        <w:rPr>
          <w:rFonts w:ascii="Times New Roman" w:eastAsia="Times New Roman" w:hAnsi="Times New Roman" w:cs="Times New Roman"/>
          <w:sz w:val="24"/>
          <w:szCs w:val="24"/>
        </w:rPr>
        <w:t>, O., Huang, Y., Lepine, J. P., … Koenen, K. C. (2016). The epidemiology of traumatic event exposure worldwide: results from the World Mental Health Survey Consortium. </w:t>
      </w:r>
      <w:r w:rsidRPr="000B0156">
        <w:rPr>
          <w:rFonts w:ascii="Times New Roman" w:eastAsia="Times New Roman" w:hAnsi="Times New Roman" w:cs="Times New Roman"/>
          <w:i/>
          <w:iCs/>
          <w:sz w:val="24"/>
          <w:szCs w:val="24"/>
        </w:rPr>
        <w:t>Psychological medicine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46</w:t>
      </w:r>
      <w:r w:rsidRPr="000B0156">
        <w:rPr>
          <w:rFonts w:ascii="Times New Roman" w:eastAsia="Times New Roman" w:hAnsi="Times New Roman" w:cs="Times New Roman"/>
          <w:sz w:val="24"/>
          <w:szCs w:val="24"/>
        </w:rPr>
        <w:t xml:space="preserve">(2), 327–343. </w:t>
      </w:r>
      <w:hyperlink r:id="rId13" w:tgtFrame="_blank" w:history="1">
        <w:r w:rsidRPr="000B0156">
          <w:rPr>
            <w:rStyle w:val="Hyperlink"/>
            <w:rFonts w:ascii="Times New Roman" w:eastAsia="Times New Roman" w:hAnsi="Times New Roman" w:cs="Times New Roman"/>
            <w:sz w:val="24"/>
            <w:szCs w:val="24"/>
          </w:rPr>
          <w:t>https://doi.org/10.1017/S0033291715001981</w:t>
        </w:r>
      </w:hyperlink>
      <w:r w:rsidRPr="000B0156">
        <w:rPr>
          <w:rFonts w:ascii="Times New Roman" w:eastAsia="Times New Roman" w:hAnsi="Times New Roman" w:cs="Times New Roman"/>
          <w:sz w:val="24"/>
          <w:szCs w:val="24"/>
        </w:rPr>
        <w:t>. </w:t>
      </w:r>
    </w:p>
    <w:p w14:paraId="66AF13EB"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Berlucchi</w:t>
      </w:r>
      <w:proofErr w:type="spellEnd"/>
      <w:r w:rsidRPr="000B0156">
        <w:rPr>
          <w:rFonts w:ascii="Times New Roman" w:eastAsia="Times New Roman" w:hAnsi="Times New Roman" w:cs="Times New Roman"/>
          <w:sz w:val="24"/>
          <w:szCs w:val="24"/>
        </w:rPr>
        <w:t>, G., &amp; Buchtel, H. A. (2009). Neuronal plasticity: historical roots and evolution of meaning. </w:t>
      </w:r>
      <w:r w:rsidRPr="000B0156">
        <w:rPr>
          <w:rFonts w:ascii="Times New Roman" w:eastAsia="Times New Roman" w:hAnsi="Times New Roman" w:cs="Times New Roman"/>
          <w:i/>
          <w:iCs/>
          <w:sz w:val="24"/>
          <w:szCs w:val="24"/>
        </w:rPr>
        <w:t>Experimental brain research</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192</w:t>
      </w:r>
      <w:r w:rsidRPr="000B0156">
        <w:rPr>
          <w:rFonts w:ascii="Times New Roman" w:eastAsia="Times New Roman" w:hAnsi="Times New Roman" w:cs="Times New Roman"/>
          <w:sz w:val="24"/>
          <w:szCs w:val="24"/>
        </w:rPr>
        <w:t xml:space="preserve">(3), 307–319. </w:t>
      </w:r>
      <w:hyperlink r:id="rId14" w:tgtFrame="_blank" w:history="1">
        <w:r w:rsidRPr="000B0156">
          <w:rPr>
            <w:rStyle w:val="Hyperlink"/>
            <w:rFonts w:ascii="Times New Roman" w:eastAsia="Times New Roman" w:hAnsi="Times New Roman" w:cs="Times New Roman"/>
            <w:sz w:val="24"/>
            <w:szCs w:val="24"/>
          </w:rPr>
          <w:t>https://doi.org/10.1007/s00221 008-1611-6</w:t>
        </w:r>
      </w:hyperlink>
      <w:r w:rsidRPr="000B0156">
        <w:rPr>
          <w:rFonts w:ascii="Times New Roman" w:eastAsia="Times New Roman" w:hAnsi="Times New Roman" w:cs="Times New Roman"/>
          <w:sz w:val="24"/>
          <w:szCs w:val="24"/>
        </w:rPr>
        <w:t>. </w:t>
      </w:r>
    </w:p>
    <w:p w14:paraId="659BFAC1" w14:textId="4EAB77E9"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Billman G. E. (2020). Homeostasis: The Underappreciated and Far Too Often Ignored Central Organizing Principle of Physiology. </w:t>
      </w:r>
      <w:r w:rsidRPr="000B0156">
        <w:rPr>
          <w:rFonts w:ascii="Times New Roman" w:eastAsia="Times New Roman" w:hAnsi="Times New Roman" w:cs="Times New Roman"/>
          <w:i/>
          <w:iCs/>
          <w:sz w:val="24"/>
          <w:szCs w:val="24"/>
        </w:rPr>
        <w:t>Frontiers in physiology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11</w:t>
      </w:r>
      <w:r w:rsidRPr="000B0156">
        <w:rPr>
          <w:rFonts w:ascii="Times New Roman" w:eastAsia="Times New Roman" w:hAnsi="Times New Roman" w:cs="Times New Roman"/>
          <w:sz w:val="24"/>
          <w:szCs w:val="24"/>
        </w:rPr>
        <w:t>, 200.</w:t>
      </w:r>
      <w:r>
        <w:rPr>
          <w:rFonts w:ascii="Times New Roman" w:eastAsia="Times New Roman" w:hAnsi="Times New Roman" w:cs="Times New Roman"/>
          <w:sz w:val="24"/>
          <w:szCs w:val="24"/>
        </w:rPr>
        <w:t xml:space="preserve"> </w:t>
      </w:r>
      <w:hyperlink r:id="rId15" w:history="1">
        <w:r w:rsidRPr="000B0156">
          <w:rPr>
            <w:rStyle w:val="Hyperlink"/>
            <w:rFonts w:ascii="Times New Roman" w:eastAsia="Times New Roman" w:hAnsi="Times New Roman" w:cs="Times New Roman"/>
            <w:sz w:val="24"/>
            <w:szCs w:val="24"/>
          </w:rPr>
          <w:t>https://doi.org/10.3389/fphys.2020.00200</w:t>
        </w:r>
      </w:hyperlink>
      <w:r w:rsidRPr="000B0156">
        <w:rPr>
          <w:rFonts w:ascii="Times New Roman" w:eastAsia="Times New Roman" w:hAnsi="Times New Roman" w:cs="Times New Roman"/>
          <w:sz w:val="24"/>
          <w:szCs w:val="24"/>
        </w:rPr>
        <w:t>. </w:t>
      </w:r>
    </w:p>
    <w:p w14:paraId="2BEFBCE5" w14:textId="6A3ACC2D"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8CD0080">
        <w:rPr>
          <w:rFonts w:ascii="Times New Roman" w:eastAsia="Times New Roman" w:hAnsi="Times New Roman" w:cs="Times New Roman"/>
          <w:sz w:val="24"/>
          <w:szCs w:val="24"/>
        </w:rPr>
        <w:t>Bloomfield, M., Chang, T., Woodl, M., Lyons, L. M., Cheng, Z., Bauer‐</w:t>
      </w:r>
      <w:proofErr w:type="spellStart"/>
      <w:r w:rsidRPr="08CD0080">
        <w:rPr>
          <w:rFonts w:ascii="Times New Roman" w:eastAsia="Times New Roman" w:hAnsi="Times New Roman" w:cs="Times New Roman"/>
          <w:sz w:val="24"/>
          <w:szCs w:val="24"/>
        </w:rPr>
        <w:t>Staeb</w:t>
      </w:r>
      <w:proofErr w:type="spellEnd"/>
      <w:r w:rsidRPr="08CD0080">
        <w:rPr>
          <w:rFonts w:ascii="Times New Roman" w:eastAsia="Times New Roman" w:hAnsi="Times New Roman" w:cs="Times New Roman"/>
          <w:sz w:val="24"/>
          <w:szCs w:val="24"/>
        </w:rPr>
        <w:t xml:space="preserve">, C., Hobbs, C., Bracke, S., Kennerley, H., Isham, L., Brewin, C., Billings, J., Greene, T., &amp; Lewis, G. </w:t>
      </w:r>
      <w:r w:rsidRPr="08CD0080">
        <w:rPr>
          <w:rFonts w:ascii="Times New Roman" w:eastAsia="Times New Roman" w:hAnsi="Times New Roman" w:cs="Times New Roman"/>
          <w:sz w:val="24"/>
          <w:szCs w:val="24"/>
        </w:rPr>
        <w:lastRenderedPageBreak/>
        <w:t>(2021). Psychological processes mediating the association between developmental</w:t>
      </w:r>
      <w:r>
        <w:tab/>
      </w:r>
      <w:r w:rsidRPr="08CD0080">
        <w:rPr>
          <w:rFonts w:ascii="Times New Roman" w:eastAsia="Times New Roman" w:hAnsi="Times New Roman" w:cs="Times New Roman"/>
          <w:sz w:val="24"/>
          <w:szCs w:val="24"/>
        </w:rPr>
        <w:t xml:space="preserve"> trauma and specific psychotic symptoms in adults: A systematic review and meta</w:t>
      </w:r>
      <w:r w:rsidR="345315BE" w:rsidRPr="08CD0080">
        <w:rPr>
          <w:rFonts w:ascii="Times New Roman" w:eastAsia="Times New Roman" w:hAnsi="Times New Roman" w:cs="Times New Roman"/>
          <w:sz w:val="24"/>
          <w:szCs w:val="24"/>
        </w:rPr>
        <w:t>-</w:t>
      </w:r>
      <w:r w:rsidRPr="08CD0080">
        <w:rPr>
          <w:rFonts w:ascii="Times New Roman" w:eastAsia="Times New Roman" w:hAnsi="Times New Roman" w:cs="Times New Roman"/>
          <w:sz w:val="24"/>
          <w:szCs w:val="24"/>
        </w:rPr>
        <w:t xml:space="preserve"> analysis. </w:t>
      </w:r>
      <w:r w:rsidRPr="08CD0080">
        <w:rPr>
          <w:rFonts w:ascii="Times New Roman" w:eastAsia="Times New Roman" w:hAnsi="Times New Roman" w:cs="Times New Roman"/>
          <w:i/>
          <w:iCs/>
          <w:sz w:val="24"/>
          <w:szCs w:val="24"/>
        </w:rPr>
        <w:t>World Psychiatry, 20</w:t>
      </w:r>
      <w:r w:rsidRPr="08CD0080">
        <w:rPr>
          <w:rFonts w:ascii="Times New Roman" w:eastAsia="Times New Roman" w:hAnsi="Times New Roman" w:cs="Times New Roman"/>
          <w:sz w:val="24"/>
          <w:szCs w:val="24"/>
        </w:rPr>
        <w:t>(1), 107–123. https://doi.org/10.1002/wps. 20841. </w:t>
      </w:r>
    </w:p>
    <w:p w14:paraId="272E5D8F" w14:textId="368DAB3D"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Bonanno, G.A. (2004). Loss, trauma, and human resilience: have we underestimated the human capacity to thrive after extremely aversive events? </w:t>
      </w:r>
      <w:proofErr w:type="gramStart"/>
      <w:r w:rsidRPr="000B0156">
        <w:rPr>
          <w:rFonts w:ascii="Times New Roman" w:eastAsia="Times New Roman" w:hAnsi="Times New Roman" w:cs="Times New Roman"/>
          <w:i/>
          <w:iCs/>
          <w:sz w:val="24"/>
          <w:szCs w:val="24"/>
        </w:rPr>
        <w:t>Am</w:t>
      </w:r>
      <w:proofErr w:type="gramEnd"/>
      <w:r w:rsidRPr="000B0156">
        <w:rPr>
          <w:rFonts w:ascii="Times New Roman" w:eastAsia="Times New Roman" w:hAnsi="Times New Roman" w:cs="Times New Roman"/>
          <w:i/>
          <w:iCs/>
          <w:sz w:val="24"/>
          <w:szCs w:val="24"/>
        </w:rPr>
        <w:t xml:space="preserve"> Psychol, 59</w:t>
      </w:r>
      <w:r w:rsidRPr="000B0156">
        <w:rPr>
          <w:rFonts w:ascii="Times New Roman" w:eastAsia="Times New Roman" w:hAnsi="Times New Roman" w:cs="Times New Roman"/>
          <w:sz w:val="24"/>
          <w:szCs w:val="24"/>
        </w:rPr>
        <w:t xml:space="preserve">(1):20. </w:t>
      </w:r>
      <w:proofErr w:type="spellStart"/>
      <w:r w:rsidRPr="000B0156">
        <w:rPr>
          <w:rFonts w:ascii="Times New Roman" w:eastAsia="Times New Roman" w:hAnsi="Times New Roman" w:cs="Times New Roman"/>
          <w:sz w:val="24"/>
          <w:szCs w:val="24"/>
        </w:rPr>
        <w:t>doi</w:t>
      </w:r>
      <w:proofErr w:type="spellEnd"/>
      <w:r w:rsidRPr="000B015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10.1037/1942-</w:t>
      </w:r>
      <w:proofErr w:type="gramStart"/>
      <w:r w:rsidRPr="000B0156">
        <w:rPr>
          <w:rFonts w:ascii="Times New Roman" w:eastAsia="Times New Roman" w:hAnsi="Times New Roman" w:cs="Times New Roman"/>
          <w:sz w:val="24"/>
          <w:szCs w:val="24"/>
        </w:rPr>
        <w:t>9681.S.</w:t>
      </w:r>
      <w:proofErr w:type="gramEnd"/>
      <w:r w:rsidRPr="000B0156">
        <w:rPr>
          <w:rFonts w:ascii="Times New Roman" w:eastAsia="Times New Roman" w:hAnsi="Times New Roman" w:cs="Times New Roman"/>
          <w:sz w:val="24"/>
          <w:szCs w:val="24"/>
        </w:rPr>
        <w:t>1.101. </w:t>
      </w:r>
    </w:p>
    <w:p w14:paraId="38C7EB8D" w14:textId="08EF23A5"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Botsford, J., Steinbrink, M., </w:t>
      </w:r>
      <w:proofErr w:type="spellStart"/>
      <w:r w:rsidRPr="000B0156">
        <w:rPr>
          <w:rFonts w:ascii="Times New Roman" w:eastAsia="Times New Roman" w:hAnsi="Times New Roman" w:cs="Times New Roman"/>
          <w:sz w:val="24"/>
          <w:szCs w:val="24"/>
        </w:rPr>
        <w:t>Rimane</w:t>
      </w:r>
      <w:proofErr w:type="spellEnd"/>
      <w:r w:rsidRPr="000B0156">
        <w:rPr>
          <w:rFonts w:ascii="Times New Roman" w:eastAsia="Times New Roman" w:hAnsi="Times New Roman" w:cs="Times New Roman"/>
          <w:sz w:val="24"/>
          <w:szCs w:val="24"/>
        </w:rPr>
        <w:t>, E., Rosner, R., Steil, R., &amp; Renneberg, B. (2019).</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 xml:space="preserve">Maladaptive Post-traumatic Cognitions in Interpersonally Traumatized Adolescents with Post-traumatic </w:t>
      </w:r>
      <w:proofErr w:type="gramStart"/>
      <w:r w:rsidRPr="000B0156">
        <w:rPr>
          <w:rFonts w:ascii="Times New Roman" w:eastAsia="Times New Roman" w:hAnsi="Times New Roman" w:cs="Times New Roman"/>
          <w:sz w:val="24"/>
          <w:szCs w:val="24"/>
        </w:rPr>
        <w:t>Stress Disorder</w:t>
      </w:r>
      <w:proofErr w:type="gramEnd"/>
      <w:r w:rsidRPr="000B0156">
        <w:rPr>
          <w:rFonts w:ascii="Times New Roman" w:eastAsia="Times New Roman" w:hAnsi="Times New Roman" w:cs="Times New Roman"/>
          <w:sz w:val="24"/>
          <w:szCs w:val="24"/>
        </w:rPr>
        <w:t>: An Analysis of “Stuck-Points.” </w:t>
      </w:r>
      <w:r w:rsidRPr="000B0156">
        <w:rPr>
          <w:rFonts w:ascii="Times New Roman" w:eastAsia="Times New Roman" w:hAnsi="Times New Roman" w:cs="Times New Roman"/>
          <w:i/>
          <w:iCs/>
          <w:sz w:val="24"/>
          <w:szCs w:val="24"/>
        </w:rPr>
        <w:t>Cognitive Therapy &amp; Research</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43</w:t>
      </w:r>
      <w:r w:rsidRPr="000B0156">
        <w:rPr>
          <w:rFonts w:ascii="Times New Roman" w:eastAsia="Times New Roman" w:hAnsi="Times New Roman" w:cs="Times New Roman"/>
          <w:sz w:val="24"/>
          <w:szCs w:val="24"/>
        </w:rPr>
        <w:t xml:space="preserve">(1), 284–294. </w:t>
      </w:r>
      <w:hyperlink r:id="rId16" w:tgtFrame="_blank" w:history="1">
        <w:r w:rsidRPr="000B0156">
          <w:rPr>
            <w:rStyle w:val="Hyperlink"/>
            <w:rFonts w:ascii="Times New Roman" w:eastAsia="Times New Roman" w:hAnsi="Times New Roman" w:cs="Times New Roman"/>
            <w:sz w:val="24"/>
            <w:szCs w:val="24"/>
          </w:rPr>
          <w:t>https://doi-org.ezproxy.lib.vt.edu/10.1007/s10608-018-9928-3</w:t>
        </w:r>
      </w:hyperlink>
      <w:r w:rsidRPr="000B0156">
        <w:rPr>
          <w:rFonts w:ascii="Times New Roman" w:eastAsia="Times New Roman" w:hAnsi="Times New Roman" w:cs="Times New Roman"/>
          <w:sz w:val="24"/>
          <w:szCs w:val="24"/>
        </w:rPr>
        <w:t>. </w:t>
      </w:r>
    </w:p>
    <w:p w14:paraId="68A44754" w14:textId="5349A8FB"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Boukezzi</w:t>
      </w:r>
      <w:proofErr w:type="spellEnd"/>
      <w:r w:rsidRPr="000B0156">
        <w:rPr>
          <w:rFonts w:ascii="Times New Roman" w:eastAsia="Times New Roman" w:hAnsi="Times New Roman" w:cs="Times New Roman"/>
          <w:sz w:val="24"/>
          <w:szCs w:val="24"/>
        </w:rPr>
        <w:t>, S., El Khoury-</w:t>
      </w:r>
      <w:proofErr w:type="spellStart"/>
      <w:r w:rsidRPr="000B0156">
        <w:rPr>
          <w:rFonts w:ascii="Times New Roman" w:eastAsia="Times New Roman" w:hAnsi="Times New Roman" w:cs="Times New Roman"/>
          <w:sz w:val="24"/>
          <w:szCs w:val="24"/>
        </w:rPr>
        <w:t>Malhame</w:t>
      </w:r>
      <w:proofErr w:type="spellEnd"/>
      <w:r w:rsidRPr="000B0156">
        <w:rPr>
          <w:rFonts w:ascii="Times New Roman" w:eastAsia="Times New Roman" w:hAnsi="Times New Roman" w:cs="Times New Roman"/>
          <w:sz w:val="24"/>
          <w:szCs w:val="24"/>
        </w:rPr>
        <w:t xml:space="preserve">, M., </w:t>
      </w:r>
      <w:proofErr w:type="spellStart"/>
      <w:r w:rsidRPr="000B0156">
        <w:rPr>
          <w:rFonts w:ascii="Times New Roman" w:eastAsia="Times New Roman" w:hAnsi="Times New Roman" w:cs="Times New Roman"/>
          <w:sz w:val="24"/>
          <w:szCs w:val="24"/>
        </w:rPr>
        <w:t>Auzias</w:t>
      </w:r>
      <w:proofErr w:type="spellEnd"/>
      <w:r w:rsidRPr="000B0156">
        <w:rPr>
          <w:rFonts w:ascii="Times New Roman" w:eastAsia="Times New Roman" w:hAnsi="Times New Roman" w:cs="Times New Roman"/>
          <w:sz w:val="24"/>
          <w:szCs w:val="24"/>
        </w:rPr>
        <w:t xml:space="preserve">, G., Reynaud, E., Rousseau, P. F., Richard, E., </w:t>
      </w:r>
      <w:proofErr w:type="spellStart"/>
      <w:r w:rsidRPr="000B0156">
        <w:rPr>
          <w:rFonts w:ascii="Times New Roman" w:eastAsia="Times New Roman" w:hAnsi="Times New Roman" w:cs="Times New Roman"/>
          <w:sz w:val="24"/>
          <w:szCs w:val="24"/>
        </w:rPr>
        <w:t>Zendjidjian</w:t>
      </w:r>
      <w:proofErr w:type="spellEnd"/>
      <w:r w:rsidRPr="000B0156">
        <w:rPr>
          <w:rFonts w:ascii="Times New Roman" w:eastAsia="Times New Roman" w:hAnsi="Times New Roman" w:cs="Times New Roman"/>
          <w:sz w:val="24"/>
          <w:szCs w:val="24"/>
        </w:rPr>
        <w:t xml:space="preserve">, X., Roques, J., Castelli, N., </w:t>
      </w:r>
      <w:proofErr w:type="spellStart"/>
      <w:r w:rsidRPr="000B0156">
        <w:rPr>
          <w:rFonts w:ascii="Times New Roman" w:eastAsia="Times New Roman" w:hAnsi="Times New Roman" w:cs="Times New Roman"/>
          <w:sz w:val="24"/>
          <w:szCs w:val="24"/>
        </w:rPr>
        <w:t>Correard</w:t>
      </w:r>
      <w:proofErr w:type="spellEnd"/>
      <w:r w:rsidRPr="000B0156">
        <w:rPr>
          <w:rFonts w:ascii="Times New Roman" w:eastAsia="Times New Roman" w:hAnsi="Times New Roman" w:cs="Times New Roman"/>
          <w:sz w:val="24"/>
          <w:szCs w:val="24"/>
        </w:rPr>
        <w:t xml:space="preserve">, N., Guyon, V., </w:t>
      </w:r>
      <w:proofErr w:type="spellStart"/>
      <w:r w:rsidRPr="000B0156">
        <w:rPr>
          <w:rFonts w:ascii="Times New Roman" w:eastAsia="Times New Roman" w:hAnsi="Times New Roman" w:cs="Times New Roman"/>
          <w:sz w:val="24"/>
          <w:szCs w:val="24"/>
        </w:rPr>
        <w:t>Gellato</w:t>
      </w:r>
      <w:proofErr w:type="spellEnd"/>
      <w:r w:rsidRPr="000B0156">
        <w:rPr>
          <w:rFonts w:ascii="Times New Roman" w:eastAsia="Times New Roman" w:hAnsi="Times New Roman" w:cs="Times New Roman"/>
          <w:sz w:val="24"/>
          <w:szCs w:val="24"/>
        </w:rPr>
        <w:t xml:space="preserve">, C., Samuelian, J. C., Cancel, A., Comte, M., Latinus, M., </w:t>
      </w:r>
      <w:proofErr w:type="spellStart"/>
      <w:r w:rsidRPr="000B0156">
        <w:rPr>
          <w:rFonts w:ascii="Times New Roman" w:eastAsia="Times New Roman" w:hAnsi="Times New Roman" w:cs="Times New Roman"/>
          <w:sz w:val="24"/>
          <w:szCs w:val="24"/>
        </w:rPr>
        <w:t>Guedj</w:t>
      </w:r>
      <w:proofErr w:type="spellEnd"/>
      <w:r w:rsidRPr="000B0156">
        <w:rPr>
          <w:rFonts w:ascii="Times New Roman" w:eastAsia="Times New Roman" w:hAnsi="Times New Roman" w:cs="Times New Roman"/>
          <w:sz w:val="24"/>
          <w:szCs w:val="24"/>
        </w:rPr>
        <w:t xml:space="preserve">, E., &amp; Khalfa, S. (2017). Grey matter density changes of structures </w:t>
      </w:r>
      <w:proofErr w:type="gramStart"/>
      <w:r w:rsidRPr="000B0156">
        <w:rPr>
          <w:rFonts w:ascii="Times New Roman" w:eastAsia="Times New Roman" w:hAnsi="Times New Roman" w:cs="Times New Roman"/>
          <w:sz w:val="24"/>
          <w:szCs w:val="24"/>
        </w:rPr>
        <w:t>involved in</w:t>
      </w:r>
      <w:proofErr w:type="gramEnd"/>
      <w:r w:rsidRPr="000B0156">
        <w:rPr>
          <w:rFonts w:ascii="Times New Roman" w:eastAsia="Times New Roman" w:hAnsi="Times New Roman" w:cs="Times New Roman"/>
          <w:sz w:val="24"/>
          <w:szCs w:val="24"/>
        </w:rPr>
        <w:t xml:space="preserve"> </w:t>
      </w:r>
      <w:proofErr w:type="gramStart"/>
      <w:r w:rsidRPr="000B0156">
        <w:rPr>
          <w:rFonts w:ascii="Times New Roman" w:eastAsia="Times New Roman" w:hAnsi="Times New Roman" w:cs="Times New Roman"/>
          <w:sz w:val="24"/>
          <w:szCs w:val="24"/>
        </w:rPr>
        <w:t>Posttraumatic Stress Disorder</w:t>
      </w:r>
      <w:proofErr w:type="gramEnd"/>
      <w:r w:rsidRPr="000B0156">
        <w:rPr>
          <w:rFonts w:ascii="Times New Roman" w:eastAsia="Times New Roman" w:hAnsi="Times New Roman" w:cs="Times New Roman"/>
          <w:sz w:val="24"/>
          <w:szCs w:val="24"/>
        </w:rPr>
        <w:t xml:space="preserve"> (PTSD) after recovery following Eye Movement Desensitization and Reprocessing (EMDR)</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therapy. </w:t>
      </w:r>
      <w:r w:rsidRPr="000B0156">
        <w:rPr>
          <w:rFonts w:ascii="Times New Roman" w:eastAsia="Times New Roman" w:hAnsi="Times New Roman" w:cs="Times New Roman"/>
          <w:i/>
          <w:iCs/>
          <w:sz w:val="24"/>
          <w:szCs w:val="24"/>
        </w:rPr>
        <w:t>Psychiatry research. Neuroimaging</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266</w:t>
      </w:r>
      <w:r w:rsidRPr="000B0156">
        <w:rPr>
          <w:rFonts w:ascii="Times New Roman" w:eastAsia="Times New Roman" w:hAnsi="Times New Roman" w:cs="Times New Roman"/>
          <w:sz w:val="24"/>
          <w:szCs w:val="24"/>
        </w:rPr>
        <w:t>, 146–152.</w:t>
      </w:r>
      <w:r>
        <w:rPr>
          <w:rFonts w:ascii="Times New Roman" w:eastAsia="Times New Roman" w:hAnsi="Times New Roman" w:cs="Times New Roman"/>
          <w:sz w:val="24"/>
          <w:szCs w:val="24"/>
        </w:rPr>
        <w:t xml:space="preserve"> </w:t>
      </w:r>
      <w:hyperlink r:id="rId17" w:history="1">
        <w:r w:rsidRPr="000B0156">
          <w:rPr>
            <w:rStyle w:val="Hyperlink"/>
            <w:rFonts w:ascii="Times New Roman" w:eastAsia="Times New Roman" w:hAnsi="Times New Roman" w:cs="Times New Roman"/>
            <w:sz w:val="24"/>
            <w:szCs w:val="24"/>
          </w:rPr>
          <w:t>https://doi.org/10.1016/j.pscychresns.2017.06.009</w:t>
        </w:r>
      </w:hyperlink>
      <w:r w:rsidRPr="000B0156">
        <w:rPr>
          <w:rFonts w:ascii="Times New Roman" w:eastAsia="Times New Roman" w:hAnsi="Times New Roman" w:cs="Times New Roman"/>
          <w:sz w:val="24"/>
          <w:szCs w:val="24"/>
        </w:rPr>
        <w:t>. </w:t>
      </w:r>
    </w:p>
    <w:p w14:paraId="015149D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Brod, G., </w:t>
      </w:r>
      <w:proofErr w:type="spellStart"/>
      <w:r w:rsidRPr="000B0156">
        <w:rPr>
          <w:rFonts w:ascii="Times New Roman" w:eastAsia="Times New Roman" w:hAnsi="Times New Roman" w:cs="Times New Roman"/>
          <w:sz w:val="24"/>
          <w:szCs w:val="24"/>
        </w:rPr>
        <w:t>Werkle</w:t>
      </w:r>
      <w:proofErr w:type="spellEnd"/>
      <w:r w:rsidRPr="000B0156">
        <w:rPr>
          <w:rFonts w:ascii="Times New Roman" w:eastAsia="Times New Roman" w:hAnsi="Times New Roman" w:cs="Times New Roman"/>
          <w:sz w:val="24"/>
          <w:szCs w:val="24"/>
        </w:rPr>
        <w:t>-Bergner, M., &amp; Shing, Y. L. (2013). The influence of prior knowledge on memory: a developmental cognitive neuroscience perspective. </w:t>
      </w:r>
      <w:r w:rsidRPr="000B0156">
        <w:rPr>
          <w:rFonts w:ascii="Times New Roman" w:eastAsia="Times New Roman" w:hAnsi="Times New Roman" w:cs="Times New Roman"/>
          <w:i/>
          <w:iCs/>
          <w:sz w:val="24"/>
          <w:szCs w:val="24"/>
        </w:rPr>
        <w:t>Frontiers in behavioral neuroscience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7</w:t>
      </w:r>
      <w:r w:rsidRPr="000B0156">
        <w:rPr>
          <w:rFonts w:ascii="Times New Roman" w:eastAsia="Times New Roman" w:hAnsi="Times New Roman" w:cs="Times New Roman"/>
          <w:sz w:val="24"/>
          <w:szCs w:val="24"/>
        </w:rPr>
        <w:t xml:space="preserve">, 139. </w:t>
      </w:r>
      <w:hyperlink r:id="rId18" w:tgtFrame="_blank" w:history="1">
        <w:r w:rsidRPr="000B0156">
          <w:rPr>
            <w:rStyle w:val="Hyperlink"/>
            <w:rFonts w:ascii="Times New Roman" w:eastAsia="Times New Roman" w:hAnsi="Times New Roman" w:cs="Times New Roman"/>
            <w:sz w:val="24"/>
            <w:szCs w:val="24"/>
          </w:rPr>
          <w:t>https://doi.org/10.3389/fnbeh.2013.00139</w:t>
        </w:r>
      </w:hyperlink>
      <w:r w:rsidRPr="000B0156">
        <w:rPr>
          <w:rFonts w:ascii="Times New Roman" w:eastAsia="Times New Roman" w:hAnsi="Times New Roman" w:cs="Times New Roman"/>
          <w:sz w:val="24"/>
          <w:szCs w:val="24"/>
        </w:rPr>
        <w:t>. </w:t>
      </w:r>
    </w:p>
    <w:p w14:paraId="2689AAC6" w14:textId="4ADEE70E"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Bromberg-Martin, E. S., Matsumoto, M., &amp; </w:t>
      </w:r>
      <w:proofErr w:type="spellStart"/>
      <w:r w:rsidRPr="000B0156">
        <w:rPr>
          <w:rFonts w:ascii="Times New Roman" w:eastAsia="Times New Roman" w:hAnsi="Times New Roman" w:cs="Times New Roman"/>
          <w:sz w:val="24"/>
          <w:szCs w:val="24"/>
        </w:rPr>
        <w:t>Hikosaka</w:t>
      </w:r>
      <w:proofErr w:type="spellEnd"/>
      <w:r w:rsidRPr="000B0156">
        <w:rPr>
          <w:rFonts w:ascii="Times New Roman" w:eastAsia="Times New Roman" w:hAnsi="Times New Roman" w:cs="Times New Roman"/>
          <w:sz w:val="24"/>
          <w:szCs w:val="24"/>
        </w:rPr>
        <w:t>, O. (2010). Dopamine in motivational control: rewarding, aversive, and alerting. </w:t>
      </w:r>
      <w:r w:rsidRPr="000B0156">
        <w:rPr>
          <w:rFonts w:ascii="Times New Roman" w:eastAsia="Times New Roman" w:hAnsi="Times New Roman" w:cs="Times New Roman"/>
          <w:i/>
          <w:iCs/>
          <w:sz w:val="24"/>
          <w:szCs w:val="24"/>
        </w:rPr>
        <w:t>Neuron</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68</w:t>
      </w:r>
      <w:r w:rsidRPr="000B0156">
        <w:rPr>
          <w:rFonts w:ascii="Times New Roman" w:eastAsia="Times New Roman" w:hAnsi="Times New Roman" w:cs="Times New Roman"/>
          <w:sz w:val="24"/>
          <w:szCs w:val="24"/>
        </w:rPr>
        <w:t>(5), 815–834.</w:t>
      </w:r>
      <w:r>
        <w:rPr>
          <w:rFonts w:ascii="Times New Roman" w:eastAsia="Times New Roman" w:hAnsi="Times New Roman" w:cs="Times New Roman"/>
          <w:sz w:val="24"/>
          <w:szCs w:val="24"/>
        </w:rPr>
        <w:t xml:space="preserve"> </w:t>
      </w:r>
      <w:hyperlink r:id="rId19" w:history="1">
        <w:r w:rsidRPr="000B0156">
          <w:rPr>
            <w:rStyle w:val="Hyperlink"/>
            <w:rFonts w:ascii="Times New Roman" w:eastAsia="Times New Roman" w:hAnsi="Times New Roman" w:cs="Times New Roman"/>
            <w:sz w:val="24"/>
            <w:szCs w:val="24"/>
          </w:rPr>
          <w:t>https://doi.org/10.1016/j.neuron.2010.11.022</w:t>
        </w:r>
      </w:hyperlink>
      <w:r w:rsidRPr="000B0156">
        <w:rPr>
          <w:rFonts w:ascii="Times New Roman" w:eastAsia="Times New Roman" w:hAnsi="Times New Roman" w:cs="Times New Roman"/>
          <w:sz w:val="24"/>
          <w:szCs w:val="24"/>
        </w:rPr>
        <w:t>. </w:t>
      </w:r>
    </w:p>
    <w:p w14:paraId="0A692B3A" w14:textId="741485EF"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Brown, E. D., Holochwost, S. J., Laurenceau, J., Garnett, M. L., &amp; Anderson, K. E. (2021). Deconstructing Cumulative Risk: Poverty and Aspects of Instability Relate Uniquely to Young Children’s Basal Cortisol. </w:t>
      </w:r>
      <w:r w:rsidRPr="000B0156">
        <w:rPr>
          <w:rFonts w:ascii="Times New Roman" w:eastAsia="Times New Roman" w:hAnsi="Times New Roman" w:cs="Times New Roman"/>
          <w:i/>
          <w:iCs/>
          <w:sz w:val="24"/>
          <w:szCs w:val="24"/>
        </w:rPr>
        <w:t>Child Development</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92</w:t>
      </w:r>
      <w:r w:rsidRPr="000B0156">
        <w:rPr>
          <w:rFonts w:ascii="Times New Roman" w:eastAsia="Times New Roman" w:hAnsi="Times New Roman" w:cs="Times New Roman"/>
          <w:sz w:val="24"/>
          <w:szCs w:val="24"/>
        </w:rPr>
        <w:t>(3), 1067–1082.</w:t>
      </w:r>
      <w:r>
        <w:rPr>
          <w:rFonts w:ascii="Times New Roman" w:eastAsia="Times New Roman" w:hAnsi="Times New Roman" w:cs="Times New Roman"/>
          <w:sz w:val="24"/>
          <w:szCs w:val="24"/>
        </w:rPr>
        <w:t xml:space="preserve"> </w:t>
      </w:r>
      <w:hyperlink r:id="rId20" w:history="1">
        <w:r w:rsidRPr="000B0156">
          <w:rPr>
            <w:rStyle w:val="Hyperlink"/>
            <w:rFonts w:ascii="Times New Roman" w:eastAsia="Times New Roman" w:hAnsi="Times New Roman" w:cs="Times New Roman"/>
            <w:sz w:val="24"/>
            <w:szCs w:val="24"/>
          </w:rPr>
          <w:t>https://doi.org.ezproxy.lib.vt.edu/10.1111/cdev.13512</w:t>
        </w:r>
      </w:hyperlink>
      <w:r w:rsidRPr="000B0156">
        <w:rPr>
          <w:rFonts w:ascii="Times New Roman" w:eastAsia="Times New Roman" w:hAnsi="Times New Roman" w:cs="Times New Roman"/>
          <w:sz w:val="24"/>
          <w:szCs w:val="24"/>
        </w:rPr>
        <w:t>. </w:t>
      </w:r>
    </w:p>
    <w:p w14:paraId="7FABFF0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Bruton, A. &amp; Robles-Piña, R.A. (2009). Deficit Thinking and Hispanic Student Achievement: Scientific Information Resources. </w:t>
      </w:r>
      <w:r w:rsidRPr="000B0156">
        <w:rPr>
          <w:rFonts w:ascii="Times New Roman" w:eastAsia="Times New Roman" w:hAnsi="Times New Roman" w:cs="Times New Roman"/>
          <w:i/>
          <w:iCs/>
          <w:sz w:val="24"/>
          <w:szCs w:val="24"/>
        </w:rPr>
        <w:t>Problems of Education in the 21</w:t>
      </w:r>
      <w:r w:rsidRPr="000B0156">
        <w:rPr>
          <w:rFonts w:ascii="Times New Roman" w:eastAsia="Times New Roman" w:hAnsi="Times New Roman" w:cs="Times New Roman"/>
          <w:i/>
          <w:iCs/>
          <w:sz w:val="24"/>
          <w:szCs w:val="24"/>
          <w:vertAlign w:val="superscript"/>
        </w:rPr>
        <w:t>st</w:t>
      </w:r>
      <w:r w:rsidRPr="000B0156">
        <w:rPr>
          <w:rFonts w:ascii="Times New Roman" w:eastAsia="Times New Roman" w:hAnsi="Times New Roman" w:cs="Times New Roman"/>
          <w:i/>
          <w:iCs/>
          <w:sz w:val="24"/>
          <w:szCs w:val="24"/>
        </w:rPr>
        <w:t xml:space="preserve"> Century, 15</w:t>
      </w:r>
      <w:r w:rsidRPr="000B0156">
        <w:rPr>
          <w:rFonts w:ascii="Times New Roman" w:eastAsia="Times New Roman" w:hAnsi="Times New Roman" w:cs="Times New Roman"/>
          <w:sz w:val="24"/>
          <w:szCs w:val="24"/>
        </w:rPr>
        <w:t xml:space="preserve">, 41-48. </w:t>
      </w:r>
      <w:hyperlink r:id="rId21" w:tgtFrame="_blank" w:history="1">
        <w:r w:rsidRPr="000B0156">
          <w:rPr>
            <w:rStyle w:val="Hyperlink"/>
            <w:rFonts w:ascii="Times New Roman" w:eastAsia="Times New Roman" w:hAnsi="Times New Roman" w:cs="Times New Roman"/>
            <w:sz w:val="24"/>
            <w:szCs w:val="24"/>
          </w:rPr>
          <w:t>http://oaji.net/articles/2014/457-1395386739.pdf</w:t>
        </w:r>
      </w:hyperlink>
      <w:r w:rsidRPr="000B0156">
        <w:rPr>
          <w:rFonts w:ascii="Times New Roman" w:eastAsia="Times New Roman" w:hAnsi="Times New Roman" w:cs="Times New Roman"/>
          <w:sz w:val="24"/>
          <w:szCs w:val="24"/>
        </w:rPr>
        <w:t>. </w:t>
      </w:r>
    </w:p>
    <w:p w14:paraId="0462FB5C" w14:textId="274B9CF1"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Bryngeirsdottir</w:t>
      </w:r>
      <w:proofErr w:type="spellEnd"/>
      <w:r w:rsidRPr="000B0156">
        <w:rPr>
          <w:rFonts w:ascii="Times New Roman" w:eastAsia="Times New Roman" w:hAnsi="Times New Roman" w:cs="Times New Roman"/>
          <w:sz w:val="24"/>
          <w:szCs w:val="24"/>
        </w:rPr>
        <w:t>, H. S., &amp; Halldorsdottir, S. (2022). The challenging journey from trauma to post traumatic growth: Lived experiences of facilitating and hindering factors. </w:t>
      </w:r>
      <w:r w:rsidRPr="000B0156">
        <w:rPr>
          <w:rFonts w:ascii="Times New Roman" w:eastAsia="Times New Roman" w:hAnsi="Times New Roman" w:cs="Times New Roman"/>
          <w:i/>
          <w:iCs/>
          <w:sz w:val="24"/>
          <w:szCs w:val="24"/>
        </w:rPr>
        <w:t>Scandinavian Journal of Caring Sciences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36</w:t>
      </w:r>
      <w:r w:rsidRPr="000B0156">
        <w:rPr>
          <w:rFonts w:ascii="Times New Roman" w:eastAsia="Times New Roman" w:hAnsi="Times New Roman" w:cs="Times New Roman"/>
          <w:sz w:val="24"/>
          <w:szCs w:val="24"/>
        </w:rPr>
        <w:t>(3), 752–768.</w:t>
      </w:r>
      <w:r>
        <w:rPr>
          <w:rFonts w:ascii="Times New Roman" w:eastAsia="Times New Roman" w:hAnsi="Times New Roman" w:cs="Times New Roman"/>
          <w:sz w:val="24"/>
          <w:szCs w:val="24"/>
        </w:rPr>
        <w:t xml:space="preserve"> </w:t>
      </w:r>
      <w:hyperlink r:id="rId22" w:history="1">
        <w:r w:rsidRPr="000B0156">
          <w:rPr>
            <w:rStyle w:val="Hyperlink"/>
            <w:rFonts w:ascii="Times New Roman" w:eastAsia="Times New Roman" w:hAnsi="Times New Roman" w:cs="Times New Roman"/>
            <w:sz w:val="24"/>
            <w:szCs w:val="24"/>
          </w:rPr>
          <w:t>https://doi.org.ezproxy.lib.vt.edu/10.1111/scs.13037</w:t>
        </w:r>
      </w:hyperlink>
      <w:r w:rsidRPr="000B0156">
        <w:rPr>
          <w:rFonts w:ascii="Times New Roman" w:eastAsia="Times New Roman" w:hAnsi="Times New Roman" w:cs="Times New Roman"/>
          <w:sz w:val="24"/>
          <w:szCs w:val="24"/>
        </w:rPr>
        <w:t>. </w:t>
      </w:r>
    </w:p>
    <w:p w14:paraId="6451AB7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Bürgin, D., </w:t>
      </w:r>
      <w:proofErr w:type="spellStart"/>
      <w:r w:rsidRPr="000B0156">
        <w:rPr>
          <w:rFonts w:ascii="Times New Roman" w:eastAsia="Times New Roman" w:hAnsi="Times New Roman" w:cs="Times New Roman"/>
          <w:sz w:val="24"/>
          <w:szCs w:val="24"/>
        </w:rPr>
        <w:t>Boonmann</w:t>
      </w:r>
      <w:proofErr w:type="spellEnd"/>
      <w:r w:rsidRPr="000B0156">
        <w:rPr>
          <w:rFonts w:ascii="Times New Roman" w:eastAsia="Times New Roman" w:hAnsi="Times New Roman" w:cs="Times New Roman"/>
          <w:sz w:val="24"/>
          <w:szCs w:val="24"/>
        </w:rPr>
        <w:t xml:space="preserve">, C., Schmeck, K., Schmid, M., Tripp, P., </w:t>
      </w:r>
      <w:proofErr w:type="spellStart"/>
      <w:r w:rsidRPr="000B0156">
        <w:rPr>
          <w:rFonts w:ascii="Times New Roman" w:eastAsia="Times New Roman" w:hAnsi="Times New Roman" w:cs="Times New Roman"/>
          <w:sz w:val="24"/>
          <w:szCs w:val="24"/>
        </w:rPr>
        <w:t>Nishimi</w:t>
      </w:r>
      <w:proofErr w:type="spellEnd"/>
      <w:r w:rsidRPr="000B0156">
        <w:rPr>
          <w:rFonts w:ascii="Times New Roman" w:eastAsia="Times New Roman" w:hAnsi="Times New Roman" w:cs="Times New Roman"/>
          <w:sz w:val="24"/>
          <w:szCs w:val="24"/>
        </w:rPr>
        <w:t>, K., &amp; O’Donovan, A. (2021). Compounding Stress: Childhood Adversity as a Risk Factor for Adulthood Trauma Exposure in the Health and Retirement Study. </w:t>
      </w:r>
      <w:r w:rsidRPr="000B0156">
        <w:rPr>
          <w:rFonts w:ascii="Times New Roman" w:eastAsia="Times New Roman" w:hAnsi="Times New Roman" w:cs="Times New Roman"/>
          <w:i/>
          <w:iCs/>
          <w:sz w:val="24"/>
          <w:szCs w:val="24"/>
        </w:rPr>
        <w:t>Journal of Traumatic Stress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34</w:t>
      </w:r>
      <w:r w:rsidRPr="000B0156">
        <w:rPr>
          <w:rFonts w:ascii="Times New Roman" w:eastAsia="Times New Roman" w:hAnsi="Times New Roman" w:cs="Times New Roman"/>
          <w:sz w:val="24"/>
          <w:szCs w:val="24"/>
        </w:rPr>
        <w:t xml:space="preserve">(1), 124–136. </w:t>
      </w:r>
      <w:hyperlink r:id="rId23" w:tgtFrame="_blank" w:history="1">
        <w:r w:rsidRPr="000B0156">
          <w:rPr>
            <w:rStyle w:val="Hyperlink"/>
            <w:rFonts w:ascii="Times New Roman" w:eastAsia="Times New Roman" w:hAnsi="Times New Roman" w:cs="Times New Roman"/>
            <w:sz w:val="24"/>
            <w:szCs w:val="24"/>
          </w:rPr>
          <w:t>https://doi-org.ezproxy.lib.vt.edu/10.1002/jts.22617</w:t>
        </w:r>
      </w:hyperlink>
      <w:r w:rsidRPr="000B0156">
        <w:rPr>
          <w:rFonts w:ascii="Times New Roman" w:eastAsia="Times New Roman" w:hAnsi="Times New Roman" w:cs="Times New Roman"/>
          <w:sz w:val="24"/>
          <w:szCs w:val="24"/>
        </w:rPr>
        <w:t>. </w:t>
      </w:r>
    </w:p>
    <w:p w14:paraId="2C2B2901"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Büyüköksüz</w:t>
      </w:r>
      <w:proofErr w:type="spellEnd"/>
      <w:r w:rsidRPr="000B0156">
        <w:rPr>
          <w:rFonts w:ascii="Times New Roman" w:eastAsia="Times New Roman" w:hAnsi="Times New Roman" w:cs="Times New Roman"/>
          <w:sz w:val="24"/>
          <w:szCs w:val="24"/>
        </w:rPr>
        <w:t xml:space="preserve">, E. (2024). Metacognitive Therapy (MCT) for Post-Traumatic Stress Disorder. </w:t>
      </w:r>
      <w:proofErr w:type="spellStart"/>
      <w:r w:rsidRPr="000B0156">
        <w:rPr>
          <w:rFonts w:ascii="Times New Roman" w:eastAsia="Times New Roman" w:hAnsi="Times New Roman" w:cs="Times New Roman"/>
          <w:sz w:val="24"/>
          <w:szCs w:val="24"/>
        </w:rPr>
        <w:t>IntechOpen</w:t>
      </w:r>
      <w:proofErr w:type="spellEnd"/>
      <w:r w:rsidRPr="000B0156">
        <w:rPr>
          <w:rFonts w:ascii="Times New Roman" w:eastAsia="Times New Roman" w:hAnsi="Times New Roman" w:cs="Times New Roman"/>
          <w:sz w:val="24"/>
          <w:szCs w:val="24"/>
        </w:rPr>
        <w:t xml:space="preserve">. </w:t>
      </w:r>
      <w:proofErr w:type="spellStart"/>
      <w:r w:rsidRPr="000B0156">
        <w:rPr>
          <w:rFonts w:ascii="Times New Roman" w:eastAsia="Times New Roman" w:hAnsi="Times New Roman" w:cs="Times New Roman"/>
          <w:sz w:val="24"/>
          <w:szCs w:val="24"/>
        </w:rPr>
        <w:t>doi</w:t>
      </w:r>
      <w:proofErr w:type="spellEnd"/>
      <w:r w:rsidRPr="000B0156">
        <w:rPr>
          <w:rFonts w:ascii="Times New Roman" w:eastAsia="Times New Roman" w:hAnsi="Times New Roman" w:cs="Times New Roman"/>
          <w:sz w:val="24"/>
          <w:szCs w:val="24"/>
        </w:rPr>
        <w:t>: 10.5772/intechopen.1007329. </w:t>
      </w:r>
    </w:p>
    <w:p w14:paraId="0ED0D71E" w14:textId="4EF5814F"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Caballero, M.O. &amp; Saavedra S. (2014). Resilience: Physiological Assembly and </w:t>
      </w:r>
      <w:proofErr w:type="spellStart"/>
      <w:r w:rsidRPr="000B0156">
        <w:rPr>
          <w:rFonts w:ascii="Times New Roman" w:eastAsia="Times New Roman" w:hAnsi="Times New Roman" w:cs="Times New Roman"/>
          <w:sz w:val="24"/>
          <w:szCs w:val="24"/>
        </w:rPr>
        <w:t>Phychosocial</w:t>
      </w:r>
      <w:proofErr w:type="spellEnd"/>
      <w:r w:rsidRPr="000B0156">
        <w:rPr>
          <w:rFonts w:ascii="Times New Roman" w:eastAsia="Times New Roman" w:hAnsi="Times New Roman" w:cs="Times New Roman"/>
          <w:sz w:val="24"/>
          <w:szCs w:val="24"/>
        </w:rPr>
        <w:t xml:space="preserve"> Factors. Procedia – Social and Behavioral Sciences. 132: 447-453. </w:t>
      </w:r>
      <w:proofErr w:type="spellStart"/>
      <w:r w:rsidRPr="000B0156">
        <w:rPr>
          <w:rFonts w:ascii="Times New Roman" w:eastAsia="Times New Roman" w:hAnsi="Times New Roman" w:cs="Times New Roman"/>
          <w:sz w:val="24"/>
          <w:szCs w:val="24"/>
        </w:rPr>
        <w:t>doi</w:t>
      </w:r>
      <w:proofErr w:type="spellEnd"/>
      <w:r w:rsidRPr="000B015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hyperlink r:id="rId24" w:tgtFrame="_blank" w:history="1">
        <w:r w:rsidRPr="000B0156">
          <w:rPr>
            <w:rStyle w:val="Hyperlink"/>
            <w:rFonts w:ascii="Times New Roman" w:eastAsia="Times New Roman" w:hAnsi="Times New Roman" w:cs="Times New Roman"/>
            <w:sz w:val="24"/>
            <w:szCs w:val="24"/>
          </w:rPr>
          <w:t>10.1016/j.sbspro.2014.04.335</w:t>
        </w:r>
      </w:hyperlink>
      <w:r w:rsidRPr="000B0156">
        <w:rPr>
          <w:rFonts w:ascii="Times New Roman" w:eastAsia="Times New Roman" w:hAnsi="Times New Roman" w:cs="Times New Roman"/>
          <w:sz w:val="24"/>
          <w:szCs w:val="24"/>
        </w:rPr>
        <w:t> </w:t>
      </w:r>
    </w:p>
    <w:p w14:paraId="7CD965DF"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Callaghan, B. L., &amp; Tottenham, N. (2016). The stress acceleration hypothesis: </w:t>
      </w:r>
      <w:proofErr w:type="spellStart"/>
      <w:r w:rsidRPr="000B0156">
        <w:rPr>
          <w:rFonts w:ascii="Times New Roman" w:eastAsia="Times New Roman" w:hAnsi="Times New Roman" w:cs="Times New Roman"/>
          <w:sz w:val="24"/>
          <w:szCs w:val="24"/>
        </w:rPr>
        <w:t>Efects</w:t>
      </w:r>
      <w:proofErr w:type="spellEnd"/>
      <w:r w:rsidRPr="000B0156">
        <w:rPr>
          <w:rFonts w:ascii="Times New Roman" w:eastAsia="Times New Roman" w:hAnsi="Times New Roman" w:cs="Times New Roman"/>
          <w:sz w:val="24"/>
          <w:szCs w:val="24"/>
        </w:rPr>
        <w:t xml:space="preserve"> of early-life adversity on emotion circuits and behavior. Current Opinion in Behavioral Sciences, 7, 76–81. </w:t>
      </w:r>
      <w:hyperlink r:id="rId25" w:tgtFrame="_blank" w:history="1">
        <w:r w:rsidRPr="000B0156">
          <w:rPr>
            <w:rStyle w:val="Hyperlink"/>
            <w:rFonts w:ascii="Times New Roman" w:eastAsia="Times New Roman" w:hAnsi="Times New Roman" w:cs="Times New Roman"/>
            <w:sz w:val="24"/>
            <w:szCs w:val="24"/>
          </w:rPr>
          <w:t>https://doi.org/10.1016/j.cobeha.2015.11.018</w:t>
        </w:r>
      </w:hyperlink>
      <w:r w:rsidRPr="000B0156">
        <w:rPr>
          <w:rFonts w:ascii="Times New Roman" w:eastAsia="Times New Roman" w:hAnsi="Times New Roman" w:cs="Times New Roman"/>
          <w:sz w:val="24"/>
          <w:szCs w:val="24"/>
        </w:rPr>
        <w:t>. </w:t>
      </w:r>
    </w:p>
    <w:p w14:paraId="3B26234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Casement, M.D. &amp; Swanson, L.M. (2012). A meta-analysis of imagery rehearsal for post-trauma nightmares: Effects on nightmare frequency, sleep quality, and posttraumatic stress. </w:t>
      </w:r>
      <w:r w:rsidRPr="000B0156">
        <w:rPr>
          <w:rFonts w:ascii="Times New Roman" w:eastAsia="Times New Roman" w:hAnsi="Times New Roman" w:cs="Times New Roman"/>
          <w:i/>
          <w:iCs/>
          <w:sz w:val="24"/>
          <w:szCs w:val="24"/>
        </w:rPr>
        <w:t>Clinical Psychology Review, (32)</w:t>
      </w:r>
      <w:r w:rsidRPr="000B0156">
        <w:rPr>
          <w:rFonts w:ascii="Times New Roman" w:eastAsia="Times New Roman" w:hAnsi="Times New Roman" w:cs="Times New Roman"/>
          <w:sz w:val="24"/>
          <w:szCs w:val="24"/>
        </w:rPr>
        <w:t xml:space="preserve">6, 566-574. </w:t>
      </w:r>
      <w:hyperlink r:id="rId26" w:tgtFrame="_blank" w:history="1">
        <w:r w:rsidRPr="000B0156">
          <w:rPr>
            <w:rStyle w:val="Hyperlink"/>
            <w:rFonts w:ascii="Times New Roman" w:eastAsia="Times New Roman" w:hAnsi="Times New Roman" w:cs="Times New Roman"/>
            <w:sz w:val="24"/>
            <w:szCs w:val="24"/>
          </w:rPr>
          <w:t>https://doi.org/10.1016/j.cpr.2012.06.002</w:t>
        </w:r>
      </w:hyperlink>
      <w:r w:rsidRPr="000B0156">
        <w:rPr>
          <w:rFonts w:ascii="Times New Roman" w:eastAsia="Times New Roman" w:hAnsi="Times New Roman" w:cs="Times New Roman"/>
          <w:sz w:val="24"/>
          <w:szCs w:val="24"/>
        </w:rPr>
        <w:t>. </w:t>
      </w:r>
    </w:p>
    <w:p w14:paraId="41236F9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Caspi, A., McClay, J., Moffitt, T. E., Mill, J., Martin, J., Craig, I. W., Taylor, A., &amp; Poulton, R. (2002). Role of genotype in the cycle of violence in maltreated children. </w:t>
      </w:r>
      <w:r w:rsidRPr="000B0156">
        <w:rPr>
          <w:rFonts w:ascii="Times New Roman" w:eastAsia="Times New Roman" w:hAnsi="Times New Roman" w:cs="Times New Roman"/>
          <w:i/>
          <w:iCs/>
          <w:sz w:val="24"/>
          <w:szCs w:val="24"/>
        </w:rPr>
        <w:t>Science (New York, N.Y.)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297</w:t>
      </w:r>
      <w:r w:rsidRPr="000B0156">
        <w:rPr>
          <w:rFonts w:ascii="Times New Roman" w:eastAsia="Times New Roman" w:hAnsi="Times New Roman" w:cs="Times New Roman"/>
          <w:sz w:val="24"/>
          <w:szCs w:val="24"/>
        </w:rPr>
        <w:t xml:space="preserve">(5582), 851–854. </w:t>
      </w:r>
      <w:hyperlink r:id="rId27" w:tgtFrame="_blank" w:history="1">
        <w:r w:rsidRPr="000B0156">
          <w:rPr>
            <w:rStyle w:val="Hyperlink"/>
            <w:rFonts w:ascii="Times New Roman" w:eastAsia="Times New Roman" w:hAnsi="Times New Roman" w:cs="Times New Roman"/>
            <w:sz w:val="24"/>
            <w:szCs w:val="24"/>
          </w:rPr>
          <w:t>https://doi.org/10.1126/science.1072290</w:t>
        </w:r>
      </w:hyperlink>
      <w:r w:rsidRPr="000B0156">
        <w:rPr>
          <w:rFonts w:ascii="Times New Roman" w:eastAsia="Times New Roman" w:hAnsi="Times New Roman" w:cs="Times New Roman"/>
          <w:sz w:val="24"/>
          <w:szCs w:val="24"/>
        </w:rPr>
        <w:t>. </w:t>
      </w:r>
    </w:p>
    <w:p w14:paraId="077C10A7" w14:textId="32D833DB"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Cénat, J. M., Charles, C. H., &amp; </w:t>
      </w:r>
      <w:proofErr w:type="spellStart"/>
      <w:r w:rsidRPr="000B0156">
        <w:rPr>
          <w:rFonts w:ascii="Times New Roman" w:eastAsia="Times New Roman" w:hAnsi="Times New Roman" w:cs="Times New Roman"/>
          <w:sz w:val="24"/>
          <w:szCs w:val="24"/>
        </w:rPr>
        <w:t>Kebedom</w:t>
      </w:r>
      <w:proofErr w:type="spellEnd"/>
      <w:r w:rsidRPr="000B0156">
        <w:rPr>
          <w:rFonts w:ascii="Times New Roman" w:eastAsia="Times New Roman" w:hAnsi="Times New Roman" w:cs="Times New Roman"/>
          <w:sz w:val="24"/>
          <w:szCs w:val="24"/>
        </w:rPr>
        <w:t>, P. (2020). Multiple Traumas, Health Problems and Resilience among Haitian Asylum Seekers in Canada’s 2017 Migration Crisis:</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Psychopathology of Crossing. </w:t>
      </w:r>
      <w:r w:rsidRPr="000B0156">
        <w:rPr>
          <w:rFonts w:ascii="Times New Roman" w:eastAsia="Times New Roman" w:hAnsi="Times New Roman" w:cs="Times New Roman"/>
          <w:i/>
          <w:iCs/>
          <w:sz w:val="24"/>
          <w:szCs w:val="24"/>
        </w:rPr>
        <w:t>Journal of Loss &amp; Trauma</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25</w:t>
      </w:r>
      <w:r w:rsidRPr="000B0156">
        <w:rPr>
          <w:rFonts w:ascii="Times New Roman" w:eastAsia="Times New Roman" w:hAnsi="Times New Roman" w:cs="Times New Roman"/>
          <w:sz w:val="24"/>
          <w:szCs w:val="24"/>
        </w:rPr>
        <w:t>(5), 416–437.</w:t>
      </w:r>
      <w:r>
        <w:rPr>
          <w:rFonts w:ascii="Times New Roman" w:eastAsia="Times New Roman" w:hAnsi="Times New Roman" w:cs="Times New Roman"/>
          <w:sz w:val="24"/>
          <w:szCs w:val="24"/>
        </w:rPr>
        <w:t xml:space="preserve"> </w:t>
      </w:r>
      <w:hyperlink r:id="rId28" w:history="1">
        <w:r w:rsidRPr="000B0156">
          <w:rPr>
            <w:rStyle w:val="Hyperlink"/>
            <w:rFonts w:ascii="Times New Roman" w:eastAsia="Times New Roman" w:hAnsi="Times New Roman" w:cs="Times New Roman"/>
            <w:sz w:val="24"/>
            <w:szCs w:val="24"/>
          </w:rPr>
          <w:t>https://doi.org.ezproxy.lib.vt.edu/10.1080/15325024.2019.1703610</w:t>
        </w:r>
      </w:hyperlink>
      <w:r w:rsidRPr="000B0156">
        <w:rPr>
          <w:rFonts w:ascii="Times New Roman" w:eastAsia="Times New Roman" w:hAnsi="Times New Roman" w:cs="Times New Roman"/>
          <w:sz w:val="24"/>
          <w:szCs w:val="24"/>
        </w:rPr>
        <w:t>. </w:t>
      </w:r>
    </w:p>
    <w:p w14:paraId="3D979DA0" w14:textId="139B91BA"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Citri, A., &amp; Malenka, R. C. (2008). Synaptic plasticity: multiple forms, functions, and</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mechanisms. </w:t>
      </w:r>
      <w:proofErr w:type="gramStart"/>
      <w:r w:rsidRPr="000B0156">
        <w:rPr>
          <w:rFonts w:ascii="Times New Roman" w:eastAsia="Times New Roman" w:hAnsi="Times New Roman" w:cs="Times New Roman"/>
          <w:i/>
          <w:iCs/>
          <w:sz w:val="24"/>
          <w:szCs w:val="24"/>
        </w:rPr>
        <w:t>Neuropsychopharmacology :</w:t>
      </w:r>
      <w:proofErr w:type="gramEnd"/>
      <w:r w:rsidRPr="000B0156">
        <w:rPr>
          <w:rFonts w:ascii="Times New Roman" w:eastAsia="Times New Roman" w:hAnsi="Times New Roman" w:cs="Times New Roman"/>
          <w:i/>
          <w:iCs/>
          <w:sz w:val="24"/>
          <w:szCs w:val="24"/>
        </w:rPr>
        <w:t xml:space="preserve"> official publication of the American College of Neuropsychopharmacology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33</w:t>
      </w:r>
      <w:r w:rsidRPr="000B0156">
        <w:rPr>
          <w:rFonts w:ascii="Times New Roman" w:eastAsia="Times New Roman" w:hAnsi="Times New Roman" w:cs="Times New Roman"/>
          <w:sz w:val="24"/>
          <w:szCs w:val="24"/>
        </w:rPr>
        <w:t xml:space="preserve">(1), 18–41. </w:t>
      </w:r>
      <w:hyperlink r:id="rId29" w:tgtFrame="_blank" w:history="1">
        <w:r w:rsidRPr="000B0156">
          <w:rPr>
            <w:rStyle w:val="Hyperlink"/>
            <w:rFonts w:ascii="Times New Roman" w:eastAsia="Times New Roman" w:hAnsi="Times New Roman" w:cs="Times New Roman"/>
            <w:sz w:val="24"/>
            <w:szCs w:val="24"/>
          </w:rPr>
          <w:t>https://doi.org/10.1038/sj.npp.1301559</w:t>
        </w:r>
      </w:hyperlink>
      <w:r w:rsidRPr="000B0156">
        <w:rPr>
          <w:rFonts w:ascii="Times New Roman" w:eastAsia="Times New Roman" w:hAnsi="Times New Roman" w:cs="Times New Roman"/>
          <w:sz w:val="24"/>
          <w:szCs w:val="24"/>
        </w:rPr>
        <w:t>. </w:t>
      </w:r>
    </w:p>
    <w:p w14:paraId="7C86DD7C"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Compas</w:t>
      </w:r>
      <w:proofErr w:type="spellEnd"/>
      <w:r w:rsidRPr="000B0156">
        <w:rPr>
          <w:rFonts w:ascii="Times New Roman" w:eastAsia="Times New Roman" w:hAnsi="Times New Roman" w:cs="Times New Roman"/>
          <w:sz w:val="24"/>
          <w:szCs w:val="24"/>
        </w:rPr>
        <w:t xml:space="preserve">, B. E., Jaser, S. S., Dunbar, J. P., Watson, K. H., Bettis, A. H., Gruhn, M. A., &amp; Williams, E. K. (2014). Coping and Emotion Regulation from Childhood to Early Adulthood: Points of Convergence and Divergence. </w:t>
      </w:r>
      <w:r w:rsidRPr="000B0156">
        <w:rPr>
          <w:rFonts w:ascii="Times New Roman" w:eastAsia="Times New Roman" w:hAnsi="Times New Roman" w:cs="Times New Roman"/>
          <w:i/>
          <w:iCs/>
          <w:sz w:val="24"/>
          <w:szCs w:val="24"/>
        </w:rPr>
        <w:t>Australian journal of psychology</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66</w:t>
      </w:r>
      <w:r w:rsidRPr="000B0156">
        <w:rPr>
          <w:rFonts w:ascii="Times New Roman" w:eastAsia="Times New Roman" w:hAnsi="Times New Roman" w:cs="Times New Roman"/>
          <w:sz w:val="24"/>
          <w:szCs w:val="24"/>
        </w:rPr>
        <w:t xml:space="preserve">(2), 71–81. </w:t>
      </w:r>
      <w:hyperlink r:id="rId30" w:tgtFrame="_blank" w:history="1">
        <w:r w:rsidRPr="000B0156">
          <w:rPr>
            <w:rStyle w:val="Hyperlink"/>
            <w:rFonts w:ascii="Times New Roman" w:eastAsia="Times New Roman" w:hAnsi="Times New Roman" w:cs="Times New Roman"/>
            <w:sz w:val="24"/>
            <w:szCs w:val="24"/>
          </w:rPr>
          <w:t>https://doi.org/10.1111/ajpy.12043</w:t>
        </w:r>
      </w:hyperlink>
      <w:r w:rsidRPr="000B0156">
        <w:rPr>
          <w:rFonts w:ascii="Times New Roman" w:eastAsia="Times New Roman" w:hAnsi="Times New Roman" w:cs="Times New Roman"/>
          <w:sz w:val="24"/>
          <w:szCs w:val="24"/>
        </w:rPr>
        <w:t>. </w:t>
      </w:r>
    </w:p>
    <w:p w14:paraId="5CEBE07F" w14:textId="1F979120"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Conford</w:t>
      </w:r>
      <w:proofErr w:type="spellEnd"/>
      <w:r w:rsidRPr="000B0156">
        <w:rPr>
          <w:rFonts w:ascii="Times New Roman" w:eastAsia="Times New Roman" w:hAnsi="Times New Roman" w:cs="Times New Roman"/>
          <w:sz w:val="24"/>
          <w:szCs w:val="24"/>
        </w:rPr>
        <w:t xml:space="preserve"> P. (2016). 'Smashed by the National Health'? A Closer Look at the Demise of the</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Pioneer Health Centre, Peckham. </w:t>
      </w:r>
      <w:r w:rsidRPr="000B0156">
        <w:rPr>
          <w:rFonts w:ascii="Times New Roman" w:eastAsia="Times New Roman" w:hAnsi="Times New Roman" w:cs="Times New Roman"/>
          <w:i/>
          <w:iCs/>
          <w:sz w:val="24"/>
          <w:szCs w:val="24"/>
        </w:rPr>
        <w:t>Medical history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60</w:t>
      </w:r>
      <w:r w:rsidRPr="000B0156">
        <w:rPr>
          <w:rFonts w:ascii="Times New Roman" w:eastAsia="Times New Roman" w:hAnsi="Times New Roman" w:cs="Times New Roman"/>
          <w:sz w:val="24"/>
          <w:szCs w:val="24"/>
        </w:rPr>
        <w:t>(2), 250–269.</w:t>
      </w:r>
      <w:r>
        <w:rPr>
          <w:rFonts w:ascii="Times New Roman" w:eastAsia="Times New Roman" w:hAnsi="Times New Roman" w:cs="Times New Roman"/>
          <w:sz w:val="24"/>
          <w:szCs w:val="24"/>
        </w:rPr>
        <w:t xml:space="preserve"> </w:t>
      </w:r>
      <w:hyperlink r:id="rId31" w:history="1">
        <w:r w:rsidRPr="000B0156">
          <w:rPr>
            <w:rStyle w:val="Hyperlink"/>
            <w:rFonts w:ascii="Times New Roman" w:eastAsia="Times New Roman" w:hAnsi="Times New Roman" w:cs="Times New Roman"/>
            <w:sz w:val="24"/>
            <w:szCs w:val="24"/>
          </w:rPr>
          <w:t>https://doi.org/10.1017/mdh.2016.6</w:t>
        </w:r>
      </w:hyperlink>
      <w:r w:rsidRPr="000B0156">
        <w:rPr>
          <w:rFonts w:ascii="Times New Roman" w:eastAsia="Times New Roman" w:hAnsi="Times New Roman" w:cs="Times New Roman"/>
          <w:sz w:val="24"/>
          <w:szCs w:val="24"/>
        </w:rPr>
        <w:t>. </w:t>
      </w:r>
    </w:p>
    <w:p w14:paraId="60104B1E"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Contractor, A. A., Caldas, S., Fletcher, S., Shea, M. T., &amp; </w:t>
      </w:r>
      <w:proofErr w:type="spellStart"/>
      <w:r w:rsidRPr="000B0156">
        <w:rPr>
          <w:rFonts w:ascii="Times New Roman" w:eastAsia="Times New Roman" w:hAnsi="Times New Roman" w:cs="Times New Roman"/>
          <w:sz w:val="24"/>
          <w:szCs w:val="24"/>
        </w:rPr>
        <w:t>Armour</w:t>
      </w:r>
      <w:proofErr w:type="spellEnd"/>
      <w:r w:rsidRPr="000B0156">
        <w:rPr>
          <w:rFonts w:ascii="Times New Roman" w:eastAsia="Times New Roman" w:hAnsi="Times New Roman" w:cs="Times New Roman"/>
          <w:sz w:val="24"/>
          <w:szCs w:val="24"/>
        </w:rPr>
        <w:t xml:space="preserve">, C. (2018). Empirically derived lifespan </w:t>
      </w:r>
      <w:proofErr w:type="spellStart"/>
      <w:r w:rsidRPr="000B0156">
        <w:rPr>
          <w:rFonts w:ascii="Times New Roman" w:eastAsia="Times New Roman" w:hAnsi="Times New Roman" w:cs="Times New Roman"/>
          <w:sz w:val="24"/>
          <w:szCs w:val="24"/>
        </w:rPr>
        <w:t>polytraumatization</w:t>
      </w:r>
      <w:proofErr w:type="spellEnd"/>
      <w:r w:rsidRPr="000B0156">
        <w:rPr>
          <w:rFonts w:ascii="Times New Roman" w:eastAsia="Times New Roman" w:hAnsi="Times New Roman" w:cs="Times New Roman"/>
          <w:sz w:val="24"/>
          <w:szCs w:val="24"/>
        </w:rPr>
        <w:t xml:space="preserve"> typologies: A systematic review. </w:t>
      </w:r>
      <w:r w:rsidRPr="000B0156">
        <w:rPr>
          <w:rFonts w:ascii="Times New Roman" w:eastAsia="Times New Roman" w:hAnsi="Times New Roman" w:cs="Times New Roman"/>
          <w:i/>
          <w:iCs/>
          <w:sz w:val="24"/>
          <w:szCs w:val="24"/>
        </w:rPr>
        <w:t>Journal of Clinical Psychology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74</w:t>
      </w:r>
      <w:r w:rsidRPr="000B0156">
        <w:rPr>
          <w:rFonts w:ascii="Times New Roman" w:eastAsia="Times New Roman" w:hAnsi="Times New Roman" w:cs="Times New Roman"/>
          <w:sz w:val="24"/>
          <w:szCs w:val="24"/>
        </w:rPr>
        <w:t xml:space="preserve">(7), 1137–1159. </w:t>
      </w:r>
      <w:hyperlink r:id="rId32" w:tgtFrame="_blank" w:history="1">
        <w:r w:rsidRPr="000B0156">
          <w:rPr>
            <w:rStyle w:val="Hyperlink"/>
            <w:rFonts w:ascii="Times New Roman" w:eastAsia="Times New Roman" w:hAnsi="Times New Roman" w:cs="Times New Roman"/>
            <w:sz w:val="24"/>
            <w:szCs w:val="24"/>
          </w:rPr>
          <w:t>https://doi-org.ezproxy.lib.vt.edu/10.1002/jclp.22586</w:t>
        </w:r>
      </w:hyperlink>
      <w:r w:rsidRPr="000B0156">
        <w:rPr>
          <w:rFonts w:ascii="Times New Roman" w:eastAsia="Times New Roman" w:hAnsi="Times New Roman" w:cs="Times New Roman"/>
          <w:sz w:val="24"/>
          <w:szCs w:val="24"/>
        </w:rPr>
        <w:t>. </w:t>
      </w:r>
    </w:p>
    <w:p w14:paraId="6C1E95B6"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Cook-Cottone, C. P. (2004). Using Piaget’s Theory of Cognitive Development to Understand the Construction of Healing Narratives. </w:t>
      </w:r>
      <w:r w:rsidRPr="000B0156">
        <w:rPr>
          <w:rFonts w:ascii="Times New Roman" w:eastAsia="Times New Roman" w:hAnsi="Times New Roman" w:cs="Times New Roman"/>
          <w:i/>
          <w:iCs/>
          <w:sz w:val="24"/>
          <w:szCs w:val="24"/>
        </w:rPr>
        <w:t>Journal of College Counseling</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7</w:t>
      </w:r>
      <w:r w:rsidRPr="000B0156">
        <w:rPr>
          <w:rFonts w:ascii="Times New Roman" w:eastAsia="Times New Roman" w:hAnsi="Times New Roman" w:cs="Times New Roman"/>
          <w:sz w:val="24"/>
          <w:szCs w:val="24"/>
        </w:rPr>
        <w:t xml:space="preserve">(2), 177–186. </w:t>
      </w:r>
      <w:hyperlink r:id="rId33" w:tgtFrame="_blank" w:history="1">
        <w:r w:rsidRPr="000B0156">
          <w:rPr>
            <w:rStyle w:val="Hyperlink"/>
            <w:rFonts w:ascii="Times New Roman" w:eastAsia="Times New Roman" w:hAnsi="Times New Roman" w:cs="Times New Roman"/>
            <w:sz w:val="24"/>
            <w:szCs w:val="24"/>
          </w:rPr>
          <w:t>https://doi-org.ezproxy.lib.vt.edu/10.1002/j.2161-1882.2004.tb00249.x</w:t>
        </w:r>
      </w:hyperlink>
      <w:r w:rsidRPr="000B0156">
        <w:rPr>
          <w:rFonts w:ascii="Times New Roman" w:eastAsia="Times New Roman" w:hAnsi="Times New Roman" w:cs="Times New Roman"/>
          <w:sz w:val="24"/>
          <w:szCs w:val="24"/>
        </w:rPr>
        <w:t>. </w:t>
      </w:r>
    </w:p>
    <w:p w14:paraId="6C6262D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Cruz, D., Lichten, M., Berg, K., &amp; George, P. (2022). Developmental trauma: Conceptual framework, associated risks and comorbidities, and evaluation and treatment. </w:t>
      </w:r>
      <w:r w:rsidRPr="000B0156">
        <w:rPr>
          <w:rFonts w:ascii="Times New Roman" w:eastAsia="Times New Roman" w:hAnsi="Times New Roman" w:cs="Times New Roman"/>
          <w:i/>
          <w:iCs/>
          <w:sz w:val="24"/>
          <w:szCs w:val="24"/>
        </w:rPr>
        <w:t>Frontiers in psychiatry</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13</w:t>
      </w:r>
      <w:r w:rsidRPr="000B0156">
        <w:rPr>
          <w:rFonts w:ascii="Times New Roman" w:eastAsia="Times New Roman" w:hAnsi="Times New Roman" w:cs="Times New Roman"/>
          <w:sz w:val="24"/>
          <w:szCs w:val="24"/>
        </w:rPr>
        <w:t xml:space="preserve">, 800687. </w:t>
      </w:r>
      <w:hyperlink r:id="rId34" w:tgtFrame="_blank" w:history="1">
        <w:r w:rsidRPr="000B0156">
          <w:rPr>
            <w:rStyle w:val="Hyperlink"/>
            <w:rFonts w:ascii="Times New Roman" w:eastAsia="Times New Roman" w:hAnsi="Times New Roman" w:cs="Times New Roman"/>
            <w:sz w:val="24"/>
            <w:szCs w:val="24"/>
          </w:rPr>
          <w:t>https://doi.org/10.3389/fpsyt.2022.800687</w:t>
        </w:r>
      </w:hyperlink>
      <w:r w:rsidRPr="000B0156">
        <w:rPr>
          <w:rFonts w:ascii="Times New Roman" w:eastAsia="Times New Roman" w:hAnsi="Times New Roman" w:cs="Times New Roman"/>
          <w:sz w:val="24"/>
          <w:szCs w:val="24"/>
        </w:rPr>
        <w:t>. </w:t>
      </w:r>
    </w:p>
    <w:p w14:paraId="15760E4C"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Cunningham, M., Bonnell, L. N., Mehner, L., Berman, S., &amp; Camp, B. (2021). A cumulative risk index for use in the medical home. </w:t>
      </w:r>
      <w:r w:rsidRPr="000B0156">
        <w:rPr>
          <w:rFonts w:ascii="Times New Roman" w:eastAsia="Times New Roman" w:hAnsi="Times New Roman" w:cs="Times New Roman"/>
          <w:i/>
          <w:iCs/>
          <w:sz w:val="24"/>
          <w:szCs w:val="24"/>
        </w:rPr>
        <w:t>Child: Care, Health &amp; Development</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47</w:t>
      </w:r>
      <w:r w:rsidRPr="000B0156">
        <w:rPr>
          <w:rFonts w:ascii="Times New Roman" w:eastAsia="Times New Roman" w:hAnsi="Times New Roman" w:cs="Times New Roman"/>
          <w:sz w:val="24"/>
          <w:szCs w:val="24"/>
        </w:rPr>
        <w:t xml:space="preserve">(4), 471–476. </w:t>
      </w:r>
      <w:hyperlink r:id="rId35" w:tgtFrame="_blank" w:history="1">
        <w:r w:rsidRPr="000B0156">
          <w:rPr>
            <w:rStyle w:val="Hyperlink"/>
            <w:rFonts w:ascii="Times New Roman" w:eastAsia="Times New Roman" w:hAnsi="Times New Roman" w:cs="Times New Roman"/>
            <w:sz w:val="24"/>
            <w:szCs w:val="24"/>
          </w:rPr>
          <w:t>https://doi-org.ezproxy.lib.vt.edu/10.1111/cch.12858</w:t>
        </w:r>
      </w:hyperlink>
      <w:r w:rsidRPr="000B0156">
        <w:rPr>
          <w:rFonts w:ascii="Times New Roman" w:eastAsia="Times New Roman" w:hAnsi="Times New Roman" w:cs="Times New Roman"/>
          <w:sz w:val="24"/>
          <w:szCs w:val="24"/>
        </w:rPr>
        <w:t>. </w:t>
      </w:r>
    </w:p>
    <w:p w14:paraId="6D0F44C3" w14:textId="7CC479D6"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Dajani, D. R., &amp; Uddin, L. Q. (2015). Demystifying cognitive flexibility: Implications for</w:t>
      </w:r>
      <w:r w:rsidRPr="000B0156">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clinical and developmental neuroscience. </w:t>
      </w:r>
      <w:r w:rsidRPr="000B0156">
        <w:rPr>
          <w:rFonts w:ascii="Times New Roman" w:eastAsia="Times New Roman" w:hAnsi="Times New Roman" w:cs="Times New Roman"/>
          <w:i/>
          <w:iCs/>
          <w:sz w:val="24"/>
          <w:szCs w:val="24"/>
        </w:rPr>
        <w:t>Trends in neurosciences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38</w:t>
      </w:r>
      <w:r w:rsidRPr="000B0156">
        <w:rPr>
          <w:rFonts w:ascii="Times New Roman" w:eastAsia="Times New Roman" w:hAnsi="Times New Roman" w:cs="Times New Roman"/>
          <w:sz w:val="24"/>
          <w:szCs w:val="24"/>
        </w:rPr>
        <w:t>(9), 571–578.</w:t>
      </w:r>
      <w:r>
        <w:rPr>
          <w:rFonts w:ascii="Times New Roman" w:eastAsia="Times New Roman" w:hAnsi="Times New Roman" w:cs="Times New Roman"/>
          <w:sz w:val="24"/>
          <w:szCs w:val="24"/>
        </w:rPr>
        <w:t xml:space="preserve"> </w:t>
      </w:r>
      <w:hyperlink r:id="rId36" w:history="1">
        <w:r w:rsidRPr="000B0156">
          <w:rPr>
            <w:rStyle w:val="Hyperlink"/>
            <w:rFonts w:ascii="Times New Roman" w:eastAsia="Times New Roman" w:hAnsi="Times New Roman" w:cs="Times New Roman"/>
            <w:sz w:val="24"/>
            <w:szCs w:val="24"/>
          </w:rPr>
          <w:t>https://doi.org/10.1016/j.tins.2015.07.003</w:t>
        </w:r>
      </w:hyperlink>
      <w:r w:rsidRPr="000B0156">
        <w:rPr>
          <w:rFonts w:ascii="Times New Roman" w:eastAsia="Times New Roman" w:hAnsi="Times New Roman" w:cs="Times New Roman"/>
          <w:sz w:val="24"/>
          <w:szCs w:val="24"/>
        </w:rPr>
        <w:t>. </w:t>
      </w:r>
    </w:p>
    <w:p w14:paraId="7DCDCDCB" w14:textId="584744EE"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Davis, L.L., Schein, J., Cloutier, M., Gagnon-Sanschagrin, P., Maitland, J., </w:t>
      </w:r>
      <w:proofErr w:type="spellStart"/>
      <w:r w:rsidRPr="000B0156">
        <w:rPr>
          <w:rFonts w:ascii="Times New Roman" w:eastAsia="Times New Roman" w:hAnsi="Times New Roman" w:cs="Times New Roman"/>
          <w:sz w:val="24"/>
          <w:szCs w:val="24"/>
        </w:rPr>
        <w:t>Urganus</w:t>
      </w:r>
      <w:proofErr w:type="spellEnd"/>
      <w:r w:rsidRPr="000B0156">
        <w:rPr>
          <w:rFonts w:ascii="Times New Roman" w:eastAsia="Times New Roman" w:hAnsi="Times New Roman" w:cs="Times New Roman"/>
          <w:sz w:val="24"/>
          <w:szCs w:val="24"/>
        </w:rPr>
        <w:t>, A., Guerin, A., Lefebvre, P. &amp; Houle, C.R. (2022). The economic burden of posttraumatic stress disorder in the United States from a societal perspective</w:t>
      </w:r>
      <w:r w:rsidRPr="000B0156">
        <w:rPr>
          <w:rFonts w:ascii="Times New Roman" w:eastAsia="Times New Roman" w:hAnsi="Times New Roman" w:cs="Times New Roman"/>
          <w:i/>
          <w:iCs/>
          <w:sz w:val="24"/>
          <w:szCs w:val="24"/>
        </w:rPr>
        <w:t>. J Clin Psychiatry</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83</w:t>
      </w:r>
      <w:r w:rsidRPr="000B0156">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w:t>
      </w:r>
      <w:hyperlink r:id="rId37" w:history="1">
        <w:r w:rsidRPr="000B0156">
          <w:rPr>
            <w:rStyle w:val="Hyperlink"/>
            <w:rFonts w:ascii="Times New Roman" w:eastAsia="Times New Roman" w:hAnsi="Times New Roman" w:cs="Times New Roman"/>
            <w:sz w:val="24"/>
            <w:szCs w:val="24"/>
          </w:rPr>
          <w:t>https://doi.org/10.4088/JCP.21m14116</w:t>
        </w:r>
      </w:hyperlink>
      <w:r w:rsidRPr="000B0156">
        <w:rPr>
          <w:rFonts w:ascii="Times New Roman" w:eastAsia="Times New Roman" w:hAnsi="Times New Roman" w:cs="Times New Roman"/>
          <w:sz w:val="24"/>
          <w:szCs w:val="24"/>
        </w:rPr>
        <w:t>. </w:t>
      </w:r>
    </w:p>
    <w:p w14:paraId="5B5CE6BF" w14:textId="4067AE25"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Delker, B. C., Salton, R., &amp; McLean, K. C. (2020). Giving Voice to Silence: Empowerment and Disempowerment in the Developmental Shift from Trauma “Victim” to “Survivor</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Advocate.” </w:t>
      </w:r>
      <w:r w:rsidRPr="000B0156">
        <w:rPr>
          <w:rFonts w:ascii="Times New Roman" w:eastAsia="Times New Roman" w:hAnsi="Times New Roman" w:cs="Times New Roman"/>
          <w:i/>
          <w:iCs/>
          <w:sz w:val="24"/>
          <w:szCs w:val="24"/>
        </w:rPr>
        <w:t>Journal of Trauma &amp; Dissociation</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21</w:t>
      </w:r>
      <w:r w:rsidRPr="000B0156">
        <w:rPr>
          <w:rFonts w:ascii="Times New Roman" w:eastAsia="Times New Roman" w:hAnsi="Times New Roman" w:cs="Times New Roman"/>
          <w:sz w:val="24"/>
          <w:szCs w:val="24"/>
        </w:rPr>
        <w:t>(2), 242–263.</w:t>
      </w:r>
      <w:r>
        <w:rPr>
          <w:rFonts w:ascii="Times New Roman" w:eastAsia="Times New Roman" w:hAnsi="Times New Roman" w:cs="Times New Roman"/>
          <w:sz w:val="24"/>
          <w:szCs w:val="24"/>
        </w:rPr>
        <w:t xml:space="preserve"> </w:t>
      </w:r>
      <w:hyperlink r:id="rId38" w:history="1">
        <w:r w:rsidRPr="000B0156">
          <w:rPr>
            <w:rStyle w:val="Hyperlink"/>
            <w:rFonts w:ascii="Times New Roman" w:eastAsia="Times New Roman" w:hAnsi="Times New Roman" w:cs="Times New Roman"/>
            <w:sz w:val="24"/>
            <w:szCs w:val="24"/>
          </w:rPr>
          <w:t>https://doi.org.ezproxy.lib.vt.edu/10.1080/15299732.2019.1678212</w:t>
        </w:r>
      </w:hyperlink>
      <w:r w:rsidRPr="000B0156">
        <w:rPr>
          <w:rFonts w:ascii="Times New Roman" w:eastAsia="Times New Roman" w:hAnsi="Times New Roman" w:cs="Times New Roman"/>
          <w:sz w:val="24"/>
          <w:szCs w:val="24"/>
        </w:rPr>
        <w:t>. </w:t>
      </w:r>
    </w:p>
    <w:p w14:paraId="160D0CEC"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lastRenderedPageBreak/>
        <w:t>Denckla</w:t>
      </w:r>
      <w:proofErr w:type="spellEnd"/>
      <w:r w:rsidRPr="000B0156">
        <w:rPr>
          <w:rFonts w:ascii="Times New Roman" w:eastAsia="Times New Roman" w:hAnsi="Times New Roman" w:cs="Times New Roman"/>
          <w:sz w:val="24"/>
          <w:szCs w:val="24"/>
        </w:rPr>
        <w:t xml:space="preserve">, C. A., Cicchetti, D., </w:t>
      </w:r>
      <w:proofErr w:type="spellStart"/>
      <w:r w:rsidRPr="000B0156">
        <w:rPr>
          <w:rFonts w:ascii="Times New Roman" w:eastAsia="Times New Roman" w:hAnsi="Times New Roman" w:cs="Times New Roman"/>
          <w:sz w:val="24"/>
          <w:szCs w:val="24"/>
        </w:rPr>
        <w:t>Kubzansky</w:t>
      </w:r>
      <w:proofErr w:type="spellEnd"/>
      <w:r w:rsidRPr="000B0156">
        <w:rPr>
          <w:rFonts w:ascii="Times New Roman" w:eastAsia="Times New Roman" w:hAnsi="Times New Roman" w:cs="Times New Roman"/>
          <w:sz w:val="24"/>
          <w:szCs w:val="24"/>
        </w:rPr>
        <w:t xml:space="preserve">, L. D., Seedat, S., Teicher, M. H., Williams, D. R., &amp; Koenen, K. C. (2020). Psychological resilience: an update on definitions, a critical appraisal, and research recommendations. </w:t>
      </w:r>
      <w:r w:rsidRPr="000B0156">
        <w:rPr>
          <w:rFonts w:ascii="Times New Roman" w:eastAsia="Times New Roman" w:hAnsi="Times New Roman" w:cs="Times New Roman"/>
          <w:i/>
          <w:iCs/>
          <w:sz w:val="24"/>
          <w:szCs w:val="24"/>
        </w:rPr>
        <w:t xml:space="preserve">European journal of </w:t>
      </w:r>
      <w:proofErr w:type="spellStart"/>
      <w:r w:rsidRPr="000B0156">
        <w:rPr>
          <w:rFonts w:ascii="Times New Roman" w:eastAsia="Times New Roman" w:hAnsi="Times New Roman" w:cs="Times New Roman"/>
          <w:i/>
          <w:iCs/>
          <w:sz w:val="24"/>
          <w:szCs w:val="24"/>
        </w:rPr>
        <w:t>psychotraumatology</w:t>
      </w:r>
      <w:proofErr w:type="spellEnd"/>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11</w:t>
      </w:r>
      <w:r w:rsidRPr="000B0156">
        <w:rPr>
          <w:rFonts w:ascii="Times New Roman" w:eastAsia="Times New Roman" w:hAnsi="Times New Roman" w:cs="Times New Roman"/>
          <w:sz w:val="24"/>
          <w:szCs w:val="24"/>
        </w:rPr>
        <w:t xml:space="preserve">(1), 1822064. </w:t>
      </w:r>
      <w:hyperlink r:id="rId39" w:tgtFrame="_blank" w:history="1">
        <w:r w:rsidRPr="000B0156">
          <w:rPr>
            <w:rStyle w:val="Hyperlink"/>
            <w:rFonts w:ascii="Times New Roman" w:eastAsia="Times New Roman" w:hAnsi="Times New Roman" w:cs="Times New Roman"/>
            <w:sz w:val="24"/>
            <w:szCs w:val="24"/>
          </w:rPr>
          <w:t>https://doi.org/10.1080/20008198.2020.1822064</w:t>
        </w:r>
      </w:hyperlink>
      <w:r w:rsidRPr="000B0156">
        <w:rPr>
          <w:rFonts w:ascii="Times New Roman" w:eastAsia="Times New Roman" w:hAnsi="Times New Roman" w:cs="Times New Roman"/>
          <w:sz w:val="24"/>
          <w:szCs w:val="24"/>
        </w:rPr>
        <w:t>. </w:t>
      </w:r>
    </w:p>
    <w:p w14:paraId="0DB583EB"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Devlin, Marcia. (2015). Low income doesn't mean stupid and destined for failure: Challenging the deficit discourse around students from low SES backgrounds in higher education. </w:t>
      </w:r>
      <w:r w:rsidRPr="000B0156">
        <w:rPr>
          <w:rFonts w:ascii="Times New Roman" w:eastAsia="Times New Roman" w:hAnsi="Times New Roman" w:cs="Times New Roman"/>
          <w:i/>
          <w:iCs/>
          <w:sz w:val="24"/>
          <w:szCs w:val="24"/>
        </w:rPr>
        <w:t>International Journal of Inclusive Education</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20</w:t>
      </w:r>
      <w:r w:rsidRPr="000B0156">
        <w:rPr>
          <w:rFonts w:ascii="Times New Roman" w:eastAsia="Times New Roman" w:hAnsi="Times New Roman" w:cs="Times New Roman"/>
          <w:sz w:val="24"/>
          <w:szCs w:val="24"/>
        </w:rPr>
        <w:t>. 10.1080/13603116.2015.1079273. </w:t>
      </w:r>
    </w:p>
    <w:p w14:paraId="07927B1B" w14:textId="7C7908DE"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Diamond A. (2013). Executive functions. </w:t>
      </w:r>
      <w:r w:rsidRPr="000B0156">
        <w:rPr>
          <w:rFonts w:ascii="Times New Roman" w:eastAsia="Times New Roman" w:hAnsi="Times New Roman" w:cs="Times New Roman"/>
          <w:i/>
          <w:iCs/>
          <w:sz w:val="24"/>
          <w:szCs w:val="24"/>
        </w:rPr>
        <w:t>Annual review of psychology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64</w:t>
      </w:r>
      <w:r w:rsidRPr="000B0156">
        <w:rPr>
          <w:rFonts w:ascii="Times New Roman" w:eastAsia="Times New Roman" w:hAnsi="Times New Roman" w:cs="Times New Roman"/>
          <w:sz w:val="24"/>
          <w:szCs w:val="24"/>
        </w:rPr>
        <w:t>, 135–168.</w:t>
      </w:r>
      <w:r>
        <w:rPr>
          <w:rFonts w:ascii="Times New Roman" w:eastAsia="Times New Roman" w:hAnsi="Times New Roman" w:cs="Times New Roman"/>
          <w:sz w:val="24"/>
          <w:szCs w:val="24"/>
        </w:rPr>
        <w:t xml:space="preserve"> </w:t>
      </w:r>
      <w:hyperlink r:id="rId40" w:history="1">
        <w:r w:rsidRPr="000B0156">
          <w:rPr>
            <w:rStyle w:val="Hyperlink"/>
            <w:rFonts w:ascii="Times New Roman" w:eastAsia="Times New Roman" w:hAnsi="Times New Roman" w:cs="Times New Roman"/>
            <w:sz w:val="24"/>
            <w:szCs w:val="24"/>
          </w:rPr>
          <w:t>https://doi.org/10.1146/annurev-psych-113011-143750</w:t>
        </w:r>
      </w:hyperlink>
      <w:r w:rsidRPr="000B0156">
        <w:rPr>
          <w:rFonts w:ascii="Times New Roman" w:eastAsia="Times New Roman" w:hAnsi="Times New Roman" w:cs="Times New Roman"/>
          <w:sz w:val="24"/>
          <w:szCs w:val="24"/>
        </w:rPr>
        <w:t>. </w:t>
      </w:r>
    </w:p>
    <w:p w14:paraId="19897F25" w14:textId="74A986C3"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Downey, C. &amp; Crummy, A. (2022). The impact of childhood trauma on children's wellbeing and adult behavior. </w:t>
      </w:r>
      <w:r w:rsidRPr="000B0156">
        <w:rPr>
          <w:rFonts w:ascii="Times New Roman" w:eastAsia="Times New Roman" w:hAnsi="Times New Roman" w:cs="Times New Roman"/>
          <w:i/>
          <w:iCs/>
          <w:sz w:val="24"/>
          <w:szCs w:val="24"/>
        </w:rPr>
        <w:t>European Journal of Trauma &amp; Dissociation 6</w:t>
      </w:r>
      <w:r w:rsidRPr="000B0156">
        <w:rPr>
          <w:rFonts w:ascii="Times New Roman" w:eastAsia="Times New Roman" w:hAnsi="Times New Roman" w:cs="Times New Roman"/>
          <w:sz w:val="24"/>
          <w:szCs w:val="24"/>
        </w:rPr>
        <w:t>, (1).</w:t>
      </w:r>
      <w:r w:rsidRPr="000B0156">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w:t>
      </w:r>
      <w:hyperlink r:id="rId41" w:history="1">
        <w:r w:rsidRPr="000B0156">
          <w:rPr>
            <w:rStyle w:val="Hyperlink"/>
            <w:rFonts w:ascii="Times New Roman" w:eastAsia="Times New Roman" w:hAnsi="Times New Roman" w:cs="Times New Roman"/>
            <w:sz w:val="24"/>
            <w:szCs w:val="24"/>
          </w:rPr>
          <w:t>https://doi.org/10.1016/j.ejtd.2021.100237</w:t>
        </w:r>
      </w:hyperlink>
      <w:r w:rsidRPr="000B0156">
        <w:rPr>
          <w:rFonts w:ascii="Times New Roman" w:eastAsia="Times New Roman" w:hAnsi="Times New Roman" w:cs="Times New Roman"/>
          <w:sz w:val="24"/>
          <w:szCs w:val="24"/>
        </w:rPr>
        <w:t>. </w:t>
      </w:r>
    </w:p>
    <w:p w14:paraId="4ADF7B18"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Ejeby</w:t>
      </w:r>
      <w:proofErr w:type="spellEnd"/>
      <w:r w:rsidRPr="000B0156">
        <w:rPr>
          <w:rFonts w:ascii="Times New Roman" w:eastAsia="Times New Roman" w:hAnsi="Times New Roman" w:cs="Times New Roman"/>
          <w:sz w:val="24"/>
          <w:szCs w:val="24"/>
        </w:rPr>
        <w:t xml:space="preserve">, K., </w:t>
      </w:r>
      <w:proofErr w:type="spellStart"/>
      <w:r w:rsidRPr="000B0156">
        <w:rPr>
          <w:rFonts w:ascii="Times New Roman" w:eastAsia="Times New Roman" w:hAnsi="Times New Roman" w:cs="Times New Roman"/>
          <w:sz w:val="24"/>
          <w:szCs w:val="24"/>
        </w:rPr>
        <w:t>Savitskij</w:t>
      </w:r>
      <w:proofErr w:type="spellEnd"/>
      <w:r w:rsidRPr="000B0156">
        <w:rPr>
          <w:rFonts w:ascii="Times New Roman" w:eastAsia="Times New Roman" w:hAnsi="Times New Roman" w:cs="Times New Roman"/>
          <w:sz w:val="24"/>
          <w:szCs w:val="24"/>
        </w:rPr>
        <w:t xml:space="preserve">, R., Ost, L. G., Ekbom, A., Brandt, L., </w:t>
      </w:r>
      <w:proofErr w:type="spellStart"/>
      <w:r w:rsidRPr="000B0156">
        <w:rPr>
          <w:rFonts w:ascii="Times New Roman" w:eastAsia="Times New Roman" w:hAnsi="Times New Roman" w:cs="Times New Roman"/>
          <w:sz w:val="24"/>
          <w:szCs w:val="24"/>
        </w:rPr>
        <w:t>Ramnerö</w:t>
      </w:r>
      <w:proofErr w:type="spellEnd"/>
      <w:r w:rsidRPr="000B0156">
        <w:rPr>
          <w:rFonts w:ascii="Times New Roman" w:eastAsia="Times New Roman" w:hAnsi="Times New Roman" w:cs="Times New Roman"/>
          <w:sz w:val="24"/>
          <w:szCs w:val="24"/>
        </w:rPr>
        <w:t xml:space="preserve">, J., </w:t>
      </w:r>
      <w:proofErr w:type="spellStart"/>
      <w:r w:rsidRPr="000B0156">
        <w:rPr>
          <w:rFonts w:ascii="Times New Roman" w:eastAsia="Times New Roman" w:hAnsi="Times New Roman" w:cs="Times New Roman"/>
          <w:sz w:val="24"/>
          <w:szCs w:val="24"/>
        </w:rPr>
        <w:t>Asberg</w:t>
      </w:r>
      <w:proofErr w:type="spellEnd"/>
      <w:r w:rsidRPr="000B0156">
        <w:rPr>
          <w:rFonts w:ascii="Times New Roman" w:eastAsia="Times New Roman" w:hAnsi="Times New Roman" w:cs="Times New Roman"/>
          <w:sz w:val="24"/>
          <w:szCs w:val="24"/>
        </w:rPr>
        <w:t xml:space="preserve">, M., &amp; Backlund, L. G. (2014). Symptom reduction due to psychosocial interventions is not accompanied by a reduction in sick leave: results from a randomized controlled trial in primary care. </w:t>
      </w:r>
      <w:r w:rsidRPr="000B0156">
        <w:rPr>
          <w:rFonts w:ascii="Times New Roman" w:eastAsia="Times New Roman" w:hAnsi="Times New Roman" w:cs="Times New Roman"/>
          <w:i/>
          <w:iCs/>
          <w:sz w:val="24"/>
          <w:szCs w:val="24"/>
        </w:rPr>
        <w:t>Scandinavian journal of primary health care</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32</w:t>
      </w:r>
      <w:r w:rsidRPr="000B0156">
        <w:rPr>
          <w:rFonts w:ascii="Times New Roman" w:eastAsia="Times New Roman" w:hAnsi="Times New Roman" w:cs="Times New Roman"/>
          <w:sz w:val="24"/>
          <w:szCs w:val="24"/>
        </w:rPr>
        <w:t xml:space="preserve">(2), 67–72. </w:t>
      </w:r>
      <w:hyperlink r:id="rId42" w:tgtFrame="_blank" w:history="1">
        <w:r w:rsidRPr="000B0156">
          <w:rPr>
            <w:rStyle w:val="Hyperlink"/>
            <w:rFonts w:ascii="Times New Roman" w:eastAsia="Times New Roman" w:hAnsi="Times New Roman" w:cs="Times New Roman"/>
            <w:sz w:val="24"/>
            <w:szCs w:val="24"/>
          </w:rPr>
          <w:t>https://doi.org/10.3109/02813432.2014.909163</w:t>
        </w:r>
      </w:hyperlink>
      <w:r w:rsidRPr="000B0156">
        <w:rPr>
          <w:rFonts w:ascii="Times New Roman" w:eastAsia="Times New Roman" w:hAnsi="Times New Roman" w:cs="Times New Roman"/>
          <w:sz w:val="24"/>
          <w:szCs w:val="24"/>
        </w:rPr>
        <w:t>. </w:t>
      </w:r>
    </w:p>
    <w:p w14:paraId="7A821A96" w14:textId="6F2A2A5A"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Engel, C. C., Oxman, T., Yamamoto, C., Gould, D., Barry, S., Stewart, P., Kroenke, K., Williams, J. W., Jr, &amp; Dietrich, A. J. (2008). RESPECT-Mil: feasibility of a systems-level collaborative care approach to depression and post-traumatic stress disorder in military primary care. </w:t>
      </w:r>
      <w:r w:rsidRPr="000B0156">
        <w:rPr>
          <w:rFonts w:ascii="Times New Roman" w:eastAsia="Times New Roman" w:hAnsi="Times New Roman" w:cs="Times New Roman"/>
          <w:i/>
          <w:iCs/>
          <w:sz w:val="24"/>
          <w:szCs w:val="24"/>
        </w:rPr>
        <w:t>Military medicine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173</w:t>
      </w:r>
      <w:r w:rsidRPr="000B0156">
        <w:rPr>
          <w:rFonts w:ascii="Times New Roman" w:eastAsia="Times New Roman" w:hAnsi="Times New Roman" w:cs="Times New Roman"/>
          <w:sz w:val="24"/>
          <w:szCs w:val="24"/>
        </w:rPr>
        <w:t>(10), 935–940.</w:t>
      </w:r>
      <w:r>
        <w:rPr>
          <w:rFonts w:ascii="Times New Roman" w:eastAsia="Times New Roman" w:hAnsi="Times New Roman" w:cs="Times New Roman"/>
          <w:sz w:val="24"/>
          <w:szCs w:val="24"/>
        </w:rPr>
        <w:t xml:space="preserve"> </w:t>
      </w:r>
      <w:hyperlink r:id="rId43" w:history="1">
        <w:r w:rsidRPr="000B0156">
          <w:rPr>
            <w:rStyle w:val="Hyperlink"/>
            <w:rFonts w:ascii="Times New Roman" w:eastAsia="Times New Roman" w:hAnsi="Times New Roman" w:cs="Times New Roman"/>
            <w:sz w:val="24"/>
            <w:szCs w:val="24"/>
          </w:rPr>
          <w:t>https://doi.org/10.7205/milmed.173.10.935</w:t>
        </w:r>
      </w:hyperlink>
      <w:r w:rsidRPr="000B0156">
        <w:rPr>
          <w:rFonts w:ascii="Times New Roman" w:eastAsia="Times New Roman" w:hAnsi="Times New Roman" w:cs="Times New Roman"/>
          <w:sz w:val="24"/>
          <w:szCs w:val="24"/>
        </w:rPr>
        <w:t>. </w:t>
      </w:r>
    </w:p>
    <w:p w14:paraId="6C42E8A5" w14:textId="6B7CD28D"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Fattouh, N., </w:t>
      </w:r>
      <w:proofErr w:type="spellStart"/>
      <w:r w:rsidRPr="000B0156">
        <w:rPr>
          <w:rFonts w:ascii="Times New Roman" w:eastAsia="Times New Roman" w:hAnsi="Times New Roman" w:cs="Times New Roman"/>
          <w:sz w:val="24"/>
          <w:szCs w:val="24"/>
        </w:rPr>
        <w:t>Hallit</w:t>
      </w:r>
      <w:proofErr w:type="spellEnd"/>
      <w:r w:rsidRPr="000B0156">
        <w:rPr>
          <w:rFonts w:ascii="Times New Roman" w:eastAsia="Times New Roman" w:hAnsi="Times New Roman" w:cs="Times New Roman"/>
          <w:sz w:val="24"/>
          <w:szCs w:val="24"/>
        </w:rPr>
        <w:t xml:space="preserve">, S., Salameh, P., </w:t>
      </w:r>
      <w:proofErr w:type="spellStart"/>
      <w:r w:rsidRPr="000B0156">
        <w:rPr>
          <w:rFonts w:ascii="Times New Roman" w:eastAsia="Times New Roman" w:hAnsi="Times New Roman" w:cs="Times New Roman"/>
          <w:sz w:val="24"/>
          <w:szCs w:val="24"/>
        </w:rPr>
        <w:t>Choueiry</w:t>
      </w:r>
      <w:proofErr w:type="spellEnd"/>
      <w:r w:rsidRPr="000B0156">
        <w:rPr>
          <w:rFonts w:ascii="Times New Roman" w:eastAsia="Times New Roman" w:hAnsi="Times New Roman" w:cs="Times New Roman"/>
          <w:sz w:val="24"/>
          <w:szCs w:val="24"/>
        </w:rPr>
        <w:t xml:space="preserve">, G., </w:t>
      </w:r>
      <w:proofErr w:type="spellStart"/>
      <w:r w:rsidRPr="000B0156">
        <w:rPr>
          <w:rFonts w:ascii="Times New Roman" w:eastAsia="Times New Roman" w:hAnsi="Times New Roman" w:cs="Times New Roman"/>
          <w:sz w:val="24"/>
          <w:szCs w:val="24"/>
        </w:rPr>
        <w:t>Kazour</w:t>
      </w:r>
      <w:proofErr w:type="spellEnd"/>
      <w:r w:rsidRPr="000B0156">
        <w:rPr>
          <w:rFonts w:ascii="Times New Roman" w:eastAsia="Times New Roman" w:hAnsi="Times New Roman" w:cs="Times New Roman"/>
          <w:sz w:val="24"/>
          <w:szCs w:val="24"/>
        </w:rPr>
        <w:t xml:space="preserve">, F., &amp; </w:t>
      </w:r>
      <w:proofErr w:type="spellStart"/>
      <w:r w:rsidRPr="000B0156">
        <w:rPr>
          <w:rFonts w:ascii="Times New Roman" w:eastAsia="Times New Roman" w:hAnsi="Times New Roman" w:cs="Times New Roman"/>
          <w:sz w:val="24"/>
          <w:szCs w:val="24"/>
        </w:rPr>
        <w:t>Hallit</w:t>
      </w:r>
      <w:proofErr w:type="spellEnd"/>
      <w:r w:rsidRPr="000B0156">
        <w:rPr>
          <w:rFonts w:ascii="Times New Roman" w:eastAsia="Times New Roman" w:hAnsi="Times New Roman" w:cs="Times New Roman"/>
          <w:sz w:val="24"/>
          <w:szCs w:val="24"/>
        </w:rPr>
        <w:t>, R. (2019). Prevalence and factors affecting the level of depression, anxiety, and stress in hospitalized patients with a chronic disease. </w:t>
      </w:r>
      <w:r w:rsidRPr="000B0156">
        <w:rPr>
          <w:rFonts w:ascii="Times New Roman" w:eastAsia="Times New Roman" w:hAnsi="Times New Roman" w:cs="Times New Roman"/>
          <w:i/>
          <w:iCs/>
          <w:sz w:val="24"/>
          <w:szCs w:val="24"/>
        </w:rPr>
        <w:t>Perspectives in Psychiatric Care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55</w:t>
      </w:r>
      <w:r w:rsidRPr="000B0156">
        <w:rPr>
          <w:rFonts w:ascii="Times New Roman" w:eastAsia="Times New Roman" w:hAnsi="Times New Roman" w:cs="Times New Roman"/>
          <w:sz w:val="24"/>
          <w:szCs w:val="24"/>
        </w:rPr>
        <w:t xml:space="preserve">(4), 592–599. </w:t>
      </w:r>
      <w:hyperlink r:id="rId44" w:history="1">
        <w:r w:rsidRPr="000B0156">
          <w:rPr>
            <w:rStyle w:val="Hyperlink"/>
            <w:rFonts w:ascii="Times New Roman" w:eastAsia="Times New Roman" w:hAnsi="Times New Roman" w:cs="Times New Roman"/>
            <w:sz w:val="24"/>
            <w:szCs w:val="24"/>
          </w:rPr>
          <w:t>https://doi</w:t>
        </w:r>
      </w:hyperlink>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u w:val="single"/>
        </w:rPr>
        <w:t>org.ezproxy.lib.vt.edu/10.1111/ppc.12369</w:t>
      </w:r>
      <w:r w:rsidRPr="000B0156">
        <w:rPr>
          <w:rFonts w:ascii="Times New Roman" w:eastAsia="Times New Roman" w:hAnsi="Times New Roman" w:cs="Times New Roman"/>
          <w:sz w:val="24"/>
          <w:szCs w:val="24"/>
        </w:rPr>
        <w:t>. </w:t>
      </w:r>
    </w:p>
    <w:p w14:paraId="5DE40165" w14:textId="3CF39D8F"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Fink, D. S., &amp; Galea, S. (2015). Life course epidemiology of trauma and related</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psychopathology in civilian populations. </w:t>
      </w:r>
      <w:r w:rsidRPr="000B0156">
        <w:rPr>
          <w:rFonts w:ascii="Times New Roman" w:eastAsia="Times New Roman" w:hAnsi="Times New Roman" w:cs="Times New Roman"/>
          <w:i/>
          <w:iCs/>
          <w:sz w:val="24"/>
          <w:szCs w:val="24"/>
        </w:rPr>
        <w:t>Current psychiatry reports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17</w:t>
      </w:r>
      <w:r w:rsidRPr="000B0156">
        <w:rPr>
          <w:rFonts w:ascii="Times New Roman" w:eastAsia="Times New Roman" w:hAnsi="Times New Roman" w:cs="Times New Roman"/>
          <w:sz w:val="24"/>
          <w:szCs w:val="24"/>
        </w:rPr>
        <w:t>(5), 31.</w:t>
      </w:r>
      <w:r>
        <w:rPr>
          <w:rFonts w:ascii="Times New Roman" w:eastAsia="Times New Roman" w:hAnsi="Times New Roman" w:cs="Times New Roman"/>
          <w:sz w:val="24"/>
          <w:szCs w:val="24"/>
        </w:rPr>
        <w:t xml:space="preserve"> </w:t>
      </w:r>
      <w:hyperlink r:id="rId45" w:history="1">
        <w:r w:rsidRPr="000B0156">
          <w:rPr>
            <w:rStyle w:val="Hyperlink"/>
            <w:rFonts w:ascii="Times New Roman" w:eastAsia="Times New Roman" w:hAnsi="Times New Roman" w:cs="Times New Roman"/>
            <w:sz w:val="24"/>
            <w:szCs w:val="24"/>
          </w:rPr>
          <w:t>https://doi.org/10.1007/s11920-015-0566-0</w:t>
        </w:r>
      </w:hyperlink>
      <w:r w:rsidRPr="000B0156">
        <w:rPr>
          <w:rFonts w:ascii="Times New Roman" w:eastAsia="Times New Roman" w:hAnsi="Times New Roman" w:cs="Times New Roman"/>
          <w:sz w:val="24"/>
          <w:szCs w:val="24"/>
        </w:rPr>
        <w:t>. </w:t>
      </w:r>
    </w:p>
    <w:p w14:paraId="0F16587C" w14:textId="09AF45D8"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Foa, E. B., &amp; Kozak, M. J. (1986). Emotional processing of fear: exposure to corrective</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information. </w:t>
      </w:r>
      <w:r w:rsidRPr="000B0156">
        <w:rPr>
          <w:rFonts w:ascii="Times New Roman" w:eastAsia="Times New Roman" w:hAnsi="Times New Roman" w:cs="Times New Roman"/>
          <w:i/>
          <w:iCs/>
          <w:sz w:val="24"/>
          <w:szCs w:val="24"/>
        </w:rPr>
        <w:t>Psychological bulletin</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99</w:t>
      </w:r>
      <w:r w:rsidRPr="000B0156">
        <w:rPr>
          <w:rFonts w:ascii="Times New Roman" w:eastAsia="Times New Roman" w:hAnsi="Times New Roman" w:cs="Times New Roman"/>
          <w:sz w:val="24"/>
          <w:szCs w:val="24"/>
        </w:rPr>
        <w:t>(1), 20. </w:t>
      </w:r>
    </w:p>
    <w:p w14:paraId="674D49E3" w14:textId="5EE43BF0"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Fox, V., Dalman, C., Dal, H., Hollander, A. C., Kirkbride, J. B., &amp; Pitman, A. (2021). Suicide risk in people with post-traumatic stress disorder: A cohort study of 3.1 million people in Sweden. </w:t>
      </w:r>
      <w:r w:rsidRPr="000B0156">
        <w:rPr>
          <w:rFonts w:ascii="Times New Roman" w:eastAsia="Times New Roman" w:hAnsi="Times New Roman" w:cs="Times New Roman"/>
          <w:i/>
          <w:iCs/>
          <w:sz w:val="24"/>
          <w:szCs w:val="24"/>
        </w:rPr>
        <w:t>Journal of affective disorders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279</w:t>
      </w:r>
      <w:r w:rsidRPr="000B0156">
        <w:rPr>
          <w:rFonts w:ascii="Times New Roman" w:eastAsia="Times New Roman" w:hAnsi="Times New Roman" w:cs="Times New Roman"/>
          <w:sz w:val="24"/>
          <w:szCs w:val="24"/>
        </w:rPr>
        <w:t>, 609–616.</w:t>
      </w:r>
      <w:r>
        <w:rPr>
          <w:rFonts w:ascii="Times New Roman" w:eastAsia="Times New Roman" w:hAnsi="Times New Roman" w:cs="Times New Roman"/>
          <w:sz w:val="24"/>
          <w:szCs w:val="24"/>
        </w:rPr>
        <w:t xml:space="preserve"> </w:t>
      </w:r>
      <w:hyperlink r:id="rId46" w:history="1">
        <w:r w:rsidRPr="000B0156">
          <w:rPr>
            <w:rStyle w:val="Hyperlink"/>
            <w:rFonts w:ascii="Times New Roman" w:eastAsia="Times New Roman" w:hAnsi="Times New Roman" w:cs="Times New Roman"/>
            <w:sz w:val="24"/>
            <w:szCs w:val="24"/>
          </w:rPr>
          <w:t>https://doi.org/10.1016/j.jad.2020.10.009</w:t>
        </w:r>
      </w:hyperlink>
      <w:r w:rsidRPr="000B0156">
        <w:rPr>
          <w:rFonts w:ascii="Times New Roman" w:eastAsia="Times New Roman" w:hAnsi="Times New Roman" w:cs="Times New Roman"/>
          <w:sz w:val="24"/>
          <w:szCs w:val="24"/>
        </w:rPr>
        <w:t>. </w:t>
      </w:r>
    </w:p>
    <w:p w14:paraId="1B187630" w14:textId="4E0B4DBC"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Friedman, N. P., Miyake, A., Corley, R. P., Young, S. E., DeFries, J. C., &amp; Hewitt, J. K. (2006). Not All Executive Functions Are Related to Intelligence. </w:t>
      </w:r>
      <w:r w:rsidRPr="000B0156">
        <w:rPr>
          <w:rFonts w:ascii="Times New Roman" w:eastAsia="Times New Roman" w:hAnsi="Times New Roman" w:cs="Times New Roman"/>
          <w:i/>
          <w:iCs/>
          <w:sz w:val="24"/>
          <w:szCs w:val="24"/>
        </w:rPr>
        <w:t>Psychological Science (0956 7976)</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17</w:t>
      </w:r>
      <w:r w:rsidRPr="000B0156">
        <w:rPr>
          <w:rFonts w:ascii="Times New Roman" w:eastAsia="Times New Roman" w:hAnsi="Times New Roman" w:cs="Times New Roman"/>
          <w:sz w:val="24"/>
          <w:szCs w:val="24"/>
        </w:rPr>
        <w:t xml:space="preserve">(2), 172–179. </w:t>
      </w:r>
      <w:hyperlink r:id="rId47" w:history="1">
        <w:r w:rsidRPr="000B0156">
          <w:rPr>
            <w:rStyle w:val="Hyperlink"/>
            <w:rFonts w:ascii="Times New Roman" w:eastAsia="Times New Roman" w:hAnsi="Times New Roman" w:cs="Times New Roman"/>
            <w:sz w:val="24"/>
            <w:szCs w:val="24"/>
          </w:rPr>
          <w:t>https://doi</w:t>
        </w:r>
      </w:hyperlink>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u w:val="single"/>
        </w:rPr>
        <w:t>org.ezproxy.lib.vt.edu/10.1111/j.14679280.2006.</w:t>
      </w:r>
      <w:proofErr w:type="gramStart"/>
      <w:r w:rsidRPr="000B0156">
        <w:rPr>
          <w:rFonts w:ascii="Times New Roman" w:eastAsia="Times New Roman" w:hAnsi="Times New Roman" w:cs="Times New Roman"/>
          <w:sz w:val="24"/>
          <w:szCs w:val="24"/>
          <w:u w:val="single"/>
        </w:rPr>
        <w:t>01681.x</w:t>
      </w:r>
      <w:r w:rsidRPr="000B0156">
        <w:rPr>
          <w:rFonts w:ascii="Times New Roman" w:eastAsia="Times New Roman" w:hAnsi="Times New Roman" w:cs="Times New Roman"/>
          <w:sz w:val="24"/>
          <w:szCs w:val="24"/>
        </w:rPr>
        <w:t>.</w:t>
      </w:r>
      <w:proofErr w:type="gramEnd"/>
      <w:r w:rsidRPr="000B0156">
        <w:rPr>
          <w:rFonts w:ascii="Times New Roman" w:eastAsia="Times New Roman" w:hAnsi="Times New Roman" w:cs="Times New Roman"/>
          <w:sz w:val="24"/>
          <w:szCs w:val="24"/>
        </w:rPr>
        <w:t> </w:t>
      </w:r>
    </w:p>
    <w:p w14:paraId="147AD86C" w14:textId="59538E33"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Garland, E. L., Fredrickson, B., Kring, A. M., Johnson, D. P., Meyer, P. S., &amp; Penn, D. L. (2010). Upward spirals of positive emotions counter downward spirals of negativity: insights from the broaden-and-build theory and affective neuroscience on the treatment of</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emotion dysfunctions and deficits in psychopathology. </w:t>
      </w:r>
      <w:r w:rsidRPr="000B0156">
        <w:rPr>
          <w:rFonts w:ascii="Times New Roman" w:eastAsia="Times New Roman" w:hAnsi="Times New Roman" w:cs="Times New Roman"/>
          <w:i/>
          <w:iCs/>
          <w:sz w:val="24"/>
          <w:szCs w:val="24"/>
        </w:rPr>
        <w:t>Clinical psychology review</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30</w:t>
      </w:r>
      <w:r w:rsidRPr="000B0156">
        <w:rPr>
          <w:rFonts w:ascii="Times New Roman" w:eastAsia="Times New Roman" w:hAnsi="Times New Roman" w:cs="Times New Roman"/>
          <w:sz w:val="24"/>
          <w:szCs w:val="24"/>
        </w:rPr>
        <w:t xml:space="preserve">(7), 849–864. </w:t>
      </w:r>
      <w:hyperlink r:id="rId48" w:tgtFrame="_blank" w:history="1">
        <w:r w:rsidRPr="000B0156">
          <w:rPr>
            <w:rStyle w:val="Hyperlink"/>
            <w:rFonts w:ascii="Times New Roman" w:eastAsia="Times New Roman" w:hAnsi="Times New Roman" w:cs="Times New Roman"/>
            <w:sz w:val="24"/>
            <w:szCs w:val="24"/>
          </w:rPr>
          <w:t>https://doi.org/10.1016/j.cpr.2010.03.002</w:t>
        </w:r>
      </w:hyperlink>
      <w:r w:rsidRPr="000B0156">
        <w:rPr>
          <w:rFonts w:ascii="Times New Roman" w:eastAsia="Times New Roman" w:hAnsi="Times New Roman" w:cs="Times New Roman"/>
          <w:sz w:val="24"/>
          <w:szCs w:val="24"/>
        </w:rPr>
        <w:t>. </w:t>
      </w:r>
    </w:p>
    <w:p w14:paraId="47CD5790" w14:textId="1B831C0B"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lastRenderedPageBreak/>
        <w:t>Garmezy</w:t>
      </w:r>
      <w:proofErr w:type="spellEnd"/>
      <w:r w:rsidRPr="000B0156">
        <w:rPr>
          <w:rFonts w:ascii="Times New Roman" w:eastAsia="Times New Roman" w:hAnsi="Times New Roman" w:cs="Times New Roman"/>
          <w:sz w:val="24"/>
          <w:szCs w:val="24"/>
        </w:rPr>
        <w:t xml:space="preserve">, N. (1993). Vulnerability and resilience. </w:t>
      </w:r>
      <w:r w:rsidRPr="000B0156">
        <w:rPr>
          <w:rFonts w:ascii="Times New Roman" w:eastAsia="Times New Roman" w:hAnsi="Times New Roman" w:cs="Times New Roman"/>
          <w:i/>
          <w:iCs/>
          <w:sz w:val="24"/>
          <w:szCs w:val="24"/>
        </w:rPr>
        <w:t>Studying lives through time: Personality and development</w:t>
      </w:r>
      <w:r w:rsidRPr="000B0156">
        <w:rPr>
          <w:rFonts w:ascii="Times New Roman" w:eastAsia="Times New Roman" w:hAnsi="Times New Roman" w:cs="Times New Roman"/>
          <w:sz w:val="24"/>
          <w:szCs w:val="24"/>
        </w:rPr>
        <w:t> (pp. 377–398). American Psychological</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Association. </w:t>
      </w:r>
      <w:hyperlink r:id="rId49" w:tgtFrame="_blank" w:history="1">
        <w:r w:rsidRPr="000B0156">
          <w:rPr>
            <w:rStyle w:val="Hyperlink"/>
            <w:rFonts w:ascii="Times New Roman" w:eastAsia="Times New Roman" w:hAnsi="Times New Roman" w:cs="Times New Roman"/>
            <w:sz w:val="24"/>
            <w:szCs w:val="24"/>
          </w:rPr>
          <w:t>https://doi.org/10.1037/10127-032</w:t>
        </w:r>
      </w:hyperlink>
      <w:r w:rsidRPr="000B0156">
        <w:rPr>
          <w:rFonts w:ascii="Times New Roman" w:eastAsia="Times New Roman" w:hAnsi="Times New Roman" w:cs="Times New Roman"/>
          <w:sz w:val="24"/>
          <w:szCs w:val="24"/>
        </w:rPr>
        <w:t> </w:t>
      </w:r>
    </w:p>
    <w:p w14:paraId="2BA50F39" w14:textId="77D9E0D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Goff, B. S., Reisbig, A. M., Bole, A., Scheer, T., Hayes, E., Archuleta, K. L., Henry, S. B., Hoheisel, C. B., Nye, B., Osby, J., Sanders-Hahs, E., Schwerdtfeger, K. L., &amp; Smith, D. B. (2006). The effects of trauma on intimate relationships: a qualitative study with</w:t>
      </w:r>
      <w:r w:rsidRPr="000B0156">
        <w:rPr>
          <w:rFonts w:ascii="Times New Roman" w:eastAsia="Times New Roman" w:hAnsi="Times New Roman" w:cs="Times New Roman"/>
          <w:sz w:val="24"/>
          <w:szCs w:val="24"/>
        </w:rPr>
        <w:tab/>
        <w:t xml:space="preserve"> clinical couples. </w:t>
      </w:r>
      <w:r w:rsidRPr="000B0156">
        <w:rPr>
          <w:rFonts w:ascii="Times New Roman" w:eastAsia="Times New Roman" w:hAnsi="Times New Roman" w:cs="Times New Roman"/>
          <w:i/>
          <w:iCs/>
          <w:sz w:val="24"/>
          <w:szCs w:val="24"/>
        </w:rPr>
        <w:t>The American journal of orthopsychiatry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76</w:t>
      </w:r>
      <w:r w:rsidRPr="000B0156">
        <w:rPr>
          <w:rFonts w:ascii="Times New Roman" w:eastAsia="Times New Roman" w:hAnsi="Times New Roman" w:cs="Times New Roman"/>
          <w:sz w:val="24"/>
          <w:szCs w:val="24"/>
        </w:rPr>
        <w:t>(4), 451–460.</w:t>
      </w:r>
      <w:r>
        <w:rPr>
          <w:rFonts w:ascii="Times New Roman" w:eastAsia="Times New Roman" w:hAnsi="Times New Roman" w:cs="Times New Roman"/>
          <w:sz w:val="24"/>
          <w:szCs w:val="24"/>
        </w:rPr>
        <w:t xml:space="preserve"> </w:t>
      </w:r>
      <w:hyperlink r:id="rId50" w:history="1">
        <w:r w:rsidRPr="000B0156">
          <w:rPr>
            <w:rStyle w:val="Hyperlink"/>
            <w:rFonts w:ascii="Times New Roman" w:eastAsia="Times New Roman" w:hAnsi="Times New Roman" w:cs="Times New Roman"/>
            <w:sz w:val="24"/>
            <w:szCs w:val="24"/>
          </w:rPr>
          <w:t>https://doi.org/10.1037/0002-9432.76.4.451</w:t>
        </w:r>
      </w:hyperlink>
      <w:r w:rsidRPr="000B0156">
        <w:rPr>
          <w:rFonts w:ascii="Times New Roman" w:eastAsia="Times New Roman" w:hAnsi="Times New Roman" w:cs="Times New Roman"/>
          <w:sz w:val="24"/>
          <w:szCs w:val="24"/>
        </w:rPr>
        <w:t>. </w:t>
      </w:r>
    </w:p>
    <w:p w14:paraId="7645C45D" w14:textId="5CFA5903"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Goldsmith, R. E., Martin, C. G., &amp; Smith, C. P. (2014). Systemic trauma. </w:t>
      </w:r>
      <w:r w:rsidRPr="000B0156">
        <w:rPr>
          <w:rFonts w:ascii="Times New Roman" w:eastAsia="Times New Roman" w:hAnsi="Times New Roman" w:cs="Times New Roman"/>
          <w:i/>
          <w:iCs/>
          <w:sz w:val="24"/>
          <w:szCs w:val="24"/>
        </w:rPr>
        <w:t>Journal of trauma &amp; dissociation: the official journal of the International Society for the Study of Dissociation (ISSD)</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15</w:t>
      </w:r>
      <w:r w:rsidRPr="000B0156">
        <w:rPr>
          <w:rFonts w:ascii="Times New Roman" w:eastAsia="Times New Roman" w:hAnsi="Times New Roman" w:cs="Times New Roman"/>
          <w:sz w:val="24"/>
          <w:szCs w:val="24"/>
        </w:rPr>
        <w:t xml:space="preserve">(2), 117–132. </w:t>
      </w:r>
      <w:hyperlink r:id="rId51" w:tgtFrame="_blank" w:history="1">
        <w:r w:rsidRPr="000B0156">
          <w:rPr>
            <w:rStyle w:val="Hyperlink"/>
            <w:rFonts w:ascii="Times New Roman" w:eastAsia="Times New Roman" w:hAnsi="Times New Roman" w:cs="Times New Roman"/>
            <w:sz w:val="24"/>
            <w:szCs w:val="24"/>
          </w:rPr>
          <w:t>https://doi.org/10.1080/15299732.2014.871666</w:t>
        </w:r>
      </w:hyperlink>
      <w:r w:rsidRPr="000B0156">
        <w:rPr>
          <w:rFonts w:ascii="Times New Roman" w:eastAsia="Times New Roman" w:hAnsi="Times New Roman" w:cs="Times New Roman"/>
          <w:sz w:val="24"/>
          <w:szCs w:val="24"/>
        </w:rPr>
        <w:t>. </w:t>
      </w:r>
    </w:p>
    <w:p w14:paraId="6D8B08A3" w14:textId="72F5DBB3"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Goodman, R. D., Vesely, C. K., </w:t>
      </w:r>
      <w:proofErr w:type="spellStart"/>
      <w:r w:rsidRPr="000B0156">
        <w:rPr>
          <w:rFonts w:ascii="Times New Roman" w:eastAsia="Times New Roman" w:hAnsi="Times New Roman" w:cs="Times New Roman"/>
          <w:sz w:val="24"/>
          <w:szCs w:val="24"/>
        </w:rPr>
        <w:t>Letiecq</w:t>
      </w:r>
      <w:proofErr w:type="spellEnd"/>
      <w:r w:rsidRPr="000B0156">
        <w:rPr>
          <w:rFonts w:ascii="Times New Roman" w:eastAsia="Times New Roman" w:hAnsi="Times New Roman" w:cs="Times New Roman"/>
          <w:sz w:val="24"/>
          <w:szCs w:val="24"/>
        </w:rPr>
        <w:t>, B., &amp; Cleaveland, C. L. (2017). Trauma and Resilience Among Refugee and Undocumented Immigrant Women. Journal of Counseling &amp;</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 xml:space="preserve">Development, 95(3), 309–321. </w:t>
      </w:r>
      <w:hyperlink r:id="rId52" w:tgtFrame="_blank" w:history="1">
        <w:r w:rsidRPr="000B0156">
          <w:rPr>
            <w:rStyle w:val="Hyperlink"/>
            <w:rFonts w:ascii="Times New Roman" w:eastAsia="Times New Roman" w:hAnsi="Times New Roman" w:cs="Times New Roman"/>
            <w:sz w:val="24"/>
            <w:szCs w:val="24"/>
          </w:rPr>
          <w:t>https://doi-org.ezproxy.lib.vt.edu/10.1002/jcad.12145</w:t>
        </w:r>
      </w:hyperlink>
      <w:r w:rsidRPr="000B0156">
        <w:rPr>
          <w:rFonts w:ascii="Times New Roman" w:eastAsia="Times New Roman" w:hAnsi="Times New Roman" w:cs="Times New Roman"/>
          <w:sz w:val="24"/>
          <w:szCs w:val="24"/>
        </w:rPr>
        <w:t>. </w:t>
      </w:r>
    </w:p>
    <w:p w14:paraId="09D741F0" w14:textId="35166B8F"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Green, B. L., Goodman, L. A., Krupnick, J. L., Corcoran, C. B., Petty, R. M., Stockton, P., &amp; Stern, N. M. (2000). Outcomes of Single Versus Multiple Trauma Exposure in a</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Screening Sample. </w:t>
      </w:r>
      <w:r w:rsidRPr="000B0156">
        <w:rPr>
          <w:rFonts w:ascii="Times New Roman" w:eastAsia="Times New Roman" w:hAnsi="Times New Roman" w:cs="Times New Roman"/>
          <w:i/>
          <w:iCs/>
          <w:sz w:val="24"/>
          <w:szCs w:val="24"/>
        </w:rPr>
        <w:t>Journal of Traumatic Stress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13</w:t>
      </w:r>
      <w:r w:rsidRPr="000B0156">
        <w:rPr>
          <w:rFonts w:ascii="Times New Roman" w:eastAsia="Times New Roman" w:hAnsi="Times New Roman" w:cs="Times New Roman"/>
          <w:sz w:val="24"/>
          <w:szCs w:val="24"/>
        </w:rPr>
        <w:t>(2), 271.</w:t>
      </w:r>
      <w:r>
        <w:rPr>
          <w:rFonts w:ascii="Times New Roman" w:eastAsia="Times New Roman" w:hAnsi="Times New Roman" w:cs="Times New Roman"/>
          <w:sz w:val="24"/>
          <w:szCs w:val="24"/>
        </w:rPr>
        <w:t xml:space="preserve"> </w:t>
      </w:r>
      <w:hyperlink r:id="rId53" w:history="1">
        <w:r w:rsidRPr="000B0156">
          <w:rPr>
            <w:rStyle w:val="Hyperlink"/>
            <w:rFonts w:ascii="Times New Roman" w:eastAsia="Times New Roman" w:hAnsi="Times New Roman" w:cs="Times New Roman"/>
            <w:sz w:val="24"/>
            <w:szCs w:val="24"/>
          </w:rPr>
          <w:t>https://doi.org.ezproxy.lib.vt.edu/10.1023/A:100775871193</w:t>
        </w:r>
      </w:hyperlink>
      <w:r w:rsidRPr="000B0156">
        <w:rPr>
          <w:rFonts w:ascii="Times New Roman" w:eastAsia="Times New Roman" w:hAnsi="Times New Roman" w:cs="Times New Roman"/>
          <w:sz w:val="24"/>
          <w:szCs w:val="24"/>
        </w:rPr>
        <w:t>. </w:t>
      </w:r>
    </w:p>
    <w:p w14:paraId="22095D3F" w14:textId="01E2E7DC"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Green, G. P. &amp; Haines, A. (2008). Asset Building and Community Development (2</w:t>
      </w:r>
      <w:r w:rsidRPr="000B0156">
        <w:rPr>
          <w:rFonts w:ascii="Times New Roman" w:eastAsia="Times New Roman" w:hAnsi="Times New Roman" w:cs="Times New Roman"/>
          <w:sz w:val="24"/>
          <w:szCs w:val="24"/>
          <w:vertAlign w:val="superscript"/>
        </w:rPr>
        <w:t>nd</w:t>
      </w:r>
      <w:r w:rsidRPr="000B0156">
        <w:rPr>
          <w:rFonts w:ascii="Times New Roman" w:eastAsia="Times New Roman" w:hAnsi="Times New Roman" w:cs="Times New Roman"/>
          <w:sz w:val="24"/>
          <w:szCs w:val="24"/>
        </w:rPr>
        <w:t xml:space="preserve"> ed).</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 xml:space="preserve">Thousand Oaks, CA: </w:t>
      </w:r>
      <w:r w:rsidRPr="000B0156">
        <w:rPr>
          <w:rFonts w:ascii="Times New Roman" w:eastAsia="Times New Roman" w:hAnsi="Times New Roman" w:cs="Times New Roman"/>
          <w:i/>
          <w:iCs/>
          <w:sz w:val="24"/>
          <w:szCs w:val="24"/>
        </w:rPr>
        <w:t>Sage Publications</w:t>
      </w:r>
      <w:r w:rsidRPr="000B0156">
        <w:rPr>
          <w:rFonts w:ascii="Times New Roman" w:eastAsia="Times New Roman" w:hAnsi="Times New Roman" w:cs="Times New Roman"/>
          <w:sz w:val="24"/>
          <w:szCs w:val="24"/>
        </w:rPr>
        <w:t>, ISBN: 9781-4129-5134-0, 301. </w:t>
      </w:r>
    </w:p>
    <w:p w14:paraId="5C4AF12F"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Greene, R. R. (2002). Holocaust survivors: A study in resilience. </w:t>
      </w:r>
      <w:r w:rsidRPr="000B0156">
        <w:rPr>
          <w:rFonts w:ascii="Times New Roman" w:eastAsia="Times New Roman" w:hAnsi="Times New Roman" w:cs="Times New Roman"/>
          <w:i/>
          <w:iCs/>
          <w:sz w:val="24"/>
          <w:szCs w:val="24"/>
        </w:rPr>
        <w:t>Journal of Gerontological Social Work</w:t>
      </w:r>
      <w:r w:rsidRPr="000B0156">
        <w:rPr>
          <w:rFonts w:ascii="Times New Roman" w:eastAsia="Times New Roman" w:hAnsi="Times New Roman" w:cs="Times New Roman"/>
          <w:sz w:val="24"/>
          <w:szCs w:val="24"/>
        </w:rPr>
        <w:t>, 37(1), 3–18. </w:t>
      </w:r>
    </w:p>
    <w:p w14:paraId="421373DD" w14:textId="1DF9E790"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Gupta, M. A., Jarosz, P., &amp; Gupta, A. K. (2017). Posttraumatic stress disorder (PTSD) and the dermatology patient. </w:t>
      </w:r>
      <w:r w:rsidRPr="000B0156">
        <w:rPr>
          <w:rFonts w:ascii="Times New Roman" w:eastAsia="Times New Roman" w:hAnsi="Times New Roman" w:cs="Times New Roman"/>
          <w:i/>
          <w:iCs/>
          <w:sz w:val="24"/>
          <w:szCs w:val="24"/>
        </w:rPr>
        <w:t>Clinics in dermatology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35</w:t>
      </w:r>
      <w:r w:rsidRPr="000B0156">
        <w:rPr>
          <w:rFonts w:ascii="Times New Roman" w:eastAsia="Times New Roman" w:hAnsi="Times New Roman" w:cs="Times New Roman"/>
          <w:sz w:val="24"/>
          <w:szCs w:val="24"/>
        </w:rPr>
        <w:t>(3), 260–266.</w:t>
      </w:r>
      <w:r>
        <w:rPr>
          <w:rFonts w:ascii="Times New Roman" w:eastAsia="Times New Roman" w:hAnsi="Times New Roman" w:cs="Times New Roman"/>
          <w:sz w:val="24"/>
          <w:szCs w:val="24"/>
        </w:rPr>
        <w:t xml:space="preserve"> </w:t>
      </w:r>
      <w:hyperlink r:id="rId54" w:history="1">
        <w:r w:rsidRPr="000B0156">
          <w:rPr>
            <w:rStyle w:val="Hyperlink"/>
            <w:rFonts w:ascii="Times New Roman" w:eastAsia="Times New Roman" w:hAnsi="Times New Roman" w:cs="Times New Roman"/>
            <w:sz w:val="24"/>
            <w:szCs w:val="24"/>
          </w:rPr>
          <w:t>https://doi.org/10.1016/j.clindermatol.2017.01.005</w:t>
        </w:r>
      </w:hyperlink>
      <w:r w:rsidRPr="000B0156">
        <w:rPr>
          <w:rFonts w:ascii="Times New Roman" w:eastAsia="Times New Roman" w:hAnsi="Times New Roman" w:cs="Times New Roman"/>
          <w:sz w:val="24"/>
          <w:szCs w:val="24"/>
        </w:rPr>
        <w:t>. </w:t>
      </w:r>
    </w:p>
    <w:p w14:paraId="7F50AC50"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Haeyen</w:t>
      </w:r>
      <w:proofErr w:type="spellEnd"/>
      <w:r w:rsidRPr="000B0156">
        <w:rPr>
          <w:rFonts w:ascii="Times New Roman" w:eastAsia="Times New Roman" w:hAnsi="Times New Roman" w:cs="Times New Roman"/>
          <w:sz w:val="24"/>
          <w:szCs w:val="24"/>
        </w:rPr>
        <w:t xml:space="preserve">, S. &amp; </w:t>
      </w:r>
      <w:proofErr w:type="spellStart"/>
      <w:r w:rsidRPr="000B0156">
        <w:rPr>
          <w:rFonts w:ascii="Times New Roman" w:eastAsia="Times New Roman" w:hAnsi="Times New Roman" w:cs="Times New Roman"/>
          <w:sz w:val="24"/>
          <w:szCs w:val="24"/>
        </w:rPr>
        <w:t>Wanten</w:t>
      </w:r>
      <w:proofErr w:type="spellEnd"/>
      <w:r w:rsidRPr="000B0156">
        <w:rPr>
          <w:rFonts w:ascii="Times New Roman" w:eastAsia="Times New Roman" w:hAnsi="Times New Roman" w:cs="Times New Roman"/>
          <w:sz w:val="24"/>
          <w:szCs w:val="24"/>
        </w:rPr>
        <w:t xml:space="preserve">, F. (2024). Effectiveness of Trauma-Focused Art Therapy (TFAT) for psychological trauma: A mixed method single case study. </w:t>
      </w:r>
      <w:r w:rsidRPr="000B0156">
        <w:rPr>
          <w:rFonts w:ascii="Times New Roman" w:eastAsia="Times New Roman" w:hAnsi="Times New Roman" w:cs="Times New Roman"/>
          <w:i/>
          <w:iCs/>
          <w:sz w:val="24"/>
          <w:szCs w:val="24"/>
        </w:rPr>
        <w:t>The Arts in Psychotherapy, 91</w:t>
      </w:r>
      <w:r w:rsidRPr="000B0156">
        <w:rPr>
          <w:rFonts w:ascii="Times New Roman" w:eastAsia="Times New Roman" w:hAnsi="Times New Roman" w:cs="Times New Roman"/>
          <w:sz w:val="24"/>
          <w:szCs w:val="24"/>
        </w:rPr>
        <w:t xml:space="preserve">, </w:t>
      </w:r>
      <w:hyperlink r:id="rId55" w:tgtFrame="_blank" w:history="1">
        <w:r w:rsidRPr="000B0156">
          <w:rPr>
            <w:rStyle w:val="Hyperlink"/>
            <w:rFonts w:ascii="Times New Roman" w:eastAsia="Times New Roman" w:hAnsi="Times New Roman" w:cs="Times New Roman"/>
            <w:sz w:val="24"/>
            <w:szCs w:val="24"/>
          </w:rPr>
          <w:t>https://doi.org/10.1016/j.aip.2024.102218</w:t>
        </w:r>
      </w:hyperlink>
      <w:r w:rsidRPr="000B0156">
        <w:rPr>
          <w:rFonts w:ascii="Times New Roman" w:eastAsia="Times New Roman" w:hAnsi="Times New Roman" w:cs="Times New Roman"/>
          <w:sz w:val="24"/>
          <w:szCs w:val="24"/>
        </w:rPr>
        <w:t>. </w:t>
      </w:r>
    </w:p>
    <w:p w14:paraId="54EF80C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Haim-Nachum, S., Sopp, M. R., Bonanno, G. A., &amp; Levy-Gigi, E. (2022). The Lasting Effects of Early Adversity and Updating Ability on the Tendency to Develop PTSD Symptoms Following Exposure to Trauma in Adulthood. </w:t>
      </w:r>
      <w:r w:rsidRPr="000B0156">
        <w:rPr>
          <w:rFonts w:ascii="Times New Roman" w:eastAsia="Times New Roman" w:hAnsi="Times New Roman" w:cs="Times New Roman"/>
          <w:i/>
          <w:iCs/>
          <w:sz w:val="24"/>
          <w:szCs w:val="24"/>
        </w:rPr>
        <w:t>Cognitive Therapy &amp; Research</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46</w:t>
      </w:r>
      <w:r w:rsidRPr="000B0156">
        <w:rPr>
          <w:rFonts w:ascii="Times New Roman" w:eastAsia="Times New Roman" w:hAnsi="Times New Roman" w:cs="Times New Roman"/>
          <w:sz w:val="24"/>
          <w:szCs w:val="24"/>
        </w:rPr>
        <w:t xml:space="preserve">(6), 1101–1112. </w:t>
      </w:r>
      <w:hyperlink r:id="rId56" w:tgtFrame="_blank" w:history="1">
        <w:r w:rsidRPr="000B0156">
          <w:rPr>
            <w:rStyle w:val="Hyperlink"/>
            <w:rFonts w:ascii="Times New Roman" w:eastAsia="Times New Roman" w:hAnsi="Times New Roman" w:cs="Times New Roman"/>
            <w:sz w:val="24"/>
            <w:szCs w:val="24"/>
          </w:rPr>
          <w:t>https://doi-org.ezproxy.lib.vt.edu/10.1007/s10608-022-10328-7</w:t>
        </w:r>
      </w:hyperlink>
      <w:r w:rsidRPr="000B0156">
        <w:rPr>
          <w:rFonts w:ascii="Times New Roman" w:eastAsia="Times New Roman" w:hAnsi="Times New Roman" w:cs="Times New Roman"/>
          <w:sz w:val="24"/>
          <w:szCs w:val="24"/>
        </w:rPr>
        <w:t>. </w:t>
      </w:r>
    </w:p>
    <w:p w14:paraId="032B6A85" w14:textId="21D8FADC"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Henke, K. (2010). A model for memory systems based on processing modes rather than</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consciousness. </w:t>
      </w:r>
      <w:r w:rsidRPr="000B0156">
        <w:rPr>
          <w:rFonts w:ascii="Times New Roman" w:eastAsia="Times New Roman" w:hAnsi="Times New Roman" w:cs="Times New Roman"/>
          <w:i/>
          <w:iCs/>
          <w:sz w:val="24"/>
          <w:szCs w:val="24"/>
        </w:rPr>
        <w:t>Nature Reviews Neuroscience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11</w:t>
      </w:r>
      <w:r w:rsidRPr="000B0156">
        <w:rPr>
          <w:rFonts w:ascii="Times New Roman" w:eastAsia="Times New Roman" w:hAnsi="Times New Roman" w:cs="Times New Roman"/>
          <w:sz w:val="24"/>
          <w:szCs w:val="24"/>
        </w:rPr>
        <w:t>(7), 523–532.</w:t>
      </w:r>
      <w:r>
        <w:rPr>
          <w:rFonts w:ascii="Times New Roman" w:eastAsia="Times New Roman" w:hAnsi="Times New Roman" w:cs="Times New Roman"/>
          <w:sz w:val="24"/>
          <w:szCs w:val="24"/>
        </w:rPr>
        <w:t xml:space="preserve"> </w:t>
      </w:r>
      <w:hyperlink r:id="rId57" w:history="1">
        <w:r w:rsidRPr="000B0156">
          <w:rPr>
            <w:rStyle w:val="Hyperlink"/>
            <w:rFonts w:ascii="Times New Roman" w:eastAsia="Times New Roman" w:hAnsi="Times New Roman" w:cs="Times New Roman"/>
            <w:sz w:val="24"/>
            <w:szCs w:val="24"/>
          </w:rPr>
          <w:t>https://doi.org.ezproxy.lib.vt.edu/10.1038/nrn2850</w:t>
        </w:r>
      </w:hyperlink>
      <w:r w:rsidRPr="000B0156">
        <w:rPr>
          <w:rFonts w:ascii="Times New Roman" w:eastAsia="Times New Roman" w:hAnsi="Times New Roman" w:cs="Times New Roman"/>
          <w:sz w:val="24"/>
          <w:szCs w:val="24"/>
        </w:rPr>
        <w:t>. </w:t>
      </w:r>
    </w:p>
    <w:p w14:paraId="33A23434" w14:textId="38C6607B"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Herlenius</w:t>
      </w:r>
      <w:proofErr w:type="spellEnd"/>
      <w:r w:rsidRPr="000B0156">
        <w:rPr>
          <w:rFonts w:ascii="Times New Roman" w:eastAsia="Times New Roman" w:hAnsi="Times New Roman" w:cs="Times New Roman"/>
          <w:sz w:val="24"/>
          <w:szCs w:val="24"/>
        </w:rPr>
        <w:t xml:space="preserve">, E., &amp; </w:t>
      </w:r>
      <w:proofErr w:type="spellStart"/>
      <w:r w:rsidRPr="000B0156">
        <w:rPr>
          <w:rFonts w:ascii="Times New Roman" w:eastAsia="Times New Roman" w:hAnsi="Times New Roman" w:cs="Times New Roman"/>
          <w:sz w:val="24"/>
          <w:szCs w:val="24"/>
        </w:rPr>
        <w:t>Lagercrantz</w:t>
      </w:r>
      <w:proofErr w:type="spellEnd"/>
      <w:r w:rsidRPr="000B0156">
        <w:rPr>
          <w:rFonts w:ascii="Times New Roman" w:eastAsia="Times New Roman" w:hAnsi="Times New Roman" w:cs="Times New Roman"/>
          <w:sz w:val="24"/>
          <w:szCs w:val="24"/>
        </w:rPr>
        <w:t>, H. (2004). Development of neurotransmitter systems during critical periods. </w:t>
      </w:r>
      <w:r w:rsidRPr="000B0156">
        <w:rPr>
          <w:rFonts w:ascii="Times New Roman" w:eastAsia="Times New Roman" w:hAnsi="Times New Roman" w:cs="Times New Roman"/>
          <w:i/>
          <w:iCs/>
          <w:sz w:val="24"/>
          <w:szCs w:val="24"/>
        </w:rPr>
        <w:t>Experimental neurology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190 Suppl 1</w:t>
      </w:r>
      <w:r w:rsidRPr="000B0156">
        <w:rPr>
          <w:rFonts w:ascii="Times New Roman" w:eastAsia="Times New Roman" w:hAnsi="Times New Roman" w:cs="Times New Roman"/>
          <w:sz w:val="24"/>
          <w:szCs w:val="24"/>
        </w:rPr>
        <w:t>, S8–S21.</w:t>
      </w:r>
      <w:r>
        <w:rPr>
          <w:rFonts w:ascii="Times New Roman" w:eastAsia="Times New Roman" w:hAnsi="Times New Roman" w:cs="Times New Roman"/>
          <w:sz w:val="24"/>
          <w:szCs w:val="24"/>
        </w:rPr>
        <w:t xml:space="preserve"> </w:t>
      </w:r>
      <w:hyperlink r:id="rId58" w:history="1">
        <w:r w:rsidRPr="000B0156">
          <w:rPr>
            <w:rStyle w:val="Hyperlink"/>
            <w:rFonts w:ascii="Times New Roman" w:eastAsia="Times New Roman" w:hAnsi="Times New Roman" w:cs="Times New Roman"/>
            <w:sz w:val="24"/>
            <w:szCs w:val="24"/>
          </w:rPr>
          <w:t>https://doi.org/10.1016/j.expneurol.2004.03.027</w:t>
        </w:r>
      </w:hyperlink>
      <w:r w:rsidRPr="000B0156">
        <w:rPr>
          <w:rFonts w:ascii="Times New Roman" w:eastAsia="Times New Roman" w:hAnsi="Times New Roman" w:cs="Times New Roman"/>
          <w:sz w:val="24"/>
          <w:szCs w:val="24"/>
        </w:rPr>
        <w:t>. </w:t>
      </w:r>
    </w:p>
    <w:p w14:paraId="70B97818" w14:textId="2909A1F1"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Hidi, S. (2016). Revisiting the Role of Rewards in Motivation and Learning: Implications of Neuroscientific Research. </w:t>
      </w:r>
      <w:r w:rsidRPr="000B0156">
        <w:rPr>
          <w:rFonts w:ascii="Times New Roman" w:eastAsia="Times New Roman" w:hAnsi="Times New Roman" w:cs="Times New Roman"/>
          <w:i/>
          <w:iCs/>
          <w:sz w:val="24"/>
          <w:szCs w:val="24"/>
        </w:rPr>
        <w:t>Educ Psychol Rev</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28</w:t>
      </w:r>
      <w:r w:rsidRPr="000B0156">
        <w:rPr>
          <w:rFonts w:ascii="Times New Roman" w:eastAsia="Times New Roman" w:hAnsi="Times New Roman" w:cs="Times New Roman"/>
          <w:sz w:val="24"/>
          <w:szCs w:val="24"/>
        </w:rPr>
        <w:t>, 61–93.</w:t>
      </w:r>
      <w:r>
        <w:rPr>
          <w:rFonts w:ascii="Times New Roman" w:eastAsia="Times New Roman" w:hAnsi="Times New Roman" w:cs="Times New Roman"/>
          <w:sz w:val="24"/>
          <w:szCs w:val="24"/>
        </w:rPr>
        <w:t xml:space="preserve"> </w:t>
      </w:r>
      <w:hyperlink r:id="rId59" w:history="1">
        <w:r w:rsidRPr="000B0156">
          <w:rPr>
            <w:rStyle w:val="Hyperlink"/>
            <w:rFonts w:ascii="Times New Roman" w:eastAsia="Times New Roman" w:hAnsi="Times New Roman" w:cs="Times New Roman"/>
            <w:sz w:val="24"/>
            <w:szCs w:val="24"/>
          </w:rPr>
          <w:t>https://doi.org/10.1007/s10648-015-9307-5</w:t>
        </w:r>
      </w:hyperlink>
      <w:r w:rsidRPr="000B0156">
        <w:rPr>
          <w:rFonts w:ascii="Times New Roman" w:eastAsia="Times New Roman" w:hAnsi="Times New Roman" w:cs="Times New Roman"/>
          <w:sz w:val="24"/>
          <w:szCs w:val="24"/>
        </w:rPr>
        <w:t>. </w:t>
      </w:r>
    </w:p>
    <w:p w14:paraId="1641335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Hiller-</w:t>
      </w:r>
      <w:proofErr w:type="spellStart"/>
      <w:r w:rsidRPr="000B0156">
        <w:rPr>
          <w:rFonts w:ascii="Times New Roman" w:eastAsia="Times New Roman" w:hAnsi="Times New Roman" w:cs="Times New Roman"/>
          <w:sz w:val="24"/>
          <w:szCs w:val="24"/>
        </w:rPr>
        <w:t>Sturmhöfel</w:t>
      </w:r>
      <w:proofErr w:type="spellEnd"/>
      <w:r w:rsidRPr="000B0156">
        <w:rPr>
          <w:rFonts w:ascii="Times New Roman" w:eastAsia="Times New Roman" w:hAnsi="Times New Roman" w:cs="Times New Roman"/>
          <w:sz w:val="24"/>
          <w:szCs w:val="24"/>
        </w:rPr>
        <w:t>, S., &amp; Bartke, A. (1998). The endocrine system: an overview. </w:t>
      </w:r>
      <w:r w:rsidRPr="000B0156">
        <w:rPr>
          <w:rFonts w:ascii="Times New Roman" w:eastAsia="Times New Roman" w:hAnsi="Times New Roman" w:cs="Times New Roman"/>
          <w:i/>
          <w:iCs/>
          <w:sz w:val="24"/>
          <w:szCs w:val="24"/>
        </w:rPr>
        <w:t>Alcohol health and research world</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22</w:t>
      </w:r>
      <w:r w:rsidRPr="000B0156">
        <w:rPr>
          <w:rFonts w:ascii="Times New Roman" w:eastAsia="Times New Roman" w:hAnsi="Times New Roman" w:cs="Times New Roman"/>
          <w:sz w:val="24"/>
          <w:szCs w:val="24"/>
        </w:rPr>
        <w:t>(3), 153–164. </w:t>
      </w:r>
    </w:p>
    <w:p w14:paraId="5E5A9B57" w14:textId="51E401BF"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Hinton, D. E., &amp; </w:t>
      </w:r>
      <w:proofErr w:type="spellStart"/>
      <w:r w:rsidRPr="000B0156">
        <w:rPr>
          <w:rFonts w:ascii="Times New Roman" w:eastAsia="Times New Roman" w:hAnsi="Times New Roman" w:cs="Times New Roman"/>
          <w:sz w:val="24"/>
          <w:szCs w:val="24"/>
        </w:rPr>
        <w:t>Kirmayer</w:t>
      </w:r>
      <w:proofErr w:type="spellEnd"/>
      <w:r w:rsidRPr="000B0156">
        <w:rPr>
          <w:rFonts w:ascii="Times New Roman" w:eastAsia="Times New Roman" w:hAnsi="Times New Roman" w:cs="Times New Roman"/>
          <w:sz w:val="24"/>
          <w:szCs w:val="24"/>
        </w:rPr>
        <w:t>, L. J. (2017). The Flexibility Hypothesis of</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Healing. </w:t>
      </w:r>
      <w:proofErr w:type="spellStart"/>
      <w:proofErr w:type="gramStart"/>
      <w:r w:rsidRPr="000B0156">
        <w:rPr>
          <w:rFonts w:ascii="Times New Roman" w:eastAsia="Times New Roman" w:hAnsi="Times New Roman" w:cs="Times New Roman"/>
          <w:i/>
          <w:iCs/>
          <w:sz w:val="24"/>
          <w:szCs w:val="24"/>
        </w:rPr>
        <w:t>Culture,Medicine</w:t>
      </w:r>
      <w:proofErr w:type="spellEnd"/>
      <w:proofErr w:type="gramEnd"/>
      <w:r w:rsidRPr="000B0156">
        <w:rPr>
          <w:rFonts w:ascii="Times New Roman" w:eastAsia="Times New Roman" w:hAnsi="Times New Roman" w:cs="Times New Roman"/>
          <w:i/>
          <w:iCs/>
          <w:sz w:val="24"/>
          <w:szCs w:val="24"/>
        </w:rPr>
        <w:t xml:space="preserve"> &amp; Psychiatry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41</w:t>
      </w:r>
      <w:r w:rsidRPr="000B0156">
        <w:rPr>
          <w:rFonts w:ascii="Times New Roman" w:eastAsia="Times New Roman" w:hAnsi="Times New Roman" w:cs="Times New Roman"/>
          <w:sz w:val="24"/>
          <w:szCs w:val="24"/>
        </w:rPr>
        <w:t>(1), 3–34.</w:t>
      </w:r>
      <w:r>
        <w:rPr>
          <w:rFonts w:ascii="Times New Roman" w:eastAsia="Times New Roman" w:hAnsi="Times New Roman" w:cs="Times New Roman"/>
          <w:sz w:val="24"/>
          <w:szCs w:val="24"/>
        </w:rPr>
        <w:t xml:space="preserve"> </w:t>
      </w:r>
      <w:hyperlink r:id="rId60" w:history="1">
        <w:r w:rsidRPr="000B0156">
          <w:rPr>
            <w:rStyle w:val="Hyperlink"/>
            <w:rFonts w:ascii="Times New Roman" w:eastAsia="Times New Roman" w:hAnsi="Times New Roman" w:cs="Times New Roman"/>
            <w:sz w:val="24"/>
            <w:szCs w:val="24"/>
          </w:rPr>
          <w:t>https://doi.org.ezproxy.lib.vt.edu/10.1007/s11013-016-9493-8</w:t>
        </w:r>
      </w:hyperlink>
      <w:r w:rsidRPr="000B0156">
        <w:rPr>
          <w:rFonts w:ascii="Times New Roman" w:eastAsia="Times New Roman" w:hAnsi="Times New Roman" w:cs="Times New Roman"/>
          <w:sz w:val="24"/>
          <w:szCs w:val="24"/>
        </w:rPr>
        <w:t>. </w:t>
      </w:r>
    </w:p>
    <w:p w14:paraId="55064E8B"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Hofmann, W., Schmeichel, B. J., &amp; Baddeley, A. D. (2012). Executive functions and self-regulation. </w:t>
      </w:r>
      <w:r w:rsidRPr="000B0156">
        <w:rPr>
          <w:rFonts w:ascii="Times New Roman" w:eastAsia="Times New Roman" w:hAnsi="Times New Roman" w:cs="Times New Roman"/>
          <w:i/>
          <w:iCs/>
          <w:sz w:val="24"/>
          <w:szCs w:val="24"/>
        </w:rPr>
        <w:t>Trends in cognitive sciences</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16</w:t>
      </w:r>
      <w:r w:rsidRPr="000B0156">
        <w:rPr>
          <w:rFonts w:ascii="Times New Roman" w:eastAsia="Times New Roman" w:hAnsi="Times New Roman" w:cs="Times New Roman"/>
          <w:sz w:val="24"/>
          <w:szCs w:val="24"/>
        </w:rPr>
        <w:t xml:space="preserve">(3), 174–180. </w:t>
      </w:r>
      <w:hyperlink r:id="rId61" w:tgtFrame="_blank" w:history="1">
        <w:r w:rsidRPr="000B0156">
          <w:rPr>
            <w:rStyle w:val="Hyperlink"/>
            <w:rFonts w:ascii="Times New Roman" w:eastAsia="Times New Roman" w:hAnsi="Times New Roman" w:cs="Times New Roman"/>
            <w:sz w:val="24"/>
            <w:szCs w:val="24"/>
          </w:rPr>
          <w:t>https://doi.org/10.1016/j.tics.2012.01.006</w:t>
        </w:r>
      </w:hyperlink>
      <w:r w:rsidRPr="000B0156">
        <w:rPr>
          <w:rFonts w:ascii="Times New Roman" w:eastAsia="Times New Roman" w:hAnsi="Times New Roman" w:cs="Times New Roman"/>
          <w:sz w:val="24"/>
          <w:szCs w:val="24"/>
        </w:rPr>
        <w:t>. </w:t>
      </w:r>
    </w:p>
    <w:p w14:paraId="6E000096"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Hosseini </w:t>
      </w:r>
      <w:proofErr w:type="spellStart"/>
      <w:r w:rsidRPr="000B0156">
        <w:rPr>
          <w:rFonts w:ascii="Times New Roman" w:eastAsia="Times New Roman" w:hAnsi="Times New Roman" w:cs="Times New Roman"/>
          <w:sz w:val="24"/>
          <w:szCs w:val="24"/>
        </w:rPr>
        <w:t>Ramaghani</w:t>
      </w:r>
      <w:proofErr w:type="spellEnd"/>
      <w:r w:rsidRPr="000B0156">
        <w:rPr>
          <w:rFonts w:ascii="Times New Roman" w:eastAsia="Times New Roman" w:hAnsi="Times New Roman" w:cs="Times New Roman"/>
          <w:sz w:val="24"/>
          <w:szCs w:val="24"/>
        </w:rPr>
        <w:t xml:space="preserve">, N. A., Rezaei, F., </w:t>
      </w:r>
      <w:proofErr w:type="spellStart"/>
      <w:r w:rsidRPr="000B0156">
        <w:rPr>
          <w:rFonts w:ascii="Times New Roman" w:eastAsia="Times New Roman" w:hAnsi="Times New Roman" w:cs="Times New Roman"/>
          <w:sz w:val="24"/>
          <w:szCs w:val="24"/>
        </w:rPr>
        <w:t>Sepahvandi</w:t>
      </w:r>
      <w:proofErr w:type="spellEnd"/>
      <w:r w:rsidRPr="000B0156">
        <w:rPr>
          <w:rFonts w:ascii="Times New Roman" w:eastAsia="Times New Roman" w:hAnsi="Times New Roman" w:cs="Times New Roman"/>
          <w:sz w:val="24"/>
          <w:szCs w:val="24"/>
        </w:rPr>
        <w:t xml:space="preserve">, M. A., </w:t>
      </w:r>
      <w:proofErr w:type="spellStart"/>
      <w:r w:rsidRPr="000B0156">
        <w:rPr>
          <w:rFonts w:ascii="Times New Roman" w:eastAsia="Times New Roman" w:hAnsi="Times New Roman" w:cs="Times New Roman"/>
          <w:sz w:val="24"/>
          <w:szCs w:val="24"/>
        </w:rPr>
        <w:t>Gholamrezaei</w:t>
      </w:r>
      <w:proofErr w:type="spellEnd"/>
      <w:r w:rsidRPr="000B0156">
        <w:rPr>
          <w:rFonts w:ascii="Times New Roman" w:eastAsia="Times New Roman" w:hAnsi="Times New Roman" w:cs="Times New Roman"/>
          <w:sz w:val="24"/>
          <w:szCs w:val="24"/>
        </w:rPr>
        <w:t xml:space="preserve">, S., &amp; </w:t>
      </w:r>
      <w:proofErr w:type="spellStart"/>
      <w:r w:rsidRPr="000B0156">
        <w:rPr>
          <w:rFonts w:ascii="Times New Roman" w:eastAsia="Times New Roman" w:hAnsi="Times New Roman" w:cs="Times New Roman"/>
          <w:sz w:val="24"/>
          <w:szCs w:val="24"/>
        </w:rPr>
        <w:t>Mirderikvand</w:t>
      </w:r>
      <w:proofErr w:type="spellEnd"/>
      <w:r w:rsidRPr="000B0156">
        <w:rPr>
          <w:rFonts w:ascii="Times New Roman" w:eastAsia="Times New Roman" w:hAnsi="Times New Roman" w:cs="Times New Roman"/>
          <w:sz w:val="24"/>
          <w:szCs w:val="24"/>
        </w:rPr>
        <w:t xml:space="preserve">, F. (2019). The mediating role of the metacognition, time perspectives and experiential avoidance on the relationship between childhood trauma and post-traumatic stress disorder symptoms. </w:t>
      </w:r>
      <w:r w:rsidRPr="000B0156">
        <w:rPr>
          <w:rFonts w:ascii="Times New Roman" w:eastAsia="Times New Roman" w:hAnsi="Times New Roman" w:cs="Times New Roman"/>
          <w:i/>
          <w:iCs/>
          <w:sz w:val="24"/>
          <w:szCs w:val="24"/>
        </w:rPr>
        <w:t xml:space="preserve">European journal of </w:t>
      </w:r>
      <w:proofErr w:type="spellStart"/>
      <w:r w:rsidRPr="000B0156">
        <w:rPr>
          <w:rFonts w:ascii="Times New Roman" w:eastAsia="Times New Roman" w:hAnsi="Times New Roman" w:cs="Times New Roman"/>
          <w:i/>
          <w:iCs/>
          <w:sz w:val="24"/>
          <w:szCs w:val="24"/>
        </w:rPr>
        <w:t>psychotraumatology</w:t>
      </w:r>
      <w:proofErr w:type="spellEnd"/>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10</w:t>
      </w:r>
      <w:r w:rsidRPr="000B0156">
        <w:rPr>
          <w:rFonts w:ascii="Times New Roman" w:eastAsia="Times New Roman" w:hAnsi="Times New Roman" w:cs="Times New Roman"/>
          <w:sz w:val="24"/>
          <w:szCs w:val="24"/>
        </w:rPr>
        <w:t xml:space="preserve">(1), 1648173. </w:t>
      </w:r>
      <w:hyperlink r:id="rId62" w:tgtFrame="_blank" w:history="1">
        <w:r w:rsidRPr="000B0156">
          <w:rPr>
            <w:rStyle w:val="Hyperlink"/>
            <w:rFonts w:ascii="Times New Roman" w:eastAsia="Times New Roman" w:hAnsi="Times New Roman" w:cs="Times New Roman"/>
            <w:sz w:val="24"/>
            <w:szCs w:val="24"/>
          </w:rPr>
          <w:t>https://doi.org/10.1080/20008198.2019.1648173</w:t>
        </w:r>
      </w:hyperlink>
      <w:r w:rsidRPr="000B0156">
        <w:rPr>
          <w:rFonts w:ascii="Times New Roman" w:eastAsia="Times New Roman" w:hAnsi="Times New Roman" w:cs="Times New Roman"/>
          <w:sz w:val="24"/>
          <w:szCs w:val="24"/>
        </w:rPr>
        <w:t>. </w:t>
      </w:r>
    </w:p>
    <w:p w14:paraId="11236F6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Hurtz, K. P. &amp; Allen, L. R. (2001). Measuring Resiliency in Youth: The Resiliency Attitudes and Skills Profile. </w:t>
      </w:r>
      <w:r w:rsidRPr="000B0156">
        <w:rPr>
          <w:rFonts w:ascii="Times New Roman" w:eastAsia="Times New Roman" w:hAnsi="Times New Roman" w:cs="Times New Roman"/>
          <w:i/>
          <w:iCs/>
          <w:sz w:val="24"/>
          <w:szCs w:val="24"/>
        </w:rPr>
        <w:t>Therapeutic Recreation Journal, 35(</w:t>
      </w:r>
      <w:r w:rsidRPr="000B0156">
        <w:rPr>
          <w:rFonts w:ascii="Times New Roman" w:eastAsia="Times New Roman" w:hAnsi="Times New Roman" w:cs="Times New Roman"/>
          <w:sz w:val="24"/>
          <w:szCs w:val="24"/>
        </w:rPr>
        <w:t>4</w:t>
      </w:r>
      <w:r w:rsidRPr="000B0156">
        <w:rPr>
          <w:rFonts w:ascii="Times New Roman" w:eastAsia="Times New Roman" w:hAnsi="Times New Roman" w:cs="Times New Roman"/>
          <w:i/>
          <w:iCs/>
          <w:sz w:val="24"/>
          <w:szCs w:val="24"/>
        </w:rPr>
        <w:t>)</w:t>
      </w:r>
      <w:r w:rsidRPr="000B0156">
        <w:rPr>
          <w:rFonts w:ascii="Times New Roman" w:eastAsia="Times New Roman" w:hAnsi="Times New Roman" w:cs="Times New Roman"/>
          <w:sz w:val="24"/>
          <w:szCs w:val="24"/>
        </w:rPr>
        <w:t>, 333-347. </w:t>
      </w:r>
    </w:p>
    <w:p w14:paraId="1774C3DE" w14:textId="38BDB9A2"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Jiang, Y., Ming, H., Tian, Y., Huang, S., Sun, L., Li, H., &amp; Zhang, H. (2020). Cumulative Risk and Subjective Well-Being Among Rural-to-Urban Migrant Adolescents in China:</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Differential Moderating Roles of Stress Mindset and Resilience. </w:t>
      </w:r>
      <w:r w:rsidRPr="000B0156">
        <w:rPr>
          <w:rFonts w:ascii="Times New Roman" w:eastAsia="Times New Roman" w:hAnsi="Times New Roman" w:cs="Times New Roman"/>
          <w:i/>
          <w:iCs/>
          <w:sz w:val="24"/>
          <w:szCs w:val="24"/>
        </w:rPr>
        <w:t>Journal of Happiness</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Studies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21</w:t>
      </w:r>
      <w:r w:rsidRPr="000B0156">
        <w:rPr>
          <w:rFonts w:ascii="Times New Roman" w:eastAsia="Times New Roman" w:hAnsi="Times New Roman" w:cs="Times New Roman"/>
          <w:sz w:val="24"/>
          <w:szCs w:val="24"/>
        </w:rPr>
        <w:t xml:space="preserve">(7), 2429–2449. </w:t>
      </w:r>
      <w:hyperlink r:id="rId63" w:tgtFrame="_blank" w:history="1">
        <w:r w:rsidRPr="000B0156">
          <w:rPr>
            <w:rStyle w:val="Hyperlink"/>
            <w:rFonts w:ascii="Times New Roman" w:eastAsia="Times New Roman" w:hAnsi="Times New Roman" w:cs="Times New Roman"/>
            <w:sz w:val="24"/>
            <w:szCs w:val="24"/>
          </w:rPr>
          <w:t>https://doi-org.ezproxy.lib.vt.edu/10.1007/s10902-019-00187</w:t>
        </w:r>
      </w:hyperlink>
      <w:r w:rsidRPr="000B0156">
        <w:rPr>
          <w:rFonts w:ascii="Times New Roman" w:eastAsia="Times New Roman" w:hAnsi="Times New Roman" w:cs="Times New Roman"/>
          <w:sz w:val="24"/>
          <w:szCs w:val="24"/>
        </w:rPr>
        <w:t>7. </w:t>
      </w:r>
    </w:p>
    <w:p w14:paraId="758AD723" w14:textId="3738C431"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Juárez Olguín, H., Calderón Guzmán, D., Hernández García, E., &amp; Barragán Mejía, G. (2016). The Role of Dopamine and Its Dysfunction as a Consequence of Oxidative</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Stress. </w:t>
      </w:r>
      <w:r w:rsidRPr="000B0156">
        <w:rPr>
          <w:rFonts w:ascii="Times New Roman" w:eastAsia="Times New Roman" w:hAnsi="Times New Roman" w:cs="Times New Roman"/>
          <w:i/>
          <w:iCs/>
          <w:sz w:val="24"/>
          <w:szCs w:val="24"/>
        </w:rPr>
        <w:t>Oxidative medicine and cellular longevity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2016</w:t>
      </w:r>
      <w:r w:rsidRPr="000B0156">
        <w:rPr>
          <w:rFonts w:ascii="Times New Roman" w:eastAsia="Times New Roman" w:hAnsi="Times New Roman" w:cs="Times New Roman"/>
          <w:sz w:val="24"/>
          <w:szCs w:val="24"/>
        </w:rPr>
        <w:t>, 9730467.</w:t>
      </w:r>
      <w:r>
        <w:rPr>
          <w:rFonts w:ascii="Times New Roman" w:eastAsia="Times New Roman" w:hAnsi="Times New Roman" w:cs="Times New Roman"/>
          <w:sz w:val="24"/>
          <w:szCs w:val="24"/>
        </w:rPr>
        <w:t xml:space="preserve"> </w:t>
      </w:r>
      <w:hyperlink r:id="rId64" w:history="1">
        <w:r w:rsidRPr="000B0156">
          <w:rPr>
            <w:rStyle w:val="Hyperlink"/>
            <w:rFonts w:ascii="Times New Roman" w:eastAsia="Times New Roman" w:hAnsi="Times New Roman" w:cs="Times New Roman"/>
            <w:sz w:val="24"/>
            <w:szCs w:val="24"/>
          </w:rPr>
          <w:t>https://doi.org/10.1155/2016/9730467</w:t>
        </w:r>
      </w:hyperlink>
      <w:r w:rsidRPr="000B0156">
        <w:rPr>
          <w:rFonts w:ascii="Times New Roman" w:eastAsia="Times New Roman" w:hAnsi="Times New Roman" w:cs="Times New Roman"/>
          <w:sz w:val="24"/>
          <w:szCs w:val="24"/>
        </w:rPr>
        <w:t>. </w:t>
      </w:r>
    </w:p>
    <w:p w14:paraId="6A6C6275" w14:textId="703AD14B"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Kadri, A., Gracey, F., &amp; Leddy, A. (2022). What Factors are Associated with Posttraumatic Growth in Older Adults? A Systematic Review. </w:t>
      </w:r>
      <w:r w:rsidRPr="000B0156">
        <w:rPr>
          <w:rFonts w:ascii="Times New Roman" w:eastAsia="Times New Roman" w:hAnsi="Times New Roman" w:cs="Times New Roman"/>
          <w:i/>
          <w:iCs/>
          <w:sz w:val="24"/>
          <w:szCs w:val="24"/>
        </w:rPr>
        <w:t>Clinical Gerontologist</w:t>
      </w:r>
      <w:r w:rsidRPr="000B0156">
        <w:rPr>
          <w:rFonts w:ascii="Times New Roman" w:eastAsia="Times New Roman" w:hAnsi="Times New Roman" w:cs="Times New Roman"/>
          <w:sz w:val="24"/>
          <w:szCs w:val="24"/>
        </w:rPr>
        <w:t>. doi:10.1080/07317115.2022.2034200. </w:t>
      </w:r>
    </w:p>
    <w:p w14:paraId="5B0A0F60" w14:textId="40505BB2"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Karpicke, J. D. (2012). Retrieval-based learning: Active retrieval promotes meaningful</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learning. </w:t>
      </w:r>
      <w:r w:rsidRPr="000B0156">
        <w:rPr>
          <w:rFonts w:ascii="Times New Roman" w:eastAsia="Times New Roman" w:hAnsi="Times New Roman" w:cs="Times New Roman"/>
          <w:i/>
          <w:iCs/>
          <w:sz w:val="24"/>
          <w:szCs w:val="24"/>
        </w:rPr>
        <w:t>Current Directions in Psychological Science, 21</w:t>
      </w:r>
      <w:r w:rsidRPr="000B0156">
        <w:rPr>
          <w:rFonts w:ascii="Times New Roman" w:eastAsia="Times New Roman" w:hAnsi="Times New Roman" w:cs="Times New Roman"/>
          <w:sz w:val="24"/>
          <w:szCs w:val="24"/>
        </w:rPr>
        <w:t>(3), 157-163. </w:t>
      </w:r>
      <w:r>
        <w:rPr>
          <w:rFonts w:ascii="Times New Roman" w:eastAsia="Times New Roman" w:hAnsi="Times New Roman" w:cs="Times New Roman"/>
          <w:sz w:val="24"/>
          <w:szCs w:val="24"/>
        </w:rPr>
        <w:t xml:space="preserve"> </w:t>
      </w:r>
      <w:hyperlink r:id="rId65" w:history="1">
        <w:r w:rsidRPr="000B0156">
          <w:rPr>
            <w:rStyle w:val="Hyperlink"/>
            <w:rFonts w:ascii="Times New Roman" w:eastAsia="Times New Roman" w:hAnsi="Times New Roman" w:cs="Times New Roman"/>
            <w:sz w:val="24"/>
            <w:szCs w:val="24"/>
          </w:rPr>
          <w:t>https://doi.org/10.1177/0963721412443552</w:t>
        </w:r>
      </w:hyperlink>
      <w:r w:rsidRPr="000B0156">
        <w:rPr>
          <w:rFonts w:ascii="Times New Roman" w:eastAsia="Times New Roman" w:hAnsi="Times New Roman" w:cs="Times New Roman"/>
          <w:sz w:val="24"/>
          <w:szCs w:val="24"/>
        </w:rPr>
        <w:t>. </w:t>
      </w:r>
    </w:p>
    <w:p w14:paraId="2BFCACCB"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Kashdan, T. B., &amp; Rottenberg, J. (2010). Psychological flexibility as a fundamental aspect of health. </w:t>
      </w:r>
      <w:r w:rsidRPr="000B0156">
        <w:rPr>
          <w:rFonts w:ascii="Times New Roman" w:eastAsia="Times New Roman" w:hAnsi="Times New Roman" w:cs="Times New Roman"/>
          <w:i/>
          <w:iCs/>
          <w:sz w:val="24"/>
          <w:szCs w:val="24"/>
        </w:rPr>
        <w:t>Clinical psychology review</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30</w:t>
      </w:r>
      <w:r w:rsidRPr="000B0156">
        <w:rPr>
          <w:rFonts w:ascii="Times New Roman" w:eastAsia="Times New Roman" w:hAnsi="Times New Roman" w:cs="Times New Roman"/>
          <w:sz w:val="24"/>
          <w:szCs w:val="24"/>
        </w:rPr>
        <w:t xml:space="preserve">(7), 865–878. </w:t>
      </w:r>
      <w:hyperlink r:id="rId66" w:tgtFrame="_blank" w:history="1">
        <w:r w:rsidRPr="000B0156">
          <w:rPr>
            <w:rStyle w:val="Hyperlink"/>
            <w:rFonts w:ascii="Times New Roman" w:eastAsia="Times New Roman" w:hAnsi="Times New Roman" w:cs="Times New Roman"/>
            <w:sz w:val="24"/>
            <w:szCs w:val="24"/>
          </w:rPr>
          <w:t>https://doi.org/10.1016/j.cpr.2010.03.001</w:t>
        </w:r>
      </w:hyperlink>
      <w:r w:rsidRPr="000B0156">
        <w:rPr>
          <w:rFonts w:ascii="Times New Roman" w:eastAsia="Times New Roman" w:hAnsi="Times New Roman" w:cs="Times New Roman"/>
          <w:sz w:val="24"/>
          <w:szCs w:val="24"/>
        </w:rPr>
        <w:t>. </w:t>
      </w:r>
    </w:p>
    <w:p w14:paraId="177DB633" w14:textId="127F1F9A"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Kavalali</w:t>
      </w:r>
      <w:proofErr w:type="spellEnd"/>
      <w:r w:rsidRPr="000B0156">
        <w:rPr>
          <w:rFonts w:ascii="Times New Roman" w:eastAsia="Times New Roman" w:hAnsi="Times New Roman" w:cs="Times New Roman"/>
          <w:sz w:val="24"/>
          <w:szCs w:val="24"/>
        </w:rPr>
        <w:t>, E. T. (2015). The mechanisms and functions of spontaneous neurotransmitter</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release. </w:t>
      </w:r>
      <w:r w:rsidRPr="000B0156">
        <w:rPr>
          <w:rFonts w:ascii="Times New Roman" w:eastAsia="Times New Roman" w:hAnsi="Times New Roman" w:cs="Times New Roman"/>
          <w:i/>
          <w:iCs/>
          <w:sz w:val="24"/>
          <w:szCs w:val="24"/>
        </w:rPr>
        <w:t>Nature Reviews Neuroscience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16</w:t>
      </w:r>
      <w:r w:rsidRPr="000B0156">
        <w:rPr>
          <w:rFonts w:ascii="Times New Roman" w:eastAsia="Times New Roman" w:hAnsi="Times New Roman" w:cs="Times New Roman"/>
          <w:sz w:val="24"/>
          <w:szCs w:val="24"/>
        </w:rPr>
        <w:t xml:space="preserve">(1), 5–16. </w:t>
      </w:r>
      <w:r w:rsidRPr="000B0156">
        <w:rPr>
          <w:rFonts w:ascii="Times New Roman" w:eastAsia="Times New Roman" w:hAnsi="Times New Roman" w:cs="Times New Roman"/>
          <w:sz w:val="24"/>
          <w:szCs w:val="24"/>
          <w:u w:val="single"/>
        </w:rPr>
        <w:t>https://doi</w:t>
      </w:r>
      <w:r>
        <w:rPr>
          <w:rFonts w:ascii="Times New Roman" w:eastAsia="Times New Roman" w:hAnsi="Times New Roman" w:cs="Times New Roman"/>
          <w:sz w:val="24"/>
          <w:szCs w:val="24"/>
        </w:rPr>
        <w:t>.</w:t>
      </w:r>
      <w:r w:rsidRPr="000B0156">
        <w:rPr>
          <w:rFonts w:ascii="Times New Roman" w:eastAsia="Times New Roman" w:hAnsi="Times New Roman" w:cs="Times New Roman"/>
          <w:sz w:val="24"/>
          <w:szCs w:val="24"/>
          <w:u w:val="single"/>
        </w:rPr>
        <w:t>org.ezproxy.lib.vt.edu/10.1038/nrn3875</w:t>
      </w:r>
      <w:r w:rsidRPr="000B0156">
        <w:rPr>
          <w:rFonts w:ascii="Times New Roman" w:eastAsia="Times New Roman" w:hAnsi="Times New Roman" w:cs="Times New Roman"/>
          <w:sz w:val="24"/>
          <w:szCs w:val="24"/>
        </w:rPr>
        <w:t>. </w:t>
      </w:r>
    </w:p>
    <w:p w14:paraId="4CC37CD2" w14:textId="148E7C13"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Kessler, R. C., </w:t>
      </w:r>
      <w:proofErr w:type="spellStart"/>
      <w:r w:rsidRPr="000B0156">
        <w:rPr>
          <w:rFonts w:ascii="Times New Roman" w:eastAsia="Times New Roman" w:hAnsi="Times New Roman" w:cs="Times New Roman"/>
          <w:sz w:val="24"/>
          <w:szCs w:val="24"/>
        </w:rPr>
        <w:t>Sonnega</w:t>
      </w:r>
      <w:proofErr w:type="spellEnd"/>
      <w:r w:rsidRPr="000B0156">
        <w:rPr>
          <w:rFonts w:ascii="Times New Roman" w:eastAsia="Times New Roman" w:hAnsi="Times New Roman" w:cs="Times New Roman"/>
          <w:sz w:val="24"/>
          <w:szCs w:val="24"/>
        </w:rPr>
        <w:t xml:space="preserve">, A., </w:t>
      </w:r>
      <w:proofErr w:type="spellStart"/>
      <w:r w:rsidRPr="000B0156">
        <w:rPr>
          <w:rFonts w:ascii="Times New Roman" w:eastAsia="Times New Roman" w:hAnsi="Times New Roman" w:cs="Times New Roman"/>
          <w:sz w:val="24"/>
          <w:szCs w:val="24"/>
        </w:rPr>
        <w:t>Bromet</w:t>
      </w:r>
      <w:proofErr w:type="spellEnd"/>
      <w:r w:rsidRPr="000B0156">
        <w:rPr>
          <w:rFonts w:ascii="Times New Roman" w:eastAsia="Times New Roman" w:hAnsi="Times New Roman" w:cs="Times New Roman"/>
          <w:sz w:val="24"/>
          <w:szCs w:val="24"/>
        </w:rPr>
        <w:t>, E., Hughes, M., &amp; Nelson, C. B. (1995). Posttraumatic stress disorder in the National Comorbidity Survey. </w:t>
      </w:r>
      <w:r w:rsidRPr="000B0156">
        <w:rPr>
          <w:rFonts w:ascii="Times New Roman" w:eastAsia="Times New Roman" w:hAnsi="Times New Roman" w:cs="Times New Roman"/>
          <w:i/>
          <w:iCs/>
          <w:sz w:val="24"/>
          <w:szCs w:val="24"/>
        </w:rPr>
        <w:t>Archives of general</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psychiatry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52</w:t>
      </w:r>
      <w:r w:rsidRPr="000B0156">
        <w:rPr>
          <w:rFonts w:ascii="Times New Roman" w:eastAsia="Times New Roman" w:hAnsi="Times New Roman" w:cs="Times New Roman"/>
          <w:sz w:val="24"/>
          <w:szCs w:val="24"/>
        </w:rPr>
        <w:t xml:space="preserve">(12), 1048–1060. </w:t>
      </w:r>
      <w:hyperlink r:id="rId67" w:tgtFrame="_blank" w:history="1">
        <w:r w:rsidRPr="000B0156">
          <w:rPr>
            <w:rStyle w:val="Hyperlink"/>
            <w:rFonts w:ascii="Times New Roman" w:eastAsia="Times New Roman" w:hAnsi="Times New Roman" w:cs="Times New Roman"/>
            <w:sz w:val="24"/>
            <w:szCs w:val="24"/>
          </w:rPr>
          <w:t>https://doi.org/10.1001/archpsyc.1995.03950240066012</w:t>
        </w:r>
      </w:hyperlink>
      <w:r w:rsidRPr="000B0156">
        <w:rPr>
          <w:rFonts w:ascii="Times New Roman" w:eastAsia="Times New Roman" w:hAnsi="Times New Roman" w:cs="Times New Roman"/>
          <w:sz w:val="24"/>
          <w:szCs w:val="24"/>
        </w:rPr>
        <w:t>. </w:t>
      </w:r>
    </w:p>
    <w:p w14:paraId="02986A45" w14:textId="0A84F1CA"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Kibler, J. (2011). Accommodations, Piagetian. </w:t>
      </w:r>
      <w:r w:rsidRPr="000B0156">
        <w:rPr>
          <w:rFonts w:ascii="Times New Roman" w:eastAsia="Times New Roman" w:hAnsi="Times New Roman" w:cs="Times New Roman"/>
          <w:i/>
          <w:iCs/>
          <w:sz w:val="24"/>
          <w:szCs w:val="24"/>
        </w:rPr>
        <w:t>Encyclopedia of Child Behavior and</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Development</w:t>
      </w:r>
      <w:r w:rsidRPr="000B0156">
        <w:rPr>
          <w:rFonts w:ascii="Times New Roman" w:eastAsia="Times New Roman" w:hAnsi="Times New Roman" w:cs="Times New Roman"/>
          <w:sz w:val="24"/>
          <w:szCs w:val="24"/>
        </w:rPr>
        <w:t xml:space="preserve">. Springer, Boston, MA. </w:t>
      </w:r>
      <w:hyperlink r:id="rId68" w:tgtFrame="_blank" w:history="1">
        <w:r w:rsidRPr="000B0156">
          <w:rPr>
            <w:rStyle w:val="Hyperlink"/>
            <w:rFonts w:ascii="Times New Roman" w:eastAsia="Times New Roman" w:hAnsi="Times New Roman" w:cs="Times New Roman"/>
            <w:sz w:val="24"/>
            <w:szCs w:val="24"/>
          </w:rPr>
          <w:t>https://doi.org/10.1007/978-0-387-79061-9_26</w:t>
        </w:r>
      </w:hyperlink>
      <w:r w:rsidRPr="000B0156">
        <w:rPr>
          <w:rFonts w:ascii="Times New Roman" w:eastAsia="Times New Roman" w:hAnsi="Times New Roman" w:cs="Times New Roman"/>
          <w:sz w:val="24"/>
          <w:szCs w:val="24"/>
        </w:rPr>
        <w:t>. </w:t>
      </w:r>
    </w:p>
    <w:p w14:paraId="2C3194B6" w14:textId="6CCF0BEF"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Kilpatrick, D. G., Resnick, H. S., </w:t>
      </w:r>
      <w:proofErr w:type="spellStart"/>
      <w:r w:rsidRPr="000B0156">
        <w:rPr>
          <w:rFonts w:ascii="Times New Roman" w:eastAsia="Times New Roman" w:hAnsi="Times New Roman" w:cs="Times New Roman"/>
          <w:sz w:val="24"/>
          <w:szCs w:val="24"/>
        </w:rPr>
        <w:t>Milanak</w:t>
      </w:r>
      <w:proofErr w:type="spellEnd"/>
      <w:r w:rsidRPr="000B0156">
        <w:rPr>
          <w:rFonts w:ascii="Times New Roman" w:eastAsia="Times New Roman" w:hAnsi="Times New Roman" w:cs="Times New Roman"/>
          <w:sz w:val="24"/>
          <w:szCs w:val="24"/>
        </w:rPr>
        <w:t>, M. E., Miller, M. W., Keyes, K. M., &amp; Friedman, M. J. (2013). National estimates of exposure to traumatic events and PTSD prevalence using DSM-IV and DSM-5 criteria. </w:t>
      </w:r>
      <w:r w:rsidRPr="000B0156">
        <w:rPr>
          <w:rFonts w:ascii="Times New Roman" w:eastAsia="Times New Roman" w:hAnsi="Times New Roman" w:cs="Times New Roman"/>
          <w:i/>
          <w:iCs/>
          <w:sz w:val="24"/>
          <w:szCs w:val="24"/>
        </w:rPr>
        <w:t>Journal of traumatic stress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26</w:t>
      </w:r>
      <w:r w:rsidRPr="000B0156">
        <w:rPr>
          <w:rFonts w:ascii="Times New Roman" w:eastAsia="Times New Roman" w:hAnsi="Times New Roman" w:cs="Times New Roman"/>
          <w:sz w:val="24"/>
          <w:szCs w:val="24"/>
        </w:rPr>
        <w:t>(5), 537–547.</w:t>
      </w:r>
      <w:r>
        <w:rPr>
          <w:rFonts w:ascii="Times New Roman" w:eastAsia="Times New Roman" w:hAnsi="Times New Roman" w:cs="Times New Roman"/>
          <w:sz w:val="24"/>
          <w:szCs w:val="24"/>
        </w:rPr>
        <w:t xml:space="preserve"> </w:t>
      </w:r>
      <w:hyperlink r:id="rId69" w:history="1">
        <w:r w:rsidRPr="000B0156">
          <w:rPr>
            <w:rStyle w:val="Hyperlink"/>
            <w:rFonts w:ascii="Times New Roman" w:eastAsia="Times New Roman" w:hAnsi="Times New Roman" w:cs="Times New Roman"/>
            <w:sz w:val="24"/>
            <w:szCs w:val="24"/>
          </w:rPr>
          <w:t>https://doi.org/10.1002/jts.21848</w:t>
        </w:r>
      </w:hyperlink>
      <w:r w:rsidRPr="000B0156">
        <w:rPr>
          <w:rFonts w:ascii="Times New Roman" w:eastAsia="Times New Roman" w:hAnsi="Times New Roman" w:cs="Times New Roman"/>
          <w:sz w:val="24"/>
          <w:szCs w:val="24"/>
        </w:rPr>
        <w:t>. </w:t>
      </w:r>
    </w:p>
    <w:p w14:paraId="0522D414" w14:textId="21BB2C40"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lastRenderedPageBreak/>
        <w:t>Koslouski</w:t>
      </w:r>
      <w:proofErr w:type="spellEnd"/>
      <w:r w:rsidRPr="000B0156">
        <w:rPr>
          <w:rFonts w:ascii="Times New Roman" w:eastAsia="Times New Roman" w:hAnsi="Times New Roman" w:cs="Times New Roman"/>
          <w:sz w:val="24"/>
          <w:szCs w:val="24"/>
        </w:rPr>
        <w:t xml:space="preserve">, J. B., Stark, K., </w:t>
      </w:r>
      <w:proofErr w:type="spellStart"/>
      <w:r w:rsidRPr="000B0156">
        <w:rPr>
          <w:rFonts w:ascii="Times New Roman" w:eastAsia="Times New Roman" w:hAnsi="Times New Roman" w:cs="Times New Roman"/>
          <w:sz w:val="24"/>
          <w:szCs w:val="24"/>
        </w:rPr>
        <w:t>Chafouleas</w:t>
      </w:r>
      <w:proofErr w:type="spellEnd"/>
      <w:r w:rsidRPr="000B0156">
        <w:rPr>
          <w:rFonts w:ascii="Times New Roman" w:eastAsia="Times New Roman" w:hAnsi="Times New Roman" w:cs="Times New Roman"/>
          <w:sz w:val="24"/>
          <w:szCs w:val="24"/>
        </w:rPr>
        <w:t>, S. M. (2023) Understanding and responding to the effects</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 xml:space="preserve">of trauma in the classroom: A primer for educators. </w:t>
      </w:r>
      <w:r w:rsidRPr="000B0156">
        <w:rPr>
          <w:rFonts w:ascii="Times New Roman" w:eastAsia="Times New Roman" w:hAnsi="Times New Roman" w:cs="Times New Roman"/>
          <w:i/>
          <w:iCs/>
          <w:sz w:val="24"/>
          <w:szCs w:val="24"/>
        </w:rPr>
        <w:t>Social and Emotional Learning:</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Research, Practice, and Policy, 1</w:t>
      </w:r>
      <w:r w:rsidRPr="000B0156">
        <w:rPr>
          <w:rFonts w:ascii="Times New Roman" w:eastAsia="Times New Roman" w:hAnsi="Times New Roman" w:cs="Times New Roman"/>
          <w:sz w:val="24"/>
          <w:szCs w:val="24"/>
        </w:rPr>
        <w:t xml:space="preserve">, </w:t>
      </w:r>
      <w:hyperlink r:id="rId70" w:tgtFrame="_blank" w:history="1">
        <w:r w:rsidRPr="000B0156">
          <w:rPr>
            <w:rStyle w:val="Hyperlink"/>
            <w:rFonts w:ascii="Times New Roman" w:eastAsia="Times New Roman" w:hAnsi="Times New Roman" w:cs="Times New Roman"/>
            <w:sz w:val="24"/>
            <w:szCs w:val="24"/>
          </w:rPr>
          <w:t>https://doi.org/10.1016/j.sel.2023.100004</w:t>
        </w:r>
      </w:hyperlink>
      <w:r w:rsidRPr="000B0156">
        <w:rPr>
          <w:rFonts w:ascii="Times New Roman" w:eastAsia="Times New Roman" w:hAnsi="Times New Roman" w:cs="Times New Roman"/>
          <w:sz w:val="24"/>
          <w:szCs w:val="24"/>
        </w:rPr>
        <w:t>. </w:t>
      </w:r>
    </w:p>
    <w:p w14:paraId="242EB219" w14:textId="258FBCD5"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Kretzmann J.P. &amp; McKnight, J.L. (1993) Building communities from the inside out: A path toward</w:t>
      </w:r>
      <w:r w:rsidRPr="000B0156">
        <w:rPr>
          <w:rFonts w:ascii="Times New Roman" w:eastAsia="Times New Roman" w:hAnsi="Times New Roman" w:cs="Times New Roman"/>
          <w:sz w:val="24"/>
          <w:szCs w:val="24"/>
        </w:rPr>
        <w:tab/>
        <w:t xml:space="preserve">finding and mobilizing a community’s assets. </w:t>
      </w:r>
      <w:r w:rsidRPr="000B0156">
        <w:rPr>
          <w:rFonts w:ascii="Times New Roman" w:eastAsia="Times New Roman" w:hAnsi="Times New Roman" w:cs="Times New Roman"/>
          <w:i/>
          <w:iCs/>
          <w:sz w:val="24"/>
          <w:szCs w:val="24"/>
        </w:rPr>
        <w:t>Institute of Policy Research</w:t>
      </w:r>
      <w:r w:rsidRPr="000B015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Chicago: ACTA Publications. </w:t>
      </w:r>
    </w:p>
    <w:p w14:paraId="2E7330B7"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Kube, T., </w:t>
      </w:r>
      <w:proofErr w:type="spellStart"/>
      <w:r w:rsidRPr="000B0156">
        <w:rPr>
          <w:rFonts w:ascii="Times New Roman" w:eastAsia="Times New Roman" w:hAnsi="Times New Roman" w:cs="Times New Roman"/>
          <w:sz w:val="24"/>
          <w:szCs w:val="24"/>
        </w:rPr>
        <w:t>Elssner</w:t>
      </w:r>
      <w:proofErr w:type="spellEnd"/>
      <w:r w:rsidRPr="000B0156">
        <w:rPr>
          <w:rFonts w:ascii="Times New Roman" w:eastAsia="Times New Roman" w:hAnsi="Times New Roman" w:cs="Times New Roman"/>
          <w:sz w:val="24"/>
          <w:szCs w:val="24"/>
        </w:rPr>
        <w:t xml:space="preserve">, A. C., &amp; Herzog, P. (2023). The relationship between multiple traumatic events and the severity of posttraumatic stress disorder symptoms - evidence for a cognitive link. </w:t>
      </w:r>
      <w:r w:rsidRPr="000B0156">
        <w:rPr>
          <w:rFonts w:ascii="Times New Roman" w:eastAsia="Times New Roman" w:hAnsi="Times New Roman" w:cs="Times New Roman"/>
          <w:i/>
          <w:iCs/>
          <w:sz w:val="24"/>
          <w:szCs w:val="24"/>
        </w:rPr>
        <w:t xml:space="preserve">European journal of </w:t>
      </w:r>
      <w:proofErr w:type="spellStart"/>
      <w:r w:rsidRPr="000B0156">
        <w:rPr>
          <w:rFonts w:ascii="Times New Roman" w:eastAsia="Times New Roman" w:hAnsi="Times New Roman" w:cs="Times New Roman"/>
          <w:i/>
          <w:iCs/>
          <w:sz w:val="24"/>
          <w:szCs w:val="24"/>
        </w:rPr>
        <w:t>psychotraumatology</w:t>
      </w:r>
      <w:proofErr w:type="spellEnd"/>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14</w:t>
      </w:r>
      <w:r w:rsidRPr="000B0156">
        <w:rPr>
          <w:rFonts w:ascii="Times New Roman" w:eastAsia="Times New Roman" w:hAnsi="Times New Roman" w:cs="Times New Roman"/>
          <w:sz w:val="24"/>
          <w:szCs w:val="24"/>
        </w:rPr>
        <w:t xml:space="preserve">(1), 2165025. </w:t>
      </w:r>
      <w:hyperlink r:id="rId71" w:tgtFrame="_blank" w:history="1">
        <w:r w:rsidRPr="000B0156">
          <w:rPr>
            <w:rStyle w:val="Hyperlink"/>
            <w:rFonts w:ascii="Times New Roman" w:eastAsia="Times New Roman" w:hAnsi="Times New Roman" w:cs="Times New Roman"/>
            <w:sz w:val="24"/>
            <w:szCs w:val="24"/>
          </w:rPr>
          <w:t>https://doi.org/10.1080/20008066.2023.2165025</w:t>
        </w:r>
      </w:hyperlink>
      <w:r w:rsidRPr="000B0156">
        <w:rPr>
          <w:rFonts w:ascii="Times New Roman" w:eastAsia="Times New Roman" w:hAnsi="Times New Roman" w:cs="Times New Roman"/>
          <w:sz w:val="24"/>
          <w:szCs w:val="24"/>
        </w:rPr>
        <w:t>. </w:t>
      </w:r>
    </w:p>
    <w:p w14:paraId="1420A8D6" w14:textId="2FAD3D83"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Kurzawa, N., Summerfield, C., &amp; Bogacz, R. (2017). Neural Circuits Trained with Standard Reinforcement Learning Can Accumulate Probabilistic Information during Decision Making. </w:t>
      </w:r>
      <w:r w:rsidRPr="000B0156">
        <w:rPr>
          <w:rFonts w:ascii="Times New Roman" w:eastAsia="Times New Roman" w:hAnsi="Times New Roman" w:cs="Times New Roman"/>
          <w:i/>
          <w:iCs/>
          <w:sz w:val="24"/>
          <w:szCs w:val="24"/>
        </w:rPr>
        <w:t>Neural Computation</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29</w:t>
      </w:r>
      <w:r w:rsidRPr="000B0156">
        <w:rPr>
          <w:rFonts w:ascii="Times New Roman" w:eastAsia="Times New Roman" w:hAnsi="Times New Roman" w:cs="Times New Roman"/>
          <w:sz w:val="24"/>
          <w:szCs w:val="24"/>
        </w:rPr>
        <w:t>(2), 368–393</w:t>
      </w:r>
      <w:r>
        <w:rPr>
          <w:rFonts w:ascii="Times New Roman" w:eastAsia="Times New Roman" w:hAnsi="Times New Roman" w:cs="Times New Roman"/>
          <w:sz w:val="24"/>
          <w:szCs w:val="24"/>
        </w:rPr>
        <w:t xml:space="preserve"> </w:t>
      </w:r>
      <w:hyperlink r:id="rId72" w:history="1">
        <w:r w:rsidRPr="000B0156">
          <w:rPr>
            <w:rStyle w:val="Hyperlink"/>
            <w:rFonts w:ascii="Times New Roman" w:eastAsia="Times New Roman" w:hAnsi="Times New Roman" w:cs="Times New Roman"/>
            <w:sz w:val="24"/>
            <w:szCs w:val="24"/>
          </w:rPr>
          <w:t>https://doi.org.ezproxy.lib.vt.edu/10.1162/NECO_a_00917</w:t>
        </w:r>
      </w:hyperlink>
      <w:r w:rsidRPr="000B0156">
        <w:rPr>
          <w:rFonts w:ascii="Times New Roman" w:eastAsia="Times New Roman" w:hAnsi="Times New Roman" w:cs="Times New Roman"/>
          <w:sz w:val="24"/>
          <w:szCs w:val="24"/>
        </w:rPr>
        <w:t>. </w:t>
      </w:r>
    </w:p>
    <w:p w14:paraId="43F9D0BD" w14:textId="4CAA6551"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Lamet, A., </w:t>
      </w:r>
      <w:proofErr w:type="spellStart"/>
      <w:r w:rsidRPr="000B0156">
        <w:rPr>
          <w:rFonts w:ascii="Times New Roman" w:eastAsia="Times New Roman" w:hAnsi="Times New Roman" w:cs="Times New Roman"/>
          <w:sz w:val="24"/>
          <w:szCs w:val="24"/>
        </w:rPr>
        <w:t>Szuchman</w:t>
      </w:r>
      <w:proofErr w:type="spellEnd"/>
      <w:r w:rsidRPr="000B0156">
        <w:rPr>
          <w:rFonts w:ascii="Times New Roman" w:eastAsia="Times New Roman" w:hAnsi="Times New Roman" w:cs="Times New Roman"/>
          <w:sz w:val="24"/>
          <w:szCs w:val="24"/>
        </w:rPr>
        <w:t>, L., Perkel, L., &amp; Walsh, S. (2009). Risk Factors, Resilience, and</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 xml:space="preserve">Psychological Distress Among Holocaust and </w:t>
      </w:r>
      <w:proofErr w:type="spellStart"/>
      <w:r w:rsidRPr="000B0156">
        <w:rPr>
          <w:rFonts w:ascii="Times New Roman" w:eastAsia="Times New Roman" w:hAnsi="Times New Roman" w:cs="Times New Roman"/>
          <w:sz w:val="24"/>
          <w:szCs w:val="24"/>
        </w:rPr>
        <w:t>Nonholocaust</w:t>
      </w:r>
      <w:proofErr w:type="spellEnd"/>
      <w:r w:rsidRPr="000B0156">
        <w:rPr>
          <w:rFonts w:ascii="Times New Roman" w:eastAsia="Times New Roman" w:hAnsi="Times New Roman" w:cs="Times New Roman"/>
          <w:sz w:val="24"/>
          <w:szCs w:val="24"/>
        </w:rPr>
        <w:t xml:space="preserve"> Survivors in the Post-9/11 Environment. </w:t>
      </w:r>
      <w:r w:rsidRPr="000B0156">
        <w:rPr>
          <w:rFonts w:ascii="Times New Roman" w:eastAsia="Times New Roman" w:hAnsi="Times New Roman" w:cs="Times New Roman"/>
          <w:i/>
          <w:iCs/>
          <w:sz w:val="24"/>
          <w:szCs w:val="24"/>
        </w:rPr>
        <w:t>Educational Gerontology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35</w:t>
      </w:r>
      <w:r w:rsidRPr="000B0156">
        <w:rPr>
          <w:rFonts w:ascii="Times New Roman" w:eastAsia="Times New Roman" w:hAnsi="Times New Roman" w:cs="Times New Roman"/>
          <w:sz w:val="24"/>
          <w:szCs w:val="24"/>
        </w:rPr>
        <w:t xml:space="preserve">(1), 32–46. </w:t>
      </w:r>
      <w:hyperlink r:id="rId73" w:history="1">
        <w:r w:rsidRPr="000B0156">
          <w:rPr>
            <w:rStyle w:val="Hyperlink"/>
            <w:rFonts w:ascii="Times New Roman" w:eastAsia="Times New Roman" w:hAnsi="Times New Roman" w:cs="Times New Roman"/>
            <w:sz w:val="24"/>
            <w:szCs w:val="24"/>
          </w:rPr>
          <w:t>https://doi</w:t>
        </w:r>
      </w:hyperlink>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u w:val="single"/>
        </w:rPr>
        <w:t>org.ezproxy.lib.vt.edu/10.1080/03601270802349403</w:t>
      </w:r>
      <w:r w:rsidRPr="000B0156">
        <w:rPr>
          <w:rFonts w:ascii="Times New Roman" w:eastAsia="Times New Roman" w:hAnsi="Times New Roman" w:cs="Times New Roman"/>
          <w:sz w:val="24"/>
          <w:szCs w:val="24"/>
        </w:rPr>
        <w:t>. </w:t>
      </w:r>
    </w:p>
    <w:p w14:paraId="61C9C8EF" w14:textId="6DEE65CC"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Lee, S. Y., Park, C. L., &amp; Pescatello, L. S. (2020). How trauma influences cardiovascular</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responses to stress: contributions of posttraumatic stress and cognitive appraisals. </w:t>
      </w:r>
      <w:r w:rsidRPr="000B0156">
        <w:rPr>
          <w:rFonts w:ascii="Times New Roman" w:eastAsia="Times New Roman" w:hAnsi="Times New Roman" w:cs="Times New Roman"/>
          <w:i/>
          <w:iCs/>
          <w:sz w:val="24"/>
          <w:szCs w:val="24"/>
        </w:rPr>
        <w:t>Journal of Behavioral Medicine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43</w:t>
      </w:r>
      <w:r w:rsidRPr="000B0156">
        <w:rPr>
          <w:rFonts w:ascii="Times New Roman" w:eastAsia="Times New Roman" w:hAnsi="Times New Roman" w:cs="Times New Roman"/>
          <w:sz w:val="24"/>
          <w:szCs w:val="24"/>
        </w:rPr>
        <w:t xml:space="preserve">(1), 131–142. </w:t>
      </w:r>
      <w:hyperlink r:id="rId74" w:history="1">
        <w:r w:rsidRPr="000B0156">
          <w:rPr>
            <w:rStyle w:val="Hyperlink"/>
            <w:rFonts w:ascii="Times New Roman" w:eastAsia="Times New Roman" w:hAnsi="Times New Roman" w:cs="Times New Roman"/>
            <w:sz w:val="24"/>
            <w:szCs w:val="24"/>
          </w:rPr>
          <w:t>https://doi</w:t>
        </w:r>
      </w:hyperlink>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u w:val="single"/>
        </w:rPr>
        <w:t>org.ezproxy.lib.vt.edu/10.1007/s10865-019-00067-8</w:t>
      </w:r>
      <w:r w:rsidRPr="000B0156">
        <w:rPr>
          <w:rFonts w:ascii="Times New Roman" w:eastAsia="Times New Roman" w:hAnsi="Times New Roman" w:cs="Times New Roman"/>
          <w:sz w:val="24"/>
          <w:szCs w:val="24"/>
        </w:rPr>
        <w:t>. </w:t>
      </w:r>
    </w:p>
    <w:p w14:paraId="152E76B5" w14:textId="294B5862"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744FDEE0">
        <w:rPr>
          <w:rFonts w:ascii="Times New Roman" w:eastAsia="Times New Roman" w:hAnsi="Times New Roman" w:cs="Times New Roman"/>
          <w:sz w:val="24"/>
          <w:szCs w:val="24"/>
        </w:rPr>
        <w:lastRenderedPageBreak/>
        <w:t xml:space="preserve">Lehrner, A., &amp; Yehuda, R. (2018). Trauma across generations and paths to adaptation and resilience. </w:t>
      </w:r>
      <w:r w:rsidRPr="744FDEE0">
        <w:rPr>
          <w:rFonts w:ascii="Times New Roman" w:eastAsia="Times New Roman" w:hAnsi="Times New Roman" w:cs="Times New Roman"/>
          <w:i/>
          <w:iCs/>
          <w:sz w:val="24"/>
          <w:szCs w:val="24"/>
        </w:rPr>
        <w:t xml:space="preserve">Psychological </w:t>
      </w:r>
      <w:proofErr w:type="gramStart"/>
      <w:r w:rsidRPr="744FDEE0">
        <w:rPr>
          <w:rFonts w:ascii="Times New Roman" w:eastAsia="Times New Roman" w:hAnsi="Times New Roman" w:cs="Times New Roman"/>
          <w:i/>
          <w:iCs/>
          <w:sz w:val="24"/>
          <w:szCs w:val="24"/>
        </w:rPr>
        <w:t>trauma :</w:t>
      </w:r>
      <w:proofErr w:type="gramEnd"/>
      <w:r w:rsidRPr="744FDEE0">
        <w:rPr>
          <w:rFonts w:ascii="Times New Roman" w:eastAsia="Times New Roman" w:hAnsi="Times New Roman" w:cs="Times New Roman"/>
          <w:i/>
          <w:iCs/>
          <w:sz w:val="24"/>
          <w:szCs w:val="24"/>
        </w:rPr>
        <w:t xml:space="preserve"> theory, research, practice and policy</w:t>
      </w:r>
      <w:r w:rsidRPr="744FDEE0">
        <w:rPr>
          <w:rFonts w:ascii="Times New Roman" w:eastAsia="Times New Roman" w:hAnsi="Times New Roman" w:cs="Times New Roman"/>
          <w:sz w:val="24"/>
          <w:szCs w:val="24"/>
        </w:rPr>
        <w:t xml:space="preserve">, </w:t>
      </w:r>
      <w:r w:rsidRPr="744FDEE0">
        <w:rPr>
          <w:rFonts w:ascii="Times New Roman" w:eastAsia="Times New Roman" w:hAnsi="Times New Roman" w:cs="Times New Roman"/>
          <w:i/>
          <w:iCs/>
          <w:sz w:val="24"/>
          <w:szCs w:val="24"/>
        </w:rPr>
        <w:t>10</w:t>
      </w:r>
      <w:r w:rsidRPr="744FDEE0">
        <w:rPr>
          <w:rFonts w:ascii="Times New Roman" w:eastAsia="Times New Roman" w:hAnsi="Times New Roman" w:cs="Times New Roman"/>
          <w:sz w:val="24"/>
          <w:szCs w:val="24"/>
        </w:rPr>
        <w:t xml:space="preserve">(1), 22–29. </w:t>
      </w:r>
      <w:hyperlink r:id="rId75">
        <w:r w:rsidRPr="744FDEE0">
          <w:rPr>
            <w:rStyle w:val="Hyperlink"/>
            <w:rFonts w:ascii="Times New Roman" w:eastAsia="Times New Roman" w:hAnsi="Times New Roman" w:cs="Times New Roman"/>
            <w:sz w:val="24"/>
            <w:szCs w:val="24"/>
          </w:rPr>
          <w:t>https://doi.org/10.1037/tra0000302. </w:t>
        </w:r>
      </w:hyperlink>
    </w:p>
    <w:p w14:paraId="07A6D2EF" w14:textId="79CEA9CC" w:rsidR="23D4A6F2" w:rsidRDefault="23D4A6F2" w:rsidP="744FDEE0">
      <w:pPr>
        <w:spacing w:after="0" w:line="480" w:lineRule="auto"/>
        <w:ind w:left="720" w:hanging="720"/>
        <w:rPr>
          <w:rFonts w:ascii="Times New Roman" w:eastAsia="Times New Roman" w:hAnsi="Times New Roman" w:cs="Times New Roman"/>
          <w:sz w:val="24"/>
          <w:szCs w:val="24"/>
        </w:rPr>
      </w:pPr>
      <w:r w:rsidRPr="744FDEE0">
        <w:rPr>
          <w:rFonts w:ascii="Times New Roman" w:eastAsia="Times New Roman" w:hAnsi="Times New Roman" w:cs="Times New Roman"/>
          <w:sz w:val="24"/>
          <w:szCs w:val="24"/>
        </w:rPr>
        <w:t>Levac, D., Colquhoun, H., &amp; O’Brien, K. K. (2010). Scoping studies: advancing the methodology.</w:t>
      </w:r>
      <w:r w:rsidRPr="744FDEE0">
        <w:rPr>
          <w:rFonts w:ascii="Times New Roman" w:eastAsia="Times New Roman" w:hAnsi="Times New Roman" w:cs="Times New Roman"/>
          <w:i/>
          <w:iCs/>
          <w:sz w:val="24"/>
          <w:szCs w:val="24"/>
        </w:rPr>
        <w:t xml:space="preserve"> Implementation Science, 5</w:t>
      </w:r>
      <w:r w:rsidRPr="744FDEE0">
        <w:rPr>
          <w:rFonts w:ascii="Times New Roman" w:eastAsia="Times New Roman" w:hAnsi="Times New Roman" w:cs="Times New Roman"/>
          <w:sz w:val="24"/>
          <w:szCs w:val="24"/>
        </w:rPr>
        <w:t>; 69-77.</w:t>
      </w:r>
    </w:p>
    <w:p w14:paraId="328CB73A"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Levy M. S. (1998). A helpful way to conceptualize and understand reenactments. </w:t>
      </w:r>
      <w:r w:rsidRPr="000B0156">
        <w:rPr>
          <w:rFonts w:ascii="Times New Roman" w:eastAsia="Times New Roman" w:hAnsi="Times New Roman" w:cs="Times New Roman"/>
          <w:i/>
          <w:iCs/>
          <w:sz w:val="24"/>
          <w:szCs w:val="24"/>
        </w:rPr>
        <w:t>The Journal of psychotherapy practice and research</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7</w:t>
      </w:r>
      <w:r w:rsidRPr="000B0156">
        <w:rPr>
          <w:rFonts w:ascii="Times New Roman" w:eastAsia="Times New Roman" w:hAnsi="Times New Roman" w:cs="Times New Roman"/>
          <w:sz w:val="24"/>
          <w:szCs w:val="24"/>
        </w:rPr>
        <w:t>(3), 227–235. </w:t>
      </w:r>
    </w:p>
    <w:p w14:paraId="5B5DEBC2" w14:textId="032D5931"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Lifshitz, R., Ifrah, K., Markovitz, N., &amp; </w:t>
      </w:r>
      <w:proofErr w:type="spellStart"/>
      <w:r w:rsidRPr="000B0156">
        <w:rPr>
          <w:rFonts w:ascii="Times New Roman" w:eastAsia="Times New Roman" w:hAnsi="Times New Roman" w:cs="Times New Roman"/>
          <w:sz w:val="24"/>
          <w:szCs w:val="24"/>
        </w:rPr>
        <w:t>Shmotkin</w:t>
      </w:r>
      <w:proofErr w:type="spellEnd"/>
      <w:r w:rsidRPr="000B0156">
        <w:rPr>
          <w:rFonts w:ascii="Times New Roman" w:eastAsia="Times New Roman" w:hAnsi="Times New Roman" w:cs="Times New Roman"/>
          <w:sz w:val="24"/>
          <w:szCs w:val="24"/>
        </w:rPr>
        <w:t>, D. (2020). Do past and prospective</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adversities intersect? Distinct effects of cumulative adversity and the hostile-world scenario on functioning at later life. </w:t>
      </w:r>
      <w:r w:rsidRPr="000B0156">
        <w:rPr>
          <w:rFonts w:ascii="Times New Roman" w:eastAsia="Times New Roman" w:hAnsi="Times New Roman" w:cs="Times New Roman"/>
          <w:i/>
          <w:iCs/>
          <w:sz w:val="24"/>
          <w:szCs w:val="24"/>
        </w:rPr>
        <w:t>Aging &amp; Mental Health</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24</w:t>
      </w:r>
      <w:r w:rsidRPr="000B0156">
        <w:rPr>
          <w:rFonts w:ascii="Times New Roman" w:eastAsia="Times New Roman" w:hAnsi="Times New Roman" w:cs="Times New Roman"/>
          <w:sz w:val="24"/>
          <w:szCs w:val="24"/>
        </w:rPr>
        <w:t>(7), 1116–1125.</w:t>
      </w:r>
      <w:r>
        <w:rPr>
          <w:rFonts w:ascii="Times New Roman" w:eastAsia="Times New Roman" w:hAnsi="Times New Roman" w:cs="Times New Roman"/>
          <w:sz w:val="24"/>
          <w:szCs w:val="24"/>
        </w:rPr>
        <w:t xml:space="preserve"> </w:t>
      </w:r>
      <w:hyperlink r:id="rId76" w:history="1">
        <w:r w:rsidRPr="000B0156">
          <w:rPr>
            <w:rStyle w:val="Hyperlink"/>
            <w:rFonts w:ascii="Times New Roman" w:eastAsia="Times New Roman" w:hAnsi="Times New Roman" w:cs="Times New Roman"/>
            <w:sz w:val="24"/>
            <w:szCs w:val="24"/>
          </w:rPr>
          <w:t>https://doiorg.ezproxy.lib.vt.edu/10.1080/13607863.2019.1597014</w:t>
        </w:r>
      </w:hyperlink>
      <w:r w:rsidRPr="000B0156">
        <w:rPr>
          <w:rFonts w:ascii="Times New Roman" w:eastAsia="Times New Roman" w:hAnsi="Times New Roman" w:cs="Times New Roman"/>
          <w:sz w:val="24"/>
          <w:szCs w:val="24"/>
        </w:rPr>
        <w:t> </w:t>
      </w:r>
    </w:p>
    <w:p w14:paraId="3D2A5A74" w14:textId="65023071"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Locke, E. A., &amp; Latham, G. P. (2006). New Directions in Goal-Setting Theory. Current</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 xml:space="preserve">Directions in Psychological Science, 15(5), 265-268. </w:t>
      </w:r>
      <w:hyperlink r:id="rId77" w:tgtFrame="_blank" w:history="1">
        <w:r w:rsidRPr="000B0156">
          <w:rPr>
            <w:rStyle w:val="Hyperlink"/>
            <w:rFonts w:ascii="Times New Roman" w:eastAsia="Times New Roman" w:hAnsi="Times New Roman" w:cs="Times New Roman"/>
            <w:sz w:val="24"/>
            <w:szCs w:val="24"/>
          </w:rPr>
          <w:t>https://doi.org/10.1111/j.1467 8721.2006.00449.x</w:t>
        </w:r>
      </w:hyperlink>
      <w:r w:rsidRPr="000B0156">
        <w:rPr>
          <w:rFonts w:ascii="Times New Roman" w:eastAsia="Times New Roman" w:hAnsi="Times New Roman" w:cs="Times New Roman"/>
          <w:sz w:val="24"/>
          <w:szCs w:val="24"/>
        </w:rPr>
        <w:t>. </w:t>
      </w:r>
    </w:p>
    <w:p w14:paraId="1CDCD9FA"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López-Castro, T., Saraiya, T., </w:t>
      </w:r>
      <w:proofErr w:type="spellStart"/>
      <w:r w:rsidRPr="000B0156">
        <w:rPr>
          <w:rFonts w:ascii="Times New Roman" w:eastAsia="Times New Roman" w:hAnsi="Times New Roman" w:cs="Times New Roman"/>
          <w:sz w:val="24"/>
          <w:szCs w:val="24"/>
        </w:rPr>
        <w:t>Zumberg</w:t>
      </w:r>
      <w:proofErr w:type="spellEnd"/>
      <w:r w:rsidRPr="000B0156">
        <w:rPr>
          <w:rFonts w:ascii="Times New Roman" w:eastAsia="Times New Roman" w:hAnsi="Times New Roman" w:cs="Times New Roman"/>
          <w:sz w:val="24"/>
          <w:szCs w:val="24"/>
        </w:rPr>
        <w:t xml:space="preserve">-Smith, K., &amp; Dambreville, N. (2019). Association Between Shame and Posttraumatic Stress Disorder: A Meta-Analysis. </w:t>
      </w:r>
      <w:r w:rsidRPr="000B0156">
        <w:rPr>
          <w:rFonts w:ascii="Times New Roman" w:eastAsia="Times New Roman" w:hAnsi="Times New Roman" w:cs="Times New Roman"/>
          <w:i/>
          <w:iCs/>
          <w:sz w:val="24"/>
          <w:szCs w:val="24"/>
        </w:rPr>
        <w:t>Journal of traumatic stress</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32</w:t>
      </w:r>
      <w:r w:rsidRPr="000B0156">
        <w:rPr>
          <w:rFonts w:ascii="Times New Roman" w:eastAsia="Times New Roman" w:hAnsi="Times New Roman" w:cs="Times New Roman"/>
          <w:sz w:val="24"/>
          <w:szCs w:val="24"/>
        </w:rPr>
        <w:t xml:space="preserve">(4), 484–495. </w:t>
      </w:r>
      <w:hyperlink r:id="rId78" w:tgtFrame="_blank" w:history="1">
        <w:r w:rsidRPr="000B0156">
          <w:rPr>
            <w:rStyle w:val="Hyperlink"/>
            <w:rFonts w:ascii="Times New Roman" w:eastAsia="Times New Roman" w:hAnsi="Times New Roman" w:cs="Times New Roman"/>
            <w:sz w:val="24"/>
            <w:szCs w:val="24"/>
          </w:rPr>
          <w:t>https://doi.org/10.1002/jts.22411</w:t>
        </w:r>
      </w:hyperlink>
      <w:r w:rsidRPr="000B0156">
        <w:rPr>
          <w:rFonts w:ascii="Times New Roman" w:eastAsia="Times New Roman" w:hAnsi="Times New Roman" w:cs="Times New Roman"/>
          <w:sz w:val="24"/>
          <w:szCs w:val="24"/>
        </w:rPr>
        <w:t>. </w:t>
      </w:r>
    </w:p>
    <w:p w14:paraId="5FA30A6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Luthar, S. S. (1991). Vulnerability and Resilience: A Study of </w:t>
      </w:r>
      <w:proofErr w:type="gramStart"/>
      <w:r w:rsidRPr="000B0156">
        <w:rPr>
          <w:rFonts w:ascii="Times New Roman" w:eastAsia="Times New Roman" w:hAnsi="Times New Roman" w:cs="Times New Roman"/>
          <w:sz w:val="24"/>
          <w:szCs w:val="24"/>
        </w:rPr>
        <w:t>High Risk</w:t>
      </w:r>
      <w:proofErr w:type="gramEnd"/>
      <w:r w:rsidRPr="000B0156">
        <w:rPr>
          <w:rFonts w:ascii="Times New Roman" w:eastAsia="Times New Roman" w:hAnsi="Times New Roman" w:cs="Times New Roman"/>
          <w:sz w:val="24"/>
          <w:szCs w:val="24"/>
        </w:rPr>
        <w:t xml:space="preserve"> Adolescents. </w:t>
      </w:r>
      <w:r w:rsidRPr="000B0156">
        <w:rPr>
          <w:rFonts w:ascii="Times New Roman" w:eastAsia="Times New Roman" w:hAnsi="Times New Roman" w:cs="Times New Roman"/>
          <w:i/>
          <w:iCs/>
          <w:sz w:val="24"/>
          <w:szCs w:val="24"/>
        </w:rPr>
        <w:t>Child Development</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62</w:t>
      </w:r>
      <w:r w:rsidRPr="000B0156">
        <w:rPr>
          <w:rFonts w:ascii="Times New Roman" w:eastAsia="Times New Roman" w:hAnsi="Times New Roman" w:cs="Times New Roman"/>
          <w:sz w:val="24"/>
          <w:szCs w:val="24"/>
        </w:rPr>
        <w:t xml:space="preserve">(3), 600–616. </w:t>
      </w:r>
      <w:hyperlink r:id="rId79" w:tgtFrame="_blank" w:history="1">
        <w:r w:rsidRPr="000B0156">
          <w:rPr>
            <w:rStyle w:val="Hyperlink"/>
            <w:rFonts w:ascii="Times New Roman" w:eastAsia="Times New Roman" w:hAnsi="Times New Roman" w:cs="Times New Roman"/>
            <w:sz w:val="24"/>
            <w:szCs w:val="24"/>
          </w:rPr>
          <w:t>https://doi.org/10.2307/1131134</w:t>
        </w:r>
      </w:hyperlink>
      <w:r w:rsidRPr="000B0156">
        <w:rPr>
          <w:rFonts w:ascii="Times New Roman" w:eastAsia="Times New Roman" w:hAnsi="Times New Roman" w:cs="Times New Roman"/>
          <w:sz w:val="24"/>
          <w:szCs w:val="24"/>
        </w:rPr>
        <w:t>. </w:t>
      </w:r>
    </w:p>
    <w:p w14:paraId="0CD24525" w14:textId="5575B57B"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Luthar, S. S., &amp; Cicchetti, D. (2000). The construct of resilience: implications for interventions and social policies. </w:t>
      </w:r>
      <w:r w:rsidRPr="000B0156">
        <w:rPr>
          <w:rFonts w:ascii="Times New Roman" w:eastAsia="Times New Roman" w:hAnsi="Times New Roman" w:cs="Times New Roman"/>
          <w:i/>
          <w:iCs/>
          <w:sz w:val="24"/>
          <w:szCs w:val="24"/>
        </w:rPr>
        <w:t>Development and psychopathology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12</w:t>
      </w:r>
      <w:r w:rsidRPr="000B0156">
        <w:rPr>
          <w:rFonts w:ascii="Times New Roman" w:eastAsia="Times New Roman" w:hAnsi="Times New Roman" w:cs="Times New Roman"/>
          <w:sz w:val="24"/>
          <w:szCs w:val="24"/>
        </w:rPr>
        <w:t>(4), 857–885.</w:t>
      </w:r>
      <w:r>
        <w:rPr>
          <w:rFonts w:ascii="Times New Roman" w:eastAsia="Times New Roman" w:hAnsi="Times New Roman" w:cs="Times New Roman"/>
          <w:sz w:val="24"/>
          <w:szCs w:val="24"/>
        </w:rPr>
        <w:t xml:space="preserve"> </w:t>
      </w:r>
      <w:hyperlink r:id="rId80" w:history="1">
        <w:r w:rsidRPr="000B0156">
          <w:rPr>
            <w:rStyle w:val="Hyperlink"/>
            <w:rFonts w:ascii="Times New Roman" w:eastAsia="Times New Roman" w:hAnsi="Times New Roman" w:cs="Times New Roman"/>
            <w:sz w:val="24"/>
            <w:szCs w:val="24"/>
          </w:rPr>
          <w:t>https://doi.org/10.1017/s0954579400004156</w:t>
        </w:r>
      </w:hyperlink>
      <w:r w:rsidRPr="000B0156">
        <w:rPr>
          <w:rFonts w:ascii="Times New Roman" w:eastAsia="Times New Roman" w:hAnsi="Times New Roman" w:cs="Times New Roman"/>
          <w:sz w:val="24"/>
          <w:szCs w:val="24"/>
        </w:rPr>
        <w:t>. </w:t>
      </w:r>
    </w:p>
    <w:p w14:paraId="79B3535C" w14:textId="740C29F9"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Luthar, S. S., &amp; Zigler, E. (1991). Vulnerability and competence: a review of research on</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resilience in childhood. </w:t>
      </w:r>
      <w:r w:rsidRPr="000B0156">
        <w:rPr>
          <w:rFonts w:ascii="Times New Roman" w:eastAsia="Times New Roman" w:hAnsi="Times New Roman" w:cs="Times New Roman"/>
          <w:i/>
          <w:iCs/>
          <w:sz w:val="24"/>
          <w:szCs w:val="24"/>
        </w:rPr>
        <w:t>The American journal of orthopsychiatry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61</w:t>
      </w:r>
      <w:r w:rsidRPr="000B0156">
        <w:rPr>
          <w:rFonts w:ascii="Times New Roman" w:eastAsia="Times New Roman" w:hAnsi="Times New Roman" w:cs="Times New Roman"/>
          <w:sz w:val="24"/>
          <w:szCs w:val="24"/>
        </w:rPr>
        <w:t>(1), 6–22.</w:t>
      </w:r>
      <w:r>
        <w:rPr>
          <w:rFonts w:ascii="Times New Roman" w:eastAsia="Times New Roman" w:hAnsi="Times New Roman" w:cs="Times New Roman"/>
          <w:sz w:val="24"/>
          <w:szCs w:val="24"/>
        </w:rPr>
        <w:t xml:space="preserve"> </w:t>
      </w:r>
      <w:hyperlink r:id="rId81" w:history="1">
        <w:r w:rsidRPr="000B0156">
          <w:rPr>
            <w:rStyle w:val="Hyperlink"/>
            <w:rFonts w:ascii="Times New Roman" w:eastAsia="Times New Roman" w:hAnsi="Times New Roman" w:cs="Times New Roman"/>
            <w:sz w:val="24"/>
            <w:szCs w:val="24"/>
          </w:rPr>
          <w:t>https://doi.org/10.1037/h0079218</w:t>
        </w:r>
      </w:hyperlink>
      <w:r w:rsidRPr="000B0156">
        <w:rPr>
          <w:rFonts w:ascii="Times New Roman" w:eastAsia="Times New Roman" w:hAnsi="Times New Roman" w:cs="Times New Roman"/>
          <w:sz w:val="24"/>
          <w:szCs w:val="24"/>
        </w:rPr>
        <w:t>. </w:t>
      </w:r>
    </w:p>
    <w:p w14:paraId="6F91F617" w14:textId="13A92722"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Lyndon, S., &amp; Corlett, P. R. (2020). Hallucinations in posttraumatic stress disorder: Insights from predictive coding. </w:t>
      </w:r>
      <w:r w:rsidRPr="000B0156">
        <w:rPr>
          <w:rFonts w:ascii="Times New Roman" w:eastAsia="Times New Roman" w:hAnsi="Times New Roman" w:cs="Times New Roman"/>
          <w:i/>
          <w:iCs/>
          <w:sz w:val="24"/>
          <w:szCs w:val="24"/>
        </w:rPr>
        <w:t>Journal of abnormal psychology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129</w:t>
      </w:r>
      <w:r w:rsidRPr="000B0156">
        <w:rPr>
          <w:rFonts w:ascii="Times New Roman" w:eastAsia="Times New Roman" w:hAnsi="Times New Roman" w:cs="Times New Roman"/>
          <w:sz w:val="24"/>
          <w:szCs w:val="24"/>
        </w:rPr>
        <w:t>(6), 534–543.</w:t>
      </w:r>
      <w:r>
        <w:rPr>
          <w:rFonts w:ascii="Times New Roman" w:eastAsia="Times New Roman" w:hAnsi="Times New Roman" w:cs="Times New Roman"/>
          <w:sz w:val="24"/>
          <w:szCs w:val="24"/>
        </w:rPr>
        <w:t xml:space="preserve"> </w:t>
      </w:r>
      <w:hyperlink r:id="rId82" w:history="1">
        <w:r w:rsidRPr="000B0156">
          <w:rPr>
            <w:rStyle w:val="Hyperlink"/>
            <w:rFonts w:ascii="Times New Roman" w:eastAsia="Times New Roman" w:hAnsi="Times New Roman" w:cs="Times New Roman"/>
            <w:sz w:val="24"/>
            <w:szCs w:val="24"/>
          </w:rPr>
          <w:t>https://doi.org/10.1037/abn0000531</w:t>
        </w:r>
      </w:hyperlink>
      <w:r w:rsidRPr="000B0156">
        <w:rPr>
          <w:rFonts w:ascii="Times New Roman" w:eastAsia="Times New Roman" w:hAnsi="Times New Roman" w:cs="Times New Roman"/>
          <w:sz w:val="24"/>
          <w:szCs w:val="24"/>
        </w:rPr>
        <w:t>. </w:t>
      </w:r>
    </w:p>
    <w:p w14:paraId="4D9AD25B" w14:textId="5CA32F5B"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736BBD3F">
        <w:rPr>
          <w:rFonts w:ascii="Times New Roman" w:eastAsia="Times New Roman" w:hAnsi="Times New Roman" w:cs="Times New Roman"/>
          <w:sz w:val="24"/>
          <w:szCs w:val="24"/>
        </w:rPr>
        <w:t>Masten, A. (2001). Ordinary Magic: Resilience Processes in Development. American Psychologist, 56 (3), 227-238. doi:10.1037//0003-066X.56.3.227. </w:t>
      </w:r>
    </w:p>
    <w:p w14:paraId="11857716" w14:textId="58A2F86E" w:rsidR="000B0156" w:rsidRPr="000B0156" w:rsidRDefault="2CFC7323" w:rsidP="736BBD3F">
      <w:pPr>
        <w:spacing w:after="0" w:line="480" w:lineRule="auto"/>
        <w:ind w:left="720" w:hanging="720"/>
        <w:rPr>
          <w:rFonts w:ascii="Times New Roman" w:eastAsia="Times New Roman" w:hAnsi="Times New Roman" w:cs="Times New Roman"/>
          <w:color w:val="212121"/>
          <w:sz w:val="24"/>
          <w:szCs w:val="24"/>
        </w:rPr>
      </w:pPr>
      <w:r w:rsidRPr="736BBD3F">
        <w:rPr>
          <w:rFonts w:ascii="Times New Roman" w:eastAsia="Times New Roman" w:hAnsi="Times New Roman" w:cs="Times New Roman"/>
          <w:sz w:val="24"/>
          <w:szCs w:val="24"/>
        </w:rPr>
        <w:t xml:space="preserve">Masten A. S. (2014). Global perspectives on resilience in children and youth. </w:t>
      </w:r>
      <w:r w:rsidRPr="736BBD3F">
        <w:rPr>
          <w:rFonts w:ascii="Times New Roman" w:eastAsia="Times New Roman" w:hAnsi="Times New Roman" w:cs="Times New Roman"/>
          <w:i/>
          <w:iCs/>
          <w:sz w:val="24"/>
          <w:szCs w:val="24"/>
        </w:rPr>
        <w:t>Child development</w:t>
      </w:r>
      <w:r w:rsidRPr="736BBD3F">
        <w:rPr>
          <w:rFonts w:ascii="Times New Roman" w:eastAsia="Times New Roman" w:hAnsi="Times New Roman" w:cs="Times New Roman"/>
          <w:sz w:val="24"/>
          <w:szCs w:val="24"/>
        </w:rPr>
        <w:t xml:space="preserve">, </w:t>
      </w:r>
      <w:r w:rsidRPr="736BBD3F">
        <w:rPr>
          <w:rFonts w:ascii="Times New Roman" w:eastAsia="Times New Roman" w:hAnsi="Times New Roman" w:cs="Times New Roman"/>
          <w:i/>
          <w:iCs/>
          <w:sz w:val="24"/>
          <w:szCs w:val="24"/>
        </w:rPr>
        <w:t>85</w:t>
      </w:r>
      <w:r w:rsidRPr="736BBD3F">
        <w:rPr>
          <w:rFonts w:ascii="Times New Roman" w:eastAsia="Times New Roman" w:hAnsi="Times New Roman" w:cs="Times New Roman"/>
          <w:sz w:val="24"/>
          <w:szCs w:val="24"/>
        </w:rPr>
        <w:t>(1), 6–20</w:t>
      </w:r>
      <w:r w:rsidRPr="736BBD3F">
        <w:rPr>
          <w:rFonts w:ascii="Times New Roman" w:eastAsia="Times New Roman" w:hAnsi="Times New Roman" w:cs="Times New Roman"/>
          <w:color w:val="212121"/>
          <w:sz w:val="24"/>
          <w:szCs w:val="24"/>
        </w:rPr>
        <w:t xml:space="preserve">. </w:t>
      </w:r>
      <w:hyperlink r:id="rId83">
        <w:r w:rsidRPr="736BBD3F">
          <w:rPr>
            <w:rStyle w:val="Hyperlink"/>
            <w:rFonts w:ascii="Times New Roman" w:eastAsia="Times New Roman" w:hAnsi="Times New Roman" w:cs="Times New Roman"/>
            <w:sz w:val="24"/>
            <w:szCs w:val="24"/>
          </w:rPr>
          <w:t>https://doi.org/10.1111/cdev.12205</w:t>
        </w:r>
      </w:hyperlink>
      <w:r w:rsidRPr="736BBD3F">
        <w:rPr>
          <w:rFonts w:ascii="Times New Roman" w:eastAsia="Times New Roman" w:hAnsi="Times New Roman" w:cs="Times New Roman"/>
          <w:color w:val="212121"/>
          <w:sz w:val="24"/>
          <w:szCs w:val="24"/>
        </w:rPr>
        <w:t>.</w:t>
      </w:r>
    </w:p>
    <w:p w14:paraId="4784CC98" w14:textId="1EDA3B39" w:rsidR="000B0156" w:rsidRPr="000B0156" w:rsidRDefault="000B0156" w:rsidP="736BBD3F">
      <w:pPr>
        <w:spacing w:after="0" w:line="480" w:lineRule="auto"/>
        <w:ind w:left="720" w:hanging="720"/>
        <w:rPr>
          <w:rFonts w:ascii="Times New Roman" w:eastAsia="Times New Roman" w:hAnsi="Times New Roman" w:cs="Times New Roman"/>
          <w:sz w:val="24"/>
          <w:szCs w:val="24"/>
        </w:rPr>
      </w:pPr>
      <w:r w:rsidRPr="736BBD3F">
        <w:rPr>
          <w:rFonts w:ascii="Times New Roman" w:eastAsia="Times New Roman" w:hAnsi="Times New Roman" w:cs="Times New Roman"/>
          <w:sz w:val="24"/>
          <w:szCs w:val="24"/>
        </w:rPr>
        <w:t xml:space="preserve">Masten, A.S. (2019), Resilience from a developmental systems perspective. </w:t>
      </w:r>
      <w:r w:rsidRPr="736BBD3F">
        <w:rPr>
          <w:rFonts w:ascii="Times New Roman" w:eastAsia="Times New Roman" w:hAnsi="Times New Roman" w:cs="Times New Roman"/>
          <w:i/>
          <w:iCs/>
          <w:sz w:val="24"/>
          <w:szCs w:val="24"/>
        </w:rPr>
        <w:t>World Psychiatry, 18</w:t>
      </w:r>
      <w:r w:rsidRPr="736BBD3F">
        <w:rPr>
          <w:rFonts w:ascii="Times New Roman" w:eastAsia="Times New Roman" w:hAnsi="Times New Roman" w:cs="Times New Roman"/>
          <w:sz w:val="24"/>
          <w:szCs w:val="24"/>
        </w:rPr>
        <w:t xml:space="preserve">: 101-102. </w:t>
      </w:r>
      <w:hyperlink r:id="rId84">
        <w:r w:rsidRPr="736BBD3F">
          <w:rPr>
            <w:rStyle w:val="Hyperlink"/>
            <w:rFonts w:ascii="Times New Roman" w:eastAsia="Times New Roman" w:hAnsi="Times New Roman" w:cs="Times New Roman"/>
            <w:sz w:val="24"/>
            <w:szCs w:val="24"/>
          </w:rPr>
          <w:t>https://doi.org/10.1002/wps.20591. </w:t>
        </w:r>
      </w:hyperlink>
    </w:p>
    <w:p w14:paraId="75050BD2" w14:textId="65C0C16F" w:rsidR="000B0156" w:rsidRDefault="4B935986" w:rsidP="736BBD3F">
      <w:pPr>
        <w:spacing w:after="0" w:line="480" w:lineRule="auto"/>
        <w:ind w:left="720" w:hanging="720"/>
        <w:rPr>
          <w:rFonts w:ascii="Times New Roman" w:eastAsia="Times New Roman" w:hAnsi="Times New Roman" w:cs="Times New Roman"/>
          <w:sz w:val="24"/>
          <w:szCs w:val="24"/>
        </w:rPr>
      </w:pPr>
      <w:r w:rsidRPr="736BBD3F">
        <w:rPr>
          <w:rFonts w:ascii="Times New Roman" w:eastAsia="Times New Roman" w:hAnsi="Times New Roman" w:cs="Times New Roman"/>
          <w:sz w:val="24"/>
          <w:szCs w:val="24"/>
        </w:rPr>
        <w:t xml:space="preserve">Masten, A. S., &amp; Barnes, A. J. (2018). Resilience in Children: Developmental Perspectives. </w:t>
      </w:r>
      <w:r w:rsidRPr="736BBD3F">
        <w:rPr>
          <w:rFonts w:ascii="Times New Roman" w:eastAsia="Times New Roman" w:hAnsi="Times New Roman" w:cs="Times New Roman"/>
          <w:i/>
          <w:iCs/>
          <w:sz w:val="24"/>
          <w:szCs w:val="24"/>
        </w:rPr>
        <w:t>Children (Basel, Switzerland)</w:t>
      </w:r>
      <w:r w:rsidRPr="736BBD3F">
        <w:rPr>
          <w:rFonts w:ascii="Times New Roman" w:eastAsia="Times New Roman" w:hAnsi="Times New Roman" w:cs="Times New Roman"/>
          <w:sz w:val="24"/>
          <w:szCs w:val="24"/>
        </w:rPr>
        <w:t xml:space="preserve">, </w:t>
      </w:r>
      <w:r w:rsidRPr="736BBD3F">
        <w:rPr>
          <w:rFonts w:ascii="Times New Roman" w:eastAsia="Times New Roman" w:hAnsi="Times New Roman" w:cs="Times New Roman"/>
          <w:i/>
          <w:iCs/>
          <w:sz w:val="24"/>
          <w:szCs w:val="24"/>
        </w:rPr>
        <w:t>5</w:t>
      </w:r>
      <w:r w:rsidRPr="736BBD3F">
        <w:rPr>
          <w:rFonts w:ascii="Times New Roman" w:eastAsia="Times New Roman" w:hAnsi="Times New Roman" w:cs="Times New Roman"/>
          <w:sz w:val="24"/>
          <w:szCs w:val="24"/>
        </w:rPr>
        <w:t xml:space="preserve">(7), 98. </w:t>
      </w:r>
      <w:hyperlink r:id="rId85">
        <w:r w:rsidRPr="736BBD3F">
          <w:rPr>
            <w:rStyle w:val="Hyperlink"/>
            <w:rFonts w:ascii="Times New Roman" w:eastAsia="Times New Roman" w:hAnsi="Times New Roman" w:cs="Times New Roman"/>
            <w:sz w:val="24"/>
            <w:szCs w:val="24"/>
          </w:rPr>
          <w:t>https://doi.org/10.3390/children5070098</w:t>
        </w:r>
      </w:hyperlink>
      <w:r w:rsidRPr="736BBD3F">
        <w:rPr>
          <w:rFonts w:ascii="Times New Roman" w:eastAsia="Times New Roman" w:hAnsi="Times New Roman" w:cs="Times New Roman"/>
          <w:sz w:val="24"/>
          <w:szCs w:val="24"/>
        </w:rPr>
        <w:t>.</w:t>
      </w:r>
    </w:p>
    <w:p w14:paraId="4CA9AD66" w14:textId="48292AF8" w:rsidR="000B0156" w:rsidRDefault="000B0156" w:rsidP="736BBD3F">
      <w:pPr>
        <w:spacing w:after="0" w:line="480" w:lineRule="auto"/>
        <w:ind w:left="720" w:hanging="720"/>
        <w:rPr>
          <w:rFonts w:ascii="Times New Roman" w:eastAsia="Times New Roman" w:hAnsi="Times New Roman" w:cs="Times New Roman"/>
          <w:sz w:val="24"/>
          <w:szCs w:val="24"/>
        </w:rPr>
      </w:pPr>
      <w:r w:rsidRPr="736BBD3F">
        <w:rPr>
          <w:rFonts w:ascii="Times New Roman" w:eastAsia="Times New Roman" w:hAnsi="Times New Roman" w:cs="Times New Roman"/>
          <w:sz w:val="24"/>
          <w:szCs w:val="24"/>
        </w:rPr>
        <w:t>McGuire, A. P., Gauthier, J. M., Anderson, L. M., Hollingsworth, D. W., Tracy, M., Galea, S., &amp; Coffey, S. F. (2018). Social Support Moderates Effects of Natural Disaster Exposure on Depression and Posttraumatic Stress Disorder Symptoms: Effects for Displaced and Nondisplaced Residents. </w:t>
      </w:r>
      <w:r w:rsidRPr="736BBD3F">
        <w:rPr>
          <w:rFonts w:ascii="Times New Roman" w:eastAsia="Times New Roman" w:hAnsi="Times New Roman" w:cs="Times New Roman"/>
          <w:i/>
          <w:iCs/>
          <w:sz w:val="24"/>
          <w:szCs w:val="24"/>
        </w:rPr>
        <w:t>Journal of Traumatic Stress</w:t>
      </w:r>
      <w:r w:rsidRPr="736BBD3F">
        <w:rPr>
          <w:rFonts w:ascii="Times New Roman" w:eastAsia="Times New Roman" w:hAnsi="Times New Roman" w:cs="Times New Roman"/>
          <w:sz w:val="24"/>
          <w:szCs w:val="24"/>
        </w:rPr>
        <w:t>, </w:t>
      </w:r>
      <w:r w:rsidRPr="736BBD3F">
        <w:rPr>
          <w:rFonts w:ascii="Times New Roman" w:eastAsia="Times New Roman" w:hAnsi="Times New Roman" w:cs="Times New Roman"/>
          <w:i/>
          <w:iCs/>
          <w:sz w:val="24"/>
          <w:szCs w:val="24"/>
        </w:rPr>
        <w:t>31</w:t>
      </w:r>
      <w:r w:rsidRPr="736BBD3F">
        <w:rPr>
          <w:rFonts w:ascii="Times New Roman" w:eastAsia="Times New Roman" w:hAnsi="Times New Roman" w:cs="Times New Roman"/>
          <w:sz w:val="24"/>
          <w:szCs w:val="24"/>
        </w:rPr>
        <w:t xml:space="preserve">(2), 223–233. </w:t>
      </w:r>
      <w:r w:rsidRPr="736BBD3F">
        <w:rPr>
          <w:rFonts w:ascii="Times New Roman" w:eastAsia="Times New Roman" w:hAnsi="Times New Roman" w:cs="Times New Roman"/>
          <w:sz w:val="24"/>
          <w:szCs w:val="24"/>
          <w:u w:val="single"/>
        </w:rPr>
        <w:t>https://doi</w:t>
      </w:r>
      <w:r w:rsidRPr="736BBD3F">
        <w:rPr>
          <w:rFonts w:ascii="Times New Roman" w:eastAsia="Times New Roman" w:hAnsi="Times New Roman" w:cs="Times New Roman"/>
          <w:sz w:val="24"/>
          <w:szCs w:val="24"/>
        </w:rPr>
        <w:t>.</w:t>
      </w:r>
      <w:r w:rsidRPr="736BBD3F">
        <w:rPr>
          <w:rFonts w:ascii="Times New Roman" w:eastAsia="Times New Roman" w:hAnsi="Times New Roman" w:cs="Times New Roman"/>
          <w:sz w:val="24"/>
          <w:szCs w:val="24"/>
          <w:u w:val="single"/>
        </w:rPr>
        <w:t>org.ezproxy.lib.vt.edu/10.1002/jts.22270</w:t>
      </w:r>
      <w:r w:rsidRPr="736BBD3F">
        <w:rPr>
          <w:rFonts w:ascii="Times New Roman" w:eastAsia="Times New Roman" w:hAnsi="Times New Roman" w:cs="Times New Roman"/>
          <w:sz w:val="24"/>
          <w:szCs w:val="24"/>
        </w:rPr>
        <w:t>. </w:t>
      </w:r>
    </w:p>
    <w:p w14:paraId="246DF527" w14:textId="2F9C6430" w:rsidR="000B0156" w:rsidRPr="000B0156" w:rsidRDefault="000B0156" w:rsidP="000B0156">
      <w:pPr>
        <w:spacing w:after="0" w:line="480" w:lineRule="auto"/>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Menchaca, M. (1997). Early racist discourses: Roots of deficit thinking</w:t>
      </w:r>
      <w:r w:rsidRPr="000B0156">
        <w:rPr>
          <w:rFonts w:ascii="Times New Roman" w:eastAsia="Times New Roman" w:hAnsi="Times New Roman" w:cs="Times New Roman"/>
          <w:i/>
          <w:iCs/>
          <w:sz w:val="24"/>
          <w:szCs w:val="24"/>
        </w:rPr>
        <w:t>. The evolution of deficit</w:t>
      </w:r>
      <w:r>
        <w:rPr>
          <w:rFonts w:ascii="Times New Roman" w:eastAsia="Times New Roman" w:hAnsi="Times New Roman" w:cs="Times New Roman"/>
          <w:i/>
          <w:iCs/>
          <w:sz w:val="24"/>
          <w:szCs w:val="24"/>
        </w:rPr>
        <w:tab/>
      </w:r>
      <w:r w:rsidRPr="000B0156">
        <w:rPr>
          <w:rFonts w:ascii="Times New Roman" w:eastAsia="Times New Roman" w:hAnsi="Times New Roman" w:cs="Times New Roman"/>
          <w:i/>
          <w:iCs/>
          <w:sz w:val="24"/>
          <w:szCs w:val="24"/>
        </w:rPr>
        <w:t>thinking: Educational thought and practice.</w:t>
      </w:r>
      <w:r w:rsidRPr="000B0156">
        <w:rPr>
          <w:rFonts w:ascii="Times New Roman" w:eastAsia="Times New Roman" w:hAnsi="Times New Roman" w:cs="Times New Roman"/>
          <w:sz w:val="24"/>
          <w:szCs w:val="24"/>
        </w:rPr>
        <w:t xml:space="preserve"> The Falmer Press. 13-40.  </w:t>
      </w:r>
    </w:p>
    <w:p w14:paraId="29629D81"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Menschner</w:t>
      </w:r>
      <w:proofErr w:type="spellEnd"/>
      <w:r w:rsidRPr="000B0156">
        <w:rPr>
          <w:rFonts w:ascii="Times New Roman" w:eastAsia="Times New Roman" w:hAnsi="Times New Roman" w:cs="Times New Roman"/>
          <w:sz w:val="24"/>
          <w:szCs w:val="24"/>
        </w:rPr>
        <w:t xml:space="preserve">, C., &amp; Maul, A. (2016). </w:t>
      </w:r>
      <w:r w:rsidRPr="000B0156">
        <w:rPr>
          <w:rFonts w:ascii="Times New Roman" w:eastAsia="Times New Roman" w:hAnsi="Times New Roman" w:cs="Times New Roman"/>
          <w:i/>
          <w:iCs/>
          <w:sz w:val="24"/>
          <w:szCs w:val="24"/>
        </w:rPr>
        <w:t>Key ingredients for successful trauma-informed care implementation</w:t>
      </w:r>
      <w:r w:rsidRPr="000B0156">
        <w:rPr>
          <w:rFonts w:ascii="Times New Roman" w:eastAsia="Times New Roman" w:hAnsi="Times New Roman" w:cs="Times New Roman"/>
          <w:sz w:val="24"/>
          <w:szCs w:val="24"/>
        </w:rPr>
        <w:t xml:space="preserve"> (pp. 1-12). Trenton: Center for Health Care Strategies, Incorporated. </w:t>
      </w:r>
    </w:p>
    <w:p w14:paraId="47412A84"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Miyake, A., &amp; Friedman, N. P. (2012). The Nature and Organization of Individual Differences in Executive Functions: Four General Conclusions. </w:t>
      </w:r>
      <w:r w:rsidRPr="000B0156">
        <w:rPr>
          <w:rFonts w:ascii="Times New Roman" w:eastAsia="Times New Roman" w:hAnsi="Times New Roman" w:cs="Times New Roman"/>
          <w:i/>
          <w:iCs/>
          <w:sz w:val="24"/>
          <w:szCs w:val="24"/>
        </w:rPr>
        <w:t>Current directions in psychological science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21</w:t>
      </w:r>
      <w:r w:rsidRPr="000B0156">
        <w:rPr>
          <w:rFonts w:ascii="Times New Roman" w:eastAsia="Times New Roman" w:hAnsi="Times New Roman" w:cs="Times New Roman"/>
          <w:sz w:val="24"/>
          <w:szCs w:val="24"/>
        </w:rPr>
        <w:t xml:space="preserve">(1), 8–14. </w:t>
      </w:r>
      <w:hyperlink r:id="rId86" w:tgtFrame="_blank" w:history="1">
        <w:r w:rsidRPr="000B0156">
          <w:rPr>
            <w:rStyle w:val="Hyperlink"/>
            <w:rFonts w:ascii="Times New Roman" w:eastAsia="Times New Roman" w:hAnsi="Times New Roman" w:cs="Times New Roman"/>
            <w:sz w:val="24"/>
            <w:szCs w:val="24"/>
          </w:rPr>
          <w:t>https://doi.org/10.1177/0963721411429458</w:t>
        </w:r>
      </w:hyperlink>
      <w:r w:rsidRPr="000B0156">
        <w:rPr>
          <w:rFonts w:ascii="Times New Roman" w:eastAsia="Times New Roman" w:hAnsi="Times New Roman" w:cs="Times New Roman"/>
          <w:sz w:val="24"/>
          <w:szCs w:val="24"/>
        </w:rPr>
        <w:t>. </w:t>
      </w:r>
    </w:p>
    <w:p w14:paraId="2A08DCD3" w14:textId="18255E61"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Morgan, A., &amp; </w:t>
      </w:r>
      <w:proofErr w:type="spellStart"/>
      <w:r w:rsidRPr="000B0156">
        <w:rPr>
          <w:rFonts w:ascii="Times New Roman" w:eastAsia="Times New Roman" w:hAnsi="Times New Roman" w:cs="Times New Roman"/>
          <w:sz w:val="24"/>
          <w:szCs w:val="24"/>
        </w:rPr>
        <w:t>Ziglio</w:t>
      </w:r>
      <w:proofErr w:type="spellEnd"/>
      <w:r w:rsidRPr="000B0156">
        <w:rPr>
          <w:rFonts w:ascii="Times New Roman" w:eastAsia="Times New Roman" w:hAnsi="Times New Roman" w:cs="Times New Roman"/>
          <w:sz w:val="24"/>
          <w:szCs w:val="24"/>
        </w:rPr>
        <w:t xml:space="preserve">, E. (2007). </w:t>
      </w:r>
      <w:proofErr w:type="spellStart"/>
      <w:r w:rsidRPr="000B0156">
        <w:rPr>
          <w:rFonts w:ascii="Times New Roman" w:eastAsia="Times New Roman" w:hAnsi="Times New Roman" w:cs="Times New Roman"/>
          <w:sz w:val="24"/>
          <w:szCs w:val="24"/>
        </w:rPr>
        <w:t>Revitalising</w:t>
      </w:r>
      <w:proofErr w:type="spellEnd"/>
      <w:r w:rsidRPr="000B0156">
        <w:rPr>
          <w:rFonts w:ascii="Times New Roman" w:eastAsia="Times New Roman" w:hAnsi="Times New Roman" w:cs="Times New Roman"/>
          <w:sz w:val="24"/>
          <w:szCs w:val="24"/>
        </w:rPr>
        <w:t xml:space="preserve"> the evidence base for public health: an assets model. </w:t>
      </w:r>
      <w:r w:rsidRPr="000B0156">
        <w:rPr>
          <w:rFonts w:ascii="Times New Roman" w:eastAsia="Times New Roman" w:hAnsi="Times New Roman" w:cs="Times New Roman"/>
          <w:i/>
          <w:iCs/>
          <w:sz w:val="24"/>
          <w:szCs w:val="24"/>
        </w:rPr>
        <w:t>Promotion &amp; education</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Suppl 2</w:t>
      </w:r>
      <w:r w:rsidRPr="000B0156">
        <w:rPr>
          <w:rFonts w:ascii="Times New Roman" w:eastAsia="Times New Roman" w:hAnsi="Times New Roman" w:cs="Times New Roman"/>
          <w:sz w:val="24"/>
          <w:szCs w:val="24"/>
        </w:rPr>
        <w:t>, 17–22.</w:t>
      </w:r>
      <w:r>
        <w:rPr>
          <w:rFonts w:ascii="Times New Roman" w:eastAsia="Times New Roman" w:hAnsi="Times New Roman" w:cs="Times New Roman"/>
          <w:sz w:val="24"/>
          <w:szCs w:val="24"/>
        </w:rPr>
        <w:t xml:space="preserve"> </w:t>
      </w:r>
      <w:hyperlink r:id="rId87" w:history="1">
        <w:r w:rsidRPr="000B0156">
          <w:rPr>
            <w:rStyle w:val="Hyperlink"/>
            <w:rFonts w:ascii="Times New Roman" w:eastAsia="Times New Roman" w:hAnsi="Times New Roman" w:cs="Times New Roman"/>
            <w:sz w:val="24"/>
            <w:szCs w:val="24"/>
          </w:rPr>
          <w:t>https://doi.org/10.1177/10253823070140020701x</w:t>
        </w:r>
      </w:hyperlink>
      <w:r w:rsidRPr="000B0156">
        <w:rPr>
          <w:rFonts w:ascii="Times New Roman" w:eastAsia="Times New Roman" w:hAnsi="Times New Roman" w:cs="Times New Roman"/>
          <w:sz w:val="24"/>
          <w:szCs w:val="24"/>
        </w:rPr>
        <w:t>. </w:t>
      </w:r>
    </w:p>
    <w:p w14:paraId="310C6072" w14:textId="61CDD330"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Morgan, M. (2011). Resilience and recurring adverse events: Testing an assets-based model of beginning teachers’ experiences. </w:t>
      </w:r>
      <w:r w:rsidRPr="000B0156">
        <w:rPr>
          <w:rFonts w:ascii="Times New Roman" w:eastAsia="Times New Roman" w:hAnsi="Times New Roman" w:cs="Times New Roman"/>
          <w:i/>
          <w:iCs/>
          <w:sz w:val="24"/>
          <w:szCs w:val="24"/>
        </w:rPr>
        <w:t>The Irish Journal of Psychology, 32</w:t>
      </w:r>
      <w:r w:rsidRPr="000B0156">
        <w:rPr>
          <w:rFonts w:ascii="Times New Roman" w:eastAsia="Times New Roman" w:hAnsi="Times New Roman" w:cs="Times New Roman"/>
          <w:sz w:val="24"/>
          <w:szCs w:val="24"/>
        </w:rPr>
        <w:t>(3-4), 92</w:t>
      </w:r>
      <w:r>
        <w:rPr>
          <w:rFonts w:ascii="Times New Roman" w:eastAsia="Times New Roman" w:hAnsi="Times New Roman" w:cs="Times New Roman"/>
          <w:sz w:val="24"/>
          <w:szCs w:val="24"/>
        </w:rPr>
        <w:t>-</w:t>
      </w:r>
      <w:r w:rsidRPr="000B0156">
        <w:rPr>
          <w:rFonts w:ascii="Times New Roman" w:eastAsia="Times New Roman" w:hAnsi="Times New Roman" w:cs="Times New Roman"/>
          <w:sz w:val="24"/>
          <w:szCs w:val="24"/>
        </w:rPr>
        <w:t>104. </w:t>
      </w:r>
      <w:hyperlink r:id="rId88" w:tgtFrame="_blank" w:history="1">
        <w:r w:rsidRPr="000B0156">
          <w:rPr>
            <w:rStyle w:val="Hyperlink"/>
            <w:rFonts w:ascii="Times New Roman" w:eastAsia="Times New Roman" w:hAnsi="Times New Roman" w:cs="Times New Roman"/>
            <w:sz w:val="24"/>
            <w:szCs w:val="24"/>
          </w:rPr>
          <w:t>https://doi.org/10.1080/03033910.2011.613189</w:t>
        </w:r>
      </w:hyperlink>
      <w:r w:rsidRPr="000B0156">
        <w:rPr>
          <w:rFonts w:ascii="Times New Roman" w:eastAsia="Times New Roman" w:hAnsi="Times New Roman" w:cs="Times New Roman"/>
          <w:sz w:val="24"/>
          <w:szCs w:val="24"/>
        </w:rPr>
        <w:t>. </w:t>
      </w:r>
    </w:p>
    <w:p w14:paraId="42DCCE6E"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Myers, K. &amp; Davis, M. (2007). Mechanisms of fear extinction. </w:t>
      </w:r>
      <w:r w:rsidRPr="000B0156">
        <w:rPr>
          <w:rFonts w:ascii="Times New Roman" w:eastAsia="Times New Roman" w:hAnsi="Times New Roman" w:cs="Times New Roman"/>
          <w:i/>
          <w:iCs/>
          <w:sz w:val="24"/>
          <w:szCs w:val="24"/>
        </w:rPr>
        <w:t>Mol. Psychiatry</w:t>
      </w:r>
      <w:r w:rsidRPr="000B0156">
        <w:rPr>
          <w:rFonts w:ascii="Times New Roman" w:eastAsia="Times New Roman" w:hAnsi="Times New Roman" w:cs="Times New Roman"/>
          <w:sz w:val="24"/>
          <w:szCs w:val="24"/>
        </w:rPr>
        <w:t>,</w:t>
      </w:r>
      <w:r w:rsidRPr="000B0156">
        <w:rPr>
          <w:rFonts w:ascii="Times New Roman" w:eastAsia="Times New Roman" w:hAnsi="Times New Roman" w:cs="Times New Roman"/>
          <w:i/>
          <w:iCs/>
          <w:sz w:val="24"/>
          <w:szCs w:val="24"/>
        </w:rPr>
        <w:t>12</w:t>
      </w:r>
      <w:r w:rsidRPr="000B0156">
        <w:rPr>
          <w:rFonts w:ascii="Times New Roman" w:eastAsia="Times New Roman" w:hAnsi="Times New Roman" w:cs="Times New Roman"/>
          <w:sz w:val="24"/>
          <w:szCs w:val="24"/>
        </w:rPr>
        <w:t xml:space="preserve">, 120–150. </w:t>
      </w:r>
      <w:hyperlink r:id="rId89" w:tgtFrame="_blank" w:history="1">
        <w:r w:rsidRPr="000B0156">
          <w:rPr>
            <w:rStyle w:val="Hyperlink"/>
            <w:rFonts w:ascii="Times New Roman" w:eastAsia="Times New Roman" w:hAnsi="Times New Roman" w:cs="Times New Roman"/>
            <w:sz w:val="24"/>
            <w:szCs w:val="24"/>
          </w:rPr>
          <w:t>https://doi.org/10.1038/sj.mp.4001939</w:t>
        </w:r>
      </w:hyperlink>
      <w:r w:rsidRPr="000B0156">
        <w:rPr>
          <w:rFonts w:ascii="Times New Roman" w:eastAsia="Times New Roman" w:hAnsi="Times New Roman" w:cs="Times New Roman"/>
          <w:sz w:val="24"/>
          <w:szCs w:val="24"/>
        </w:rPr>
        <w:t>. </w:t>
      </w:r>
    </w:p>
    <w:p w14:paraId="2BE823B6" w14:textId="2B372E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Myers, S. G., &amp; Wells, A. (2015). Early trauma, negative affect, and anxious attachment: the role of metacognition. </w:t>
      </w:r>
      <w:r w:rsidRPr="000B0156">
        <w:rPr>
          <w:rFonts w:ascii="Times New Roman" w:eastAsia="Times New Roman" w:hAnsi="Times New Roman" w:cs="Times New Roman"/>
          <w:i/>
          <w:iCs/>
          <w:sz w:val="24"/>
          <w:szCs w:val="24"/>
        </w:rPr>
        <w:t>Anxiety, Stress &amp; Coping</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28</w:t>
      </w:r>
      <w:r w:rsidRPr="000B0156">
        <w:rPr>
          <w:rFonts w:ascii="Times New Roman" w:eastAsia="Times New Roman" w:hAnsi="Times New Roman" w:cs="Times New Roman"/>
          <w:sz w:val="24"/>
          <w:szCs w:val="24"/>
        </w:rPr>
        <w:t xml:space="preserve">(6), 634–649. </w:t>
      </w:r>
      <w:hyperlink r:id="rId90" w:history="1">
        <w:r w:rsidRPr="000B0156">
          <w:rPr>
            <w:rStyle w:val="Hyperlink"/>
            <w:rFonts w:ascii="Times New Roman" w:eastAsia="Times New Roman" w:hAnsi="Times New Roman" w:cs="Times New Roman"/>
            <w:sz w:val="24"/>
            <w:szCs w:val="24"/>
          </w:rPr>
          <w:t>https://doi</w:t>
        </w:r>
      </w:hyperlink>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u w:val="single"/>
        </w:rPr>
        <w:t>org.ezproxy.lib.vt.edu/10.1080/10615806.2015.1009832</w:t>
      </w:r>
      <w:r w:rsidRPr="000B0156">
        <w:rPr>
          <w:rFonts w:ascii="Times New Roman" w:eastAsia="Times New Roman" w:hAnsi="Times New Roman" w:cs="Times New Roman"/>
          <w:sz w:val="24"/>
          <w:szCs w:val="24"/>
        </w:rPr>
        <w:t>. </w:t>
      </w:r>
    </w:p>
    <w:p w14:paraId="03AEB71E"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Nakao, M., </w:t>
      </w:r>
      <w:proofErr w:type="spellStart"/>
      <w:r w:rsidRPr="000B0156">
        <w:rPr>
          <w:rFonts w:ascii="Times New Roman" w:eastAsia="Times New Roman" w:hAnsi="Times New Roman" w:cs="Times New Roman"/>
          <w:sz w:val="24"/>
          <w:szCs w:val="24"/>
        </w:rPr>
        <w:t>Shirotsuki</w:t>
      </w:r>
      <w:proofErr w:type="spellEnd"/>
      <w:r w:rsidRPr="000B0156">
        <w:rPr>
          <w:rFonts w:ascii="Times New Roman" w:eastAsia="Times New Roman" w:hAnsi="Times New Roman" w:cs="Times New Roman"/>
          <w:sz w:val="24"/>
          <w:szCs w:val="24"/>
        </w:rPr>
        <w:t xml:space="preserve">, K., &amp; Sugaya, N. (2021). Cognitive-behavioral therapy for management of mental health and stress-related disorders: Recent advances in techniques and technologies. </w:t>
      </w:r>
      <w:proofErr w:type="spellStart"/>
      <w:r w:rsidRPr="000B0156">
        <w:rPr>
          <w:rFonts w:ascii="Times New Roman" w:eastAsia="Times New Roman" w:hAnsi="Times New Roman" w:cs="Times New Roman"/>
          <w:i/>
          <w:iCs/>
          <w:sz w:val="24"/>
          <w:szCs w:val="24"/>
        </w:rPr>
        <w:t>BioPsychoSocial</w:t>
      </w:r>
      <w:proofErr w:type="spellEnd"/>
      <w:r w:rsidRPr="000B0156">
        <w:rPr>
          <w:rFonts w:ascii="Times New Roman" w:eastAsia="Times New Roman" w:hAnsi="Times New Roman" w:cs="Times New Roman"/>
          <w:i/>
          <w:iCs/>
          <w:sz w:val="24"/>
          <w:szCs w:val="24"/>
        </w:rPr>
        <w:t xml:space="preserve"> medicine</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15</w:t>
      </w:r>
      <w:r w:rsidRPr="000B0156">
        <w:rPr>
          <w:rFonts w:ascii="Times New Roman" w:eastAsia="Times New Roman" w:hAnsi="Times New Roman" w:cs="Times New Roman"/>
          <w:sz w:val="24"/>
          <w:szCs w:val="24"/>
        </w:rPr>
        <w:t xml:space="preserve">(1), 16. </w:t>
      </w:r>
      <w:hyperlink r:id="rId91" w:tgtFrame="_blank" w:history="1">
        <w:r w:rsidRPr="000B0156">
          <w:rPr>
            <w:rStyle w:val="Hyperlink"/>
            <w:rFonts w:ascii="Times New Roman" w:eastAsia="Times New Roman" w:hAnsi="Times New Roman" w:cs="Times New Roman"/>
            <w:sz w:val="24"/>
            <w:szCs w:val="24"/>
          </w:rPr>
          <w:t>https://doi.org/10.1186/s13030-021-00219-w</w:t>
        </w:r>
      </w:hyperlink>
      <w:r w:rsidRPr="000B0156">
        <w:rPr>
          <w:rFonts w:ascii="Times New Roman" w:eastAsia="Times New Roman" w:hAnsi="Times New Roman" w:cs="Times New Roman"/>
          <w:sz w:val="24"/>
          <w:szCs w:val="24"/>
        </w:rPr>
        <w:t>. </w:t>
      </w:r>
    </w:p>
    <w:p w14:paraId="60B39DA3" w14:textId="0DA7E425"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744FDEE0">
        <w:rPr>
          <w:rFonts w:ascii="Times New Roman" w:eastAsia="Times New Roman" w:hAnsi="Times New Roman" w:cs="Times New Roman"/>
          <w:sz w:val="24"/>
          <w:szCs w:val="24"/>
        </w:rPr>
        <w:t>Nalipay, M. J. N., &amp; Mordeno, I. G. (2018). Positive Metacognitions and Meta-Emotions as Predictors of Posttraumatic Stress Disorder and Posttraumatic Growth in Survivors of a Natural</w:t>
      </w:r>
      <w:r w:rsidR="6F616557" w:rsidRPr="744FDEE0">
        <w:rPr>
          <w:rFonts w:ascii="Times New Roman" w:eastAsia="Times New Roman" w:hAnsi="Times New Roman" w:cs="Times New Roman"/>
          <w:sz w:val="24"/>
          <w:szCs w:val="24"/>
        </w:rPr>
        <w:t xml:space="preserve"> </w:t>
      </w:r>
      <w:r w:rsidRPr="744FDEE0">
        <w:rPr>
          <w:rFonts w:ascii="Times New Roman" w:eastAsia="Times New Roman" w:hAnsi="Times New Roman" w:cs="Times New Roman"/>
          <w:sz w:val="24"/>
          <w:szCs w:val="24"/>
        </w:rPr>
        <w:t>Disaster. </w:t>
      </w:r>
      <w:r w:rsidRPr="744FDEE0">
        <w:rPr>
          <w:rFonts w:ascii="Times New Roman" w:eastAsia="Times New Roman" w:hAnsi="Times New Roman" w:cs="Times New Roman"/>
          <w:i/>
          <w:iCs/>
          <w:sz w:val="24"/>
          <w:szCs w:val="24"/>
        </w:rPr>
        <w:t>Journal of Loss &amp; Trauma</w:t>
      </w:r>
      <w:r w:rsidRPr="744FDEE0">
        <w:rPr>
          <w:rFonts w:ascii="Times New Roman" w:eastAsia="Times New Roman" w:hAnsi="Times New Roman" w:cs="Times New Roman"/>
          <w:sz w:val="24"/>
          <w:szCs w:val="24"/>
        </w:rPr>
        <w:t>, </w:t>
      </w:r>
      <w:r w:rsidRPr="744FDEE0">
        <w:rPr>
          <w:rFonts w:ascii="Times New Roman" w:eastAsia="Times New Roman" w:hAnsi="Times New Roman" w:cs="Times New Roman"/>
          <w:i/>
          <w:iCs/>
          <w:sz w:val="24"/>
          <w:szCs w:val="24"/>
        </w:rPr>
        <w:t>23</w:t>
      </w:r>
      <w:r w:rsidRPr="744FDEE0">
        <w:rPr>
          <w:rFonts w:ascii="Times New Roman" w:eastAsia="Times New Roman" w:hAnsi="Times New Roman" w:cs="Times New Roman"/>
          <w:sz w:val="24"/>
          <w:szCs w:val="24"/>
        </w:rPr>
        <w:t xml:space="preserve">(5), 381–394. </w:t>
      </w:r>
      <w:hyperlink r:id="rId92">
        <w:r w:rsidRPr="744FDEE0">
          <w:rPr>
            <w:rStyle w:val="Hyperlink"/>
            <w:rFonts w:ascii="Times New Roman" w:eastAsia="Times New Roman" w:hAnsi="Times New Roman" w:cs="Times New Roman"/>
            <w:sz w:val="24"/>
            <w:szCs w:val="24"/>
          </w:rPr>
          <w:t>https://doi.org.ezproxy.lib.vt.edu/10.1080/15325024.2017.1415734</w:t>
        </w:r>
      </w:hyperlink>
      <w:r w:rsidRPr="744FDEE0">
        <w:rPr>
          <w:rFonts w:ascii="Times New Roman" w:eastAsia="Times New Roman" w:hAnsi="Times New Roman" w:cs="Times New Roman"/>
          <w:sz w:val="24"/>
          <w:szCs w:val="24"/>
        </w:rPr>
        <w:t>. </w:t>
      </w:r>
    </w:p>
    <w:p w14:paraId="65B368B4"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Neria, Y., Nandi, A., &amp; Galea, S. (2008). Post-traumatic stress disorder following disasters: a systematic review. </w:t>
      </w:r>
      <w:r w:rsidRPr="000B0156">
        <w:rPr>
          <w:rFonts w:ascii="Times New Roman" w:eastAsia="Times New Roman" w:hAnsi="Times New Roman" w:cs="Times New Roman"/>
          <w:i/>
          <w:iCs/>
          <w:sz w:val="24"/>
          <w:szCs w:val="24"/>
        </w:rPr>
        <w:t>Psychological medicine</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38</w:t>
      </w:r>
      <w:r w:rsidRPr="000B0156">
        <w:rPr>
          <w:rFonts w:ascii="Times New Roman" w:eastAsia="Times New Roman" w:hAnsi="Times New Roman" w:cs="Times New Roman"/>
          <w:sz w:val="24"/>
          <w:szCs w:val="24"/>
        </w:rPr>
        <w:t xml:space="preserve">(4), 467–480. </w:t>
      </w:r>
      <w:hyperlink r:id="rId93" w:tgtFrame="_blank" w:history="1">
        <w:r w:rsidRPr="000B0156">
          <w:rPr>
            <w:rStyle w:val="Hyperlink"/>
            <w:rFonts w:ascii="Times New Roman" w:eastAsia="Times New Roman" w:hAnsi="Times New Roman" w:cs="Times New Roman"/>
            <w:sz w:val="24"/>
            <w:szCs w:val="24"/>
          </w:rPr>
          <w:t>https://doi.org/10.1017/S0033291707001353</w:t>
        </w:r>
      </w:hyperlink>
      <w:r w:rsidRPr="000B0156">
        <w:rPr>
          <w:rFonts w:ascii="Times New Roman" w:eastAsia="Times New Roman" w:hAnsi="Times New Roman" w:cs="Times New Roman"/>
          <w:sz w:val="24"/>
          <w:szCs w:val="24"/>
        </w:rPr>
        <w:t>. </w:t>
      </w:r>
    </w:p>
    <w:p w14:paraId="2EC4B036" w14:textId="0C95B209"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Nordberg, H., Kroll, J. L., Rosenfield, D., Chmielewski, M., &amp; Ritz, T. (2022). Chronic stress experience, sleep, and physical activity: Relations with change in negative affect and acute stress response to a naturalistic stressor. </w:t>
      </w:r>
      <w:r w:rsidRPr="000B0156">
        <w:rPr>
          <w:rFonts w:ascii="Times New Roman" w:eastAsia="Times New Roman" w:hAnsi="Times New Roman" w:cs="Times New Roman"/>
          <w:i/>
          <w:iCs/>
          <w:sz w:val="24"/>
          <w:szCs w:val="24"/>
        </w:rPr>
        <w:t>British Journal of Health</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Psychology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27</w:t>
      </w:r>
      <w:r w:rsidRPr="000B0156">
        <w:rPr>
          <w:rFonts w:ascii="Times New Roman" w:eastAsia="Times New Roman" w:hAnsi="Times New Roman" w:cs="Times New Roman"/>
          <w:sz w:val="24"/>
          <w:szCs w:val="24"/>
        </w:rPr>
        <w:t xml:space="preserve">(2), 449–467. </w:t>
      </w:r>
      <w:hyperlink r:id="rId94" w:tgtFrame="_blank" w:history="1">
        <w:r w:rsidRPr="000B0156">
          <w:rPr>
            <w:rStyle w:val="Hyperlink"/>
            <w:rFonts w:ascii="Times New Roman" w:eastAsia="Times New Roman" w:hAnsi="Times New Roman" w:cs="Times New Roman"/>
            <w:sz w:val="24"/>
            <w:szCs w:val="24"/>
          </w:rPr>
          <w:t>https://doi-org.ezproxy.lib.vt.edu/10.1111/bjhp.12554</w:t>
        </w:r>
      </w:hyperlink>
      <w:r w:rsidRPr="000B0156">
        <w:rPr>
          <w:rFonts w:ascii="Times New Roman" w:eastAsia="Times New Roman" w:hAnsi="Times New Roman" w:cs="Times New Roman"/>
          <w:sz w:val="24"/>
          <w:szCs w:val="24"/>
        </w:rPr>
        <w:t>. </w:t>
      </w:r>
    </w:p>
    <w:p w14:paraId="4AA8D3E5"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Novilla, M. L. B., Bird, K. T., Hanson, C. L., Crandall, A., Cook, E. G., </w:t>
      </w:r>
      <w:proofErr w:type="spellStart"/>
      <w:r w:rsidRPr="000B0156">
        <w:rPr>
          <w:rFonts w:ascii="Times New Roman" w:eastAsia="Times New Roman" w:hAnsi="Times New Roman" w:cs="Times New Roman"/>
          <w:sz w:val="24"/>
          <w:szCs w:val="24"/>
        </w:rPr>
        <w:t>Obalana</w:t>
      </w:r>
      <w:proofErr w:type="spellEnd"/>
      <w:r w:rsidRPr="000B0156">
        <w:rPr>
          <w:rFonts w:ascii="Times New Roman" w:eastAsia="Times New Roman" w:hAnsi="Times New Roman" w:cs="Times New Roman"/>
          <w:sz w:val="24"/>
          <w:szCs w:val="24"/>
        </w:rPr>
        <w:t xml:space="preserve">, O., Brady, L. A., &amp; </w:t>
      </w:r>
      <w:proofErr w:type="spellStart"/>
      <w:r w:rsidRPr="000B0156">
        <w:rPr>
          <w:rFonts w:ascii="Times New Roman" w:eastAsia="Times New Roman" w:hAnsi="Times New Roman" w:cs="Times New Roman"/>
          <w:sz w:val="24"/>
          <w:szCs w:val="24"/>
        </w:rPr>
        <w:t>Frierichs</w:t>
      </w:r>
      <w:proofErr w:type="spellEnd"/>
      <w:r w:rsidRPr="000B0156">
        <w:rPr>
          <w:rFonts w:ascii="Times New Roman" w:eastAsia="Times New Roman" w:hAnsi="Times New Roman" w:cs="Times New Roman"/>
          <w:sz w:val="24"/>
          <w:szCs w:val="24"/>
        </w:rPr>
        <w:t xml:space="preserve">, H. (2024). U.S. Physicians' Training and Experience in Providing Trauma-Informed Care in Clinical Settings. </w:t>
      </w:r>
      <w:r w:rsidRPr="000B0156">
        <w:rPr>
          <w:rFonts w:ascii="Times New Roman" w:eastAsia="Times New Roman" w:hAnsi="Times New Roman" w:cs="Times New Roman"/>
          <w:i/>
          <w:iCs/>
          <w:sz w:val="24"/>
          <w:szCs w:val="24"/>
        </w:rPr>
        <w:t>International journal of environmental research and public health</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21</w:t>
      </w:r>
      <w:r w:rsidRPr="000B0156">
        <w:rPr>
          <w:rFonts w:ascii="Times New Roman" w:eastAsia="Times New Roman" w:hAnsi="Times New Roman" w:cs="Times New Roman"/>
          <w:sz w:val="24"/>
          <w:szCs w:val="24"/>
        </w:rPr>
        <w:t xml:space="preserve">(2), 232. </w:t>
      </w:r>
      <w:hyperlink r:id="rId95" w:tgtFrame="_blank" w:history="1">
        <w:r w:rsidRPr="000B0156">
          <w:rPr>
            <w:rStyle w:val="Hyperlink"/>
            <w:rFonts w:ascii="Times New Roman" w:eastAsia="Times New Roman" w:hAnsi="Times New Roman" w:cs="Times New Roman"/>
            <w:sz w:val="24"/>
            <w:szCs w:val="24"/>
          </w:rPr>
          <w:t>https://doi.org/10.3390/ijerph21020232</w:t>
        </w:r>
      </w:hyperlink>
      <w:r w:rsidRPr="000B0156">
        <w:rPr>
          <w:rFonts w:ascii="Times New Roman" w:eastAsia="Times New Roman" w:hAnsi="Times New Roman" w:cs="Times New Roman"/>
          <w:sz w:val="24"/>
          <w:szCs w:val="24"/>
        </w:rPr>
        <w:t>. </w:t>
      </w:r>
    </w:p>
    <w:p w14:paraId="49D5CE95" w14:textId="501D5AF3"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Nugent, N. R., Sumner, J. A., &amp; </w:t>
      </w:r>
      <w:proofErr w:type="spellStart"/>
      <w:r w:rsidRPr="000B0156">
        <w:rPr>
          <w:rFonts w:ascii="Times New Roman" w:eastAsia="Times New Roman" w:hAnsi="Times New Roman" w:cs="Times New Roman"/>
          <w:sz w:val="24"/>
          <w:szCs w:val="24"/>
        </w:rPr>
        <w:t>Amstadter</w:t>
      </w:r>
      <w:proofErr w:type="spellEnd"/>
      <w:r w:rsidRPr="000B0156">
        <w:rPr>
          <w:rFonts w:ascii="Times New Roman" w:eastAsia="Times New Roman" w:hAnsi="Times New Roman" w:cs="Times New Roman"/>
          <w:sz w:val="24"/>
          <w:szCs w:val="24"/>
        </w:rPr>
        <w:t>, A. B. (2014). Resilience after trauma: from surviving to thriving. </w:t>
      </w:r>
      <w:r w:rsidRPr="000B0156">
        <w:rPr>
          <w:rFonts w:ascii="Times New Roman" w:eastAsia="Times New Roman" w:hAnsi="Times New Roman" w:cs="Times New Roman"/>
          <w:i/>
          <w:iCs/>
          <w:sz w:val="24"/>
          <w:szCs w:val="24"/>
        </w:rPr>
        <w:t xml:space="preserve">European journal of </w:t>
      </w:r>
      <w:proofErr w:type="spellStart"/>
      <w:r w:rsidRPr="000B0156">
        <w:rPr>
          <w:rFonts w:ascii="Times New Roman" w:eastAsia="Times New Roman" w:hAnsi="Times New Roman" w:cs="Times New Roman"/>
          <w:i/>
          <w:iCs/>
          <w:sz w:val="24"/>
          <w:szCs w:val="24"/>
        </w:rPr>
        <w:t>psychotraumatology</w:t>
      </w:r>
      <w:proofErr w:type="spellEnd"/>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5</w:t>
      </w:r>
      <w:r w:rsidRPr="000B0156">
        <w:rPr>
          <w:rFonts w:ascii="Times New Roman" w:eastAsia="Times New Roman" w:hAnsi="Times New Roman" w:cs="Times New Roman"/>
          <w:sz w:val="24"/>
          <w:szCs w:val="24"/>
        </w:rPr>
        <w:t>, (10).</w:t>
      </w:r>
      <w:r>
        <w:rPr>
          <w:rFonts w:ascii="Times New Roman" w:eastAsia="Times New Roman" w:hAnsi="Times New Roman" w:cs="Times New Roman"/>
          <w:sz w:val="24"/>
          <w:szCs w:val="24"/>
        </w:rPr>
        <w:t xml:space="preserve"> </w:t>
      </w:r>
      <w:hyperlink r:id="rId96" w:history="1">
        <w:r w:rsidRPr="000B0156">
          <w:rPr>
            <w:rStyle w:val="Hyperlink"/>
            <w:rFonts w:ascii="Times New Roman" w:eastAsia="Times New Roman" w:hAnsi="Times New Roman" w:cs="Times New Roman"/>
            <w:sz w:val="24"/>
            <w:szCs w:val="24"/>
          </w:rPr>
          <w:t>https://doi.org/10.3402/ejpt.v5.25339</w:t>
        </w:r>
      </w:hyperlink>
      <w:r w:rsidRPr="000B0156">
        <w:rPr>
          <w:rFonts w:ascii="Times New Roman" w:eastAsia="Times New Roman" w:hAnsi="Times New Roman" w:cs="Times New Roman"/>
          <w:sz w:val="24"/>
          <w:szCs w:val="24"/>
        </w:rPr>
        <w:t>. </w:t>
      </w:r>
    </w:p>
    <w:p w14:paraId="2A631487"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Olff, M., </w:t>
      </w:r>
      <w:proofErr w:type="spellStart"/>
      <w:r w:rsidRPr="000B0156">
        <w:rPr>
          <w:rFonts w:ascii="Times New Roman" w:eastAsia="Times New Roman" w:hAnsi="Times New Roman" w:cs="Times New Roman"/>
          <w:sz w:val="24"/>
          <w:szCs w:val="24"/>
        </w:rPr>
        <w:t>Armour</w:t>
      </w:r>
      <w:proofErr w:type="spellEnd"/>
      <w:r w:rsidRPr="000B0156">
        <w:rPr>
          <w:rFonts w:ascii="Times New Roman" w:eastAsia="Times New Roman" w:hAnsi="Times New Roman" w:cs="Times New Roman"/>
          <w:sz w:val="24"/>
          <w:szCs w:val="24"/>
        </w:rPr>
        <w:t xml:space="preserve">, C., Brewin, C., </w:t>
      </w:r>
      <w:proofErr w:type="spellStart"/>
      <w:r w:rsidRPr="000B0156">
        <w:rPr>
          <w:rFonts w:ascii="Times New Roman" w:eastAsia="Times New Roman" w:hAnsi="Times New Roman" w:cs="Times New Roman"/>
          <w:sz w:val="24"/>
          <w:szCs w:val="24"/>
        </w:rPr>
        <w:t>Cloitre</w:t>
      </w:r>
      <w:proofErr w:type="spellEnd"/>
      <w:r w:rsidRPr="000B0156">
        <w:rPr>
          <w:rFonts w:ascii="Times New Roman" w:eastAsia="Times New Roman" w:hAnsi="Times New Roman" w:cs="Times New Roman"/>
          <w:sz w:val="24"/>
          <w:szCs w:val="24"/>
        </w:rPr>
        <w:t xml:space="preserve">, M., Ford, J. D., Herlihy, J., Lanius, R., Rosner, R., Schmidt, U., &amp; Turner, S. (2015). Trauma and PTSD: setting the research agenda. </w:t>
      </w:r>
      <w:r w:rsidRPr="000B0156">
        <w:rPr>
          <w:rFonts w:ascii="Times New Roman" w:eastAsia="Times New Roman" w:hAnsi="Times New Roman" w:cs="Times New Roman"/>
          <w:i/>
          <w:iCs/>
          <w:sz w:val="24"/>
          <w:szCs w:val="24"/>
        </w:rPr>
        <w:t xml:space="preserve">European journal of </w:t>
      </w:r>
      <w:proofErr w:type="spellStart"/>
      <w:r w:rsidRPr="000B0156">
        <w:rPr>
          <w:rFonts w:ascii="Times New Roman" w:eastAsia="Times New Roman" w:hAnsi="Times New Roman" w:cs="Times New Roman"/>
          <w:i/>
          <w:iCs/>
          <w:sz w:val="24"/>
          <w:szCs w:val="24"/>
        </w:rPr>
        <w:t>psychotraumatology</w:t>
      </w:r>
      <w:proofErr w:type="spellEnd"/>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6</w:t>
      </w:r>
      <w:r w:rsidRPr="000B0156">
        <w:rPr>
          <w:rFonts w:ascii="Times New Roman" w:eastAsia="Times New Roman" w:hAnsi="Times New Roman" w:cs="Times New Roman"/>
          <w:sz w:val="24"/>
          <w:szCs w:val="24"/>
        </w:rPr>
        <w:t xml:space="preserve">, 28092. </w:t>
      </w:r>
      <w:hyperlink r:id="rId97" w:tgtFrame="_blank" w:history="1">
        <w:r w:rsidRPr="000B0156">
          <w:rPr>
            <w:rStyle w:val="Hyperlink"/>
            <w:rFonts w:ascii="Times New Roman" w:eastAsia="Times New Roman" w:hAnsi="Times New Roman" w:cs="Times New Roman"/>
            <w:sz w:val="24"/>
            <w:szCs w:val="24"/>
          </w:rPr>
          <w:t>https://doi.org/10.3402/ejpt.v6.28092</w:t>
        </w:r>
      </w:hyperlink>
      <w:r w:rsidRPr="000B0156">
        <w:rPr>
          <w:rFonts w:ascii="Times New Roman" w:eastAsia="Times New Roman" w:hAnsi="Times New Roman" w:cs="Times New Roman"/>
          <w:sz w:val="24"/>
          <w:szCs w:val="24"/>
        </w:rPr>
        <w:t>. </w:t>
      </w:r>
    </w:p>
    <w:p w14:paraId="3617562F"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Park, C. L. (2010). Making sense of the meaning literature: An integrative review of meaning making and its effects on adjustment to stressful life events. </w:t>
      </w:r>
      <w:r w:rsidRPr="000B0156">
        <w:rPr>
          <w:rFonts w:ascii="Times New Roman" w:eastAsia="Times New Roman" w:hAnsi="Times New Roman" w:cs="Times New Roman"/>
          <w:i/>
          <w:iCs/>
          <w:sz w:val="24"/>
          <w:szCs w:val="24"/>
        </w:rPr>
        <w:t>Psychological Bulletin, 136</w:t>
      </w:r>
      <w:r w:rsidRPr="000B0156">
        <w:rPr>
          <w:rFonts w:ascii="Times New Roman" w:eastAsia="Times New Roman" w:hAnsi="Times New Roman" w:cs="Times New Roman"/>
          <w:sz w:val="24"/>
          <w:szCs w:val="24"/>
        </w:rPr>
        <w:t>(2), 257-301. </w:t>
      </w:r>
    </w:p>
    <w:p w14:paraId="38522C6E"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Park, C. L., &amp; Ai, A. L. (2006). Meaning making and growth from trauma: What clinical and research findings tell us. </w:t>
      </w:r>
      <w:r w:rsidRPr="000B0156">
        <w:rPr>
          <w:rFonts w:ascii="Times New Roman" w:eastAsia="Times New Roman" w:hAnsi="Times New Roman" w:cs="Times New Roman"/>
          <w:i/>
          <w:iCs/>
          <w:sz w:val="24"/>
          <w:szCs w:val="24"/>
        </w:rPr>
        <w:t>Journal of Clinical Psychology, 62</w:t>
      </w:r>
      <w:r w:rsidRPr="000B0156">
        <w:rPr>
          <w:rFonts w:ascii="Times New Roman" w:eastAsia="Times New Roman" w:hAnsi="Times New Roman" w:cs="Times New Roman"/>
          <w:sz w:val="24"/>
          <w:szCs w:val="24"/>
        </w:rPr>
        <w:t>(7), 819-833. </w:t>
      </w:r>
    </w:p>
    <w:p w14:paraId="437F4C41" w14:textId="4FF5B394"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Paulus, E. J., Argo, T. R., &amp; Egge, J. A. (2013). The Impact of Posttraumatic Stress Disorder on Blood Pressure and Heart Rate in a Veteran Population. </w:t>
      </w:r>
      <w:r w:rsidRPr="000B0156">
        <w:rPr>
          <w:rFonts w:ascii="Times New Roman" w:eastAsia="Times New Roman" w:hAnsi="Times New Roman" w:cs="Times New Roman"/>
          <w:i/>
          <w:iCs/>
          <w:sz w:val="24"/>
          <w:szCs w:val="24"/>
        </w:rPr>
        <w:t>Journal of Traumatic =</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Stress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26</w:t>
      </w:r>
      <w:r w:rsidRPr="000B0156">
        <w:rPr>
          <w:rFonts w:ascii="Times New Roman" w:eastAsia="Times New Roman" w:hAnsi="Times New Roman" w:cs="Times New Roman"/>
          <w:sz w:val="24"/>
          <w:szCs w:val="24"/>
        </w:rPr>
        <w:t xml:space="preserve">(1), 169–172. </w:t>
      </w:r>
      <w:hyperlink r:id="rId98" w:tgtFrame="_blank" w:history="1">
        <w:r w:rsidRPr="000B0156">
          <w:rPr>
            <w:rStyle w:val="Hyperlink"/>
            <w:rFonts w:ascii="Times New Roman" w:eastAsia="Times New Roman" w:hAnsi="Times New Roman" w:cs="Times New Roman"/>
            <w:sz w:val="24"/>
            <w:szCs w:val="24"/>
          </w:rPr>
          <w:t>https://doi-org.ezproxy.lib.vt.edu/10.1002/jts.21785</w:t>
        </w:r>
      </w:hyperlink>
      <w:r w:rsidRPr="000B0156">
        <w:rPr>
          <w:rFonts w:ascii="Times New Roman" w:eastAsia="Times New Roman" w:hAnsi="Times New Roman" w:cs="Times New Roman"/>
          <w:sz w:val="24"/>
          <w:szCs w:val="24"/>
        </w:rPr>
        <w:t>. </w:t>
      </w:r>
    </w:p>
    <w:p w14:paraId="059D40B8" w14:textId="1E6803E2"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Pelcovitz</w:t>
      </w:r>
      <w:proofErr w:type="spellEnd"/>
      <w:r w:rsidRPr="000B0156">
        <w:rPr>
          <w:rFonts w:ascii="Times New Roman" w:eastAsia="Times New Roman" w:hAnsi="Times New Roman" w:cs="Times New Roman"/>
          <w:sz w:val="24"/>
          <w:szCs w:val="24"/>
        </w:rPr>
        <w:t xml:space="preserve">, D., Van der Kolk, B., Roth, S., Mandel, F., Kaplan, S., &amp; </w:t>
      </w:r>
      <w:proofErr w:type="spellStart"/>
      <w:r w:rsidRPr="000B0156">
        <w:rPr>
          <w:rFonts w:ascii="Times New Roman" w:eastAsia="Times New Roman" w:hAnsi="Times New Roman" w:cs="Times New Roman"/>
          <w:sz w:val="24"/>
          <w:szCs w:val="24"/>
        </w:rPr>
        <w:t>Resick</w:t>
      </w:r>
      <w:proofErr w:type="spellEnd"/>
      <w:r w:rsidRPr="000B0156">
        <w:rPr>
          <w:rFonts w:ascii="Times New Roman" w:eastAsia="Times New Roman" w:hAnsi="Times New Roman" w:cs="Times New Roman"/>
          <w:sz w:val="24"/>
          <w:szCs w:val="24"/>
        </w:rPr>
        <w:t>, P. (1997).</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Development of a criteria set and a structured interview for disorders of extreme stress (SIDES). </w:t>
      </w:r>
      <w:r w:rsidRPr="000B0156">
        <w:rPr>
          <w:rFonts w:ascii="Times New Roman" w:eastAsia="Times New Roman" w:hAnsi="Times New Roman" w:cs="Times New Roman"/>
          <w:i/>
          <w:iCs/>
          <w:sz w:val="24"/>
          <w:szCs w:val="24"/>
        </w:rPr>
        <w:t>Journal of traumatic stress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10</w:t>
      </w:r>
      <w:r w:rsidRPr="000B0156">
        <w:rPr>
          <w:rFonts w:ascii="Times New Roman" w:eastAsia="Times New Roman" w:hAnsi="Times New Roman" w:cs="Times New Roman"/>
          <w:sz w:val="24"/>
          <w:szCs w:val="24"/>
        </w:rPr>
        <w:t>(1), 3-16. </w:t>
      </w:r>
    </w:p>
    <w:p w14:paraId="7CC883EB" w14:textId="316C9294"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Penagos-Corzo, J. C., </w:t>
      </w:r>
      <w:proofErr w:type="spellStart"/>
      <w:r w:rsidRPr="000B0156">
        <w:rPr>
          <w:rFonts w:ascii="Times New Roman" w:eastAsia="Times New Roman" w:hAnsi="Times New Roman" w:cs="Times New Roman"/>
          <w:sz w:val="24"/>
          <w:szCs w:val="24"/>
        </w:rPr>
        <w:t>Tolamatl</w:t>
      </w:r>
      <w:proofErr w:type="spellEnd"/>
      <w:r w:rsidRPr="000B0156">
        <w:rPr>
          <w:rFonts w:ascii="Times New Roman" w:eastAsia="Times New Roman" w:hAnsi="Times New Roman" w:cs="Times New Roman"/>
          <w:sz w:val="24"/>
          <w:szCs w:val="24"/>
        </w:rPr>
        <w:t>, C. R., Espinosa, A., Lorenzo Ruiz, A., &amp; Pintado, S. (2020). Psychometric Properties of the PTGI and Resilience in Earthquake Survivors in</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Mexico. </w:t>
      </w:r>
      <w:r w:rsidRPr="000B0156">
        <w:rPr>
          <w:rFonts w:ascii="Times New Roman" w:eastAsia="Times New Roman" w:hAnsi="Times New Roman" w:cs="Times New Roman"/>
          <w:i/>
          <w:iCs/>
          <w:sz w:val="24"/>
          <w:szCs w:val="24"/>
        </w:rPr>
        <w:t>Journal of Loss &amp; Trauma</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25</w:t>
      </w:r>
      <w:r w:rsidRPr="000B0156">
        <w:rPr>
          <w:rFonts w:ascii="Times New Roman" w:eastAsia="Times New Roman" w:hAnsi="Times New Roman" w:cs="Times New Roman"/>
          <w:sz w:val="24"/>
          <w:szCs w:val="24"/>
        </w:rPr>
        <w:t xml:space="preserve">(4), 364–384. </w:t>
      </w:r>
      <w:hyperlink r:id="rId99" w:history="1">
        <w:r w:rsidRPr="000B0156">
          <w:rPr>
            <w:rStyle w:val="Hyperlink"/>
            <w:rFonts w:ascii="Times New Roman" w:eastAsia="Times New Roman" w:hAnsi="Times New Roman" w:cs="Times New Roman"/>
            <w:sz w:val="24"/>
            <w:szCs w:val="24"/>
          </w:rPr>
          <w:t>https://doi</w:t>
        </w:r>
      </w:hyperlink>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u w:val="single"/>
        </w:rPr>
        <w:t>org.ezproxy.lib.vt.edu/10.1080/15325024.2019.1692512</w:t>
      </w:r>
      <w:r w:rsidRPr="000B0156">
        <w:rPr>
          <w:rFonts w:ascii="Times New Roman" w:eastAsia="Times New Roman" w:hAnsi="Times New Roman" w:cs="Times New Roman"/>
          <w:sz w:val="24"/>
          <w:szCs w:val="24"/>
        </w:rPr>
        <w:t>. </w:t>
      </w:r>
    </w:p>
    <w:p w14:paraId="3379CD9A" w14:textId="4B08100D"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Potts, G. F., Martin, L. E., Burton, P., &amp; Montague, P. R. (2006). When Things Are Better or Worse than Expected: The Medial Frontal Cortex and the Allocation of Processing Resources. </w:t>
      </w:r>
      <w:r w:rsidRPr="000B0156">
        <w:rPr>
          <w:rFonts w:ascii="Times New Roman" w:eastAsia="Times New Roman" w:hAnsi="Times New Roman" w:cs="Times New Roman"/>
          <w:i/>
          <w:iCs/>
          <w:sz w:val="24"/>
          <w:szCs w:val="24"/>
        </w:rPr>
        <w:t>Journal of Cognitive Neuroscience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18</w:t>
      </w:r>
      <w:r w:rsidRPr="000B0156">
        <w:rPr>
          <w:rFonts w:ascii="Times New Roman" w:eastAsia="Times New Roman" w:hAnsi="Times New Roman" w:cs="Times New Roman"/>
          <w:sz w:val="24"/>
          <w:szCs w:val="24"/>
        </w:rPr>
        <w:t>(7), 1112–1119.</w:t>
      </w:r>
      <w:r>
        <w:rPr>
          <w:rFonts w:ascii="Times New Roman" w:eastAsia="Times New Roman" w:hAnsi="Times New Roman" w:cs="Times New Roman"/>
          <w:sz w:val="24"/>
          <w:szCs w:val="24"/>
        </w:rPr>
        <w:t xml:space="preserve"> </w:t>
      </w:r>
      <w:hyperlink r:id="rId100" w:history="1">
        <w:r w:rsidRPr="000B0156">
          <w:rPr>
            <w:rStyle w:val="Hyperlink"/>
            <w:rFonts w:ascii="Times New Roman" w:eastAsia="Times New Roman" w:hAnsi="Times New Roman" w:cs="Times New Roman"/>
            <w:sz w:val="24"/>
            <w:szCs w:val="24"/>
          </w:rPr>
          <w:t>https://doi.org.ezproxy.lib.vt.edu/10.1162/jocn.2006.18.7.1112</w:t>
        </w:r>
      </w:hyperlink>
      <w:r w:rsidRPr="000B0156">
        <w:rPr>
          <w:rFonts w:ascii="Times New Roman" w:eastAsia="Times New Roman" w:hAnsi="Times New Roman" w:cs="Times New Roman"/>
          <w:sz w:val="24"/>
          <w:szCs w:val="24"/>
        </w:rPr>
        <w:t>. </w:t>
      </w:r>
    </w:p>
    <w:p w14:paraId="62D150E7" w14:textId="5E033815"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Prescod, D. J. &amp; Zeligman, M. (2018). Career adaptability of trauma survivors: The moderating role of posttraumatic growth. </w:t>
      </w:r>
      <w:r w:rsidRPr="000B0156">
        <w:rPr>
          <w:rFonts w:ascii="Times New Roman" w:eastAsia="Times New Roman" w:hAnsi="Times New Roman" w:cs="Times New Roman"/>
          <w:i/>
          <w:iCs/>
          <w:sz w:val="24"/>
          <w:szCs w:val="24"/>
        </w:rPr>
        <w:t>The Career Development Quarterly</w:t>
      </w:r>
      <w:r w:rsidRPr="000B0156">
        <w:rPr>
          <w:rFonts w:ascii="Times New Roman" w:eastAsia="Times New Roman" w:hAnsi="Times New Roman" w:cs="Times New Roman"/>
          <w:sz w:val="24"/>
          <w:szCs w:val="24"/>
        </w:rPr>
        <w:t>, 66(2), 107–120.</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10.1002/cdq.12126. </w:t>
      </w:r>
    </w:p>
    <w:p w14:paraId="1319A475" w14:textId="589A071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Pulvirenti, M., &amp; Mason, G. (2011). Resilience and Survival: Refugee Women and</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Violence. </w:t>
      </w:r>
      <w:r w:rsidRPr="000B0156">
        <w:rPr>
          <w:rFonts w:ascii="Times New Roman" w:eastAsia="Times New Roman" w:hAnsi="Times New Roman" w:cs="Times New Roman"/>
          <w:i/>
          <w:iCs/>
          <w:sz w:val="24"/>
          <w:szCs w:val="24"/>
        </w:rPr>
        <w:t>Current Issues in Criminal Justice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23</w:t>
      </w:r>
      <w:r w:rsidRPr="000B0156">
        <w:rPr>
          <w:rFonts w:ascii="Times New Roman" w:eastAsia="Times New Roman" w:hAnsi="Times New Roman" w:cs="Times New Roman"/>
          <w:sz w:val="24"/>
          <w:szCs w:val="24"/>
        </w:rPr>
        <w:t>(1), 37-52. </w:t>
      </w:r>
    </w:p>
    <w:p w14:paraId="59C6DD9E"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Ramasubramanian, S., Riewestahl, E., &amp; Landmark, S. (2021). The Trauma-informed </w:t>
      </w:r>
      <w:proofErr w:type="spellStart"/>
      <w:r w:rsidRPr="000B0156">
        <w:rPr>
          <w:rFonts w:ascii="Times New Roman" w:eastAsia="Times New Roman" w:hAnsi="Times New Roman" w:cs="Times New Roman"/>
          <w:sz w:val="24"/>
          <w:szCs w:val="24"/>
        </w:rPr>
        <w:t>Equityminded</w:t>
      </w:r>
      <w:proofErr w:type="spellEnd"/>
      <w:r w:rsidRPr="000B0156">
        <w:rPr>
          <w:rFonts w:ascii="Times New Roman" w:eastAsia="Times New Roman" w:hAnsi="Times New Roman" w:cs="Times New Roman"/>
          <w:sz w:val="24"/>
          <w:szCs w:val="24"/>
        </w:rPr>
        <w:t xml:space="preserve"> Asset-based Model (TEAM): The six </w:t>
      </w:r>
      <w:proofErr w:type="gramStart"/>
      <w:r w:rsidRPr="000B0156">
        <w:rPr>
          <w:rFonts w:ascii="Times New Roman" w:eastAsia="Times New Roman" w:hAnsi="Times New Roman" w:cs="Times New Roman"/>
          <w:sz w:val="24"/>
          <w:szCs w:val="24"/>
        </w:rPr>
        <w:t>R’s</w:t>
      </w:r>
      <w:proofErr w:type="gramEnd"/>
      <w:r w:rsidRPr="000B0156">
        <w:rPr>
          <w:rFonts w:ascii="Times New Roman" w:eastAsia="Times New Roman" w:hAnsi="Times New Roman" w:cs="Times New Roman"/>
          <w:sz w:val="24"/>
          <w:szCs w:val="24"/>
        </w:rPr>
        <w:t xml:space="preserve"> for social justice-oriented educators. Journal of Media Literacy Education, 13(2), 29-42. https://doi.org/10.23860/JMLE-2021- 13-2-3. </w:t>
      </w:r>
    </w:p>
    <w:p w14:paraId="3D30CA5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Raja, S., Hasnain, M., Hoersch, M., Gove-Yin, S., &amp; Rajagopalan, C. (2015). Trauma informed care in medicine: current knowledge and future research directions. </w:t>
      </w:r>
      <w:r w:rsidRPr="000B0156">
        <w:rPr>
          <w:rFonts w:ascii="Times New Roman" w:eastAsia="Times New Roman" w:hAnsi="Times New Roman" w:cs="Times New Roman"/>
          <w:i/>
          <w:iCs/>
          <w:sz w:val="24"/>
          <w:szCs w:val="24"/>
        </w:rPr>
        <w:t>Family &amp; community health</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38</w:t>
      </w:r>
      <w:r w:rsidRPr="000B0156">
        <w:rPr>
          <w:rFonts w:ascii="Times New Roman" w:eastAsia="Times New Roman" w:hAnsi="Times New Roman" w:cs="Times New Roman"/>
          <w:sz w:val="24"/>
          <w:szCs w:val="24"/>
        </w:rPr>
        <w:t xml:space="preserve">(3), 216–226. </w:t>
      </w:r>
      <w:hyperlink r:id="rId101" w:tgtFrame="_blank" w:history="1">
        <w:r w:rsidRPr="000B0156">
          <w:rPr>
            <w:rStyle w:val="Hyperlink"/>
            <w:rFonts w:ascii="Times New Roman" w:eastAsia="Times New Roman" w:hAnsi="Times New Roman" w:cs="Times New Roman"/>
            <w:sz w:val="24"/>
            <w:szCs w:val="24"/>
          </w:rPr>
          <w:t>https://doi.org/10.1097/FCH.0000000000000071</w:t>
        </w:r>
      </w:hyperlink>
      <w:r w:rsidRPr="000B0156">
        <w:rPr>
          <w:rFonts w:ascii="Times New Roman" w:eastAsia="Times New Roman" w:hAnsi="Times New Roman" w:cs="Times New Roman"/>
          <w:sz w:val="24"/>
          <w:szCs w:val="24"/>
        </w:rPr>
        <w:t>. </w:t>
      </w:r>
    </w:p>
    <w:p w14:paraId="13CE700D" w14:textId="79EABD28"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Renkly</w:t>
      </w:r>
      <w:proofErr w:type="spellEnd"/>
      <w:r w:rsidRPr="000B0156">
        <w:rPr>
          <w:rFonts w:ascii="Times New Roman" w:eastAsia="Times New Roman" w:hAnsi="Times New Roman" w:cs="Times New Roman"/>
          <w:sz w:val="24"/>
          <w:szCs w:val="24"/>
        </w:rPr>
        <w:t xml:space="preserve">, S. &amp; Bertolini, K. (2018) Shifting the Paradigm from Deficit Oriented Schools to Asset Based Models: Why Leaders Need to Promote an Asset Orientation in our Schools. </w:t>
      </w:r>
      <w:r w:rsidRPr="000B0156">
        <w:rPr>
          <w:rFonts w:ascii="Times New Roman" w:eastAsia="Times New Roman" w:hAnsi="Times New Roman" w:cs="Times New Roman"/>
          <w:i/>
          <w:iCs/>
          <w:sz w:val="24"/>
          <w:szCs w:val="24"/>
        </w:rPr>
        <w:t>Empowering Research for Educators, 2</w:t>
      </w:r>
      <w:r w:rsidRPr="000B0156">
        <w:rPr>
          <w:rFonts w:ascii="Times New Roman" w:eastAsia="Times New Roman" w:hAnsi="Times New Roman" w:cs="Times New Roman"/>
          <w:sz w:val="24"/>
          <w:szCs w:val="24"/>
        </w:rPr>
        <w:t>(1),4.</w:t>
      </w:r>
      <w:r>
        <w:rPr>
          <w:rFonts w:ascii="Times New Roman" w:eastAsia="Times New Roman" w:hAnsi="Times New Roman" w:cs="Times New Roman"/>
          <w:sz w:val="24"/>
          <w:szCs w:val="24"/>
        </w:rPr>
        <w:t xml:space="preserve"> </w:t>
      </w:r>
      <w:hyperlink r:id="rId102" w:history="1">
        <w:r w:rsidRPr="000B0156">
          <w:rPr>
            <w:rStyle w:val="Hyperlink"/>
            <w:rFonts w:ascii="Times New Roman" w:eastAsia="Times New Roman" w:hAnsi="Times New Roman" w:cs="Times New Roman"/>
            <w:sz w:val="24"/>
            <w:szCs w:val="24"/>
          </w:rPr>
          <w:t>https://openprairie.sdstate.edu/ere/vol2/iss1/4</w:t>
        </w:r>
      </w:hyperlink>
      <w:r w:rsidRPr="000B0156">
        <w:rPr>
          <w:rFonts w:ascii="Times New Roman" w:eastAsia="Times New Roman" w:hAnsi="Times New Roman" w:cs="Times New Roman"/>
          <w:sz w:val="24"/>
          <w:szCs w:val="24"/>
        </w:rPr>
        <w:t>. </w:t>
      </w:r>
    </w:p>
    <w:p w14:paraId="71AD6867"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Roeckner</w:t>
      </w:r>
      <w:proofErr w:type="spellEnd"/>
      <w:r w:rsidRPr="000B0156">
        <w:rPr>
          <w:rFonts w:ascii="Times New Roman" w:eastAsia="Times New Roman" w:hAnsi="Times New Roman" w:cs="Times New Roman"/>
          <w:sz w:val="24"/>
          <w:szCs w:val="24"/>
        </w:rPr>
        <w:t xml:space="preserve">, A. R., Oliver, K. I., </w:t>
      </w:r>
      <w:proofErr w:type="spellStart"/>
      <w:r w:rsidRPr="000B0156">
        <w:rPr>
          <w:rFonts w:ascii="Times New Roman" w:eastAsia="Times New Roman" w:hAnsi="Times New Roman" w:cs="Times New Roman"/>
          <w:sz w:val="24"/>
          <w:szCs w:val="24"/>
        </w:rPr>
        <w:t>Lebois</w:t>
      </w:r>
      <w:proofErr w:type="spellEnd"/>
      <w:r w:rsidRPr="000B0156">
        <w:rPr>
          <w:rFonts w:ascii="Times New Roman" w:eastAsia="Times New Roman" w:hAnsi="Times New Roman" w:cs="Times New Roman"/>
          <w:sz w:val="24"/>
          <w:szCs w:val="24"/>
        </w:rPr>
        <w:t xml:space="preserve">, L. A. M., van </w:t>
      </w:r>
      <w:proofErr w:type="spellStart"/>
      <w:r w:rsidRPr="000B0156">
        <w:rPr>
          <w:rFonts w:ascii="Times New Roman" w:eastAsia="Times New Roman" w:hAnsi="Times New Roman" w:cs="Times New Roman"/>
          <w:sz w:val="24"/>
          <w:szCs w:val="24"/>
        </w:rPr>
        <w:t>Rooij</w:t>
      </w:r>
      <w:proofErr w:type="spellEnd"/>
      <w:r w:rsidRPr="000B0156">
        <w:rPr>
          <w:rFonts w:ascii="Times New Roman" w:eastAsia="Times New Roman" w:hAnsi="Times New Roman" w:cs="Times New Roman"/>
          <w:sz w:val="24"/>
          <w:szCs w:val="24"/>
        </w:rPr>
        <w:t xml:space="preserve">, S. J. H., &amp; Stevens, J. S. (2021). Neural contributors to trauma resilience: a review of longitudinal neuroimaging studies. </w:t>
      </w:r>
      <w:r w:rsidRPr="000B0156">
        <w:rPr>
          <w:rFonts w:ascii="Times New Roman" w:eastAsia="Times New Roman" w:hAnsi="Times New Roman" w:cs="Times New Roman"/>
          <w:i/>
          <w:iCs/>
          <w:sz w:val="24"/>
          <w:szCs w:val="24"/>
        </w:rPr>
        <w:t>Translational psychiatry</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11</w:t>
      </w:r>
      <w:r w:rsidRPr="000B0156">
        <w:rPr>
          <w:rFonts w:ascii="Times New Roman" w:eastAsia="Times New Roman" w:hAnsi="Times New Roman" w:cs="Times New Roman"/>
          <w:sz w:val="24"/>
          <w:szCs w:val="24"/>
        </w:rPr>
        <w:t xml:space="preserve">(1), 508. </w:t>
      </w:r>
      <w:hyperlink r:id="rId103" w:tgtFrame="_blank" w:history="1">
        <w:r w:rsidRPr="000B0156">
          <w:rPr>
            <w:rStyle w:val="Hyperlink"/>
            <w:rFonts w:ascii="Times New Roman" w:eastAsia="Times New Roman" w:hAnsi="Times New Roman" w:cs="Times New Roman"/>
            <w:sz w:val="24"/>
            <w:szCs w:val="24"/>
          </w:rPr>
          <w:t>https://doi.org/10.1038/s41398-021-01633-y</w:t>
        </w:r>
      </w:hyperlink>
      <w:r w:rsidRPr="000B0156">
        <w:rPr>
          <w:rFonts w:ascii="Times New Roman" w:eastAsia="Times New Roman" w:hAnsi="Times New Roman" w:cs="Times New Roman"/>
          <w:sz w:val="24"/>
          <w:szCs w:val="24"/>
        </w:rPr>
        <w:t>. </w:t>
      </w:r>
    </w:p>
    <w:p w14:paraId="248B34C6"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Ryan, R. M.&amp; Deci, E. L. (2020). Intrinsic and extrinsic motivation from a self-determination theory perspective: Definitions, theory, practices, and future directions. </w:t>
      </w:r>
      <w:r w:rsidRPr="000B0156">
        <w:rPr>
          <w:rFonts w:ascii="Times New Roman" w:eastAsia="Times New Roman" w:hAnsi="Times New Roman" w:cs="Times New Roman"/>
          <w:i/>
          <w:iCs/>
          <w:sz w:val="24"/>
          <w:szCs w:val="24"/>
        </w:rPr>
        <w:t>Contemporary Educational Psychology</w:t>
      </w:r>
      <w:r w:rsidRPr="000B0156">
        <w:rPr>
          <w:rFonts w:ascii="Times New Roman" w:eastAsia="Times New Roman" w:hAnsi="Times New Roman" w:cs="Times New Roman"/>
          <w:sz w:val="24"/>
          <w:szCs w:val="24"/>
        </w:rPr>
        <w:t>, 61.</w:t>
      </w:r>
      <w:r w:rsidRPr="000B0156">
        <w:rPr>
          <w:rFonts w:ascii="Times New Roman" w:eastAsia="Times New Roman" w:hAnsi="Times New Roman" w:cs="Times New Roman"/>
          <w:sz w:val="24"/>
          <w:szCs w:val="24"/>
        </w:rPr>
        <w:tab/>
      </w:r>
      <w:hyperlink r:id="rId104" w:tgtFrame="_blank" w:history="1">
        <w:r w:rsidRPr="000B0156">
          <w:rPr>
            <w:rStyle w:val="Hyperlink"/>
            <w:rFonts w:ascii="Times New Roman" w:eastAsia="Times New Roman" w:hAnsi="Times New Roman" w:cs="Times New Roman"/>
            <w:sz w:val="24"/>
            <w:szCs w:val="24"/>
          </w:rPr>
          <w:t>https://doi.org/10.1016/j.cedpsych.2020.101860</w:t>
        </w:r>
      </w:hyperlink>
      <w:r w:rsidRPr="000B0156">
        <w:rPr>
          <w:rFonts w:ascii="Times New Roman" w:eastAsia="Times New Roman" w:hAnsi="Times New Roman" w:cs="Times New Roman"/>
          <w:sz w:val="24"/>
          <w:szCs w:val="24"/>
        </w:rPr>
        <w:t>. </w:t>
      </w:r>
    </w:p>
    <w:p w14:paraId="0B74656D" w14:textId="03E4732B"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Scales, P. C., Benson, P. L., Leffert, N, &amp; Blyth, D. A. (2000). Contribution of Developmental Assets to the Prediction of Thriving Among Adolescents. </w:t>
      </w:r>
      <w:r w:rsidRPr="000B0156">
        <w:rPr>
          <w:rFonts w:ascii="Times New Roman" w:eastAsia="Times New Roman" w:hAnsi="Times New Roman" w:cs="Times New Roman"/>
          <w:i/>
          <w:iCs/>
          <w:sz w:val="24"/>
          <w:szCs w:val="24"/>
        </w:rPr>
        <w:t>Applied Developmental</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Science</w:t>
      </w:r>
      <w:r w:rsidRPr="000B0156">
        <w:rPr>
          <w:rFonts w:ascii="Times New Roman" w:eastAsia="Times New Roman" w:hAnsi="Times New Roman" w:cs="Times New Roman"/>
          <w:sz w:val="24"/>
          <w:szCs w:val="24"/>
        </w:rPr>
        <w:t xml:space="preserve">, 4 (1), 27–46. </w:t>
      </w:r>
      <w:proofErr w:type="spellStart"/>
      <w:r w:rsidRPr="000B0156">
        <w:rPr>
          <w:rFonts w:ascii="Times New Roman" w:eastAsia="Times New Roman" w:hAnsi="Times New Roman" w:cs="Times New Roman"/>
          <w:sz w:val="24"/>
          <w:szCs w:val="24"/>
        </w:rPr>
        <w:t>doi</w:t>
      </w:r>
      <w:proofErr w:type="spellEnd"/>
      <w:r w:rsidRPr="000B0156">
        <w:rPr>
          <w:rFonts w:ascii="Times New Roman" w:eastAsia="Times New Roman" w:hAnsi="Times New Roman" w:cs="Times New Roman"/>
          <w:sz w:val="24"/>
          <w:szCs w:val="24"/>
        </w:rPr>
        <w:t xml:space="preserve">: </w:t>
      </w:r>
      <w:hyperlink r:id="rId105" w:tgtFrame="_blank" w:history="1">
        <w:r w:rsidRPr="000B0156">
          <w:rPr>
            <w:rStyle w:val="Hyperlink"/>
            <w:rFonts w:ascii="Times New Roman" w:eastAsia="Times New Roman" w:hAnsi="Times New Roman" w:cs="Times New Roman"/>
            <w:sz w:val="24"/>
            <w:szCs w:val="24"/>
          </w:rPr>
          <w:t>10.1207/S1532480XADS0401_3</w:t>
        </w:r>
      </w:hyperlink>
      <w:r w:rsidRPr="000B0156">
        <w:rPr>
          <w:rFonts w:ascii="Times New Roman" w:eastAsia="Times New Roman" w:hAnsi="Times New Roman" w:cs="Times New Roman"/>
          <w:sz w:val="24"/>
          <w:szCs w:val="24"/>
        </w:rPr>
        <w:t> </w:t>
      </w:r>
    </w:p>
    <w:p w14:paraId="0B63C3BE"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Schaefer, S. M., </w:t>
      </w:r>
      <w:proofErr w:type="spellStart"/>
      <w:r w:rsidRPr="000B0156">
        <w:rPr>
          <w:rFonts w:ascii="Times New Roman" w:eastAsia="Times New Roman" w:hAnsi="Times New Roman" w:cs="Times New Roman"/>
          <w:sz w:val="24"/>
          <w:szCs w:val="24"/>
        </w:rPr>
        <w:t>Morozink</w:t>
      </w:r>
      <w:proofErr w:type="spellEnd"/>
      <w:r w:rsidRPr="000B0156">
        <w:rPr>
          <w:rFonts w:ascii="Times New Roman" w:eastAsia="Times New Roman" w:hAnsi="Times New Roman" w:cs="Times New Roman"/>
          <w:sz w:val="24"/>
          <w:szCs w:val="24"/>
        </w:rPr>
        <w:t xml:space="preserve"> Boylan, J., van </w:t>
      </w:r>
      <w:proofErr w:type="spellStart"/>
      <w:r w:rsidRPr="000B0156">
        <w:rPr>
          <w:rFonts w:ascii="Times New Roman" w:eastAsia="Times New Roman" w:hAnsi="Times New Roman" w:cs="Times New Roman"/>
          <w:sz w:val="24"/>
          <w:szCs w:val="24"/>
        </w:rPr>
        <w:t>Reekum</w:t>
      </w:r>
      <w:proofErr w:type="spellEnd"/>
      <w:r w:rsidRPr="000B0156">
        <w:rPr>
          <w:rFonts w:ascii="Times New Roman" w:eastAsia="Times New Roman" w:hAnsi="Times New Roman" w:cs="Times New Roman"/>
          <w:sz w:val="24"/>
          <w:szCs w:val="24"/>
        </w:rPr>
        <w:t xml:space="preserve">, C. M., </w:t>
      </w:r>
      <w:proofErr w:type="spellStart"/>
      <w:r w:rsidRPr="000B0156">
        <w:rPr>
          <w:rFonts w:ascii="Times New Roman" w:eastAsia="Times New Roman" w:hAnsi="Times New Roman" w:cs="Times New Roman"/>
          <w:sz w:val="24"/>
          <w:szCs w:val="24"/>
        </w:rPr>
        <w:t>Lapate</w:t>
      </w:r>
      <w:proofErr w:type="spellEnd"/>
      <w:r w:rsidRPr="000B0156">
        <w:rPr>
          <w:rFonts w:ascii="Times New Roman" w:eastAsia="Times New Roman" w:hAnsi="Times New Roman" w:cs="Times New Roman"/>
          <w:sz w:val="24"/>
          <w:szCs w:val="24"/>
        </w:rPr>
        <w:t xml:space="preserve">, R. C., Norris, C. J., Ryff, C. D., &amp; Davidson, R. J. (2013). Purpose in life predicts better emotional recovery from negative stimuli. </w:t>
      </w:r>
      <w:proofErr w:type="spellStart"/>
      <w:r w:rsidRPr="000B0156">
        <w:rPr>
          <w:rFonts w:ascii="Times New Roman" w:eastAsia="Times New Roman" w:hAnsi="Times New Roman" w:cs="Times New Roman"/>
          <w:i/>
          <w:iCs/>
          <w:sz w:val="24"/>
          <w:szCs w:val="24"/>
        </w:rPr>
        <w:t>PloS</w:t>
      </w:r>
      <w:proofErr w:type="spellEnd"/>
      <w:r w:rsidRPr="000B0156">
        <w:rPr>
          <w:rFonts w:ascii="Times New Roman" w:eastAsia="Times New Roman" w:hAnsi="Times New Roman" w:cs="Times New Roman"/>
          <w:i/>
          <w:iCs/>
          <w:sz w:val="24"/>
          <w:szCs w:val="24"/>
        </w:rPr>
        <w:t xml:space="preserve"> one</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8</w:t>
      </w:r>
      <w:r w:rsidRPr="000B0156">
        <w:rPr>
          <w:rFonts w:ascii="Times New Roman" w:eastAsia="Times New Roman" w:hAnsi="Times New Roman" w:cs="Times New Roman"/>
          <w:sz w:val="24"/>
          <w:szCs w:val="24"/>
        </w:rPr>
        <w:t xml:space="preserve">(11), e80329. </w:t>
      </w:r>
      <w:hyperlink r:id="rId106" w:tgtFrame="_blank" w:history="1">
        <w:r w:rsidRPr="000B0156">
          <w:rPr>
            <w:rStyle w:val="Hyperlink"/>
            <w:rFonts w:ascii="Times New Roman" w:eastAsia="Times New Roman" w:hAnsi="Times New Roman" w:cs="Times New Roman"/>
            <w:sz w:val="24"/>
            <w:szCs w:val="24"/>
          </w:rPr>
          <w:t>https://doi.org/10.1371/journal.pone.0080329</w:t>
        </w:r>
      </w:hyperlink>
      <w:r w:rsidRPr="000B0156">
        <w:rPr>
          <w:rFonts w:ascii="Times New Roman" w:eastAsia="Times New Roman" w:hAnsi="Times New Roman" w:cs="Times New Roman"/>
          <w:sz w:val="24"/>
          <w:szCs w:val="24"/>
        </w:rPr>
        <w:t>. </w:t>
      </w:r>
    </w:p>
    <w:p w14:paraId="0D590BE5" w14:textId="01EF3165"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Schwartz, M. F. (1996). Reenactments Related to Bonding and Hypersexuality. </w:t>
      </w:r>
      <w:r w:rsidRPr="000B0156">
        <w:rPr>
          <w:rFonts w:ascii="Times New Roman" w:eastAsia="Times New Roman" w:hAnsi="Times New Roman" w:cs="Times New Roman"/>
          <w:i/>
          <w:iCs/>
          <w:sz w:val="24"/>
          <w:szCs w:val="24"/>
        </w:rPr>
        <w:t>Sexual Addiction &amp; Compulsivity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w:t>
      </w:r>
      <w:r w:rsidRPr="000B0156">
        <w:rPr>
          <w:rFonts w:ascii="Times New Roman" w:eastAsia="Times New Roman" w:hAnsi="Times New Roman" w:cs="Times New Roman"/>
          <w:sz w:val="24"/>
          <w:szCs w:val="24"/>
        </w:rPr>
        <w:t xml:space="preserve">(3), 195–212. </w:t>
      </w:r>
      <w:hyperlink r:id="rId107" w:history="1">
        <w:r w:rsidRPr="000B0156">
          <w:rPr>
            <w:rStyle w:val="Hyperlink"/>
            <w:rFonts w:ascii="Times New Roman" w:eastAsia="Times New Roman" w:hAnsi="Times New Roman" w:cs="Times New Roman"/>
            <w:sz w:val="24"/>
            <w:szCs w:val="24"/>
          </w:rPr>
          <w:t>https://doi</w:t>
        </w:r>
      </w:hyperlink>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u w:val="single"/>
        </w:rPr>
        <w:t>org.ezproxy.lib.vt.edu/10.1080/10720169608400112</w:t>
      </w:r>
      <w:r w:rsidRPr="000B0156">
        <w:rPr>
          <w:rFonts w:ascii="Times New Roman" w:eastAsia="Times New Roman" w:hAnsi="Times New Roman" w:cs="Times New Roman"/>
          <w:sz w:val="24"/>
          <w:szCs w:val="24"/>
        </w:rPr>
        <w:t>. </w:t>
      </w:r>
    </w:p>
    <w:p w14:paraId="2C2A08B0"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Scott, K. M., Koenen, K. C., King, A., Petukhova, M. V., Alonso, J., </w:t>
      </w:r>
      <w:proofErr w:type="spellStart"/>
      <w:r w:rsidRPr="000B0156">
        <w:rPr>
          <w:rFonts w:ascii="Times New Roman" w:eastAsia="Times New Roman" w:hAnsi="Times New Roman" w:cs="Times New Roman"/>
          <w:sz w:val="24"/>
          <w:szCs w:val="24"/>
        </w:rPr>
        <w:t>Bromet</w:t>
      </w:r>
      <w:proofErr w:type="spellEnd"/>
      <w:r w:rsidRPr="000B0156">
        <w:rPr>
          <w:rFonts w:ascii="Times New Roman" w:eastAsia="Times New Roman" w:hAnsi="Times New Roman" w:cs="Times New Roman"/>
          <w:sz w:val="24"/>
          <w:szCs w:val="24"/>
        </w:rPr>
        <w:t xml:space="preserve">, E. J., </w:t>
      </w:r>
      <w:proofErr w:type="spellStart"/>
      <w:r w:rsidRPr="000B0156">
        <w:rPr>
          <w:rFonts w:ascii="Times New Roman" w:eastAsia="Times New Roman" w:hAnsi="Times New Roman" w:cs="Times New Roman"/>
          <w:sz w:val="24"/>
          <w:szCs w:val="24"/>
        </w:rPr>
        <w:t>Bruffaerts</w:t>
      </w:r>
      <w:proofErr w:type="spellEnd"/>
      <w:r w:rsidRPr="000B0156">
        <w:rPr>
          <w:rFonts w:ascii="Times New Roman" w:eastAsia="Times New Roman" w:hAnsi="Times New Roman" w:cs="Times New Roman"/>
          <w:sz w:val="24"/>
          <w:szCs w:val="24"/>
        </w:rPr>
        <w:t xml:space="preserve">, R., Bunting, B., de Jonge, P., Haro, J. M., Karam, E. G., Lee, S., Medina-Mora, M. E., Navarro-Mateu, F., Sampson, N. A., </w:t>
      </w:r>
      <w:proofErr w:type="spellStart"/>
      <w:r w:rsidRPr="000B0156">
        <w:rPr>
          <w:rFonts w:ascii="Times New Roman" w:eastAsia="Times New Roman" w:hAnsi="Times New Roman" w:cs="Times New Roman"/>
          <w:sz w:val="24"/>
          <w:szCs w:val="24"/>
        </w:rPr>
        <w:t>Shahly</w:t>
      </w:r>
      <w:proofErr w:type="spellEnd"/>
      <w:r w:rsidRPr="000B0156">
        <w:rPr>
          <w:rFonts w:ascii="Times New Roman" w:eastAsia="Times New Roman" w:hAnsi="Times New Roman" w:cs="Times New Roman"/>
          <w:sz w:val="24"/>
          <w:szCs w:val="24"/>
        </w:rPr>
        <w:t xml:space="preserve">, V., Stein, D. J., Torres, Y., Zaslavsky, A. M., &amp; Kessler, R. C. (2018). Post-traumatic stress disorder associated with sexual assault among women in the WHO World Mental Health Surveys. </w:t>
      </w:r>
      <w:r w:rsidRPr="000B0156">
        <w:rPr>
          <w:rFonts w:ascii="Times New Roman" w:eastAsia="Times New Roman" w:hAnsi="Times New Roman" w:cs="Times New Roman"/>
          <w:i/>
          <w:iCs/>
          <w:sz w:val="24"/>
          <w:szCs w:val="24"/>
        </w:rPr>
        <w:t>Psychological medicine</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48</w:t>
      </w:r>
      <w:r w:rsidRPr="000B0156">
        <w:rPr>
          <w:rFonts w:ascii="Times New Roman" w:eastAsia="Times New Roman" w:hAnsi="Times New Roman" w:cs="Times New Roman"/>
          <w:sz w:val="24"/>
          <w:szCs w:val="24"/>
        </w:rPr>
        <w:t xml:space="preserve">(1), 155–167. </w:t>
      </w:r>
      <w:hyperlink r:id="rId108" w:tgtFrame="_blank" w:history="1">
        <w:r w:rsidRPr="000B0156">
          <w:rPr>
            <w:rStyle w:val="Hyperlink"/>
            <w:rFonts w:ascii="Times New Roman" w:eastAsia="Times New Roman" w:hAnsi="Times New Roman" w:cs="Times New Roman"/>
            <w:sz w:val="24"/>
            <w:szCs w:val="24"/>
          </w:rPr>
          <w:t>https://doi.org/10.1017/S0033291717001593</w:t>
        </w:r>
      </w:hyperlink>
      <w:r w:rsidRPr="000B0156">
        <w:rPr>
          <w:rFonts w:ascii="Times New Roman" w:eastAsia="Times New Roman" w:hAnsi="Times New Roman" w:cs="Times New Roman"/>
          <w:sz w:val="24"/>
          <w:szCs w:val="24"/>
        </w:rPr>
        <w:t>. </w:t>
      </w:r>
    </w:p>
    <w:p w14:paraId="639C2020" w14:textId="02531A8E"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Seery, M. D., Holman, E. A., &amp; Silver, R. C. (2010). Whatever does not kill us: cumulative lifetime adversity, vulnerability, and resilience. </w:t>
      </w:r>
      <w:r w:rsidRPr="000B0156">
        <w:rPr>
          <w:rFonts w:ascii="Times New Roman" w:eastAsia="Times New Roman" w:hAnsi="Times New Roman" w:cs="Times New Roman"/>
          <w:i/>
          <w:iCs/>
          <w:sz w:val="24"/>
          <w:szCs w:val="24"/>
        </w:rPr>
        <w:t>Journal of personality and social psychology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99</w:t>
      </w:r>
      <w:r w:rsidRPr="000B0156">
        <w:rPr>
          <w:rFonts w:ascii="Times New Roman" w:eastAsia="Times New Roman" w:hAnsi="Times New Roman" w:cs="Times New Roman"/>
          <w:sz w:val="24"/>
          <w:szCs w:val="24"/>
        </w:rPr>
        <w:t xml:space="preserve">(6), 1025–1041. </w:t>
      </w:r>
      <w:hyperlink r:id="rId109" w:tgtFrame="_blank" w:history="1">
        <w:r w:rsidRPr="000B0156">
          <w:rPr>
            <w:rStyle w:val="Hyperlink"/>
            <w:rFonts w:ascii="Times New Roman" w:eastAsia="Times New Roman" w:hAnsi="Times New Roman" w:cs="Times New Roman"/>
            <w:sz w:val="24"/>
            <w:szCs w:val="24"/>
          </w:rPr>
          <w:t>https://doi.org/10.1037/a0021344</w:t>
        </w:r>
      </w:hyperlink>
      <w:r w:rsidRPr="000B0156">
        <w:rPr>
          <w:rFonts w:ascii="Times New Roman" w:eastAsia="Times New Roman" w:hAnsi="Times New Roman" w:cs="Times New Roman"/>
          <w:sz w:val="24"/>
          <w:szCs w:val="24"/>
        </w:rPr>
        <w:t>. </w:t>
      </w:r>
    </w:p>
    <w:p w14:paraId="778963CF" w14:textId="1841B71E"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Seligowski</w:t>
      </w:r>
      <w:proofErr w:type="spellEnd"/>
      <w:r w:rsidRPr="000B0156">
        <w:rPr>
          <w:rFonts w:ascii="Times New Roman" w:eastAsia="Times New Roman" w:hAnsi="Times New Roman" w:cs="Times New Roman"/>
          <w:sz w:val="24"/>
          <w:szCs w:val="24"/>
        </w:rPr>
        <w:t xml:space="preserve">, A. V., Webber, T. K., </w:t>
      </w:r>
      <w:proofErr w:type="spellStart"/>
      <w:r w:rsidRPr="000B0156">
        <w:rPr>
          <w:rFonts w:ascii="Times New Roman" w:eastAsia="Times New Roman" w:hAnsi="Times New Roman" w:cs="Times New Roman"/>
          <w:sz w:val="24"/>
          <w:szCs w:val="24"/>
        </w:rPr>
        <w:t>Marvar</w:t>
      </w:r>
      <w:proofErr w:type="spellEnd"/>
      <w:r w:rsidRPr="000B0156">
        <w:rPr>
          <w:rFonts w:ascii="Times New Roman" w:eastAsia="Times New Roman" w:hAnsi="Times New Roman" w:cs="Times New Roman"/>
          <w:sz w:val="24"/>
          <w:szCs w:val="24"/>
        </w:rPr>
        <w:t>, P. J., Ressler, K. J., &amp; Philip, N. S. (2022)</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 xml:space="preserve">Involvement of the brain–heart axis in the link between PTSD and </w:t>
      </w:r>
      <w:r>
        <w:rPr>
          <w:rFonts w:ascii="Times New Roman" w:eastAsia="Times New Roman" w:hAnsi="Times New Roman" w:cs="Times New Roman"/>
          <w:sz w:val="24"/>
          <w:szCs w:val="24"/>
        </w:rPr>
        <w:t xml:space="preserve">cardiovascular </w:t>
      </w:r>
      <w:r w:rsidRPr="000B0156">
        <w:rPr>
          <w:rFonts w:ascii="Times New Roman" w:eastAsia="Times New Roman" w:hAnsi="Times New Roman" w:cs="Times New Roman"/>
          <w:sz w:val="24"/>
          <w:szCs w:val="24"/>
        </w:rPr>
        <w:t>disease. </w:t>
      </w:r>
      <w:r w:rsidRPr="000B0156">
        <w:rPr>
          <w:rFonts w:ascii="Times New Roman" w:eastAsia="Times New Roman" w:hAnsi="Times New Roman" w:cs="Times New Roman"/>
          <w:i/>
          <w:iCs/>
          <w:sz w:val="24"/>
          <w:szCs w:val="24"/>
        </w:rPr>
        <w:t>Depression &amp; Anxiety (1091-4269)</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39</w:t>
      </w:r>
      <w:r w:rsidRPr="000B0156">
        <w:rPr>
          <w:rFonts w:ascii="Times New Roman" w:eastAsia="Times New Roman" w:hAnsi="Times New Roman" w:cs="Times New Roman"/>
          <w:sz w:val="24"/>
          <w:szCs w:val="24"/>
        </w:rPr>
        <w:t>(10), 663–674.</w:t>
      </w:r>
      <w:r>
        <w:rPr>
          <w:rFonts w:ascii="Times New Roman" w:eastAsia="Times New Roman" w:hAnsi="Times New Roman" w:cs="Times New Roman"/>
          <w:sz w:val="24"/>
          <w:szCs w:val="24"/>
        </w:rPr>
        <w:t xml:space="preserve"> </w:t>
      </w:r>
      <w:hyperlink r:id="rId110" w:history="1">
        <w:r w:rsidRPr="000B0156">
          <w:rPr>
            <w:rStyle w:val="Hyperlink"/>
            <w:rFonts w:ascii="Times New Roman" w:eastAsia="Times New Roman" w:hAnsi="Times New Roman" w:cs="Times New Roman"/>
            <w:sz w:val="24"/>
            <w:szCs w:val="24"/>
          </w:rPr>
          <w:t>https://doi.org.ezproxy.lib.vt.edu/10.1002/da.23271</w:t>
        </w:r>
      </w:hyperlink>
      <w:r w:rsidRPr="000B0156">
        <w:rPr>
          <w:rFonts w:ascii="Times New Roman" w:eastAsia="Times New Roman" w:hAnsi="Times New Roman" w:cs="Times New Roman"/>
          <w:sz w:val="24"/>
          <w:szCs w:val="24"/>
        </w:rPr>
        <w:t>. </w:t>
      </w:r>
    </w:p>
    <w:p w14:paraId="6CC6E386"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Shalev, A.Y., Freedman, S., Peri, T., Brandes, D., Sahar, T., Orr, S.P., &amp; Pitman, R.K. (1998) Prospective study of posttraumatic stress disorder and depression following trauma. </w:t>
      </w:r>
      <w:r w:rsidRPr="000B0156">
        <w:rPr>
          <w:rFonts w:ascii="Times New Roman" w:eastAsia="Times New Roman" w:hAnsi="Times New Roman" w:cs="Times New Roman"/>
          <w:i/>
          <w:iCs/>
          <w:sz w:val="24"/>
          <w:szCs w:val="24"/>
        </w:rPr>
        <w:t>Am J Psychiatry, 155</w:t>
      </w:r>
      <w:r w:rsidRPr="000B0156">
        <w:rPr>
          <w:rFonts w:ascii="Times New Roman" w:eastAsia="Times New Roman" w:hAnsi="Times New Roman" w:cs="Times New Roman"/>
          <w:sz w:val="24"/>
          <w:szCs w:val="24"/>
        </w:rPr>
        <w:t xml:space="preserve">(5), 630-7. </w:t>
      </w:r>
      <w:proofErr w:type="spellStart"/>
      <w:r w:rsidRPr="000B0156">
        <w:rPr>
          <w:rFonts w:ascii="Times New Roman" w:eastAsia="Times New Roman" w:hAnsi="Times New Roman" w:cs="Times New Roman"/>
          <w:sz w:val="24"/>
          <w:szCs w:val="24"/>
        </w:rPr>
        <w:t>doi</w:t>
      </w:r>
      <w:proofErr w:type="spellEnd"/>
      <w:r w:rsidRPr="000B0156">
        <w:rPr>
          <w:rFonts w:ascii="Times New Roman" w:eastAsia="Times New Roman" w:hAnsi="Times New Roman" w:cs="Times New Roman"/>
          <w:sz w:val="24"/>
          <w:szCs w:val="24"/>
        </w:rPr>
        <w:t>: 10.1176/ajp.155.5.630.  </w:t>
      </w:r>
    </w:p>
    <w:p w14:paraId="2513781A"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Sheffler, Z.M., Reddy, V., &amp; </w:t>
      </w:r>
      <w:proofErr w:type="spellStart"/>
      <w:r w:rsidRPr="000B0156">
        <w:rPr>
          <w:rFonts w:ascii="Times New Roman" w:eastAsia="Times New Roman" w:hAnsi="Times New Roman" w:cs="Times New Roman"/>
          <w:sz w:val="24"/>
          <w:szCs w:val="24"/>
        </w:rPr>
        <w:t>Pillarisetty</w:t>
      </w:r>
      <w:proofErr w:type="spellEnd"/>
      <w:r w:rsidRPr="000B0156">
        <w:rPr>
          <w:rFonts w:ascii="Times New Roman" w:eastAsia="Times New Roman" w:hAnsi="Times New Roman" w:cs="Times New Roman"/>
          <w:sz w:val="24"/>
          <w:szCs w:val="24"/>
        </w:rPr>
        <w:t xml:space="preserve">, L.S. (2023). Physiology, Neurotransmitters. </w:t>
      </w:r>
      <w:proofErr w:type="spellStart"/>
      <w:r w:rsidRPr="000B0156">
        <w:rPr>
          <w:rFonts w:ascii="Times New Roman" w:eastAsia="Times New Roman" w:hAnsi="Times New Roman" w:cs="Times New Roman"/>
          <w:i/>
          <w:iCs/>
          <w:sz w:val="24"/>
          <w:szCs w:val="24"/>
        </w:rPr>
        <w:t>StatPearls</w:t>
      </w:r>
      <w:proofErr w:type="spellEnd"/>
      <w:r w:rsidRPr="000B0156">
        <w:rPr>
          <w:rFonts w:ascii="Times New Roman" w:eastAsia="Times New Roman" w:hAnsi="Times New Roman" w:cs="Times New Roman"/>
          <w:i/>
          <w:iCs/>
          <w:sz w:val="24"/>
          <w:szCs w:val="24"/>
        </w:rPr>
        <w:t xml:space="preserve"> Publishing</w:t>
      </w:r>
      <w:r w:rsidRPr="000B0156">
        <w:rPr>
          <w:rFonts w:ascii="Times New Roman" w:eastAsia="Times New Roman" w:hAnsi="Times New Roman" w:cs="Times New Roman"/>
          <w:sz w:val="24"/>
          <w:szCs w:val="24"/>
        </w:rPr>
        <w:t xml:space="preserve">. </w:t>
      </w:r>
      <w:hyperlink r:id="rId111" w:tgtFrame="_blank" w:history="1">
        <w:r w:rsidRPr="000B0156">
          <w:rPr>
            <w:rStyle w:val="Hyperlink"/>
            <w:rFonts w:ascii="Times New Roman" w:eastAsia="Times New Roman" w:hAnsi="Times New Roman" w:cs="Times New Roman"/>
            <w:sz w:val="24"/>
            <w:szCs w:val="24"/>
          </w:rPr>
          <w:t>https://www.ncbi.nlm.nih.gov/books/NBK539894/</w:t>
        </w:r>
      </w:hyperlink>
      <w:r w:rsidRPr="000B0156">
        <w:rPr>
          <w:rFonts w:ascii="Times New Roman" w:eastAsia="Times New Roman" w:hAnsi="Times New Roman" w:cs="Times New Roman"/>
          <w:sz w:val="24"/>
          <w:szCs w:val="24"/>
        </w:rPr>
        <w:t>. </w:t>
      </w:r>
    </w:p>
    <w:p w14:paraId="76F350FD" w14:textId="755CF37D"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Shepherd, L., &amp; Wild, J. (2014). Emotion regulation, physiological arousal and PTSD symptoms in trauma-exposed individuals. </w:t>
      </w:r>
      <w:r w:rsidRPr="000B0156">
        <w:rPr>
          <w:rFonts w:ascii="Times New Roman" w:eastAsia="Times New Roman" w:hAnsi="Times New Roman" w:cs="Times New Roman"/>
          <w:i/>
          <w:iCs/>
          <w:sz w:val="24"/>
          <w:szCs w:val="24"/>
        </w:rPr>
        <w:t>Journal of behavior therapy and experimental</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psychiatry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45</w:t>
      </w:r>
      <w:r w:rsidRPr="000B0156">
        <w:rPr>
          <w:rFonts w:ascii="Times New Roman" w:eastAsia="Times New Roman" w:hAnsi="Times New Roman" w:cs="Times New Roman"/>
          <w:sz w:val="24"/>
          <w:szCs w:val="24"/>
        </w:rPr>
        <w:t xml:space="preserve">(3), 360–367. </w:t>
      </w:r>
      <w:hyperlink r:id="rId112" w:tgtFrame="_blank" w:history="1">
        <w:r w:rsidRPr="000B0156">
          <w:rPr>
            <w:rStyle w:val="Hyperlink"/>
            <w:rFonts w:ascii="Times New Roman" w:eastAsia="Times New Roman" w:hAnsi="Times New Roman" w:cs="Times New Roman"/>
            <w:sz w:val="24"/>
            <w:szCs w:val="24"/>
          </w:rPr>
          <w:t>https://doi.org/10.1016/j.jbtep.2014.03.002</w:t>
        </w:r>
      </w:hyperlink>
      <w:r w:rsidRPr="000B0156">
        <w:rPr>
          <w:rFonts w:ascii="Times New Roman" w:eastAsia="Times New Roman" w:hAnsi="Times New Roman" w:cs="Times New Roman"/>
          <w:sz w:val="24"/>
          <w:szCs w:val="24"/>
        </w:rPr>
        <w:t>. </w:t>
      </w:r>
    </w:p>
    <w:p w14:paraId="6F76E80D"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Sherin, J. E., &amp; Nemeroff, C. B. (2011). Post-traumatic stress disorder: the neurobiological impact of psychological trauma. </w:t>
      </w:r>
      <w:r w:rsidRPr="000B0156">
        <w:rPr>
          <w:rFonts w:ascii="Times New Roman" w:eastAsia="Times New Roman" w:hAnsi="Times New Roman" w:cs="Times New Roman"/>
          <w:i/>
          <w:iCs/>
          <w:sz w:val="24"/>
          <w:szCs w:val="24"/>
        </w:rPr>
        <w:t>Dialogues in clinical neuroscience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13</w:t>
      </w:r>
      <w:r w:rsidRPr="000B0156">
        <w:rPr>
          <w:rFonts w:ascii="Times New Roman" w:eastAsia="Times New Roman" w:hAnsi="Times New Roman" w:cs="Times New Roman"/>
          <w:sz w:val="24"/>
          <w:szCs w:val="24"/>
        </w:rPr>
        <w:t xml:space="preserve">(3), 263–278. </w:t>
      </w:r>
      <w:hyperlink r:id="rId113" w:tgtFrame="_blank" w:history="1">
        <w:r w:rsidRPr="000B0156">
          <w:rPr>
            <w:rStyle w:val="Hyperlink"/>
            <w:rFonts w:ascii="Times New Roman" w:eastAsia="Times New Roman" w:hAnsi="Times New Roman" w:cs="Times New Roman"/>
            <w:sz w:val="24"/>
            <w:szCs w:val="24"/>
          </w:rPr>
          <w:t>https://doi.org/10.31887/DCNS.2011.13.2/jsherin</w:t>
        </w:r>
      </w:hyperlink>
      <w:r w:rsidRPr="000B0156">
        <w:rPr>
          <w:rFonts w:ascii="Times New Roman" w:eastAsia="Times New Roman" w:hAnsi="Times New Roman" w:cs="Times New Roman"/>
          <w:sz w:val="24"/>
          <w:szCs w:val="24"/>
        </w:rPr>
        <w:t>. </w:t>
      </w:r>
    </w:p>
    <w:p w14:paraId="3FB13B86"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Shields, C.M., </w:t>
      </w:r>
      <w:proofErr w:type="spellStart"/>
      <w:r w:rsidRPr="000B0156">
        <w:rPr>
          <w:rFonts w:ascii="Times New Roman" w:eastAsia="Times New Roman" w:hAnsi="Times New Roman" w:cs="Times New Roman"/>
          <w:sz w:val="24"/>
          <w:szCs w:val="24"/>
        </w:rPr>
        <w:t>Bischop</w:t>
      </w:r>
      <w:proofErr w:type="spellEnd"/>
      <w:r w:rsidRPr="000B0156">
        <w:rPr>
          <w:rFonts w:ascii="Times New Roman" w:eastAsia="Times New Roman" w:hAnsi="Times New Roman" w:cs="Times New Roman"/>
          <w:sz w:val="24"/>
          <w:szCs w:val="24"/>
        </w:rPr>
        <w:t xml:space="preserve">, R. &amp; </w:t>
      </w:r>
      <w:proofErr w:type="spellStart"/>
      <w:r w:rsidRPr="000B0156">
        <w:rPr>
          <w:rFonts w:ascii="Times New Roman" w:eastAsia="Times New Roman" w:hAnsi="Times New Roman" w:cs="Times New Roman"/>
          <w:sz w:val="24"/>
          <w:szCs w:val="24"/>
        </w:rPr>
        <w:t>Mazawi</w:t>
      </w:r>
      <w:proofErr w:type="spellEnd"/>
      <w:r w:rsidRPr="000B0156">
        <w:rPr>
          <w:rFonts w:ascii="Times New Roman" w:eastAsia="Times New Roman" w:hAnsi="Times New Roman" w:cs="Times New Roman"/>
          <w:sz w:val="24"/>
          <w:szCs w:val="24"/>
        </w:rPr>
        <w:t xml:space="preserve">, A.E. (2005). Chapter One: Pathologizing Practices an Overview. </w:t>
      </w:r>
      <w:r w:rsidRPr="000B0156">
        <w:rPr>
          <w:rFonts w:ascii="Times New Roman" w:eastAsia="Times New Roman" w:hAnsi="Times New Roman" w:cs="Times New Roman"/>
          <w:i/>
          <w:iCs/>
          <w:sz w:val="24"/>
          <w:szCs w:val="24"/>
        </w:rPr>
        <w:t>Counterpoints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268</w:t>
      </w:r>
      <w:r w:rsidRPr="000B0156">
        <w:rPr>
          <w:rFonts w:ascii="Times New Roman" w:eastAsia="Times New Roman" w:hAnsi="Times New Roman" w:cs="Times New Roman"/>
          <w:sz w:val="24"/>
          <w:szCs w:val="24"/>
        </w:rPr>
        <w:t xml:space="preserve">, 1–22. </w:t>
      </w:r>
      <w:hyperlink r:id="rId114" w:tgtFrame="_blank" w:history="1">
        <w:r w:rsidRPr="000B0156">
          <w:rPr>
            <w:rStyle w:val="Hyperlink"/>
            <w:rFonts w:ascii="Times New Roman" w:eastAsia="Times New Roman" w:hAnsi="Times New Roman" w:cs="Times New Roman"/>
            <w:sz w:val="24"/>
            <w:szCs w:val="24"/>
          </w:rPr>
          <w:t>http://www.jstor.org/stable/45136502</w:t>
        </w:r>
      </w:hyperlink>
      <w:r w:rsidRPr="000B0156">
        <w:rPr>
          <w:rFonts w:ascii="Times New Roman" w:eastAsia="Times New Roman" w:hAnsi="Times New Roman" w:cs="Times New Roman"/>
          <w:sz w:val="24"/>
          <w:szCs w:val="24"/>
        </w:rPr>
        <w:t>. </w:t>
      </w:r>
    </w:p>
    <w:p w14:paraId="0D4566D0"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Siegler, R. S. (2016). Continuity and Change in the Field of Cognitive Development and in the Perspectives of One Cognitive Developmentalist. </w:t>
      </w:r>
      <w:r w:rsidRPr="000B0156">
        <w:rPr>
          <w:rFonts w:ascii="Times New Roman" w:eastAsia="Times New Roman" w:hAnsi="Times New Roman" w:cs="Times New Roman"/>
          <w:i/>
          <w:iCs/>
          <w:sz w:val="24"/>
          <w:szCs w:val="24"/>
        </w:rPr>
        <w:t>Child Development Perspectives</w:t>
      </w:r>
      <w:r w:rsidRPr="000B0156">
        <w:rPr>
          <w:rFonts w:ascii="Times New Roman" w:eastAsia="Times New Roman" w:hAnsi="Times New Roman" w:cs="Times New Roman"/>
          <w:sz w:val="24"/>
          <w:szCs w:val="24"/>
        </w:rPr>
        <w:t xml:space="preserve">, 2-29 16, </w:t>
      </w:r>
      <w:proofErr w:type="spellStart"/>
      <w:r w:rsidRPr="000B0156">
        <w:rPr>
          <w:rFonts w:ascii="Times New Roman" w:eastAsia="Times New Roman" w:hAnsi="Times New Roman" w:cs="Times New Roman"/>
          <w:sz w:val="24"/>
          <w:szCs w:val="24"/>
        </w:rPr>
        <w:t>doi</w:t>
      </w:r>
      <w:proofErr w:type="spellEnd"/>
      <w:r w:rsidRPr="000B0156">
        <w:rPr>
          <w:rFonts w:ascii="Times New Roman" w:eastAsia="Times New Roman" w:hAnsi="Times New Roman" w:cs="Times New Roman"/>
          <w:sz w:val="24"/>
          <w:szCs w:val="24"/>
        </w:rPr>
        <w:t>: 10.1111/cdep.12173. </w:t>
      </w:r>
    </w:p>
    <w:p w14:paraId="3A85F8F4"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Silver, R. C., Holman, E. A., &amp; Garfin, D. R. (2021). Coping with cascading collective traumas in the United States. </w:t>
      </w:r>
      <w:r w:rsidRPr="000B0156">
        <w:rPr>
          <w:rFonts w:ascii="Times New Roman" w:eastAsia="Times New Roman" w:hAnsi="Times New Roman" w:cs="Times New Roman"/>
          <w:i/>
          <w:iCs/>
          <w:sz w:val="24"/>
          <w:szCs w:val="24"/>
        </w:rPr>
        <w:t xml:space="preserve">Nature human </w:t>
      </w:r>
      <w:proofErr w:type="spellStart"/>
      <w:r w:rsidRPr="000B0156">
        <w:rPr>
          <w:rFonts w:ascii="Times New Roman" w:eastAsia="Times New Roman" w:hAnsi="Times New Roman" w:cs="Times New Roman"/>
          <w:i/>
          <w:iCs/>
          <w:sz w:val="24"/>
          <w:szCs w:val="24"/>
        </w:rPr>
        <w:t>behaviour</w:t>
      </w:r>
      <w:proofErr w:type="spellEnd"/>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5</w:t>
      </w:r>
      <w:r w:rsidRPr="000B0156">
        <w:rPr>
          <w:rFonts w:ascii="Times New Roman" w:eastAsia="Times New Roman" w:hAnsi="Times New Roman" w:cs="Times New Roman"/>
          <w:sz w:val="24"/>
          <w:szCs w:val="24"/>
        </w:rPr>
        <w:t xml:space="preserve">(1), 4–6. </w:t>
      </w:r>
      <w:hyperlink r:id="rId115" w:tgtFrame="_blank" w:history="1">
        <w:r w:rsidRPr="000B0156">
          <w:rPr>
            <w:rStyle w:val="Hyperlink"/>
            <w:rFonts w:ascii="Times New Roman" w:eastAsia="Times New Roman" w:hAnsi="Times New Roman" w:cs="Times New Roman"/>
            <w:sz w:val="24"/>
            <w:szCs w:val="24"/>
          </w:rPr>
          <w:t>https://doi.org/10.1038/s41562-020-00981-x</w:t>
        </w:r>
      </w:hyperlink>
      <w:r w:rsidRPr="000B0156">
        <w:rPr>
          <w:rFonts w:ascii="Times New Roman" w:eastAsia="Times New Roman" w:hAnsi="Times New Roman" w:cs="Times New Roman"/>
          <w:sz w:val="24"/>
          <w:szCs w:val="24"/>
        </w:rPr>
        <w:t>. </w:t>
      </w:r>
    </w:p>
    <w:p w14:paraId="40AC75BE" w14:textId="0364F855"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Simmons, J., &amp; </w:t>
      </w:r>
      <w:proofErr w:type="spellStart"/>
      <w:r w:rsidRPr="000B0156">
        <w:rPr>
          <w:rFonts w:ascii="Times New Roman" w:eastAsia="Times New Roman" w:hAnsi="Times New Roman" w:cs="Times New Roman"/>
          <w:sz w:val="24"/>
          <w:szCs w:val="24"/>
        </w:rPr>
        <w:t>Swahnberg</w:t>
      </w:r>
      <w:proofErr w:type="spellEnd"/>
      <w:r w:rsidRPr="000B0156">
        <w:rPr>
          <w:rFonts w:ascii="Times New Roman" w:eastAsia="Times New Roman" w:hAnsi="Times New Roman" w:cs="Times New Roman"/>
          <w:sz w:val="24"/>
          <w:szCs w:val="24"/>
        </w:rPr>
        <w:t xml:space="preserve">, K. (2021). Lifetime prevalence of </w:t>
      </w:r>
      <w:proofErr w:type="spellStart"/>
      <w:r w:rsidRPr="000B0156">
        <w:rPr>
          <w:rFonts w:ascii="Times New Roman" w:eastAsia="Times New Roman" w:hAnsi="Times New Roman" w:cs="Times New Roman"/>
          <w:sz w:val="24"/>
          <w:szCs w:val="24"/>
        </w:rPr>
        <w:t>polyvictimization</w:t>
      </w:r>
      <w:proofErr w:type="spellEnd"/>
      <w:r w:rsidRPr="000B0156">
        <w:rPr>
          <w:rFonts w:ascii="Times New Roman" w:eastAsia="Times New Roman" w:hAnsi="Times New Roman" w:cs="Times New Roman"/>
          <w:sz w:val="24"/>
          <w:szCs w:val="24"/>
        </w:rPr>
        <w:t xml:space="preserve"> among older adults in Sweden, associations with ill-heath, and the mediating effect of sense of</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coherence. </w:t>
      </w:r>
      <w:r w:rsidRPr="000B0156">
        <w:rPr>
          <w:rFonts w:ascii="Times New Roman" w:eastAsia="Times New Roman" w:hAnsi="Times New Roman" w:cs="Times New Roman"/>
          <w:i/>
          <w:iCs/>
          <w:sz w:val="24"/>
          <w:szCs w:val="24"/>
        </w:rPr>
        <w:t>BMC geriatrics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21</w:t>
      </w:r>
      <w:r w:rsidRPr="000B0156">
        <w:rPr>
          <w:rFonts w:ascii="Times New Roman" w:eastAsia="Times New Roman" w:hAnsi="Times New Roman" w:cs="Times New Roman"/>
          <w:sz w:val="24"/>
          <w:szCs w:val="24"/>
        </w:rPr>
        <w:t xml:space="preserve">(1), 129. </w:t>
      </w:r>
      <w:hyperlink r:id="rId116" w:tgtFrame="_blank" w:history="1">
        <w:r w:rsidRPr="000B0156">
          <w:rPr>
            <w:rStyle w:val="Hyperlink"/>
            <w:rFonts w:ascii="Times New Roman" w:eastAsia="Times New Roman" w:hAnsi="Times New Roman" w:cs="Times New Roman"/>
            <w:sz w:val="24"/>
            <w:szCs w:val="24"/>
          </w:rPr>
          <w:t>https://doi.org/10.1186/s12877-021-02074-4</w:t>
        </w:r>
      </w:hyperlink>
      <w:r w:rsidRPr="000B0156">
        <w:rPr>
          <w:rFonts w:ascii="Times New Roman" w:eastAsia="Times New Roman" w:hAnsi="Times New Roman" w:cs="Times New Roman"/>
          <w:sz w:val="24"/>
          <w:szCs w:val="24"/>
        </w:rPr>
        <w:t>. </w:t>
      </w:r>
    </w:p>
    <w:p w14:paraId="332DD058"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Singer, G., </w:t>
      </w:r>
      <w:proofErr w:type="spellStart"/>
      <w:r w:rsidRPr="000B0156">
        <w:rPr>
          <w:rFonts w:ascii="Times New Roman" w:eastAsia="Times New Roman" w:hAnsi="Times New Roman" w:cs="Times New Roman"/>
          <w:sz w:val="24"/>
          <w:szCs w:val="24"/>
        </w:rPr>
        <w:t>Arneitz</w:t>
      </w:r>
      <w:proofErr w:type="spellEnd"/>
      <w:r w:rsidRPr="000B0156">
        <w:rPr>
          <w:rFonts w:ascii="Times New Roman" w:eastAsia="Times New Roman" w:hAnsi="Times New Roman" w:cs="Times New Roman"/>
          <w:sz w:val="24"/>
          <w:szCs w:val="24"/>
        </w:rPr>
        <w:t xml:space="preserve">, C., </w:t>
      </w:r>
      <w:proofErr w:type="spellStart"/>
      <w:r w:rsidRPr="000B0156">
        <w:rPr>
          <w:rFonts w:ascii="Times New Roman" w:eastAsia="Times New Roman" w:hAnsi="Times New Roman" w:cs="Times New Roman"/>
          <w:sz w:val="24"/>
          <w:szCs w:val="24"/>
        </w:rPr>
        <w:t>Tschauner</w:t>
      </w:r>
      <w:proofErr w:type="spellEnd"/>
      <w:r w:rsidRPr="000B0156">
        <w:rPr>
          <w:rFonts w:ascii="Times New Roman" w:eastAsia="Times New Roman" w:hAnsi="Times New Roman" w:cs="Times New Roman"/>
          <w:sz w:val="24"/>
          <w:szCs w:val="24"/>
        </w:rPr>
        <w:t xml:space="preserve">, S., Castellani, C., Till, H. (2021). Trauma in pediatric urology, </w:t>
      </w:r>
      <w:r w:rsidRPr="000B0156">
        <w:rPr>
          <w:rFonts w:ascii="Times New Roman" w:eastAsia="Times New Roman" w:hAnsi="Times New Roman" w:cs="Times New Roman"/>
          <w:i/>
          <w:iCs/>
          <w:sz w:val="24"/>
          <w:szCs w:val="24"/>
        </w:rPr>
        <w:t>Seminars in Pediatric Surgery, 30</w:t>
      </w:r>
      <w:r w:rsidRPr="000B0156">
        <w:rPr>
          <w:rFonts w:ascii="Times New Roman" w:eastAsia="Times New Roman" w:hAnsi="Times New Roman" w:cs="Times New Roman"/>
          <w:sz w:val="24"/>
          <w:szCs w:val="24"/>
        </w:rPr>
        <w:t xml:space="preserve">(4). </w:t>
      </w:r>
      <w:hyperlink r:id="rId117" w:tgtFrame="_blank" w:history="1">
        <w:r w:rsidRPr="000B0156">
          <w:rPr>
            <w:rStyle w:val="Hyperlink"/>
            <w:rFonts w:ascii="Times New Roman" w:eastAsia="Times New Roman" w:hAnsi="Times New Roman" w:cs="Times New Roman"/>
            <w:sz w:val="24"/>
            <w:szCs w:val="24"/>
          </w:rPr>
          <w:t>https://doi.org/10.1016/j.sempedsurg.2021.151085</w:t>
        </w:r>
      </w:hyperlink>
      <w:r w:rsidRPr="000B0156">
        <w:rPr>
          <w:rFonts w:ascii="Times New Roman" w:eastAsia="Times New Roman" w:hAnsi="Times New Roman" w:cs="Times New Roman"/>
          <w:sz w:val="24"/>
          <w:szCs w:val="24"/>
        </w:rPr>
        <w:t>. </w:t>
      </w:r>
    </w:p>
    <w:p w14:paraId="7F9E7D08"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Smelser, N. J., Alexander, J. C., Eyerman, R. Giesen, B., &amp; </w:t>
      </w:r>
      <w:proofErr w:type="spellStart"/>
      <w:r w:rsidRPr="000B0156">
        <w:rPr>
          <w:rFonts w:ascii="Times New Roman" w:eastAsia="Times New Roman" w:hAnsi="Times New Roman" w:cs="Times New Roman"/>
          <w:sz w:val="24"/>
          <w:szCs w:val="24"/>
        </w:rPr>
        <w:t>Sztompka</w:t>
      </w:r>
      <w:proofErr w:type="spellEnd"/>
      <w:r w:rsidRPr="000B0156">
        <w:rPr>
          <w:rFonts w:ascii="Times New Roman" w:eastAsia="Times New Roman" w:hAnsi="Times New Roman" w:cs="Times New Roman"/>
          <w:sz w:val="24"/>
          <w:szCs w:val="24"/>
        </w:rPr>
        <w:t>, P. (2004). Psychological Trauma and Cultural Trauma. In </w:t>
      </w:r>
      <w:r w:rsidRPr="000B0156">
        <w:rPr>
          <w:rFonts w:ascii="Times New Roman" w:eastAsia="Times New Roman" w:hAnsi="Times New Roman" w:cs="Times New Roman"/>
          <w:i/>
          <w:iCs/>
          <w:sz w:val="24"/>
          <w:szCs w:val="24"/>
        </w:rPr>
        <w:t>Cultural Trauma and Collective Identity</w:t>
      </w:r>
      <w:r w:rsidRPr="000B0156">
        <w:rPr>
          <w:rFonts w:ascii="Times New Roman" w:eastAsia="Times New Roman" w:hAnsi="Times New Roman" w:cs="Times New Roman"/>
          <w:sz w:val="24"/>
          <w:szCs w:val="24"/>
        </w:rPr>
        <w:t xml:space="preserve"> (1st ed., pp. 31 59). University of California Press. </w:t>
      </w:r>
      <w:hyperlink r:id="rId118" w:tgtFrame="_blank" w:history="1">
        <w:r w:rsidRPr="000B0156">
          <w:rPr>
            <w:rStyle w:val="Hyperlink"/>
            <w:rFonts w:ascii="Times New Roman" w:eastAsia="Times New Roman" w:hAnsi="Times New Roman" w:cs="Times New Roman"/>
            <w:sz w:val="24"/>
            <w:szCs w:val="24"/>
          </w:rPr>
          <w:t>http://www.jstor.org/stable/10.1525/j.ctt1pp9nb.5</w:t>
        </w:r>
      </w:hyperlink>
      <w:r w:rsidRPr="000B0156">
        <w:rPr>
          <w:rFonts w:ascii="Times New Roman" w:eastAsia="Times New Roman" w:hAnsi="Times New Roman" w:cs="Times New Roman"/>
          <w:sz w:val="24"/>
          <w:szCs w:val="24"/>
        </w:rPr>
        <w:t>. </w:t>
      </w:r>
    </w:p>
    <w:p w14:paraId="7E2F9D87"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Smith, A. J., Felix, E. D., Benight, C. C., &amp; Jones, R. T. (2017). Protective Factors, Coping Appraisals, and Social Barriers Predict Mental Health Following Community Violence: </w:t>
      </w:r>
      <w:r w:rsidRPr="000B0156">
        <w:rPr>
          <w:rFonts w:ascii="Times New Roman" w:eastAsia="Times New Roman" w:hAnsi="Times New Roman" w:cs="Times New Roman"/>
          <w:sz w:val="24"/>
          <w:szCs w:val="24"/>
        </w:rPr>
        <w:lastRenderedPageBreak/>
        <w:t>A Prospective Test of Social Cognitive Theory. </w:t>
      </w:r>
      <w:r w:rsidRPr="000B0156">
        <w:rPr>
          <w:rFonts w:ascii="Times New Roman" w:eastAsia="Times New Roman" w:hAnsi="Times New Roman" w:cs="Times New Roman"/>
          <w:i/>
          <w:iCs/>
          <w:sz w:val="24"/>
          <w:szCs w:val="24"/>
        </w:rPr>
        <w:t>Journal of Traumatic Stress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30</w:t>
      </w:r>
      <w:r w:rsidRPr="000B0156">
        <w:rPr>
          <w:rFonts w:ascii="Times New Roman" w:eastAsia="Times New Roman" w:hAnsi="Times New Roman" w:cs="Times New Roman"/>
          <w:sz w:val="24"/>
          <w:szCs w:val="24"/>
        </w:rPr>
        <w:t xml:space="preserve">(3), 245- 253. </w:t>
      </w:r>
      <w:hyperlink r:id="rId119" w:tgtFrame="_blank" w:history="1">
        <w:r w:rsidRPr="000B0156">
          <w:rPr>
            <w:rStyle w:val="Hyperlink"/>
            <w:rFonts w:ascii="Times New Roman" w:eastAsia="Times New Roman" w:hAnsi="Times New Roman" w:cs="Times New Roman"/>
            <w:sz w:val="24"/>
            <w:szCs w:val="24"/>
          </w:rPr>
          <w:t>https://doi-org.ezproxy.lib.vt.edu/10.1002/jts.22197</w:t>
        </w:r>
      </w:hyperlink>
      <w:r w:rsidRPr="000B0156">
        <w:rPr>
          <w:rFonts w:ascii="Times New Roman" w:eastAsia="Times New Roman" w:hAnsi="Times New Roman" w:cs="Times New Roman"/>
          <w:sz w:val="24"/>
          <w:szCs w:val="24"/>
        </w:rPr>
        <w:t>. </w:t>
      </w:r>
    </w:p>
    <w:p w14:paraId="03BB4D8A"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Southwick, S. M., Bonanno, G. A., Masten, A. S., Panter-Brick, C., &amp; Yehuda, R. (2014). Resilience definitions, theory, and challenges: interdisciplinary perspectives. </w:t>
      </w:r>
      <w:r w:rsidRPr="000B0156">
        <w:rPr>
          <w:rFonts w:ascii="Times New Roman" w:eastAsia="Times New Roman" w:hAnsi="Times New Roman" w:cs="Times New Roman"/>
          <w:i/>
          <w:iCs/>
          <w:sz w:val="24"/>
          <w:szCs w:val="24"/>
        </w:rPr>
        <w:t xml:space="preserve">European journal of </w:t>
      </w:r>
      <w:proofErr w:type="spellStart"/>
      <w:r w:rsidRPr="000B0156">
        <w:rPr>
          <w:rFonts w:ascii="Times New Roman" w:eastAsia="Times New Roman" w:hAnsi="Times New Roman" w:cs="Times New Roman"/>
          <w:i/>
          <w:iCs/>
          <w:sz w:val="24"/>
          <w:szCs w:val="24"/>
        </w:rPr>
        <w:t>psychotraumatology</w:t>
      </w:r>
      <w:proofErr w:type="spellEnd"/>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5</w:t>
      </w:r>
      <w:r w:rsidRPr="000B0156">
        <w:rPr>
          <w:rFonts w:ascii="Times New Roman" w:eastAsia="Times New Roman" w:hAnsi="Times New Roman" w:cs="Times New Roman"/>
          <w:sz w:val="24"/>
          <w:szCs w:val="24"/>
        </w:rPr>
        <w:t>, 10.3402/</w:t>
      </w:r>
      <w:proofErr w:type="gramStart"/>
      <w:r w:rsidRPr="000B0156">
        <w:rPr>
          <w:rFonts w:ascii="Times New Roman" w:eastAsia="Times New Roman" w:hAnsi="Times New Roman" w:cs="Times New Roman"/>
          <w:sz w:val="24"/>
          <w:szCs w:val="24"/>
        </w:rPr>
        <w:t>ejpt.v</w:t>
      </w:r>
      <w:proofErr w:type="gramEnd"/>
      <w:r w:rsidRPr="000B0156">
        <w:rPr>
          <w:rFonts w:ascii="Times New Roman" w:eastAsia="Times New Roman" w:hAnsi="Times New Roman" w:cs="Times New Roman"/>
          <w:sz w:val="24"/>
          <w:szCs w:val="24"/>
        </w:rPr>
        <w:t xml:space="preserve">5.25338. </w:t>
      </w:r>
      <w:hyperlink r:id="rId120" w:tgtFrame="_blank" w:history="1">
        <w:r w:rsidRPr="000B0156">
          <w:rPr>
            <w:rStyle w:val="Hyperlink"/>
            <w:rFonts w:ascii="Times New Roman" w:eastAsia="Times New Roman" w:hAnsi="Times New Roman" w:cs="Times New Roman"/>
            <w:sz w:val="24"/>
            <w:szCs w:val="24"/>
          </w:rPr>
          <w:t>https://doi.org/10.3402/ejpt.v5.25338</w:t>
        </w:r>
      </w:hyperlink>
      <w:r w:rsidRPr="000B0156">
        <w:rPr>
          <w:rFonts w:ascii="Times New Roman" w:eastAsia="Times New Roman" w:hAnsi="Times New Roman" w:cs="Times New Roman"/>
          <w:sz w:val="24"/>
          <w:szCs w:val="24"/>
        </w:rPr>
        <w:t>. </w:t>
      </w:r>
    </w:p>
    <w:p w14:paraId="439A6699" w14:textId="0D802109"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Stam, R., Akkermans, L. M., &amp; </w:t>
      </w:r>
      <w:proofErr w:type="spellStart"/>
      <w:r w:rsidRPr="000B0156">
        <w:rPr>
          <w:rFonts w:ascii="Times New Roman" w:eastAsia="Times New Roman" w:hAnsi="Times New Roman" w:cs="Times New Roman"/>
          <w:sz w:val="24"/>
          <w:szCs w:val="24"/>
        </w:rPr>
        <w:t>Wiegant</w:t>
      </w:r>
      <w:proofErr w:type="spellEnd"/>
      <w:r w:rsidRPr="000B0156">
        <w:rPr>
          <w:rFonts w:ascii="Times New Roman" w:eastAsia="Times New Roman" w:hAnsi="Times New Roman" w:cs="Times New Roman"/>
          <w:sz w:val="24"/>
          <w:szCs w:val="24"/>
        </w:rPr>
        <w:t>, V. M. (1997). Trauma and the gut: interactions between stressful experience and intestinal function. </w:t>
      </w:r>
      <w:r w:rsidRPr="000B0156">
        <w:rPr>
          <w:rFonts w:ascii="Times New Roman" w:eastAsia="Times New Roman" w:hAnsi="Times New Roman" w:cs="Times New Roman"/>
          <w:i/>
          <w:iCs/>
          <w:sz w:val="24"/>
          <w:szCs w:val="24"/>
        </w:rPr>
        <w:t>Gut</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40</w:t>
      </w:r>
      <w:r w:rsidRPr="000B0156">
        <w:rPr>
          <w:rFonts w:ascii="Times New Roman" w:eastAsia="Times New Roman" w:hAnsi="Times New Roman" w:cs="Times New Roman"/>
          <w:sz w:val="24"/>
          <w:szCs w:val="24"/>
        </w:rPr>
        <w:t>(6), 704–709.</w:t>
      </w:r>
      <w:r>
        <w:rPr>
          <w:rFonts w:ascii="Times New Roman" w:eastAsia="Times New Roman" w:hAnsi="Times New Roman" w:cs="Times New Roman"/>
          <w:sz w:val="24"/>
          <w:szCs w:val="24"/>
        </w:rPr>
        <w:t xml:space="preserve"> </w:t>
      </w:r>
      <w:hyperlink r:id="rId121" w:history="1">
        <w:r w:rsidRPr="000B0156">
          <w:rPr>
            <w:rStyle w:val="Hyperlink"/>
            <w:rFonts w:ascii="Times New Roman" w:eastAsia="Times New Roman" w:hAnsi="Times New Roman" w:cs="Times New Roman"/>
            <w:sz w:val="24"/>
            <w:szCs w:val="24"/>
          </w:rPr>
          <w:t>https://doi.org/10.1136/gut.40.6.704</w:t>
        </w:r>
      </w:hyperlink>
      <w:r w:rsidRPr="000B0156">
        <w:rPr>
          <w:rFonts w:ascii="Times New Roman" w:eastAsia="Times New Roman" w:hAnsi="Times New Roman" w:cs="Times New Roman"/>
          <w:sz w:val="24"/>
          <w:szCs w:val="24"/>
        </w:rPr>
        <w:t>. </w:t>
      </w:r>
    </w:p>
    <w:p w14:paraId="155ECFA8" w14:textId="65AB0676"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736BBD3F">
        <w:rPr>
          <w:rFonts w:ascii="Times New Roman" w:eastAsia="Times New Roman" w:hAnsi="Times New Roman" w:cs="Times New Roman"/>
          <w:sz w:val="24"/>
          <w:szCs w:val="24"/>
        </w:rPr>
        <w:t xml:space="preserve">Sweeney, A., Filson, B., Kennedy, A., Collinson, L., &amp; Gillard, S. (2018). A paradigm shift: relationships in trauma-informed mental health services. </w:t>
      </w:r>
      <w:proofErr w:type="spellStart"/>
      <w:r w:rsidRPr="736BBD3F">
        <w:rPr>
          <w:rFonts w:ascii="Times New Roman" w:eastAsia="Times New Roman" w:hAnsi="Times New Roman" w:cs="Times New Roman"/>
          <w:i/>
          <w:iCs/>
          <w:sz w:val="24"/>
          <w:szCs w:val="24"/>
        </w:rPr>
        <w:t>BJPsych</w:t>
      </w:r>
      <w:proofErr w:type="spellEnd"/>
      <w:r w:rsidRPr="736BBD3F">
        <w:rPr>
          <w:rFonts w:ascii="Times New Roman" w:eastAsia="Times New Roman" w:hAnsi="Times New Roman" w:cs="Times New Roman"/>
          <w:i/>
          <w:iCs/>
          <w:sz w:val="24"/>
          <w:szCs w:val="24"/>
        </w:rPr>
        <w:t xml:space="preserve"> advances</w:t>
      </w:r>
      <w:r w:rsidRPr="736BBD3F">
        <w:rPr>
          <w:rFonts w:ascii="Times New Roman" w:eastAsia="Times New Roman" w:hAnsi="Times New Roman" w:cs="Times New Roman"/>
          <w:sz w:val="24"/>
          <w:szCs w:val="24"/>
        </w:rPr>
        <w:t xml:space="preserve">, </w:t>
      </w:r>
      <w:r w:rsidRPr="736BBD3F">
        <w:rPr>
          <w:rFonts w:ascii="Times New Roman" w:eastAsia="Times New Roman" w:hAnsi="Times New Roman" w:cs="Times New Roman"/>
          <w:i/>
          <w:iCs/>
          <w:sz w:val="24"/>
          <w:szCs w:val="24"/>
        </w:rPr>
        <w:t>24</w:t>
      </w:r>
      <w:r w:rsidRPr="736BBD3F">
        <w:rPr>
          <w:rFonts w:ascii="Times New Roman" w:eastAsia="Times New Roman" w:hAnsi="Times New Roman" w:cs="Times New Roman"/>
          <w:sz w:val="24"/>
          <w:szCs w:val="24"/>
        </w:rPr>
        <w:t xml:space="preserve">(5), 319–333. </w:t>
      </w:r>
      <w:hyperlink r:id="rId122">
        <w:r w:rsidRPr="736BBD3F">
          <w:rPr>
            <w:rStyle w:val="Hyperlink"/>
            <w:rFonts w:ascii="Times New Roman" w:eastAsia="Times New Roman" w:hAnsi="Times New Roman" w:cs="Times New Roman"/>
            <w:sz w:val="24"/>
            <w:szCs w:val="24"/>
          </w:rPr>
          <w:t>https://doi.org/10.1192/bja.2018.29. </w:t>
        </w:r>
      </w:hyperlink>
    </w:p>
    <w:p w14:paraId="3CBD4A41" w14:textId="5E8A6EB9" w:rsidR="28372DF9" w:rsidRDefault="28372DF9" w:rsidP="736BBD3F">
      <w:pPr>
        <w:spacing w:after="0" w:line="480" w:lineRule="auto"/>
        <w:ind w:left="720" w:hanging="720"/>
        <w:rPr>
          <w:rFonts w:ascii="Times New Roman" w:eastAsia="Times New Roman" w:hAnsi="Times New Roman" w:cs="Times New Roman"/>
          <w:sz w:val="24"/>
          <w:szCs w:val="24"/>
        </w:rPr>
      </w:pPr>
      <w:r w:rsidRPr="736BBD3F">
        <w:rPr>
          <w:rFonts w:ascii="Times New Roman" w:eastAsia="Times New Roman" w:hAnsi="Times New Roman" w:cs="Times New Roman"/>
          <w:sz w:val="24"/>
          <w:szCs w:val="24"/>
        </w:rPr>
        <w:t>Szalavitz, M., &amp; Perry, B. D. (2010). Born for love: Why empathy is essential– and endangered. New York: William Morrow.</w:t>
      </w:r>
    </w:p>
    <w:p w14:paraId="71510BDD"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Tan, K. M., Burklund, L. J., Craske, M. G., &amp; Lieberman, M. D. (2019). Posttraumatic stress disorder and the social brain: Affect‐related disruption of the default and mirror networks. </w:t>
      </w:r>
      <w:r w:rsidRPr="000B0156">
        <w:rPr>
          <w:rFonts w:ascii="Times New Roman" w:eastAsia="Times New Roman" w:hAnsi="Times New Roman" w:cs="Times New Roman"/>
          <w:i/>
          <w:iCs/>
          <w:sz w:val="24"/>
          <w:szCs w:val="24"/>
        </w:rPr>
        <w:t>Wiley Periodicals</w:t>
      </w:r>
      <w:r w:rsidRPr="000B0156">
        <w:rPr>
          <w:rFonts w:ascii="Times New Roman" w:eastAsia="Times New Roman" w:hAnsi="Times New Roman" w:cs="Times New Roman"/>
          <w:sz w:val="24"/>
          <w:szCs w:val="24"/>
        </w:rPr>
        <w:t xml:space="preserve">, 36, 1058–1071, </w:t>
      </w:r>
      <w:proofErr w:type="spellStart"/>
      <w:r w:rsidRPr="000B0156">
        <w:rPr>
          <w:rFonts w:ascii="Times New Roman" w:eastAsia="Times New Roman" w:hAnsi="Times New Roman" w:cs="Times New Roman"/>
          <w:sz w:val="24"/>
          <w:szCs w:val="24"/>
        </w:rPr>
        <w:t>doi</w:t>
      </w:r>
      <w:proofErr w:type="spellEnd"/>
      <w:r w:rsidRPr="000B0156">
        <w:rPr>
          <w:rFonts w:ascii="Times New Roman" w:eastAsia="Times New Roman" w:hAnsi="Times New Roman" w:cs="Times New Roman"/>
          <w:sz w:val="24"/>
          <w:szCs w:val="24"/>
        </w:rPr>
        <w:t>: 10.1002/da.22953. </w:t>
      </w:r>
    </w:p>
    <w:p w14:paraId="4D410117" w14:textId="58D5EA7C"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Tang, R., Friston, K. J., &amp; Tang, Y. Y. (2020). Brief Mindfulness Meditation Induces Gray Matter Changes in a Brain Hub. </w:t>
      </w:r>
      <w:r w:rsidRPr="000B0156">
        <w:rPr>
          <w:rFonts w:ascii="Times New Roman" w:eastAsia="Times New Roman" w:hAnsi="Times New Roman" w:cs="Times New Roman"/>
          <w:i/>
          <w:iCs/>
          <w:sz w:val="24"/>
          <w:szCs w:val="24"/>
        </w:rPr>
        <w:t>Neural plasticity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2020</w:t>
      </w:r>
      <w:r w:rsidRPr="000B0156">
        <w:rPr>
          <w:rFonts w:ascii="Times New Roman" w:eastAsia="Times New Roman" w:hAnsi="Times New Roman" w:cs="Times New Roman"/>
          <w:sz w:val="24"/>
          <w:szCs w:val="24"/>
        </w:rPr>
        <w:t>, 8830005.</w:t>
      </w:r>
      <w:r>
        <w:rPr>
          <w:rFonts w:ascii="Times New Roman" w:eastAsia="Times New Roman" w:hAnsi="Times New Roman" w:cs="Times New Roman"/>
          <w:sz w:val="24"/>
          <w:szCs w:val="24"/>
        </w:rPr>
        <w:t xml:space="preserve"> </w:t>
      </w:r>
      <w:hyperlink r:id="rId123" w:history="1">
        <w:r w:rsidRPr="000B0156">
          <w:rPr>
            <w:rStyle w:val="Hyperlink"/>
            <w:rFonts w:ascii="Times New Roman" w:eastAsia="Times New Roman" w:hAnsi="Times New Roman" w:cs="Times New Roman"/>
            <w:sz w:val="24"/>
            <w:szCs w:val="24"/>
          </w:rPr>
          <w:t>https://doi.org/10.1155/2020/8830005</w:t>
        </w:r>
      </w:hyperlink>
      <w:r w:rsidRPr="000B0156">
        <w:rPr>
          <w:rFonts w:ascii="Times New Roman" w:eastAsia="Times New Roman" w:hAnsi="Times New Roman" w:cs="Times New Roman"/>
          <w:sz w:val="24"/>
          <w:szCs w:val="24"/>
        </w:rPr>
        <w:t>. </w:t>
      </w:r>
    </w:p>
    <w:p w14:paraId="51D3A719"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Tasca, C., Rapetti, M., Carta, M. G., &amp; Fadda, B. (2012). Women and hysteria in the history of mental health. </w:t>
      </w:r>
      <w:r w:rsidRPr="000B0156">
        <w:rPr>
          <w:rFonts w:ascii="Times New Roman" w:eastAsia="Times New Roman" w:hAnsi="Times New Roman" w:cs="Times New Roman"/>
          <w:i/>
          <w:iCs/>
          <w:sz w:val="24"/>
          <w:szCs w:val="24"/>
        </w:rPr>
        <w:t>Clinical practice and epidemiology in mental health: CP &amp; EMH</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8</w:t>
      </w:r>
      <w:r w:rsidRPr="000B0156">
        <w:rPr>
          <w:rFonts w:ascii="Times New Roman" w:eastAsia="Times New Roman" w:hAnsi="Times New Roman" w:cs="Times New Roman"/>
          <w:sz w:val="24"/>
          <w:szCs w:val="24"/>
        </w:rPr>
        <w:t xml:space="preserve">, 110 119. </w:t>
      </w:r>
      <w:hyperlink r:id="rId124" w:tgtFrame="_blank" w:history="1">
        <w:r w:rsidRPr="000B0156">
          <w:rPr>
            <w:rStyle w:val="Hyperlink"/>
            <w:rFonts w:ascii="Times New Roman" w:eastAsia="Times New Roman" w:hAnsi="Times New Roman" w:cs="Times New Roman"/>
            <w:sz w:val="24"/>
            <w:szCs w:val="24"/>
          </w:rPr>
          <w:t>https://doi.org/10.2174/1745017901208010110</w:t>
        </w:r>
      </w:hyperlink>
      <w:r w:rsidRPr="000B0156">
        <w:rPr>
          <w:rFonts w:ascii="Times New Roman" w:eastAsia="Times New Roman" w:hAnsi="Times New Roman" w:cs="Times New Roman"/>
          <w:sz w:val="24"/>
          <w:szCs w:val="24"/>
        </w:rPr>
        <w:t> </w:t>
      </w:r>
    </w:p>
    <w:p w14:paraId="3FBE3875"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Tate, S. R., Brown, S. A., Glasner, S. V., </w:t>
      </w:r>
      <w:proofErr w:type="spellStart"/>
      <w:r w:rsidRPr="000B0156">
        <w:rPr>
          <w:rFonts w:ascii="Times New Roman" w:eastAsia="Times New Roman" w:hAnsi="Times New Roman" w:cs="Times New Roman"/>
          <w:sz w:val="24"/>
          <w:szCs w:val="24"/>
        </w:rPr>
        <w:t>Unrod</w:t>
      </w:r>
      <w:proofErr w:type="spellEnd"/>
      <w:r w:rsidRPr="000B0156">
        <w:rPr>
          <w:rFonts w:ascii="Times New Roman" w:eastAsia="Times New Roman" w:hAnsi="Times New Roman" w:cs="Times New Roman"/>
          <w:sz w:val="24"/>
          <w:szCs w:val="24"/>
        </w:rPr>
        <w:t xml:space="preserve">, M., &amp; McQuaid, J. R. (2006). Chronic life stress, acute stress events, and substance availability in relapse. Addiction Research &amp; Theory, 14(3), 303–322. </w:t>
      </w:r>
      <w:hyperlink r:id="rId125" w:tgtFrame="_blank" w:history="1">
        <w:r w:rsidRPr="000B0156">
          <w:rPr>
            <w:rStyle w:val="Hyperlink"/>
            <w:rFonts w:ascii="Times New Roman" w:eastAsia="Times New Roman" w:hAnsi="Times New Roman" w:cs="Times New Roman"/>
            <w:sz w:val="24"/>
            <w:szCs w:val="24"/>
          </w:rPr>
          <w:t>https://doi-org.ezproxy.lib.vt.edu/10.1080/16066350500262817</w:t>
        </w:r>
      </w:hyperlink>
      <w:r w:rsidRPr="000B0156">
        <w:rPr>
          <w:rFonts w:ascii="Times New Roman" w:eastAsia="Times New Roman" w:hAnsi="Times New Roman" w:cs="Times New Roman"/>
          <w:sz w:val="24"/>
          <w:szCs w:val="24"/>
        </w:rPr>
        <w:t>. </w:t>
      </w:r>
    </w:p>
    <w:p w14:paraId="7F88BA31" w14:textId="678A86B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Tedeschi, R. G., &amp; Calhoun, L. G. (2004). Posttraumatic Growth: Conceptual Foundations and Empirical Evidence. </w:t>
      </w:r>
      <w:r w:rsidRPr="000B0156">
        <w:rPr>
          <w:rFonts w:ascii="Times New Roman" w:eastAsia="Times New Roman" w:hAnsi="Times New Roman" w:cs="Times New Roman"/>
          <w:i/>
          <w:iCs/>
          <w:sz w:val="24"/>
          <w:szCs w:val="24"/>
        </w:rPr>
        <w:t>Psychological Inquiry</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15</w:t>
      </w:r>
      <w:r w:rsidRPr="000B0156">
        <w:rPr>
          <w:rFonts w:ascii="Times New Roman" w:eastAsia="Times New Roman" w:hAnsi="Times New Roman" w:cs="Times New Roman"/>
          <w:sz w:val="24"/>
          <w:szCs w:val="24"/>
        </w:rPr>
        <w:t>(1), 1–18.</w:t>
      </w:r>
      <w:r>
        <w:rPr>
          <w:rFonts w:ascii="Times New Roman" w:eastAsia="Times New Roman" w:hAnsi="Times New Roman" w:cs="Times New Roman"/>
          <w:sz w:val="24"/>
          <w:szCs w:val="24"/>
        </w:rPr>
        <w:t xml:space="preserve"> </w:t>
      </w:r>
      <w:hyperlink r:id="rId126" w:history="1">
        <w:r w:rsidRPr="000B0156">
          <w:rPr>
            <w:rStyle w:val="Hyperlink"/>
            <w:rFonts w:ascii="Times New Roman" w:eastAsia="Times New Roman" w:hAnsi="Times New Roman" w:cs="Times New Roman"/>
            <w:sz w:val="24"/>
            <w:szCs w:val="24"/>
          </w:rPr>
          <w:t>http://www.jstor.org/stable/20447194</w:t>
        </w:r>
      </w:hyperlink>
      <w:r w:rsidRPr="000B0156">
        <w:rPr>
          <w:rFonts w:ascii="Times New Roman" w:eastAsia="Times New Roman" w:hAnsi="Times New Roman" w:cs="Times New Roman"/>
          <w:sz w:val="24"/>
          <w:szCs w:val="24"/>
        </w:rPr>
        <w:t>. </w:t>
      </w:r>
    </w:p>
    <w:p w14:paraId="3B5BD3E6"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Teaster P. B. (2017). A framework for </w:t>
      </w:r>
      <w:proofErr w:type="spellStart"/>
      <w:r w:rsidRPr="000B0156">
        <w:rPr>
          <w:rFonts w:ascii="Times New Roman" w:eastAsia="Times New Roman" w:hAnsi="Times New Roman" w:cs="Times New Roman"/>
          <w:sz w:val="24"/>
          <w:szCs w:val="24"/>
        </w:rPr>
        <w:t>polyvictimization</w:t>
      </w:r>
      <w:proofErr w:type="spellEnd"/>
      <w:r w:rsidRPr="000B0156">
        <w:rPr>
          <w:rFonts w:ascii="Times New Roman" w:eastAsia="Times New Roman" w:hAnsi="Times New Roman" w:cs="Times New Roman"/>
          <w:sz w:val="24"/>
          <w:szCs w:val="24"/>
        </w:rPr>
        <w:t xml:space="preserve"> in later life. </w:t>
      </w:r>
      <w:r w:rsidRPr="000B0156">
        <w:rPr>
          <w:rFonts w:ascii="Times New Roman" w:eastAsia="Times New Roman" w:hAnsi="Times New Roman" w:cs="Times New Roman"/>
          <w:i/>
          <w:iCs/>
          <w:sz w:val="24"/>
          <w:szCs w:val="24"/>
        </w:rPr>
        <w:t>Journal of elder abuse &amp; neglect</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29</w:t>
      </w:r>
      <w:r w:rsidRPr="000B0156">
        <w:rPr>
          <w:rFonts w:ascii="Times New Roman" w:eastAsia="Times New Roman" w:hAnsi="Times New Roman" w:cs="Times New Roman"/>
          <w:sz w:val="24"/>
          <w:szCs w:val="24"/>
        </w:rPr>
        <w:t xml:space="preserve">(5), 289–298. </w:t>
      </w:r>
      <w:hyperlink r:id="rId127" w:tgtFrame="_blank" w:history="1">
        <w:r w:rsidRPr="000B0156">
          <w:rPr>
            <w:rStyle w:val="Hyperlink"/>
            <w:rFonts w:ascii="Times New Roman" w:eastAsia="Times New Roman" w:hAnsi="Times New Roman" w:cs="Times New Roman"/>
            <w:sz w:val="24"/>
            <w:szCs w:val="24"/>
          </w:rPr>
          <w:t>https://doi.org/10.1080/08946566.2017.1375444</w:t>
        </w:r>
      </w:hyperlink>
      <w:r w:rsidRPr="000B0156">
        <w:rPr>
          <w:rFonts w:ascii="Times New Roman" w:eastAsia="Times New Roman" w:hAnsi="Times New Roman" w:cs="Times New Roman"/>
          <w:sz w:val="24"/>
          <w:szCs w:val="24"/>
        </w:rPr>
        <w:t>. </w:t>
      </w:r>
    </w:p>
    <w:p w14:paraId="4CDD0030" w14:textId="3580B14D"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Thornberg, R., K. Halldin, N. </w:t>
      </w:r>
      <w:proofErr w:type="spellStart"/>
      <w:r w:rsidRPr="000B0156">
        <w:rPr>
          <w:rFonts w:ascii="Times New Roman" w:eastAsia="Times New Roman" w:hAnsi="Times New Roman" w:cs="Times New Roman"/>
          <w:sz w:val="24"/>
          <w:szCs w:val="24"/>
        </w:rPr>
        <w:t>Bolmsjö</w:t>
      </w:r>
      <w:proofErr w:type="spellEnd"/>
      <w:r w:rsidRPr="000B0156">
        <w:rPr>
          <w:rFonts w:ascii="Times New Roman" w:eastAsia="Times New Roman" w:hAnsi="Times New Roman" w:cs="Times New Roman"/>
          <w:sz w:val="24"/>
          <w:szCs w:val="24"/>
        </w:rPr>
        <w:t xml:space="preserve">, and A. Petersson. 2013. </w:t>
      </w:r>
      <w:proofErr w:type="spellStart"/>
      <w:r w:rsidRPr="000B0156">
        <w:rPr>
          <w:rFonts w:ascii="Times New Roman" w:eastAsia="Times New Roman" w:hAnsi="Times New Roman" w:cs="Times New Roman"/>
          <w:sz w:val="24"/>
          <w:szCs w:val="24"/>
        </w:rPr>
        <w:t>Victimising</w:t>
      </w:r>
      <w:proofErr w:type="spellEnd"/>
      <w:r w:rsidRPr="000B0156">
        <w:rPr>
          <w:rFonts w:ascii="Times New Roman" w:eastAsia="Times New Roman" w:hAnsi="Times New Roman" w:cs="Times New Roman"/>
          <w:sz w:val="24"/>
          <w:szCs w:val="24"/>
        </w:rPr>
        <w:t xml:space="preserve"> of school bullying: A grounded theory. Research Papers in Education 28 (3):309–29. doi:10.1080/02671522.2011.641999. </w:t>
      </w:r>
    </w:p>
    <w:p w14:paraId="555CFEEA" w14:textId="605199A8"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Tingey, L., Larzelere-Hinton, F., </w:t>
      </w:r>
      <w:proofErr w:type="spellStart"/>
      <w:r w:rsidRPr="000B0156">
        <w:rPr>
          <w:rFonts w:ascii="Times New Roman" w:eastAsia="Times New Roman" w:hAnsi="Times New Roman" w:cs="Times New Roman"/>
          <w:sz w:val="24"/>
          <w:szCs w:val="24"/>
        </w:rPr>
        <w:t>Goklish</w:t>
      </w:r>
      <w:proofErr w:type="spellEnd"/>
      <w:r w:rsidRPr="000B0156">
        <w:rPr>
          <w:rFonts w:ascii="Times New Roman" w:eastAsia="Times New Roman" w:hAnsi="Times New Roman" w:cs="Times New Roman"/>
          <w:sz w:val="24"/>
          <w:szCs w:val="24"/>
        </w:rPr>
        <w:t>, N., Ingalls, A., Craft, T., Sprengeler, F., McGuire, C., &amp; Barlow, A. (2016). Entrepreneurship Education: A Strength-Based Approach to</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Substance Use and Suicide Prevention for American Indian Adolescents. </w:t>
      </w:r>
      <w:r w:rsidRPr="000B0156">
        <w:rPr>
          <w:rFonts w:ascii="Times New Roman" w:eastAsia="Times New Roman" w:hAnsi="Times New Roman" w:cs="Times New Roman"/>
          <w:i/>
          <w:iCs/>
          <w:sz w:val="24"/>
          <w:szCs w:val="24"/>
        </w:rPr>
        <w:t>American</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Indian &amp; Alaska Native Mental Health Research: The Journal of the National</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Center</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23</w:t>
      </w:r>
      <w:r w:rsidRPr="000B0156">
        <w:rPr>
          <w:rFonts w:ascii="Times New Roman" w:eastAsia="Times New Roman" w:hAnsi="Times New Roman" w:cs="Times New Roman"/>
          <w:sz w:val="24"/>
          <w:szCs w:val="24"/>
        </w:rPr>
        <w:t xml:space="preserve">(3), 248–270. </w:t>
      </w:r>
      <w:hyperlink r:id="rId128" w:tgtFrame="_blank" w:history="1">
        <w:r w:rsidRPr="000B0156">
          <w:rPr>
            <w:rStyle w:val="Hyperlink"/>
            <w:rFonts w:ascii="Times New Roman" w:eastAsia="Times New Roman" w:hAnsi="Times New Roman" w:cs="Times New Roman"/>
            <w:sz w:val="24"/>
            <w:szCs w:val="24"/>
          </w:rPr>
          <w:t>https://doi-org.ezproxy.lib.vt.edu/10.5820/aian.2303.2016.248</w:t>
        </w:r>
      </w:hyperlink>
      <w:r w:rsidRPr="000B0156">
        <w:rPr>
          <w:rFonts w:ascii="Times New Roman" w:eastAsia="Times New Roman" w:hAnsi="Times New Roman" w:cs="Times New Roman"/>
          <w:sz w:val="24"/>
          <w:szCs w:val="24"/>
        </w:rPr>
        <w:t>. </w:t>
      </w:r>
    </w:p>
    <w:p w14:paraId="6BAC29CD"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Tsai, J., &amp; Shen, J. (2017). Exploring the Link Between Posttraumatic Stress Disorder and inflammation-Related Medical Conditions: An Epidemiological Examination. </w:t>
      </w:r>
      <w:r w:rsidRPr="000B0156">
        <w:rPr>
          <w:rFonts w:ascii="Times New Roman" w:eastAsia="Times New Roman" w:hAnsi="Times New Roman" w:cs="Times New Roman"/>
          <w:i/>
          <w:iCs/>
          <w:sz w:val="24"/>
          <w:szCs w:val="24"/>
        </w:rPr>
        <w:t>Psychiatric Quarterly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88</w:t>
      </w:r>
      <w:r w:rsidRPr="000B0156">
        <w:rPr>
          <w:rFonts w:ascii="Times New Roman" w:eastAsia="Times New Roman" w:hAnsi="Times New Roman" w:cs="Times New Roman"/>
          <w:sz w:val="24"/>
          <w:szCs w:val="24"/>
        </w:rPr>
        <w:t xml:space="preserve">(4), 909–916. </w:t>
      </w:r>
      <w:hyperlink r:id="rId129" w:tgtFrame="_blank" w:history="1">
        <w:r w:rsidRPr="000B0156">
          <w:rPr>
            <w:rStyle w:val="Hyperlink"/>
            <w:rFonts w:ascii="Times New Roman" w:eastAsia="Times New Roman" w:hAnsi="Times New Roman" w:cs="Times New Roman"/>
            <w:sz w:val="24"/>
            <w:szCs w:val="24"/>
          </w:rPr>
          <w:t>https://doi-org.ezproxy.lib.vt.edu/10.1007/s11126-017-95089</w:t>
        </w:r>
      </w:hyperlink>
      <w:r w:rsidRPr="000B0156">
        <w:rPr>
          <w:rFonts w:ascii="Times New Roman" w:eastAsia="Times New Roman" w:hAnsi="Times New Roman" w:cs="Times New Roman"/>
          <w:sz w:val="24"/>
          <w:szCs w:val="24"/>
        </w:rPr>
        <w:t>. </w:t>
      </w:r>
    </w:p>
    <w:p w14:paraId="46CC92A9"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Turner, H. A., </w:t>
      </w:r>
      <w:proofErr w:type="spellStart"/>
      <w:r w:rsidRPr="000B0156">
        <w:rPr>
          <w:rFonts w:ascii="Times New Roman" w:eastAsia="Times New Roman" w:hAnsi="Times New Roman" w:cs="Times New Roman"/>
          <w:sz w:val="24"/>
          <w:szCs w:val="24"/>
        </w:rPr>
        <w:t>Finkelhor</w:t>
      </w:r>
      <w:proofErr w:type="spellEnd"/>
      <w:r w:rsidRPr="000B0156">
        <w:rPr>
          <w:rFonts w:ascii="Times New Roman" w:eastAsia="Times New Roman" w:hAnsi="Times New Roman" w:cs="Times New Roman"/>
          <w:sz w:val="24"/>
          <w:szCs w:val="24"/>
        </w:rPr>
        <w:t xml:space="preserve">, D., &amp; Ormrod, R. (2010) Poly-Victimization in a National Sample of Children and Youth. </w:t>
      </w:r>
      <w:r w:rsidRPr="000B0156">
        <w:rPr>
          <w:rFonts w:ascii="Times New Roman" w:eastAsia="Times New Roman" w:hAnsi="Times New Roman" w:cs="Times New Roman"/>
          <w:i/>
          <w:iCs/>
          <w:sz w:val="24"/>
          <w:szCs w:val="24"/>
        </w:rPr>
        <w:t>Am J Prev Med</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38</w:t>
      </w:r>
      <w:r w:rsidRPr="000B0156">
        <w:rPr>
          <w:rFonts w:ascii="Times New Roman" w:eastAsia="Times New Roman" w:hAnsi="Times New Roman" w:cs="Times New Roman"/>
          <w:sz w:val="24"/>
          <w:szCs w:val="24"/>
        </w:rPr>
        <w:t xml:space="preserve">(3), 323–330. </w:t>
      </w:r>
      <w:proofErr w:type="spellStart"/>
      <w:r w:rsidRPr="000B0156">
        <w:rPr>
          <w:rFonts w:ascii="Times New Roman" w:eastAsia="Times New Roman" w:hAnsi="Times New Roman" w:cs="Times New Roman"/>
          <w:sz w:val="24"/>
          <w:szCs w:val="24"/>
        </w:rPr>
        <w:t>doi</w:t>
      </w:r>
      <w:proofErr w:type="spellEnd"/>
      <w:r w:rsidRPr="000B0156">
        <w:rPr>
          <w:rFonts w:ascii="Times New Roman" w:eastAsia="Times New Roman" w:hAnsi="Times New Roman" w:cs="Times New Roman"/>
          <w:sz w:val="24"/>
          <w:szCs w:val="24"/>
        </w:rPr>
        <w:t>: 10.1016/j.amepre.2009.11.012. </w:t>
      </w:r>
    </w:p>
    <w:p w14:paraId="31233A88"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Valencia, R.R. (1997). The Evolution of Deficit Thinking: Educational Thought and Practice (1</w:t>
      </w:r>
      <w:r w:rsidRPr="000B0156">
        <w:rPr>
          <w:rFonts w:ascii="Times New Roman" w:eastAsia="Times New Roman" w:hAnsi="Times New Roman" w:cs="Times New Roman"/>
          <w:sz w:val="24"/>
          <w:szCs w:val="24"/>
          <w:vertAlign w:val="superscript"/>
        </w:rPr>
        <w:t xml:space="preserve">st </w:t>
      </w:r>
      <w:r w:rsidRPr="000B0156">
        <w:rPr>
          <w:rFonts w:ascii="Times New Roman" w:eastAsia="Times New Roman" w:hAnsi="Times New Roman" w:cs="Times New Roman"/>
          <w:sz w:val="24"/>
          <w:szCs w:val="24"/>
        </w:rPr>
        <w:t xml:space="preserve">ed.). Routledge. </w:t>
      </w:r>
      <w:hyperlink r:id="rId130" w:tgtFrame="_blank" w:history="1">
        <w:r w:rsidRPr="000B0156">
          <w:rPr>
            <w:rStyle w:val="Hyperlink"/>
            <w:rFonts w:ascii="Times New Roman" w:eastAsia="Times New Roman" w:hAnsi="Times New Roman" w:cs="Times New Roman"/>
            <w:sz w:val="24"/>
            <w:szCs w:val="24"/>
          </w:rPr>
          <w:t>https://doi.org/10.4324/9780203046586</w:t>
        </w:r>
      </w:hyperlink>
      <w:r w:rsidRPr="000B0156">
        <w:rPr>
          <w:rFonts w:ascii="Times New Roman" w:eastAsia="Times New Roman" w:hAnsi="Times New Roman" w:cs="Times New Roman"/>
          <w:sz w:val="24"/>
          <w:szCs w:val="24"/>
        </w:rPr>
        <w:t>. </w:t>
      </w:r>
    </w:p>
    <w:p w14:paraId="2F8944C8"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van der Kolk B. (2000). Posttraumatic stress disorder and the nature of trauma. </w:t>
      </w:r>
      <w:r w:rsidRPr="000B0156">
        <w:rPr>
          <w:rFonts w:ascii="Times New Roman" w:eastAsia="Times New Roman" w:hAnsi="Times New Roman" w:cs="Times New Roman"/>
          <w:i/>
          <w:iCs/>
          <w:sz w:val="24"/>
          <w:szCs w:val="24"/>
        </w:rPr>
        <w:t>Dialogues in clinical neuroscience</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w:t>
      </w:r>
      <w:r w:rsidRPr="000B0156">
        <w:rPr>
          <w:rFonts w:ascii="Times New Roman" w:eastAsia="Times New Roman" w:hAnsi="Times New Roman" w:cs="Times New Roman"/>
          <w:sz w:val="24"/>
          <w:szCs w:val="24"/>
        </w:rPr>
        <w:t xml:space="preserve">(1), 7–22. </w:t>
      </w:r>
      <w:hyperlink r:id="rId131" w:tgtFrame="_blank" w:history="1">
        <w:r w:rsidRPr="000B0156">
          <w:rPr>
            <w:rStyle w:val="Hyperlink"/>
            <w:rFonts w:ascii="Times New Roman" w:eastAsia="Times New Roman" w:hAnsi="Times New Roman" w:cs="Times New Roman"/>
            <w:sz w:val="24"/>
            <w:szCs w:val="24"/>
          </w:rPr>
          <w:t>https://doi.org/10.31887/DCNS.2000.2.1/bvdkolk</w:t>
        </w:r>
      </w:hyperlink>
      <w:r w:rsidRPr="000B0156">
        <w:rPr>
          <w:rFonts w:ascii="Times New Roman" w:eastAsia="Times New Roman" w:hAnsi="Times New Roman" w:cs="Times New Roman"/>
          <w:sz w:val="24"/>
          <w:szCs w:val="24"/>
        </w:rPr>
        <w:t>. </w:t>
      </w:r>
    </w:p>
    <w:p w14:paraId="40206A2C"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van der Kolk, B. A., &amp; van der Hart, Onno. (1989) Pierre Janet &amp; the Breakdown of Adaptation in Psychological Trauma. </w:t>
      </w:r>
      <w:r w:rsidRPr="000B0156">
        <w:rPr>
          <w:rFonts w:ascii="Times New Roman" w:eastAsia="Times New Roman" w:hAnsi="Times New Roman" w:cs="Times New Roman"/>
          <w:i/>
          <w:iCs/>
          <w:sz w:val="24"/>
          <w:szCs w:val="24"/>
        </w:rPr>
        <w:t>American Journal of Psychiatry</w:t>
      </w:r>
      <w:r w:rsidRPr="000B0156">
        <w:rPr>
          <w:rFonts w:ascii="Times New Roman" w:eastAsia="Times New Roman" w:hAnsi="Times New Roman" w:cs="Times New Roman"/>
          <w:sz w:val="24"/>
          <w:szCs w:val="24"/>
        </w:rPr>
        <w:t>, 146 (12), 1530-1540.  </w:t>
      </w:r>
    </w:p>
    <w:p w14:paraId="3695F8B2"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Wathen, C. N., MacGregor, J. C., &amp; MacQuarrie, B. J. (2015). The Impact of Domestic Violence in the Workplace: Results </w:t>
      </w:r>
      <w:proofErr w:type="gramStart"/>
      <w:r w:rsidRPr="000B0156">
        <w:rPr>
          <w:rFonts w:ascii="Times New Roman" w:eastAsia="Times New Roman" w:hAnsi="Times New Roman" w:cs="Times New Roman"/>
          <w:sz w:val="24"/>
          <w:szCs w:val="24"/>
        </w:rPr>
        <w:t>From</w:t>
      </w:r>
      <w:proofErr w:type="gramEnd"/>
      <w:r w:rsidRPr="000B0156">
        <w:rPr>
          <w:rFonts w:ascii="Times New Roman" w:eastAsia="Times New Roman" w:hAnsi="Times New Roman" w:cs="Times New Roman"/>
          <w:sz w:val="24"/>
          <w:szCs w:val="24"/>
        </w:rPr>
        <w:t xml:space="preserve"> a Pan-Canadian Survey. </w:t>
      </w:r>
      <w:r w:rsidRPr="000B0156">
        <w:rPr>
          <w:rFonts w:ascii="Times New Roman" w:eastAsia="Times New Roman" w:hAnsi="Times New Roman" w:cs="Times New Roman"/>
          <w:i/>
          <w:iCs/>
          <w:sz w:val="24"/>
          <w:szCs w:val="24"/>
        </w:rPr>
        <w:t>Journal of occupational and environmental medicine</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57</w:t>
      </w:r>
      <w:r w:rsidRPr="000B0156">
        <w:rPr>
          <w:rFonts w:ascii="Times New Roman" w:eastAsia="Times New Roman" w:hAnsi="Times New Roman" w:cs="Times New Roman"/>
          <w:sz w:val="24"/>
          <w:szCs w:val="24"/>
        </w:rPr>
        <w:t xml:space="preserve">(7), e65–e71. </w:t>
      </w:r>
      <w:hyperlink r:id="rId132" w:tgtFrame="_blank" w:history="1">
        <w:r w:rsidRPr="000B0156">
          <w:rPr>
            <w:rStyle w:val="Hyperlink"/>
            <w:rFonts w:ascii="Times New Roman" w:eastAsia="Times New Roman" w:hAnsi="Times New Roman" w:cs="Times New Roman"/>
            <w:sz w:val="24"/>
            <w:szCs w:val="24"/>
          </w:rPr>
          <w:t>https://doi.org/10.1097/JOM.0000000000000499</w:t>
        </w:r>
      </w:hyperlink>
      <w:r w:rsidRPr="000B0156">
        <w:rPr>
          <w:rFonts w:ascii="Times New Roman" w:eastAsia="Times New Roman" w:hAnsi="Times New Roman" w:cs="Times New Roman"/>
          <w:sz w:val="24"/>
          <w:szCs w:val="24"/>
        </w:rPr>
        <w:t>. </w:t>
      </w:r>
    </w:p>
    <w:p w14:paraId="32728EEB"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Weaver, T. L., Resnick, H. S., Kokoska, M. S., &amp; Etzel, J. C. (2007). Appearance-related residual injury, posttraumatic stress, and body image: Associations within a sample of female victims of intimate partner violence. </w:t>
      </w:r>
      <w:r w:rsidRPr="000B0156">
        <w:rPr>
          <w:rFonts w:ascii="Times New Roman" w:eastAsia="Times New Roman" w:hAnsi="Times New Roman" w:cs="Times New Roman"/>
          <w:i/>
          <w:iCs/>
          <w:sz w:val="24"/>
          <w:szCs w:val="24"/>
        </w:rPr>
        <w:t>Journal of Traumatic Stress</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20</w:t>
      </w:r>
      <w:r w:rsidRPr="000B0156">
        <w:rPr>
          <w:rFonts w:ascii="Times New Roman" w:eastAsia="Times New Roman" w:hAnsi="Times New Roman" w:cs="Times New Roman"/>
          <w:sz w:val="24"/>
          <w:szCs w:val="24"/>
        </w:rPr>
        <w:t xml:space="preserve">(6), 999–1008. </w:t>
      </w:r>
      <w:hyperlink r:id="rId133" w:tgtFrame="_blank" w:history="1">
        <w:r w:rsidRPr="000B0156">
          <w:rPr>
            <w:rStyle w:val="Hyperlink"/>
            <w:rFonts w:ascii="Times New Roman" w:eastAsia="Times New Roman" w:hAnsi="Times New Roman" w:cs="Times New Roman"/>
            <w:sz w:val="24"/>
            <w:szCs w:val="24"/>
          </w:rPr>
          <w:t>https://doi-org.ezproxy.lib.vt.edu/10.1002/jts.20274</w:t>
        </w:r>
      </w:hyperlink>
      <w:r w:rsidRPr="000B0156">
        <w:rPr>
          <w:rFonts w:ascii="Times New Roman" w:eastAsia="Times New Roman" w:hAnsi="Times New Roman" w:cs="Times New Roman"/>
          <w:sz w:val="24"/>
          <w:szCs w:val="24"/>
        </w:rPr>
        <w:t>. </w:t>
      </w:r>
    </w:p>
    <w:p w14:paraId="6FE1A76F"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Wells, A., &amp; </w:t>
      </w:r>
      <w:proofErr w:type="spellStart"/>
      <w:r w:rsidRPr="000B0156">
        <w:rPr>
          <w:rFonts w:ascii="Times New Roman" w:eastAsia="Times New Roman" w:hAnsi="Times New Roman" w:cs="Times New Roman"/>
          <w:sz w:val="24"/>
          <w:szCs w:val="24"/>
        </w:rPr>
        <w:t>Colbear</w:t>
      </w:r>
      <w:proofErr w:type="spellEnd"/>
      <w:r w:rsidRPr="000B0156">
        <w:rPr>
          <w:rFonts w:ascii="Times New Roman" w:eastAsia="Times New Roman" w:hAnsi="Times New Roman" w:cs="Times New Roman"/>
          <w:sz w:val="24"/>
          <w:szCs w:val="24"/>
        </w:rPr>
        <w:t xml:space="preserve">, J. S. (2012). Treating posttraumatic stress disorder with metacognitive therapy: A preliminary controlled trial. </w:t>
      </w:r>
      <w:r w:rsidRPr="000B0156">
        <w:rPr>
          <w:rFonts w:ascii="Times New Roman" w:eastAsia="Times New Roman" w:hAnsi="Times New Roman" w:cs="Times New Roman"/>
          <w:i/>
          <w:iCs/>
          <w:sz w:val="24"/>
          <w:szCs w:val="24"/>
        </w:rPr>
        <w:t>Journal of Clinical Psychology, 68</w:t>
      </w:r>
      <w:r w:rsidRPr="000B0156">
        <w:rPr>
          <w:rFonts w:ascii="Times New Roman" w:eastAsia="Times New Roman" w:hAnsi="Times New Roman" w:cs="Times New Roman"/>
          <w:sz w:val="24"/>
          <w:szCs w:val="24"/>
        </w:rPr>
        <w:t>(4), 373-381. </w:t>
      </w:r>
    </w:p>
    <w:p w14:paraId="3EE133E7"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Wells, A., &amp; Matthews, G. (1996). Modelling cognition in emotional disorder: The S-REF model.</w:t>
      </w:r>
      <w:r w:rsidRPr="000B0156">
        <w:rPr>
          <w:rFonts w:ascii="Times New Roman" w:eastAsia="Times New Roman" w:hAnsi="Times New Roman" w:cs="Times New Roman"/>
          <w:i/>
          <w:iCs/>
          <w:sz w:val="24"/>
          <w:szCs w:val="24"/>
        </w:rPr>
        <w:t xml:space="preserve"> </w:t>
      </w:r>
      <w:proofErr w:type="spellStart"/>
      <w:r w:rsidRPr="000B0156">
        <w:rPr>
          <w:rFonts w:ascii="Times New Roman" w:eastAsia="Times New Roman" w:hAnsi="Times New Roman" w:cs="Times New Roman"/>
          <w:i/>
          <w:iCs/>
          <w:sz w:val="24"/>
          <w:szCs w:val="24"/>
        </w:rPr>
        <w:t>Behaviour</w:t>
      </w:r>
      <w:proofErr w:type="spellEnd"/>
      <w:r w:rsidRPr="000B0156">
        <w:rPr>
          <w:rFonts w:ascii="Times New Roman" w:eastAsia="Times New Roman" w:hAnsi="Times New Roman" w:cs="Times New Roman"/>
          <w:i/>
          <w:iCs/>
          <w:sz w:val="24"/>
          <w:szCs w:val="24"/>
        </w:rPr>
        <w:t xml:space="preserve"> Research and Therapy, 34</w:t>
      </w:r>
      <w:r w:rsidRPr="000B0156">
        <w:rPr>
          <w:rFonts w:ascii="Times New Roman" w:eastAsia="Times New Roman" w:hAnsi="Times New Roman" w:cs="Times New Roman"/>
          <w:sz w:val="24"/>
          <w:szCs w:val="24"/>
        </w:rPr>
        <w:t>(11-12), 881-888. </w:t>
      </w:r>
    </w:p>
    <w:p w14:paraId="6090F204" w14:textId="6712518B"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lastRenderedPageBreak/>
        <w:t xml:space="preserve">Whiting, L., Kendall, S., &amp; Wills, W. (2012). An asset-based approach: An alternative health promotion strategy? </w:t>
      </w:r>
      <w:r w:rsidRPr="000B0156">
        <w:rPr>
          <w:rFonts w:ascii="Times New Roman" w:eastAsia="Times New Roman" w:hAnsi="Times New Roman" w:cs="Times New Roman"/>
          <w:i/>
          <w:iCs/>
          <w:sz w:val="24"/>
          <w:szCs w:val="24"/>
        </w:rPr>
        <w:t>Community practitioner: the journal of the CommunityPractitioners' &amp; Health Visitors' Association, 85</w:t>
      </w:r>
      <w:r w:rsidRPr="000B0156">
        <w:rPr>
          <w:rFonts w:ascii="Times New Roman" w:eastAsia="Times New Roman" w:hAnsi="Times New Roman" w:cs="Times New Roman"/>
          <w:sz w:val="24"/>
          <w:szCs w:val="24"/>
        </w:rPr>
        <w:t>. 25-28. </w:t>
      </w:r>
    </w:p>
    <w:p w14:paraId="33A18023"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Williams, W. (2006). Complex Trauma: Approaches to Theory and Treatment. </w:t>
      </w:r>
      <w:r w:rsidRPr="000B0156">
        <w:rPr>
          <w:rFonts w:ascii="Times New Roman" w:eastAsia="Times New Roman" w:hAnsi="Times New Roman" w:cs="Times New Roman"/>
          <w:i/>
          <w:iCs/>
          <w:sz w:val="24"/>
          <w:szCs w:val="24"/>
        </w:rPr>
        <w:t>Journal of Loss &amp; Trauma</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11</w:t>
      </w:r>
      <w:r w:rsidRPr="000B0156">
        <w:rPr>
          <w:rFonts w:ascii="Times New Roman" w:eastAsia="Times New Roman" w:hAnsi="Times New Roman" w:cs="Times New Roman"/>
          <w:sz w:val="24"/>
          <w:szCs w:val="24"/>
        </w:rPr>
        <w:t xml:space="preserve">(4), 321–335. </w:t>
      </w:r>
      <w:hyperlink r:id="rId134" w:tgtFrame="_blank" w:history="1">
        <w:r w:rsidRPr="000B0156">
          <w:rPr>
            <w:rStyle w:val="Hyperlink"/>
            <w:rFonts w:ascii="Times New Roman" w:eastAsia="Times New Roman" w:hAnsi="Times New Roman" w:cs="Times New Roman"/>
            <w:sz w:val="24"/>
            <w:szCs w:val="24"/>
          </w:rPr>
          <w:t>https://doi-org.ezproxy.lib.vt.edu/10.1080/15325020600663078</w:t>
        </w:r>
      </w:hyperlink>
      <w:r w:rsidRPr="000B0156">
        <w:rPr>
          <w:rFonts w:ascii="Times New Roman" w:eastAsia="Times New Roman" w:hAnsi="Times New Roman" w:cs="Times New Roman"/>
          <w:sz w:val="24"/>
          <w:szCs w:val="24"/>
        </w:rPr>
        <w:t>. </w:t>
      </w:r>
    </w:p>
    <w:p w14:paraId="0CCE5818" w14:textId="63163C40"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Witt, A., </w:t>
      </w:r>
      <w:proofErr w:type="spellStart"/>
      <w:r w:rsidRPr="000B0156">
        <w:rPr>
          <w:rFonts w:ascii="Times New Roman" w:eastAsia="Times New Roman" w:hAnsi="Times New Roman" w:cs="Times New Roman"/>
          <w:sz w:val="24"/>
          <w:szCs w:val="24"/>
        </w:rPr>
        <w:t>Sachser</w:t>
      </w:r>
      <w:proofErr w:type="spellEnd"/>
      <w:r w:rsidRPr="000B0156">
        <w:rPr>
          <w:rFonts w:ascii="Times New Roman" w:eastAsia="Times New Roman" w:hAnsi="Times New Roman" w:cs="Times New Roman"/>
          <w:sz w:val="24"/>
          <w:szCs w:val="24"/>
        </w:rPr>
        <w:t>, C., &amp; Fegert, J. M. (2024). Scoping review on trauma and recovery in youth after natural disasters: what Europe can learn from natural disasters around the</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world. </w:t>
      </w:r>
      <w:r w:rsidRPr="000B0156">
        <w:rPr>
          <w:rFonts w:ascii="Times New Roman" w:eastAsia="Times New Roman" w:hAnsi="Times New Roman" w:cs="Times New Roman"/>
          <w:i/>
          <w:iCs/>
          <w:sz w:val="24"/>
          <w:szCs w:val="24"/>
        </w:rPr>
        <w:t>European Child &amp; Adolescent Psychiatry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33</w:t>
      </w:r>
      <w:r w:rsidRPr="000B0156">
        <w:rPr>
          <w:rFonts w:ascii="Times New Roman" w:eastAsia="Times New Roman" w:hAnsi="Times New Roman" w:cs="Times New Roman"/>
          <w:sz w:val="24"/>
          <w:szCs w:val="24"/>
        </w:rPr>
        <w:t xml:space="preserve">(3), 651–665. </w:t>
      </w:r>
      <w:r w:rsidRPr="000B0156">
        <w:rPr>
          <w:rFonts w:ascii="Times New Roman" w:eastAsia="Times New Roman" w:hAnsi="Times New Roman" w:cs="Times New Roman"/>
          <w:sz w:val="24"/>
          <w:szCs w:val="24"/>
          <w:u w:val="single"/>
        </w:rPr>
        <w:t>https://doi</w:t>
      </w:r>
      <w:r>
        <w:rPr>
          <w:rFonts w:ascii="Times New Roman" w:eastAsia="Times New Roman" w:hAnsi="Times New Roman" w:cs="Times New Roman"/>
          <w:sz w:val="24"/>
          <w:szCs w:val="24"/>
        </w:rPr>
        <w:t>.</w:t>
      </w:r>
      <w:r w:rsidRPr="000B0156">
        <w:rPr>
          <w:rFonts w:ascii="Times New Roman" w:eastAsia="Times New Roman" w:hAnsi="Times New Roman" w:cs="Times New Roman"/>
          <w:sz w:val="24"/>
          <w:szCs w:val="24"/>
          <w:u w:val="single"/>
        </w:rPr>
        <w:t>org.ezproxy.lib.vt.edu/10.1007/s00787-022-01983-y</w:t>
      </w:r>
      <w:r w:rsidRPr="000B0156">
        <w:rPr>
          <w:rFonts w:ascii="Times New Roman" w:eastAsia="Times New Roman" w:hAnsi="Times New Roman" w:cs="Times New Roman"/>
          <w:sz w:val="24"/>
          <w:szCs w:val="24"/>
        </w:rPr>
        <w:t>. </w:t>
      </w:r>
    </w:p>
    <w:p w14:paraId="614282EB"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Wolin, S. J., &amp; Wolin, S. (1993). The Resilient Self: How Survivors of Troubled Families Arise above Adversity. New York: </w:t>
      </w:r>
      <w:r w:rsidRPr="000B0156">
        <w:rPr>
          <w:rFonts w:ascii="Times New Roman" w:eastAsia="Times New Roman" w:hAnsi="Times New Roman" w:cs="Times New Roman"/>
          <w:i/>
          <w:iCs/>
          <w:sz w:val="24"/>
          <w:szCs w:val="24"/>
        </w:rPr>
        <w:t>Villard Books</w:t>
      </w:r>
      <w:r w:rsidRPr="000B0156">
        <w:rPr>
          <w:rFonts w:ascii="Times New Roman" w:eastAsia="Times New Roman" w:hAnsi="Times New Roman" w:cs="Times New Roman"/>
          <w:sz w:val="24"/>
          <w:szCs w:val="24"/>
        </w:rPr>
        <w:t>. </w:t>
      </w:r>
    </w:p>
    <w:p w14:paraId="4FA5545A"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Yadav, G., McNamara, S., Gunturu, S. (2024). Trauma-Informed Therapy. Treasure Island (FL): </w:t>
      </w:r>
      <w:proofErr w:type="spellStart"/>
      <w:r w:rsidRPr="000B0156">
        <w:rPr>
          <w:rFonts w:ascii="Times New Roman" w:eastAsia="Times New Roman" w:hAnsi="Times New Roman" w:cs="Times New Roman"/>
          <w:i/>
          <w:iCs/>
          <w:sz w:val="24"/>
          <w:szCs w:val="24"/>
        </w:rPr>
        <w:t>StatPearls</w:t>
      </w:r>
      <w:proofErr w:type="spellEnd"/>
      <w:r w:rsidRPr="000B0156">
        <w:rPr>
          <w:rFonts w:ascii="Times New Roman" w:eastAsia="Times New Roman" w:hAnsi="Times New Roman" w:cs="Times New Roman"/>
          <w:i/>
          <w:iCs/>
          <w:sz w:val="24"/>
          <w:szCs w:val="24"/>
        </w:rPr>
        <w:t xml:space="preserve"> Publishing</w:t>
      </w:r>
      <w:r w:rsidRPr="000B0156">
        <w:rPr>
          <w:rFonts w:ascii="Times New Roman" w:eastAsia="Times New Roman" w:hAnsi="Times New Roman" w:cs="Times New Roman"/>
          <w:sz w:val="24"/>
          <w:szCs w:val="24"/>
        </w:rPr>
        <w:t xml:space="preserve">. </w:t>
      </w:r>
      <w:hyperlink r:id="rId135" w:tgtFrame="_blank" w:history="1">
        <w:r w:rsidRPr="000B0156">
          <w:rPr>
            <w:rStyle w:val="Hyperlink"/>
            <w:rFonts w:ascii="Times New Roman" w:eastAsia="Times New Roman" w:hAnsi="Times New Roman" w:cs="Times New Roman"/>
            <w:sz w:val="24"/>
            <w:szCs w:val="24"/>
          </w:rPr>
          <w:t>https://www.ncbi.nlm.nih.gov/books/NBK604200/</w:t>
        </w:r>
      </w:hyperlink>
      <w:r w:rsidRPr="000B0156">
        <w:rPr>
          <w:rFonts w:ascii="Times New Roman" w:eastAsia="Times New Roman" w:hAnsi="Times New Roman" w:cs="Times New Roman"/>
          <w:sz w:val="24"/>
          <w:szCs w:val="24"/>
        </w:rPr>
        <w:t>. </w:t>
      </w:r>
    </w:p>
    <w:p w14:paraId="14A1D884"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Yehuda, R., &amp; Flory, J. D. (2007). Differentiating biological correlates of risk, PTSD, and resilience following trauma exposure. </w:t>
      </w:r>
      <w:r w:rsidRPr="000B0156">
        <w:rPr>
          <w:rFonts w:ascii="Times New Roman" w:eastAsia="Times New Roman" w:hAnsi="Times New Roman" w:cs="Times New Roman"/>
          <w:i/>
          <w:iCs/>
          <w:sz w:val="24"/>
          <w:szCs w:val="24"/>
        </w:rPr>
        <w:t>Journal of traumatic stress</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20</w:t>
      </w:r>
      <w:r w:rsidRPr="000B0156">
        <w:rPr>
          <w:rFonts w:ascii="Times New Roman" w:eastAsia="Times New Roman" w:hAnsi="Times New Roman" w:cs="Times New Roman"/>
          <w:sz w:val="24"/>
          <w:szCs w:val="24"/>
        </w:rPr>
        <w:t xml:space="preserve">(4), 435–447. </w:t>
      </w:r>
      <w:hyperlink r:id="rId136" w:tgtFrame="_blank" w:history="1">
        <w:r w:rsidRPr="000B0156">
          <w:rPr>
            <w:rStyle w:val="Hyperlink"/>
            <w:rFonts w:ascii="Times New Roman" w:eastAsia="Times New Roman" w:hAnsi="Times New Roman" w:cs="Times New Roman"/>
            <w:sz w:val="24"/>
            <w:szCs w:val="24"/>
          </w:rPr>
          <w:t>https://doi.org/10.1002/jts.20260</w:t>
        </w:r>
      </w:hyperlink>
      <w:r w:rsidRPr="000B0156">
        <w:rPr>
          <w:rFonts w:ascii="Times New Roman" w:eastAsia="Times New Roman" w:hAnsi="Times New Roman" w:cs="Times New Roman"/>
          <w:sz w:val="24"/>
          <w:szCs w:val="24"/>
        </w:rPr>
        <w:t>. </w:t>
      </w:r>
    </w:p>
    <w:p w14:paraId="1FFBEEEF"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Yehuda, R., &amp; Lehrner, A. (2018). Intergenerational transmission of trauma effects: putative role of epigenetic mechanisms. </w:t>
      </w:r>
      <w:r w:rsidRPr="000B0156">
        <w:rPr>
          <w:rFonts w:ascii="Times New Roman" w:eastAsia="Times New Roman" w:hAnsi="Times New Roman" w:cs="Times New Roman"/>
          <w:i/>
          <w:iCs/>
          <w:sz w:val="24"/>
          <w:szCs w:val="24"/>
        </w:rPr>
        <w:t xml:space="preserve">World </w:t>
      </w:r>
      <w:proofErr w:type="gramStart"/>
      <w:r w:rsidRPr="000B0156">
        <w:rPr>
          <w:rFonts w:ascii="Times New Roman" w:eastAsia="Times New Roman" w:hAnsi="Times New Roman" w:cs="Times New Roman"/>
          <w:i/>
          <w:iCs/>
          <w:sz w:val="24"/>
          <w:szCs w:val="24"/>
        </w:rPr>
        <w:t>psychiatry :</w:t>
      </w:r>
      <w:proofErr w:type="gramEnd"/>
      <w:r w:rsidRPr="000B0156">
        <w:rPr>
          <w:rFonts w:ascii="Times New Roman" w:eastAsia="Times New Roman" w:hAnsi="Times New Roman" w:cs="Times New Roman"/>
          <w:i/>
          <w:iCs/>
          <w:sz w:val="24"/>
          <w:szCs w:val="24"/>
        </w:rPr>
        <w:t xml:space="preserve"> official journal of the World Psychiatric Association (WPA)</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i/>
          <w:iCs/>
          <w:sz w:val="24"/>
          <w:szCs w:val="24"/>
        </w:rPr>
        <w:t>17</w:t>
      </w:r>
      <w:r w:rsidRPr="000B0156">
        <w:rPr>
          <w:rFonts w:ascii="Times New Roman" w:eastAsia="Times New Roman" w:hAnsi="Times New Roman" w:cs="Times New Roman"/>
          <w:sz w:val="24"/>
          <w:szCs w:val="24"/>
        </w:rPr>
        <w:t xml:space="preserve">(3), 243–257. </w:t>
      </w:r>
      <w:hyperlink r:id="rId137" w:tgtFrame="_blank" w:history="1">
        <w:r w:rsidRPr="000B0156">
          <w:rPr>
            <w:rStyle w:val="Hyperlink"/>
            <w:rFonts w:ascii="Times New Roman" w:eastAsia="Times New Roman" w:hAnsi="Times New Roman" w:cs="Times New Roman"/>
            <w:sz w:val="24"/>
            <w:szCs w:val="24"/>
          </w:rPr>
          <w:t>https://doi.org/10.1002/wps.20568</w:t>
        </w:r>
      </w:hyperlink>
      <w:r w:rsidRPr="000B0156">
        <w:rPr>
          <w:rFonts w:ascii="Times New Roman" w:eastAsia="Times New Roman" w:hAnsi="Times New Roman" w:cs="Times New Roman"/>
          <w:sz w:val="24"/>
          <w:szCs w:val="24"/>
        </w:rPr>
        <w:t>. </w:t>
      </w:r>
    </w:p>
    <w:p w14:paraId="1F0A1C65" w14:textId="3A074541"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 xml:space="preserve">Zeanah, C. H., &amp; </w:t>
      </w:r>
      <w:proofErr w:type="spellStart"/>
      <w:r w:rsidRPr="000B0156">
        <w:rPr>
          <w:rFonts w:ascii="Times New Roman" w:eastAsia="Times New Roman" w:hAnsi="Times New Roman" w:cs="Times New Roman"/>
          <w:sz w:val="24"/>
          <w:szCs w:val="24"/>
        </w:rPr>
        <w:t>Sonuga</w:t>
      </w:r>
      <w:proofErr w:type="spellEnd"/>
      <w:r w:rsidRPr="000B0156">
        <w:rPr>
          <w:rFonts w:ascii="Times New Roman" w:eastAsia="Times New Roman" w:hAnsi="Times New Roman" w:cs="Times New Roman"/>
          <w:sz w:val="24"/>
          <w:szCs w:val="24"/>
        </w:rPr>
        <w:t>, B. E. J. S. (2016). Editorial: The effects of early trauma and</w:t>
      </w:r>
      <w:r>
        <w:rPr>
          <w:rFonts w:ascii="Times New Roman" w:eastAsia="Times New Roman" w:hAnsi="Times New Roman" w:cs="Times New Roman"/>
          <w:sz w:val="24"/>
          <w:szCs w:val="24"/>
        </w:rPr>
        <w:t xml:space="preserve"> </w:t>
      </w:r>
      <w:r w:rsidRPr="000B0156">
        <w:rPr>
          <w:rFonts w:ascii="Times New Roman" w:eastAsia="Times New Roman" w:hAnsi="Times New Roman" w:cs="Times New Roman"/>
          <w:sz w:val="24"/>
          <w:szCs w:val="24"/>
        </w:rPr>
        <w:t xml:space="preserve">deprivation on human development - from measuring cumulative risk to characterizing </w:t>
      </w:r>
      <w:r w:rsidRPr="000B0156">
        <w:rPr>
          <w:rFonts w:ascii="Times New Roman" w:eastAsia="Times New Roman" w:hAnsi="Times New Roman" w:cs="Times New Roman"/>
          <w:sz w:val="24"/>
          <w:szCs w:val="24"/>
        </w:rPr>
        <w:lastRenderedPageBreak/>
        <w:t>specific mechanisms. </w:t>
      </w:r>
      <w:r w:rsidRPr="000B0156">
        <w:rPr>
          <w:rFonts w:ascii="Times New Roman" w:eastAsia="Times New Roman" w:hAnsi="Times New Roman" w:cs="Times New Roman"/>
          <w:i/>
          <w:iCs/>
          <w:sz w:val="24"/>
          <w:szCs w:val="24"/>
        </w:rPr>
        <w:t>Journal of Child Psychology &amp; Psychiatry</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57</w:t>
      </w:r>
      <w:r w:rsidRPr="000B0156">
        <w:rPr>
          <w:rFonts w:ascii="Times New Roman" w:eastAsia="Times New Roman" w:hAnsi="Times New Roman" w:cs="Times New Roman"/>
          <w:sz w:val="24"/>
          <w:szCs w:val="24"/>
        </w:rPr>
        <w:t>(10), 1099–1102.</w:t>
      </w:r>
      <w:r>
        <w:rPr>
          <w:rFonts w:ascii="Times New Roman" w:eastAsia="Times New Roman" w:hAnsi="Times New Roman" w:cs="Times New Roman"/>
          <w:sz w:val="24"/>
          <w:szCs w:val="24"/>
        </w:rPr>
        <w:t xml:space="preserve"> </w:t>
      </w:r>
      <w:hyperlink r:id="rId138" w:history="1">
        <w:r w:rsidRPr="000B0156">
          <w:rPr>
            <w:rStyle w:val="Hyperlink"/>
            <w:rFonts w:ascii="Times New Roman" w:eastAsia="Times New Roman" w:hAnsi="Times New Roman" w:cs="Times New Roman"/>
            <w:sz w:val="24"/>
            <w:szCs w:val="24"/>
          </w:rPr>
          <w:t>https://doi-org.ezproxy.lib.vt.edu/10.1111/jcpp.12642</w:t>
        </w:r>
      </w:hyperlink>
      <w:r w:rsidRPr="000B0156">
        <w:rPr>
          <w:rFonts w:ascii="Times New Roman" w:eastAsia="Times New Roman" w:hAnsi="Times New Roman" w:cs="Times New Roman"/>
          <w:sz w:val="24"/>
          <w:szCs w:val="24"/>
        </w:rPr>
        <w:t>. </w:t>
      </w:r>
    </w:p>
    <w:p w14:paraId="61F012CD" w14:textId="77777777" w:rsidR="000B0156" w:rsidRPr="000B0156" w:rsidRDefault="000B0156" w:rsidP="000B0156">
      <w:pPr>
        <w:spacing w:after="0" w:line="480" w:lineRule="auto"/>
        <w:ind w:left="720" w:hanging="720"/>
        <w:rPr>
          <w:rFonts w:ascii="Times New Roman" w:eastAsia="Times New Roman" w:hAnsi="Times New Roman" w:cs="Times New Roman"/>
          <w:sz w:val="24"/>
          <w:szCs w:val="24"/>
        </w:rPr>
      </w:pPr>
      <w:proofErr w:type="spellStart"/>
      <w:r w:rsidRPr="000B0156">
        <w:rPr>
          <w:rFonts w:ascii="Times New Roman" w:eastAsia="Times New Roman" w:hAnsi="Times New Roman" w:cs="Times New Roman"/>
          <w:sz w:val="24"/>
          <w:szCs w:val="24"/>
        </w:rPr>
        <w:t>Ziaei</w:t>
      </w:r>
      <w:proofErr w:type="spellEnd"/>
      <w:r w:rsidRPr="000B0156">
        <w:rPr>
          <w:rFonts w:ascii="Times New Roman" w:eastAsia="Times New Roman" w:hAnsi="Times New Roman" w:cs="Times New Roman"/>
          <w:sz w:val="24"/>
          <w:szCs w:val="24"/>
        </w:rPr>
        <w:t xml:space="preserve">, S. &amp; </w:t>
      </w:r>
      <w:proofErr w:type="spellStart"/>
      <w:r w:rsidRPr="000B0156">
        <w:rPr>
          <w:rFonts w:ascii="Times New Roman" w:eastAsia="Times New Roman" w:hAnsi="Times New Roman" w:cs="Times New Roman"/>
          <w:sz w:val="24"/>
          <w:szCs w:val="24"/>
        </w:rPr>
        <w:t>Hammarström</w:t>
      </w:r>
      <w:proofErr w:type="spellEnd"/>
      <w:r w:rsidRPr="000B0156">
        <w:rPr>
          <w:rFonts w:ascii="Times New Roman" w:eastAsia="Times New Roman" w:hAnsi="Times New Roman" w:cs="Times New Roman"/>
          <w:sz w:val="24"/>
          <w:szCs w:val="24"/>
        </w:rPr>
        <w:t xml:space="preserve">, A. (2023). The relationship between interpersonal violence in adulthood and mental health: a longitudinal study based on the Northern Swedish Cohort. </w:t>
      </w:r>
      <w:r w:rsidRPr="000B0156">
        <w:rPr>
          <w:rFonts w:ascii="Times New Roman" w:eastAsia="Times New Roman" w:hAnsi="Times New Roman" w:cs="Times New Roman"/>
          <w:i/>
          <w:iCs/>
          <w:sz w:val="24"/>
          <w:szCs w:val="24"/>
        </w:rPr>
        <w:t>BMC Public Health</w:t>
      </w:r>
      <w:r w:rsidRPr="000B0156">
        <w:rPr>
          <w:rFonts w:ascii="Times New Roman" w:eastAsia="Times New Roman" w:hAnsi="Times New Roman" w:cs="Times New Roman"/>
          <w:sz w:val="24"/>
          <w:szCs w:val="24"/>
        </w:rPr>
        <w:t xml:space="preserve"> </w:t>
      </w:r>
      <w:r w:rsidRPr="000B0156">
        <w:rPr>
          <w:rFonts w:ascii="Times New Roman" w:eastAsia="Times New Roman" w:hAnsi="Times New Roman" w:cs="Times New Roman"/>
          <w:b/>
          <w:bCs/>
          <w:sz w:val="24"/>
          <w:szCs w:val="24"/>
        </w:rPr>
        <w:t>23</w:t>
      </w:r>
      <w:r w:rsidRPr="000B0156">
        <w:rPr>
          <w:rFonts w:ascii="Times New Roman" w:eastAsia="Times New Roman" w:hAnsi="Times New Roman" w:cs="Times New Roman"/>
          <w:sz w:val="24"/>
          <w:szCs w:val="24"/>
        </w:rPr>
        <w:t xml:space="preserve">, 637. </w:t>
      </w:r>
      <w:hyperlink r:id="rId139" w:tgtFrame="_blank" w:history="1">
        <w:r w:rsidRPr="000B0156">
          <w:rPr>
            <w:rStyle w:val="Hyperlink"/>
            <w:rFonts w:ascii="Times New Roman" w:eastAsia="Times New Roman" w:hAnsi="Times New Roman" w:cs="Times New Roman"/>
            <w:sz w:val="24"/>
            <w:szCs w:val="24"/>
          </w:rPr>
          <w:t>https://doi.org/10.1186/s12889-023-15525-x</w:t>
        </w:r>
      </w:hyperlink>
      <w:r w:rsidRPr="000B0156">
        <w:rPr>
          <w:rFonts w:ascii="Times New Roman" w:eastAsia="Times New Roman" w:hAnsi="Times New Roman" w:cs="Times New Roman"/>
          <w:sz w:val="24"/>
          <w:szCs w:val="24"/>
        </w:rPr>
        <w:t>. </w:t>
      </w:r>
    </w:p>
    <w:p w14:paraId="520E2095" w14:textId="5C848A03" w:rsidR="000B0156" w:rsidRPr="000B0156" w:rsidRDefault="000B0156" w:rsidP="000B0156">
      <w:pPr>
        <w:spacing w:after="0" w:line="480" w:lineRule="auto"/>
        <w:ind w:left="720" w:hanging="720"/>
        <w:rPr>
          <w:rFonts w:ascii="Times New Roman" w:eastAsia="Times New Roman" w:hAnsi="Times New Roman" w:cs="Times New Roman"/>
          <w:sz w:val="24"/>
          <w:szCs w:val="24"/>
        </w:rPr>
      </w:pPr>
      <w:r w:rsidRPr="000B0156">
        <w:rPr>
          <w:rFonts w:ascii="Times New Roman" w:eastAsia="Times New Roman" w:hAnsi="Times New Roman" w:cs="Times New Roman"/>
          <w:sz w:val="24"/>
          <w:szCs w:val="24"/>
        </w:rPr>
        <w:t>Zuj, D. V., Palmer, M. A., Hsu, C. K., Nicholson, E. L., Cushing, P. J., Gray, K. E., &amp;</w:t>
      </w:r>
      <w:r>
        <w:rPr>
          <w:rFonts w:ascii="Times New Roman" w:eastAsia="Times New Roman" w:hAnsi="Times New Roman" w:cs="Times New Roman"/>
          <w:sz w:val="24"/>
          <w:szCs w:val="24"/>
        </w:rPr>
        <w:t xml:space="preserve"> </w:t>
      </w:r>
      <w:proofErr w:type="spellStart"/>
      <w:r w:rsidRPr="000B0156">
        <w:rPr>
          <w:rFonts w:ascii="Times New Roman" w:eastAsia="Times New Roman" w:hAnsi="Times New Roman" w:cs="Times New Roman"/>
          <w:sz w:val="24"/>
          <w:szCs w:val="24"/>
        </w:rPr>
        <w:t>Felmingham</w:t>
      </w:r>
      <w:proofErr w:type="spellEnd"/>
      <w:r w:rsidRPr="000B0156">
        <w:rPr>
          <w:rFonts w:ascii="Times New Roman" w:eastAsia="Times New Roman" w:hAnsi="Times New Roman" w:cs="Times New Roman"/>
          <w:sz w:val="24"/>
          <w:szCs w:val="24"/>
        </w:rPr>
        <w:t xml:space="preserve">, K. L. (2016). Impaired Fear Extinction Associated with </w:t>
      </w:r>
      <w:proofErr w:type="spellStart"/>
      <w:r w:rsidRPr="000B0156">
        <w:rPr>
          <w:rFonts w:ascii="Times New Roman" w:eastAsia="Times New Roman" w:hAnsi="Times New Roman" w:cs="Times New Roman"/>
          <w:sz w:val="24"/>
          <w:szCs w:val="24"/>
        </w:rPr>
        <w:t>Ptsd</w:t>
      </w:r>
      <w:proofErr w:type="spellEnd"/>
      <w:r w:rsidRPr="000B0156">
        <w:rPr>
          <w:rFonts w:ascii="Times New Roman" w:eastAsia="Times New Roman" w:hAnsi="Times New Roman" w:cs="Times New Roman"/>
          <w:sz w:val="24"/>
          <w:szCs w:val="24"/>
        </w:rPr>
        <w:t xml:space="preserve"> Increases with Hours-Since-Waking. </w:t>
      </w:r>
      <w:r w:rsidRPr="000B0156">
        <w:rPr>
          <w:rFonts w:ascii="Times New Roman" w:eastAsia="Times New Roman" w:hAnsi="Times New Roman" w:cs="Times New Roman"/>
          <w:i/>
          <w:iCs/>
          <w:sz w:val="24"/>
          <w:szCs w:val="24"/>
        </w:rPr>
        <w:t>Depression &amp; Anxiety (1091-4269)</w:t>
      </w:r>
      <w:r w:rsidRPr="000B0156">
        <w:rPr>
          <w:rFonts w:ascii="Times New Roman" w:eastAsia="Times New Roman" w:hAnsi="Times New Roman" w:cs="Times New Roman"/>
          <w:sz w:val="24"/>
          <w:szCs w:val="24"/>
        </w:rPr>
        <w:t>, </w:t>
      </w:r>
      <w:r w:rsidRPr="000B0156">
        <w:rPr>
          <w:rFonts w:ascii="Times New Roman" w:eastAsia="Times New Roman" w:hAnsi="Times New Roman" w:cs="Times New Roman"/>
          <w:i/>
          <w:iCs/>
          <w:sz w:val="24"/>
          <w:szCs w:val="24"/>
        </w:rPr>
        <w:t>33</w:t>
      </w:r>
      <w:r w:rsidRPr="000B0156">
        <w:rPr>
          <w:rFonts w:ascii="Times New Roman" w:eastAsia="Times New Roman" w:hAnsi="Times New Roman" w:cs="Times New Roman"/>
          <w:sz w:val="24"/>
          <w:szCs w:val="24"/>
        </w:rPr>
        <w:t xml:space="preserve">(3), 203–210. </w:t>
      </w:r>
      <w:r w:rsidRPr="000B0156">
        <w:rPr>
          <w:rFonts w:ascii="Times New Roman" w:eastAsia="Times New Roman" w:hAnsi="Times New Roman" w:cs="Times New Roman"/>
          <w:sz w:val="24"/>
          <w:szCs w:val="24"/>
          <w:u w:val="single"/>
        </w:rPr>
        <w:t>https://doi</w:t>
      </w:r>
      <w:r>
        <w:rPr>
          <w:rFonts w:ascii="Times New Roman" w:eastAsia="Times New Roman" w:hAnsi="Times New Roman" w:cs="Times New Roman"/>
          <w:sz w:val="24"/>
          <w:szCs w:val="24"/>
        </w:rPr>
        <w:t>.</w:t>
      </w:r>
      <w:r w:rsidRPr="000B0156">
        <w:rPr>
          <w:rFonts w:ascii="Times New Roman" w:eastAsia="Times New Roman" w:hAnsi="Times New Roman" w:cs="Times New Roman"/>
          <w:sz w:val="24"/>
          <w:szCs w:val="24"/>
          <w:u w:val="single"/>
        </w:rPr>
        <w:t>org.ezproxy.lib.vt.edu/10.1002/da.22463</w:t>
      </w:r>
      <w:r w:rsidRPr="000B0156">
        <w:rPr>
          <w:rFonts w:ascii="Times New Roman" w:eastAsia="Times New Roman" w:hAnsi="Times New Roman" w:cs="Times New Roman"/>
          <w:sz w:val="24"/>
          <w:szCs w:val="24"/>
        </w:rPr>
        <w:t>. </w:t>
      </w:r>
    </w:p>
    <w:p w14:paraId="1A076A6B" w14:textId="0304D35E" w:rsidR="00542438" w:rsidRDefault="00542438">
      <w:pPr>
        <w:spacing w:after="0" w:line="480" w:lineRule="auto"/>
        <w:ind w:left="720" w:hanging="720"/>
        <w:rPr>
          <w:rFonts w:ascii="Times New Roman" w:eastAsia="Times New Roman" w:hAnsi="Times New Roman" w:cs="Times New Roman"/>
          <w:sz w:val="24"/>
          <w:szCs w:val="24"/>
        </w:rPr>
      </w:pPr>
    </w:p>
    <w:sectPr w:rsidR="00542438">
      <w:headerReference w:type="default" r:id="rId140"/>
      <w:footerReference w:type="default" r:id="rId14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4ACFBD" w14:textId="77777777" w:rsidR="00123BE8" w:rsidRDefault="00123BE8">
      <w:pPr>
        <w:spacing w:after="0" w:line="240" w:lineRule="auto"/>
      </w:pPr>
      <w:r>
        <w:separator/>
      </w:r>
    </w:p>
  </w:endnote>
  <w:endnote w:type="continuationSeparator" w:id="0">
    <w:p w14:paraId="4E0CB915" w14:textId="77777777" w:rsidR="00123BE8" w:rsidRDefault="00123B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41557D0C-80FA-44DB-982E-726D3BBBEEB1}"/>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embedRegular r:id="rId2" w:fontKey="{7A2601D8-AEEC-4F28-A2B1-5EA4934775A9}"/>
    <w:embedBold r:id="rId3" w:fontKey="{522205DE-EF8B-4C2A-8538-1A2A8D7361A3}"/>
    <w:embedItalic r:id="rId4" w:fontKey="{5544CF93-3E15-4176-8A03-6D3FC605D5C5}"/>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5" w:fontKey="{79F7F6E1-3B23-4E70-9D0A-44B1688CA37F}"/>
    <w:embedItalic r:id="rId6" w:fontKey="{2A5684CC-C5F3-490E-9078-45CB2EB6CFAD}"/>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embedRegular r:id="rId7" w:fontKey="{B2DD1F0F-D187-4436-82DF-022A19367AE8}"/>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EE0611" w14:textId="77777777" w:rsidR="00542438" w:rsidRDefault="00542438">
    <w:pPr>
      <w:widowControl w:val="0"/>
      <w:pBdr>
        <w:top w:val="nil"/>
        <w:left w:val="nil"/>
        <w:bottom w:val="nil"/>
        <w:right w:val="nil"/>
        <w:between w:val="nil"/>
      </w:pBdr>
      <w:spacing w:after="0" w:line="276" w:lineRule="auto"/>
      <w:rPr>
        <w:color w:val="000000"/>
      </w:rPr>
    </w:pPr>
  </w:p>
  <w:tbl>
    <w:tblPr>
      <w:tblStyle w:val="a1"/>
      <w:tblW w:w="9360" w:type="dxa"/>
      <w:tblLayout w:type="fixed"/>
      <w:tblLook w:val="0600" w:firstRow="0" w:lastRow="0" w:firstColumn="0" w:lastColumn="0" w:noHBand="1" w:noVBand="1"/>
    </w:tblPr>
    <w:tblGrid>
      <w:gridCol w:w="3120"/>
      <w:gridCol w:w="3120"/>
      <w:gridCol w:w="3120"/>
    </w:tblGrid>
    <w:tr w:rsidR="00542438" w14:paraId="41F7D74D" w14:textId="77777777">
      <w:trPr>
        <w:trHeight w:val="300"/>
      </w:trPr>
      <w:tc>
        <w:tcPr>
          <w:tcW w:w="3120" w:type="dxa"/>
        </w:tcPr>
        <w:p w14:paraId="766BB0C9" w14:textId="77777777" w:rsidR="00542438" w:rsidRDefault="00542438">
          <w:pPr>
            <w:pBdr>
              <w:top w:val="nil"/>
              <w:left w:val="nil"/>
              <w:bottom w:val="nil"/>
              <w:right w:val="nil"/>
              <w:between w:val="nil"/>
            </w:pBdr>
            <w:tabs>
              <w:tab w:val="center" w:pos="4680"/>
              <w:tab w:val="right" w:pos="9360"/>
            </w:tabs>
            <w:spacing w:after="0" w:line="240" w:lineRule="auto"/>
            <w:ind w:left="-115"/>
            <w:rPr>
              <w:color w:val="000000"/>
            </w:rPr>
          </w:pPr>
        </w:p>
      </w:tc>
      <w:tc>
        <w:tcPr>
          <w:tcW w:w="3120" w:type="dxa"/>
        </w:tcPr>
        <w:p w14:paraId="1C69FD8B" w14:textId="77777777" w:rsidR="00542438" w:rsidRDefault="00542438">
          <w:pPr>
            <w:pBdr>
              <w:top w:val="nil"/>
              <w:left w:val="nil"/>
              <w:bottom w:val="nil"/>
              <w:right w:val="nil"/>
              <w:between w:val="nil"/>
            </w:pBdr>
            <w:tabs>
              <w:tab w:val="center" w:pos="4680"/>
              <w:tab w:val="right" w:pos="9360"/>
            </w:tabs>
            <w:spacing w:after="0" w:line="240" w:lineRule="auto"/>
            <w:jc w:val="center"/>
            <w:rPr>
              <w:color w:val="000000"/>
            </w:rPr>
          </w:pPr>
        </w:p>
      </w:tc>
      <w:tc>
        <w:tcPr>
          <w:tcW w:w="3120" w:type="dxa"/>
        </w:tcPr>
        <w:p w14:paraId="29306DFA" w14:textId="77777777" w:rsidR="00542438" w:rsidRDefault="00542438">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5C0B89C0" w14:textId="77777777" w:rsidR="00542438" w:rsidRDefault="0054243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A58F75" w14:textId="77777777" w:rsidR="00123BE8" w:rsidRDefault="00123BE8">
      <w:pPr>
        <w:spacing w:after="0" w:line="240" w:lineRule="auto"/>
      </w:pPr>
      <w:r>
        <w:separator/>
      </w:r>
    </w:p>
  </w:footnote>
  <w:footnote w:type="continuationSeparator" w:id="0">
    <w:p w14:paraId="4833899C" w14:textId="77777777" w:rsidR="00123BE8" w:rsidRDefault="00123B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59559" w14:textId="77777777" w:rsidR="00542438" w:rsidRDefault="00542438">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bl>
    <w:tblPr>
      <w:tblStyle w:val="a0"/>
      <w:tblW w:w="9360" w:type="dxa"/>
      <w:tblLayout w:type="fixed"/>
      <w:tblLook w:val="0600" w:firstRow="0" w:lastRow="0" w:firstColumn="0" w:lastColumn="0" w:noHBand="1" w:noVBand="1"/>
    </w:tblPr>
    <w:tblGrid>
      <w:gridCol w:w="3120"/>
      <w:gridCol w:w="3120"/>
      <w:gridCol w:w="3120"/>
    </w:tblGrid>
    <w:tr w:rsidR="00542438" w14:paraId="13ADB729" w14:textId="77777777">
      <w:trPr>
        <w:trHeight w:val="300"/>
      </w:trPr>
      <w:tc>
        <w:tcPr>
          <w:tcW w:w="3120" w:type="dxa"/>
        </w:tcPr>
        <w:p w14:paraId="492F5930" w14:textId="77777777" w:rsidR="00542438" w:rsidRDefault="00542438">
          <w:pPr>
            <w:pBdr>
              <w:top w:val="nil"/>
              <w:left w:val="nil"/>
              <w:bottom w:val="nil"/>
              <w:right w:val="nil"/>
              <w:between w:val="nil"/>
            </w:pBdr>
            <w:tabs>
              <w:tab w:val="center" w:pos="4680"/>
              <w:tab w:val="right" w:pos="9360"/>
            </w:tabs>
            <w:spacing w:after="0" w:line="240" w:lineRule="auto"/>
            <w:ind w:left="-115"/>
            <w:rPr>
              <w:color w:val="000000"/>
            </w:rPr>
          </w:pPr>
        </w:p>
      </w:tc>
      <w:tc>
        <w:tcPr>
          <w:tcW w:w="3120" w:type="dxa"/>
        </w:tcPr>
        <w:p w14:paraId="387D68D2" w14:textId="77777777" w:rsidR="00542438" w:rsidRDefault="00542438">
          <w:pPr>
            <w:pBdr>
              <w:top w:val="nil"/>
              <w:left w:val="nil"/>
              <w:bottom w:val="nil"/>
              <w:right w:val="nil"/>
              <w:between w:val="nil"/>
            </w:pBdr>
            <w:tabs>
              <w:tab w:val="center" w:pos="4680"/>
              <w:tab w:val="right" w:pos="9360"/>
            </w:tabs>
            <w:spacing w:after="0" w:line="240" w:lineRule="auto"/>
            <w:jc w:val="center"/>
            <w:rPr>
              <w:color w:val="000000"/>
            </w:rPr>
          </w:pPr>
        </w:p>
      </w:tc>
      <w:tc>
        <w:tcPr>
          <w:tcW w:w="3120" w:type="dxa"/>
        </w:tcPr>
        <w:p w14:paraId="3E2B06B9" w14:textId="77777777" w:rsidR="00542438" w:rsidRDefault="00F41472">
          <w:pPr>
            <w:pBdr>
              <w:top w:val="nil"/>
              <w:left w:val="nil"/>
              <w:bottom w:val="nil"/>
              <w:right w:val="nil"/>
              <w:between w:val="nil"/>
            </w:pBdr>
            <w:tabs>
              <w:tab w:val="center" w:pos="4680"/>
              <w:tab w:val="right" w:pos="9360"/>
            </w:tabs>
            <w:spacing w:after="0" w:line="240" w:lineRule="auto"/>
            <w:ind w:right="-115"/>
            <w:jc w:val="right"/>
            <w:rPr>
              <w:color w:val="000000"/>
            </w:rPr>
          </w:pPr>
          <w:r>
            <w:rPr>
              <w:color w:val="000000"/>
            </w:rPr>
            <w:fldChar w:fldCharType="begin"/>
          </w:r>
          <w:r>
            <w:rPr>
              <w:color w:val="000000"/>
            </w:rPr>
            <w:instrText>PAGE</w:instrText>
          </w:r>
          <w:r>
            <w:rPr>
              <w:color w:val="000000"/>
            </w:rPr>
            <w:fldChar w:fldCharType="separate"/>
          </w:r>
          <w:r w:rsidR="000B0156">
            <w:rPr>
              <w:noProof/>
              <w:color w:val="000000"/>
            </w:rPr>
            <w:t>1</w:t>
          </w:r>
          <w:r>
            <w:rPr>
              <w:color w:val="000000"/>
            </w:rPr>
            <w:fldChar w:fldCharType="end"/>
          </w:r>
        </w:p>
      </w:tc>
    </w:tr>
  </w:tbl>
  <w:p w14:paraId="0A584C1B" w14:textId="77777777" w:rsidR="00542438" w:rsidRDefault="00542438">
    <w:pPr>
      <w:pBdr>
        <w:top w:val="nil"/>
        <w:left w:val="nil"/>
        <w:bottom w:val="nil"/>
        <w:right w:val="nil"/>
        <w:between w:val="nil"/>
      </w:pBdr>
      <w:tabs>
        <w:tab w:val="center" w:pos="4680"/>
        <w:tab w:val="right" w:pos="9360"/>
      </w:tabs>
      <w:spacing w:after="0" w:line="240" w:lineRule="auto"/>
      <w:rPr>
        <w:color w:val="000000"/>
      </w:rPr>
    </w:pPr>
  </w:p>
</w:hdr>
</file>

<file path=word/intelligence2.xml><?xml version="1.0" encoding="utf-8"?>
<int2:intelligence xmlns:int2="http://schemas.microsoft.com/office/intelligence/2020/intelligence" xmlns:oel="http://schemas.microsoft.com/office/2019/extlst">
  <int2:observations>
    <int2:bookmark int2:bookmarkName="_Int_znOpyQKc" int2:invalidationBookmarkName="" int2:hashCode="0lXQ0GySJQ8tJA" int2:id="B2UUfilo">
      <int2:state int2:value="Rejected" int2:type="AugLoop_Text_Critique"/>
    </int2:bookmark>
    <int2:bookmark int2:bookmarkName="_Int_oRYQyuUb" int2:invalidationBookmarkName="" int2:hashCode="DCSXQX9RIPczHg" int2:id="YZ3LiTCQ">
      <int2:state int2:value="Rejected" int2:type="AugLoop_Text_Critique"/>
    </int2:bookmark>
    <int2:bookmark int2:bookmarkName="_Int_24EqhJCi" int2:invalidationBookmarkName="" int2:hashCode="ZdGjZKcdQXLN1H" int2:id="K2kS9tsm">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8426141"/>
    <w:multiLevelType w:val="multilevel"/>
    <w:tmpl w:val="972E350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7CD6656F"/>
    <w:multiLevelType w:val="multilevel"/>
    <w:tmpl w:val="438CDE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429502219">
    <w:abstractNumId w:val="1"/>
  </w:num>
  <w:num w:numId="2" w16cid:durableId="11721865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438"/>
    <w:rsid w:val="000B0156"/>
    <w:rsid w:val="00123BE8"/>
    <w:rsid w:val="00134452"/>
    <w:rsid w:val="002F4370"/>
    <w:rsid w:val="003335B4"/>
    <w:rsid w:val="00381C7C"/>
    <w:rsid w:val="00542438"/>
    <w:rsid w:val="006462D5"/>
    <w:rsid w:val="00720551"/>
    <w:rsid w:val="00733FE7"/>
    <w:rsid w:val="007A2384"/>
    <w:rsid w:val="008720CA"/>
    <w:rsid w:val="00A87A5C"/>
    <w:rsid w:val="00C93B93"/>
    <w:rsid w:val="00E93EE9"/>
    <w:rsid w:val="00F41472"/>
    <w:rsid w:val="00F62AA7"/>
    <w:rsid w:val="01FEE23F"/>
    <w:rsid w:val="022A808B"/>
    <w:rsid w:val="02A07F10"/>
    <w:rsid w:val="02DD181B"/>
    <w:rsid w:val="030F49B4"/>
    <w:rsid w:val="040DB6FC"/>
    <w:rsid w:val="043CC5D5"/>
    <w:rsid w:val="04707709"/>
    <w:rsid w:val="04C9DDEC"/>
    <w:rsid w:val="05898A01"/>
    <w:rsid w:val="05A848E2"/>
    <w:rsid w:val="061D300B"/>
    <w:rsid w:val="06D070DA"/>
    <w:rsid w:val="077AC753"/>
    <w:rsid w:val="07FD0192"/>
    <w:rsid w:val="0837DB4D"/>
    <w:rsid w:val="084E295B"/>
    <w:rsid w:val="08640B16"/>
    <w:rsid w:val="086D9CA4"/>
    <w:rsid w:val="0884FC70"/>
    <w:rsid w:val="08CD0080"/>
    <w:rsid w:val="09039B33"/>
    <w:rsid w:val="096C8EAA"/>
    <w:rsid w:val="097B7C35"/>
    <w:rsid w:val="098D297D"/>
    <w:rsid w:val="09C35BBE"/>
    <w:rsid w:val="09D3D782"/>
    <w:rsid w:val="09E57A4A"/>
    <w:rsid w:val="0A1B6374"/>
    <w:rsid w:val="0AC51173"/>
    <w:rsid w:val="0BC9878F"/>
    <w:rsid w:val="0C0F943E"/>
    <w:rsid w:val="0C28F0C3"/>
    <w:rsid w:val="0C457061"/>
    <w:rsid w:val="0C51FFA2"/>
    <w:rsid w:val="0CB1B10E"/>
    <w:rsid w:val="0CE9DCCF"/>
    <w:rsid w:val="0CF64144"/>
    <w:rsid w:val="0D574EE5"/>
    <w:rsid w:val="0D5FA73A"/>
    <w:rsid w:val="0D8F63EE"/>
    <w:rsid w:val="0D9B525A"/>
    <w:rsid w:val="0DA3602A"/>
    <w:rsid w:val="0DDDD87D"/>
    <w:rsid w:val="0E27D001"/>
    <w:rsid w:val="0E470EA7"/>
    <w:rsid w:val="0EB5A571"/>
    <w:rsid w:val="1007D490"/>
    <w:rsid w:val="104444BC"/>
    <w:rsid w:val="1068F0D7"/>
    <w:rsid w:val="10BAEBB3"/>
    <w:rsid w:val="111E7745"/>
    <w:rsid w:val="114F3AE7"/>
    <w:rsid w:val="11D15ECE"/>
    <w:rsid w:val="12455FE4"/>
    <w:rsid w:val="12994291"/>
    <w:rsid w:val="12FE7FA3"/>
    <w:rsid w:val="1350D048"/>
    <w:rsid w:val="14D21AAF"/>
    <w:rsid w:val="1509ECC9"/>
    <w:rsid w:val="1525181B"/>
    <w:rsid w:val="162B1443"/>
    <w:rsid w:val="167B5B75"/>
    <w:rsid w:val="16BC2870"/>
    <w:rsid w:val="173EE722"/>
    <w:rsid w:val="175538A4"/>
    <w:rsid w:val="185071C4"/>
    <w:rsid w:val="186C0DDA"/>
    <w:rsid w:val="1884F12D"/>
    <w:rsid w:val="19A05A4C"/>
    <w:rsid w:val="19D1B51E"/>
    <w:rsid w:val="1A02F372"/>
    <w:rsid w:val="1A2737E3"/>
    <w:rsid w:val="1A5DE6CF"/>
    <w:rsid w:val="1A932D28"/>
    <w:rsid w:val="1C41F5F6"/>
    <w:rsid w:val="1C53F269"/>
    <w:rsid w:val="1C732D69"/>
    <w:rsid w:val="1C773373"/>
    <w:rsid w:val="1D5A9324"/>
    <w:rsid w:val="1D700821"/>
    <w:rsid w:val="1DD1E5AF"/>
    <w:rsid w:val="1E0C432F"/>
    <w:rsid w:val="2017791C"/>
    <w:rsid w:val="2070455E"/>
    <w:rsid w:val="20744F94"/>
    <w:rsid w:val="20BAAB7A"/>
    <w:rsid w:val="20DB9FDD"/>
    <w:rsid w:val="20E851B7"/>
    <w:rsid w:val="220CAB6E"/>
    <w:rsid w:val="2217B435"/>
    <w:rsid w:val="22601B7A"/>
    <w:rsid w:val="2279C6E3"/>
    <w:rsid w:val="2340BFEF"/>
    <w:rsid w:val="235D14D7"/>
    <w:rsid w:val="23638913"/>
    <w:rsid w:val="23D4A6F2"/>
    <w:rsid w:val="23D9DAD4"/>
    <w:rsid w:val="243254DA"/>
    <w:rsid w:val="24703B1E"/>
    <w:rsid w:val="248FA78E"/>
    <w:rsid w:val="25411ECE"/>
    <w:rsid w:val="25B9B45F"/>
    <w:rsid w:val="2653244A"/>
    <w:rsid w:val="26A99F3C"/>
    <w:rsid w:val="26E38700"/>
    <w:rsid w:val="273A8621"/>
    <w:rsid w:val="28372DF9"/>
    <w:rsid w:val="28547597"/>
    <w:rsid w:val="293E6D90"/>
    <w:rsid w:val="2AC4EF20"/>
    <w:rsid w:val="2ADC684A"/>
    <w:rsid w:val="2B0DCE7C"/>
    <w:rsid w:val="2BA6E6FF"/>
    <w:rsid w:val="2BB82359"/>
    <w:rsid w:val="2BB87135"/>
    <w:rsid w:val="2BC3FF61"/>
    <w:rsid w:val="2C765E64"/>
    <w:rsid w:val="2C78478D"/>
    <w:rsid w:val="2CB96D38"/>
    <w:rsid w:val="2CDBDAA3"/>
    <w:rsid w:val="2CF4B5CC"/>
    <w:rsid w:val="2CFC7323"/>
    <w:rsid w:val="2D150643"/>
    <w:rsid w:val="2D1D24C5"/>
    <w:rsid w:val="2D64F881"/>
    <w:rsid w:val="2D801147"/>
    <w:rsid w:val="2D8E693E"/>
    <w:rsid w:val="2DC3CBEF"/>
    <w:rsid w:val="2E6DA3B5"/>
    <w:rsid w:val="2EFB34DF"/>
    <w:rsid w:val="2F062B73"/>
    <w:rsid w:val="2FF4D71B"/>
    <w:rsid w:val="30284F9C"/>
    <w:rsid w:val="303CA0D8"/>
    <w:rsid w:val="307D1769"/>
    <w:rsid w:val="30D2B2D2"/>
    <w:rsid w:val="3101772E"/>
    <w:rsid w:val="315BF611"/>
    <w:rsid w:val="31951778"/>
    <w:rsid w:val="31D4C7F5"/>
    <w:rsid w:val="32A3C375"/>
    <w:rsid w:val="32C4EEA2"/>
    <w:rsid w:val="33678F98"/>
    <w:rsid w:val="33C3E2FE"/>
    <w:rsid w:val="33E1E400"/>
    <w:rsid w:val="345315BE"/>
    <w:rsid w:val="34547151"/>
    <w:rsid w:val="3454A68A"/>
    <w:rsid w:val="3457A0F9"/>
    <w:rsid w:val="348FB9F6"/>
    <w:rsid w:val="34A08863"/>
    <w:rsid w:val="34AF2856"/>
    <w:rsid w:val="3523F684"/>
    <w:rsid w:val="3586E90A"/>
    <w:rsid w:val="35C73248"/>
    <w:rsid w:val="35EC0174"/>
    <w:rsid w:val="36390042"/>
    <w:rsid w:val="36B30772"/>
    <w:rsid w:val="36C1BB75"/>
    <w:rsid w:val="36CCCCBC"/>
    <w:rsid w:val="36CF4FE6"/>
    <w:rsid w:val="3700CDE6"/>
    <w:rsid w:val="371C92AB"/>
    <w:rsid w:val="372BA8F2"/>
    <w:rsid w:val="3736490F"/>
    <w:rsid w:val="37A66F88"/>
    <w:rsid w:val="37EF0CD5"/>
    <w:rsid w:val="38209646"/>
    <w:rsid w:val="3987F81C"/>
    <w:rsid w:val="398F5005"/>
    <w:rsid w:val="3A41B1E5"/>
    <w:rsid w:val="3BF94F4F"/>
    <w:rsid w:val="3C57274D"/>
    <w:rsid w:val="3C729882"/>
    <w:rsid w:val="3CB1259D"/>
    <w:rsid w:val="3CCE3CAD"/>
    <w:rsid w:val="3D000AD5"/>
    <w:rsid w:val="3D1D9E8A"/>
    <w:rsid w:val="3E2DC3A5"/>
    <w:rsid w:val="3E35D1CB"/>
    <w:rsid w:val="3F0CAE01"/>
    <w:rsid w:val="3F9CAF9A"/>
    <w:rsid w:val="3F9E5896"/>
    <w:rsid w:val="4083F941"/>
    <w:rsid w:val="409ED0C5"/>
    <w:rsid w:val="41161BEE"/>
    <w:rsid w:val="41E1C1E2"/>
    <w:rsid w:val="4230D803"/>
    <w:rsid w:val="426114B7"/>
    <w:rsid w:val="429DB5C4"/>
    <w:rsid w:val="42BB8BBF"/>
    <w:rsid w:val="438B3830"/>
    <w:rsid w:val="43AE56A3"/>
    <w:rsid w:val="43B8D8F3"/>
    <w:rsid w:val="43C98695"/>
    <w:rsid w:val="43E029A7"/>
    <w:rsid w:val="4440341C"/>
    <w:rsid w:val="44435F55"/>
    <w:rsid w:val="4480CD46"/>
    <w:rsid w:val="44C4E0DB"/>
    <w:rsid w:val="45007744"/>
    <w:rsid w:val="45409F33"/>
    <w:rsid w:val="45DB8328"/>
    <w:rsid w:val="4636CE07"/>
    <w:rsid w:val="464F1F99"/>
    <w:rsid w:val="4686D974"/>
    <w:rsid w:val="46A4EA07"/>
    <w:rsid w:val="46FB65F0"/>
    <w:rsid w:val="47806533"/>
    <w:rsid w:val="47B7D35C"/>
    <w:rsid w:val="4811F881"/>
    <w:rsid w:val="4888BF86"/>
    <w:rsid w:val="48C763A8"/>
    <w:rsid w:val="493E34D0"/>
    <w:rsid w:val="4964E0C5"/>
    <w:rsid w:val="49F9530B"/>
    <w:rsid w:val="4A0F7ED9"/>
    <w:rsid w:val="4A3276FD"/>
    <w:rsid w:val="4B0D1A4D"/>
    <w:rsid w:val="4B1FE02A"/>
    <w:rsid w:val="4B6A7F6C"/>
    <w:rsid w:val="4B935986"/>
    <w:rsid w:val="4C60CBE0"/>
    <w:rsid w:val="4C7B2558"/>
    <w:rsid w:val="4DA39D6C"/>
    <w:rsid w:val="4DFDC87F"/>
    <w:rsid w:val="4E44607C"/>
    <w:rsid w:val="4EF1F819"/>
    <w:rsid w:val="4EF4A742"/>
    <w:rsid w:val="4F8F6172"/>
    <w:rsid w:val="4F8FBE38"/>
    <w:rsid w:val="4FC4AAAB"/>
    <w:rsid w:val="4FE9F946"/>
    <w:rsid w:val="500AFD4F"/>
    <w:rsid w:val="50113C79"/>
    <w:rsid w:val="505E56D7"/>
    <w:rsid w:val="50681ED2"/>
    <w:rsid w:val="51FCBFFE"/>
    <w:rsid w:val="522C9499"/>
    <w:rsid w:val="53D88073"/>
    <w:rsid w:val="5441CAFC"/>
    <w:rsid w:val="544EAF2F"/>
    <w:rsid w:val="548E7712"/>
    <w:rsid w:val="54BD81E3"/>
    <w:rsid w:val="55DE1F55"/>
    <w:rsid w:val="55EFF8F5"/>
    <w:rsid w:val="55F61DBF"/>
    <w:rsid w:val="56788202"/>
    <w:rsid w:val="56875F13"/>
    <w:rsid w:val="5699D38A"/>
    <w:rsid w:val="57AEE0C5"/>
    <w:rsid w:val="5817E4CA"/>
    <w:rsid w:val="584B5794"/>
    <w:rsid w:val="5866D065"/>
    <w:rsid w:val="586D139E"/>
    <w:rsid w:val="58946A07"/>
    <w:rsid w:val="59CBF828"/>
    <w:rsid w:val="5A80E64E"/>
    <w:rsid w:val="5AB3A4D9"/>
    <w:rsid w:val="5AE6B5A7"/>
    <w:rsid w:val="5B5A400F"/>
    <w:rsid w:val="5B800A0D"/>
    <w:rsid w:val="5BC60DF9"/>
    <w:rsid w:val="5CC45D1A"/>
    <w:rsid w:val="5CFDD04F"/>
    <w:rsid w:val="5D3C91B0"/>
    <w:rsid w:val="5DBF6BCB"/>
    <w:rsid w:val="5DDBBC76"/>
    <w:rsid w:val="5E1328E0"/>
    <w:rsid w:val="5E2BAD1E"/>
    <w:rsid w:val="5E3BFC76"/>
    <w:rsid w:val="5E98361F"/>
    <w:rsid w:val="5EBE619D"/>
    <w:rsid w:val="5FF89214"/>
    <w:rsid w:val="601184A4"/>
    <w:rsid w:val="60B321D3"/>
    <w:rsid w:val="60F4A8A5"/>
    <w:rsid w:val="610C4303"/>
    <w:rsid w:val="6113FD8C"/>
    <w:rsid w:val="61205D22"/>
    <w:rsid w:val="6156A556"/>
    <w:rsid w:val="61AD61D1"/>
    <w:rsid w:val="61D3E843"/>
    <w:rsid w:val="61DA2925"/>
    <w:rsid w:val="6262D667"/>
    <w:rsid w:val="6335C298"/>
    <w:rsid w:val="63C25985"/>
    <w:rsid w:val="6423AE5D"/>
    <w:rsid w:val="64826191"/>
    <w:rsid w:val="652B2672"/>
    <w:rsid w:val="6595035D"/>
    <w:rsid w:val="675F4EE2"/>
    <w:rsid w:val="67AE5F91"/>
    <w:rsid w:val="67C15BF0"/>
    <w:rsid w:val="67C82A26"/>
    <w:rsid w:val="680BF8F1"/>
    <w:rsid w:val="6818B1CB"/>
    <w:rsid w:val="68C5DD69"/>
    <w:rsid w:val="690E1BD2"/>
    <w:rsid w:val="6917DA89"/>
    <w:rsid w:val="6939FBC4"/>
    <w:rsid w:val="699D13B7"/>
    <w:rsid w:val="69A31D5B"/>
    <w:rsid w:val="69B4F93C"/>
    <w:rsid w:val="6A059012"/>
    <w:rsid w:val="6A0E632D"/>
    <w:rsid w:val="6A14CE37"/>
    <w:rsid w:val="6A8EB61F"/>
    <w:rsid w:val="6A938715"/>
    <w:rsid w:val="6AF84CBC"/>
    <w:rsid w:val="6B0EF6FD"/>
    <w:rsid w:val="6B0FCBB6"/>
    <w:rsid w:val="6BD21ABB"/>
    <w:rsid w:val="6BFC3388"/>
    <w:rsid w:val="6D1093DE"/>
    <w:rsid w:val="6D79F297"/>
    <w:rsid w:val="6DCB08CC"/>
    <w:rsid w:val="6DEAC8E9"/>
    <w:rsid w:val="6E1C0E0D"/>
    <w:rsid w:val="6E2D03B3"/>
    <w:rsid w:val="6E497F56"/>
    <w:rsid w:val="6E8E202E"/>
    <w:rsid w:val="6EF7937D"/>
    <w:rsid w:val="6F616557"/>
    <w:rsid w:val="6F685D84"/>
    <w:rsid w:val="6F9C6EAE"/>
    <w:rsid w:val="6FD6D4F9"/>
    <w:rsid w:val="701F1310"/>
    <w:rsid w:val="70CE0D2B"/>
    <w:rsid w:val="7165EA2B"/>
    <w:rsid w:val="717B2651"/>
    <w:rsid w:val="71EE3318"/>
    <w:rsid w:val="7290D503"/>
    <w:rsid w:val="72A4FA1D"/>
    <w:rsid w:val="736BBD3F"/>
    <w:rsid w:val="739A1DE8"/>
    <w:rsid w:val="743BE601"/>
    <w:rsid w:val="744FDEE0"/>
    <w:rsid w:val="7471BB52"/>
    <w:rsid w:val="74DBAFD5"/>
    <w:rsid w:val="74FDDADC"/>
    <w:rsid w:val="7621A231"/>
    <w:rsid w:val="763FA299"/>
    <w:rsid w:val="767EF9FC"/>
    <w:rsid w:val="76F3B883"/>
    <w:rsid w:val="778FD10D"/>
    <w:rsid w:val="783AA8C3"/>
    <w:rsid w:val="787F2BCE"/>
    <w:rsid w:val="78B39A51"/>
    <w:rsid w:val="793EA1FA"/>
    <w:rsid w:val="7942FF69"/>
    <w:rsid w:val="797C1521"/>
    <w:rsid w:val="7A162C8C"/>
    <w:rsid w:val="7A3E4E56"/>
    <w:rsid w:val="7AFB0226"/>
    <w:rsid w:val="7B29A642"/>
    <w:rsid w:val="7B594716"/>
    <w:rsid w:val="7BBE3BE6"/>
    <w:rsid w:val="7BCB5389"/>
    <w:rsid w:val="7BF50F12"/>
    <w:rsid w:val="7C08E780"/>
    <w:rsid w:val="7C5B515C"/>
    <w:rsid w:val="7C61F64C"/>
    <w:rsid w:val="7C78ECFD"/>
    <w:rsid w:val="7CCD4EA1"/>
    <w:rsid w:val="7D0D9C4F"/>
    <w:rsid w:val="7D1EB68A"/>
    <w:rsid w:val="7D86111F"/>
    <w:rsid w:val="7D8E062D"/>
    <w:rsid w:val="7DE37F57"/>
    <w:rsid w:val="7E094B98"/>
    <w:rsid w:val="7E11ED81"/>
    <w:rsid w:val="7E2849FB"/>
    <w:rsid w:val="7E4D186F"/>
    <w:rsid w:val="7F1DFF60"/>
    <w:rsid w:val="7F5E7F95"/>
    <w:rsid w:val="7FB28B8C"/>
    <w:rsid w:val="7FBA3F0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75A62"/>
  <w15:docId w15:val="{053D5D13-85BE-42F4-9A52-4E26C3124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customStyle="1" w:styleId="msonormal0">
    <w:name w:val="msonormal"/>
    <w:basedOn w:val="Normal"/>
    <w:rsid w:val="000B015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ragraph">
    <w:name w:val="paragraph"/>
    <w:basedOn w:val="Normal"/>
    <w:rsid w:val="000B015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run">
    <w:name w:val="textrun"/>
    <w:basedOn w:val="DefaultParagraphFont"/>
    <w:rsid w:val="000B0156"/>
  </w:style>
  <w:style w:type="character" w:customStyle="1" w:styleId="normaltextrun">
    <w:name w:val="normaltextrun"/>
    <w:basedOn w:val="DefaultParagraphFont"/>
    <w:rsid w:val="000B0156"/>
  </w:style>
  <w:style w:type="character" w:customStyle="1" w:styleId="eop">
    <w:name w:val="eop"/>
    <w:basedOn w:val="DefaultParagraphFont"/>
    <w:rsid w:val="000B0156"/>
  </w:style>
  <w:style w:type="character" w:styleId="Hyperlink">
    <w:name w:val="Hyperlink"/>
    <w:basedOn w:val="DefaultParagraphFont"/>
    <w:uiPriority w:val="99"/>
    <w:unhideWhenUsed/>
    <w:rsid w:val="000B0156"/>
    <w:rPr>
      <w:color w:val="0000FF"/>
      <w:u w:val="single"/>
    </w:rPr>
  </w:style>
  <w:style w:type="character" w:styleId="FollowedHyperlink">
    <w:name w:val="FollowedHyperlink"/>
    <w:basedOn w:val="DefaultParagraphFont"/>
    <w:uiPriority w:val="99"/>
    <w:semiHidden/>
    <w:unhideWhenUsed/>
    <w:rsid w:val="000B0156"/>
    <w:rPr>
      <w:color w:val="800080"/>
      <w:u w:val="single"/>
    </w:rPr>
  </w:style>
  <w:style w:type="character" w:customStyle="1" w:styleId="tabrun">
    <w:name w:val="tabrun"/>
    <w:basedOn w:val="DefaultParagraphFont"/>
    <w:rsid w:val="000B0156"/>
  </w:style>
  <w:style w:type="character" w:customStyle="1" w:styleId="tabchar">
    <w:name w:val="tabchar"/>
    <w:basedOn w:val="DefaultParagraphFont"/>
    <w:rsid w:val="000B0156"/>
  </w:style>
  <w:style w:type="character" w:customStyle="1" w:styleId="tableaderchars">
    <w:name w:val="tableaderchars"/>
    <w:basedOn w:val="DefaultParagraphFont"/>
    <w:rsid w:val="000B0156"/>
  </w:style>
  <w:style w:type="character" w:styleId="UnresolvedMention">
    <w:name w:val="Unresolved Mention"/>
    <w:basedOn w:val="DefaultParagraphFont"/>
    <w:uiPriority w:val="99"/>
    <w:semiHidden/>
    <w:unhideWhenUsed/>
    <w:rsid w:val="000B0156"/>
    <w:rPr>
      <w:color w:val="605E5C"/>
      <w:shd w:val="clear" w:color="auto" w:fill="E1DFDD"/>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2510084">
      <w:bodyDiv w:val="1"/>
      <w:marLeft w:val="0"/>
      <w:marRight w:val="0"/>
      <w:marTop w:val="0"/>
      <w:marBottom w:val="0"/>
      <w:divBdr>
        <w:top w:val="none" w:sz="0" w:space="0" w:color="auto"/>
        <w:left w:val="none" w:sz="0" w:space="0" w:color="auto"/>
        <w:bottom w:val="none" w:sz="0" w:space="0" w:color="auto"/>
        <w:right w:val="none" w:sz="0" w:space="0" w:color="auto"/>
      </w:divBdr>
      <w:divsChild>
        <w:div w:id="776296092">
          <w:marLeft w:val="0"/>
          <w:marRight w:val="0"/>
          <w:marTop w:val="0"/>
          <w:marBottom w:val="0"/>
          <w:divBdr>
            <w:top w:val="none" w:sz="0" w:space="0" w:color="auto"/>
            <w:left w:val="none" w:sz="0" w:space="0" w:color="auto"/>
            <w:bottom w:val="none" w:sz="0" w:space="0" w:color="auto"/>
            <w:right w:val="none" w:sz="0" w:space="0" w:color="auto"/>
          </w:divBdr>
        </w:div>
        <w:div w:id="1317143680">
          <w:marLeft w:val="0"/>
          <w:marRight w:val="0"/>
          <w:marTop w:val="0"/>
          <w:marBottom w:val="0"/>
          <w:divBdr>
            <w:top w:val="none" w:sz="0" w:space="0" w:color="auto"/>
            <w:left w:val="none" w:sz="0" w:space="0" w:color="auto"/>
            <w:bottom w:val="none" w:sz="0" w:space="0" w:color="auto"/>
            <w:right w:val="none" w:sz="0" w:space="0" w:color="auto"/>
          </w:divBdr>
        </w:div>
        <w:div w:id="953446107">
          <w:marLeft w:val="0"/>
          <w:marRight w:val="0"/>
          <w:marTop w:val="0"/>
          <w:marBottom w:val="0"/>
          <w:divBdr>
            <w:top w:val="none" w:sz="0" w:space="0" w:color="auto"/>
            <w:left w:val="none" w:sz="0" w:space="0" w:color="auto"/>
            <w:bottom w:val="none" w:sz="0" w:space="0" w:color="auto"/>
            <w:right w:val="none" w:sz="0" w:space="0" w:color="auto"/>
          </w:divBdr>
        </w:div>
        <w:div w:id="1655137284">
          <w:marLeft w:val="0"/>
          <w:marRight w:val="0"/>
          <w:marTop w:val="0"/>
          <w:marBottom w:val="0"/>
          <w:divBdr>
            <w:top w:val="none" w:sz="0" w:space="0" w:color="auto"/>
            <w:left w:val="none" w:sz="0" w:space="0" w:color="auto"/>
            <w:bottom w:val="none" w:sz="0" w:space="0" w:color="auto"/>
            <w:right w:val="none" w:sz="0" w:space="0" w:color="auto"/>
          </w:divBdr>
        </w:div>
        <w:div w:id="585965996">
          <w:marLeft w:val="0"/>
          <w:marRight w:val="0"/>
          <w:marTop w:val="0"/>
          <w:marBottom w:val="0"/>
          <w:divBdr>
            <w:top w:val="none" w:sz="0" w:space="0" w:color="auto"/>
            <w:left w:val="none" w:sz="0" w:space="0" w:color="auto"/>
            <w:bottom w:val="none" w:sz="0" w:space="0" w:color="auto"/>
            <w:right w:val="none" w:sz="0" w:space="0" w:color="auto"/>
          </w:divBdr>
        </w:div>
        <w:div w:id="1445926036">
          <w:marLeft w:val="0"/>
          <w:marRight w:val="0"/>
          <w:marTop w:val="0"/>
          <w:marBottom w:val="0"/>
          <w:divBdr>
            <w:top w:val="none" w:sz="0" w:space="0" w:color="auto"/>
            <w:left w:val="none" w:sz="0" w:space="0" w:color="auto"/>
            <w:bottom w:val="none" w:sz="0" w:space="0" w:color="auto"/>
            <w:right w:val="none" w:sz="0" w:space="0" w:color="auto"/>
          </w:divBdr>
        </w:div>
        <w:div w:id="205919916">
          <w:marLeft w:val="0"/>
          <w:marRight w:val="0"/>
          <w:marTop w:val="0"/>
          <w:marBottom w:val="0"/>
          <w:divBdr>
            <w:top w:val="none" w:sz="0" w:space="0" w:color="auto"/>
            <w:left w:val="none" w:sz="0" w:space="0" w:color="auto"/>
            <w:bottom w:val="none" w:sz="0" w:space="0" w:color="auto"/>
            <w:right w:val="none" w:sz="0" w:space="0" w:color="auto"/>
          </w:divBdr>
        </w:div>
        <w:div w:id="1675450339">
          <w:marLeft w:val="0"/>
          <w:marRight w:val="0"/>
          <w:marTop w:val="0"/>
          <w:marBottom w:val="0"/>
          <w:divBdr>
            <w:top w:val="none" w:sz="0" w:space="0" w:color="auto"/>
            <w:left w:val="none" w:sz="0" w:space="0" w:color="auto"/>
            <w:bottom w:val="none" w:sz="0" w:space="0" w:color="auto"/>
            <w:right w:val="none" w:sz="0" w:space="0" w:color="auto"/>
          </w:divBdr>
        </w:div>
        <w:div w:id="1178352614">
          <w:marLeft w:val="0"/>
          <w:marRight w:val="0"/>
          <w:marTop w:val="0"/>
          <w:marBottom w:val="0"/>
          <w:divBdr>
            <w:top w:val="none" w:sz="0" w:space="0" w:color="auto"/>
            <w:left w:val="none" w:sz="0" w:space="0" w:color="auto"/>
            <w:bottom w:val="none" w:sz="0" w:space="0" w:color="auto"/>
            <w:right w:val="none" w:sz="0" w:space="0" w:color="auto"/>
          </w:divBdr>
        </w:div>
        <w:div w:id="2087535550">
          <w:marLeft w:val="0"/>
          <w:marRight w:val="0"/>
          <w:marTop w:val="0"/>
          <w:marBottom w:val="0"/>
          <w:divBdr>
            <w:top w:val="none" w:sz="0" w:space="0" w:color="auto"/>
            <w:left w:val="none" w:sz="0" w:space="0" w:color="auto"/>
            <w:bottom w:val="none" w:sz="0" w:space="0" w:color="auto"/>
            <w:right w:val="none" w:sz="0" w:space="0" w:color="auto"/>
          </w:divBdr>
        </w:div>
        <w:div w:id="2091804808">
          <w:marLeft w:val="0"/>
          <w:marRight w:val="0"/>
          <w:marTop w:val="0"/>
          <w:marBottom w:val="0"/>
          <w:divBdr>
            <w:top w:val="none" w:sz="0" w:space="0" w:color="auto"/>
            <w:left w:val="none" w:sz="0" w:space="0" w:color="auto"/>
            <w:bottom w:val="none" w:sz="0" w:space="0" w:color="auto"/>
            <w:right w:val="none" w:sz="0" w:space="0" w:color="auto"/>
          </w:divBdr>
        </w:div>
        <w:div w:id="1451123113">
          <w:marLeft w:val="0"/>
          <w:marRight w:val="0"/>
          <w:marTop w:val="0"/>
          <w:marBottom w:val="0"/>
          <w:divBdr>
            <w:top w:val="none" w:sz="0" w:space="0" w:color="auto"/>
            <w:left w:val="none" w:sz="0" w:space="0" w:color="auto"/>
            <w:bottom w:val="none" w:sz="0" w:space="0" w:color="auto"/>
            <w:right w:val="none" w:sz="0" w:space="0" w:color="auto"/>
          </w:divBdr>
        </w:div>
        <w:div w:id="1015349374">
          <w:marLeft w:val="0"/>
          <w:marRight w:val="0"/>
          <w:marTop w:val="0"/>
          <w:marBottom w:val="0"/>
          <w:divBdr>
            <w:top w:val="none" w:sz="0" w:space="0" w:color="auto"/>
            <w:left w:val="none" w:sz="0" w:space="0" w:color="auto"/>
            <w:bottom w:val="none" w:sz="0" w:space="0" w:color="auto"/>
            <w:right w:val="none" w:sz="0" w:space="0" w:color="auto"/>
          </w:divBdr>
        </w:div>
        <w:div w:id="1834907657">
          <w:marLeft w:val="0"/>
          <w:marRight w:val="0"/>
          <w:marTop w:val="0"/>
          <w:marBottom w:val="0"/>
          <w:divBdr>
            <w:top w:val="none" w:sz="0" w:space="0" w:color="auto"/>
            <w:left w:val="none" w:sz="0" w:space="0" w:color="auto"/>
            <w:bottom w:val="none" w:sz="0" w:space="0" w:color="auto"/>
            <w:right w:val="none" w:sz="0" w:space="0" w:color="auto"/>
          </w:divBdr>
        </w:div>
        <w:div w:id="408816686">
          <w:marLeft w:val="0"/>
          <w:marRight w:val="0"/>
          <w:marTop w:val="0"/>
          <w:marBottom w:val="0"/>
          <w:divBdr>
            <w:top w:val="none" w:sz="0" w:space="0" w:color="auto"/>
            <w:left w:val="none" w:sz="0" w:space="0" w:color="auto"/>
            <w:bottom w:val="none" w:sz="0" w:space="0" w:color="auto"/>
            <w:right w:val="none" w:sz="0" w:space="0" w:color="auto"/>
          </w:divBdr>
        </w:div>
        <w:div w:id="1262642935">
          <w:marLeft w:val="0"/>
          <w:marRight w:val="0"/>
          <w:marTop w:val="0"/>
          <w:marBottom w:val="0"/>
          <w:divBdr>
            <w:top w:val="none" w:sz="0" w:space="0" w:color="auto"/>
            <w:left w:val="none" w:sz="0" w:space="0" w:color="auto"/>
            <w:bottom w:val="none" w:sz="0" w:space="0" w:color="auto"/>
            <w:right w:val="none" w:sz="0" w:space="0" w:color="auto"/>
          </w:divBdr>
        </w:div>
        <w:div w:id="1218660941">
          <w:marLeft w:val="0"/>
          <w:marRight w:val="0"/>
          <w:marTop w:val="0"/>
          <w:marBottom w:val="0"/>
          <w:divBdr>
            <w:top w:val="none" w:sz="0" w:space="0" w:color="auto"/>
            <w:left w:val="none" w:sz="0" w:space="0" w:color="auto"/>
            <w:bottom w:val="none" w:sz="0" w:space="0" w:color="auto"/>
            <w:right w:val="none" w:sz="0" w:space="0" w:color="auto"/>
          </w:divBdr>
        </w:div>
        <w:div w:id="2100447005">
          <w:marLeft w:val="0"/>
          <w:marRight w:val="0"/>
          <w:marTop w:val="0"/>
          <w:marBottom w:val="0"/>
          <w:divBdr>
            <w:top w:val="none" w:sz="0" w:space="0" w:color="auto"/>
            <w:left w:val="none" w:sz="0" w:space="0" w:color="auto"/>
            <w:bottom w:val="none" w:sz="0" w:space="0" w:color="auto"/>
            <w:right w:val="none" w:sz="0" w:space="0" w:color="auto"/>
          </w:divBdr>
        </w:div>
        <w:div w:id="1205873362">
          <w:marLeft w:val="0"/>
          <w:marRight w:val="0"/>
          <w:marTop w:val="0"/>
          <w:marBottom w:val="0"/>
          <w:divBdr>
            <w:top w:val="none" w:sz="0" w:space="0" w:color="auto"/>
            <w:left w:val="none" w:sz="0" w:space="0" w:color="auto"/>
            <w:bottom w:val="none" w:sz="0" w:space="0" w:color="auto"/>
            <w:right w:val="none" w:sz="0" w:space="0" w:color="auto"/>
          </w:divBdr>
        </w:div>
        <w:div w:id="1196038086">
          <w:marLeft w:val="0"/>
          <w:marRight w:val="0"/>
          <w:marTop w:val="0"/>
          <w:marBottom w:val="0"/>
          <w:divBdr>
            <w:top w:val="none" w:sz="0" w:space="0" w:color="auto"/>
            <w:left w:val="none" w:sz="0" w:space="0" w:color="auto"/>
            <w:bottom w:val="none" w:sz="0" w:space="0" w:color="auto"/>
            <w:right w:val="none" w:sz="0" w:space="0" w:color="auto"/>
          </w:divBdr>
        </w:div>
        <w:div w:id="126361347">
          <w:marLeft w:val="0"/>
          <w:marRight w:val="0"/>
          <w:marTop w:val="0"/>
          <w:marBottom w:val="0"/>
          <w:divBdr>
            <w:top w:val="none" w:sz="0" w:space="0" w:color="auto"/>
            <w:left w:val="none" w:sz="0" w:space="0" w:color="auto"/>
            <w:bottom w:val="none" w:sz="0" w:space="0" w:color="auto"/>
            <w:right w:val="none" w:sz="0" w:space="0" w:color="auto"/>
          </w:divBdr>
        </w:div>
        <w:div w:id="1050761053">
          <w:marLeft w:val="0"/>
          <w:marRight w:val="0"/>
          <w:marTop w:val="0"/>
          <w:marBottom w:val="0"/>
          <w:divBdr>
            <w:top w:val="none" w:sz="0" w:space="0" w:color="auto"/>
            <w:left w:val="none" w:sz="0" w:space="0" w:color="auto"/>
            <w:bottom w:val="none" w:sz="0" w:space="0" w:color="auto"/>
            <w:right w:val="none" w:sz="0" w:space="0" w:color="auto"/>
          </w:divBdr>
        </w:div>
        <w:div w:id="713774002">
          <w:marLeft w:val="0"/>
          <w:marRight w:val="0"/>
          <w:marTop w:val="0"/>
          <w:marBottom w:val="0"/>
          <w:divBdr>
            <w:top w:val="none" w:sz="0" w:space="0" w:color="auto"/>
            <w:left w:val="none" w:sz="0" w:space="0" w:color="auto"/>
            <w:bottom w:val="none" w:sz="0" w:space="0" w:color="auto"/>
            <w:right w:val="none" w:sz="0" w:space="0" w:color="auto"/>
          </w:divBdr>
        </w:div>
        <w:div w:id="1858809840">
          <w:marLeft w:val="0"/>
          <w:marRight w:val="0"/>
          <w:marTop w:val="0"/>
          <w:marBottom w:val="0"/>
          <w:divBdr>
            <w:top w:val="none" w:sz="0" w:space="0" w:color="auto"/>
            <w:left w:val="none" w:sz="0" w:space="0" w:color="auto"/>
            <w:bottom w:val="none" w:sz="0" w:space="0" w:color="auto"/>
            <w:right w:val="none" w:sz="0" w:space="0" w:color="auto"/>
          </w:divBdr>
        </w:div>
        <w:div w:id="812715373">
          <w:marLeft w:val="0"/>
          <w:marRight w:val="0"/>
          <w:marTop w:val="0"/>
          <w:marBottom w:val="0"/>
          <w:divBdr>
            <w:top w:val="none" w:sz="0" w:space="0" w:color="auto"/>
            <w:left w:val="none" w:sz="0" w:space="0" w:color="auto"/>
            <w:bottom w:val="none" w:sz="0" w:space="0" w:color="auto"/>
            <w:right w:val="none" w:sz="0" w:space="0" w:color="auto"/>
          </w:divBdr>
        </w:div>
        <w:div w:id="434206974">
          <w:marLeft w:val="0"/>
          <w:marRight w:val="0"/>
          <w:marTop w:val="0"/>
          <w:marBottom w:val="0"/>
          <w:divBdr>
            <w:top w:val="none" w:sz="0" w:space="0" w:color="auto"/>
            <w:left w:val="none" w:sz="0" w:space="0" w:color="auto"/>
            <w:bottom w:val="none" w:sz="0" w:space="0" w:color="auto"/>
            <w:right w:val="none" w:sz="0" w:space="0" w:color="auto"/>
          </w:divBdr>
        </w:div>
        <w:div w:id="1407455660">
          <w:marLeft w:val="0"/>
          <w:marRight w:val="0"/>
          <w:marTop w:val="0"/>
          <w:marBottom w:val="0"/>
          <w:divBdr>
            <w:top w:val="none" w:sz="0" w:space="0" w:color="auto"/>
            <w:left w:val="none" w:sz="0" w:space="0" w:color="auto"/>
            <w:bottom w:val="none" w:sz="0" w:space="0" w:color="auto"/>
            <w:right w:val="none" w:sz="0" w:space="0" w:color="auto"/>
          </w:divBdr>
        </w:div>
        <w:div w:id="2077045917">
          <w:marLeft w:val="0"/>
          <w:marRight w:val="0"/>
          <w:marTop w:val="0"/>
          <w:marBottom w:val="0"/>
          <w:divBdr>
            <w:top w:val="none" w:sz="0" w:space="0" w:color="auto"/>
            <w:left w:val="none" w:sz="0" w:space="0" w:color="auto"/>
            <w:bottom w:val="none" w:sz="0" w:space="0" w:color="auto"/>
            <w:right w:val="none" w:sz="0" w:space="0" w:color="auto"/>
          </w:divBdr>
        </w:div>
        <w:div w:id="10643570">
          <w:marLeft w:val="0"/>
          <w:marRight w:val="0"/>
          <w:marTop w:val="0"/>
          <w:marBottom w:val="0"/>
          <w:divBdr>
            <w:top w:val="none" w:sz="0" w:space="0" w:color="auto"/>
            <w:left w:val="none" w:sz="0" w:space="0" w:color="auto"/>
            <w:bottom w:val="none" w:sz="0" w:space="0" w:color="auto"/>
            <w:right w:val="none" w:sz="0" w:space="0" w:color="auto"/>
          </w:divBdr>
        </w:div>
        <w:div w:id="2058312256">
          <w:marLeft w:val="0"/>
          <w:marRight w:val="0"/>
          <w:marTop w:val="0"/>
          <w:marBottom w:val="0"/>
          <w:divBdr>
            <w:top w:val="none" w:sz="0" w:space="0" w:color="auto"/>
            <w:left w:val="none" w:sz="0" w:space="0" w:color="auto"/>
            <w:bottom w:val="none" w:sz="0" w:space="0" w:color="auto"/>
            <w:right w:val="none" w:sz="0" w:space="0" w:color="auto"/>
          </w:divBdr>
        </w:div>
        <w:div w:id="1663197324">
          <w:marLeft w:val="0"/>
          <w:marRight w:val="0"/>
          <w:marTop w:val="0"/>
          <w:marBottom w:val="0"/>
          <w:divBdr>
            <w:top w:val="none" w:sz="0" w:space="0" w:color="auto"/>
            <w:left w:val="none" w:sz="0" w:space="0" w:color="auto"/>
            <w:bottom w:val="none" w:sz="0" w:space="0" w:color="auto"/>
            <w:right w:val="none" w:sz="0" w:space="0" w:color="auto"/>
          </w:divBdr>
        </w:div>
        <w:div w:id="2138645641">
          <w:marLeft w:val="0"/>
          <w:marRight w:val="0"/>
          <w:marTop w:val="0"/>
          <w:marBottom w:val="0"/>
          <w:divBdr>
            <w:top w:val="none" w:sz="0" w:space="0" w:color="auto"/>
            <w:left w:val="none" w:sz="0" w:space="0" w:color="auto"/>
            <w:bottom w:val="none" w:sz="0" w:space="0" w:color="auto"/>
            <w:right w:val="none" w:sz="0" w:space="0" w:color="auto"/>
          </w:divBdr>
        </w:div>
        <w:div w:id="947542322">
          <w:marLeft w:val="0"/>
          <w:marRight w:val="0"/>
          <w:marTop w:val="0"/>
          <w:marBottom w:val="0"/>
          <w:divBdr>
            <w:top w:val="none" w:sz="0" w:space="0" w:color="auto"/>
            <w:left w:val="none" w:sz="0" w:space="0" w:color="auto"/>
            <w:bottom w:val="none" w:sz="0" w:space="0" w:color="auto"/>
            <w:right w:val="none" w:sz="0" w:space="0" w:color="auto"/>
          </w:divBdr>
        </w:div>
        <w:div w:id="1816288178">
          <w:marLeft w:val="0"/>
          <w:marRight w:val="0"/>
          <w:marTop w:val="0"/>
          <w:marBottom w:val="0"/>
          <w:divBdr>
            <w:top w:val="none" w:sz="0" w:space="0" w:color="auto"/>
            <w:left w:val="none" w:sz="0" w:space="0" w:color="auto"/>
            <w:bottom w:val="none" w:sz="0" w:space="0" w:color="auto"/>
            <w:right w:val="none" w:sz="0" w:space="0" w:color="auto"/>
          </w:divBdr>
        </w:div>
        <w:div w:id="1529946129">
          <w:marLeft w:val="0"/>
          <w:marRight w:val="0"/>
          <w:marTop w:val="0"/>
          <w:marBottom w:val="0"/>
          <w:divBdr>
            <w:top w:val="none" w:sz="0" w:space="0" w:color="auto"/>
            <w:left w:val="none" w:sz="0" w:space="0" w:color="auto"/>
            <w:bottom w:val="none" w:sz="0" w:space="0" w:color="auto"/>
            <w:right w:val="none" w:sz="0" w:space="0" w:color="auto"/>
          </w:divBdr>
        </w:div>
        <w:div w:id="720595774">
          <w:marLeft w:val="0"/>
          <w:marRight w:val="0"/>
          <w:marTop w:val="0"/>
          <w:marBottom w:val="0"/>
          <w:divBdr>
            <w:top w:val="none" w:sz="0" w:space="0" w:color="auto"/>
            <w:left w:val="none" w:sz="0" w:space="0" w:color="auto"/>
            <w:bottom w:val="none" w:sz="0" w:space="0" w:color="auto"/>
            <w:right w:val="none" w:sz="0" w:space="0" w:color="auto"/>
          </w:divBdr>
        </w:div>
        <w:div w:id="1296638737">
          <w:marLeft w:val="0"/>
          <w:marRight w:val="0"/>
          <w:marTop w:val="0"/>
          <w:marBottom w:val="0"/>
          <w:divBdr>
            <w:top w:val="none" w:sz="0" w:space="0" w:color="auto"/>
            <w:left w:val="none" w:sz="0" w:space="0" w:color="auto"/>
            <w:bottom w:val="none" w:sz="0" w:space="0" w:color="auto"/>
            <w:right w:val="none" w:sz="0" w:space="0" w:color="auto"/>
          </w:divBdr>
        </w:div>
        <w:div w:id="1433819003">
          <w:marLeft w:val="0"/>
          <w:marRight w:val="0"/>
          <w:marTop w:val="0"/>
          <w:marBottom w:val="0"/>
          <w:divBdr>
            <w:top w:val="none" w:sz="0" w:space="0" w:color="auto"/>
            <w:left w:val="none" w:sz="0" w:space="0" w:color="auto"/>
            <w:bottom w:val="none" w:sz="0" w:space="0" w:color="auto"/>
            <w:right w:val="none" w:sz="0" w:space="0" w:color="auto"/>
          </w:divBdr>
        </w:div>
        <w:div w:id="852107399">
          <w:marLeft w:val="0"/>
          <w:marRight w:val="0"/>
          <w:marTop w:val="0"/>
          <w:marBottom w:val="0"/>
          <w:divBdr>
            <w:top w:val="none" w:sz="0" w:space="0" w:color="auto"/>
            <w:left w:val="none" w:sz="0" w:space="0" w:color="auto"/>
            <w:bottom w:val="none" w:sz="0" w:space="0" w:color="auto"/>
            <w:right w:val="none" w:sz="0" w:space="0" w:color="auto"/>
          </w:divBdr>
        </w:div>
        <w:div w:id="1892881583">
          <w:marLeft w:val="0"/>
          <w:marRight w:val="0"/>
          <w:marTop w:val="0"/>
          <w:marBottom w:val="0"/>
          <w:divBdr>
            <w:top w:val="none" w:sz="0" w:space="0" w:color="auto"/>
            <w:left w:val="none" w:sz="0" w:space="0" w:color="auto"/>
            <w:bottom w:val="none" w:sz="0" w:space="0" w:color="auto"/>
            <w:right w:val="none" w:sz="0" w:space="0" w:color="auto"/>
          </w:divBdr>
        </w:div>
        <w:div w:id="2027630934">
          <w:marLeft w:val="0"/>
          <w:marRight w:val="0"/>
          <w:marTop w:val="0"/>
          <w:marBottom w:val="0"/>
          <w:divBdr>
            <w:top w:val="none" w:sz="0" w:space="0" w:color="auto"/>
            <w:left w:val="none" w:sz="0" w:space="0" w:color="auto"/>
            <w:bottom w:val="none" w:sz="0" w:space="0" w:color="auto"/>
            <w:right w:val="none" w:sz="0" w:space="0" w:color="auto"/>
          </w:divBdr>
        </w:div>
        <w:div w:id="1179848417">
          <w:marLeft w:val="0"/>
          <w:marRight w:val="0"/>
          <w:marTop w:val="0"/>
          <w:marBottom w:val="0"/>
          <w:divBdr>
            <w:top w:val="none" w:sz="0" w:space="0" w:color="auto"/>
            <w:left w:val="none" w:sz="0" w:space="0" w:color="auto"/>
            <w:bottom w:val="none" w:sz="0" w:space="0" w:color="auto"/>
            <w:right w:val="none" w:sz="0" w:space="0" w:color="auto"/>
          </w:divBdr>
        </w:div>
        <w:div w:id="1503005712">
          <w:marLeft w:val="0"/>
          <w:marRight w:val="0"/>
          <w:marTop w:val="0"/>
          <w:marBottom w:val="0"/>
          <w:divBdr>
            <w:top w:val="none" w:sz="0" w:space="0" w:color="auto"/>
            <w:left w:val="none" w:sz="0" w:space="0" w:color="auto"/>
            <w:bottom w:val="none" w:sz="0" w:space="0" w:color="auto"/>
            <w:right w:val="none" w:sz="0" w:space="0" w:color="auto"/>
          </w:divBdr>
        </w:div>
        <w:div w:id="1511985854">
          <w:marLeft w:val="0"/>
          <w:marRight w:val="0"/>
          <w:marTop w:val="0"/>
          <w:marBottom w:val="0"/>
          <w:divBdr>
            <w:top w:val="none" w:sz="0" w:space="0" w:color="auto"/>
            <w:left w:val="none" w:sz="0" w:space="0" w:color="auto"/>
            <w:bottom w:val="none" w:sz="0" w:space="0" w:color="auto"/>
            <w:right w:val="none" w:sz="0" w:space="0" w:color="auto"/>
          </w:divBdr>
        </w:div>
        <w:div w:id="377509266">
          <w:marLeft w:val="0"/>
          <w:marRight w:val="0"/>
          <w:marTop w:val="0"/>
          <w:marBottom w:val="0"/>
          <w:divBdr>
            <w:top w:val="none" w:sz="0" w:space="0" w:color="auto"/>
            <w:left w:val="none" w:sz="0" w:space="0" w:color="auto"/>
            <w:bottom w:val="none" w:sz="0" w:space="0" w:color="auto"/>
            <w:right w:val="none" w:sz="0" w:space="0" w:color="auto"/>
          </w:divBdr>
        </w:div>
        <w:div w:id="1842968489">
          <w:marLeft w:val="0"/>
          <w:marRight w:val="0"/>
          <w:marTop w:val="0"/>
          <w:marBottom w:val="0"/>
          <w:divBdr>
            <w:top w:val="none" w:sz="0" w:space="0" w:color="auto"/>
            <w:left w:val="none" w:sz="0" w:space="0" w:color="auto"/>
            <w:bottom w:val="none" w:sz="0" w:space="0" w:color="auto"/>
            <w:right w:val="none" w:sz="0" w:space="0" w:color="auto"/>
          </w:divBdr>
        </w:div>
        <w:div w:id="1189874407">
          <w:marLeft w:val="0"/>
          <w:marRight w:val="0"/>
          <w:marTop w:val="0"/>
          <w:marBottom w:val="0"/>
          <w:divBdr>
            <w:top w:val="none" w:sz="0" w:space="0" w:color="auto"/>
            <w:left w:val="none" w:sz="0" w:space="0" w:color="auto"/>
            <w:bottom w:val="none" w:sz="0" w:space="0" w:color="auto"/>
            <w:right w:val="none" w:sz="0" w:space="0" w:color="auto"/>
          </w:divBdr>
        </w:div>
        <w:div w:id="1286502504">
          <w:marLeft w:val="0"/>
          <w:marRight w:val="0"/>
          <w:marTop w:val="0"/>
          <w:marBottom w:val="0"/>
          <w:divBdr>
            <w:top w:val="none" w:sz="0" w:space="0" w:color="auto"/>
            <w:left w:val="none" w:sz="0" w:space="0" w:color="auto"/>
            <w:bottom w:val="none" w:sz="0" w:space="0" w:color="auto"/>
            <w:right w:val="none" w:sz="0" w:space="0" w:color="auto"/>
          </w:divBdr>
        </w:div>
        <w:div w:id="1448813880">
          <w:marLeft w:val="0"/>
          <w:marRight w:val="0"/>
          <w:marTop w:val="0"/>
          <w:marBottom w:val="0"/>
          <w:divBdr>
            <w:top w:val="none" w:sz="0" w:space="0" w:color="auto"/>
            <w:left w:val="none" w:sz="0" w:space="0" w:color="auto"/>
            <w:bottom w:val="none" w:sz="0" w:space="0" w:color="auto"/>
            <w:right w:val="none" w:sz="0" w:space="0" w:color="auto"/>
          </w:divBdr>
        </w:div>
        <w:div w:id="2041666600">
          <w:marLeft w:val="0"/>
          <w:marRight w:val="0"/>
          <w:marTop w:val="0"/>
          <w:marBottom w:val="0"/>
          <w:divBdr>
            <w:top w:val="none" w:sz="0" w:space="0" w:color="auto"/>
            <w:left w:val="none" w:sz="0" w:space="0" w:color="auto"/>
            <w:bottom w:val="none" w:sz="0" w:space="0" w:color="auto"/>
            <w:right w:val="none" w:sz="0" w:space="0" w:color="auto"/>
          </w:divBdr>
        </w:div>
        <w:div w:id="240677277">
          <w:marLeft w:val="0"/>
          <w:marRight w:val="0"/>
          <w:marTop w:val="0"/>
          <w:marBottom w:val="0"/>
          <w:divBdr>
            <w:top w:val="none" w:sz="0" w:space="0" w:color="auto"/>
            <w:left w:val="none" w:sz="0" w:space="0" w:color="auto"/>
            <w:bottom w:val="none" w:sz="0" w:space="0" w:color="auto"/>
            <w:right w:val="none" w:sz="0" w:space="0" w:color="auto"/>
          </w:divBdr>
        </w:div>
        <w:div w:id="1246036879">
          <w:marLeft w:val="0"/>
          <w:marRight w:val="0"/>
          <w:marTop w:val="0"/>
          <w:marBottom w:val="0"/>
          <w:divBdr>
            <w:top w:val="none" w:sz="0" w:space="0" w:color="auto"/>
            <w:left w:val="none" w:sz="0" w:space="0" w:color="auto"/>
            <w:bottom w:val="none" w:sz="0" w:space="0" w:color="auto"/>
            <w:right w:val="none" w:sz="0" w:space="0" w:color="auto"/>
          </w:divBdr>
        </w:div>
        <w:div w:id="71851735">
          <w:marLeft w:val="0"/>
          <w:marRight w:val="0"/>
          <w:marTop w:val="0"/>
          <w:marBottom w:val="0"/>
          <w:divBdr>
            <w:top w:val="none" w:sz="0" w:space="0" w:color="auto"/>
            <w:left w:val="none" w:sz="0" w:space="0" w:color="auto"/>
            <w:bottom w:val="none" w:sz="0" w:space="0" w:color="auto"/>
            <w:right w:val="none" w:sz="0" w:space="0" w:color="auto"/>
          </w:divBdr>
        </w:div>
        <w:div w:id="2127312200">
          <w:marLeft w:val="0"/>
          <w:marRight w:val="0"/>
          <w:marTop w:val="0"/>
          <w:marBottom w:val="0"/>
          <w:divBdr>
            <w:top w:val="none" w:sz="0" w:space="0" w:color="auto"/>
            <w:left w:val="none" w:sz="0" w:space="0" w:color="auto"/>
            <w:bottom w:val="none" w:sz="0" w:space="0" w:color="auto"/>
            <w:right w:val="none" w:sz="0" w:space="0" w:color="auto"/>
          </w:divBdr>
        </w:div>
        <w:div w:id="754126894">
          <w:marLeft w:val="0"/>
          <w:marRight w:val="0"/>
          <w:marTop w:val="0"/>
          <w:marBottom w:val="0"/>
          <w:divBdr>
            <w:top w:val="none" w:sz="0" w:space="0" w:color="auto"/>
            <w:left w:val="none" w:sz="0" w:space="0" w:color="auto"/>
            <w:bottom w:val="none" w:sz="0" w:space="0" w:color="auto"/>
            <w:right w:val="none" w:sz="0" w:space="0" w:color="auto"/>
          </w:divBdr>
        </w:div>
        <w:div w:id="937131475">
          <w:marLeft w:val="0"/>
          <w:marRight w:val="0"/>
          <w:marTop w:val="0"/>
          <w:marBottom w:val="0"/>
          <w:divBdr>
            <w:top w:val="none" w:sz="0" w:space="0" w:color="auto"/>
            <w:left w:val="none" w:sz="0" w:space="0" w:color="auto"/>
            <w:bottom w:val="none" w:sz="0" w:space="0" w:color="auto"/>
            <w:right w:val="none" w:sz="0" w:space="0" w:color="auto"/>
          </w:divBdr>
        </w:div>
        <w:div w:id="1196579386">
          <w:marLeft w:val="0"/>
          <w:marRight w:val="0"/>
          <w:marTop w:val="0"/>
          <w:marBottom w:val="0"/>
          <w:divBdr>
            <w:top w:val="none" w:sz="0" w:space="0" w:color="auto"/>
            <w:left w:val="none" w:sz="0" w:space="0" w:color="auto"/>
            <w:bottom w:val="none" w:sz="0" w:space="0" w:color="auto"/>
            <w:right w:val="none" w:sz="0" w:space="0" w:color="auto"/>
          </w:divBdr>
        </w:div>
        <w:div w:id="113914569">
          <w:marLeft w:val="0"/>
          <w:marRight w:val="0"/>
          <w:marTop w:val="0"/>
          <w:marBottom w:val="0"/>
          <w:divBdr>
            <w:top w:val="none" w:sz="0" w:space="0" w:color="auto"/>
            <w:left w:val="none" w:sz="0" w:space="0" w:color="auto"/>
            <w:bottom w:val="none" w:sz="0" w:space="0" w:color="auto"/>
            <w:right w:val="none" w:sz="0" w:space="0" w:color="auto"/>
          </w:divBdr>
        </w:div>
        <w:div w:id="1755279898">
          <w:marLeft w:val="0"/>
          <w:marRight w:val="0"/>
          <w:marTop w:val="0"/>
          <w:marBottom w:val="0"/>
          <w:divBdr>
            <w:top w:val="none" w:sz="0" w:space="0" w:color="auto"/>
            <w:left w:val="none" w:sz="0" w:space="0" w:color="auto"/>
            <w:bottom w:val="none" w:sz="0" w:space="0" w:color="auto"/>
            <w:right w:val="none" w:sz="0" w:space="0" w:color="auto"/>
          </w:divBdr>
        </w:div>
        <w:div w:id="1809740846">
          <w:marLeft w:val="0"/>
          <w:marRight w:val="0"/>
          <w:marTop w:val="0"/>
          <w:marBottom w:val="0"/>
          <w:divBdr>
            <w:top w:val="none" w:sz="0" w:space="0" w:color="auto"/>
            <w:left w:val="none" w:sz="0" w:space="0" w:color="auto"/>
            <w:bottom w:val="none" w:sz="0" w:space="0" w:color="auto"/>
            <w:right w:val="none" w:sz="0" w:space="0" w:color="auto"/>
          </w:divBdr>
        </w:div>
        <w:div w:id="605113936">
          <w:marLeft w:val="0"/>
          <w:marRight w:val="0"/>
          <w:marTop w:val="0"/>
          <w:marBottom w:val="0"/>
          <w:divBdr>
            <w:top w:val="none" w:sz="0" w:space="0" w:color="auto"/>
            <w:left w:val="none" w:sz="0" w:space="0" w:color="auto"/>
            <w:bottom w:val="none" w:sz="0" w:space="0" w:color="auto"/>
            <w:right w:val="none" w:sz="0" w:space="0" w:color="auto"/>
          </w:divBdr>
        </w:div>
        <w:div w:id="1928926718">
          <w:marLeft w:val="0"/>
          <w:marRight w:val="0"/>
          <w:marTop w:val="0"/>
          <w:marBottom w:val="0"/>
          <w:divBdr>
            <w:top w:val="none" w:sz="0" w:space="0" w:color="auto"/>
            <w:left w:val="none" w:sz="0" w:space="0" w:color="auto"/>
            <w:bottom w:val="none" w:sz="0" w:space="0" w:color="auto"/>
            <w:right w:val="none" w:sz="0" w:space="0" w:color="auto"/>
          </w:divBdr>
        </w:div>
        <w:div w:id="1086457490">
          <w:marLeft w:val="0"/>
          <w:marRight w:val="0"/>
          <w:marTop w:val="0"/>
          <w:marBottom w:val="0"/>
          <w:divBdr>
            <w:top w:val="none" w:sz="0" w:space="0" w:color="auto"/>
            <w:left w:val="none" w:sz="0" w:space="0" w:color="auto"/>
            <w:bottom w:val="none" w:sz="0" w:space="0" w:color="auto"/>
            <w:right w:val="none" w:sz="0" w:space="0" w:color="auto"/>
          </w:divBdr>
        </w:div>
        <w:div w:id="647129191">
          <w:marLeft w:val="0"/>
          <w:marRight w:val="0"/>
          <w:marTop w:val="0"/>
          <w:marBottom w:val="0"/>
          <w:divBdr>
            <w:top w:val="none" w:sz="0" w:space="0" w:color="auto"/>
            <w:left w:val="none" w:sz="0" w:space="0" w:color="auto"/>
            <w:bottom w:val="none" w:sz="0" w:space="0" w:color="auto"/>
            <w:right w:val="none" w:sz="0" w:space="0" w:color="auto"/>
          </w:divBdr>
        </w:div>
        <w:div w:id="1300456729">
          <w:marLeft w:val="0"/>
          <w:marRight w:val="0"/>
          <w:marTop w:val="0"/>
          <w:marBottom w:val="0"/>
          <w:divBdr>
            <w:top w:val="none" w:sz="0" w:space="0" w:color="auto"/>
            <w:left w:val="none" w:sz="0" w:space="0" w:color="auto"/>
            <w:bottom w:val="none" w:sz="0" w:space="0" w:color="auto"/>
            <w:right w:val="none" w:sz="0" w:space="0" w:color="auto"/>
          </w:divBdr>
        </w:div>
        <w:div w:id="196966883">
          <w:marLeft w:val="0"/>
          <w:marRight w:val="0"/>
          <w:marTop w:val="0"/>
          <w:marBottom w:val="0"/>
          <w:divBdr>
            <w:top w:val="none" w:sz="0" w:space="0" w:color="auto"/>
            <w:left w:val="none" w:sz="0" w:space="0" w:color="auto"/>
            <w:bottom w:val="none" w:sz="0" w:space="0" w:color="auto"/>
            <w:right w:val="none" w:sz="0" w:space="0" w:color="auto"/>
          </w:divBdr>
        </w:div>
        <w:div w:id="660039425">
          <w:marLeft w:val="0"/>
          <w:marRight w:val="0"/>
          <w:marTop w:val="0"/>
          <w:marBottom w:val="0"/>
          <w:divBdr>
            <w:top w:val="none" w:sz="0" w:space="0" w:color="auto"/>
            <w:left w:val="none" w:sz="0" w:space="0" w:color="auto"/>
            <w:bottom w:val="none" w:sz="0" w:space="0" w:color="auto"/>
            <w:right w:val="none" w:sz="0" w:space="0" w:color="auto"/>
          </w:divBdr>
        </w:div>
        <w:div w:id="1222136770">
          <w:marLeft w:val="0"/>
          <w:marRight w:val="0"/>
          <w:marTop w:val="0"/>
          <w:marBottom w:val="0"/>
          <w:divBdr>
            <w:top w:val="none" w:sz="0" w:space="0" w:color="auto"/>
            <w:left w:val="none" w:sz="0" w:space="0" w:color="auto"/>
            <w:bottom w:val="none" w:sz="0" w:space="0" w:color="auto"/>
            <w:right w:val="none" w:sz="0" w:space="0" w:color="auto"/>
          </w:divBdr>
        </w:div>
        <w:div w:id="1697190175">
          <w:marLeft w:val="0"/>
          <w:marRight w:val="0"/>
          <w:marTop w:val="0"/>
          <w:marBottom w:val="0"/>
          <w:divBdr>
            <w:top w:val="none" w:sz="0" w:space="0" w:color="auto"/>
            <w:left w:val="none" w:sz="0" w:space="0" w:color="auto"/>
            <w:bottom w:val="none" w:sz="0" w:space="0" w:color="auto"/>
            <w:right w:val="none" w:sz="0" w:space="0" w:color="auto"/>
          </w:divBdr>
        </w:div>
        <w:div w:id="1513568514">
          <w:marLeft w:val="0"/>
          <w:marRight w:val="0"/>
          <w:marTop w:val="0"/>
          <w:marBottom w:val="0"/>
          <w:divBdr>
            <w:top w:val="none" w:sz="0" w:space="0" w:color="auto"/>
            <w:left w:val="none" w:sz="0" w:space="0" w:color="auto"/>
            <w:bottom w:val="none" w:sz="0" w:space="0" w:color="auto"/>
            <w:right w:val="none" w:sz="0" w:space="0" w:color="auto"/>
          </w:divBdr>
        </w:div>
        <w:div w:id="682587164">
          <w:marLeft w:val="0"/>
          <w:marRight w:val="0"/>
          <w:marTop w:val="0"/>
          <w:marBottom w:val="0"/>
          <w:divBdr>
            <w:top w:val="none" w:sz="0" w:space="0" w:color="auto"/>
            <w:left w:val="none" w:sz="0" w:space="0" w:color="auto"/>
            <w:bottom w:val="none" w:sz="0" w:space="0" w:color="auto"/>
            <w:right w:val="none" w:sz="0" w:space="0" w:color="auto"/>
          </w:divBdr>
        </w:div>
        <w:div w:id="297494903">
          <w:marLeft w:val="0"/>
          <w:marRight w:val="0"/>
          <w:marTop w:val="0"/>
          <w:marBottom w:val="0"/>
          <w:divBdr>
            <w:top w:val="none" w:sz="0" w:space="0" w:color="auto"/>
            <w:left w:val="none" w:sz="0" w:space="0" w:color="auto"/>
            <w:bottom w:val="none" w:sz="0" w:space="0" w:color="auto"/>
            <w:right w:val="none" w:sz="0" w:space="0" w:color="auto"/>
          </w:divBdr>
        </w:div>
        <w:div w:id="690716353">
          <w:marLeft w:val="0"/>
          <w:marRight w:val="0"/>
          <w:marTop w:val="0"/>
          <w:marBottom w:val="0"/>
          <w:divBdr>
            <w:top w:val="none" w:sz="0" w:space="0" w:color="auto"/>
            <w:left w:val="none" w:sz="0" w:space="0" w:color="auto"/>
            <w:bottom w:val="none" w:sz="0" w:space="0" w:color="auto"/>
            <w:right w:val="none" w:sz="0" w:space="0" w:color="auto"/>
          </w:divBdr>
        </w:div>
        <w:div w:id="1685278601">
          <w:marLeft w:val="0"/>
          <w:marRight w:val="0"/>
          <w:marTop w:val="0"/>
          <w:marBottom w:val="0"/>
          <w:divBdr>
            <w:top w:val="none" w:sz="0" w:space="0" w:color="auto"/>
            <w:left w:val="none" w:sz="0" w:space="0" w:color="auto"/>
            <w:bottom w:val="none" w:sz="0" w:space="0" w:color="auto"/>
            <w:right w:val="none" w:sz="0" w:space="0" w:color="auto"/>
          </w:divBdr>
        </w:div>
        <w:div w:id="1232740745">
          <w:marLeft w:val="0"/>
          <w:marRight w:val="0"/>
          <w:marTop w:val="0"/>
          <w:marBottom w:val="0"/>
          <w:divBdr>
            <w:top w:val="none" w:sz="0" w:space="0" w:color="auto"/>
            <w:left w:val="none" w:sz="0" w:space="0" w:color="auto"/>
            <w:bottom w:val="none" w:sz="0" w:space="0" w:color="auto"/>
            <w:right w:val="none" w:sz="0" w:space="0" w:color="auto"/>
          </w:divBdr>
        </w:div>
        <w:div w:id="90592558">
          <w:marLeft w:val="0"/>
          <w:marRight w:val="0"/>
          <w:marTop w:val="0"/>
          <w:marBottom w:val="0"/>
          <w:divBdr>
            <w:top w:val="none" w:sz="0" w:space="0" w:color="auto"/>
            <w:left w:val="none" w:sz="0" w:space="0" w:color="auto"/>
            <w:bottom w:val="none" w:sz="0" w:space="0" w:color="auto"/>
            <w:right w:val="none" w:sz="0" w:space="0" w:color="auto"/>
          </w:divBdr>
        </w:div>
        <w:div w:id="1415588135">
          <w:marLeft w:val="0"/>
          <w:marRight w:val="0"/>
          <w:marTop w:val="0"/>
          <w:marBottom w:val="0"/>
          <w:divBdr>
            <w:top w:val="none" w:sz="0" w:space="0" w:color="auto"/>
            <w:left w:val="none" w:sz="0" w:space="0" w:color="auto"/>
            <w:bottom w:val="none" w:sz="0" w:space="0" w:color="auto"/>
            <w:right w:val="none" w:sz="0" w:space="0" w:color="auto"/>
          </w:divBdr>
        </w:div>
        <w:div w:id="1225330784">
          <w:marLeft w:val="0"/>
          <w:marRight w:val="0"/>
          <w:marTop w:val="0"/>
          <w:marBottom w:val="0"/>
          <w:divBdr>
            <w:top w:val="none" w:sz="0" w:space="0" w:color="auto"/>
            <w:left w:val="none" w:sz="0" w:space="0" w:color="auto"/>
            <w:bottom w:val="none" w:sz="0" w:space="0" w:color="auto"/>
            <w:right w:val="none" w:sz="0" w:space="0" w:color="auto"/>
          </w:divBdr>
        </w:div>
        <w:div w:id="1239368572">
          <w:marLeft w:val="0"/>
          <w:marRight w:val="0"/>
          <w:marTop w:val="0"/>
          <w:marBottom w:val="0"/>
          <w:divBdr>
            <w:top w:val="none" w:sz="0" w:space="0" w:color="auto"/>
            <w:left w:val="none" w:sz="0" w:space="0" w:color="auto"/>
            <w:bottom w:val="none" w:sz="0" w:space="0" w:color="auto"/>
            <w:right w:val="none" w:sz="0" w:space="0" w:color="auto"/>
          </w:divBdr>
        </w:div>
        <w:div w:id="2126541327">
          <w:marLeft w:val="0"/>
          <w:marRight w:val="0"/>
          <w:marTop w:val="0"/>
          <w:marBottom w:val="0"/>
          <w:divBdr>
            <w:top w:val="none" w:sz="0" w:space="0" w:color="auto"/>
            <w:left w:val="none" w:sz="0" w:space="0" w:color="auto"/>
            <w:bottom w:val="none" w:sz="0" w:space="0" w:color="auto"/>
            <w:right w:val="none" w:sz="0" w:space="0" w:color="auto"/>
          </w:divBdr>
        </w:div>
        <w:div w:id="1505634218">
          <w:marLeft w:val="0"/>
          <w:marRight w:val="0"/>
          <w:marTop w:val="0"/>
          <w:marBottom w:val="0"/>
          <w:divBdr>
            <w:top w:val="none" w:sz="0" w:space="0" w:color="auto"/>
            <w:left w:val="none" w:sz="0" w:space="0" w:color="auto"/>
            <w:bottom w:val="none" w:sz="0" w:space="0" w:color="auto"/>
            <w:right w:val="none" w:sz="0" w:space="0" w:color="auto"/>
          </w:divBdr>
        </w:div>
        <w:div w:id="642319675">
          <w:marLeft w:val="0"/>
          <w:marRight w:val="0"/>
          <w:marTop w:val="0"/>
          <w:marBottom w:val="0"/>
          <w:divBdr>
            <w:top w:val="none" w:sz="0" w:space="0" w:color="auto"/>
            <w:left w:val="none" w:sz="0" w:space="0" w:color="auto"/>
            <w:bottom w:val="none" w:sz="0" w:space="0" w:color="auto"/>
            <w:right w:val="none" w:sz="0" w:space="0" w:color="auto"/>
          </w:divBdr>
        </w:div>
        <w:div w:id="1085150754">
          <w:marLeft w:val="0"/>
          <w:marRight w:val="0"/>
          <w:marTop w:val="0"/>
          <w:marBottom w:val="0"/>
          <w:divBdr>
            <w:top w:val="none" w:sz="0" w:space="0" w:color="auto"/>
            <w:left w:val="none" w:sz="0" w:space="0" w:color="auto"/>
            <w:bottom w:val="none" w:sz="0" w:space="0" w:color="auto"/>
            <w:right w:val="none" w:sz="0" w:space="0" w:color="auto"/>
          </w:divBdr>
        </w:div>
        <w:div w:id="480465779">
          <w:marLeft w:val="0"/>
          <w:marRight w:val="0"/>
          <w:marTop w:val="0"/>
          <w:marBottom w:val="0"/>
          <w:divBdr>
            <w:top w:val="none" w:sz="0" w:space="0" w:color="auto"/>
            <w:left w:val="none" w:sz="0" w:space="0" w:color="auto"/>
            <w:bottom w:val="none" w:sz="0" w:space="0" w:color="auto"/>
            <w:right w:val="none" w:sz="0" w:space="0" w:color="auto"/>
          </w:divBdr>
        </w:div>
        <w:div w:id="1934631145">
          <w:marLeft w:val="0"/>
          <w:marRight w:val="0"/>
          <w:marTop w:val="0"/>
          <w:marBottom w:val="0"/>
          <w:divBdr>
            <w:top w:val="none" w:sz="0" w:space="0" w:color="auto"/>
            <w:left w:val="none" w:sz="0" w:space="0" w:color="auto"/>
            <w:bottom w:val="none" w:sz="0" w:space="0" w:color="auto"/>
            <w:right w:val="none" w:sz="0" w:space="0" w:color="auto"/>
          </w:divBdr>
        </w:div>
        <w:div w:id="572549939">
          <w:marLeft w:val="0"/>
          <w:marRight w:val="0"/>
          <w:marTop w:val="0"/>
          <w:marBottom w:val="0"/>
          <w:divBdr>
            <w:top w:val="none" w:sz="0" w:space="0" w:color="auto"/>
            <w:left w:val="none" w:sz="0" w:space="0" w:color="auto"/>
            <w:bottom w:val="none" w:sz="0" w:space="0" w:color="auto"/>
            <w:right w:val="none" w:sz="0" w:space="0" w:color="auto"/>
          </w:divBdr>
        </w:div>
        <w:div w:id="1001665306">
          <w:marLeft w:val="0"/>
          <w:marRight w:val="0"/>
          <w:marTop w:val="0"/>
          <w:marBottom w:val="0"/>
          <w:divBdr>
            <w:top w:val="none" w:sz="0" w:space="0" w:color="auto"/>
            <w:left w:val="none" w:sz="0" w:space="0" w:color="auto"/>
            <w:bottom w:val="none" w:sz="0" w:space="0" w:color="auto"/>
            <w:right w:val="none" w:sz="0" w:space="0" w:color="auto"/>
          </w:divBdr>
        </w:div>
        <w:div w:id="2078740205">
          <w:marLeft w:val="0"/>
          <w:marRight w:val="0"/>
          <w:marTop w:val="0"/>
          <w:marBottom w:val="0"/>
          <w:divBdr>
            <w:top w:val="none" w:sz="0" w:space="0" w:color="auto"/>
            <w:left w:val="none" w:sz="0" w:space="0" w:color="auto"/>
            <w:bottom w:val="none" w:sz="0" w:space="0" w:color="auto"/>
            <w:right w:val="none" w:sz="0" w:space="0" w:color="auto"/>
          </w:divBdr>
        </w:div>
        <w:div w:id="884754761">
          <w:marLeft w:val="0"/>
          <w:marRight w:val="0"/>
          <w:marTop w:val="0"/>
          <w:marBottom w:val="0"/>
          <w:divBdr>
            <w:top w:val="none" w:sz="0" w:space="0" w:color="auto"/>
            <w:left w:val="none" w:sz="0" w:space="0" w:color="auto"/>
            <w:bottom w:val="none" w:sz="0" w:space="0" w:color="auto"/>
            <w:right w:val="none" w:sz="0" w:space="0" w:color="auto"/>
          </w:divBdr>
        </w:div>
        <w:div w:id="420492701">
          <w:marLeft w:val="0"/>
          <w:marRight w:val="0"/>
          <w:marTop w:val="0"/>
          <w:marBottom w:val="0"/>
          <w:divBdr>
            <w:top w:val="none" w:sz="0" w:space="0" w:color="auto"/>
            <w:left w:val="none" w:sz="0" w:space="0" w:color="auto"/>
            <w:bottom w:val="none" w:sz="0" w:space="0" w:color="auto"/>
            <w:right w:val="none" w:sz="0" w:space="0" w:color="auto"/>
          </w:divBdr>
        </w:div>
        <w:div w:id="1418206549">
          <w:marLeft w:val="0"/>
          <w:marRight w:val="0"/>
          <w:marTop w:val="0"/>
          <w:marBottom w:val="0"/>
          <w:divBdr>
            <w:top w:val="none" w:sz="0" w:space="0" w:color="auto"/>
            <w:left w:val="none" w:sz="0" w:space="0" w:color="auto"/>
            <w:bottom w:val="none" w:sz="0" w:space="0" w:color="auto"/>
            <w:right w:val="none" w:sz="0" w:space="0" w:color="auto"/>
          </w:divBdr>
        </w:div>
        <w:div w:id="1543981397">
          <w:marLeft w:val="0"/>
          <w:marRight w:val="0"/>
          <w:marTop w:val="0"/>
          <w:marBottom w:val="0"/>
          <w:divBdr>
            <w:top w:val="none" w:sz="0" w:space="0" w:color="auto"/>
            <w:left w:val="none" w:sz="0" w:space="0" w:color="auto"/>
            <w:bottom w:val="none" w:sz="0" w:space="0" w:color="auto"/>
            <w:right w:val="none" w:sz="0" w:space="0" w:color="auto"/>
          </w:divBdr>
        </w:div>
        <w:div w:id="1925407690">
          <w:marLeft w:val="0"/>
          <w:marRight w:val="0"/>
          <w:marTop w:val="0"/>
          <w:marBottom w:val="0"/>
          <w:divBdr>
            <w:top w:val="none" w:sz="0" w:space="0" w:color="auto"/>
            <w:left w:val="none" w:sz="0" w:space="0" w:color="auto"/>
            <w:bottom w:val="none" w:sz="0" w:space="0" w:color="auto"/>
            <w:right w:val="none" w:sz="0" w:space="0" w:color="auto"/>
          </w:divBdr>
        </w:div>
        <w:div w:id="1672754397">
          <w:marLeft w:val="0"/>
          <w:marRight w:val="0"/>
          <w:marTop w:val="0"/>
          <w:marBottom w:val="0"/>
          <w:divBdr>
            <w:top w:val="none" w:sz="0" w:space="0" w:color="auto"/>
            <w:left w:val="none" w:sz="0" w:space="0" w:color="auto"/>
            <w:bottom w:val="none" w:sz="0" w:space="0" w:color="auto"/>
            <w:right w:val="none" w:sz="0" w:space="0" w:color="auto"/>
          </w:divBdr>
        </w:div>
        <w:div w:id="426537194">
          <w:marLeft w:val="0"/>
          <w:marRight w:val="0"/>
          <w:marTop w:val="0"/>
          <w:marBottom w:val="0"/>
          <w:divBdr>
            <w:top w:val="none" w:sz="0" w:space="0" w:color="auto"/>
            <w:left w:val="none" w:sz="0" w:space="0" w:color="auto"/>
            <w:bottom w:val="none" w:sz="0" w:space="0" w:color="auto"/>
            <w:right w:val="none" w:sz="0" w:space="0" w:color="auto"/>
          </w:divBdr>
        </w:div>
        <w:div w:id="1877155773">
          <w:marLeft w:val="0"/>
          <w:marRight w:val="0"/>
          <w:marTop w:val="0"/>
          <w:marBottom w:val="0"/>
          <w:divBdr>
            <w:top w:val="none" w:sz="0" w:space="0" w:color="auto"/>
            <w:left w:val="none" w:sz="0" w:space="0" w:color="auto"/>
            <w:bottom w:val="none" w:sz="0" w:space="0" w:color="auto"/>
            <w:right w:val="none" w:sz="0" w:space="0" w:color="auto"/>
          </w:divBdr>
        </w:div>
        <w:div w:id="448083610">
          <w:marLeft w:val="0"/>
          <w:marRight w:val="0"/>
          <w:marTop w:val="0"/>
          <w:marBottom w:val="0"/>
          <w:divBdr>
            <w:top w:val="none" w:sz="0" w:space="0" w:color="auto"/>
            <w:left w:val="none" w:sz="0" w:space="0" w:color="auto"/>
            <w:bottom w:val="none" w:sz="0" w:space="0" w:color="auto"/>
            <w:right w:val="none" w:sz="0" w:space="0" w:color="auto"/>
          </w:divBdr>
        </w:div>
        <w:div w:id="1101102360">
          <w:marLeft w:val="0"/>
          <w:marRight w:val="0"/>
          <w:marTop w:val="0"/>
          <w:marBottom w:val="0"/>
          <w:divBdr>
            <w:top w:val="none" w:sz="0" w:space="0" w:color="auto"/>
            <w:left w:val="none" w:sz="0" w:space="0" w:color="auto"/>
            <w:bottom w:val="none" w:sz="0" w:space="0" w:color="auto"/>
            <w:right w:val="none" w:sz="0" w:space="0" w:color="auto"/>
          </w:divBdr>
        </w:div>
        <w:div w:id="717315106">
          <w:marLeft w:val="0"/>
          <w:marRight w:val="0"/>
          <w:marTop w:val="0"/>
          <w:marBottom w:val="0"/>
          <w:divBdr>
            <w:top w:val="none" w:sz="0" w:space="0" w:color="auto"/>
            <w:left w:val="none" w:sz="0" w:space="0" w:color="auto"/>
            <w:bottom w:val="none" w:sz="0" w:space="0" w:color="auto"/>
            <w:right w:val="none" w:sz="0" w:space="0" w:color="auto"/>
          </w:divBdr>
        </w:div>
        <w:div w:id="653262972">
          <w:marLeft w:val="0"/>
          <w:marRight w:val="0"/>
          <w:marTop w:val="0"/>
          <w:marBottom w:val="0"/>
          <w:divBdr>
            <w:top w:val="none" w:sz="0" w:space="0" w:color="auto"/>
            <w:left w:val="none" w:sz="0" w:space="0" w:color="auto"/>
            <w:bottom w:val="none" w:sz="0" w:space="0" w:color="auto"/>
            <w:right w:val="none" w:sz="0" w:space="0" w:color="auto"/>
          </w:divBdr>
        </w:div>
        <w:div w:id="383600369">
          <w:marLeft w:val="0"/>
          <w:marRight w:val="0"/>
          <w:marTop w:val="0"/>
          <w:marBottom w:val="0"/>
          <w:divBdr>
            <w:top w:val="none" w:sz="0" w:space="0" w:color="auto"/>
            <w:left w:val="none" w:sz="0" w:space="0" w:color="auto"/>
            <w:bottom w:val="none" w:sz="0" w:space="0" w:color="auto"/>
            <w:right w:val="none" w:sz="0" w:space="0" w:color="auto"/>
          </w:divBdr>
        </w:div>
        <w:div w:id="786310751">
          <w:marLeft w:val="0"/>
          <w:marRight w:val="0"/>
          <w:marTop w:val="0"/>
          <w:marBottom w:val="0"/>
          <w:divBdr>
            <w:top w:val="none" w:sz="0" w:space="0" w:color="auto"/>
            <w:left w:val="none" w:sz="0" w:space="0" w:color="auto"/>
            <w:bottom w:val="none" w:sz="0" w:space="0" w:color="auto"/>
            <w:right w:val="none" w:sz="0" w:space="0" w:color="auto"/>
          </w:divBdr>
        </w:div>
        <w:div w:id="690687873">
          <w:marLeft w:val="0"/>
          <w:marRight w:val="0"/>
          <w:marTop w:val="0"/>
          <w:marBottom w:val="0"/>
          <w:divBdr>
            <w:top w:val="none" w:sz="0" w:space="0" w:color="auto"/>
            <w:left w:val="none" w:sz="0" w:space="0" w:color="auto"/>
            <w:bottom w:val="none" w:sz="0" w:space="0" w:color="auto"/>
            <w:right w:val="none" w:sz="0" w:space="0" w:color="auto"/>
          </w:divBdr>
        </w:div>
        <w:div w:id="1129861447">
          <w:marLeft w:val="0"/>
          <w:marRight w:val="0"/>
          <w:marTop w:val="0"/>
          <w:marBottom w:val="0"/>
          <w:divBdr>
            <w:top w:val="none" w:sz="0" w:space="0" w:color="auto"/>
            <w:left w:val="none" w:sz="0" w:space="0" w:color="auto"/>
            <w:bottom w:val="none" w:sz="0" w:space="0" w:color="auto"/>
            <w:right w:val="none" w:sz="0" w:space="0" w:color="auto"/>
          </w:divBdr>
        </w:div>
        <w:div w:id="562369592">
          <w:marLeft w:val="0"/>
          <w:marRight w:val="0"/>
          <w:marTop w:val="0"/>
          <w:marBottom w:val="0"/>
          <w:divBdr>
            <w:top w:val="none" w:sz="0" w:space="0" w:color="auto"/>
            <w:left w:val="none" w:sz="0" w:space="0" w:color="auto"/>
            <w:bottom w:val="none" w:sz="0" w:space="0" w:color="auto"/>
            <w:right w:val="none" w:sz="0" w:space="0" w:color="auto"/>
          </w:divBdr>
        </w:div>
        <w:div w:id="677193953">
          <w:marLeft w:val="0"/>
          <w:marRight w:val="0"/>
          <w:marTop w:val="0"/>
          <w:marBottom w:val="0"/>
          <w:divBdr>
            <w:top w:val="none" w:sz="0" w:space="0" w:color="auto"/>
            <w:left w:val="none" w:sz="0" w:space="0" w:color="auto"/>
            <w:bottom w:val="none" w:sz="0" w:space="0" w:color="auto"/>
            <w:right w:val="none" w:sz="0" w:space="0" w:color="auto"/>
          </w:divBdr>
        </w:div>
        <w:div w:id="1367872549">
          <w:marLeft w:val="0"/>
          <w:marRight w:val="0"/>
          <w:marTop w:val="0"/>
          <w:marBottom w:val="0"/>
          <w:divBdr>
            <w:top w:val="none" w:sz="0" w:space="0" w:color="auto"/>
            <w:left w:val="none" w:sz="0" w:space="0" w:color="auto"/>
            <w:bottom w:val="none" w:sz="0" w:space="0" w:color="auto"/>
            <w:right w:val="none" w:sz="0" w:space="0" w:color="auto"/>
          </w:divBdr>
        </w:div>
        <w:div w:id="1336953705">
          <w:marLeft w:val="0"/>
          <w:marRight w:val="0"/>
          <w:marTop w:val="0"/>
          <w:marBottom w:val="0"/>
          <w:divBdr>
            <w:top w:val="none" w:sz="0" w:space="0" w:color="auto"/>
            <w:left w:val="none" w:sz="0" w:space="0" w:color="auto"/>
            <w:bottom w:val="none" w:sz="0" w:space="0" w:color="auto"/>
            <w:right w:val="none" w:sz="0" w:space="0" w:color="auto"/>
          </w:divBdr>
        </w:div>
        <w:div w:id="255872930">
          <w:marLeft w:val="0"/>
          <w:marRight w:val="0"/>
          <w:marTop w:val="0"/>
          <w:marBottom w:val="0"/>
          <w:divBdr>
            <w:top w:val="none" w:sz="0" w:space="0" w:color="auto"/>
            <w:left w:val="none" w:sz="0" w:space="0" w:color="auto"/>
            <w:bottom w:val="none" w:sz="0" w:space="0" w:color="auto"/>
            <w:right w:val="none" w:sz="0" w:space="0" w:color="auto"/>
          </w:divBdr>
        </w:div>
        <w:div w:id="368653792">
          <w:marLeft w:val="0"/>
          <w:marRight w:val="0"/>
          <w:marTop w:val="0"/>
          <w:marBottom w:val="0"/>
          <w:divBdr>
            <w:top w:val="none" w:sz="0" w:space="0" w:color="auto"/>
            <w:left w:val="none" w:sz="0" w:space="0" w:color="auto"/>
            <w:bottom w:val="none" w:sz="0" w:space="0" w:color="auto"/>
            <w:right w:val="none" w:sz="0" w:space="0" w:color="auto"/>
          </w:divBdr>
        </w:div>
        <w:div w:id="1886672358">
          <w:marLeft w:val="0"/>
          <w:marRight w:val="0"/>
          <w:marTop w:val="0"/>
          <w:marBottom w:val="0"/>
          <w:divBdr>
            <w:top w:val="none" w:sz="0" w:space="0" w:color="auto"/>
            <w:left w:val="none" w:sz="0" w:space="0" w:color="auto"/>
            <w:bottom w:val="none" w:sz="0" w:space="0" w:color="auto"/>
            <w:right w:val="none" w:sz="0" w:space="0" w:color="auto"/>
          </w:divBdr>
        </w:div>
        <w:div w:id="2026398138">
          <w:marLeft w:val="0"/>
          <w:marRight w:val="0"/>
          <w:marTop w:val="0"/>
          <w:marBottom w:val="0"/>
          <w:divBdr>
            <w:top w:val="none" w:sz="0" w:space="0" w:color="auto"/>
            <w:left w:val="none" w:sz="0" w:space="0" w:color="auto"/>
            <w:bottom w:val="none" w:sz="0" w:space="0" w:color="auto"/>
            <w:right w:val="none" w:sz="0" w:space="0" w:color="auto"/>
          </w:divBdr>
        </w:div>
        <w:div w:id="1408527504">
          <w:marLeft w:val="0"/>
          <w:marRight w:val="0"/>
          <w:marTop w:val="0"/>
          <w:marBottom w:val="0"/>
          <w:divBdr>
            <w:top w:val="none" w:sz="0" w:space="0" w:color="auto"/>
            <w:left w:val="none" w:sz="0" w:space="0" w:color="auto"/>
            <w:bottom w:val="none" w:sz="0" w:space="0" w:color="auto"/>
            <w:right w:val="none" w:sz="0" w:space="0" w:color="auto"/>
          </w:divBdr>
        </w:div>
        <w:div w:id="171725100">
          <w:marLeft w:val="0"/>
          <w:marRight w:val="0"/>
          <w:marTop w:val="0"/>
          <w:marBottom w:val="0"/>
          <w:divBdr>
            <w:top w:val="none" w:sz="0" w:space="0" w:color="auto"/>
            <w:left w:val="none" w:sz="0" w:space="0" w:color="auto"/>
            <w:bottom w:val="none" w:sz="0" w:space="0" w:color="auto"/>
            <w:right w:val="none" w:sz="0" w:space="0" w:color="auto"/>
          </w:divBdr>
        </w:div>
        <w:div w:id="420151498">
          <w:marLeft w:val="0"/>
          <w:marRight w:val="0"/>
          <w:marTop w:val="0"/>
          <w:marBottom w:val="0"/>
          <w:divBdr>
            <w:top w:val="none" w:sz="0" w:space="0" w:color="auto"/>
            <w:left w:val="none" w:sz="0" w:space="0" w:color="auto"/>
            <w:bottom w:val="none" w:sz="0" w:space="0" w:color="auto"/>
            <w:right w:val="none" w:sz="0" w:space="0" w:color="auto"/>
          </w:divBdr>
        </w:div>
        <w:div w:id="1036395278">
          <w:marLeft w:val="0"/>
          <w:marRight w:val="0"/>
          <w:marTop w:val="0"/>
          <w:marBottom w:val="0"/>
          <w:divBdr>
            <w:top w:val="none" w:sz="0" w:space="0" w:color="auto"/>
            <w:left w:val="none" w:sz="0" w:space="0" w:color="auto"/>
            <w:bottom w:val="none" w:sz="0" w:space="0" w:color="auto"/>
            <w:right w:val="none" w:sz="0" w:space="0" w:color="auto"/>
          </w:divBdr>
        </w:div>
        <w:div w:id="1602032805">
          <w:marLeft w:val="0"/>
          <w:marRight w:val="0"/>
          <w:marTop w:val="0"/>
          <w:marBottom w:val="0"/>
          <w:divBdr>
            <w:top w:val="none" w:sz="0" w:space="0" w:color="auto"/>
            <w:left w:val="none" w:sz="0" w:space="0" w:color="auto"/>
            <w:bottom w:val="none" w:sz="0" w:space="0" w:color="auto"/>
            <w:right w:val="none" w:sz="0" w:space="0" w:color="auto"/>
          </w:divBdr>
        </w:div>
        <w:div w:id="495342769">
          <w:marLeft w:val="0"/>
          <w:marRight w:val="0"/>
          <w:marTop w:val="0"/>
          <w:marBottom w:val="0"/>
          <w:divBdr>
            <w:top w:val="none" w:sz="0" w:space="0" w:color="auto"/>
            <w:left w:val="none" w:sz="0" w:space="0" w:color="auto"/>
            <w:bottom w:val="none" w:sz="0" w:space="0" w:color="auto"/>
            <w:right w:val="none" w:sz="0" w:space="0" w:color="auto"/>
          </w:divBdr>
        </w:div>
        <w:div w:id="755520940">
          <w:marLeft w:val="0"/>
          <w:marRight w:val="0"/>
          <w:marTop w:val="0"/>
          <w:marBottom w:val="0"/>
          <w:divBdr>
            <w:top w:val="none" w:sz="0" w:space="0" w:color="auto"/>
            <w:left w:val="none" w:sz="0" w:space="0" w:color="auto"/>
            <w:bottom w:val="none" w:sz="0" w:space="0" w:color="auto"/>
            <w:right w:val="none" w:sz="0" w:space="0" w:color="auto"/>
          </w:divBdr>
        </w:div>
        <w:div w:id="1086879180">
          <w:marLeft w:val="0"/>
          <w:marRight w:val="0"/>
          <w:marTop w:val="0"/>
          <w:marBottom w:val="0"/>
          <w:divBdr>
            <w:top w:val="none" w:sz="0" w:space="0" w:color="auto"/>
            <w:left w:val="none" w:sz="0" w:space="0" w:color="auto"/>
            <w:bottom w:val="none" w:sz="0" w:space="0" w:color="auto"/>
            <w:right w:val="none" w:sz="0" w:space="0" w:color="auto"/>
          </w:divBdr>
        </w:div>
        <w:div w:id="1129010854">
          <w:marLeft w:val="0"/>
          <w:marRight w:val="0"/>
          <w:marTop w:val="0"/>
          <w:marBottom w:val="0"/>
          <w:divBdr>
            <w:top w:val="none" w:sz="0" w:space="0" w:color="auto"/>
            <w:left w:val="none" w:sz="0" w:space="0" w:color="auto"/>
            <w:bottom w:val="none" w:sz="0" w:space="0" w:color="auto"/>
            <w:right w:val="none" w:sz="0" w:space="0" w:color="auto"/>
          </w:divBdr>
        </w:div>
        <w:div w:id="1257012516">
          <w:marLeft w:val="0"/>
          <w:marRight w:val="0"/>
          <w:marTop w:val="0"/>
          <w:marBottom w:val="0"/>
          <w:divBdr>
            <w:top w:val="none" w:sz="0" w:space="0" w:color="auto"/>
            <w:left w:val="none" w:sz="0" w:space="0" w:color="auto"/>
            <w:bottom w:val="none" w:sz="0" w:space="0" w:color="auto"/>
            <w:right w:val="none" w:sz="0" w:space="0" w:color="auto"/>
          </w:divBdr>
        </w:div>
        <w:div w:id="28922603">
          <w:marLeft w:val="0"/>
          <w:marRight w:val="0"/>
          <w:marTop w:val="0"/>
          <w:marBottom w:val="0"/>
          <w:divBdr>
            <w:top w:val="none" w:sz="0" w:space="0" w:color="auto"/>
            <w:left w:val="none" w:sz="0" w:space="0" w:color="auto"/>
            <w:bottom w:val="none" w:sz="0" w:space="0" w:color="auto"/>
            <w:right w:val="none" w:sz="0" w:space="0" w:color="auto"/>
          </w:divBdr>
        </w:div>
        <w:div w:id="706879329">
          <w:marLeft w:val="0"/>
          <w:marRight w:val="0"/>
          <w:marTop w:val="0"/>
          <w:marBottom w:val="0"/>
          <w:divBdr>
            <w:top w:val="none" w:sz="0" w:space="0" w:color="auto"/>
            <w:left w:val="none" w:sz="0" w:space="0" w:color="auto"/>
            <w:bottom w:val="none" w:sz="0" w:space="0" w:color="auto"/>
            <w:right w:val="none" w:sz="0" w:space="0" w:color="auto"/>
          </w:divBdr>
        </w:div>
        <w:div w:id="1858732240">
          <w:marLeft w:val="0"/>
          <w:marRight w:val="0"/>
          <w:marTop w:val="0"/>
          <w:marBottom w:val="0"/>
          <w:divBdr>
            <w:top w:val="none" w:sz="0" w:space="0" w:color="auto"/>
            <w:left w:val="none" w:sz="0" w:space="0" w:color="auto"/>
            <w:bottom w:val="none" w:sz="0" w:space="0" w:color="auto"/>
            <w:right w:val="none" w:sz="0" w:space="0" w:color="auto"/>
          </w:divBdr>
        </w:div>
        <w:div w:id="731119628">
          <w:marLeft w:val="0"/>
          <w:marRight w:val="0"/>
          <w:marTop w:val="0"/>
          <w:marBottom w:val="0"/>
          <w:divBdr>
            <w:top w:val="none" w:sz="0" w:space="0" w:color="auto"/>
            <w:left w:val="none" w:sz="0" w:space="0" w:color="auto"/>
            <w:bottom w:val="none" w:sz="0" w:space="0" w:color="auto"/>
            <w:right w:val="none" w:sz="0" w:space="0" w:color="auto"/>
          </w:divBdr>
        </w:div>
        <w:div w:id="1179083644">
          <w:marLeft w:val="0"/>
          <w:marRight w:val="0"/>
          <w:marTop w:val="0"/>
          <w:marBottom w:val="0"/>
          <w:divBdr>
            <w:top w:val="none" w:sz="0" w:space="0" w:color="auto"/>
            <w:left w:val="none" w:sz="0" w:space="0" w:color="auto"/>
            <w:bottom w:val="none" w:sz="0" w:space="0" w:color="auto"/>
            <w:right w:val="none" w:sz="0" w:space="0" w:color="auto"/>
          </w:divBdr>
        </w:div>
        <w:div w:id="726297473">
          <w:marLeft w:val="0"/>
          <w:marRight w:val="0"/>
          <w:marTop w:val="0"/>
          <w:marBottom w:val="0"/>
          <w:divBdr>
            <w:top w:val="none" w:sz="0" w:space="0" w:color="auto"/>
            <w:left w:val="none" w:sz="0" w:space="0" w:color="auto"/>
            <w:bottom w:val="none" w:sz="0" w:space="0" w:color="auto"/>
            <w:right w:val="none" w:sz="0" w:space="0" w:color="auto"/>
          </w:divBdr>
        </w:div>
        <w:div w:id="1597056808">
          <w:marLeft w:val="0"/>
          <w:marRight w:val="0"/>
          <w:marTop w:val="0"/>
          <w:marBottom w:val="0"/>
          <w:divBdr>
            <w:top w:val="none" w:sz="0" w:space="0" w:color="auto"/>
            <w:left w:val="none" w:sz="0" w:space="0" w:color="auto"/>
            <w:bottom w:val="none" w:sz="0" w:space="0" w:color="auto"/>
            <w:right w:val="none" w:sz="0" w:space="0" w:color="auto"/>
          </w:divBdr>
        </w:div>
        <w:div w:id="1100612844">
          <w:marLeft w:val="0"/>
          <w:marRight w:val="0"/>
          <w:marTop w:val="0"/>
          <w:marBottom w:val="0"/>
          <w:divBdr>
            <w:top w:val="none" w:sz="0" w:space="0" w:color="auto"/>
            <w:left w:val="none" w:sz="0" w:space="0" w:color="auto"/>
            <w:bottom w:val="none" w:sz="0" w:space="0" w:color="auto"/>
            <w:right w:val="none" w:sz="0" w:space="0" w:color="auto"/>
          </w:divBdr>
        </w:div>
        <w:div w:id="1735733748">
          <w:marLeft w:val="0"/>
          <w:marRight w:val="0"/>
          <w:marTop w:val="0"/>
          <w:marBottom w:val="0"/>
          <w:divBdr>
            <w:top w:val="none" w:sz="0" w:space="0" w:color="auto"/>
            <w:left w:val="none" w:sz="0" w:space="0" w:color="auto"/>
            <w:bottom w:val="none" w:sz="0" w:space="0" w:color="auto"/>
            <w:right w:val="none" w:sz="0" w:space="0" w:color="auto"/>
          </w:divBdr>
        </w:div>
        <w:div w:id="1962301516">
          <w:marLeft w:val="0"/>
          <w:marRight w:val="0"/>
          <w:marTop w:val="0"/>
          <w:marBottom w:val="0"/>
          <w:divBdr>
            <w:top w:val="none" w:sz="0" w:space="0" w:color="auto"/>
            <w:left w:val="none" w:sz="0" w:space="0" w:color="auto"/>
            <w:bottom w:val="none" w:sz="0" w:space="0" w:color="auto"/>
            <w:right w:val="none" w:sz="0" w:space="0" w:color="auto"/>
          </w:divBdr>
        </w:div>
        <w:div w:id="241910778">
          <w:marLeft w:val="0"/>
          <w:marRight w:val="0"/>
          <w:marTop w:val="0"/>
          <w:marBottom w:val="0"/>
          <w:divBdr>
            <w:top w:val="none" w:sz="0" w:space="0" w:color="auto"/>
            <w:left w:val="none" w:sz="0" w:space="0" w:color="auto"/>
            <w:bottom w:val="none" w:sz="0" w:space="0" w:color="auto"/>
            <w:right w:val="none" w:sz="0" w:space="0" w:color="auto"/>
          </w:divBdr>
        </w:div>
        <w:div w:id="1538661134">
          <w:marLeft w:val="0"/>
          <w:marRight w:val="0"/>
          <w:marTop w:val="0"/>
          <w:marBottom w:val="0"/>
          <w:divBdr>
            <w:top w:val="none" w:sz="0" w:space="0" w:color="auto"/>
            <w:left w:val="none" w:sz="0" w:space="0" w:color="auto"/>
            <w:bottom w:val="none" w:sz="0" w:space="0" w:color="auto"/>
            <w:right w:val="none" w:sz="0" w:space="0" w:color="auto"/>
          </w:divBdr>
        </w:div>
        <w:div w:id="1757051684">
          <w:marLeft w:val="0"/>
          <w:marRight w:val="0"/>
          <w:marTop w:val="0"/>
          <w:marBottom w:val="0"/>
          <w:divBdr>
            <w:top w:val="none" w:sz="0" w:space="0" w:color="auto"/>
            <w:left w:val="none" w:sz="0" w:space="0" w:color="auto"/>
            <w:bottom w:val="none" w:sz="0" w:space="0" w:color="auto"/>
            <w:right w:val="none" w:sz="0" w:space="0" w:color="auto"/>
          </w:divBdr>
        </w:div>
        <w:div w:id="806320948">
          <w:marLeft w:val="0"/>
          <w:marRight w:val="0"/>
          <w:marTop w:val="0"/>
          <w:marBottom w:val="0"/>
          <w:divBdr>
            <w:top w:val="none" w:sz="0" w:space="0" w:color="auto"/>
            <w:left w:val="none" w:sz="0" w:space="0" w:color="auto"/>
            <w:bottom w:val="none" w:sz="0" w:space="0" w:color="auto"/>
            <w:right w:val="none" w:sz="0" w:space="0" w:color="auto"/>
          </w:divBdr>
        </w:div>
        <w:div w:id="920873141">
          <w:marLeft w:val="0"/>
          <w:marRight w:val="0"/>
          <w:marTop w:val="0"/>
          <w:marBottom w:val="0"/>
          <w:divBdr>
            <w:top w:val="none" w:sz="0" w:space="0" w:color="auto"/>
            <w:left w:val="none" w:sz="0" w:space="0" w:color="auto"/>
            <w:bottom w:val="none" w:sz="0" w:space="0" w:color="auto"/>
            <w:right w:val="none" w:sz="0" w:space="0" w:color="auto"/>
          </w:divBdr>
        </w:div>
        <w:div w:id="140583089">
          <w:marLeft w:val="0"/>
          <w:marRight w:val="0"/>
          <w:marTop w:val="0"/>
          <w:marBottom w:val="0"/>
          <w:divBdr>
            <w:top w:val="none" w:sz="0" w:space="0" w:color="auto"/>
            <w:left w:val="none" w:sz="0" w:space="0" w:color="auto"/>
            <w:bottom w:val="none" w:sz="0" w:space="0" w:color="auto"/>
            <w:right w:val="none" w:sz="0" w:space="0" w:color="auto"/>
          </w:divBdr>
        </w:div>
        <w:div w:id="983511648">
          <w:marLeft w:val="0"/>
          <w:marRight w:val="0"/>
          <w:marTop w:val="0"/>
          <w:marBottom w:val="0"/>
          <w:divBdr>
            <w:top w:val="none" w:sz="0" w:space="0" w:color="auto"/>
            <w:left w:val="none" w:sz="0" w:space="0" w:color="auto"/>
            <w:bottom w:val="none" w:sz="0" w:space="0" w:color="auto"/>
            <w:right w:val="none" w:sz="0" w:space="0" w:color="auto"/>
          </w:divBdr>
        </w:div>
        <w:div w:id="765003078">
          <w:marLeft w:val="0"/>
          <w:marRight w:val="0"/>
          <w:marTop w:val="0"/>
          <w:marBottom w:val="0"/>
          <w:divBdr>
            <w:top w:val="none" w:sz="0" w:space="0" w:color="auto"/>
            <w:left w:val="none" w:sz="0" w:space="0" w:color="auto"/>
            <w:bottom w:val="none" w:sz="0" w:space="0" w:color="auto"/>
            <w:right w:val="none" w:sz="0" w:space="0" w:color="auto"/>
          </w:divBdr>
        </w:div>
        <w:div w:id="1440877213">
          <w:marLeft w:val="0"/>
          <w:marRight w:val="0"/>
          <w:marTop w:val="0"/>
          <w:marBottom w:val="0"/>
          <w:divBdr>
            <w:top w:val="none" w:sz="0" w:space="0" w:color="auto"/>
            <w:left w:val="none" w:sz="0" w:space="0" w:color="auto"/>
            <w:bottom w:val="none" w:sz="0" w:space="0" w:color="auto"/>
            <w:right w:val="none" w:sz="0" w:space="0" w:color="auto"/>
          </w:divBdr>
        </w:div>
        <w:div w:id="579873991">
          <w:marLeft w:val="0"/>
          <w:marRight w:val="0"/>
          <w:marTop w:val="0"/>
          <w:marBottom w:val="0"/>
          <w:divBdr>
            <w:top w:val="none" w:sz="0" w:space="0" w:color="auto"/>
            <w:left w:val="none" w:sz="0" w:space="0" w:color="auto"/>
            <w:bottom w:val="none" w:sz="0" w:space="0" w:color="auto"/>
            <w:right w:val="none" w:sz="0" w:space="0" w:color="auto"/>
          </w:divBdr>
        </w:div>
        <w:div w:id="1533305960">
          <w:marLeft w:val="0"/>
          <w:marRight w:val="0"/>
          <w:marTop w:val="0"/>
          <w:marBottom w:val="0"/>
          <w:divBdr>
            <w:top w:val="none" w:sz="0" w:space="0" w:color="auto"/>
            <w:left w:val="none" w:sz="0" w:space="0" w:color="auto"/>
            <w:bottom w:val="none" w:sz="0" w:space="0" w:color="auto"/>
            <w:right w:val="none" w:sz="0" w:space="0" w:color="auto"/>
          </w:divBdr>
        </w:div>
        <w:div w:id="50468450">
          <w:marLeft w:val="0"/>
          <w:marRight w:val="0"/>
          <w:marTop w:val="0"/>
          <w:marBottom w:val="0"/>
          <w:divBdr>
            <w:top w:val="none" w:sz="0" w:space="0" w:color="auto"/>
            <w:left w:val="none" w:sz="0" w:space="0" w:color="auto"/>
            <w:bottom w:val="none" w:sz="0" w:space="0" w:color="auto"/>
            <w:right w:val="none" w:sz="0" w:space="0" w:color="auto"/>
          </w:divBdr>
        </w:div>
        <w:div w:id="714157039">
          <w:marLeft w:val="0"/>
          <w:marRight w:val="0"/>
          <w:marTop w:val="0"/>
          <w:marBottom w:val="0"/>
          <w:divBdr>
            <w:top w:val="none" w:sz="0" w:space="0" w:color="auto"/>
            <w:left w:val="none" w:sz="0" w:space="0" w:color="auto"/>
            <w:bottom w:val="none" w:sz="0" w:space="0" w:color="auto"/>
            <w:right w:val="none" w:sz="0" w:space="0" w:color="auto"/>
          </w:divBdr>
        </w:div>
        <w:div w:id="43797064">
          <w:marLeft w:val="0"/>
          <w:marRight w:val="0"/>
          <w:marTop w:val="0"/>
          <w:marBottom w:val="0"/>
          <w:divBdr>
            <w:top w:val="none" w:sz="0" w:space="0" w:color="auto"/>
            <w:left w:val="none" w:sz="0" w:space="0" w:color="auto"/>
            <w:bottom w:val="none" w:sz="0" w:space="0" w:color="auto"/>
            <w:right w:val="none" w:sz="0" w:space="0" w:color="auto"/>
          </w:divBdr>
        </w:div>
        <w:div w:id="1287276926">
          <w:marLeft w:val="0"/>
          <w:marRight w:val="0"/>
          <w:marTop w:val="0"/>
          <w:marBottom w:val="0"/>
          <w:divBdr>
            <w:top w:val="none" w:sz="0" w:space="0" w:color="auto"/>
            <w:left w:val="none" w:sz="0" w:space="0" w:color="auto"/>
            <w:bottom w:val="none" w:sz="0" w:space="0" w:color="auto"/>
            <w:right w:val="none" w:sz="0" w:space="0" w:color="auto"/>
          </w:divBdr>
        </w:div>
        <w:div w:id="1909487592">
          <w:marLeft w:val="0"/>
          <w:marRight w:val="0"/>
          <w:marTop w:val="0"/>
          <w:marBottom w:val="0"/>
          <w:divBdr>
            <w:top w:val="none" w:sz="0" w:space="0" w:color="auto"/>
            <w:left w:val="none" w:sz="0" w:space="0" w:color="auto"/>
            <w:bottom w:val="none" w:sz="0" w:space="0" w:color="auto"/>
            <w:right w:val="none" w:sz="0" w:space="0" w:color="auto"/>
          </w:divBdr>
        </w:div>
        <w:div w:id="898519132">
          <w:marLeft w:val="0"/>
          <w:marRight w:val="0"/>
          <w:marTop w:val="0"/>
          <w:marBottom w:val="0"/>
          <w:divBdr>
            <w:top w:val="none" w:sz="0" w:space="0" w:color="auto"/>
            <w:left w:val="none" w:sz="0" w:space="0" w:color="auto"/>
            <w:bottom w:val="none" w:sz="0" w:space="0" w:color="auto"/>
            <w:right w:val="none" w:sz="0" w:space="0" w:color="auto"/>
          </w:divBdr>
        </w:div>
        <w:div w:id="1722170310">
          <w:marLeft w:val="0"/>
          <w:marRight w:val="0"/>
          <w:marTop w:val="0"/>
          <w:marBottom w:val="0"/>
          <w:divBdr>
            <w:top w:val="none" w:sz="0" w:space="0" w:color="auto"/>
            <w:left w:val="none" w:sz="0" w:space="0" w:color="auto"/>
            <w:bottom w:val="none" w:sz="0" w:space="0" w:color="auto"/>
            <w:right w:val="none" w:sz="0" w:space="0" w:color="auto"/>
          </w:divBdr>
        </w:div>
        <w:div w:id="1077367253">
          <w:marLeft w:val="0"/>
          <w:marRight w:val="0"/>
          <w:marTop w:val="0"/>
          <w:marBottom w:val="0"/>
          <w:divBdr>
            <w:top w:val="none" w:sz="0" w:space="0" w:color="auto"/>
            <w:left w:val="none" w:sz="0" w:space="0" w:color="auto"/>
            <w:bottom w:val="none" w:sz="0" w:space="0" w:color="auto"/>
            <w:right w:val="none" w:sz="0" w:space="0" w:color="auto"/>
          </w:divBdr>
        </w:div>
        <w:div w:id="2145392277">
          <w:marLeft w:val="0"/>
          <w:marRight w:val="0"/>
          <w:marTop w:val="0"/>
          <w:marBottom w:val="0"/>
          <w:divBdr>
            <w:top w:val="none" w:sz="0" w:space="0" w:color="auto"/>
            <w:left w:val="none" w:sz="0" w:space="0" w:color="auto"/>
            <w:bottom w:val="none" w:sz="0" w:space="0" w:color="auto"/>
            <w:right w:val="none" w:sz="0" w:space="0" w:color="auto"/>
          </w:divBdr>
        </w:div>
        <w:div w:id="1519850258">
          <w:marLeft w:val="0"/>
          <w:marRight w:val="0"/>
          <w:marTop w:val="0"/>
          <w:marBottom w:val="0"/>
          <w:divBdr>
            <w:top w:val="none" w:sz="0" w:space="0" w:color="auto"/>
            <w:left w:val="none" w:sz="0" w:space="0" w:color="auto"/>
            <w:bottom w:val="none" w:sz="0" w:space="0" w:color="auto"/>
            <w:right w:val="none" w:sz="0" w:space="0" w:color="auto"/>
          </w:divBdr>
        </w:div>
        <w:div w:id="690910056">
          <w:marLeft w:val="0"/>
          <w:marRight w:val="0"/>
          <w:marTop w:val="0"/>
          <w:marBottom w:val="0"/>
          <w:divBdr>
            <w:top w:val="none" w:sz="0" w:space="0" w:color="auto"/>
            <w:left w:val="none" w:sz="0" w:space="0" w:color="auto"/>
            <w:bottom w:val="none" w:sz="0" w:space="0" w:color="auto"/>
            <w:right w:val="none" w:sz="0" w:space="0" w:color="auto"/>
          </w:divBdr>
        </w:div>
        <w:div w:id="2065911568">
          <w:marLeft w:val="0"/>
          <w:marRight w:val="0"/>
          <w:marTop w:val="0"/>
          <w:marBottom w:val="0"/>
          <w:divBdr>
            <w:top w:val="none" w:sz="0" w:space="0" w:color="auto"/>
            <w:left w:val="none" w:sz="0" w:space="0" w:color="auto"/>
            <w:bottom w:val="none" w:sz="0" w:space="0" w:color="auto"/>
            <w:right w:val="none" w:sz="0" w:space="0" w:color="auto"/>
          </w:divBdr>
        </w:div>
        <w:div w:id="1197238278">
          <w:marLeft w:val="0"/>
          <w:marRight w:val="0"/>
          <w:marTop w:val="0"/>
          <w:marBottom w:val="0"/>
          <w:divBdr>
            <w:top w:val="none" w:sz="0" w:space="0" w:color="auto"/>
            <w:left w:val="none" w:sz="0" w:space="0" w:color="auto"/>
            <w:bottom w:val="none" w:sz="0" w:space="0" w:color="auto"/>
            <w:right w:val="none" w:sz="0" w:space="0" w:color="auto"/>
          </w:divBdr>
        </w:div>
        <w:div w:id="1148715764">
          <w:marLeft w:val="0"/>
          <w:marRight w:val="0"/>
          <w:marTop w:val="0"/>
          <w:marBottom w:val="0"/>
          <w:divBdr>
            <w:top w:val="none" w:sz="0" w:space="0" w:color="auto"/>
            <w:left w:val="none" w:sz="0" w:space="0" w:color="auto"/>
            <w:bottom w:val="none" w:sz="0" w:space="0" w:color="auto"/>
            <w:right w:val="none" w:sz="0" w:space="0" w:color="auto"/>
          </w:divBdr>
        </w:div>
        <w:div w:id="1106190545">
          <w:marLeft w:val="0"/>
          <w:marRight w:val="0"/>
          <w:marTop w:val="0"/>
          <w:marBottom w:val="0"/>
          <w:divBdr>
            <w:top w:val="none" w:sz="0" w:space="0" w:color="auto"/>
            <w:left w:val="none" w:sz="0" w:space="0" w:color="auto"/>
            <w:bottom w:val="none" w:sz="0" w:space="0" w:color="auto"/>
            <w:right w:val="none" w:sz="0" w:space="0" w:color="auto"/>
          </w:divBdr>
        </w:div>
        <w:div w:id="247884604">
          <w:marLeft w:val="0"/>
          <w:marRight w:val="0"/>
          <w:marTop w:val="0"/>
          <w:marBottom w:val="0"/>
          <w:divBdr>
            <w:top w:val="none" w:sz="0" w:space="0" w:color="auto"/>
            <w:left w:val="none" w:sz="0" w:space="0" w:color="auto"/>
            <w:bottom w:val="none" w:sz="0" w:space="0" w:color="auto"/>
            <w:right w:val="none" w:sz="0" w:space="0" w:color="auto"/>
          </w:divBdr>
        </w:div>
        <w:div w:id="2099906450">
          <w:marLeft w:val="0"/>
          <w:marRight w:val="0"/>
          <w:marTop w:val="0"/>
          <w:marBottom w:val="0"/>
          <w:divBdr>
            <w:top w:val="none" w:sz="0" w:space="0" w:color="auto"/>
            <w:left w:val="none" w:sz="0" w:space="0" w:color="auto"/>
            <w:bottom w:val="none" w:sz="0" w:space="0" w:color="auto"/>
            <w:right w:val="none" w:sz="0" w:space="0" w:color="auto"/>
          </w:divBdr>
        </w:div>
        <w:div w:id="39787941">
          <w:marLeft w:val="0"/>
          <w:marRight w:val="0"/>
          <w:marTop w:val="0"/>
          <w:marBottom w:val="0"/>
          <w:divBdr>
            <w:top w:val="none" w:sz="0" w:space="0" w:color="auto"/>
            <w:left w:val="none" w:sz="0" w:space="0" w:color="auto"/>
            <w:bottom w:val="none" w:sz="0" w:space="0" w:color="auto"/>
            <w:right w:val="none" w:sz="0" w:space="0" w:color="auto"/>
          </w:divBdr>
        </w:div>
        <w:div w:id="1301227354">
          <w:marLeft w:val="0"/>
          <w:marRight w:val="0"/>
          <w:marTop w:val="0"/>
          <w:marBottom w:val="0"/>
          <w:divBdr>
            <w:top w:val="none" w:sz="0" w:space="0" w:color="auto"/>
            <w:left w:val="none" w:sz="0" w:space="0" w:color="auto"/>
            <w:bottom w:val="none" w:sz="0" w:space="0" w:color="auto"/>
            <w:right w:val="none" w:sz="0" w:space="0" w:color="auto"/>
          </w:divBdr>
        </w:div>
        <w:div w:id="820271687">
          <w:marLeft w:val="0"/>
          <w:marRight w:val="0"/>
          <w:marTop w:val="0"/>
          <w:marBottom w:val="0"/>
          <w:divBdr>
            <w:top w:val="none" w:sz="0" w:space="0" w:color="auto"/>
            <w:left w:val="none" w:sz="0" w:space="0" w:color="auto"/>
            <w:bottom w:val="none" w:sz="0" w:space="0" w:color="auto"/>
            <w:right w:val="none" w:sz="0" w:space="0" w:color="auto"/>
          </w:divBdr>
        </w:div>
        <w:div w:id="147795222">
          <w:marLeft w:val="0"/>
          <w:marRight w:val="0"/>
          <w:marTop w:val="0"/>
          <w:marBottom w:val="0"/>
          <w:divBdr>
            <w:top w:val="none" w:sz="0" w:space="0" w:color="auto"/>
            <w:left w:val="none" w:sz="0" w:space="0" w:color="auto"/>
            <w:bottom w:val="none" w:sz="0" w:space="0" w:color="auto"/>
            <w:right w:val="none" w:sz="0" w:space="0" w:color="auto"/>
          </w:divBdr>
        </w:div>
        <w:div w:id="977490858">
          <w:marLeft w:val="0"/>
          <w:marRight w:val="0"/>
          <w:marTop w:val="0"/>
          <w:marBottom w:val="0"/>
          <w:divBdr>
            <w:top w:val="none" w:sz="0" w:space="0" w:color="auto"/>
            <w:left w:val="none" w:sz="0" w:space="0" w:color="auto"/>
            <w:bottom w:val="none" w:sz="0" w:space="0" w:color="auto"/>
            <w:right w:val="none" w:sz="0" w:space="0" w:color="auto"/>
          </w:divBdr>
        </w:div>
        <w:div w:id="1285843786">
          <w:marLeft w:val="0"/>
          <w:marRight w:val="0"/>
          <w:marTop w:val="0"/>
          <w:marBottom w:val="0"/>
          <w:divBdr>
            <w:top w:val="none" w:sz="0" w:space="0" w:color="auto"/>
            <w:left w:val="none" w:sz="0" w:space="0" w:color="auto"/>
            <w:bottom w:val="none" w:sz="0" w:space="0" w:color="auto"/>
            <w:right w:val="none" w:sz="0" w:space="0" w:color="auto"/>
          </w:divBdr>
        </w:div>
        <w:div w:id="415786766">
          <w:marLeft w:val="0"/>
          <w:marRight w:val="0"/>
          <w:marTop w:val="0"/>
          <w:marBottom w:val="0"/>
          <w:divBdr>
            <w:top w:val="none" w:sz="0" w:space="0" w:color="auto"/>
            <w:left w:val="none" w:sz="0" w:space="0" w:color="auto"/>
            <w:bottom w:val="none" w:sz="0" w:space="0" w:color="auto"/>
            <w:right w:val="none" w:sz="0" w:space="0" w:color="auto"/>
          </w:divBdr>
        </w:div>
        <w:div w:id="511726573">
          <w:marLeft w:val="0"/>
          <w:marRight w:val="0"/>
          <w:marTop w:val="0"/>
          <w:marBottom w:val="0"/>
          <w:divBdr>
            <w:top w:val="none" w:sz="0" w:space="0" w:color="auto"/>
            <w:left w:val="none" w:sz="0" w:space="0" w:color="auto"/>
            <w:bottom w:val="none" w:sz="0" w:space="0" w:color="auto"/>
            <w:right w:val="none" w:sz="0" w:space="0" w:color="auto"/>
          </w:divBdr>
        </w:div>
        <w:div w:id="113733576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16/j.sempedsurg.2021.151085" TargetMode="External"/><Relationship Id="rId21" Type="http://schemas.openxmlformats.org/officeDocument/2006/relationships/hyperlink" Target="http://oaji.net/articles/2014/457-1395386739.pdf" TargetMode="External"/><Relationship Id="rId42" Type="http://schemas.openxmlformats.org/officeDocument/2006/relationships/hyperlink" Target="https://doi.org/10.3109/02813432.2014.909163" TargetMode="External"/><Relationship Id="rId63" Type="http://schemas.openxmlformats.org/officeDocument/2006/relationships/hyperlink" Target="https://doi-org.ezproxy.lib.vt.edu/10.1007/s10902-019-00187" TargetMode="External"/><Relationship Id="rId84" Type="http://schemas.openxmlformats.org/officeDocument/2006/relationships/hyperlink" Target="https://doi.org/10.1002/wps.20591.&#160;" TargetMode="External"/><Relationship Id="rId138" Type="http://schemas.openxmlformats.org/officeDocument/2006/relationships/hyperlink" Target="https://doi-org.ezproxy.lib.vt.edu/10.1111/jcpp.12642" TargetMode="External"/><Relationship Id="rId107" Type="http://schemas.openxmlformats.org/officeDocument/2006/relationships/hyperlink" Target="https://doi" TargetMode="External"/><Relationship Id="rId11" Type="http://schemas.openxmlformats.org/officeDocument/2006/relationships/hyperlink" Target="https://doi.org/10.1016/j.neuropharm.2011.02.008" TargetMode="External"/><Relationship Id="rId32" Type="http://schemas.openxmlformats.org/officeDocument/2006/relationships/hyperlink" Target="https://doi-org.ezproxy.lib.vt.edu/10.1002/jclp.22586" TargetMode="External"/><Relationship Id="rId37" Type="http://schemas.openxmlformats.org/officeDocument/2006/relationships/hyperlink" Target="https://doi.org/10.4088/JCP.21m14116" TargetMode="External"/><Relationship Id="rId53" Type="http://schemas.openxmlformats.org/officeDocument/2006/relationships/hyperlink" Target="https://doi.org.ezproxy.lib.vt.edu/10.1023/A:100775871193" TargetMode="External"/><Relationship Id="rId58" Type="http://schemas.openxmlformats.org/officeDocument/2006/relationships/hyperlink" Target="https://doi.org/10.1016/j.expneurol.2004.03.027" TargetMode="External"/><Relationship Id="rId74" Type="http://schemas.openxmlformats.org/officeDocument/2006/relationships/hyperlink" Target="https://doi" TargetMode="External"/><Relationship Id="rId79" Type="http://schemas.openxmlformats.org/officeDocument/2006/relationships/hyperlink" Target="https://doi.org/10.2307/1131134" TargetMode="External"/><Relationship Id="rId102" Type="http://schemas.openxmlformats.org/officeDocument/2006/relationships/hyperlink" Target="https://openprairie.sdstate.edu/ere/vol2/iss1/4" TargetMode="External"/><Relationship Id="rId123" Type="http://schemas.openxmlformats.org/officeDocument/2006/relationships/hyperlink" Target="https://doi.org/10.1155/2020/8830005" TargetMode="External"/><Relationship Id="rId128" Type="http://schemas.openxmlformats.org/officeDocument/2006/relationships/hyperlink" Target="https://doi-org.ezproxy.lib.vt.edu/10.5820/aian.2303.2016.248" TargetMode="External"/><Relationship Id="rId144" Type="http://schemas.microsoft.com/office/2020/10/relationships/intelligence" Target="intelligence2.xml"/><Relationship Id="rId5" Type="http://schemas.openxmlformats.org/officeDocument/2006/relationships/footnotes" Target="footnotes.xml"/><Relationship Id="rId90" Type="http://schemas.openxmlformats.org/officeDocument/2006/relationships/hyperlink" Target="https://doi" TargetMode="External"/><Relationship Id="rId95" Type="http://schemas.openxmlformats.org/officeDocument/2006/relationships/hyperlink" Target="https://doi.org/10.3390/ijerph21020232" TargetMode="External"/><Relationship Id="rId22" Type="http://schemas.openxmlformats.org/officeDocument/2006/relationships/hyperlink" Target="https://doi.org.ezproxy.lib.vt.edu/10.1111/scs.13037" TargetMode="External"/><Relationship Id="rId27" Type="http://schemas.openxmlformats.org/officeDocument/2006/relationships/hyperlink" Target="https://doi.org/10.1126/science.1072290" TargetMode="External"/><Relationship Id="rId43" Type="http://schemas.openxmlformats.org/officeDocument/2006/relationships/hyperlink" Target="https://doi.org/10.7205/milmed.173.10.935" TargetMode="External"/><Relationship Id="rId48" Type="http://schemas.openxmlformats.org/officeDocument/2006/relationships/hyperlink" Target="https://doi.org/10.1016/j.cpr.2010.03.002" TargetMode="External"/><Relationship Id="rId64" Type="http://schemas.openxmlformats.org/officeDocument/2006/relationships/hyperlink" Target="https://doi.org/10.1155/2016/9730467" TargetMode="External"/><Relationship Id="rId69" Type="http://schemas.openxmlformats.org/officeDocument/2006/relationships/hyperlink" Target="https://doi.org/10.1002/jts.21848" TargetMode="External"/><Relationship Id="rId113" Type="http://schemas.openxmlformats.org/officeDocument/2006/relationships/hyperlink" Target="https://doi.org/10.31887/DCNS.2011.13.2/jsherin" TargetMode="External"/><Relationship Id="rId118" Type="http://schemas.openxmlformats.org/officeDocument/2006/relationships/hyperlink" Target="http://www.jstor.org/stable/10.1525/j.ctt1pp9nb.5" TargetMode="External"/><Relationship Id="rId134" Type="http://schemas.openxmlformats.org/officeDocument/2006/relationships/hyperlink" Target="https://doi-org.ezproxy.lib.vt.edu/10.1080/15325020600663078" TargetMode="External"/><Relationship Id="rId139" Type="http://schemas.openxmlformats.org/officeDocument/2006/relationships/hyperlink" Target="https://doi.org/10.1186/s12889-023-15525-x" TargetMode="External"/><Relationship Id="rId80" Type="http://schemas.openxmlformats.org/officeDocument/2006/relationships/hyperlink" Target="https://doi.org/10.1017/s0954579400004156" TargetMode="External"/><Relationship Id="rId85" Type="http://schemas.openxmlformats.org/officeDocument/2006/relationships/hyperlink" Target="https://doi.org/10.3390/children5070098" TargetMode="External"/><Relationship Id="rId12" Type="http://schemas.openxmlformats.org/officeDocument/2006/relationships/hyperlink" Target="https://doi.org/10.1017/s002572730004432x" TargetMode="External"/><Relationship Id="rId17" Type="http://schemas.openxmlformats.org/officeDocument/2006/relationships/hyperlink" Target="https://doi.org/10.1016/j.pscychresns.2017.06.009" TargetMode="External"/><Relationship Id="rId33" Type="http://schemas.openxmlformats.org/officeDocument/2006/relationships/hyperlink" Target="https://doi-org.ezproxy.lib.vt.edu/10.1002/j.2161-1882.2004.tb00249.x" TargetMode="External"/><Relationship Id="rId38" Type="http://schemas.openxmlformats.org/officeDocument/2006/relationships/hyperlink" Target="https://doi.org.ezproxy.lib.vt.edu/10.1080/15299732.2019.1678212" TargetMode="External"/><Relationship Id="rId59" Type="http://schemas.openxmlformats.org/officeDocument/2006/relationships/hyperlink" Target="https://doi.org/10.1007/s10648-015-9307-5" TargetMode="External"/><Relationship Id="rId103" Type="http://schemas.openxmlformats.org/officeDocument/2006/relationships/hyperlink" Target="https://doi.org/10.1038/s41398-021-01633-y" TargetMode="External"/><Relationship Id="rId108" Type="http://schemas.openxmlformats.org/officeDocument/2006/relationships/hyperlink" Target="https://doi.org/10.1017/S0033291717001593" TargetMode="External"/><Relationship Id="rId124" Type="http://schemas.openxmlformats.org/officeDocument/2006/relationships/hyperlink" Target="https://doi.org/10.2174/1745017901208010110" TargetMode="External"/><Relationship Id="rId129" Type="http://schemas.openxmlformats.org/officeDocument/2006/relationships/hyperlink" Target="https://doi-org.ezproxy.lib.vt.edu/10.1007/s11126-017-9508%099" TargetMode="External"/><Relationship Id="rId54" Type="http://schemas.openxmlformats.org/officeDocument/2006/relationships/hyperlink" Target="https://doi.org/10.1016/j.clindermatol.2017.01.005" TargetMode="External"/><Relationship Id="rId70" Type="http://schemas.openxmlformats.org/officeDocument/2006/relationships/hyperlink" Target="https://doi.org/10.1016/j.sel.2023.100004" TargetMode="External"/><Relationship Id="rId75" Type="http://schemas.openxmlformats.org/officeDocument/2006/relationships/hyperlink" Target="https://doi.org/10.1037/tra0000302.&#160;" TargetMode="External"/><Relationship Id="rId91" Type="http://schemas.openxmlformats.org/officeDocument/2006/relationships/hyperlink" Target="https://doi.org/10.1186/s13030-021-00219-w" TargetMode="External"/><Relationship Id="rId96" Type="http://schemas.openxmlformats.org/officeDocument/2006/relationships/hyperlink" Target="https://doi.org/10.3402/ejpt.v5.25339" TargetMode="External"/><Relationship Id="rId14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doi-org.ezproxy.lib.vt.edu/10.1002/jts.22617" TargetMode="External"/><Relationship Id="rId28" Type="http://schemas.openxmlformats.org/officeDocument/2006/relationships/hyperlink" Target="https://doi.org.ezproxy.lib.vt.edu/10.1080/15325024.2019.1703610" TargetMode="External"/><Relationship Id="rId49" Type="http://schemas.openxmlformats.org/officeDocument/2006/relationships/hyperlink" Target="https://psycnet.apa.org/doi/10.1037/10127-032" TargetMode="External"/><Relationship Id="rId114" Type="http://schemas.openxmlformats.org/officeDocument/2006/relationships/hyperlink" Target="http://www.jstor.org/stable/45136502" TargetMode="External"/><Relationship Id="rId119" Type="http://schemas.openxmlformats.org/officeDocument/2006/relationships/hyperlink" Target="https://doi-org.ezproxy.lib.vt.edu/10.1002/jts.22197" TargetMode="External"/><Relationship Id="rId44" Type="http://schemas.openxmlformats.org/officeDocument/2006/relationships/hyperlink" Target="https://doi" TargetMode="External"/><Relationship Id="rId60" Type="http://schemas.openxmlformats.org/officeDocument/2006/relationships/hyperlink" Target="https://doi.org.ezproxy.lib.vt.edu/10.1007/s11013-016-9493-8" TargetMode="External"/><Relationship Id="rId65" Type="http://schemas.openxmlformats.org/officeDocument/2006/relationships/hyperlink" Target="https://doi.org/10.1177/0963721412443552" TargetMode="External"/><Relationship Id="rId81" Type="http://schemas.openxmlformats.org/officeDocument/2006/relationships/hyperlink" Target="https://doi.org/10.1037/h0079218" TargetMode="External"/><Relationship Id="rId86" Type="http://schemas.openxmlformats.org/officeDocument/2006/relationships/hyperlink" Target="https://doi.org/10.1177/0963721411429458" TargetMode="External"/><Relationship Id="rId130" Type="http://schemas.openxmlformats.org/officeDocument/2006/relationships/hyperlink" Target="https://doi.org/10.4324/9780203046586" TargetMode="External"/><Relationship Id="rId135" Type="http://schemas.openxmlformats.org/officeDocument/2006/relationships/hyperlink" Target="https://www.ncbi.nlm.nih.gov/books/NBK604200/" TargetMode="External"/><Relationship Id="rId13" Type="http://schemas.openxmlformats.org/officeDocument/2006/relationships/hyperlink" Target="https://doi.org/10.1017/S0033291715001981" TargetMode="External"/><Relationship Id="rId18" Type="http://schemas.openxmlformats.org/officeDocument/2006/relationships/hyperlink" Target="https://doi.org/10.3389/fnbeh.2013.00139" TargetMode="External"/><Relationship Id="rId39" Type="http://schemas.openxmlformats.org/officeDocument/2006/relationships/hyperlink" Target="https://doi.org/10.1080/20008198.2020.1822064" TargetMode="External"/><Relationship Id="rId109" Type="http://schemas.openxmlformats.org/officeDocument/2006/relationships/hyperlink" Target="https://doi.org/10.1037/a0021344" TargetMode="External"/><Relationship Id="rId34" Type="http://schemas.openxmlformats.org/officeDocument/2006/relationships/hyperlink" Target="https://doi.org/10.3389/fpsyt.2022.800687" TargetMode="External"/><Relationship Id="rId50" Type="http://schemas.openxmlformats.org/officeDocument/2006/relationships/hyperlink" Target="https://doi.org/10.1037/0002-9432.76.4.451" TargetMode="External"/><Relationship Id="rId55" Type="http://schemas.openxmlformats.org/officeDocument/2006/relationships/hyperlink" Target="https://doi.org/10.1016/j.aip.2024.102218" TargetMode="External"/><Relationship Id="rId76" Type="http://schemas.openxmlformats.org/officeDocument/2006/relationships/hyperlink" Target="https://doiorg.ezproxy.lib.vt.edu/10.1080/13607863.2019.1597014" TargetMode="External"/><Relationship Id="rId97" Type="http://schemas.openxmlformats.org/officeDocument/2006/relationships/hyperlink" Target="https://doi.org/10.3402/ejpt.v6.28092" TargetMode="External"/><Relationship Id="rId104" Type="http://schemas.openxmlformats.org/officeDocument/2006/relationships/hyperlink" Target="https://doi.org/10.1016/j.cedpsych.2020.101860" TargetMode="External"/><Relationship Id="rId120" Type="http://schemas.openxmlformats.org/officeDocument/2006/relationships/hyperlink" Target="https://doi.org/10.3402/ejpt.v5.25338" TargetMode="External"/><Relationship Id="rId125" Type="http://schemas.openxmlformats.org/officeDocument/2006/relationships/hyperlink" Target="https://doi-org.ezproxy.lib.vt.edu/10.1080/16066350500262817" TargetMode="External"/><Relationship Id="rId141" Type="http://schemas.openxmlformats.org/officeDocument/2006/relationships/footer" Target="footer1.xml"/><Relationship Id="rId7" Type="http://schemas.openxmlformats.org/officeDocument/2006/relationships/image" Target="media/image1.png"/><Relationship Id="rId71" Type="http://schemas.openxmlformats.org/officeDocument/2006/relationships/hyperlink" Target="https://doi.org/10.1080/20008066.2023.2165025" TargetMode="External"/><Relationship Id="rId92" Type="http://schemas.openxmlformats.org/officeDocument/2006/relationships/hyperlink" Target="https://doi.org.ezproxy.lib.vt.edu/10.1080/15325024.2017.1415734" TargetMode="External"/><Relationship Id="rId2" Type="http://schemas.openxmlformats.org/officeDocument/2006/relationships/styles" Target="styles.xml"/><Relationship Id="rId29" Type="http://schemas.openxmlformats.org/officeDocument/2006/relationships/hyperlink" Target="https://doi.org/10.1038/sj.npp.1301559" TargetMode="External"/><Relationship Id="rId24" Type="http://schemas.openxmlformats.org/officeDocument/2006/relationships/hyperlink" Target="http://dx.doi.org/10.1016/j.sbspro.2014.04.335" TargetMode="External"/><Relationship Id="rId40" Type="http://schemas.openxmlformats.org/officeDocument/2006/relationships/hyperlink" Target="https://doi.org/10.1146/annurev-psych-113011-143750" TargetMode="External"/><Relationship Id="rId45" Type="http://schemas.openxmlformats.org/officeDocument/2006/relationships/hyperlink" Target="https://doi.org/10.1007/s11920-015-0566-0" TargetMode="External"/><Relationship Id="rId66" Type="http://schemas.openxmlformats.org/officeDocument/2006/relationships/hyperlink" Target="https://doi.org/10.1016/j.cpr.2010.03.001" TargetMode="External"/><Relationship Id="rId87" Type="http://schemas.openxmlformats.org/officeDocument/2006/relationships/hyperlink" Target="https://doi.org/10.1177/10253823070140020701x" TargetMode="External"/><Relationship Id="rId110" Type="http://schemas.openxmlformats.org/officeDocument/2006/relationships/hyperlink" Target="https://doi.org.ezproxy.lib.vt.edu/10.1002/da.23271" TargetMode="External"/><Relationship Id="rId115" Type="http://schemas.openxmlformats.org/officeDocument/2006/relationships/hyperlink" Target="https://doi.org/10.1038/s41562-020-00981-x" TargetMode="External"/><Relationship Id="rId131" Type="http://schemas.openxmlformats.org/officeDocument/2006/relationships/hyperlink" Target="https://doi.org/10.31887/DCNS.2000.2.1/bvdkolk" TargetMode="External"/><Relationship Id="rId136" Type="http://schemas.openxmlformats.org/officeDocument/2006/relationships/hyperlink" Target="https://doi.org/10.1002/jts.20260" TargetMode="External"/><Relationship Id="rId61" Type="http://schemas.openxmlformats.org/officeDocument/2006/relationships/hyperlink" Target="https://doi.org/10.1016/j.tics.2012.01.006" TargetMode="External"/><Relationship Id="rId82" Type="http://schemas.openxmlformats.org/officeDocument/2006/relationships/hyperlink" Target="https://doi.org/10.1037/abn0000531" TargetMode="External"/><Relationship Id="rId19" Type="http://schemas.openxmlformats.org/officeDocument/2006/relationships/hyperlink" Target="https://doi.org/10.1016/j.neuron.2010.11.022" TargetMode="External"/><Relationship Id="rId14" Type="http://schemas.openxmlformats.org/officeDocument/2006/relationships/hyperlink" Target="https://doi.org/10.1007/s00221%09008-1611-6" TargetMode="External"/><Relationship Id="rId30" Type="http://schemas.openxmlformats.org/officeDocument/2006/relationships/hyperlink" Target="https://doi.org/10.1111/ajpy.12043" TargetMode="External"/><Relationship Id="rId35" Type="http://schemas.openxmlformats.org/officeDocument/2006/relationships/hyperlink" Target="https://doi-org.ezproxy.lib.vt.edu/10.1111/cch.12858" TargetMode="External"/><Relationship Id="rId56" Type="http://schemas.openxmlformats.org/officeDocument/2006/relationships/hyperlink" Target="https://doi-org.ezproxy.lib.vt.edu/10.1007/s10608-022-10328-7" TargetMode="External"/><Relationship Id="rId77" Type="http://schemas.openxmlformats.org/officeDocument/2006/relationships/hyperlink" Target="https://doi.org/10.1111/j.1467%098721.2006.00449.x" TargetMode="External"/><Relationship Id="rId100" Type="http://schemas.openxmlformats.org/officeDocument/2006/relationships/hyperlink" Target="https://doi.org.ezproxy.lib.vt.edu/10.1162/jocn.2006.18.7.1112" TargetMode="External"/><Relationship Id="rId105" Type="http://schemas.openxmlformats.org/officeDocument/2006/relationships/hyperlink" Target="http://dx.doi.org/10.1207/S1532480XADS0401_3" TargetMode="External"/><Relationship Id="rId126" Type="http://schemas.openxmlformats.org/officeDocument/2006/relationships/hyperlink" Target="http://www.jstor.org/stable/20447194" TargetMode="External"/><Relationship Id="rId8" Type="http://schemas.openxmlformats.org/officeDocument/2006/relationships/hyperlink" Target="https://doi.org/10.1016/s0277-9536(99)00399-8" TargetMode="External"/><Relationship Id="rId51" Type="http://schemas.openxmlformats.org/officeDocument/2006/relationships/hyperlink" Target="https://doi.org/10.1080/15299732.2014.871666" TargetMode="External"/><Relationship Id="rId72" Type="http://schemas.openxmlformats.org/officeDocument/2006/relationships/hyperlink" Target="https://doi.org.ezproxy.lib.vt.edu/10.1162/NECO_a_00917" TargetMode="External"/><Relationship Id="rId93" Type="http://schemas.openxmlformats.org/officeDocument/2006/relationships/hyperlink" Target="https://doi.org/10.1017/S0033291707001353" TargetMode="External"/><Relationship Id="rId98" Type="http://schemas.openxmlformats.org/officeDocument/2006/relationships/hyperlink" Target="https://doi-org.ezproxy.lib.vt.edu/10.1002/jts.21785" TargetMode="External"/><Relationship Id="rId121" Type="http://schemas.openxmlformats.org/officeDocument/2006/relationships/hyperlink" Target="https://doi.org/10.1136/gut.40.6.704" TargetMode="External"/><Relationship Id="rId142" Type="http://schemas.openxmlformats.org/officeDocument/2006/relationships/fontTable" Target="fontTable.xml"/><Relationship Id="rId3" Type="http://schemas.openxmlformats.org/officeDocument/2006/relationships/settings" Target="settings.xml"/><Relationship Id="rId25" Type="http://schemas.openxmlformats.org/officeDocument/2006/relationships/hyperlink" Target="https://doi.org/10.1016/j.cobeha.2015.11.018" TargetMode="External"/><Relationship Id="rId46" Type="http://schemas.openxmlformats.org/officeDocument/2006/relationships/hyperlink" Target="https://doi.org/10.1016/j.jad.2020.10.009" TargetMode="External"/><Relationship Id="rId67" Type="http://schemas.openxmlformats.org/officeDocument/2006/relationships/hyperlink" Target="https://doi.org/10.1001/archpsyc.1995.03950240066012" TargetMode="External"/><Relationship Id="rId116" Type="http://schemas.openxmlformats.org/officeDocument/2006/relationships/hyperlink" Target="https://doi.org/10.1186/s12877-021-02074-4" TargetMode="External"/><Relationship Id="rId137" Type="http://schemas.openxmlformats.org/officeDocument/2006/relationships/hyperlink" Target="https://doi.org/10.1002/wps.20568" TargetMode="External"/><Relationship Id="rId20" Type="http://schemas.openxmlformats.org/officeDocument/2006/relationships/hyperlink" Target="https://doi.org.ezproxy.lib.vt.edu/10.1111/cdev.13512" TargetMode="External"/><Relationship Id="rId41" Type="http://schemas.openxmlformats.org/officeDocument/2006/relationships/hyperlink" Target="https://doi.org/10.1016/j.ejtd.2021.100237" TargetMode="External"/><Relationship Id="rId62" Type="http://schemas.openxmlformats.org/officeDocument/2006/relationships/hyperlink" Target="https://doi.org/10.1080/20008198.2019.1648173" TargetMode="External"/><Relationship Id="rId83" Type="http://schemas.openxmlformats.org/officeDocument/2006/relationships/hyperlink" Target="https://doi.org/10.1111/cdev.12205" TargetMode="External"/><Relationship Id="rId88" Type="http://schemas.openxmlformats.org/officeDocument/2006/relationships/hyperlink" Target="https://psycnet.apa.org/doi/10.1080/03033910.2011.613189" TargetMode="External"/><Relationship Id="rId111" Type="http://schemas.openxmlformats.org/officeDocument/2006/relationships/hyperlink" Target="https://www.ncbi.nlm.nih.gov/books/NBK539894/" TargetMode="External"/><Relationship Id="rId132" Type="http://schemas.openxmlformats.org/officeDocument/2006/relationships/hyperlink" Target="https://doi.org/10.1097/JOM.0000000000000499" TargetMode="External"/><Relationship Id="rId15" Type="http://schemas.openxmlformats.org/officeDocument/2006/relationships/hyperlink" Target="https://doi.org/10.3389/fphys.2020.00200" TargetMode="External"/><Relationship Id="rId36" Type="http://schemas.openxmlformats.org/officeDocument/2006/relationships/hyperlink" Target="https://doi.org/10.1016/j.tins.2015.07.003" TargetMode="External"/><Relationship Id="rId57" Type="http://schemas.openxmlformats.org/officeDocument/2006/relationships/hyperlink" Target="https://doi.org.ezproxy.lib.vt.edu/10.1038/nrn2850" TargetMode="External"/><Relationship Id="rId106" Type="http://schemas.openxmlformats.org/officeDocument/2006/relationships/hyperlink" Target="https://doi.org/10.1371/journal.pone.0080329" TargetMode="External"/><Relationship Id="rId127" Type="http://schemas.openxmlformats.org/officeDocument/2006/relationships/hyperlink" Target="https://doi.org/10.1080/08946566.2017.1375444" TargetMode="External"/><Relationship Id="rId10" Type="http://schemas.openxmlformats.org/officeDocument/2006/relationships/hyperlink" Target="https://doi.org/10.1002/da.22579" TargetMode="External"/><Relationship Id="rId31" Type="http://schemas.openxmlformats.org/officeDocument/2006/relationships/hyperlink" Target="https://doi.org/10.1017/mdh.2016.6" TargetMode="External"/><Relationship Id="rId52" Type="http://schemas.openxmlformats.org/officeDocument/2006/relationships/hyperlink" Target="https://doi-org.ezproxy.lib.vt.edu/10.1002/jcad.12145" TargetMode="External"/><Relationship Id="rId73" Type="http://schemas.openxmlformats.org/officeDocument/2006/relationships/hyperlink" Target="https://doi" TargetMode="External"/><Relationship Id="rId78" Type="http://schemas.openxmlformats.org/officeDocument/2006/relationships/hyperlink" Target="https://doi.org/10.1002/jts.22411" TargetMode="External"/><Relationship Id="rId94" Type="http://schemas.openxmlformats.org/officeDocument/2006/relationships/hyperlink" Target="https://doi-org.ezproxy.lib.vt.edu/10.1111/bjhp.12554" TargetMode="External"/><Relationship Id="rId99" Type="http://schemas.openxmlformats.org/officeDocument/2006/relationships/hyperlink" Target="https://doi" TargetMode="External"/><Relationship Id="rId101" Type="http://schemas.openxmlformats.org/officeDocument/2006/relationships/hyperlink" Target="https://doi.org/10.1097/FCH.0000000000000071" TargetMode="External"/><Relationship Id="rId122" Type="http://schemas.openxmlformats.org/officeDocument/2006/relationships/hyperlink" Target="https://doi.org/10.1192/bja.2018.29.&#160;" TargetMode="External"/><Relationship Id="rId14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oi-org.ezproxy.lib.vt.edu/10.1080/09540121.2018.1466981" TargetMode="External"/><Relationship Id="rId26" Type="http://schemas.openxmlformats.org/officeDocument/2006/relationships/hyperlink" Target="https://doi.org/10.1016/j.cpr.2012.06.002" TargetMode="External"/><Relationship Id="rId47" Type="http://schemas.openxmlformats.org/officeDocument/2006/relationships/hyperlink" Target="https://doi" TargetMode="External"/><Relationship Id="rId68" Type="http://schemas.openxmlformats.org/officeDocument/2006/relationships/hyperlink" Target="https://doi.org/10.1007/978-0-387-79061-9_26" TargetMode="External"/><Relationship Id="rId89" Type="http://schemas.openxmlformats.org/officeDocument/2006/relationships/hyperlink" Target="https://doi.org/10.1038/sj.mp.4001939" TargetMode="External"/><Relationship Id="rId112" Type="http://schemas.openxmlformats.org/officeDocument/2006/relationships/hyperlink" Target="https://doi.org/10.1016/j.jbtep.2014.03.002" TargetMode="External"/><Relationship Id="rId133" Type="http://schemas.openxmlformats.org/officeDocument/2006/relationships/hyperlink" Target="https://doi-org.ezproxy.lib.vt.edu/10.1002/jts.20274" TargetMode="External"/><Relationship Id="rId16" Type="http://schemas.openxmlformats.org/officeDocument/2006/relationships/hyperlink" Target="https://doi-org.ezproxy.lib.vt.edu/10.1007/s10608-018-9928-3"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54</Pages>
  <Words>15521</Words>
  <Characters>88471</Characters>
  <Application>Microsoft Office Word</Application>
  <DocSecurity>0</DocSecurity>
  <Lines>737</Lines>
  <Paragraphs>207</Paragraphs>
  <ScaleCrop>false</ScaleCrop>
  <Company/>
  <LinksUpToDate>false</LinksUpToDate>
  <CharactersWithSpaces>103785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Mackenzie Rose</dc:creator>
  <cp:lastModifiedBy>Johnson, Marcus</cp:lastModifiedBy>
  <cp:revision>3</cp:revision>
  <dcterms:created xsi:type="dcterms:W3CDTF">2025-02-07T22:43:00Z</dcterms:created>
  <dcterms:modified xsi:type="dcterms:W3CDTF">2025-02-07T22:51:00Z</dcterms:modified>
</cp:coreProperties>
</file>