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B568C8" w14:textId="171DADBD" w:rsidR="007022C7" w:rsidRPr="007022C7" w:rsidRDefault="005C57A3">
      <w:pPr>
        <w:rPr>
          <w:rFonts w:ascii="Calibri" w:hAnsi="Calibri" w:cs="Calibri"/>
          <w:b/>
          <w:bCs/>
          <w:sz w:val="28"/>
          <w:szCs w:val="28"/>
        </w:rPr>
      </w:pPr>
      <w:bookmarkStart w:id="0" w:name="_GoBack"/>
      <w:bookmarkEnd w:id="0"/>
      <w:r>
        <w:rPr>
          <w:rFonts w:ascii="Calibri" w:hAnsi="Calibri" w:cs="Calibri"/>
          <w:b/>
          <w:bCs/>
          <w:sz w:val="28"/>
          <w:szCs w:val="28"/>
        </w:rPr>
        <w:t>Design</w:t>
      </w:r>
      <w:r w:rsidR="007022C7" w:rsidRPr="007022C7">
        <w:rPr>
          <w:rFonts w:ascii="Calibri" w:hAnsi="Calibri" w:cs="Calibri"/>
          <w:b/>
          <w:bCs/>
          <w:sz w:val="28"/>
          <w:szCs w:val="28"/>
        </w:rPr>
        <w:t xml:space="preserve"> of </w:t>
      </w:r>
      <w:r w:rsidR="002C7C6A">
        <w:rPr>
          <w:rFonts w:ascii="Calibri" w:hAnsi="Calibri" w:cs="Calibri"/>
          <w:b/>
          <w:bCs/>
          <w:sz w:val="28"/>
          <w:szCs w:val="28"/>
        </w:rPr>
        <w:t xml:space="preserve">Multimodal </w:t>
      </w:r>
      <w:r w:rsidR="007022C7" w:rsidRPr="007022C7">
        <w:rPr>
          <w:rFonts w:ascii="Calibri" w:hAnsi="Calibri" w:cs="Calibri"/>
          <w:b/>
          <w:bCs/>
          <w:sz w:val="28"/>
          <w:szCs w:val="28"/>
        </w:rPr>
        <w:t xml:space="preserve">In-Vehicle </w:t>
      </w:r>
      <w:r>
        <w:rPr>
          <w:rFonts w:ascii="Calibri" w:hAnsi="Calibri" w:cs="Calibri"/>
          <w:b/>
          <w:bCs/>
          <w:sz w:val="28"/>
          <w:szCs w:val="28"/>
        </w:rPr>
        <w:t>Notification</w:t>
      </w:r>
      <w:r w:rsidR="0006193B">
        <w:rPr>
          <w:rFonts w:ascii="Calibri" w:hAnsi="Calibri" w:cs="Calibri"/>
          <w:b/>
          <w:bCs/>
          <w:sz w:val="28"/>
          <w:szCs w:val="28"/>
        </w:rPr>
        <w:t>s</w:t>
      </w:r>
      <w:r w:rsidR="007022C7" w:rsidRPr="007022C7">
        <w:rPr>
          <w:rFonts w:ascii="Calibri" w:hAnsi="Calibri" w:cs="Calibri"/>
          <w:b/>
          <w:bCs/>
          <w:sz w:val="28"/>
          <w:szCs w:val="28"/>
        </w:rPr>
        <w:t xml:space="preserve"> at </w:t>
      </w:r>
      <w:r w:rsidR="002C7C6A">
        <w:rPr>
          <w:rFonts w:ascii="Calibri" w:hAnsi="Calibri" w:cs="Calibri"/>
          <w:b/>
          <w:bCs/>
          <w:sz w:val="28"/>
          <w:szCs w:val="28"/>
        </w:rPr>
        <w:t>Highway-</w:t>
      </w:r>
      <w:r w:rsidR="007022C7" w:rsidRPr="007022C7">
        <w:rPr>
          <w:rFonts w:ascii="Calibri" w:hAnsi="Calibri" w:cs="Calibri"/>
          <w:b/>
          <w:bCs/>
          <w:sz w:val="28"/>
          <w:szCs w:val="28"/>
        </w:rPr>
        <w:t>Rail</w:t>
      </w:r>
      <w:r w:rsidR="002C7C6A">
        <w:rPr>
          <w:rFonts w:ascii="Calibri" w:hAnsi="Calibri" w:cs="Calibri"/>
          <w:b/>
          <w:bCs/>
          <w:sz w:val="28"/>
          <w:szCs w:val="28"/>
        </w:rPr>
        <w:t xml:space="preserve"> Grade</w:t>
      </w:r>
      <w:r w:rsidR="007022C7" w:rsidRPr="007022C7">
        <w:rPr>
          <w:rFonts w:ascii="Calibri" w:hAnsi="Calibri" w:cs="Calibri"/>
          <w:b/>
          <w:bCs/>
          <w:sz w:val="28"/>
          <w:szCs w:val="28"/>
        </w:rPr>
        <w:t xml:space="preserve"> Crossings: A Perception Study</w:t>
      </w:r>
    </w:p>
    <w:p w14:paraId="2CD74E66" w14:textId="77777777" w:rsidR="007022C7" w:rsidRDefault="007022C7">
      <w:pPr>
        <w:rPr>
          <w:rFonts w:ascii="Calibri" w:hAnsi="Calibri" w:cs="Calibri"/>
        </w:rPr>
      </w:pPr>
    </w:p>
    <w:p w14:paraId="1A7DEAA6" w14:textId="7678140D" w:rsidR="003F38F4" w:rsidRPr="007022C7" w:rsidRDefault="007022C7">
      <w:pPr>
        <w:rPr>
          <w:rFonts w:ascii="Calibri" w:hAnsi="Calibri" w:cs="Calibri"/>
          <w:b/>
          <w:bCs/>
        </w:rPr>
      </w:pPr>
      <w:r w:rsidRPr="007022C7">
        <w:rPr>
          <w:rFonts w:ascii="Calibri" w:hAnsi="Calibri" w:cs="Calibri"/>
          <w:b/>
          <w:bCs/>
        </w:rPr>
        <w:t>Objectives</w:t>
      </w:r>
      <w:r w:rsidR="000D6974">
        <w:rPr>
          <w:rFonts w:ascii="Calibri" w:hAnsi="Calibri" w:cs="Calibri"/>
          <w:b/>
          <w:bCs/>
        </w:rPr>
        <w:t xml:space="preserve"> (491/500)</w:t>
      </w:r>
    </w:p>
    <w:p w14:paraId="194303E7" w14:textId="19D70598" w:rsidR="007022C7" w:rsidRDefault="00911426" w:rsidP="00DD6C1C">
      <w:pPr>
        <w:jc w:val="both"/>
        <w:rPr>
          <w:rFonts w:ascii="Calibri" w:hAnsi="Calibri" w:cs="Calibri"/>
        </w:rPr>
      </w:pPr>
      <w:r>
        <w:rPr>
          <w:rFonts w:ascii="Calibri" w:hAnsi="Calibri" w:cs="Calibri"/>
        </w:rPr>
        <w:t>Accidents at Highway</w:t>
      </w:r>
      <w:r w:rsidR="002C7C6A">
        <w:rPr>
          <w:rFonts w:ascii="Calibri" w:hAnsi="Calibri" w:cs="Calibri"/>
        </w:rPr>
        <w:t>-</w:t>
      </w:r>
      <w:r>
        <w:rPr>
          <w:rFonts w:ascii="Calibri" w:hAnsi="Calibri" w:cs="Calibri"/>
        </w:rPr>
        <w:t xml:space="preserve">Rail Grade Crossings (HRGCs) continue to be a worrisome issue, leading to great loss of life, </w:t>
      </w:r>
      <w:r w:rsidR="003C63C6">
        <w:rPr>
          <w:rFonts w:ascii="Calibri" w:hAnsi="Calibri" w:cs="Calibri"/>
        </w:rPr>
        <w:t>productivity,</w:t>
      </w:r>
      <w:r w:rsidR="004848FD">
        <w:rPr>
          <w:rFonts w:ascii="Calibri" w:hAnsi="Calibri" w:cs="Calibri"/>
        </w:rPr>
        <w:t xml:space="preserve"> </w:t>
      </w:r>
      <w:r w:rsidR="003C63C6">
        <w:rPr>
          <w:rFonts w:ascii="Calibri" w:hAnsi="Calibri" w:cs="Calibri"/>
        </w:rPr>
        <w:t>medical</w:t>
      </w:r>
      <w:r w:rsidR="004848FD">
        <w:rPr>
          <w:rFonts w:ascii="Calibri" w:hAnsi="Calibri" w:cs="Calibri"/>
        </w:rPr>
        <w:t>,</w:t>
      </w:r>
      <w:r w:rsidR="003C63C6">
        <w:rPr>
          <w:rFonts w:ascii="Calibri" w:hAnsi="Calibri" w:cs="Calibri"/>
        </w:rPr>
        <w:t xml:space="preserve"> and legal costs that </w:t>
      </w:r>
      <w:r>
        <w:rPr>
          <w:rFonts w:ascii="Calibri" w:hAnsi="Calibri" w:cs="Calibri"/>
        </w:rPr>
        <w:t>a</w:t>
      </w:r>
      <w:r w:rsidR="003C63C6">
        <w:rPr>
          <w:rFonts w:ascii="Calibri" w:hAnsi="Calibri" w:cs="Calibri"/>
        </w:rPr>
        <w:t>d</w:t>
      </w:r>
      <w:r>
        <w:rPr>
          <w:rFonts w:ascii="Calibri" w:hAnsi="Calibri" w:cs="Calibri"/>
        </w:rPr>
        <w:t>d</w:t>
      </w:r>
      <w:r w:rsidR="00DD6C1C">
        <w:rPr>
          <w:rFonts w:ascii="Calibri" w:hAnsi="Calibri" w:cs="Calibri"/>
        </w:rPr>
        <w:t>ed</w:t>
      </w:r>
      <w:r>
        <w:rPr>
          <w:rFonts w:ascii="Calibri" w:hAnsi="Calibri" w:cs="Calibri"/>
        </w:rPr>
        <w:t xml:space="preserve"> </w:t>
      </w:r>
      <w:r w:rsidR="003C63C6">
        <w:rPr>
          <w:rFonts w:ascii="Calibri" w:hAnsi="Calibri" w:cs="Calibri"/>
        </w:rPr>
        <w:t xml:space="preserve">up to nearly $40 million </w:t>
      </w:r>
      <w:r w:rsidR="00DD6C1C">
        <w:rPr>
          <w:rFonts w:ascii="Calibri" w:hAnsi="Calibri" w:cs="Calibri"/>
        </w:rPr>
        <w:t xml:space="preserve">between 2008 and 2017 </w:t>
      </w:r>
      <w:r w:rsidR="004848FD">
        <w:rPr>
          <w:rFonts w:ascii="Calibri" w:hAnsi="Calibri" w:cs="Calibri"/>
        </w:rPr>
        <w:t>withi</w:t>
      </w:r>
      <w:r w:rsidR="00DD6C1C">
        <w:rPr>
          <w:rFonts w:ascii="Calibri" w:hAnsi="Calibri" w:cs="Calibri"/>
        </w:rPr>
        <w:t>n the US</w:t>
      </w:r>
      <w:r w:rsidR="004848FD">
        <w:rPr>
          <w:rFonts w:ascii="Calibri" w:hAnsi="Calibri" w:cs="Calibri"/>
        </w:rPr>
        <w:t xml:space="preserve"> alone</w:t>
      </w:r>
      <w:r w:rsidR="00DD6C1C">
        <w:rPr>
          <w:rFonts w:ascii="Calibri" w:hAnsi="Calibri" w:cs="Calibri"/>
        </w:rPr>
        <w:t xml:space="preserve"> </w:t>
      </w:r>
      <w:r w:rsidR="003C63C6">
        <w:rPr>
          <w:rFonts w:ascii="Calibri" w:hAnsi="Calibri" w:cs="Calibri"/>
        </w:rPr>
        <w:fldChar w:fldCharType="begin"/>
      </w:r>
      <w:r w:rsidR="003C63C6">
        <w:rPr>
          <w:rFonts w:ascii="Calibri" w:hAnsi="Calibri" w:cs="Calibri"/>
        </w:rPr>
        <w:instrText xml:space="preserve"> ADDIN ZOTERO_ITEM CSL_CITATION {"citationID":"2Pan05Hh","properties":{"formattedCitation":"(Hellman &amp; Poirier, 2019)","plainCitation":"(Hellman &amp; Poirier, 2019)","noteIndex":0},"citationItems":[{"id":1542,"uris":["http://zotero.org/users/9427805/items/AFMXBTBT"],"itemData":{"id":1542,"type":"report","abstract":"The Federal Railroad Administration (FRA) accident data from the 2008–2017 study period showed that annual combined highway-\nrail intersection (HRI) and rail infrastructure accident costs were between $20 million and $40 million dollars. An alternative\nmethod developed by the National Highway Cooperative Research Program (NCHRP) provides for the economic losses associatedwith medical and legal costs, lost productivity, and travel delay. The results from using this alternative method showed that these costs are between $1.6 and $1.9 billion annually.","event-place":"55 Broadway Cambridge, MA 02142","genre":"Technical Report","language":"en","number":"DOT-VNTSC-FRA-19-04","page":"45","publisher":"U.S. Department of Transportation Office of the Assistant Secretary for Research and Technology John A. Volpe National Transportation Systems Center","publisher-place":"55 Broadway Cambridge, MA 02142","source":"Zotero","title":"Highway-Rail Intersection Crash Taxonomy for Connected Vehicle Safety Research - Ten Year Trend","author":[{"family":"Hellman","given":"Adrian"},{"family":"Poirier","given":"Paul"}],"issued":{"date-parts":[["2019",7]]}}}],"schema":"https://github.com/citation-style-language/schema/raw/master/csl-citation.json"} </w:instrText>
      </w:r>
      <w:r w:rsidR="003C63C6">
        <w:rPr>
          <w:rFonts w:ascii="Calibri" w:hAnsi="Calibri" w:cs="Calibri"/>
        </w:rPr>
        <w:fldChar w:fldCharType="separate"/>
      </w:r>
      <w:r w:rsidR="003C63C6">
        <w:rPr>
          <w:rFonts w:ascii="Calibri" w:hAnsi="Calibri" w:cs="Calibri"/>
          <w:noProof/>
        </w:rPr>
        <w:t>(Hellman &amp; Poirier, 2019)</w:t>
      </w:r>
      <w:r w:rsidR="003C63C6">
        <w:rPr>
          <w:rFonts w:ascii="Calibri" w:hAnsi="Calibri" w:cs="Calibri"/>
        </w:rPr>
        <w:fldChar w:fldCharType="end"/>
      </w:r>
      <w:r>
        <w:rPr>
          <w:rFonts w:ascii="Calibri" w:hAnsi="Calibri" w:cs="Calibri"/>
        </w:rPr>
        <w:t>.</w:t>
      </w:r>
      <w:r w:rsidR="00537571">
        <w:rPr>
          <w:rFonts w:ascii="Calibri" w:hAnsi="Calibri" w:cs="Calibri"/>
        </w:rPr>
        <w:t xml:space="preserve"> </w:t>
      </w:r>
      <w:r w:rsidR="00DD6C1C">
        <w:rPr>
          <w:rFonts w:ascii="Calibri" w:hAnsi="Calibri" w:cs="Calibri"/>
        </w:rPr>
        <w:t>Within that same period</w:t>
      </w:r>
      <w:r w:rsidR="00537571">
        <w:rPr>
          <w:rFonts w:ascii="Calibri" w:hAnsi="Calibri" w:cs="Calibri"/>
        </w:rPr>
        <w:t>, a total of 19,639 incidents were reported at different types of HRGCs, and 67% of them were due to motorist</w:t>
      </w:r>
      <w:r w:rsidR="00DD6C1C">
        <w:rPr>
          <w:rFonts w:ascii="Calibri" w:hAnsi="Calibri" w:cs="Calibri"/>
        </w:rPr>
        <w:t>s not</w:t>
      </w:r>
      <w:r w:rsidR="00537571">
        <w:rPr>
          <w:rFonts w:ascii="Calibri" w:hAnsi="Calibri" w:cs="Calibri"/>
        </w:rPr>
        <w:t xml:space="preserve"> stopping at an active HRGC </w:t>
      </w:r>
      <w:r w:rsidR="003C63C6">
        <w:rPr>
          <w:rFonts w:ascii="Calibri" w:hAnsi="Calibri" w:cs="Calibri"/>
        </w:rPr>
        <w:fldChar w:fldCharType="begin"/>
      </w:r>
      <w:r w:rsidR="003C63C6">
        <w:rPr>
          <w:rFonts w:ascii="Calibri" w:hAnsi="Calibri" w:cs="Calibri"/>
        </w:rPr>
        <w:instrText xml:space="preserve"> ADDIN ZOTERO_ITEM CSL_CITATION {"citationID":"gEhh9EDq","properties":{"formattedCitation":"(Hellman &amp; Poirier, 2019)","plainCitation":"(Hellman &amp; Poirier, 2019)","noteIndex":0},"citationItems":[{"id":1542,"uris":["http://zotero.org/users/9427805/items/AFMXBTBT"],"itemData":{"id":1542,"type":"report","abstract":"The Federal Railroad Administration (FRA) accident data from the 2008–2017 study period showed that annual combined highway-\nrail intersection (HRI) and rail infrastructure accident costs were between $20 million and $40 million dollars. An alternative\nmethod developed by the National Highway Cooperative Research Program (NCHRP) provides for the economic losses associatedwith medical and legal costs, lost productivity, and travel delay. The results from using this alternative method showed that these costs are between $1.6 and $1.9 billion annually.","event-place":"55 Broadway Cambridge, MA 02142","genre":"Technical Report","language":"en","number":"DOT-VNTSC-FRA-19-04","page":"45","publisher":"U.S. Department of Transportation Office of the Assistant Secretary for Research and Technology John A. Volpe National Transportation Systems Center","publisher-place":"55 Broadway Cambridge, MA 02142","source":"Zotero","title":"Highway-Rail Intersection Crash Taxonomy for Connected Vehicle Safety Research - Ten Year Trend","author":[{"family":"Hellman","given":"Adrian"},{"family":"Poirier","given":"Paul"}],"issued":{"date-parts":[["2019",7]]}}}],"schema":"https://github.com/citation-style-language/schema/raw/master/csl-citation.json"} </w:instrText>
      </w:r>
      <w:r w:rsidR="003C63C6">
        <w:rPr>
          <w:rFonts w:ascii="Calibri" w:hAnsi="Calibri" w:cs="Calibri"/>
        </w:rPr>
        <w:fldChar w:fldCharType="separate"/>
      </w:r>
      <w:r w:rsidR="003C63C6">
        <w:rPr>
          <w:rFonts w:ascii="Calibri" w:hAnsi="Calibri" w:cs="Calibri"/>
          <w:noProof/>
        </w:rPr>
        <w:t>(Hellman &amp; Poirier, 2019)</w:t>
      </w:r>
      <w:r w:rsidR="003C63C6">
        <w:rPr>
          <w:rFonts w:ascii="Calibri" w:hAnsi="Calibri" w:cs="Calibri"/>
        </w:rPr>
        <w:fldChar w:fldCharType="end"/>
      </w:r>
      <w:r w:rsidR="00537571">
        <w:rPr>
          <w:rFonts w:ascii="Calibri" w:hAnsi="Calibri" w:cs="Calibri"/>
        </w:rPr>
        <w:t>.</w:t>
      </w:r>
      <w:r w:rsidR="00AC1C12">
        <w:rPr>
          <w:rFonts w:ascii="Calibri" w:hAnsi="Calibri" w:cs="Calibri"/>
        </w:rPr>
        <w:t xml:space="preserve"> </w:t>
      </w:r>
      <w:r w:rsidR="00163823">
        <w:rPr>
          <w:rFonts w:ascii="Calibri" w:hAnsi="Calibri" w:cs="Calibri"/>
        </w:rPr>
        <w:t xml:space="preserve">Driver behavior has long been cited as one of the main contributing factors to train-vehicle collisions </w:t>
      </w:r>
      <w:r w:rsidR="00A876FF">
        <w:rPr>
          <w:rFonts w:ascii="Calibri" w:hAnsi="Calibri" w:cs="Calibri"/>
        </w:rPr>
        <w:fldChar w:fldCharType="begin"/>
      </w:r>
      <w:r w:rsidR="002C3FB5">
        <w:rPr>
          <w:rFonts w:ascii="Calibri" w:hAnsi="Calibri" w:cs="Calibri"/>
        </w:rPr>
        <w:instrText xml:space="preserve"> ADDIN ZOTERO_ITEM CSL_CITATION {"citationID":"AqRjwLrE","properties":{"formattedCitation":"(FRA, 2016)","plainCitation":"(FRA, 2016)","noteIndex":0},"citationItems":[{"id":1544,"uris":["http://zotero.org/users/9427805/items/P89ZZEHK"],"itemData":{"id":1544,"type":"report","number":"16-10","page":"4","publisher":"Department of Transportation","title":"ANALYSIS OF GRADE CROSSING ACCIDENTS RESULTING IN INJURIES AND FATALITIES","author":[{"family":"FRA","given":"Office of Railraod Policy &amp; Development"}],"issued":{"date-parts":[["2016",5]]}}}],"schema":"https://github.com/citation-style-language/schema/raw/master/csl-citation.json"} </w:instrText>
      </w:r>
      <w:r w:rsidR="00A876FF">
        <w:rPr>
          <w:rFonts w:ascii="Calibri" w:hAnsi="Calibri" w:cs="Calibri"/>
        </w:rPr>
        <w:fldChar w:fldCharType="separate"/>
      </w:r>
      <w:r w:rsidR="00A876FF">
        <w:rPr>
          <w:rFonts w:ascii="Calibri" w:hAnsi="Calibri" w:cs="Calibri"/>
          <w:kern w:val="0"/>
        </w:rPr>
        <w:t>(FRA, 2016)</w:t>
      </w:r>
      <w:r w:rsidR="00A876FF">
        <w:rPr>
          <w:rFonts w:ascii="Calibri" w:hAnsi="Calibri" w:cs="Calibri"/>
        </w:rPr>
        <w:fldChar w:fldCharType="end"/>
      </w:r>
      <w:r w:rsidR="00163823">
        <w:rPr>
          <w:rFonts w:ascii="Calibri" w:hAnsi="Calibri" w:cs="Calibri"/>
        </w:rPr>
        <w:t xml:space="preserve">. </w:t>
      </w:r>
      <w:r w:rsidR="005C7329">
        <w:rPr>
          <w:rFonts w:ascii="Calibri" w:hAnsi="Calibri" w:cs="Calibri"/>
        </w:rPr>
        <w:t xml:space="preserve">Only 20% of drivers have been reported to perform a double scan at active crossings, and 40% did so at passive crossings </w:t>
      </w:r>
      <w:r w:rsidR="00AC1C12">
        <w:rPr>
          <w:rFonts w:ascii="Calibri" w:hAnsi="Calibri" w:cs="Calibri"/>
        </w:rPr>
        <w:fldChar w:fldCharType="begin"/>
      </w:r>
      <w:r w:rsidR="002C3FB5">
        <w:rPr>
          <w:rFonts w:ascii="Calibri" w:hAnsi="Calibri" w:cs="Calibri"/>
        </w:rPr>
        <w:instrText xml:space="preserve"> ADDIN ZOTERO_ITEM CSL_CITATION {"citationID":"rgRnpdoV","properties":{"formattedCitation":"(Lautala et al., 2017)","plainCitation":"(Lautala et al., 2017)","noteIndex":0},"citationItems":[{"id":820,"uris":["http://zotero.org/users/9427805/items/3GXZ7K3C"],"itemData":{"id":820,"type":"paper-conference","abstract":"Unsafe driver behavior at grade crossings has been recognized as one of the greatest challenges to reducing highway-rail grade crossing accidents. Although crossing accidents and fatalities have been reduced dramatically over the last three decades, partially due to continuing implementation of active warning devices, the trend in reductions has recently plateaued. In addition, there is limited data on the actual effectiveness of various types of warnings on driver behavior. Do the drivers behave as instructed, or do they even understand how to comply with the traffic control devices currently used at crossings? One of the approaches used to study drivers’ behavior is to monitor and record their actions in real time and use the data for after-the-fact analysis. This study uses video and sensor data from approximately 300 crossings and 12,000 crossing traversals to investigate the actual actions of drivers while they traverse crossings. The study will develop a score that can be used to evaluate the driver’s compliance to warning devices and analyze the effects of crossing types and other environmental factors on drivers’ compliance. The study team will use throttle, brake, acceleration, and other vehicle parameters, combined with head tracking data to establish a rating scheme for individual compliance during a crossing traversal and then aggregate those results to establish trends in driver behavior. Those trends will provide insight into whether the current system of traffic control devices elicits the desired response from drivers. The paper will cover the selection and grouping of crossings for the study, outline the parameters and compliance scheme, and provide preliminary findings of the trending analysis based on the data from a pilot study that included seven crossings and approximately 700 driver traversals. The findings sugges that driver compliance is higher at passive crossings, but there are also significant differences between individual crossings.","container-title":"Proceedings of the AREMA Annual Conference","event-place":"Indianapolis, IN, USA","event-title":"AREMA Annual Conference","publisher-place":"Indianapolis, IN, USA","title":"Evaluating Driver Compliance at Highway Grade Crossings","author":[{"family":"Lautala","given":"Pasi"},{"family":"Nelson","given":"David"},{"family":"Dean","given":"Aaron"},{"family":"Jeon","given":"Myounghoon"},{"family":"Muhire","given":"Modeste"}],"issued":{"date-parts":[["2017",9,17]]}}}],"schema":"https://github.com/citation-style-language/schema/raw/master/csl-citation.json"} </w:instrText>
      </w:r>
      <w:r w:rsidR="00AC1C12">
        <w:rPr>
          <w:rFonts w:ascii="Calibri" w:hAnsi="Calibri" w:cs="Calibri"/>
        </w:rPr>
        <w:fldChar w:fldCharType="separate"/>
      </w:r>
      <w:r w:rsidR="00AC1C12">
        <w:rPr>
          <w:rFonts w:ascii="Calibri" w:hAnsi="Calibri" w:cs="Calibri"/>
          <w:noProof/>
        </w:rPr>
        <w:t>(Lautala et al., 2017)</w:t>
      </w:r>
      <w:r w:rsidR="00AC1C12">
        <w:rPr>
          <w:rFonts w:ascii="Calibri" w:hAnsi="Calibri" w:cs="Calibri"/>
        </w:rPr>
        <w:fldChar w:fldCharType="end"/>
      </w:r>
      <w:r w:rsidR="00AC1C12">
        <w:rPr>
          <w:rFonts w:ascii="Calibri" w:hAnsi="Calibri" w:cs="Calibri"/>
        </w:rPr>
        <w:t>.</w:t>
      </w:r>
      <w:r w:rsidR="00DD6C1C">
        <w:rPr>
          <w:rFonts w:ascii="Calibri" w:hAnsi="Calibri" w:cs="Calibri"/>
        </w:rPr>
        <w:t xml:space="preserve"> </w:t>
      </w:r>
      <w:r w:rsidR="00CF6036">
        <w:rPr>
          <w:rFonts w:ascii="Calibri" w:hAnsi="Calibri" w:cs="Calibri"/>
        </w:rPr>
        <w:t>Risky behaviors such as trying to beat an approaching train</w:t>
      </w:r>
      <w:r w:rsidR="005D27A5">
        <w:rPr>
          <w:rFonts w:ascii="Calibri" w:hAnsi="Calibri" w:cs="Calibri"/>
        </w:rPr>
        <w:t xml:space="preserve"> despite being aware of the potential dangers</w:t>
      </w:r>
      <w:r w:rsidR="006929E9">
        <w:rPr>
          <w:rFonts w:ascii="Calibri" w:hAnsi="Calibri" w:cs="Calibri"/>
        </w:rPr>
        <w:t>, and familiarity with an HRGC</w:t>
      </w:r>
      <w:r w:rsidR="005D27A5">
        <w:rPr>
          <w:rFonts w:ascii="Calibri" w:hAnsi="Calibri" w:cs="Calibri"/>
        </w:rPr>
        <w:t xml:space="preserve"> causing drivers to be overconfident</w:t>
      </w:r>
      <w:r w:rsidR="00CF6036">
        <w:rPr>
          <w:rFonts w:ascii="Calibri" w:hAnsi="Calibri" w:cs="Calibri"/>
        </w:rPr>
        <w:t>, are also common factors that lead to vehicle-train accidents</w:t>
      </w:r>
      <w:r w:rsidR="00BD704F">
        <w:rPr>
          <w:rFonts w:ascii="Calibri" w:hAnsi="Calibri" w:cs="Calibri"/>
        </w:rPr>
        <w:t xml:space="preserve"> </w:t>
      </w:r>
      <w:r w:rsidR="00BD704F">
        <w:rPr>
          <w:rFonts w:ascii="Calibri" w:hAnsi="Calibri" w:cs="Calibri"/>
        </w:rPr>
        <w:fldChar w:fldCharType="begin"/>
      </w:r>
      <w:r w:rsidR="003F345D">
        <w:rPr>
          <w:rFonts w:ascii="Calibri" w:hAnsi="Calibri" w:cs="Calibri"/>
        </w:rPr>
        <w:instrText xml:space="preserve"> ADDIN ZOTERO_ITEM CSL_CITATION {"citationID":"oOGg6z0m","properties":{"formattedCitation":"(Yeh &amp; Multer, 2008)","plainCitation":"(Yeh &amp; Multer, 2008)","noteIndex":0},"citationItems":[{"id":1568,"uris":["http://zotero.org/users/9427805/items/H62UAHNV"],"itemData":{"id":1568,"type":"report","event-place":"Cambridge, MA 02142-1093","genre":"Final Report","language":"en","note":"Institution: American Psychological Association\nDOI: 10.1037/e621222011-001","number":"DOT/FRA/ORD-08/03","page":"135","publisher":"U.S. Department of Transportation Research and Innovative Technology Administration John A. Volpe National Transportation Systems Center","publisher-place":"Cambridge, MA 02142-1093","source":"DOI.org (Crossref)","title":"Driver Behavior at Highway-Railroad Grade Crossings: A Literature Review from 1990-2006","title-short":"Driver Behavior at Highway-Railroad Grade Crossings","URL":"http://doi.apa.org/get-pe-doi.cfm?doi=10.1037/e621222011-001","author":[{"family":"Yeh","given":"Michelle"},{"family":"Multer","given":"Jordan"}],"accessed":{"date-parts":[["2024",2,1]]},"issued":{"date-parts":[["2008"]]}}}],"schema":"https://github.com/citation-style-language/schema/raw/master/csl-citation.json"} </w:instrText>
      </w:r>
      <w:r w:rsidR="00BD704F">
        <w:rPr>
          <w:rFonts w:ascii="Calibri" w:hAnsi="Calibri" w:cs="Calibri"/>
        </w:rPr>
        <w:fldChar w:fldCharType="separate"/>
      </w:r>
      <w:r w:rsidR="00BD704F">
        <w:rPr>
          <w:rFonts w:ascii="Calibri" w:hAnsi="Calibri" w:cs="Calibri"/>
          <w:noProof/>
        </w:rPr>
        <w:t>(Yeh &amp; Multer, 2008)</w:t>
      </w:r>
      <w:r w:rsidR="00BD704F">
        <w:rPr>
          <w:rFonts w:ascii="Calibri" w:hAnsi="Calibri" w:cs="Calibri"/>
        </w:rPr>
        <w:fldChar w:fldCharType="end"/>
      </w:r>
      <w:r w:rsidR="004C6D9E">
        <w:rPr>
          <w:rFonts w:ascii="Calibri" w:hAnsi="Calibri" w:cs="Calibri"/>
        </w:rPr>
        <w:t xml:space="preserve">. </w:t>
      </w:r>
      <w:r w:rsidR="00DD6C1C">
        <w:rPr>
          <w:rFonts w:ascii="Calibri" w:hAnsi="Calibri" w:cs="Calibri"/>
        </w:rPr>
        <w:t>Th</w:t>
      </w:r>
      <w:r w:rsidR="006929E9">
        <w:rPr>
          <w:rFonts w:ascii="Calibri" w:hAnsi="Calibri" w:cs="Calibri"/>
        </w:rPr>
        <w:t>us, the</w:t>
      </w:r>
      <w:r w:rsidR="00DD6C1C">
        <w:rPr>
          <w:rFonts w:ascii="Calibri" w:hAnsi="Calibri" w:cs="Calibri"/>
        </w:rPr>
        <w:t xml:space="preserve"> evidence suggests that there is a need to address driver </w:t>
      </w:r>
      <w:proofErr w:type="gramStart"/>
      <w:r w:rsidR="00DD6C1C">
        <w:rPr>
          <w:rFonts w:ascii="Calibri" w:hAnsi="Calibri" w:cs="Calibri"/>
        </w:rPr>
        <w:t>distraction, and</w:t>
      </w:r>
      <w:proofErr w:type="gramEnd"/>
      <w:r w:rsidR="00DD6C1C">
        <w:rPr>
          <w:rFonts w:ascii="Calibri" w:hAnsi="Calibri" w:cs="Calibri"/>
        </w:rPr>
        <w:t xml:space="preserve"> improve their behavior as they approach HRGCs.</w:t>
      </w:r>
    </w:p>
    <w:p w14:paraId="343471D6" w14:textId="0A320BBD" w:rsidR="00C27AEA" w:rsidRDefault="00701437" w:rsidP="00C96EBE">
      <w:pPr>
        <w:ind w:firstLine="720"/>
        <w:jc w:val="both"/>
        <w:rPr>
          <w:rFonts w:ascii="Calibri" w:hAnsi="Calibri" w:cs="Calibri"/>
        </w:rPr>
      </w:pPr>
      <w:r>
        <w:rPr>
          <w:rFonts w:ascii="Calibri" w:hAnsi="Calibri" w:cs="Calibri"/>
        </w:rPr>
        <w:t>To address th</w:t>
      </w:r>
      <w:r w:rsidR="00DD6C1C">
        <w:rPr>
          <w:rFonts w:ascii="Calibri" w:hAnsi="Calibri" w:cs="Calibri"/>
        </w:rPr>
        <w:t>is</w:t>
      </w:r>
      <w:r w:rsidR="00C96EBE">
        <w:rPr>
          <w:rFonts w:ascii="Calibri" w:hAnsi="Calibri" w:cs="Calibri"/>
        </w:rPr>
        <w:t xml:space="preserve"> issue</w:t>
      </w:r>
      <w:r w:rsidR="00DD6C1C">
        <w:rPr>
          <w:rFonts w:ascii="Calibri" w:hAnsi="Calibri" w:cs="Calibri"/>
        </w:rPr>
        <w:t xml:space="preserve">, and potentially </w:t>
      </w:r>
      <w:r>
        <w:rPr>
          <w:rFonts w:ascii="Calibri" w:hAnsi="Calibri" w:cs="Calibri"/>
        </w:rPr>
        <w:t>reduce the likelihood of vehicle-train accidents at HRGCs, the current study investigates the design of novel visual and auditory in-vehicle alerts.</w:t>
      </w:r>
      <w:r w:rsidR="00DD6C1C">
        <w:rPr>
          <w:rFonts w:ascii="Calibri" w:hAnsi="Calibri" w:cs="Calibri"/>
        </w:rPr>
        <w:t xml:space="preserve"> </w:t>
      </w:r>
      <w:r>
        <w:rPr>
          <w:rFonts w:ascii="Calibri" w:hAnsi="Calibri" w:cs="Calibri"/>
        </w:rPr>
        <w:t xml:space="preserve">Multimodal alerts </w:t>
      </w:r>
      <w:r w:rsidR="00DD6C1C">
        <w:rPr>
          <w:rFonts w:ascii="Calibri" w:hAnsi="Calibri" w:cs="Calibri"/>
        </w:rPr>
        <w:t>can</w:t>
      </w:r>
      <w:r>
        <w:rPr>
          <w:rFonts w:ascii="Calibri" w:hAnsi="Calibri" w:cs="Calibri"/>
        </w:rPr>
        <w:t xml:space="preserve"> inform drivers </w:t>
      </w:r>
      <w:r w:rsidR="00DD6C1C">
        <w:rPr>
          <w:rFonts w:ascii="Calibri" w:hAnsi="Calibri" w:cs="Calibri"/>
        </w:rPr>
        <w:t xml:space="preserve">to take </w:t>
      </w:r>
      <w:r>
        <w:rPr>
          <w:rFonts w:ascii="Calibri" w:hAnsi="Calibri" w:cs="Calibri"/>
        </w:rPr>
        <w:t>appropriate action</w:t>
      </w:r>
      <w:r w:rsidR="00DD6C1C">
        <w:rPr>
          <w:rFonts w:ascii="Calibri" w:hAnsi="Calibri" w:cs="Calibri"/>
        </w:rPr>
        <w:t xml:space="preserve"> as they approach an HRGC</w:t>
      </w:r>
      <w:r>
        <w:rPr>
          <w:rFonts w:ascii="Calibri" w:hAnsi="Calibri" w:cs="Calibri"/>
        </w:rPr>
        <w:t>.</w:t>
      </w:r>
      <w:r w:rsidR="00DD6C1C">
        <w:rPr>
          <w:rFonts w:ascii="Calibri" w:hAnsi="Calibri" w:cs="Calibri"/>
        </w:rPr>
        <w:t xml:space="preserve"> In the past, </w:t>
      </w:r>
      <w:r w:rsidR="00C96EBE">
        <w:rPr>
          <w:rFonts w:ascii="Calibri" w:hAnsi="Calibri" w:cs="Calibri"/>
        </w:rPr>
        <w:t xml:space="preserve">earcon and speech based </w:t>
      </w:r>
      <w:r w:rsidR="00F02947">
        <w:rPr>
          <w:rFonts w:ascii="Calibri" w:hAnsi="Calibri" w:cs="Calibri"/>
        </w:rPr>
        <w:t xml:space="preserve">in-vehicle </w:t>
      </w:r>
      <w:r w:rsidR="00C96EBE">
        <w:rPr>
          <w:rFonts w:ascii="Calibri" w:hAnsi="Calibri" w:cs="Calibri"/>
        </w:rPr>
        <w:t xml:space="preserve">auditory alerts </w:t>
      </w:r>
      <w:r w:rsidR="00F02947">
        <w:rPr>
          <w:rFonts w:ascii="Calibri" w:hAnsi="Calibri" w:cs="Calibri"/>
        </w:rPr>
        <w:t xml:space="preserve">(IVAA) </w:t>
      </w:r>
      <w:r w:rsidR="00C96EBE">
        <w:rPr>
          <w:rFonts w:ascii="Calibri" w:hAnsi="Calibri" w:cs="Calibri"/>
        </w:rPr>
        <w:t xml:space="preserve">have shown to improve driver behavior at HGRCs </w:t>
      </w:r>
      <w:r w:rsidR="00C96EBE">
        <w:rPr>
          <w:rFonts w:ascii="Calibri" w:hAnsi="Calibri" w:cs="Calibri"/>
        </w:rPr>
        <w:fldChar w:fldCharType="begin"/>
      </w:r>
      <w:r w:rsidR="00C96EBE">
        <w:rPr>
          <w:rFonts w:ascii="Calibri" w:hAnsi="Calibri" w:cs="Calibri"/>
        </w:rPr>
        <w:instrText xml:space="preserve"> ADDIN ZOTERO_ITEM CSL_CITATION {"citationID":"orVJwxEF","properties":{"formattedCitation":"(Nadri et al., 2021, 2023)","plainCitation":"(Nadri et al., 2021, 2023)","noteIndex":0},"citationItems":[{"id":1051,"uris":["http://zotero.org/users/9427805/items/EK78TSAY"],"itemData":{"id":1051,"type":"paper-conference","abstract":"Despite rail industry advances in reducing accidents at Highway Rail Grade Crossings (HRGCs), train-vehicle collisions continue to happen. The use of auditory displays has been suggested as a countermeasure to improve driver behavior at HRGCs, with prior research recommending the use of hybrid sound alerts consisting of earcons and speech messages. In this study, we sought to further investigate the effect of auditory variables in hybrid sound alerts. Nine participants were recruited and instructed to evaluate 18 variations of a hybrid In-Vehicle Auditory Alert (IVAA) along 11 subjective ratings. Results showed that earcon speed and pitch contour design can change user perception of the hybrid IVAA. Results further indicated the influence of speech gender and other semantic variables on user assessment of HRGC IVAAs. Findings of the current study can also inform and instruct the design of appropriate hybrid IVAAs for HRGCs.","container-title":"Proceedings of the 26th International Conference on Auditory Display (ICAD 2021)","DOI":"10.21785/icad2021.024","event-place":"Virtual Conference","event-title":"ICAD 2021: The 26th International Conference on Auditory Display","ISBN":"978-0-9670904-7-4","language":"en","page":"38-43","publisher":"International Community for Auditory Display","publisher-place":"Virtual Conference","source":"DOI.org (Crossref)","title":"Investigating the Effects of Earcon and Speech Variables on Hybrid Auditory Alerts at Rail Crossings","URL":"http://hdl.handle.net/1853/66329","author":[{"family":"Nadri","given":"Chihab"},{"family":"Lee","given":"Seul Chan"},{"family":"Kekal","given":"Siddhant"},{"family":"Li","given":"Yinjia"},{"family":"Li","given":"Xuan"},{"family":"Lautala","given":"Pasi"},{"family":"Nelson","given":"David"},{"family":"Jeon","given":"Myounghoon"}],"accessed":{"date-parts":[["2023",6,8]]},"issued":{"date-parts":[["2021",6]]}}},{"id":926,"uris":["http://zotero.org/users/9427805/items/9LRSYB6S"],"itemData":{"id":926,"type":"article-journal","abstract":"Even though the rail industry has made great strides in reducing accidents at crossings, train-vehicle collisions at Highway-Rail Grade Crossings (HRGCs) continue to be a major issue in the US and across the world. In this research, we conducted a driving simulator study (N = 35) to evaluate a hybrid in-vehicle auditory alert (IVAA), composed of both speech and non-speech components, that was selected after two rounds of subjective evalu­ ation studies. Participants drove through a simulated scenario and reacted to HRGCs with and without the IVAA present and through different music conditions and crossing devices. Driver simulator testing results showed that the inclusion of the hybrid IVAA significantly improved driving behavior near HRGCs in terms of gaze behavior, braking reaction, and approach speed to the crossing. The driving simulator study also showed the effects of background music and warning device types on driving performance. The study contributes to the large-scale implementation of IVAAs at HRGCs, as well as the development of guidelines toward a more standardized approach for IVAAs at HRGCs.","container-title":"Applied Ergonomics","DOI":"10.1016/j.apergo.2022.103912","ISSN":"00036870","journalAbbreviation":"Applied Ergonomics","language":"en","page":"103912","source":"DOI.org (Crossref)","title":"“Slow down. Rail crossing ahead. Look left and right at the crossing”: In-vehicle auditory alerts improve driver behavior at rail crossings","title-short":"“Slow down. Rail crossing ahead. Look left and right at the crossing”","volume":"106","author":[{"family":"Nadri","given":"Chihab"},{"family":"Kekal","given":"Siddhant"},{"family":"Li","given":"Yinjia"},{"family":"Li","given":"Xuan"},{"family":"Lee","given":"Seul Chan"},{"family":"Nelson","given":"David"},{"family":"Lautala","given":"Pasi"},{"family":"Jeon","given":"Myounghoon"}],"issued":{"date-parts":[["2023",1]]}}}],"schema":"https://github.com/citation-style-language/schema/raw/master/csl-citation.json"} </w:instrText>
      </w:r>
      <w:r w:rsidR="00C96EBE">
        <w:rPr>
          <w:rFonts w:ascii="Calibri" w:hAnsi="Calibri" w:cs="Calibri"/>
        </w:rPr>
        <w:fldChar w:fldCharType="separate"/>
      </w:r>
      <w:r w:rsidR="00C96EBE">
        <w:rPr>
          <w:rFonts w:ascii="Calibri" w:hAnsi="Calibri" w:cs="Calibri"/>
          <w:noProof/>
        </w:rPr>
        <w:t>(Nadri et al., 2021, 2023)</w:t>
      </w:r>
      <w:r w:rsidR="00C96EBE">
        <w:rPr>
          <w:rFonts w:ascii="Calibri" w:hAnsi="Calibri" w:cs="Calibri"/>
        </w:rPr>
        <w:fldChar w:fldCharType="end"/>
      </w:r>
      <w:r w:rsidR="00C96EBE">
        <w:rPr>
          <w:rFonts w:ascii="Calibri" w:hAnsi="Calibri" w:cs="Calibri"/>
        </w:rPr>
        <w:t xml:space="preserve">. A prototype of a Rail Crossing Violation Warning (RCVW) system has also been developed that showed positive effects in reducing drivers’ HRGC approach speeds </w:t>
      </w:r>
      <w:r w:rsidR="00C96EBE">
        <w:rPr>
          <w:rFonts w:ascii="Calibri" w:hAnsi="Calibri" w:cs="Calibri"/>
        </w:rPr>
        <w:fldChar w:fldCharType="begin"/>
      </w:r>
      <w:r w:rsidR="00C96EBE">
        <w:rPr>
          <w:rFonts w:ascii="Calibri" w:hAnsi="Calibri" w:cs="Calibri"/>
        </w:rPr>
        <w:instrText xml:space="preserve"> ADDIN ZOTERO_ITEM CSL_CITATION {"citationID":"e1XvKwj0","properties":{"formattedCitation":"(Zhang et al., 2023)","plainCitation":"(Zhang et al., 2023)","noteIndex":0},"citationItems":[{"id":1131,"uris":["http://zotero.org/users/9427805/items/7ULSD2MV"],"itemData":{"id":1131,"type":"report","genre":"Technical Report","language":"en","number":"DOT/FRA/ORD-23/14","publisher":"Michigan Technological University, Houghton; The University of Kentucky","source":"Zotero","title":"Developing Safe and Efficient Driving and Routing Strategies at Railroad Grade Crossings based on Highway-Railway Connectivity","author":[{"family":"Zhang","given":"Kuilin"},{"family":"Lautala","given":"Pasi"},{"family":"Souleyrette","given":"Reginald R"},{"family":"Tan","given":"Yingtong"},{"family":"Yang","given":"Yiming"},{"family":"Hung","given":"Yun-Chu"},{"family":"Mamun","given":"Tauseef Ibne"},{"family":"Veinott","given":"Elizabeth S"},{"family":"Wang","given":"Teng"}],"issued":{"date-parts":[["2023",5,11]]}}}],"schema":"https://github.com/citation-style-language/schema/raw/master/csl-citation.json"} </w:instrText>
      </w:r>
      <w:r w:rsidR="00C96EBE">
        <w:rPr>
          <w:rFonts w:ascii="Calibri" w:hAnsi="Calibri" w:cs="Calibri"/>
        </w:rPr>
        <w:fldChar w:fldCharType="separate"/>
      </w:r>
      <w:r w:rsidR="00C96EBE">
        <w:rPr>
          <w:rFonts w:ascii="Calibri" w:hAnsi="Calibri" w:cs="Calibri"/>
          <w:noProof/>
        </w:rPr>
        <w:t>(Zhang et al., 2023)</w:t>
      </w:r>
      <w:r w:rsidR="00C96EBE">
        <w:rPr>
          <w:rFonts w:ascii="Calibri" w:hAnsi="Calibri" w:cs="Calibri"/>
        </w:rPr>
        <w:fldChar w:fldCharType="end"/>
      </w:r>
      <w:r w:rsidR="00C96EBE">
        <w:rPr>
          <w:rFonts w:ascii="Calibri" w:hAnsi="Calibri" w:cs="Calibri"/>
        </w:rPr>
        <w:t xml:space="preserve">. </w:t>
      </w:r>
      <w:r w:rsidR="00967E3C">
        <w:rPr>
          <w:rFonts w:ascii="Calibri" w:hAnsi="Calibri" w:cs="Calibri"/>
        </w:rPr>
        <w:t xml:space="preserve">However, </w:t>
      </w:r>
      <w:r>
        <w:rPr>
          <w:rFonts w:ascii="Calibri" w:hAnsi="Calibri" w:cs="Calibri"/>
        </w:rPr>
        <w:t xml:space="preserve">their combination still requires further research. In this work, a combination of visual and auditory alerts </w:t>
      </w:r>
      <w:proofErr w:type="gramStart"/>
      <w:r>
        <w:rPr>
          <w:rFonts w:ascii="Calibri" w:hAnsi="Calibri" w:cs="Calibri"/>
        </w:rPr>
        <w:t>are</w:t>
      </w:r>
      <w:proofErr w:type="gramEnd"/>
      <w:r>
        <w:rPr>
          <w:rFonts w:ascii="Calibri" w:hAnsi="Calibri" w:cs="Calibri"/>
        </w:rPr>
        <w:t xml:space="preserve"> developed</w:t>
      </w:r>
      <w:r w:rsidR="00DD6C1C">
        <w:rPr>
          <w:rFonts w:ascii="Calibri" w:hAnsi="Calibri" w:cs="Calibri"/>
        </w:rPr>
        <w:t>, tested for their perceived effectiveness, and guidelines for how to best display them are suggested.</w:t>
      </w:r>
    </w:p>
    <w:p w14:paraId="45AE8BEA" w14:textId="4049E699" w:rsidR="007022C7" w:rsidRDefault="00D61C29" w:rsidP="002741DC">
      <w:pPr>
        <w:ind w:firstLine="720"/>
        <w:jc w:val="both"/>
        <w:rPr>
          <w:rFonts w:ascii="Calibri" w:hAnsi="Calibri" w:cs="Calibri"/>
        </w:rPr>
      </w:pPr>
      <w:r>
        <w:rPr>
          <w:rFonts w:ascii="Calibri" w:hAnsi="Calibri" w:cs="Calibri"/>
        </w:rPr>
        <w:t>The design of five multimodal notifications</w:t>
      </w:r>
      <w:r w:rsidR="001D573A">
        <w:rPr>
          <w:rFonts w:ascii="Calibri" w:hAnsi="Calibri" w:cs="Calibri"/>
        </w:rPr>
        <w:t xml:space="preserve"> were </w:t>
      </w:r>
      <w:r>
        <w:rPr>
          <w:rFonts w:ascii="Calibri" w:hAnsi="Calibri" w:cs="Calibri"/>
        </w:rPr>
        <w:t>investigated</w:t>
      </w:r>
      <w:r w:rsidR="001D573A">
        <w:rPr>
          <w:rFonts w:ascii="Calibri" w:hAnsi="Calibri" w:cs="Calibri"/>
        </w:rPr>
        <w:t xml:space="preserve"> in the current study. </w:t>
      </w:r>
      <w:r>
        <w:rPr>
          <w:rFonts w:ascii="Calibri" w:hAnsi="Calibri" w:cs="Calibri"/>
        </w:rPr>
        <w:t xml:space="preserve">The visual content </w:t>
      </w:r>
      <w:r w:rsidR="00F02947">
        <w:rPr>
          <w:rFonts w:ascii="Calibri" w:hAnsi="Calibri" w:cs="Calibri"/>
        </w:rPr>
        <w:t xml:space="preserve">of the notifications </w:t>
      </w:r>
      <w:r>
        <w:rPr>
          <w:rFonts w:ascii="Calibri" w:hAnsi="Calibri" w:cs="Calibri"/>
        </w:rPr>
        <w:t>w</w:t>
      </w:r>
      <w:r w:rsidR="00F02947">
        <w:rPr>
          <w:rFonts w:ascii="Calibri" w:hAnsi="Calibri" w:cs="Calibri"/>
        </w:rPr>
        <w:t>ere</w:t>
      </w:r>
      <w:r w:rsidR="001D573A">
        <w:rPr>
          <w:rFonts w:ascii="Calibri" w:hAnsi="Calibri" w:cs="Calibri"/>
        </w:rPr>
        <w:t xml:space="preserve"> </w:t>
      </w:r>
      <w:r w:rsidR="00F93E84">
        <w:rPr>
          <w:rFonts w:ascii="Calibri" w:hAnsi="Calibri" w:cs="Calibri"/>
        </w:rPr>
        <w:t>adapted</w:t>
      </w:r>
      <w:r w:rsidR="001D573A">
        <w:rPr>
          <w:rFonts w:ascii="Calibri" w:hAnsi="Calibri" w:cs="Calibri"/>
        </w:rPr>
        <w:t xml:space="preserve"> from </w:t>
      </w:r>
      <w:r>
        <w:rPr>
          <w:rFonts w:ascii="Calibri" w:hAnsi="Calibri" w:cs="Calibri"/>
        </w:rPr>
        <w:t>the</w:t>
      </w:r>
      <w:r w:rsidR="001D573A">
        <w:rPr>
          <w:rFonts w:ascii="Calibri" w:hAnsi="Calibri" w:cs="Calibri"/>
        </w:rPr>
        <w:t xml:space="preserve"> RCVW system</w:t>
      </w:r>
      <w:r w:rsidR="00F02947">
        <w:rPr>
          <w:rFonts w:ascii="Calibri" w:hAnsi="Calibri" w:cs="Calibri"/>
        </w:rPr>
        <w:t xml:space="preserve"> </w:t>
      </w:r>
      <w:r w:rsidR="00F02947">
        <w:rPr>
          <w:rFonts w:ascii="Calibri" w:hAnsi="Calibri" w:cs="Calibri"/>
        </w:rPr>
        <w:fldChar w:fldCharType="begin"/>
      </w:r>
      <w:r w:rsidR="00F02947">
        <w:rPr>
          <w:rFonts w:ascii="Calibri" w:hAnsi="Calibri" w:cs="Calibri"/>
        </w:rPr>
        <w:instrText xml:space="preserve"> ADDIN ZOTERO_ITEM CSL_CITATION {"citationID":"QWMusSiX","properties":{"formattedCitation":"(Zhang et al., 2023)","plainCitation":"(Zhang et al., 2023)","noteIndex":0},"citationItems":[{"id":1131,"uris":["http://zotero.org/users/9427805/items/7ULSD2MV"],"itemData":{"id":1131,"type":"report","genre":"Technical Report","language":"en","number":"DOT/FRA/ORD-23/14","publisher":"Michigan Technological University, Houghton; The University of Kentucky","source":"Zotero","title":"Developing Safe and Efficient Driving and Routing Strategies at Railroad Grade Crossings based on Highway-Railway Connectivity","author":[{"family":"Zhang","given":"Kuilin"},{"family":"Lautala","given":"Pasi"},{"family":"Souleyrette","given":"Reginald R"},{"family":"Tan","given":"Yingtong"},{"family":"Yang","given":"Yiming"},{"family":"Hung","given":"Yun-Chu"},{"family":"Mamun","given":"Tauseef Ibne"},{"family":"Veinott","given":"Elizabeth S"},{"family":"Wang","given":"Teng"}],"issued":{"date-parts":[["2023",5,11]]}}}],"schema":"https://github.com/citation-style-language/schema/raw/master/csl-citation.json"} </w:instrText>
      </w:r>
      <w:r w:rsidR="00F02947">
        <w:rPr>
          <w:rFonts w:ascii="Calibri" w:hAnsi="Calibri" w:cs="Calibri"/>
        </w:rPr>
        <w:fldChar w:fldCharType="separate"/>
      </w:r>
      <w:r w:rsidR="00F02947">
        <w:rPr>
          <w:rFonts w:ascii="Calibri" w:hAnsi="Calibri" w:cs="Calibri"/>
          <w:noProof/>
        </w:rPr>
        <w:t>(Zhang et al., 2023)</w:t>
      </w:r>
      <w:r w:rsidR="00F02947">
        <w:rPr>
          <w:rFonts w:ascii="Calibri" w:hAnsi="Calibri" w:cs="Calibri"/>
        </w:rPr>
        <w:fldChar w:fldCharType="end"/>
      </w:r>
      <w:r w:rsidR="00F02947">
        <w:rPr>
          <w:rFonts w:ascii="Calibri" w:hAnsi="Calibri" w:cs="Calibri"/>
        </w:rPr>
        <w:t xml:space="preserve"> developed and tested previously, and t</w:t>
      </w:r>
      <w:r>
        <w:rPr>
          <w:rFonts w:ascii="Calibri" w:hAnsi="Calibri" w:cs="Calibri"/>
        </w:rPr>
        <w:t>he auditory content for each alert was adapted from p</w:t>
      </w:r>
      <w:r w:rsidR="00F02947">
        <w:rPr>
          <w:rFonts w:ascii="Calibri" w:hAnsi="Calibri" w:cs="Calibri"/>
        </w:rPr>
        <w:t>ast</w:t>
      </w:r>
      <w:r>
        <w:rPr>
          <w:rFonts w:ascii="Calibri" w:hAnsi="Calibri" w:cs="Calibri"/>
        </w:rPr>
        <w:t xml:space="preserve"> </w:t>
      </w:r>
      <w:r w:rsidR="00F02947">
        <w:rPr>
          <w:rFonts w:ascii="Calibri" w:hAnsi="Calibri" w:cs="Calibri"/>
        </w:rPr>
        <w:t>research</w:t>
      </w:r>
      <w:r>
        <w:rPr>
          <w:rFonts w:ascii="Calibri" w:hAnsi="Calibri" w:cs="Calibri"/>
        </w:rPr>
        <w:t xml:space="preserve"> </w:t>
      </w:r>
      <w:r w:rsidR="00F02947">
        <w:rPr>
          <w:rFonts w:ascii="Calibri" w:hAnsi="Calibri" w:cs="Calibri"/>
        </w:rPr>
        <w:t>on</w:t>
      </w:r>
      <w:r>
        <w:rPr>
          <w:rFonts w:ascii="Calibri" w:hAnsi="Calibri" w:cs="Calibri"/>
        </w:rPr>
        <w:t xml:space="preserve"> </w:t>
      </w:r>
      <w:r w:rsidR="00F02947">
        <w:rPr>
          <w:rFonts w:ascii="Calibri" w:hAnsi="Calibri" w:cs="Calibri"/>
        </w:rPr>
        <w:t xml:space="preserve">the </w:t>
      </w:r>
      <w:r>
        <w:rPr>
          <w:rFonts w:ascii="Calibri" w:hAnsi="Calibri" w:cs="Calibri"/>
        </w:rPr>
        <w:t>IVAA</w:t>
      </w:r>
      <w:r w:rsidR="00F02947">
        <w:rPr>
          <w:rFonts w:ascii="Calibri" w:hAnsi="Calibri" w:cs="Calibri"/>
        </w:rPr>
        <w:t xml:space="preserve"> system</w:t>
      </w:r>
      <w:r>
        <w:rPr>
          <w:rFonts w:ascii="Calibri" w:hAnsi="Calibri" w:cs="Calibri"/>
        </w:rPr>
        <w:t xml:space="preserve"> </w:t>
      </w:r>
      <w:r w:rsidR="00F02947">
        <w:rPr>
          <w:rFonts w:ascii="Calibri" w:hAnsi="Calibri" w:cs="Calibri"/>
        </w:rPr>
        <w:fldChar w:fldCharType="begin"/>
      </w:r>
      <w:r w:rsidR="00F02947">
        <w:rPr>
          <w:rFonts w:ascii="Calibri" w:hAnsi="Calibri" w:cs="Calibri"/>
        </w:rPr>
        <w:instrText xml:space="preserve"> ADDIN ZOTERO_ITEM CSL_CITATION {"citationID":"lI9QoNol","properties":{"formattedCitation":"(Nadri et al., 2023)","plainCitation":"(Nadri et al., 2023)","noteIndex":0},"citationItems":[{"id":926,"uris":["http://zotero.org/users/9427805/items/9LRSYB6S"],"itemData":{"id":926,"type":"article-journal","abstract":"Even though the rail industry has made great strides in reducing accidents at crossings, train-vehicle collisions at Highway-Rail Grade Crossings (HRGCs) continue to be a major issue in the US and across the world. In this research, we conducted a driving simulator study (N = 35) to evaluate a hybrid in-vehicle auditory alert (IVAA), composed of both speech and non-speech components, that was selected after two rounds of subjective evalu­ ation studies. Participants drove through a simulated scenario and reacted to HRGCs with and without the IVAA present and through different music conditions and crossing devices. Driver simulator testing results showed that the inclusion of the hybrid IVAA significantly improved driving behavior near HRGCs in terms of gaze behavior, braking reaction, and approach speed to the crossing. The driving simulator study also showed the effects of background music and warning device types on driving performance. The study contributes to the large-scale implementation of IVAAs at HRGCs, as well as the development of guidelines toward a more standardized approach for IVAAs at HRGCs.","container-title":"Applied Ergonomics","DOI":"10.1016/j.apergo.2022.103912","ISSN":"00036870","journalAbbreviation":"Applied Ergonomics","language":"en","page":"103912","source":"DOI.org (Crossref)","title":"“Slow down. Rail crossing ahead. Look left and right at the crossing”: In-vehicle auditory alerts improve driver behavior at rail crossings","title-short":"“Slow down. Rail crossing ahead. Look left and right at the crossing”","volume":"106","author":[{"family":"Nadri","given":"Chihab"},{"family":"Kekal","given":"Siddhant"},{"family":"Li","given":"Yinjia"},{"family":"Li","given":"Xuan"},{"family":"Lee","given":"Seul Chan"},{"family":"Nelson","given":"David"},{"family":"Lautala","given":"Pasi"},{"family":"Jeon","given":"Myounghoon"}],"issued":{"date-parts":[["2023",1]]}}}],"schema":"https://github.com/citation-style-language/schema/raw/master/csl-citation.json"} </w:instrText>
      </w:r>
      <w:r w:rsidR="00F02947">
        <w:rPr>
          <w:rFonts w:ascii="Calibri" w:hAnsi="Calibri" w:cs="Calibri"/>
        </w:rPr>
        <w:fldChar w:fldCharType="separate"/>
      </w:r>
      <w:r w:rsidR="00F02947">
        <w:rPr>
          <w:rFonts w:ascii="Calibri" w:hAnsi="Calibri" w:cs="Calibri"/>
          <w:noProof/>
        </w:rPr>
        <w:t>(Nadri et al., 2023)</w:t>
      </w:r>
      <w:r w:rsidR="00F02947">
        <w:rPr>
          <w:rFonts w:ascii="Calibri" w:hAnsi="Calibri" w:cs="Calibri"/>
        </w:rPr>
        <w:fldChar w:fldCharType="end"/>
      </w:r>
      <w:r w:rsidR="00F02947">
        <w:rPr>
          <w:rFonts w:ascii="Calibri" w:hAnsi="Calibri" w:cs="Calibri"/>
        </w:rPr>
        <w:t xml:space="preserve"> </w:t>
      </w:r>
      <w:r>
        <w:rPr>
          <w:rFonts w:ascii="Calibri" w:hAnsi="Calibri" w:cs="Calibri"/>
        </w:rPr>
        <w:t xml:space="preserve">to improve driver behavior at </w:t>
      </w:r>
      <w:r w:rsidR="00444A46">
        <w:rPr>
          <w:rFonts w:ascii="Calibri" w:hAnsi="Calibri" w:cs="Calibri"/>
        </w:rPr>
        <w:t xml:space="preserve">both active and passive </w:t>
      </w:r>
      <w:r>
        <w:rPr>
          <w:rFonts w:ascii="Calibri" w:hAnsi="Calibri" w:cs="Calibri"/>
        </w:rPr>
        <w:t>HRGCs</w:t>
      </w:r>
      <w:r w:rsidR="00F02947">
        <w:rPr>
          <w:rFonts w:ascii="Calibri" w:hAnsi="Calibri" w:cs="Calibri"/>
        </w:rPr>
        <w:t>.</w:t>
      </w:r>
      <w:r w:rsidR="002C61B2">
        <w:rPr>
          <w:rFonts w:ascii="Calibri" w:hAnsi="Calibri" w:cs="Calibri"/>
        </w:rPr>
        <w:t xml:space="preserve"> </w:t>
      </w:r>
      <w:r w:rsidR="00F02947">
        <w:rPr>
          <w:rFonts w:ascii="Calibri" w:hAnsi="Calibri" w:cs="Calibri"/>
        </w:rPr>
        <w:t xml:space="preserve">The five notifications were labelled Blue, Yellow_1, Yellow_2, Red_1, and Red_2. </w:t>
      </w:r>
      <w:r w:rsidR="003D2126">
        <w:rPr>
          <w:rFonts w:ascii="Calibri" w:hAnsi="Calibri" w:cs="Calibri"/>
        </w:rPr>
        <w:t xml:space="preserve">The purpose of the </w:t>
      </w:r>
      <w:r w:rsidR="00F02947">
        <w:rPr>
          <w:rFonts w:ascii="Calibri" w:hAnsi="Calibri" w:cs="Calibri"/>
        </w:rPr>
        <w:t xml:space="preserve">Blue </w:t>
      </w:r>
      <w:r w:rsidR="003D2126">
        <w:rPr>
          <w:rFonts w:ascii="Calibri" w:hAnsi="Calibri" w:cs="Calibri"/>
        </w:rPr>
        <w:t xml:space="preserve">notification was to simply inform drivers they were in vicinity of an HRGC. Yellow_1 </w:t>
      </w:r>
      <w:r w:rsidR="005D27A5">
        <w:rPr>
          <w:rFonts w:ascii="Calibri" w:hAnsi="Calibri" w:cs="Calibri"/>
        </w:rPr>
        <w:t>asked</w:t>
      </w:r>
      <w:r w:rsidR="003D2126">
        <w:rPr>
          <w:rFonts w:ascii="Calibri" w:hAnsi="Calibri" w:cs="Calibri"/>
        </w:rPr>
        <w:t xml:space="preserve"> </w:t>
      </w:r>
      <w:proofErr w:type="gramStart"/>
      <w:r w:rsidR="003D2126">
        <w:rPr>
          <w:rFonts w:ascii="Calibri" w:hAnsi="Calibri" w:cs="Calibri"/>
        </w:rPr>
        <w:t>drivers</w:t>
      </w:r>
      <w:proofErr w:type="gramEnd"/>
      <w:r w:rsidR="003D2126">
        <w:rPr>
          <w:rFonts w:ascii="Calibri" w:hAnsi="Calibri" w:cs="Calibri"/>
        </w:rPr>
        <w:t xml:space="preserve"> to slow down</w:t>
      </w:r>
      <w:r w:rsidR="005D27A5">
        <w:rPr>
          <w:rFonts w:ascii="Calibri" w:hAnsi="Calibri" w:cs="Calibri"/>
        </w:rPr>
        <w:t>,</w:t>
      </w:r>
      <w:r w:rsidR="003D2126">
        <w:rPr>
          <w:rFonts w:ascii="Calibri" w:hAnsi="Calibri" w:cs="Calibri"/>
        </w:rPr>
        <w:t xml:space="preserve"> and come to a stop at the HRGC. Yellow_2 inform</w:t>
      </w:r>
      <w:r w:rsidR="005D27A5">
        <w:rPr>
          <w:rFonts w:ascii="Calibri" w:hAnsi="Calibri" w:cs="Calibri"/>
        </w:rPr>
        <w:t>ed</w:t>
      </w:r>
      <w:r w:rsidR="003D2126">
        <w:rPr>
          <w:rFonts w:ascii="Calibri" w:hAnsi="Calibri" w:cs="Calibri"/>
        </w:rPr>
        <w:t xml:space="preserve"> drivers to complete turning at an intersection only after passing the HRGC. Red_1 was displayed </w:t>
      </w:r>
      <w:r w:rsidR="005D27A5">
        <w:rPr>
          <w:rFonts w:ascii="Calibri" w:hAnsi="Calibri" w:cs="Calibri"/>
        </w:rPr>
        <w:t>to</w:t>
      </w:r>
      <w:r w:rsidR="003D2126">
        <w:rPr>
          <w:rFonts w:ascii="Calibri" w:hAnsi="Calibri" w:cs="Calibri"/>
        </w:rPr>
        <w:t xml:space="preserve"> drivers </w:t>
      </w:r>
      <w:r w:rsidR="005D27A5">
        <w:rPr>
          <w:rFonts w:ascii="Calibri" w:hAnsi="Calibri" w:cs="Calibri"/>
        </w:rPr>
        <w:t xml:space="preserve">who </w:t>
      </w:r>
      <w:r w:rsidR="003D2126">
        <w:rPr>
          <w:rFonts w:ascii="Calibri" w:hAnsi="Calibri" w:cs="Calibri"/>
        </w:rPr>
        <w:t xml:space="preserve">were travelling over the speed </w:t>
      </w:r>
      <w:proofErr w:type="gramStart"/>
      <w:r w:rsidR="003D2126">
        <w:rPr>
          <w:rFonts w:ascii="Calibri" w:hAnsi="Calibri" w:cs="Calibri"/>
        </w:rPr>
        <w:t>limit, and</w:t>
      </w:r>
      <w:proofErr w:type="gramEnd"/>
      <w:r w:rsidR="003D2126">
        <w:rPr>
          <w:rFonts w:ascii="Calibri" w:hAnsi="Calibri" w:cs="Calibri"/>
        </w:rPr>
        <w:t xml:space="preserve"> needed to quickly come to a stop at the HRGC. Red_2 was displayed when the driver was stopped over the HR</w:t>
      </w:r>
      <w:r w:rsidR="00731A8F">
        <w:rPr>
          <w:rFonts w:ascii="Calibri" w:hAnsi="Calibri" w:cs="Calibri"/>
        </w:rPr>
        <w:t>G</w:t>
      </w:r>
      <w:r w:rsidR="003D2126">
        <w:rPr>
          <w:rFonts w:ascii="Calibri" w:hAnsi="Calibri" w:cs="Calibri"/>
        </w:rPr>
        <w:t xml:space="preserve">C </w:t>
      </w:r>
      <w:proofErr w:type="gramStart"/>
      <w:r w:rsidR="003D2126">
        <w:rPr>
          <w:rFonts w:ascii="Calibri" w:hAnsi="Calibri" w:cs="Calibri"/>
        </w:rPr>
        <w:t>tracks, and</w:t>
      </w:r>
      <w:proofErr w:type="gramEnd"/>
      <w:r w:rsidR="003D2126">
        <w:rPr>
          <w:rFonts w:ascii="Calibri" w:hAnsi="Calibri" w:cs="Calibri"/>
        </w:rPr>
        <w:t xml:space="preserve"> needed to clear the tracks immediately.</w:t>
      </w:r>
      <w:r w:rsidR="005D27A5">
        <w:rPr>
          <w:rFonts w:ascii="Calibri" w:hAnsi="Calibri" w:cs="Calibri"/>
        </w:rPr>
        <w:t xml:space="preserve"> </w:t>
      </w:r>
      <w:r w:rsidR="003D2126">
        <w:rPr>
          <w:rFonts w:ascii="Calibri" w:hAnsi="Calibri" w:cs="Calibri"/>
        </w:rPr>
        <w:t>A train was present for all the notifications; only active HRGCs with activated gates, lights, and bells were investigated in this study.</w:t>
      </w:r>
    </w:p>
    <w:p w14:paraId="55ED3386" w14:textId="77777777" w:rsidR="0047200D" w:rsidRDefault="0047200D" w:rsidP="0047200D"/>
    <w:p w14:paraId="63B1989C" w14:textId="32761F43" w:rsidR="007022C7" w:rsidRPr="00C31FA6" w:rsidRDefault="007022C7">
      <w:pPr>
        <w:rPr>
          <w:b/>
          <w:bCs/>
        </w:rPr>
      </w:pPr>
      <w:r w:rsidRPr="007022C7">
        <w:rPr>
          <w:b/>
          <w:bCs/>
        </w:rPr>
        <w:t>Approach</w:t>
      </w:r>
      <w:r w:rsidR="000D6974">
        <w:rPr>
          <w:b/>
          <w:bCs/>
        </w:rPr>
        <w:t xml:space="preserve"> (250/250)</w:t>
      </w:r>
    </w:p>
    <w:p w14:paraId="6CA19E1F" w14:textId="7833B3F4" w:rsidR="005D27A5" w:rsidRDefault="00B930D6" w:rsidP="00C31FA6">
      <w:pPr>
        <w:jc w:val="both"/>
      </w:pPr>
      <w:r>
        <w:rPr>
          <w:rFonts w:ascii="Calibri" w:hAnsi="Calibri" w:cs="Calibri"/>
        </w:rPr>
        <w:t>V</w:t>
      </w:r>
      <w:r w:rsidR="00F02947">
        <w:rPr>
          <w:rFonts w:ascii="Calibri" w:hAnsi="Calibri" w:cs="Calibri"/>
        </w:rPr>
        <w:t>ideos</w:t>
      </w:r>
      <w:r>
        <w:rPr>
          <w:rFonts w:ascii="Calibri" w:hAnsi="Calibri" w:cs="Calibri"/>
        </w:rPr>
        <w:t>, showing a driver’s perspective as they approached an active HRGC in a rural environment, were recorded on</w:t>
      </w:r>
      <w:r w:rsidR="00F02947">
        <w:rPr>
          <w:rFonts w:ascii="Calibri" w:hAnsi="Calibri" w:cs="Calibri"/>
        </w:rPr>
        <w:t xml:space="preserve"> a driving simulator. The visual content of </w:t>
      </w:r>
      <w:r>
        <w:rPr>
          <w:rFonts w:ascii="Calibri" w:hAnsi="Calibri" w:cs="Calibri"/>
        </w:rPr>
        <w:t xml:space="preserve">the </w:t>
      </w:r>
      <w:r w:rsidR="00F02947">
        <w:rPr>
          <w:rFonts w:ascii="Calibri" w:hAnsi="Calibri" w:cs="Calibri"/>
        </w:rPr>
        <w:t>notification</w:t>
      </w:r>
      <w:r>
        <w:rPr>
          <w:rFonts w:ascii="Calibri" w:hAnsi="Calibri" w:cs="Calibri"/>
        </w:rPr>
        <w:t>s</w:t>
      </w:r>
      <w:r w:rsidR="00F02947">
        <w:rPr>
          <w:rFonts w:ascii="Calibri" w:hAnsi="Calibri" w:cs="Calibri"/>
        </w:rPr>
        <w:t xml:space="preserve"> </w:t>
      </w:r>
      <w:proofErr w:type="gramStart"/>
      <w:r w:rsidR="00F02947">
        <w:rPr>
          <w:rFonts w:ascii="Calibri" w:hAnsi="Calibri" w:cs="Calibri"/>
        </w:rPr>
        <w:t>w</w:t>
      </w:r>
      <w:r>
        <w:rPr>
          <w:rFonts w:ascii="Calibri" w:hAnsi="Calibri" w:cs="Calibri"/>
        </w:rPr>
        <w:t>ere</w:t>
      </w:r>
      <w:proofErr w:type="gramEnd"/>
      <w:r w:rsidR="00F02947">
        <w:rPr>
          <w:rFonts w:ascii="Calibri" w:hAnsi="Calibri" w:cs="Calibri"/>
        </w:rPr>
        <w:t xml:space="preserve"> displayed on the instrument panel, </w:t>
      </w:r>
      <w:r>
        <w:rPr>
          <w:rFonts w:ascii="Calibri" w:hAnsi="Calibri" w:cs="Calibri"/>
        </w:rPr>
        <w:t>presented</w:t>
      </w:r>
      <w:r w:rsidR="00F02947">
        <w:rPr>
          <w:rFonts w:ascii="Calibri" w:hAnsi="Calibri" w:cs="Calibri"/>
        </w:rPr>
        <w:t xml:space="preserve"> o</w:t>
      </w:r>
      <w:r>
        <w:rPr>
          <w:rFonts w:ascii="Calibri" w:hAnsi="Calibri" w:cs="Calibri"/>
        </w:rPr>
        <w:t>n</w:t>
      </w:r>
      <w:r w:rsidR="00F02947">
        <w:rPr>
          <w:rFonts w:ascii="Calibri" w:hAnsi="Calibri" w:cs="Calibri"/>
        </w:rPr>
        <w:t xml:space="preserve"> the right </w:t>
      </w:r>
      <w:r>
        <w:rPr>
          <w:rFonts w:ascii="Calibri" w:hAnsi="Calibri" w:cs="Calibri"/>
        </w:rPr>
        <w:t>end of the screens</w:t>
      </w:r>
      <w:r w:rsidR="00F02947">
        <w:rPr>
          <w:rFonts w:ascii="Calibri" w:hAnsi="Calibri" w:cs="Calibri"/>
        </w:rPr>
        <w:t xml:space="preserve">. The Blue notification was investigated using a single factor design (Display Time – 20 vs. 40 sec to HRGC arrival). </w:t>
      </w:r>
      <w:r w:rsidR="00F02947">
        <w:rPr>
          <w:rFonts w:ascii="Calibri" w:hAnsi="Calibri" w:cs="Calibri"/>
        </w:rPr>
        <w:lastRenderedPageBreak/>
        <w:t>Notifications Yellow_1, Yellow_2, and Red_1 were investigated using a 2 (Display Time: 10 vs. 20 sec</w:t>
      </w:r>
      <w:r w:rsidR="00A94361">
        <w:rPr>
          <w:rFonts w:ascii="Calibri" w:hAnsi="Calibri" w:cs="Calibri"/>
        </w:rPr>
        <w:t>onds</w:t>
      </w:r>
      <w:r w:rsidR="00F02947">
        <w:rPr>
          <w:rFonts w:ascii="Calibri" w:hAnsi="Calibri" w:cs="Calibri"/>
        </w:rPr>
        <w:t xml:space="preserve"> to </w:t>
      </w:r>
      <w:r w:rsidR="00A94361">
        <w:rPr>
          <w:rFonts w:ascii="Calibri" w:hAnsi="Calibri" w:cs="Calibri"/>
        </w:rPr>
        <w:t xml:space="preserve">arrival at </w:t>
      </w:r>
      <w:r w:rsidR="00F02947">
        <w:rPr>
          <w:rFonts w:ascii="Calibri" w:hAnsi="Calibri" w:cs="Calibri"/>
        </w:rPr>
        <w:t>HRGC) x 2 (Speech Length – Long vs. Short) full factorial design. Notification Red_2 was investigated using a 2 (Speech Length – Long vs. Short) x 2 (Presentation Order – Sequential vs. Simultaneous) full factorial design. Sequential presentation displayed the earcon</w:t>
      </w:r>
      <w:r>
        <w:rPr>
          <w:rFonts w:ascii="Calibri" w:hAnsi="Calibri" w:cs="Calibri"/>
        </w:rPr>
        <w:t xml:space="preserve"> first, before </w:t>
      </w:r>
      <w:r w:rsidR="00F02947">
        <w:rPr>
          <w:rFonts w:ascii="Calibri" w:hAnsi="Calibri" w:cs="Calibri"/>
        </w:rPr>
        <w:t>speech; Simultaneous presentation displayed the earcon</w:t>
      </w:r>
      <w:r>
        <w:rPr>
          <w:rFonts w:ascii="Calibri" w:hAnsi="Calibri" w:cs="Calibri"/>
        </w:rPr>
        <w:t xml:space="preserve"> along with the duration of the </w:t>
      </w:r>
      <w:r w:rsidR="00F02947">
        <w:rPr>
          <w:rFonts w:ascii="Calibri" w:hAnsi="Calibri" w:cs="Calibri"/>
        </w:rPr>
        <w:t>speech.</w:t>
      </w:r>
      <w:r w:rsidR="005D27A5">
        <w:rPr>
          <w:rFonts w:ascii="Calibri" w:hAnsi="Calibri" w:cs="Calibri"/>
        </w:rPr>
        <w:t xml:space="preserve"> The audio for Blue notification did not contain any speech, but the audio for Yellow_1, Yellow_2, and Red_1 were always presented in a sequential manner</w:t>
      </w:r>
      <w:r w:rsidR="00F02947">
        <w:rPr>
          <w:rFonts w:ascii="Calibri" w:hAnsi="Calibri" w:cs="Calibri"/>
        </w:rPr>
        <w:t>.</w:t>
      </w:r>
      <w:r w:rsidR="005D27A5">
        <w:t xml:space="preserve"> </w:t>
      </w:r>
    </w:p>
    <w:p w14:paraId="77C64A64" w14:textId="75AA8F34" w:rsidR="007022C7" w:rsidRPr="009A77FC" w:rsidRDefault="00A31831" w:rsidP="009A77FC">
      <w:pPr>
        <w:ind w:firstLine="720"/>
        <w:jc w:val="both"/>
        <w:rPr>
          <w:rFonts w:ascii="Calibri" w:hAnsi="Calibri" w:cs="Calibri"/>
        </w:rPr>
      </w:pPr>
      <w:r>
        <w:t>Twenty-six participants</w:t>
      </w:r>
      <w:r w:rsidR="005D27A5">
        <w:t xml:space="preserve"> who</w:t>
      </w:r>
      <w:r w:rsidR="00B930D6">
        <w:t>, on average,</w:t>
      </w:r>
      <w:r w:rsidR="005D27A5">
        <w:t xml:space="preserve"> </w:t>
      </w:r>
      <w:r w:rsidR="00C31FA6">
        <w:t>e</w:t>
      </w:r>
      <w:r>
        <w:t>ncounter</w:t>
      </w:r>
      <w:r w:rsidR="00C31FA6">
        <w:t>ed</w:t>
      </w:r>
      <w:r>
        <w:t xml:space="preserve"> a railroad crossing 5.6 times (</w:t>
      </w:r>
      <w:r w:rsidRPr="00A31831">
        <w:rPr>
          <w:i/>
          <w:iCs/>
        </w:rPr>
        <w:t>SD</w:t>
      </w:r>
      <w:r>
        <w:t xml:space="preserve"> = 10.6) a month</w:t>
      </w:r>
      <w:r w:rsidR="005D27A5">
        <w:t xml:space="preserve"> were recruited for the study. Participants viewed the videos on the screens of a driving simulator.</w:t>
      </w:r>
      <w:r w:rsidR="005D27A5" w:rsidRPr="005D27A5">
        <w:rPr>
          <w:rFonts w:ascii="Calibri" w:hAnsi="Calibri" w:cs="Calibri"/>
        </w:rPr>
        <w:t xml:space="preserve"> </w:t>
      </w:r>
      <w:r w:rsidR="005D27A5">
        <w:rPr>
          <w:rFonts w:ascii="Calibri" w:hAnsi="Calibri" w:cs="Calibri"/>
        </w:rPr>
        <w:t xml:space="preserve">Participants were asked if they agreed or disagreed with statements regarding – </w:t>
      </w:r>
      <w:r w:rsidR="005D27A5" w:rsidRPr="00472D0D">
        <w:rPr>
          <w:rFonts w:ascii="Calibri" w:hAnsi="Calibri" w:cs="Calibri"/>
          <w:i/>
          <w:iCs/>
        </w:rPr>
        <w:t>Right Tim</w:t>
      </w:r>
      <w:r w:rsidR="005D27A5">
        <w:rPr>
          <w:rFonts w:ascii="Calibri" w:hAnsi="Calibri" w:cs="Calibri"/>
          <w:i/>
          <w:iCs/>
        </w:rPr>
        <w:t>ing</w:t>
      </w:r>
      <w:r w:rsidR="005D27A5">
        <w:rPr>
          <w:rFonts w:ascii="Calibri" w:hAnsi="Calibri" w:cs="Calibri"/>
        </w:rPr>
        <w:t xml:space="preserve">, </w:t>
      </w:r>
      <w:r w:rsidR="005D27A5" w:rsidRPr="00EC5D56">
        <w:rPr>
          <w:rFonts w:ascii="Calibri" w:hAnsi="Calibri" w:cs="Calibri"/>
          <w:i/>
          <w:iCs/>
        </w:rPr>
        <w:t>Pleasantness</w:t>
      </w:r>
      <w:r w:rsidR="005D27A5">
        <w:rPr>
          <w:rFonts w:ascii="Calibri" w:hAnsi="Calibri" w:cs="Calibri"/>
        </w:rPr>
        <w:t xml:space="preserve">, </w:t>
      </w:r>
      <w:r w:rsidR="005D27A5" w:rsidRPr="00EC5D56">
        <w:rPr>
          <w:rFonts w:ascii="Calibri" w:hAnsi="Calibri" w:cs="Calibri"/>
          <w:i/>
          <w:iCs/>
        </w:rPr>
        <w:t>Urgency</w:t>
      </w:r>
      <w:r w:rsidR="005D27A5">
        <w:rPr>
          <w:rFonts w:ascii="Calibri" w:hAnsi="Calibri" w:cs="Calibri"/>
        </w:rPr>
        <w:t xml:space="preserve">, </w:t>
      </w:r>
      <w:r w:rsidR="005D27A5" w:rsidRPr="00EC5D56">
        <w:rPr>
          <w:rFonts w:ascii="Calibri" w:hAnsi="Calibri" w:cs="Calibri"/>
          <w:i/>
          <w:iCs/>
        </w:rPr>
        <w:t>Annoy</w:t>
      </w:r>
      <w:r w:rsidR="005D27A5">
        <w:rPr>
          <w:rFonts w:ascii="Calibri" w:hAnsi="Calibri" w:cs="Calibri"/>
          <w:i/>
          <w:iCs/>
        </w:rPr>
        <w:t>ance</w:t>
      </w:r>
      <w:r w:rsidR="005D27A5">
        <w:rPr>
          <w:rFonts w:ascii="Calibri" w:hAnsi="Calibri" w:cs="Calibri"/>
        </w:rPr>
        <w:t xml:space="preserve">, </w:t>
      </w:r>
      <w:r w:rsidR="005D27A5" w:rsidRPr="00EC5D56">
        <w:rPr>
          <w:rFonts w:ascii="Calibri" w:hAnsi="Calibri" w:cs="Calibri"/>
          <w:i/>
          <w:iCs/>
        </w:rPr>
        <w:t>Appropriateness</w:t>
      </w:r>
      <w:r w:rsidR="005D27A5">
        <w:rPr>
          <w:rFonts w:ascii="Calibri" w:hAnsi="Calibri" w:cs="Calibri"/>
        </w:rPr>
        <w:t xml:space="preserve">, </w:t>
      </w:r>
      <w:r w:rsidR="005D27A5" w:rsidRPr="00EC5D56">
        <w:rPr>
          <w:rFonts w:ascii="Calibri" w:hAnsi="Calibri" w:cs="Calibri"/>
          <w:i/>
          <w:iCs/>
        </w:rPr>
        <w:t>Unambiguity</w:t>
      </w:r>
      <w:r w:rsidR="005D27A5">
        <w:rPr>
          <w:rFonts w:ascii="Calibri" w:hAnsi="Calibri" w:cs="Calibri"/>
        </w:rPr>
        <w:t xml:space="preserve">, </w:t>
      </w:r>
      <w:r w:rsidR="005D27A5" w:rsidRPr="00EC5D56">
        <w:rPr>
          <w:rFonts w:ascii="Calibri" w:hAnsi="Calibri" w:cs="Calibri"/>
          <w:i/>
          <w:iCs/>
        </w:rPr>
        <w:t>Attention Capturing</w:t>
      </w:r>
      <w:r w:rsidR="005D27A5">
        <w:rPr>
          <w:rFonts w:ascii="Calibri" w:hAnsi="Calibri" w:cs="Calibri"/>
        </w:rPr>
        <w:t xml:space="preserve">, </w:t>
      </w:r>
      <w:r w:rsidR="005D27A5" w:rsidRPr="00EC5D56">
        <w:rPr>
          <w:rFonts w:ascii="Calibri" w:hAnsi="Calibri" w:cs="Calibri"/>
          <w:i/>
          <w:iCs/>
        </w:rPr>
        <w:t>Commanding</w:t>
      </w:r>
      <w:r w:rsidR="005D27A5">
        <w:rPr>
          <w:rFonts w:ascii="Calibri" w:hAnsi="Calibri" w:cs="Calibri"/>
        </w:rPr>
        <w:t xml:space="preserve">, </w:t>
      </w:r>
      <w:r w:rsidR="005D27A5" w:rsidRPr="00C57CCA">
        <w:rPr>
          <w:rFonts w:ascii="Calibri" w:hAnsi="Calibri" w:cs="Calibri"/>
          <w:i/>
          <w:iCs/>
        </w:rPr>
        <w:t>Startling</w:t>
      </w:r>
      <w:r w:rsidR="005D27A5">
        <w:rPr>
          <w:rFonts w:ascii="Calibri" w:hAnsi="Calibri" w:cs="Calibri"/>
        </w:rPr>
        <w:t xml:space="preserve">, </w:t>
      </w:r>
      <w:r w:rsidR="005D27A5" w:rsidRPr="00EC5D56">
        <w:rPr>
          <w:rFonts w:ascii="Calibri" w:hAnsi="Calibri" w:cs="Calibri"/>
          <w:i/>
          <w:iCs/>
        </w:rPr>
        <w:t>Willingness to Turn Off</w:t>
      </w:r>
      <w:r w:rsidR="005D27A5">
        <w:rPr>
          <w:rFonts w:ascii="Calibri" w:hAnsi="Calibri" w:cs="Calibri"/>
        </w:rPr>
        <w:t xml:space="preserve">, and </w:t>
      </w:r>
      <w:r w:rsidR="005D27A5" w:rsidRPr="00EC5D56">
        <w:rPr>
          <w:rFonts w:ascii="Calibri" w:hAnsi="Calibri" w:cs="Calibri"/>
          <w:i/>
          <w:iCs/>
        </w:rPr>
        <w:t>Distracting</w:t>
      </w:r>
      <w:r w:rsidR="005D27A5">
        <w:rPr>
          <w:rFonts w:ascii="Calibri" w:hAnsi="Calibri" w:cs="Calibri"/>
        </w:rPr>
        <w:t xml:space="preserve"> nature of the notifications on a scale of 1 (Strongly Disagree) – 5 (Strongly Agree). </w:t>
      </w:r>
      <w:r w:rsidR="005D27A5" w:rsidRPr="00E65A01">
        <w:rPr>
          <w:rFonts w:ascii="Calibri" w:hAnsi="Calibri" w:cs="Calibri"/>
          <w:i/>
          <w:iCs/>
        </w:rPr>
        <w:t>Hazard Level</w:t>
      </w:r>
      <w:r w:rsidR="005D27A5">
        <w:rPr>
          <w:rFonts w:ascii="Calibri" w:hAnsi="Calibri" w:cs="Calibri"/>
        </w:rPr>
        <w:t xml:space="preserve"> ratings were also collected using a scale of 1 (Notice), 2 (Caution), 3 (Warning), and 4 (Danger). </w:t>
      </w:r>
    </w:p>
    <w:p w14:paraId="2572036B" w14:textId="77777777" w:rsidR="00123D12" w:rsidRDefault="00123D12" w:rsidP="00123D12">
      <w:pPr>
        <w:ind w:firstLine="720"/>
        <w:jc w:val="both"/>
      </w:pPr>
    </w:p>
    <w:p w14:paraId="3FAA08BA" w14:textId="538E323B" w:rsidR="007022C7" w:rsidRPr="007022C7" w:rsidRDefault="007022C7">
      <w:pPr>
        <w:rPr>
          <w:b/>
          <w:bCs/>
        </w:rPr>
      </w:pPr>
      <w:r w:rsidRPr="007022C7">
        <w:rPr>
          <w:b/>
          <w:bCs/>
        </w:rPr>
        <w:t>Findings</w:t>
      </w:r>
      <w:r w:rsidR="000D6974">
        <w:rPr>
          <w:b/>
          <w:bCs/>
        </w:rPr>
        <w:t xml:space="preserve"> (250/250)</w:t>
      </w:r>
    </w:p>
    <w:p w14:paraId="4D631A4C" w14:textId="1C58C6C3" w:rsidR="00A94361" w:rsidRDefault="0031602F" w:rsidP="00E43A55">
      <w:pPr>
        <w:jc w:val="both"/>
      </w:pPr>
      <w:r>
        <w:t>For Blue, Display Time</w:t>
      </w:r>
      <w:r w:rsidR="00CF4277">
        <w:t xml:space="preserve"> had a main effect</w:t>
      </w:r>
      <w:r w:rsidR="00C01617">
        <w:t>.</w:t>
      </w:r>
      <w:r>
        <w:t xml:space="preserve"> </w:t>
      </w:r>
      <w:r w:rsidR="00B8336B">
        <w:t>The</w:t>
      </w:r>
      <w:r w:rsidR="00A94361">
        <w:t xml:space="preserve"> </w:t>
      </w:r>
      <w:r w:rsidR="00C01617">
        <w:t>20</w:t>
      </w:r>
      <w:r w:rsidR="00A94361">
        <w:t xml:space="preserve"> seconds</w:t>
      </w:r>
      <w:r w:rsidR="00B8336B">
        <w:t xml:space="preserve"> display </w:t>
      </w:r>
      <w:proofErr w:type="gramStart"/>
      <w:r w:rsidR="00B8336B">
        <w:t xml:space="preserve">time </w:t>
      </w:r>
      <w:r w:rsidR="00A94361">
        <w:t xml:space="preserve"> was</w:t>
      </w:r>
      <w:proofErr w:type="gramEnd"/>
      <w:r w:rsidR="00C01617">
        <w:t xml:space="preserve"> </w:t>
      </w:r>
      <w:r w:rsidR="00A94361">
        <w:t xml:space="preserve">rated higher for Right Timing, compared to 40 seconds. However, the 40 second display </w:t>
      </w:r>
      <w:r w:rsidR="00B8336B">
        <w:t xml:space="preserve">time </w:t>
      </w:r>
      <w:r w:rsidR="00A94361">
        <w:t>was rated higher for Unambiguity</w:t>
      </w:r>
      <w:r w:rsidR="00B8336B">
        <w:t>.</w:t>
      </w:r>
    </w:p>
    <w:p w14:paraId="52C4E2A7" w14:textId="7A5BD5DD" w:rsidR="00E43A55" w:rsidRDefault="00C01617" w:rsidP="00A94361">
      <w:pPr>
        <w:ind w:firstLine="720"/>
        <w:jc w:val="both"/>
      </w:pPr>
      <w:r>
        <w:t xml:space="preserve">For Yellow_1, Display </w:t>
      </w:r>
      <w:r w:rsidR="00DC5A86">
        <w:t>Time</w:t>
      </w:r>
      <w:r>
        <w:t xml:space="preserve"> and Speech </w:t>
      </w:r>
      <w:r w:rsidR="00E43A55">
        <w:t>Length</w:t>
      </w:r>
      <w:r w:rsidR="00A94361">
        <w:t xml:space="preserve"> </w:t>
      </w:r>
      <w:r>
        <w:t xml:space="preserve">had main effects. </w:t>
      </w:r>
      <w:r w:rsidR="00A94361">
        <w:t>The</w:t>
      </w:r>
      <w:r>
        <w:t xml:space="preserve"> 10 second</w:t>
      </w:r>
      <w:r w:rsidR="00A94361">
        <w:t xml:space="preserve"> notification</w:t>
      </w:r>
      <w:r>
        <w:t xml:space="preserve"> was perceived as more </w:t>
      </w:r>
      <w:r w:rsidR="00845473">
        <w:t>P</w:t>
      </w:r>
      <w:r>
        <w:t xml:space="preserve">leasing, less </w:t>
      </w:r>
      <w:r w:rsidR="00845473">
        <w:t>D</w:t>
      </w:r>
      <w:r>
        <w:t xml:space="preserve">istracting, and less likely to be </w:t>
      </w:r>
      <w:r w:rsidR="00845473">
        <w:t>T</w:t>
      </w:r>
      <w:r>
        <w:t xml:space="preserve">urned </w:t>
      </w:r>
      <w:r w:rsidR="00845473">
        <w:t>O</w:t>
      </w:r>
      <w:r>
        <w:t>ff; short speech was rated as less annoying than long speech.</w:t>
      </w:r>
      <w:r w:rsidR="00DC5A86">
        <w:t xml:space="preserve"> </w:t>
      </w:r>
    </w:p>
    <w:p w14:paraId="0F667E50" w14:textId="08149ABD" w:rsidR="00E43A55" w:rsidRDefault="00DC5A86" w:rsidP="00E43A55">
      <w:pPr>
        <w:ind w:firstLine="720"/>
        <w:jc w:val="both"/>
      </w:pPr>
      <w:r>
        <w:t xml:space="preserve">With Yellow_2, Display Time had a main effect; </w:t>
      </w:r>
      <w:r w:rsidR="00A94361">
        <w:t>the</w:t>
      </w:r>
      <w:r>
        <w:t xml:space="preserve"> 10 second</w:t>
      </w:r>
      <w:r w:rsidR="00A94361">
        <w:t xml:space="preserve"> </w:t>
      </w:r>
      <w:r>
        <w:t xml:space="preserve">notification was rated </w:t>
      </w:r>
      <w:r w:rsidR="003407EA">
        <w:t>as</w:t>
      </w:r>
      <w:r>
        <w:t xml:space="preserve"> more </w:t>
      </w:r>
      <w:r w:rsidR="00845473">
        <w:t>Pl</w:t>
      </w:r>
      <w:r>
        <w:t xml:space="preserve">easing. </w:t>
      </w:r>
      <w:r w:rsidR="00C57CCA">
        <w:t>A</w:t>
      </w:r>
      <w:r>
        <w:t xml:space="preserve">n interaction effect of Display Time and Speech Length </w:t>
      </w:r>
      <w:r w:rsidR="00C57CCA">
        <w:t xml:space="preserve">showed that </w:t>
      </w:r>
      <w:r>
        <w:t xml:space="preserve">long speech at 10 seconds was less likely to be </w:t>
      </w:r>
      <w:r w:rsidR="00845473">
        <w:t>T</w:t>
      </w:r>
      <w:r>
        <w:t xml:space="preserve">urned </w:t>
      </w:r>
      <w:r w:rsidR="00845473">
        <w:t>O</w:t>
      </w:r>
      <w:r>
        <w:t>ff</w:t>
      </w:r>
      <w:r w:rsidR="003407EA">
        <w:t>,</w:t>
      </w:r>
      <w:r>
        <w:t xml:space="preserve"> compared to short speech at 10 seconds.</w:t>
      </w:r>
      <w:r w:rsidR="00551AFD">
        <w:t xml:space="preserve"> Similar effects were</w:t>
      </w:r>
      <w:r w:rsidR="003407EA">
        <w:t xml:space="preserve"> also</w:t>
      </w:r>
      <w:r w:rsidR="00551AFD">
        <w:t xml:space="preserve"> observed for </w:t>
      </w:r>
      <w:r w:rsidR="00C57CCA">
        <w:t>D</w:t>
      </w:r>
      <w:r w:rsidR="00551AFD">
        <w:t>istracti</w:t>
      </w:r>
      <w:r w:rsidR="00C57CCA">
        <w:t>ng</w:t>
      </w:r>
      <w:r w:rsidR="003407EA">
        <w:t>.</w:t>
      </w:r>
      <w:r w:rsidR="00F20BB8">
        <w:t xml:space="preserve"> </w:t>
      </w:r>
    </w:p>
    <w:p w14:paraId="794410B0" w14:textId="1410A900" w:rsidR="00E43A55" w:rsidRDefault="00C57CCA" w:rsidP="00E43A55">
      <w:pPr>
        <w:ind w:firstLine="720"/>
        <w:jc w:val="both"/>
      </w:pPr>
      <w:r>
        <w:t>Regarding</w:t>
      </w:r>
      <w:r w:rsidR="00F20BB8">
        <w:t xml:space="preserve"> Red_1, Display Time</w:t>
      </w:r>
      <w:r w:rsidR="00845473">
        <w:t xml:space="preserve"> had a main effect</w:t>
      </w:r>
      <w:r w:rsidR="00E43A55">
        <w:t>; t</w:t>
      </w:r>
      <w:r w:rsidR="00F20BB8">
        <w:t xml:space="preserve">he 10 second was rated as less </w:t>
      </w:r>
      <w:r w:rsidR="00845473">
        <w:t>A</w:t>
      </w:r>
      <w:r w:rsidR="00F20BB8">
        <w:t xml:space="preserve">nnoying and </w:t>
      </w:r>
      <w:r w:rsidR="00845473">
        <w:t>D</w:t>
      </w:r>
      <w:r w:rsidR="00F20BB8">
        <w:t>istracting.</w:t>
      </w:r>
      <w:r w:rsidR="00F27019">
        <w:t xml:space="preserve"> An interaction effect of Display Time and Speech Length </w:t>
      </w:r>
      <w:r>
        <w:t>showed</w:t>
      </w:r>
      <w:r w:rsidR="00F27019">
        <w:t xml:space="preserve"> </w:t>
      </w:r>
      <w:r>
        <w:t>l</w:t>
      </w:r>
      <w:r w:rsidR="002B2867">
        <w:t xml:space="preserve">ong speech </w:t>
      </w:r>
      <w:r w:rsidR="002A6858">
        <w:t xml:space="preserve">at 20 seconds, as well as short speech at 10 seconds </w:t>
      </w:r>
      <w:r w:rsidR="00E43A55">
        <w:t>were</w:t>
      </w:r>
      <w:r w:rsidR="002A6858">
        <w:t xml:space="preserve"> rated higher compared to long speech at 10 seconds, and short speech at 20 seconds for Right Timing</w:t>
      </w:r>
      <w:r>
        <w:t xml:space="preserve">, </w:t>
      </w:r>
      <w:r w:rsidR="00E43A55">
        <w:t>Pleasantness</w:t>
      </w:r>
      <w:r w:rsidR="002A6858">
        <w:t xml:space="preserve">, </w:t>
      </w:r>
      <w:r>
        <w:t xml:space="preserve">and </w:t>
      </w:r>
      <w:r w:rsidR="002A6858">
        <w:t xml:space="preserve">Appropriateness, while the opposite </w:t>
      </w:r>
      <w:r w:rsidR="00845473">
        <w:t xml:space="preserve">effect </w:t>
      </w:r>
      <w:r w:rsidR="002A6858">
        <w:t xml:space="preserve">was observed for </w:t>
      </w:r>
      <w:r w:rsidR="00845473">
        <w:t>likelihood</w:t>
      </w:r>
      <w:r w:rsidR="002A6858">
        <w:t xml:space="preserve"> to </w:t>
      </w:r>
      <w:r w:rsidR="00845473">
        <w:t xml:space="preserve">be </w:t>
      </w:r>
      <w:r w:rsidR="002A6858">
        <w:t>Turn</w:t>
      </w:r>
      <w:r w:rsidR="00845473">
        <w:t>ed</w:t>
      </w:r>
      <w:r w:rsidR="002A6858">
        <w:t xml:space="preserve"> Off.</w:t>
      </w:r>
    </w:p>
    <w:p w14:paraId="0B160B57" w14:textId="77777777" w:rsidR="00CF4277" w:rsidRDefault="00C57CCA" w:rsidP="00FE561A">
      <w:pPr>
        <w:ind w:firstLine="720"/>
        <w:jc w:val="both"/>
      </w:pPr>
      <w:r>
        <w:t xml:space="preserve">Finally, for Red_2, a main effect of Speech </w:t>
      </w:r>
      <w:r w:rsidR="00E43A55">
        <w:t>L</w:t>
      </w:r>
      <w:r>
        <w:t xml:space="preserve">ength showed long speech was more likely to be </w:t>
      </w:r>
      <w:r w:rsidR="00CF4277">
        <w:t>T</w:t>
      </w:r>
      <w:r>
        <w:t xml:space="preserve">urned off. Further, a main effect of Presentation Order showed that simultaneous presentation was rated as more </w:t>
      </w:r>
      <w:r w:rsidR="00CF4277">
        <w:t>U</w:t>
      </w:r>
      <w:r>
        <w:t xml:space="preserve">rgent, </w:t>
      </w:r>
      <w:r w:rsidR="00CF4277">
        <w:t>C</w:t>
      </w:r>
      <w:r>
        <w:t xml:space="preserve">ommanding, but also more </w:t>
      </w:r>
      <w:r w:rsidR="00CF4277">
        <w:t>D</w:t>
      </w:r>
      <w:r>
        <w:t xml:space="preserve">istracting, </w:t>
      </w:r>
      <w:r w:rsidR="00CF4277">
        <w:t>A</w:t>
      </w:r>
      <w:r>
        <w:t xml:space="preserve">nnoying, and </w:t>
      </w:r>
      <w:r w:rsidR="00CF4277">
        <w:t>S</w:t>
      </w:r>
      <w:r>
        <w:t xml:space="preserve">tartling. </w:t>
      </w:r>
    </w:p>
    <w:p w14:paraId="5DDA8F39" w14:textId="6C4AC28A" w:rsidR="007022C7" w:rsidRDefault="00CF4277" w:rsidP="00FE561A">
      <w:pPr>
        <w:ind w:firstLine="720"/>
        <w:jc w:val="both"/>
      </w:pPr>
      <w:r>
        <w:t>All reported findings are statistically significant.</w:t>
      </w:r>
    </w:p>
    <w:p w14:paraId="15964564" w14:textId="77777777" w:rsidR="00FE561A" w:rsidRDefault="00FE561A" w:rsidP="00FE561A">
      <w:pPr>
        <w:ind w:firstLine="720"/>
        <w:jc w:val="both"/>
      </w:pPr>
    </w:p>
    <w:p w14:paraId="60D48F04" w14:textId="0AE8D17E" w:rsidR="007022C7" w:rsidRDefault="007022C7">
      <w:pPr>
        <w:rPr>
          <w:b/>
          <w:bCs/>
        </w:rPr>
      </w:pPr>
      <w:r w:rsidRPr="007022C7">
        <w:rPr>
          <w:b/>
          <w:bCs/>
        </w:rPr>
        <w:t>Takeaways</w:t>
      </w:r>
      <w:r w:rsidR="000D6974">
        <w:rPr>
          <w:b/>
          <w:bCs/>
        </w:rPr>
        <w:t xml:space="preserve"> (250/250)</w:t>
      </w:r>
    </w:p>
    <w:p w14:paraId="72A9BEA7" w14:textId="6E204010" w:rsidR="00E43A55" w:rsidRDefault="00382B93" w:rsidP="00FE561A">
      <w:pPr>
        <w:jc w:val="both"/>
      </w:pPr>
      <w:r>
        <w:t>The use of</w:t>
      </w:r>
      <w:r w:rsidR="002C3FB5">
        <w:t xml:space="preserve"> multimodal</w:t>
      </w:r>
      <w:r>
        <w:t xml:space="preserve"> in-vehicle alerts </w:t>
      </w:r>
      <w:r w:rsidR="002C3FB5">
        <w:t xml:space="preserve">is a novel methodology </w:t>
      </w:r>
      <w:r>
        <w:t xml:space="preserve">to improve driver behavior </w:t>
      </w:r>
      <w:r w:rsidR="002C3FB5">
        <w:t>at HR</w:t>
      </w:r>
      <w:r w:rsidR="009D3D1B">
        <w:t>G</w:t>
      </w:r>
      <w:r w:rsidR="002C3FB5">
        <w:t>Cs. Before implementation, or test</w:t>
      </w:r>
      <w:r w:rsidR="00801EA4">
        <w:t>ing</w:t>
      </w:r>
      <w:r w:rsidR="002C3FB5">
        <w:t xml:space="preserve"> </w:t>
      </w:r>
      <w:r w:rsidR="00801EA4">
        <w:t xml:space="preserve">for </w:t>
      </w:r>
      <w:r w:rsidR="002C3FB5">
        <w:t>the</w:t>
      </w:r>
      <w:r w:rsidR="00801EA4">
        <w:t>ir</w:t>
      </w:r>
      <w:r w:rsidR="002C3FB5">
        <w:t xml:space="preserve"> effectiveness, it is necessary to investigate the design of</w:t>
      </w:r>
      <w:r w:rsidR="00801EA4">
        <w:t xml:space="preserve"> the components of the</w:t>
      </w:r>
      <w:r w:rsidR="002C3FB5">
        <w:t xml:space="preserve"> multimodal alerts systematically. </w:t>
      </w:r>
      <w:r w:rsidR="008B2477">
        <w:t xml:space="preserve">The current work </w:t>
      </w:r>
      <w:r w:rsidR="00FE561A">
        <w:t>evaluate</w:t>
      </w:r>
      <w:r w:rsidR="000764A0">
        <w:t>d</w:t>
      </w:r>
      <w:r w:rsidR="00FE561A">
        <w:t xml:space="preserve"> user perception of five multimodal alerts </w:t>
      </w:r>
      <w:r w:rsidR="00801EA4">
        <w:t>by varying their display time, speech length, and presentation order</w:t>
      </w:r>
      <w:r w:rsidR="00FE561A">
        <w:t>.</w:t>
      </w:r>
      <w:r w:rsidR="008B2477">
        <w:t xml:space="preserve"> </w:t>
      </w:r>
      <w:r w:rsidR="00FE561A">
        <w:t>F</w:t>
      </w:r>
      <w:r>
        <w:t xml:space="preserve">indings from the current study </w:t>
      </w:r>
      <w:r w:rsidR="002C3FB5">
        <w:t xml:space="preserve">will help to further improve the visual and </w:t>
      </w:r>
      <w:r w:rsidR="002C3FB5">
        <w:lastRenderedPageBreak/>
        <w:t>auditory components of multimodal alerts</w:t>
      </w:r>
      <w:r w:rsidR="000764A0">
        <w:t xml:space="preserve"> for use at HRGCs to potentially reduce vehicle-train accidents</w:t>
      </w:r>
      <w:r w:rsidR="00801EA4">
        <w:t>.</w:t>
      </w:r>
      <w:r w:rsidR="002C3FB5">
        <w:t xml:space="preserve"> </w:t>
      </w:r>
    </w:p>
    <w:p w14:paraId="53FFA95E" w14:textId="524C6323" w:rsidR="00FE561A" w:rsidRPr="00382B93" w:rsidRDefault="00FE561A" w:rsidP="008B3FC8">
      <w:pPr>
        <w:jc w:val="both"/>
      </w:pPr>
      <w:r>
        <w:tab/>
        <w:t xml:space="preserve">While it could be anticipated that </w:t>
      </w:r>
      <w:r w:rsidR="007A2E46">
        <w:t xml:space="preserve">a </w:t>
      </w:r>
      <w:r>
        <w:t>shorter length speech should be used in conjunction with a shorter display time</w:t>
      </w:r>
      <w:r w:rsidR="007A2E46">
        <w:t xml:space="preserve">, the results of this perception study show that this might be scenario dependent. For example, </w:t>
      </w:r>
      <w:r w:rsidR="00A54F39">
        <w:t xml:space="preserve">for the short storage HRGC scenario (Yellow_2 notification), participants preferred longer speech with a shorter arrival time. This could be because participants wanted to receive all </w:t>
      </w:r>
      <w:proofErr w:type="gramStart"/>
      <w:r w:rsidR="00A54F39">
        <w:t>possible information</w:t>
      </w:r>
      <w:proofErr w:type="gramEnd"/>
      <w:r w:rsidR="00A54F39">
        <w:t xml:space="preserve"> about the scenario from the notification, but also felt it was </w:t>
      </w:r>
      <w:r w:rsidR="008B3FC8">
        <w:t>better suited</w:t>
      </w:r>
      <w:r w:rsidR="00A54F39">
        <w:t xml:space="preserve"> </w:t>
      </w:r>
      <w:r w:rsidR="008B3FC8">
        <w:t>for</w:t>
      </w:r>
      <w:r w:rsidR="00A54F39">
        <w:t xml:space="preserve"> when they could </w:t>
      </w:r>
      <w:r w:rsidR="008B3FC8">
        <w:t>compare</w:t>
      </w:r>
      <w:r w:rsidR="00A54F39">
        <w:t xml:space="preserve"> the information with what they were able to directly observe </w:t>
      </w:r>
      <w:r w:rsidR="008B3FC8">
        <w:t>at</w:t>
      </w:r>
      <w:r w:rsidR="00A54F39">
        <w:t xml:space="preserve"> the HRGC. </w:t>
      </w:r>
      <w:r w:rsidR="008B3FC8">
        <w:t xml:space="preserve">Similarly, Red_1 notification results suggest that depending on additional scenario variables, such as driver or train speed, </w:t>
      </w:r>
      <w:proofErr w:type="gramStart"/>
      <w:r w:rsidR="008B3FC8">
        <w:t>visibility,  or</w:t>
      </w:r>
      <w:proofErr w:type="gramEnd"/>
      <w:r w:rsidR="008B3FC8">
        <w:t xml:space="preserve"> advanced warning signs, both short and long speech might be appropriate with 10 and 20 second arrival times, respectively. </w:t>
      </w:r>
      <w:r w:rsidR="005E6481">
        <w:t>Future research should involve testing the notifications by controlling for scenario related variables such as active and passive HGRCs, visibility conditions, and train presence, to test for their effectiveness in improving driver behavior.</w:t>
      </w:r>
    </w:p>
    <w:p w14:paraId="6E643257" w14:textId="6E723F61" w:rsidR="00EB3B2E" w:rsidRDefault="007022C7">
      <w:r>
        <w:tab/>
      </w:r>
    </w:p>
    <w:p w14:paraId="41E03CBA" w14:textId="20A6B4B3" w:rsidR="00EB3B2E" w:rsidRDefault="00EB3B2E">
      <w:pPr>
        <w:rPr>
          <w:b/>
          <w:bCs/>
        </w:rPr>
      </w:pPr>
      <w:r>
        <w:rPr>
          <w:b/>
          <w:bCs/>
        </w:rPr>
        <w:t>References</w:t>
      </w:r>
    </w:p>
    <w:p w14:paraId="30476CD8" w14:textId="77777777" w:rsidR="003F345D" w:rsidRPr="003F345D" w:rsidRDefault="00934AFE" w:rsidP="003F345D">
      <w:pPr>
        <w:pStyle w:val="Bibliography"/>
        <w:rPr>
          <w:rFonts w:ascii="Aptos"/>
        </w:rPr>
      </w:pPr>
      <w:r>
        <w:fldChar w:fldCharType="begin"/>
      </w:r>
      <w:r w:rsidR="003F345D">
        <w:instrText xml:space="preserve"> ADDIN ZOTERO_BIBL {"uncited":[],"omitted":[],"custom":[]} CSL_BIBLIOGRAPHY </w:instrText>
      </w:r>
      <w:r>
        <w:fldChar w:fldCharType="separate"/>
      </w:r>
      <w:r w:rsidR="003F345D" w:rsidRPr="003F345D">
        <w:rPr>
          <w:rFonts w:ascii="Aptos"/>
        </w:rPr>
        <w:t xml:space="preserve">FRA, O. of R. P. &amp; D. (2016). </w:t>
      </w:r>
      <w:r w:rsidR="003F345D" w:rsidRPr="003F345D">
        <w:rPr>
          <w:rFonts w:ascii="Aptos"/>
          <w:i/>
          <w:iCs/>
        </w:rPr>
        <w:t>ANALYSIS OF GRADE CROSSING ACCIDENTS RESULTING IN INJURIES AND FATALITIES</w:t>
      </w:r>
      <w:r w:rsidR="003F345D" w:rsidRPr="003F345D">
        <w:rPr>
          <w:rFonts w:ascii="Aptos"/>
        </w:rPr>
        <w:t xml:space="preserve"> (16–10; p. 4). Department of Transportation.</w:t>
      </w:r>
    </w:p>
    <w:p w14:paraId="3F2776A2" w14:textId="77777777" w:rsidR="003F345D" w:rsidRPr="003F345D" w:rsidRDefault="003F345D" w:rsidP="003F345D">
      <w:pPr>
        <w:pStyle w:val="Bibliography"/>
        <w:rPr>
          <w:rFonts w:ascii="Aptos"/>
        </w:rPr>
      </w:pPr>
      <w:r w:rsidRPr="003F345D">
        <w:rPr>
          <w:rFonts w:ascii="Aptos"/>
        </w:rPr>
        <w:t xml:space="preserve">Hellman, A., &amp; Poirier, P. (2019). </w:t>
      </w:r>
      <w:r w:rsidRPr="003F345D">
        <w:rPr>
          <w:rFonts w:ascii="Aptos"/>
          <w:i/>
          <w:iCs/>
        </w:rPr>
        <w:t>Highway-Rail Intersection Crash Taxonomy for Connected Vehicle Safety Research—Ten Year Trend</w:t>
      </w:r>
      <w:r w:rsidRPr="003F345D">
        <w:rPr>
          <w:rFonts w:ascii="Aptos"/>
        </w:rPr>
        <w:t xml:space="preserve"> (Technical Report DOT-VNTSC-FRA-19-04; p. 45). U.S. Department of Transportation Office of the Assistant Secretary for Research and Technology John A. Volpe National Transportation Systems Center.</w:t>
      </w:r>
    </w:p>
    <w:p w14:paraId="67FEE85C" w14:textId="77777777" w:rsidR="003F345D" w:rsidRPr="003F345D" w:rsidRDefault="003F345D" w:rsidP="003F345D">
      <w:pPr>
        <w:pStyle w:val="Bibliography"/>
        <w:rPr>
          <w:rFonts w:ascii="Aptos"/>
        </w:rPr>
      </w:pPr>
      <w:r w:rsidRPr="003F345D">
        <w:rPr>
          <w:rFonts w:ascii="Aptos"/>
        </w:rPr>
        <w:t xml:space="preserve">Lautala, P., Nelson, D., Dean, A., Jeon, M., &amp; Muhire, M. (2017, September 17). Evaluating Driver Compliance at Highway Grade Crossings. </w:t>
      </w:r>
      <w:r w:rsidRPr="003F345D">
        <w:rPr>
          <w:rFonts w:ascii="Aptos"/>
          <w:i/>
          <w:iCs/>
        </w:rPr>
        <w:t>Proceedings of the AREMA Annual Conference</w:t>
      </w:r>
      <w:r w:rsidRPr="003F345D">
        <w:rPr>
          <w:rFonts w:ascii="Aptos"/>
        </w:rPr>
        <w:t>. AREMA Annual Conference, Indianapolis, IN, USA.</w:t>
      </w:r>
    </w:p>
    <w:p w14:paraId="39250483" w14:textId="77777777" w:rsidR="003F345D" w:rsidRPr="003F345D" w:rsidRDefault="003F345D" w:rsidP="003F345D">
      <w:pPr>
        <w:pStyle w:val="Bibliography"/>
        <w:rPr>
          <w:rFonts w:ascii="Aptos"/>
        </w:rPr>
      </w:pPr>
      <w:r w:rsidRPr="003F345D">
        <w:rPr>
          <w:rFonts w:ascii="Aptos"/>
        </w:rPr>
        <w:t xml:space="preserve">Nadri, C., Kekal, S., Li, Y., Li, X., Lee, S. C., Nelson, D., Lautala, P., &amp; Jeon, M. (2023). “Slow down. Rail crossing ahead. Look left and right at the crossing”: In-vehicle auditory alerts improve driver behavior at rail crossings. </w:t>
      </w:r>
      <w:r w:rsidRPr="003F345D">
        <w:rPr>
          <w:rFonts w:ascii="Aptos"/>
          <w:i/>
          <w:iCs/>
        </w:rPr>
        <w:t>Applied Ergonomics</w:t>
      </w:r>
      <w:r w:rsidRPr="003F345D">
        <w:rPr>
          <w:rFonts w:ascii="Aptos"/>
        </w:rPr>
        <w:t xml:space="preserve">, </w:t>
      </w:r>
      <w:r w:rsidRPr="003F345D">
        <w:rPr>
          <w:rFonts w:ascii="Aptos"/>
          <w:i/>
          <w:iCs/>
        </w:rPr>
        <w:t>106</w:t>
      </w:r>
      <w:r w:rsidRPr="003F345D">
        <w:rPr>
          <w:rFonts w:ascii="Aptos"/>
        </w:rPr>
        <w:t>, 103912. https://doi.org/10.1016/j.apergo.2022.103912</w:t>
      </w:r>
    </w:p>
    <w:p w14:paraId="5C2AEF6D" w14:textId="77777777" w:rsidR="003F345D" w:rsidRPr="003F345D" w:rsidRDefault="003F345D" w:rsidP="003F345D">
      <w:pPr>
        <w:pStyle w:val="Bibliography"/>
        <w:rPr>
          <w:rFonts w:ascii="Aptos"/>
        </w:rPr>
      </w:pPr>
      <w:r w:rsidRPr="003F345D">
        <w:rPr>
          <w:rFonts w:ascii="Aptos"/>
        </w:rPr>
        <w:lastRenderedPageBreak/>
        <w:t xml:space="preserve">Nadri, C., Lee, S. C., Kekal, S., Li, Y., Li, X., Lautala, P., Nelson, D., &amp; Jeon, M. (2021). Investigating the Effects of Earcon and Speech Variables on Hybrid Auditory Alerts at Rail Crossings. </w:t>
      </w:r>
      <w:r w:rsidRPr="003F345D">
        <w:rPr>
          <w:rFonts w:ascii="Aptos"/>
          <w:i/>
          <w:iCs/>
        </w:rPr>
        <w:t>Proceedings of the 26th International Conference on Auditory Display (ICAD 2021)</w:t>
      </w:r>
      <w:r w:rsidRPr="003F345D">
        <w:rPr>
          <w:rFonts w:ascii="Aptos"/>
        </w:rPr>
        <w:t>, 38–43. https://doi.org/10.21785/icad2021.024</w:t>
      </w:r>
    </w:p>
    <w:p w14:paraId="763020A1" w14:textId="77777777" w:rsidR="003F345D" w:rsidRPr="003F345D" w:rsidRDefault="003F345D" w:rsidP="003F345D">
      <w:pPr>
        <w:pStyle w:val="Bibliography"/>
        <w:rPr>
          <w:rFonts w:ascii="Aptos"/>
        </w:rPr>
      </w:pPr>
      <w:r w:rsidRPr="003F345D">
        <w:rPr>
          <w:rFonts w:ascii="Aptos"/>
        </w:rPr>
        <w:t xml:space="preserve">Yeh, M., &amp; Multer, J. (2008). </w:t>
      </w:r>
      <w:r w:rsidRPr="003F345D">
        <w:rPr>
          <w:rFonts w:ascii="Aptos"/>
          <w:i/>
          <w:iCs/>
        </w:rPr>
        <w:t>Driver Behavior at Highway-Railroad Grade Crossings: A Literature Review from 1990-2006</w:t>
      </w:r>
      <w:r w:rsidRPr="003F345D">
        <w:rPr>
          <w:rFonts w:ascii="Aptos"/>
        </w:rPr>
        <w:t xml:space="preserve"> (Final Report DOT/FRA/ORD-08/03; p. 135). U.S. Department of Transportation Research and Innovative Technology Administration John A. Volpe National Transportation Systems Center. https://doi.org/10.1037/e621222011-001</w:t>
      </w:r>
    </w:p>
    <w:p w14:paraId="2F60C03E" w14:textId="77777777" w:rsidR="003F345D" w:rsidRPr="003F345D" w:rsidRDefault="003F345D" w:rsidP="003F345D">
      <w:pPr>
        <w:pStyle w:val="Bibliography"/>
        <w:rPr>
          <w:rFonts w:ascii="Aptos"/>
        </w:rPr>
      </w:pPr>
      <w:r w:rsidRPr="003F345D">
        <w:rPr>
          <w:rFonts w:ascii="Aptos"/>
        </w:rPr>
        <w:t xml:space="preserve">Zhang, K., Lautala, P., Souleyrette, R. R., Tan, Y., Yang, Y., Hung, Y.-C., Mamun, T. I., Veinott, E. S., &amp; Wang, T. (2023). </w:t>
      </w:r>
      <w:r w:rsidRPr="003F345D">
        <w:rPr>
          <w:rFonts w:ascii="Aptos"/>
          <w:i/>
          <w:iCs/>
        </w:rPr>
        <w:t>Developing Safe and Efficient Driving and Routing Strategies at Railroad Grade Crossings based on Highway-Railway Connectivity</w:t>
      </w:r>
      <w:r w:rsidRPr="003F345D">
        <w:rPr>
          <w:rFonts w:ascii="Aptos"/>
        </w:rPr>
        <w:t xml:space="preserve"> (Technical Report DOT/FRA/ORD-23/14). Michigan Technological University, Houghton; The University of Kentucky.</w:t>
      </w:r>
    </w:p>
    <w:p w14:paraId="5791ACD5" w14:textId="04F99ACD" w:rsidR="00934AFE" w:rsidRDefault="00934AFE">
      <w:r>
        <w:fldChar w:fldCharType="end"/>
      </w:r>
    </w:p>
    <w:sectPr w:rsidR="00934AF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panose1 w:val="020B06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panose1 w:val="020B0604020202020204"/>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2"/>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2DA"/>
    <w:rsid w:val="0005781B"/>
    <w:rsid w:val="0006193B"/>
    <w:rsid w:val="000764A0"/>
    <w:rsid w:val="000D6974"/>
    <w:rsid w:val="000F0C49"/>
    <w:rsid w:val="00123D12"/>
    <w:rsid w:val="00163823"/>
    <w:rsid w:val="001679B8"/>
    <w:rsid w:val="00196F59"/>
    <w:rsid w:val="001D03C3"/>
    <w:rsid w:val="001D1F54"/>
    <w:rsid w:val="001D573A"/>
    <w:rsid w:val="00221FAC"/>
    <w:rsid w:val="00237057"/>
    <w:rsid w:val="002741DC"/>
    <w:rsid w:val="002907AD"/>
    <w:rsid w:val="002942AE"/>
    <w:rsid w:val="002979A9"/>
    <w:rsid w:val="002A6858"/>
    <w:rsid w:val="002B2867"/>
    <w:rsid w:val="002C3FB5"/>
    <w:rsid w:val="002C61B2"/>
    <w:rsid w:val="002C7C6A"/>
    <w:rsid w:val="002E3D9F"/>
    <w:rsid w:val="002F613D"/>
    <w:rsid w:val="0031602F"/>
    <w:rsid w:val="003407EA"/>
    <w:rsid w:val="00360674"/>
    <w:rsid w:val="00382B93"/>
    <w:rsid w:val="003C63C6"/>
    <w:rsid w:val="003D2126"/>
    <w:rsid w:val="003F2EDD"/>
    <w:rsid w:val="003F345D"/>
    <w:rsid w:val="003F38F4"/>
    <w:rsid w:val="0041459A"/>
    <w:rsid w:val="00440916"/>
    <w:rsid w:val="00444A46"/>
    <w:rsid w:val="0047200D"/>
    <w:rsid w:val="00472D0D"/>
    <w:rsid w:val="004848FD"/>
    <w:rsid w:val="004A1A1B"/>
    <w:rsid w:val="004B6FD3"/>
    <w:rsid w:val="004C6D9E"/>
    <w:rsid w:val="004D3538"/>
    <w:rsid w:val="004E608C"/>
    <w:rsid w:val="004F28E7"/>
    <w:rsid w:val="00521D8F"/>
    <w:rsid w:val="00537571"/>
    <w:rsid w:val="00551AFD"/>
    <w:rsid w:val="00577A6E"/>
    <w:rsid w:val="005C57A3"/>
    <w:rsid w:val="005C7329"/>
    <w:rsid w:val="005D27A5"/>
    <w:rsid w:val="005D3ED7"/>
    <w:rsid w:val="005E6481"/>
    <w:rsid w:val="0061465E"/>
    <w:rsid w:val="00617344"/>
    <w:rsid w:val="006929E9"/>
    <w:rsid w:val="006A146A"/>
    <w:rsid w:val="006B429F"/>
    <w:rsid w:val="006F1E52"/>
    <w:rsid w:val="00701437"/>
    <w:rsid w:val="007022C7"/>
    <w:rsid w:val="007137A8"/>
    <w:rsid w:val="00731A8F"/>
    <w:rsid w:val="007471AF"/>
    <w:rsid w:val="0079366C"/>
    <w:rsid w:val="007A2E46"/>
    <w:rsid w:val="007E4FFA"/>
    <w:rsid w:val="007E50C4"/>
    <w:rsid w:val="00801987"/>
    <w:rsid w:val="00801EA4"/>
    <w:rsid w:val="0082350F"/>
    <w:rsid w:val="00844859"/>
    <w:rsid w:val="00845473"/>
    <w:rsid w:val="00872770"/>
    <w:rsid w:val="008B2477"/>
    <w:rsid w:val="008B3FC8"/>
    <w:rsid w:val="008E2EF4"/>
    <w:rsid w:val="00911426"/>
    <w:rsid w:val="00934AFE"/>
    <w:rsid w:val="00967E3C"/>
    <w:rsid w:val="00975C89"/>
    <w:rsid w:val="009A56D1"/>
    <w:rsid w:val="009A77FC"/>
    <w:rsid w:val="009D3D1B"/>
    <w:rsid w:val="00A31831"/>
    <w:rsid w:val="00A54F39"/>
    <w:rsid w:val="00A67F10"/>
    <w:rsid w:val="00A876FF"/>
    <w:rsid w:val="00A94361"/>
    <w:rsid w:val="00AC036F"/>
    <w:rsid w:val="00AC1C12"/>
    <w:rsid w:val="00AC27A0"/>
    <w:rsid w:val="00B02512"/>
    <w:rsid w:val="00B163AE"/>
    <w:rsid w:val="00B7290C"/>
    <w:rsid w:val="00B8336B"/>
    <w:rsid w:val="00B930D6"/>
    <w:rsid w:val="00B952CE"/>
    <w:rsid w:val="00BB0ECD"/>
    <w:rsid w:val="00BD704F"/>
    <w:rsid w:val="00BD7677"/>
    <w:rsid w:val="00C01617"/>
    <w:rsid w:val="00C27AEA"/>
    <w:rsid w:val="00C31FA6"/>
    <w:rsid w:val="00C57CCA"/>
    <w:rsid w:val="00C77B73"/>
    <w:rsid w:val="00C96EBE"/>
    <w:rsid w:val="00CA0B2D"/>
    <w:rsid w:val="00CA5FB4"/>
    <w:rsid w:val="00CF4277"/>
    <w:rsid w:val="00CF6036"/>
    <w:rsid w:val="00D17360"/>
    <w:rsid w:val="00D47727"/>
    <w:rsid w:val="00D61C29"/>
    <w:rsid w:val="00D95E07"/>
    <w:rsid w:val="00DC5A86"/>
    <w:rsid w:val="00DD6C1C"/>
    <w:rsid w:val="00E22EF6"/>
    <w:rsid w:val="00E43A55"/>
    <w:rsid w:val="00E65A01"/>
    <w:rsid w:val="00E8159C"/>
    <w:rsid w:val="00EB3B2E"/>
    <w:rsid w:val="00EC5D56"/>
    <w:rsid w:val="00EF72E6"/>
    <w:rsid w:val="00F02947"/>
    <w:rsid w:val="00F05526"/>
    <w:rsid w:val="00F20BB8"/>
    <w:rsid w:val="00F22337"/>
    <w:rsid w:val="00F27019"/>
    <w:rsid w:val="00F36DE2"/>
    <w:rsid w:val="00F532DA"/>
    <w:rsid w:val="00F77AF6"/>
    <w:rsid w:val="00F93E84"/>
    <w:rsid w:val="00F9462B"/>
    <w:rsid w:val="00FA5D1A"/>
    <w:rsid w:val="00FE561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ecimalSymbol w:val="."/>
  <w:listSeparator w:val=","/>
  <w14:docId w14:val="59512631"/>
  <w15:chartTrackingRefBased/>
  <w15:docId w15:val="{0149AD5E-BC08-E74A-8C89-956B9A788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532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32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32D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32D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32D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32D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32D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32D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32D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32D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532D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532D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532D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532D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532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532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532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532DA"/>
    <w:rPr>
      <w:rFonts w:eastAsiaTheme="majorEastAsia" w:cstheme="majorBidi"/>
      <w:color w:val="272727" w:themeColor="text1" w:themeTint="D8"/>
    </w:rPr>
  </w:style>
  <w:style w:type="paragraph" w:styleId="Title">
    <w:name w:val="Title"/>
    <w:basedOn w:val="Normal"/>
    <w:next w:val="Normal"/>
    <w:link w:val="TitleChar"/>
    <w:uiPriority w:val="10"/>
    <w:qFormat/>
    <w:rsid w:val="00F532D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532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532D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532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32D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532DA"/>
    <w:rPr>
      <w:i/>
      <w:iCs/>
      <w:color w:val="404040" w:themeColor="text1" w:themeTint="BF"/>
    </w:rPr>
  </w:style>
  <w:style w:type="paragraph" w:styleId="ListParagraph">
    <w:name w:val="List Paragraph"/>
    <w:basedOn w:val="Normal"/>
    <w:uiPriority w:val="34"/>
    <w:qFormat/>
    <w:rsid w:val="00F532DA"/>
    <w:pPr>
      <w:ind w:left="720"/>
      <w:contextualSpacing/>
    </w:pPr>
  </w:style>
  <w:style w:type="character" w:styleId="IntenseEmphasis">
    <w:name w:val="Intense Emphasis"/>
    <w:basedOn w:val="DefaultParagraphFont"/>
    <w:uiPriority w:val="21"/>
    <w:qFormat/>
    <w:rsid w:val="00F532DA"/>
    <w:rPr>
      <w:i/>
      <w:iCs/>
      <w:color w:val="0F4761" w:themeColor="accent1" w:themeShade="BF"/>
    </w:rPr>
  </w:style>
  <w:style w:type="paragraph" w:styleId="IntenseQuote">
    <w:name w:val="Intense Quote"/>
    <w:basedOn w:val="Normal"/>
    <w:next w:val="Normal"/>
    <w:link w:val="IntenseQuoteChar"/>
    <w:uiPriority w:val="30"/>
    <w:qFormat/>
    <w:rsid w:val="00F532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532DA"/>
    <w:rPr>
      <w:i/>
      <w:iCs/>
      <w:color w:val="0F4761" w:themeColor="accent1" w:themeShade="BF"/>
    </w:rPr>
  </w:style>
  <w:style w:type="character" w:styleId="IntenseReference">
    <w:name w:val="Intense Reference"/>
    <w:basedOn w:val="DefaultParagraphFont"/>
    <w:uiPriority w:val="32"/>
    <w:qFormat/>
    <w:rsid w:val="00F532DA"/>
    <w:rPr>
      <w:b/>
      <w:bCs/>
      <w:smallCaps/>
      <w:color w:val="0F4761" w:themeColor="accent1" w:themeShade="BF"/>
      <w:spacing w:val="5"/>
    </w:rPr>
  </w:style>
  <w:style w:type="table" w:styleId="TableGrid">
    <w:name w:val="Table Grid"/>
    <w:basedOn w:val="TableNormal"/>
    <w:uiPriority w:val="39"/>
    <w:rsid w:val="00C27A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934AFE"/>
    <w:pPr>
      <w:spacing w:line="480" w:lineRule="auto"/>
      <w:ind w:left="720" w:hanging="720"/>
    </w:pPr>
  </w:style>
  <w:style w:type="paragraph" w:styleId="BalloonText">
    <w:name w:val="Balloon Text"/>
    <w:basedOn w:val="Normal"/>
    <w:link w:val="BalloonTextChar"/>
    <w:uiPriority w:val="99"/>
    <w:semiHidden/>
    <w:unhideWhenUsed/>
    <w:rsid w:val="0079366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9366C"/>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79366C"/>
    <w:rPr>
      <w:sz w:val="16"/>
      <w:szCs w:val="16"/>
    </w:rPr>
  </w:style>
  <w:style w:type="paragraph" w:styleId="CommentText">
    <w:name w:val="annotation text"/>
    <w:basedOn w:val="Normal"/>
    <w:link w:val="CommentTextChar"/>
    <w:uiPriority w:val="99"/>
    <w:semiHidden/>
    <w:unhideWhenUsed/>
    <w:rsid w:val="0079366C"/>
    <w:rPr>
      <w:sz w:val="20"/>
      <w:szCs w:val="20"/>
    </w:rPr>
  </w:style>
  <w:style w:type="character" w:customStyle="1" w:styleId="CommentTextChar">
    <w:name w:val="Comment Text Char"/>
    <w:basedOn w:val="DefaultParagraphFont"/>
    <w:link w:val="CommentText"/>
    <w:uiPriority w:val="99"/>
    <w:semiHidden/>
    <w:rsid w:val="0079366C"/>
    <w:rPr>
      <w:sz w:val="20"/>
      <w:szCs w:val="20"/>
    </w:rPr>
  </w:style>
  <w:style w:type="paragraph" w:styleId="CommentSubject">
    <w:name w:val="annotation subject"/>
    <w:basedOn w:val="CommentText"/>
    <w:next w:val="CommentText"/>
    <w:link w:val="CommentSubjectChar"/>
    <w:uiPriority w:val="99"/>
    <w:semiHidden/>
    <w:unhideWhenUsed/>
    <w:rsid w:val="0079366C"/>
    <w:rPr>
      <w:b/>
      <w:bCs/>
    </w:rPr>
  </w:style>
  <w:style w:type="character" w:customStyle="1" w:styleId="CommentSubjectChar">
    <w:name w:val="Comment Subject Char"/>
    <w:basedOn w:val="CommentTextChar"/>
    <w:link w:val="CommentSubject"/>
    <w:uiPriority w:val="99"/>
    <w:semiHidden/>
    <w:rsid w:val="0079366C"/>
    <w:rPr>
      <w:b/>
      <w:bCs/>
      <w:sz w:val="20"/>
      <w:szCs w:val="20"/>
    </w:rPr>
  </w:style>
  <w:style w:type="paragraph" w:styleId="Revision">
    <w:name w:val="Revision"/>
    <w:hidden/>
    <w:uiPriority w:val="99"/>
    <w:semiHidden/>
    <w:rsid w:val="004848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6057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4029</Words>
  <Characters>22967</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Abhraneil Dam</dc:creator>
  <cp:keywords/>
  <dc:description/>
  <cp:lastModifiedBy>Jeon, Myounghoon</cp:lastModifiedBy>
  <cp:revision>2</cp:revision>
  <dcterms:created xsi:type="dcterms:W3CDTF">2025-01-07T19:25:00Z</dcterms:created>
  <dcterms:modified xsi:type="dcterms:W3CDTF">2025-01-07T19:25:00Z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id="slYxAAdN"/&gt;&lt;style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