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4E340D" w14:textId="77777777" w:rsidR="000E4C0F" w:rsidRPr="000E4C0F" w:rsidRDefault="000E4C0F" w:rsidP="000E4C0F">
      <w:pPr>
        <w:pStyle w:val="Heading1"/>
        <w:spacing w:before="0"/>
        <w:rPr>
          <w:rFonts w:ascii="Times New Roman" w:hAnsi="Times New Roman" w:cs="Times New Roman"/>
          <w:b/>
          <w:color w:val="000000" w:themeColor="text1"/>
          <w:sz w:val="24"/>
          <w:szCs w:val="24"/>
        </w:rPr>
      </w:pPr>
      <w:r w:rsidRPr="000E4C0F">
        <w:rPr>
          <w:rFonts w:ascii="Times New Roman" w:hAnsi="Times New Roman" w:cs="Times New Roman"/>
          <w:color w:val="000000" w:themeColor="text1"/>
          <w:sz w:val="24"/>
          <w:szCs w:val="24"/>
        </w:rPr>
        <w:t xml:space="preserve">Title: </w:t>
      </w:r>
    </w:p>
    <w:p w14:paraId="712FADC9" w14:textId="77777777" w:rsidR="000E4C0F" w:rsidRPr="000E4C0F" w:rsidRDefault="000E4C0F" w:rsidP="000E4C0F">
      <w:pPr>
        <w:pStyle w:val="Heading1"/>
        <w:spacing w:before="0"/>
        <w:rPr>
          <w:rFonts w:ascii="Times New Roman" w:hAnsi="Times New Roman" w:cs="Times New Roman"/>
          <w:b/>
          <w:color w:val="000000" w:themeColor="text1"/>
          <w:sz w:val="24"/>
          <w:szCs w:val="24"/>
        </w:rPr>
      </w:pPr>
      <w:r w:rsidRPr="000E4C0F">
        <w:rPr>
          <w:rFonts w:ascii="Times New Roman" w:hAnsi="Times New Roman" w:cs="Times New Roman"/>
          <w:color w:val="000000" w:themeColor="text1"/>
          <w:sz w:val="24"/>
          <w:szCs w:val="24"/>
        </w:rPr>
        <w:t>Multi-Year Soil Response to Conservation Management in the Virginia Coastal Plain</w:t>
      </w:r>
    </w:p>
    <w:p w14:paraId="4D2AFAC5" w14:textId="77777777" w:rsidR="000E4C0F" w:rsidRPr="000E4C0F" w:rsidRDefault="000E4C0F" w:rsidP="000E4C0F">
      <w:pPr>
        <w:rPr>
          <w:color w:val="000000" w:themeColor="text1"/>
        </w:rPr>
      </w:pPr>
    </w:p>
    <w:p w14:paraId="04E33010" w14:textId="77777777" w:rsidR="000E4C0F" w:rsidRPr="000E4C0F" w:rsidRDefault="000E4C0F" w:rsidP="000E4C0F">
      <w:pPr>
        <w:rPr>
          <w:color w:val="000000" w:themeColor="text1"/>
        </w:rPr>
      </w:pPr>
      <w:r w:rsidRPr="000E4C0F">
        <w:rPr>
          <w:color w:val="000000" w:themeColor="text1"/>
        </w:rPr>
        <w:t xml:space="preserve">Authors: </w:t>
      </w:r>
    </w:p>
    <w:p w14:paraId="1AB776C9" w14:textId="6A74E1D0" w:rsidR="000E4C0F" w:rsidRPr="000E4C0F" w:rsidRDefault="000E4C0F" w:rsidP="000E4C0F">
      <w:pPr>
        <w:rPr>
          <w:color w:val="000000" w:themeColor="text1"/>
          <w:vertAlign w:val="superscript"/>
        </w:rPr>
      </w:pPr>
      <w:r w:rsidRPr="000E4C0F">
        <w:rPr>
          <w:color w:val="000000" w:themeColor="text1"/>
        </w:rPr>
        <w:t xml:space="preserve">Sophie A. </w:t>
      </w:r>
      <w:proofErr w:type="spellStart"/>
      <w:r w:rsidRPr="000E4C0F">
        <w:rPr>
          <w:color w:val="000000" w:themeColor="text1"/>
        </w:rPr>
        <w:t>Nicholakos</w:t>
      </w:r>
      <w:r w:rsidRPr="000E4C0F">
        <w:rPr>
          <w:color w:val="000000" w:themeColor="text1"/>
          <w:vertAlign w:val="superscript"/>
        </w:rPr>
        <w:t>a</w:t>
      </w:r>
      <w:proofErr w:type="spellEnd"/>
      <w:r w:rsidRPr="000E4C0F">
        <w:rPr>
          <w:color w:val="000000" w:themeColor="text1"/>
        </w:rPr>
        <w:t xml:space="preserve">, W. Hunter </w:t>
      </w:r>
      <w:proofErr w:type="spellStart"/>
      <w:r w:rsidRPr="000E4C0F">
        <w:rPr>
          <w:color w:val="000000" w:themeColor="text1"/>
        </w:rPr>
        <w:t>Frame</w:t>
      </w:r>
      <w:r w:rsidRPr="000E4C0F">
        <w:rPr>
          <w:color w:val="000000" w:themeColor="text1"/>
          <w:vertAlign w:val="superscript"/>
        </w:rPr>
        <w:t>a</w:t>
      </w:r>
      <w:proofErr w:type="spellEnd"/>
      <w:r w:rsidRPr="000E4C0F">
        <w:rPr>
          <w:color w:val="000000" w:themeColor="text1"/>
        </w:rPr>
        <w:t xml:space="preserve">, Mark S. </w:t>
      </w:r>
      <w:proofErr w:type="spellStart"/>
      <w:r w:rsidRPr="000E4C0F">
        <w:rPr>
          <w:color w:val="000000" w:themeColor="text1"/>
        </w:rPr>
        <w:t>Reiter</w:t>
      </w:r>
      <w:r w:rsidRPr="000E4C0F">
        <w:rPr>
          <w:color w:val="000000" w:themeColor="text1"/>
          <w:vertAlign w:val="superscript"/>
        </w:rPr>
        <w:t>a</w:t>
      </w:r>
      <w:proofErr w:type="spellEnd"/>
      <w:r w:rsidR="00CC7B8F">
        <w:rPr>
          <w:color w:val="000000" w:themeColor="text1"/>
        </w:rPr>
        <w:t xml:space="preserve">, </w:t>
      </w:r>
      <w:r w:rsidR="00CC7B8F" w:rsidRPr="000E4C0F">
        <w:rPr>
          <w:color w:val="000000" w:themeColor="text1"/>
        </w:rPr>
        <w:t xml:space="preserve">Ryan D. </w:t>
      </w:r>
      <w:proofErr w:type="spellStart"/>
      <w:r w:rsidR="00CC7B8F" w:rsidRPr="000E4C0F">
        <w:rPr>
          <w:color w:val="000000" w:themeColor="text1"/>
        </w:rPr>
        <w:t>Stewart</w:t>
      </w:r>
      <w:r w:rsidR="00CC7B8F" w:rsidRPr="000E4C0F">
        <w:rPr>
          <w:color w:val="000000" w:themeColor="text1"/>
          <w:vertAlign w:val="superscript"/>
        </w:rPr>
        <w:t>a</w:t>
      </w:r>
      <w:proofErr w:type="spellEnd"/>
    </w:p>
    <w:p w14:paraId="0B54AD80" w14:textId="77777777" w:rsidR="000E4C0F" w:rsidRPr="000E4C0F" w:rsidRDefault="000E4C0F" w:rsidP="000E4C0F">
      <w:pPr>
        <w:rPr>
          <w:color w:val="000000" w:themeColor="text1"/>
          <w:vertAlign w:val="superscript"/>
        </w:rPr>
      </w:pPr>
    </w:p>
    <w:p w14:paraId="4A90CEFB" w14:textId="77777777" w:rsidR="000E4C0F" w:rsidRPr="000E4C0F" w:rsidRDefault="000E4C0F" w:rsidP="000E4C0F">
      <w:pPr>
        <w:rPr>
          <w:color w:val="000000" w:themeColor="text1"/>
        </w:rPr>
      </w:pPr>
      <w:r w:rsidRPr="000E4C0F">
        <w:rPr>
          <w:color w:val="000000" w:themeColor="text1"/>
        </w:rPr>
        <w:t>Affiliations:</w:t>
      </w:r>
    </w:p>
    <w:p w14:paraId="306157F7" w14:textId="77777777" w:rsidR="000E4C0F" w:rsidRPr="000E4C0F" w:rsidRDefault="000E4C0F" w:rsidP="000E4C0F">
      <w:pPr>
        <w:ind w:left="720"/>
        <w:rPr>
          <w:color w:val="000000" w:themeColor="text1"/>
        </w:rPr>
      </w:pPr>
      <w:r w:rsidRPr="000E4C0F">
        <w:rPr>
          <w:color w:val="000000" w:themeColor="text1"/>
          <w:vertAlign w:val="superscript"/>
        </w:rPr>
        <w:t xml:space="preserve">a </w:t>
      </w:r>
      <w:r w:rsidRPr="000E4C0F">
        <w:rPr>
          <w:color w:val="000000" w:themeColor="text1"/>
        </w:rPr>
        <w:t>School of Plant and Environmental Sciences, Virginia Tech, Blacksburg, VA 24060, United States</w:t>
      </w:r>
    </w:p>
    <w:p w14:paraId="21785DF9" w14:textId="77777777" w:rsidR="000E4C0F" w:rsidRPr="000E4C0F" w:rsidRDefault="000E4C0F" w:rsidP="000E4C0F">
      <w:pPr>
        <w:rPr>
          <w:color w:val="000000" w:themeColor="text1"/>
        </w:rPr>
      </w:pPr>
    </w:p>
    <w:p w14:paraId="21B9D8A0" w14:textId="77777777" w:rsidR="000E4C0F" w:rsidRPr="000E4C0F" w:rsidRDefault="000E4C0F" w:rsidP="000E4C0F">
      <w:pPr>
        <w:rPr>
          <w:color w:val="000000" w:themeColor="text1"/>
        </w:rPr>
      </w:pPr>
      <w:r w:rsidRPr="000E4C0F">
        <w:rPr>
          <w:color w:val="000000" w:themeColor="text1"/>
        </w:rPr>
        <w:t>Corresponding Author: Sophie Nicholakos</w:t>
      </w:r>
    </w:p>
    <w:p w14:paraId="71B82A52" w14:textId="77777777" w:rsidR="000E4C0F" w:rsidRPr="000E4C0F" w:rsidRDefault="000E4C0F" w:rsidP="000E4C0F">
      <w:pPr>
        <w:rPr>
          <w:color w:val="000000" w:themeColor="text1"/>
        </w:rPr>
      </w:pPr>
      <w:r w:rsidRPr="000E4C0F">
        <w:rPr>
          <w:color w:val="000000" w:themeColor="text1"/>
        </w:rPr>
        <w:tab/>
        <w:t xml:space="preserve">Email: </w:t>
      </w:r>
      <w:hyperlink r:id="rId5" w:history="1">
        <w:r w:rsidRPr="000E4C0F">
          <w:rPr>
            <w:rStyle w:val="Hyperlink"/>
            <w:rFonts w:eastAsiaTheme="majorEastAsia"/>
            <w:color w:val="000000" w:themeColor="text1"/>
            <w:u w:val="none"/>
          </w:rPr>
          <w:t>sophn96@vt.edu</w:t>
        </w:r>
      </w:hyperlink>
    </w:p>
    <w:p w14:paraId="413C6E78" w14:textId="77777777" w:rsidR="000E4C0F" w:rsidRPr="000E4C0F" w:rsidRDefault="000E4C0F" w:rsidP="000E4C0F">
      <w:pPr>
        <w:rPr>
          <w:color w:val="000000" w:themeColor="text1"/>
        </w:rPr>
      </w:pPr>
      <w:r w:rsidRPr="000E4C0F">
        <w:rPr>
          <w:color w:val="000000" w:themeColor="text1"/>
        </w:rPr>
        <w:tab/>
        <w:t>Phone: (703) 965-2640</w:t>
      </w:r>
    </w:p>
    <w:p w14:paraId="4666D3F9" w14:textId="77777777" w:rsidR="000E4C0F" w:rsidRDefault="000E4C0F" w:rsidP="000E4C0F">
      <w:pPr>
        <w:rPr>
          <w:color w:val="000000" w:themeColor="text1"/>
        </w:rPr>
      </w:pPr>
      <w:r w:rsidRPr="000E4C0F">
        <w:rPr>
          <w:color w:val="000000" w:themeColor="text1"/>
        </w:rPr>
        <w:tab/>
        <w:t>Postal Address: Smyth Hall, 185 Ag Quad Lane, Blacksburg, VA, 24061</w:t>
      </w:r>
      <w:r w:rsidRPr="000E4C0F">
        <w:rPr>
          <w:color w:val="000000" w:themeColor="text1"/>
        </w:rPr>
        <w:tab/>
      </w:r>
      <w:r w:rsidRPr="000E4C0F">
        <w:rPr>
          <w:color w:val="000000" w:themeColor="text1"/>
        </w:rPr>
        <w:tab/>
      </w:r>
    </w:p>
    <w:p w14:paraId="71DEE440" w14:textId="77777777" w:rsidR="000E4C0F" w:rsidRPr="000E4C0F" w:rsidRDefault="000E4C0F" w:rsidP="000E4C0F">
      <w:pPr>
        <w:rPr>
          <w:color w:val="000000" w:themeColor="text1"/>
        </w:rPr>
      </w:pPr>
      <w:r w:rsidRPr="000E4C0F">
        <w:rPr>
          <w:color w:val="000000" w:themeColor="text1"/>
        </w:rPr>
        <w:tab/>
      </w:r>
      <w:r w:rsidRPr="000E4C0F">
        <w:rPr>
          <w:color w:val="000000" w:themeColor="text1"/>
        </w:rPr>
        <w:br w:type="page"/>
      </w:r>
    </w:p>
    <w:p w14:paraId="0EE76191" w14:textId="77777777" w:rsidR="000E4C0F" w:rsidRPr="000E4C0F" w:rsidRDefault="000E4C0F" w:rsidP="000E4C0F">
      <w:pPr>
        <w:pStyle w:val="Heading2"/>
        <w:spacing w:line="480" w:lineRule="auto"/>
        <w:rPr>
          <w:rFonts w:ascii="Times New Roman" w:hAnsi="Times New Roman" w:cs="Times New Roman"/>
          <w:b/>
          <w:color w:val="000000" w:themeColor="text1"/>
          <w:sz w:val="24"/>
          <w:szCs w:val="24"/>
        </w:rPr>
      </w:pPr>
      <w:bookmarkStart w:id="0" w:name="_Toc139968593"/>
      <w:r w:rsidRPr="000E4C0F">
        <w:rPr>
          <w:rFonts w:ascii="Times New Roman" w:hAnsi="Times New Roman" w:cs="Times New Roman"/>
          <w:color w:val="000000" w:themeColor="text1"/>
          <w:sz w:val="24"/>
          <w:szCs w:val="24"/>
        </w:rPr>
        <w:lastRenderedPageBreak/>
        <w:t>Abstract</w:t>
      </w:r>
      <w:bookmarkEnd w:id="0"/>
    </w:p>
    <w:p w14:paraId="5D96A3F5" w14:textId="47B0DF9C" w:rsidR="000E4C0F" w:rsidRDefault="000E4C0F" w:rsidP="000E4C0F">
      <w:pPr>
        <w:spacing w:line="480" w:lineRule="auto"/>
        <w:ind w:firstLine="720"/>
        <w:rPr>
          <w:bCs/>
          <w:color w:val="000000" w:themeColor="text1"/>
        </w:rPr>
      </w:pPr>
      <w:r w:rsidRPr="000E4C0F">
        <w:rPr>
          <w:bCs/>
          <w:color w:val="000000" w:themeColor="text1"/>
        </w:rPr>
        <w:t>In the coastal plain region of the United States, conservation agriculture practices are being implemented to improve soil health, minimize environmental impacts, and improve farm profitability. Common practices include cover cropping and conservation tillage using strip tillage, minimal tillage, or no tillage. However, the soil response to specific combinations of conservation tillage and cover crop rotations remains poorly quantified. The objective of this research was to evaluate changes in soil properties from different combinations of conservation management. Four tillage systems – conventional, strip, minimal, and no tillage – and three winter cover rotations – fallow, winter cash crop, and high-biomass cover crop – were tested in a split-plot design. Bulk density, depth to a root-restrictive layer, soil carbon concentration, soil carbon stock, saturated hydraulic conductivity, and yield were measured over a seven-year period. Bulk density and saturated hydraulic conductivity showed greater temporal variation in the strip tillage and conventional tillage practices. Depth to root-restrictive layer was consistently highest in the strip and minimal tillage treatments, which both included implements designed to alleviate subsoil compaction. Treatments that combined conservation tillage with a winter cover (i.e., cash crops or high-biomass cover crops) had greater increases in soil carbon concentrations and carbon stock. Summer cash crop yield was significantly increased following the high-biomass cover crop treatment in 2 out of the 7 years. Altogether, soil carbon showed a more consistent response to conservation management than the other soil properties, which tended to show greater variability based on the time since disturbance (e.g., tillage). Conservation management practices therefore need to be consistently applied for multiple years in order to improve soil properties such as bulk density and saturated hydraulic conductivity.</w:t>
      </w:r>
    </w:p>
    <w:p w14:paraId="771CD541" w14:textId="77777777" w:rsidR="000E4C0F" w:rsidRDefault="000E4C0F" w:rsidP="000E4C0F">
      <w:pPr>
        <w:spacing w:line="480" w:lineRule="auto"/>
        <w:ind w:firstLine="720"/>
        <w:rPr>
          <w:bCs/>
          <w:color w:val="000000" w:themeColor="text1"/>
        </w:rPr>
      </w:pPr>
    </w:p>
    <w:p w14:paraId="282E03FE" w14:textId="77777777" w:rsidR="000E4C0F" w:rsidRPr="000E4C0F" w:rsidRDefault="000E4C0F" w:rsidP="000E4C0F">
      <w:pPr>
        <w:spacing w:line="480" w:lineRule="auto"/>
        <w:rPr>
          <w:bCs/>
          <w:color w:val="000000" w:themeColor="text1"/>
        </w:rPr>
      </w:pPr>
      <w:r w:rsidRPr="000E4C0F">
        <w:rPr>
          <w:color w:val="000000" w:themeColor="text1"/>
        </w:rPr>
        <w:lastRenderedPageBreak/>
        <w:t>1.1 Introduction</w:t>
      </w:r>
    </w:p>
    <w:p w14:paraId="085BF7FA"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 xml:space="preserve">Row crop agriculture has been a prominent industry in the southeastern Coastal Plain of the United States for hundreds of years. Traditional agricultural practices include tilling fields in both fall and spring and leaving the soil fallow over winter. These practices have collectively contributed to enhanced soil carbon losses via mineralization and topsoil loss, along with a decline in other soil physical properties </w:t>
      </w:r>
      <w:r w:rsidRPr="000E4C0F">
        <w:rPr>
          <w:bCs/>
          <w:color w:val="000000" w:themeColor="text1"/>
        </w:rPr>
        <w:fldChar w:fldCharType="begin"/>
      </w:r>
      <w:r w:rsidRPr="000E4C0F">
        <w:rPr>
          <w:bCs/>
          <w:color w:val="000000" w:themeColor="text1"/>
        </w:rPr>
        <w:instrText xml:space="preserve"> ADDIN ZOTERO_ITEM CSL_CITATION {"citationID":"fB8jAsce","properties":{"formattedCitation":"(Farmaha et al., 2022; A. J. Franzluebbers, 2010; Novak &amp; Busscher, 2013a)","plainCitation":"(Farmaha et al., 2022; A. J. Franzluebbers, 2010; Novak &amp; Busscher, 2013a)","dontUpdate":true,"noteIndex":0},"citationItems":[{"id":48,"uris":["http://zotero.org/users/9588463/items/UYTILNYS"],"itemData":{"id":48,"type":"article-journal","container-title":"Soil Science Society of America Journal","DOI":"10.2136/sssaj2009.0079","ISSN":"03615995","issue":"2","journalAbbreviation":"Soil Sci. Soc. Am. J.","language":"en","page":"347-357","source":"DOI.org (Crossref)","title":"Achieving Soil Organic Carbon Sequestration with Conservation Agricultural Systems in the Southeastern United States","volume":"74","author":[{"family":"Franzluebbers","given":"Alan J."}],"issued":{"date-parts":[["2010",3]]}}},{"id":134,"uris":["http://zotero.org/users/9588463/items/4DBASHCY"],"itemData":{"id":134,"type":"chapter","container-title":"Advanced Biofuels and Bioproducts","event-place":"New York, NY","ISBN":"978-1-4614-3347-7","language":"en","note":"DOI: 10.1007/978-1-4614-3348-4_7","page":"69-96","publisher":"Springer New York","publisher-place":"New York, NY","source":"DOI.org (Crossref)","title":"Selection and Use of Designer Biochars to Improve Characteristics of Southeastern USA Coastal Plain Degraded Soils","URL":"http://link.springer.com/10.1007/978-1-4614-3348-4_7","editor":[{"family":"Lee","given":"James W."}],"author":[{"family":"Novak","given":"J. M."},{"family":"Busscher","given":"W. J."}],"accessed":{"date-parts":[["2022",7,23]]},"issued":{"date-parts":[["2013"]]}}},{"id":205,"uris":["http://zotero.org/users/9588463/items/GWF6MHJL"],"itemData":{"id":205,"type":"article-journal","container-title":"Agronomy Journal","DOI":"10.1002/agj2.20865","ISSN":"0002-1962, 1435-0645","issue":"1","journalAbbreviation":"Agronomy Journal","language":"en","page":"296-316","source":"DOI.org (Crossref)","title":"Cover cropping and conservation tillage improve soil health in the southeastern United States","volume":"114","author":[{"family":"Farmaha","given":"Bhupinder S."},{"family":"Sekaran","given":"Udayakumar"},{"family":"Franzluebbers","given":"Alan J."}],"issued":{"date-parts":[["2022",1]]}}}],"schema":"https://github.com/citation-style-language/schema/raw/master/csl-citation.json"} </w:instrText>
      </w:r>
      <w:r w:rsidRPr="000E4C0F">
        <w:rPr>
          <w:bCs/>
          <w:color w:val="000000" w:themeColor="text1"/>
        </w:rPr>
        <w:fldChar w:fldCharType="separate"/>
      </w:r>
      <w:r w:rsidRPr="000E4C0F">
        <w:rPr>
          <w:bCs/>
          <w:noProof/>
          <w:color w:val="000000" w:themeColor="text1"/>
        </w:rPr>
        <w:t xml:space="preserve">(Farmaha et al., 2022; </w:t>
      </w:r>
      <w:r w:rsidRPr="000E4C0F">
        <w:rPr>
          <w:bCs/>
          <w:color w:val="000000" w:themeColor="text1"/>
        </w:rPr>
        <w:fldChar w:fldCharType="begin"/>
      </w:r>
      <w:r w:rsidRPr="000E4C0F">
        <w:rPr>
          <w:bCs/>
          <w:color w:val="000000" w:themeColor="text1"/>
        </w:rPr>
        <w:instrText xml:space="preserve"> ADDIN ZOTERO_ITEM CSL_CITATION {"citationID":"saJVGAJv","properties":{"formattedCitation":"(Lal, 2015)","plainCitation":"(Lal, 2015)","dontUpdate":true,"noteIndex":0},"citationItems":[{"id":203,"uris":["http://zotero.org/users/9588463/items/IS5UK7UN"],"itemData":{"id":203,"type":"article-journal","container-title":"Sustainability","DOI":"10.3390/su7055875","ISSN":"2071-1050","issue":"5","journalAbbreviation":"Sustainability","language":"en","page":"5875-5895","source":"DOI.org (Crossref)","title":"Restoring Soil Quality to Mitigate Soil Degradation","volume":"7","author":[{"family":"Lal","given":"Rattan"}],"issued":{"date-parts":[["2015",5,13]]}}}],"schema":"https://github.com/citation-style-language/schema/raw/master/csl-citation.json"} </w:instrText>
      </w:r>
      <w:r w:rsidRPr="000E4C0F">
        <w:rPr>
          <w:bCs/>
          <w:color w:val="000000" w:themeColor="text1"/>
        </w:rPr>
        <w:fldChar w:fldCharType="separate"/>
      </w:r>
      <w:r w:rsidRPr="000E4C0F">
        <w:rPr>
          <w:bCs/>
          <w:noProof/>
          <w:color w:val="000000" w:themeColor="text1"/>
        </w:rPr>
        <w:t xml:space="preserve">Lal, 2015; </w:t>
      </w:r>
      <w:r w:rsidRPr="000E4C0F">
        <w:rPr>
          <w:bCs/>
          <w:color w:val="000000" w:themeColor="text1"/>
        </w:rPr>
        <w:fldChar w:fldCharType="end"/>
      </w:r>
      <w:r w:rsidRPr="000E4C0F">
        <w:rPr>
          <w:bCs/>
          <w:noProof/>
          <w:color w:val="000000" w:themeColor="text1"/>
        </w:rPr>
        <w:t>Franzluebbers, 2010; Novak &amp; Busscher, 2013a)</w:t>
      </w:r>
      <w:r w:rsidRPr="000E4C0F">
        <w:rPr>
          <w:bCs/>
          <w:color w:val="000000" w:themeColor="text1"/>
        </w:rPr>
        <w:fldChar w:fldCharType="end"/>
      </w:r>
      <w:r w:rsidRPr="000E4C0F">
        <w:rPr>
          <w:bCs/>
          <w:color w:val="000000" w:themeColor="text1"/>
        </w:rPr>
        <w:t xml:space="preserve">. The continued use of heavy machinery has also led to increased soil compaction and the formation of a hardpan layer 30-40 cm deep in the subsurface of many agricultural soils, which can inhibit root penetration and water infiltration through the soil profile </w:t>
      </w:r>
      <w:r w:rsidRPr="000E4C0F">
        <w:rPr>
          <w:bCs/>
          <w:color w:val="000000" w:themeColor="text1"/>
        </w:rPr>
        <w:fldChar w:fldCharType="begin"/>
      </w:r>
      <w:r w:rsidRPr="000E4C0F">
        <w:rPr>
          <w:bCs/>
          <w:color w:val="000000" w:themeColor="text1"/>
        </w:rPr>
        <w:instrText xml:space="preserve"> ADDIN ZOTERO_ITEM CSL_CITATION {"citationID":"iL5gEchH","properties":{"formattedCitation":"(Gorucu et al., 2006)","plainCitation":"(Gorucu et al., 2006)","noteIndex":0},"citationItems":[{"id":187,"uris":["http://zotero.org/users/9588463/items/3K4ZT2EP"],"itemData":{"id":187,"type":"article-journal","container-title":"Applied engineering in agriculture.","ISSN":"0883-8542","issue":"5","page":"625-631","title":"An algorithm to determine the optimal tillage depth from soil penetrometer data in coastal plain soils.","volume":"22","author":[{"family":"Gorucu","given":"S."},{"family":"Khalilian","given":"A."},{"family":"Han","given":"Y. J."},{"family":"Dodd","given":"R. B."},{"family":"Smith","given":"B.R."}],"issued":{"date-parts":[["2006"]]}}}],"schema":"https://github.com/citation-style-language/schema/raw/master/csl-citation.json"} </w:instrText>
      </w:r>
      <w:r w:rsidRPr="000E4C0F">
        <w:rPr>
          <w:bCs/>
          <w:color w:val="000000" w:themeColor="text1"/>
        </w:rPr>
        <w:fldChar w:fldCharType="separate"/>
      </w:r>
      <w:r w:rsidRPr="000E4C0F">
        <w:rPr>
          <w:bCs/>
          <w:noProof/>
          <w:color w:val="000000" w:themeColor="text1"/>
        </w:rPr>
        <w:t>(Gorucu et al., 2006)</w:t>
      </w:r>
      <w:r w:rsidRPr="000E4C0F">
        <w:rPr>
          <w:bCs/>
          <w:color w:val="000000" w:themeColor="text1"/>
        </w:rPr>
        <w:fldChar w:fldCharType="end"/>
      </w:r>
      <w:r w:rsidRPr="000E4C0F">
        <w:rPr>
          <w:bCs/>
          <w:color w:val="000000" w:themeColor="text1"/>
        </w:rPr>
        <w:t xml:space="preserve">. </w:t>
      </w:r>
    </w:p>
    <w:p w14:paraId="4B44D6FC"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 xml:space="preserve">Conservation practices such as conservation tillage and cover cropping can reverse soil degradation </w:t>
      </w:r>
      <w:r w:rsidRPr="000E4C0F">
        <w:rPr>
          <w:bCs/>
          <w:color w:val="000000" w:themeColor="text1"/>
        </w:rPr>
        <w:fldChar w:fldCharType="begin"/>
      </w:r>
      <w:r w:rsidRPr="000E4C0F">
        <w:rPr>
          <w:bCs/>
          <w:color w:val="000000" w:themeColor="text1"/>
        </w:rPr>
        <w:instrText xml:space="preserve"> ADDIN ZOTERO_ITEM CSL_CITATION {"citationID":"qSIZEDEH","properties":{"formattedCitation":"(Alletto &amp; Coquet, 2009; Farmaha et al., 2022; Franzluebbers, 2010; Indoria et al., 2017; Lal, 2020; Novak et al., 2020; Spargo et al., 2008)","plainCitation":"(Alletto &amp; Coquet, 2009; Farmaha et al., 2022; Franzluebbers, 2010; Indoria et al., 2017; Lal, 2020; Novak et al., 2020; Spargo et al., 2008)","noteIndex":0},"citationItems":[{"id":229,"uris":["http://zotero.org/users/9588463/items/SZV3LLXE"],"itemData":{"id":229,"type":"article-journal","container-title":"Geoderma","DOI":"10.1016/j.geoderma.2009.05.023","ISSN":"00167061","issue":"1-2","journalAbbreviation":"Geoderma","language":"en","page":"85-94","source":"DOI.org (Crossref)","title":"Temporal and spatial variability of soil bulk density and near-saturated hydraulic conductivity under two contrasted tillage management systems","volume":"152","author":[{"family":"Alletto","given":"Lionel"},{"family":"Coquet","given":"Yves"}],"issued":{"date-parts":[["2009",8]]}}},{"id":205,"uris":["http://zotero.org/users/9588463/items/GWF6MHJL"],"itemData":{"id":205,"type":"article-journal","container-title":"Agronomy Journal","DOI":"10.1002/agj2.20865","ISSN":"0002-1962, 1435-0645","issue":"1","journalAbbreviation":"Agronomy Journal","language":"en","page":"296-316","source":"DOI.org (Crossref)","title":"Cover cropping and conservation tillage improve soil health in the southeastern United States","volume":"114","author":[{"family":"Farmaha","given":"Bhupinder S."},{"family":"Sekaran","given":"Udayakumar"},{"family":"Franzluebbers","given":"Alan J."}],"issued":{"date-parts":[["2022",1]]}}},{"id":48,"uris":["http://zotero.org/users/9588463/items/UYTILNYS"],"itemData":{"id":48,"type":"article-journal","container-title":"Soil Science Society of America Journal","DOI":"10.2136/sssaj2009.0079","ISSN":"03615995","issue":"2","journalAbbreviation":"Soil Sci. Soc. Am. J.","language":"en","page":"347-357","source":"DOI.org (Crossref)","title":"Achieving Soil Organic Carbon Sequestration with Conservation Agricultural Systems in the Southeastern United States","volume":"74","author":[{"family":"Franzluebbers","given":"Alan J."}],"issued":{"date-parts":[["2010",3]]}}},{"id":214,"uris":["http://zotero.org/users/9588463/items/GG3EMF2F"],"itemData":{"id":214,"type":"article-journal","container-title":"Current Science","DOI":"10.18520/cs/v112/i01/52-61","ISSN":"0011-3891","issue":"1","page":"52","source":"DOI.org (Crossref)","title":"Conservation Agriculture - A Panacea to Improve Soil Physical Health","volume":"112","author":[{"family":"Indoria","given":"A. K."},{"family":"Rao","given":"Srinivasa"},{"family":"Sharma","given":"K. L."},{"family":"Sammi Reddy","given":"K."}],"issued":{"date-parts":[["2017",1,1]]}}},{"id":122,"uris":["http://zotero.org/users/9588463/items/J8EJLI7J"],"itemData":{"id":122,"type":"article-journal","container-title":"Journal of Soil and Water Conservation","DOI":"10.2489/jswc.75.2.27A","ISSN":"0022-4561, 1941-3300","issue":"2","journalAbbreviation":"Journal of Soil and Water Conservation","language":"en","page":"27A-32A","source":"DOI.org (Crossref)","title":"Soil organic matter content and crop yield","volume":"75","author":[{"family":"Lal","given":"Rattan"}],"issued":{"date-parts":[["2020"]]}}},{"id":49,"uris":["http://zotero.org/users/9588463/items/4HDW5TPF"],"itemData":{"id":49,"type":"article-journal","container-title":"Agronomy Journal","DOI":"10.1002/agj2.20184","ISSN":"0002-1962, 1435-0645","issue":"4","journalAbbreviation":"Agron.j.","language":"en","page":"3152-3162","source":"DOI.org (Crossref)","title":"Loamy sand soil approaches organic carbon saturation after 37 years of conservation tillage","volume":"112","author":[{"family":"Novak","given":"J.M."},{"family":"Watts","given":"D.W."},{"family":"Bauer","given":"P.J."},{"family":"Karlen","given":"D.L."},{"family":"Hunt","given":"P.G."},{"family":"Mishra","given":"U."}],"issued":{"date-parts":[["2020",7]]}}},{"id":46,"uris":["http://zotero.org/users/9588463/items/J3FVB3XM"],"itemData":{"id":46,"type":"article-journal","container-title":"Soil and Tillage Research","DOI":"10.1016/j.still.2008.05.010","ISSN":"01671987","issue":"1-2","journalAbbreviation":"Soil and Tillage Research","language":"en","page":"133-140","source":"DOI.org (Crossref)","title":"Soil carbon sequestration with continuous no-till management of grain cropping systems in the Virginia coastal plain","volume":"100","author":[{"family":"Spargo","given":"J"},{"family":"Alley","given":"M"},{"family":"Follett","given":"R"},{"family":"Wallace","given":"J"}],"issued":{"date-parts":[["2008",7]]}}}],"schema":"https://github.com/citation-style-language/schema/raw/master/csl-citation.json"} </w:instrText>
      </w:r>
      <w:r w:rsidRPr="000E4C0F">
        <w:rPr>
          <w:bCs/>
          <w:color w:val="000000" w:themeColor="text1"/>
        </w:rPr>
        <w:fldChar w:fldCharType="separate"/>
      </w:r>
      <w:r w:rsidRPr="000E4C0F">
        <w:rPr>
          <w:bCs/>
          <w:noProof/>
          <w:color w:val="000000" w:themeColor="text1"/>
        </w:rPr>
        <w:t>(Alletto &amp; Coquet, 2009; Farmaha et al., 2022; Franzluebbers, 2010; Indoria et al., 2017; Lal, 2020; Novak et al., 2020; Spargo et al., 2008)</w:t>
      </w:r>
      <w:r w:rsidRPr="000E4C0F">
        <w:rPr>
          <w:bCs/>
          <w:color w:val="000000" w:themeColor="text1"/>
        </w:rPr>
        <w:fldChar w:fldCharType="end"/>
      </w:r>
      <w:r w:rsidRPr="000E4C0F">
        <w:rPr>
          <w:bCs/>
          <w:color w:val="000000" w:themeColor="text1"/>
        </w:rPr>
        <w:t xml:space="preserve">. Conservation tillage leaves at least 30% of the soil surface undisturbed and requires less frequent or no tillage </w:t>
      </w:r>
      <w:r w:rsidRPr="000E4C0F">
        <w:rPr>
          <w:bCs/>
          <w:color w:val="000000" w:themeColor="text1"/>
        </w:rPr>
        <w:fldChar w:fldCharType="begin"/>
      </w:r>
      <w:r w:rsidRPr="000E4C0F">
        <w:rPr>
          <w:bCs/>
          <w:color w:val="000000" w:themeColor="text1"/>
        </w:rPr>
        <w:instrText xml:space="preserve"> ADDIN ZOTERO_ITEM CSL_CITATION {"citationID":"sMC8ko4w","properties":{"formattedCitation":"(UC Sustainable Agriculture Research and Education Program, 2017)","plainCitation":"(UC Sustainable Agriculture Research and Education Program, 2017)","dontUpdate":true,"noteIndex":0},"citationItems":[{"id":129,"uris":["http://zotero.org/users/9588463/items/5QVXCP3U"],"itemData":{"id":129,"type":"document","title":"Conservation Tillage","author":[{"literal":"UC Sustainable Agriculture Research and Education Program"}],"issued":{"date-parts":[["2017"]]}}}],"schema":"https://github.com/citation-style-language/schema/raw/master/csl-citation.json"} </w:instrText>
      </w:r>
      <w:r w:rsidRPr="000E4C0F">
        <w:rPr>
          <w:bCs/>
          <w:color w:val="000000" w:themeColor="text1"/>
        </w:rPr>
        <w:fldChar w:fldCharType="separate"/>
      </w:r>
      <w:r w:rsidRPr="000E4C0F">
        <w:rPr>
          <w:bCs/>
          <w:noProof/>
          <w:color w:val="000000" w:themeColor="text1"/>
        </w:rPr>
        <w:t>(</w:t>
      </w:r>
      <w:r w:rsidRPr="000E4C0F">
        <w:rPr>
          <w:rFonts w:eastAsiaTheme="minorHAnsi"/>
          <w:color w:val="000000" w:themeColor="text1"/>
          <w14:ligatures w14:val="standardContextual"/>
        </w:rPr>
        <w:t>Wade et al., 2015</w:t>
      </w:r>
      <w:r w:rsidRPr="000E4C0F">
        <w:rPr>
          <w:bCs/>
          <w:noProof/>
          <w:color w:val="000000" w:themeColor="text1"/>
        </w:rPr>
        <w:t>)</w:t>
      </w:r>
      <w:r w:rsidRPr="000E4C0F">
        <w:rPr>
          <w:bCs/>
          <w:color w:val="000000" w:themeColor="text1"/>
        </w:rPr>
        <w:fldChar w:fldCharType="end"/>
      </w:r>
      <w:r w:rsidRPr="000E4C0F">
        <w:rPr>
          <w:bCs/>
          <w:color w:val="000000" w:themeColor="text1"/>
        </w:rPr>
        <w:t xml:space="preserve">. In a no-tillage system, soil is left completely undisturbed before planting. While there are environmental benefits to using no tillage, such as decreased runoff and erosion and increased soil organic carbon </w:t>
      </w:r>
      <w:r w:rsidRPr="000E4C0F">
        <w:rPr>
          <w:bCs/>
          <w:color w:val="000000" w:themeColor="text1"/>
        </w:rPr>
        <w:fldChar w:fldCharType="begin"/>
      </w:r>
      <w:r w:rsidRPr="000E4C0F">
        <w:rPr>
          <w:bCs/>
          <w:color w:val="000000" w:themeColor="text1"/>
        </w:rPr>
        <w:instrText xml:space="preserve"> ADDIN ZOTERO_ITEM CSL_CITATION {"citationID":"wbI0NlDC","properties":{"formattedCitation":"(Dang et al., 2020; Huggins &amp; Reganold, 2008; Pittelkow et al., 2015)","plainCitation":"(Dang et al., 2020; Huggins &amp; Reganold, 2008; Pittelkow et al., 2015)","noteIndex":0},"citationItems":[{"id":245,"uris":["http://zotero.org/users/9588463/items/XUKXGQRD"],"itemData":{"id":245,"type":"book","event-place":"Cham","ISBN":"978-3-030-46408-0","language":"en","note":"DOI: 10.1007/978-3-030-46409-7","publisher":"Springer International Publishing","publisher-place":"Cham","source":"DOI.org (Crossref)","title":"No-till Farming Systems for Sustainable Agriculture: Challenges and Opportunities","title-short":"No-till Farming Systems for Sustainable Agriculture","URL":"http://link.springer.com/10.1007/978-3-030-46409-7","editor":[{"family":"Dang","given":"Yash P."},{"family":"Dalal","given":"Ram C."},{"family":"Menzies","given":"Neal W."}],"accessed":{"date-parts":[["2023",5,15]]},"issued":{"date-parts":[["2020"]]}}},{"id":16,"uris":["http://zotero.org/users/9588463/items/RL7GTJ4Z"],"itemData":{"id":16,"type":"document","publisher":"Scientific American, Inc.","title":"No Till: The Quiet Revolution","URL":"https://www.ars.usda.gov/ARSUserFiles/20902500/DavidHuggins/NoTill.pdf","author":[{"family":"Huggins","given":"David R."},{"family":"Reganold","given":"John P."}],"issued":{"date-parts":[["2008",7]]}}},{"id":225,"uris":["http://zotero.org/users/9588463/items/TWRY9YP2"],"itemData":{"id":225,"type":"article-journal","container-title":"Field Crops Research","DOI":"10.1016/j.fcr.2015.07.020","ISSN":"03784290","journalAbbreviation":"Field Crops Research","language":"en","page":"156-168","source":"DOI.org (Crossref)","title":"When does no-till yield more? A global meta-analysis","title-short":"When does no-till yield more?","volume":"183","author":[{"family":"Pittelkow","given":"Cameron M."},{"family":"Linquist","given":"Bruce A."},{"family":"Lundy","given":"Mark E."},{"family":"Liang","given":"Xinqiang"},{"family":"Groenigen","given":"Kees Jan","non-dropping-particle":"van"},{"family":"Lee","given":"Juhwan"},{"family":"Gestel","given":"Natasja","non-dropping-particle":"van"},{"family":"Six","given":"Johan"},{"family":"Venterea","given":"Rodney T."},{"family":"Kessel","given":"Chris","non-dropping-particle":"van"}],"issued":{"date-parts":[["2015",11]]}}}],"schema":"https://github.com/citation-style-language/schema/raw/master/csl-citation.json"} </w:instrText>
      </w:r>
      <w:r w:rsidRPr="000E4C0F">
        <w:rPr>
          <w:bCs/>
          <w:color w:val="000000" w:themeColor="text1"/>
        </w:rPr>
        <w:fldChar w:fldCharType="separate"/>
      </w:r>
      <w:r w:rsidRPr="000E4C0F">
        <w:rPr>
          <w:bCs/>
          <w:noProof/>
          <w:color w:val="000000" w:themeColor="text1"/>
        </w:rPr>
        <w:t>(Dang et al., 2020; Huggins &amp; Reganold, 2008; Pittelkow et al., 2015)</w:t>
      </w:r>
      <w:r w:rsidRPr="000E4C0F">
        <w:rPr>
          <w:bCs/>
          <w:color w:val="000000" w:themeColor="text1"/>
        </w:rPr>
        <w:fldChar w:fldCharType="end"/>
      </w:r>
      <w:r w:rsidRPr="000E4C0F">
        <w:rPr>
          <w:bCs/>
          <w:color w:val="000000" w:themeColor="text1"/>
        </w:rPr>
        <w:t xml:space="preserve">, there are also challenges, including compaction in the initial years of implementation, increased weed pressure, and cooler soil temperatures </w:t>
      </w:r>
      <w:r w:rsidRPr="000E4C0F">
        <w:rPr>
          <w:bCs/>
          <w:color w:val="000000" w:themeColor="text1"/>
        </w:rPr>
        <w:fldChar w:fldCharType="begin"/>
      </w:r>
      <w:r w:rsidRPr="000E4C0F">
        <w:rPr>
          <w:bCs/>
          <w:color w:val="000000" w:themeColor="text1"/>
        </w:rPr>
        <w:instrText xml:space="preserve"> ADDIN ZOTERO_ITEM CSL_CITATION {"citationID":"HI8jyU5T","properties":{"formattedCitation":"(Huggins &amp; Reganold, 2008)","plainCitation":"(Huggins &amp; Reganold, 2008)","noteIndex":0},"citationItems":[{"id":16,"uris":["http://zotero.org/users/9588463/items/RL7GTJ4Z"],"itemData":{"id":16,"type":"document","publisher":"Scientific American, Inc.","title":"No Till: The Quiet Revolution","URL":"https://www.ars.usda.gov/ARSUserFiles/20902500/DavidHuggins/NoTill.pdf","author":[{"family":"Huggins","given":"David R."},{"family":"Reganold","given":"John P."}],"issued":{"date-parts":[["2008",7]]}}}],"schema":"https://github.com/citation-style-language/schema/raw/master/csl-citation.json"} </w:instrText>
      </w:r>
      <w:r w:rsidRPr="000E4C0F">
        <w:rPr>
          <w:bCs/>
          <w:color w:val="000000" w:themeColor="text1"/>
        </w:rPr>
        <w:fldChar w:fldCharType="separate"/>
      </w:r>
      <w:r w:rsidRPr="000E4C0F">
        <w:rPr>
          <w:bCs/>
          <w:noProof/>
          <w:color w:val="000000" w:themeColor="text1"/>
        </w:rPr>
        <w:t>(Huggins &amp; Reganold, 2008)</w:t>
      </w:r>
      <w:r w:rsidRPr="000E4C0F">
        <w:rPr>
          <w:bCs/>
          <w:color w:val="000000" w:themeColor="text1"/>
        </w:rPr>
        <w:fldChar w:fldCharType="end"/>
      </w:r>
      <w:r w:rsidRPr="000E4C0F">
        <w:rPr>
          <w:bCs/>
          <w:color w:val="000000" w:themeColor="text1"/>
        </w:rPr>
        <w:t xml:space="preserve">. Furthermore, certain crops grown in the Coastal Plain, particularly peanuts, cannot be grown using no tillage due to soil disturbance during harvest of the belowground crop. Therefore, other conservation tillage systems like strip tillage or minimal tillage are being explored for their ability to maintain some of the soil and ecological benefits of no tillage while avoiding such limitations. </w:t>
      </w:r>
    </w:p>
    <w:p w14:paraId="2AF85EFC" w14:textId="77777777" w:rsidR="000E4C0F" w:rsidRPr="000E4C0F" w:rsidRDefault="000E4C0F" w:rsidP="000E4C0F">
      <w:pPr>
        <w:spacing w:line="480" w:lineRule="auto"/>
        <w:ind w:firstLine="720"/>
        <w:rPr>
          <w:rStyle w:val="Hyperlink"/>
          <w:rFonts w:eastAsiaTheme="majorEastAsia"/>
          <w:bCs/>
          <w:color w:val="000000" w:themeColor="text1"/>
          <w:u w:val="none"/>
        </w:rPr>
      </w:pPr>
      <w:r w:rsidRPr="000E4C0F">
        <w:rPr>
          <w:bCs/>
          <w:color w:val="000000" w:themeColor="text1"/>
        </w:rPr>
        <w:lastRenderedPageBreak/>
        <w:t xml:space="preserve">In addition to tillage systems, cover crops are also used as a conservation agricultural practice. Cover crops are grown to restore soil nutrients, increase soil organic matter, and improve soil water retention </w:t>
      </w:r>
      <w:r w:rsidRPr="000E4C0F">
        <w:rPr>
          <w:bCs/>
          <w:color w:val="000000" w:themeColor="text1"/>
        </w:rPr>
        <w:fldChar w:fldCharType="begin"/>
      </w:r>
      <w:r w:rsidRPr="000E4C0F">
        <w:rPr>
          <w:bCs/>
          <w:color w:val="000000" w:themeColor="text1"/>
        </w:rPr>
        <w:instrText xml:space="preserve"> ADDIN ZOTERO_ITEM CSL_CITATION {"citationID":"wzAPSKXI","properties":{"formattedCitation":"(Garc\\uc0\\u237{}a-Gonz\\uc0\\u225{}lez et al., 2018)","plainCitation":"(García-González et al., 2018)","noteIndex":0},"citationItems":[{"id":10,"uris":["http://zotero.org/users/9588463/items/NE9KI2AL"],"itemData":{"id":10,"type":"article-journal","container-title":"Geoderma","DOI":"10.1016/j.geoderma.2018.02.024","ISSN":"00167061","journalAbbreviation":"Geoderma","language":"en","page":"81-88","source":"DOI.org (Crossref)","title":"Cover crops to mitigate soil degradation and enhance soil functionality in irrigated land","volume":"322","author":[{"family":"García-González","given":"Irene"},{"family":"Hontoria","given":"Chiquinquirá"},{"family":"Gabriel","given":"José Luis"},{"family":"Alonso-Ayuso","given":"María"},{"family":"Quemada","given":"Miguel"}],"issued":{"date-parts":[["2018",7]]}}}],"schema":"https://github.com/citation-style-language/schema/raw/master/csl-citation.json"} </w:instrText>
      </w:r>
      <w:r w:rsidRPr="000E4C0F">
        <w:rPr>
          <w:bCs/>
          <w:color w:val="000000" w:themeColor="text1"/>
        </w:rPr>
        <w:fldChar w:fldCharType="separate"/>
      </w:r>
      <w:r w:rsidRPr="000E4C0F">
        <w:rPr>
          <w:bCs/>
          <w:color w:val="000000" w:themeColor="text1"/>
        </w:rPr>
        <w:t>(García-González et al., 2018)</w:t>
      </w:r>
      <w:r w:rsidRPr="000E4C0F">
        <w:rPr>
          <w:bCs/>
          <w:color w:val="000000" w:themeColor="text1"/>
        </w:rPr>
        <w:fldChar w:fldCharType="end"/>
      </w:r>
      <w:r w:rsidRPr="000E4C0F">
        <w:rPr>
          <w:bCs/>
          <w:color w:val="000000" w:themeColor="text1"/>
        </w:rPr>
        <w:t xml:space="preserve">. Another practice commonly used in Virginia is double cropping, or planting a winter cash crop, which can be used to increase farm profits while also keeping the soil covered in the winter </w:t>
      </w:r>
      <w:r w:rsidRPr="000E4C0F">
        <w:rPr>
          <w:bCs/>
          <w:color w:val="000000" w:themeColor="text1"/>
        </w:rPr>
        <w:fldChar w:fldCharType="begin"/>
      </w:r>
      <w:r w:rsidRPr="000E4C0F">
        <w:rPr>
          <w:bCs/>
          <w:color w:val="000000" w:themeColor="text1"/>
        </w:rPr>
        <w:instrText xml:space="preserve"> ADDIN ZOTERO_ITEM CSL_CITATION {"citationID":"maVCbwJc","properties":{"formattedCitation":"(Holshouser, 2014; Spargo et al., 2008)","plainCitation":"(Holshouser, 2014; Spargo et al., 2008)","noteIndex":0},"citationItems":[{"id":54,"uris":["http://zotero.org/users/9588463/items/PC546N8H"],"itemData":{"id":54,"type":"report","event-place":"Suffolk, VA","genre":"Extension Publication","publisher":"Virginia Cooperative Extension","publisher-place":"Suffolk, VA","title":"Double Cropping Soybeans in Virginia","URL":"https://vtechworks.lib.vt.edu/bitstream/handle/10919/80596/CSES-102.pdf?sequence=1","author":[{"family":"Holshouser","given":"David"}],"issued":{"date-parts":[["2014"]]}}},{"id":46,"uris":["http://zotero.org/users/9588463/items/J3FVB3XM"],"itemData":{"id":46,"type":"article-journal","container-title":"Soil and Tillage Research","DOI":"10.1016/j.still.2008.05.010","ISSN":"01671987","issue":"1-2","journalAbbreviation":"Soil and Tillage Research","language":"en","page":"133-140","source":"DOI.org (Crossref)","title":"Soil carbon sequestration with continuous no-till management of grain cropping systems in the Virginia coastal plain","volume":"100","author":[{"family":"Spargo","given":"J"},{"family":"Alley","given":"M"},{"family":"Follett","given":"R"},{"family":"Wallace","given":"J"}],"issued":{"date-parts":[["2008",7]]}}}],"schema":"https://github.com/citation-style-language/schema/raw/master/csl-citation.json"} </w:instrText>
      </w:r>
      <w:r w:rsidRPr="000E4C0F">
        <w:rPr>
          <w:bCs/>
          <w:color w:val="000000" w:themeColor="text1"/>
        </w:rPr>
        <w:fldChar w:fldCharType="separate"/>
      </w:r>
      <w:r w:rsidRPr="000E4C0F">
        <w:rPr>
          <w:bCs/>
          <w:noProof/>
          <w:color w:val="000000" w:themeColor="text1"/>
        </w:rPr>
        <w:t>(Holshouser, 2014; Spargo et al., 2008)</w:t>
      </w:r>
      <w:r w:rsidRPr="000E4C0F">
        <w:rPr>
          <w:bCs/>
          <w:color w:val="000000" w:themeColor="text1"/>
        </w:rPr>
        <w:fldChar w:fldCharType="end"/>
      </w:r>
      <w:r w:rsidRPr="000E4C0F">
        <w:rPr>
          <w:bCs/>
          <w:color w:val="000000" w:themeColor="text1"/>
        </w:rPr>
        <w:t xml:space="preserve">. Corn-winter wheat-soybean double cropping systems are especially common in the Virginia Coastal Plain </w:t>
      </w:r>
      <w:r w:rsidRPr="000E4C0F">
        <w:rPr>
          <w:bCs/>
          <w:color w:val="000000" w:themeColor="text1"/>
        </w:rPr>
        <w:fldChar w:fldCharType="begin"/>
      </w:r>
      <w:r w:rsidRPr="000E4C0F">
        <w:rPr>
          <w:bCs/>
          <w:color w:val="000000" w:themeColor="text1"/>
        </w:rPr>
        <w:instrText xml:space="preserve"> ADDIN ZOTERO_ITEM CSL_CITATION {"citationID":"8uKBr61h","properties":{"formattedCitation":"(Spargo et al., 2008)","plainCitation":"(Spargo et al., 2008)","noteIndex":0},"citationItems":[{"id":46,"uris":["http://zotero.org/users/9588463/items/J3FVB3XM"],"itemData":{"id":46,"type":"article-journal","container-title":"Soil and Tillage Research","DOI":"10.1016/j.still.2008.05.010","ISSN":"01671987","issue":"1-2","journalAbbreviation":"Soil and Tillage Research","language":"en","page":"133-140","source":"DOI.org (Crossref)","title":"Soil carbon sequestration with continuous no-till management of grain cropping systems in the Virginia coastal plain","volume":"100","author":[{"family":"Spargo","given":"J"},{"family":"Alley","given":"M"},{"family":"Follett","given":"R"},{"family":"Wallace","given":"J"}],"issued":{"date-parts":[["2008",7]]}}}],"schema":"https://github.com/citation-style-language/schema/raw/master/csl-citation.json"} </w:instrText>
      </w:r>
      <w:r w:rsidRPr="000E4C0F">
        <w:rPr>
          <w:bCs/>
          <w:color w:val="000000" w:themeColor="text1"/>
        </w:rPr>
        <w:fldChar w:fldCharType="separate"/>
      </w:r>
      <w:r w:rsidRPr="000E4C0F">
        <w:rPr>
          <w:bCs/>
          <w:noProof/>
          <w:color w:val="000000" w:themeColor="text1"/>
        </w:rPr>
        <w:t>(Spargo et al., 2008)</w:t>
      </w:r>
      <w:r w:rsidRPr="000E4C0F">
        <w:rPr>
          <w:bCs/>
          <w:color w:val="000000" w:themeColor="text1"/>
        </w:rPr>
        <w:fldChar w:fldCharType="end"/>
      </w:r>
      <w:r w:rsidRPr="000E4C0F">
        <w:rPr>
          <w:bCs/>
          <w:color w:val="000000" w:themeColor="text1"/>
        </w:rPr>
        <w:t xml:space="preserve">, and tend to be more profitable than growing either crop alone </w:t>
      </w:r>
      <w:r w:rsidRPr="000E4C0F">
        <w:rPr>
          <w:bCs/>
          <w:color w:val="000000" w:themeColor="text1"/>
        </w:rPr>
        <w:fldChar w:fldCharType="begin"/>
      </w:r>
      <w:r w:rsidRPr="000E4C0F">
        <w:rPr>
          <w:bCs/>
          <w:color w:val="000000" w:themeColor="text1"/>
        </w:rPr>
        <w:instrText xml:space="preserve"> ADDIN ZOTERO_ITEM CSL_CITATION {"citationID":"uOW3XwGE","properties":{"formattedCitation":"(Holshouser, 2014)","plainCitation":"(Holshouser, 2014)","dontUpdate":true,"noteIndex":0},"citationItems":[{"id":54,"uris":["http://zotero.org/users/9588463/items/PC546N8H"],"itemData":{"id":54,"type":"report","event-place":"Suffolk, VA","genre":"Extension Publication","publisher":"Virginia Cooperative Extension","publisher-place":"Suffolk, VA","title":"Double Cropping Soybeans in Virginia","URL":"https://vtechworks.lib.vt.edu/bitstream/handle/10919/80596/CSES-102.pdf?sequence=1","author":[{"family":"Holshouser","given":"David"}],"issued":{"date-parts":[["2014"]]}}}],"schema":"https://github.com/citation-style-language/schema/raw/master/csl-citation.json"} </w:instrText>
      </w:r>
      <w:r w:rsidRPr="000E4C0F">
        <w:rPr>
          <w:bCs/>
          <w:color w:val="000000" w:themeColor="text1"/>
        </w:rPr>
        <w:fldChar w:fldCharType="separate"/>
      </w:r>
      <w:r w:rsidRPr="000E4C0F">
        <w:rPr>
          <w:bCs/>
          <w:color w:val="000000" w:themeColor="text1"/>
        </w:rPr>
        <w:t xml:space="preserve">(Holshouser, 2014). </w:t>
      </w:r>
      <w:r w:rsidRPr="000E4C0F">
        <w:rPr>
          <w:bCs/>
          <w:color w:val="000000" w:themeColor="text1"/>
        </w:rPr>
        <w:fldChar w:fldCharType="end"/>
      </w:r>
      <w:r w:rsidRPr="000E4C0F">
        <w:rPr>
          <w:rStyle w:val="Hyperlink"/>
          <w:rFonts w:eastAsiaTheme="majorEastAsia"/>
          <w:bCs/>
          <w:color w:val="000000" w:themeColor="text1"/>
          <w:u w:val="none"/>
        </w:rPr>
        <w:t xml:space="preserve"> </w:t>
      </w:r>
    </w:p>
    <w:p w14:paraId="1560B06F" w14:textId="77777777" w:rsidR="000E4C0F" w:rsidRPr="000E4C0F" w:rsidRDefault="000E4C0F" w:rsidP="000E4C0F">
      <w:pPr>
        <w:adjustRightInd w:val="0"/>
        <w:snapToGrid w:val="0"/>
        <w:spacing w:line="480" w:lineRule="auto"/>
        <w:ind w:firstLine="720"/>
        <w:rPr>
          <w:bCs/>
          <w:color w:val="000000" w:themeColor="text1"/>
        </w:rPr>
      </w:pPr>
      <w:r w:rsidRPr="000E4C0F">
        <w:rPr>
          <w:rStyle w:val="Hyperlink"/>
          <w:rFonts w:eastAsiaTheme="majorEastAsia"/>
          <w:bCs/>
          <w:color w:val="000000" w:themeColor="text1"/>
          <w:u w:val="none"/>
        </w:rPr>
        <w:t xml:space="preserve">Working in the Coastal Plain, </w:t>
      </w:r>
      <w:r w:rsidRPr="000E4C0F">
        <w:rPr>
          <w:bCs/>
          <w:color w:val="000000" w:themeColor="text1"/>
        </w:rPr>
        <w:fldChar w:fldCharType="begin"/>
      </w:r>
      <w:r w:rsidRPr="000E4C0F">
        <w:rPr>
          <w:bCs/>
          <w:color w:val="000000" w:themeColor="text1"/>
        </w:rPr>
        <w:instrText xml:space="preserve"> ADDIN ZOTERO_ITEM CSL_CITATION {"citationID":"LT1ODJoY","properties":{"formattedCitation":"(Novak et al., 2009, 2020; Spargo et al., 2008)","plainCitation":"(Novak et al., 2009, 2020; Spargo et al., 2008)","dontUpdate":true,"noteIndex":0},"citationItems":[{"id":49,"uris":["http://zotero.org/users/9588463/items/4HDW5TPF"],"itemData":{"id":49,"type":"article-journal","container-title":"Agronomy Journal","DOI":"10.1002/agj2.20184","ISSN":"0002-1962, 1435-0645","issue":"4","journalAbbreviation":"Agron.j.","language":"en","page":"3152-3162","source":"DOI.org (Crossref)","title":"Loamy sand soil approaches organic carbon saturation after 37 years of conservation tillage","volume":"112","author":[{"family":"Novak","given":"J.M."},{"family":"Watts","given":"D.W."},{"family":"Bauer","given":"P.J."},{"family":"Karlen","given":"D.L."},{"family":"Hunt","given":"P.G."},{"family":"Mishra","given":"U."}],"issued":{"date-parts":[["2020",7]]}}},{"id":46,"uris":["http://zotero.org/users/9588463/items/J3FVB3XM"],"itemData":{"id":46,"type":"article-journal","container-title":"Soil and Tillage Research","DOI":"10.1016/j.still.2008.05.010","ISSN":"01671987","issue":"1-2","journalAbbreviation":"Soil and Tillage Research","language":"en","page":"133-140","source":"DOI.org (Crossref)","title":"Soil carbon sequestration with continuous no-till management of grain cropping systems in the Virginia coastal plain","volume":"100","author":[{"family":"Spargo","given":"J"},{"family":"Alley","given":"M"},{"family":"Follett","given":"R"},{"family":"Wallace","given":"J"}],"issued":{"date-parts":[["2008",7]]}}},{"id":202,"uris":["http://zotero.org/users/9588463/items/WEEBKLDV"],"itemData":{"id":202,"type":"article-journal","container-title":"Soil Science Society of America Journal","DOI":"10.2136/sssaj2008.0193","ISSN":"0361-5995, 1435-0661","issue":"2","journalAbbreviation":"Soil Sci. Soc. Am. j.","language":"en","page":"622-629","source":"DOI.org (Crossref)","title":"Rebuilding Organic Carbon Contents in Coastal Plain Soils Using Conservation Tillage Systems","volume":"73","author":[{"family":"Novak","given":"J. M."},{"family":"Frederick","given":"J. R."},{"family":"Bauer","given":"P. J."},{"family":"Watts","given":"D. W."}],"issued":{"date-parts":[["2009",3]]}}}],"schema":"https://github.com/citation-style-language/schema/raw/master/csl-citation.json"} </w:instrText>
      </w:r>
      <w:r w:rsidRPr="000E4C0F">
        <w:rPr>
          <w:bCs/>
          <w:color w:val="000000" w:themeColor="text1"/>
        </w:rPr>
        <w:fldChar w:fldCharType="separate"/>
      </w:r>
      <w:r w:rsidRPr="000E4C0F">
        <w:rPr>
          <w:bCs/>
          <w:noProof/>
          <w:color w:val="000000" w:themeColor="text1"/>
        </w:rPr>
        <w:t>Novak et al. (2009 and 2020) and Spargo et al. (2008)</w:t>
      </w:r>
      <w:r w:rsidRPr="000E4C0F">
        <w:rPr>
          <w:bCs/>
          <w:color w:val="000000" w:themeColor="text1"/>
        </w:rPr>
        <w:fldChar w:fldCharType="end"/>
      </w:r>
      <w:r w:rsidRPr="000E4C0F">
        <w:rPr>
          <w:bCs/>
          <w:color w:val="000000" w:themeColor="text1"/>
        </w:rPr>
        <w:t xml:space="preserve"> found that soil carbon increased and bulk density decreased through time after implementing conservation management. </w:t>
      </w:r>
      <w:r w:rsidRPr="000E4C0F">
        <w:rPr>
          <w:rStyle w:val="Hyperlink"/>
          <w:rFonts w:eastAsiaTheme="majorEastAsia"/>
          <w:bCs/>
          <w:color w:val="000000" w:themeColor="text1"/>
          <w:u w:val="none"/>
        </w:rPr>
        <w:t xml:space="preserve">However, these changes were localized to the upper 5 cm of the soil profile, due to the stratification that often occurs when tillage is reduced or eliminated </w:t>
      </w:r>
      <w:r w:rsidRPr="000E4C0F">
        <w:rPr>
          <w:rStyle w:val="Hyperlink"/>
          <w:rFonts w:eastAsiaTheme="majorEastAsia"/>
          <w:bCs/>
          <w:color w:val="000000" w:themeColor="text1"/>
          <w:u w:val="none"/>
        </w:rPr>
        <w:fldChar w:fldCharType="begin"/>
      </w:r>
      <w:r w:rsidRPr="000E4C0F">
        <w:rPr>
          <w:rStyle w:val="Hyperlink"/>
          <w:rFonts w:eastAsiaTheme="majorEastAsia"/>
          <w:bCs/>
          <w:color w:val="000000" w:themeColor="text1"/>
          <w:u w:val="none"/>
        </w:rPr>
        <w:instrText xml:space="preserve"> ADDIN ZOTERO_ITEM CSL_CITATION {"citationID":"bGTj5n1i","properties":{"formattedCitation":"(A. J. Franzluebbers, 2002; Jian et al., 2020; Minasny et al., 2017; Novak et al., 2007, 2020)","plainCitation":"(A. J. Franzluebbers, 2002; Jian et al., 2020; Minasny et al., 2017; Novak et al., 2007, 2020)","dontUpdate":true,"noteIndex":0},"citationItems":[{"id":200,"uris":["http://zotero.org/users/9588463/items/5UARZTEV"],"itemData":{"id":200,"type":"article-journal","container-title":"Geoderma","DOI":"10.1016/j.geoderma.2017.01.002","ISSN":"00167061","journalAbbreviation":"Geoderma","language":"en","page":"59-86","source":"DOI.org (Crossref)","title":"Soil carbon 4 per mille","volume":"292","author":[{"family":"Minasny","given":"Budiman"},{"family":"Malone","given":"Brendan P."},{"family":"McBratney","given":"Alex B."},{"family":"Angers","given":"Denis A."},{"family":"Arrouays","given":"Dominique"},{"family":"Chambers","given":"Adam"},{"family":"Chaplot","given":"Vincent"},{"family":"Chen","given":"Zueng-Sang"},{"family":"Cheng","given":"Kun"},{"family":"Das","given":"Bhabani S."},{"family":"Field","given":"Damien J."},{"family":"Gimona","given":"Alessandro"},{"family":"Hedley","given":"Carolyn B."},{"family":"Hong","given":"Suk Young"},{"family":"Mandal","given":"Biswapati"},{"family":"Marchant","given":"Ben P."},{"family":"Martin","given":"Manuel"},{"family":"McConkey","given":"Brian G."},{"family":"Mulder","given":"Vera Leatitia"},{"family":"O'Rourke","given":"Sharon"},{"family":"Richer-de-Forges","given":"Anne C."},{"family":"Odeh","given":"Inakwu"},{"family":"Padarian","given":"José"},{"family":"Paustian","given":"Keith"},{"family":"Pan","given":"Genxing"},{"family":"Poggio","given":"Laura"},{"family":"Savin","given":"Igor"},{"family":"Stolbovoy","given":"Vladimir"},{"family":"Stockmann","given":"Uta"},{"family":"Sulaeman","given":"Yiyi"},{"family":"Tsui","given":"Chun-Chih"},{"family":"Vågen","given":"Tor-Gunnar"},{"family":"Wesemael","given":"Bas","non-dropping-particle":"van"},{"family":"Winowiecki","given":"Leigh"}],"issued":{"date-parts":[["2017",4]]}}},{"id":49,"uris":["http://zotero.org/users/9588463/items/4HDW5TPF"],"itemData":{"id":49,"type":"article-journal","container-title":"Agronomy Journal","DOI":"10.1002/agj2.20184","ISSN":"0002-1962, 1435-0645","issue":"4","journalAbbreviation":"Agron.j.","language":"en","page":"3152-3162","source":"DOI.org (Crossref)","title":"Loamy sand soil approaches organic carbon saturation after 37 years of conservation tillage","volume":"112","author":[{"family":"Novak","given":"J.M."},{"family":"Watts","given":"D.W."},{"family":"Bauer","given":"P.J."},{"family":"Karlen","given":"D.L."},{"family":"Hunt","given":"P.G."},{"family":"Mishra","given":"U."}],"issued":{"date-parts":[["2020",7]]}}},{"id":198,"uris":["http://zotero.org/users/9588463/items/QRXKQAQ5"],"itemData":{"id":198,"type":"article-journal","container-title":"Soil Science Society of America Journal","DOI":"10.2136/sssaj2005.0284N","ISSN":"03615995","issue":"2","journalAbbreviation":"Soil Sci. Soc. Am. J.","language":"en","page":"453-456","source":"DOI.org (Crossref)","title":"Carbon Dynamics under Long-Term Conservation and Disk Tillage Management in a Norfolk Loamy Sand","volume":"71","author":[{"family":"Novak","given":"J. M."},{"family":"Bauer","given":"P. J."},{"family":"Hunt","given":"P. G."}],"issued":{"date-parts":[["2007",3]]}}},{"id":221,"uris":["http://zotero.org/users/9588463/items/IZUPA8HL"],"itemData":{"id":221,"type":"article-journal","container-title":"Soil and Tillage Research","DOI":"10.1016/S0167-1987(02)00018-1","ISSN":"01671987","issue":"2","journalAbbreviation":"Soil and Tillage Research","language":"en","page":"95-106","source":"DOI.org (Crossref)","title":"Soil organic matter stratification ratio as an indicator of soil quality","volume":"66","author":[{"family":"Franzluebbers","given":"A.J"}],"issued":{"date-parts":[["2002",7]]}}},{"id":60,"uris":["http://zotero.org/users/9588463/items/QM5KC2F7"],"itemData":{"id":60,"type":"article-journal","container-title":"Soil Biology and Biochemistry","DOI":"10.1016/j.soilbio.2020.107735","ISSN":"00380717","journalAbbreviation":"Soil Biology and Biochemistry","language":"en","page":"107735","source":"DOI.org (Crossref)","title":"A meta-analysis of global cropland soil carbon changes due to cover cropping","volume":"143","author":[{"family":"Jian","given":"Jinshi"},{"family":"Du","given":"Xuan"},{"family":"Reiter","given":"Mark S."},{"family":"Stewart","given":"Ryan D."}],"issued":{"date-parts":[["2020",4]]}}}],"schema":"https://github.com/citation-style-language/schema/raw/master/csl-citation.json"} </w:instrText>
      </w:r>
      <w:r w:rsidRPr="000E4C0F">
        <w:rPr>
          <w:rStyle w:val="Hyperlink"/>
          <w:rFonts w:eastAsiaTheme="majorEastAsia"/>
          <w:bCs/>
          <w:color w:val="000000" w:themeColor="text1"/>
          <w:u w:val="none"/>
        </w:rPr>
        <w:fldChar w:fldCharType="separate"/>
      </w:r>
      <w:r w:rsidRPr="000E4C0F">
        <w:rPr>
          <w:rStyle w:val="Hyperlink"/>
          <w:rFonts w:eastAsiaTheme="majorEastAsia"/>
          <w:bCs/>
          <w:noProof/>
          <w:color w:val="000000" w:themeColor="text1"/>
          <w:u w:val="none"/>
        </w:rPr>
        <w:t>(Franzluebbers, 2002; Jian et al., 2020; Minasny et al., 2017; Novak et al., 2007, 2020)</w:t>
      </w:r>
      <w:r w:rsidRPr="000E4C0F">
        <w:rPr>
          <w:rStyle w:val="Hyperlink"/>
          <w:rFonts w:eastAsiaTheme="majorEastAsia"/>
          <w:bCs/>
          <w:color w:val="000000" w:themeColor="text1"/>
          <w:u w:val="none"/>
        </w:rPr>
        <w:fldChar w:fldCharType="end"/>
      </w:r>
      <w:r w:rsidRPr="000E4C0F">
        <w:rPr>
          <w:rStyle w:val="Hyperlink"/>
          <w:rFonts w:eastAsiaTheme="majorEastAsia"/>
          <w:bCs/>
          <w:color w:val="000000" w:themeColor="text1"/>
          <w:u w:val="none"/>
        </w:rPr>
        <w:t>.</w:t>
      </w:r>
      <w:r w:rsidRPr="000E4C0F">
        <w:rPr>
          <w:bCs/>
          <w:color w:val="000000" w:themeColor="text1"/>
        </w:rPr>
        <w:t xml:space="preserve"> Similar studies outside of the Coastal Plain have examined the change in soil properties </w:t>
      </w:r>
      <w:r w:rsidRPr="000E4C0F">
        <w:rPr>
          <w:rStyle w:val="Hyperlink"/>
          <w:rFonts w:eastAsiaTheme="majorEastAsia"/>
          <w:bCs/>
          <w:color w:val="000000" w:themeColor="text1"/>
          <w:u w:val="none"/>
        </w:rPr>
        <w:t xml:space="preserve">such as bulk density, penetration resistance, and saturated hydraulic conductivity. These studies have shown inconsistent responses to conversation management, with reports of improvement, decline, or initial decline followed by improvement </w:t>
      </w:r>
      <w:r w:rsidRPr="000E4C0F">
        <w:rPr>
          <w:rStyle w:val="Hyperlink"/>
          <w:rFonts w:eastAsiaTheme="majorEastAsia"/>
          <w:bCs/>
          <w:color w:val="000000" w:themeColor="text1"/>
          <w:u w:val="none"/>
        </w:rPr>
        <w:fldChar w:fldCharType="begin"/>
      </w:r>
      <w:r w:rsidRPr="000E4C0F">
        <w:rPr>
          <w:rStyle w:val="Hyperlink"/>
          <w:rFonts w:eastAsiaTheme="majorEastAsia"/>
          <w:bCs/>
          <w:color w:val="000000" w:themeColor="text1"/>
          <w:u w:val="none"/>
        </w:rPr>
        <w:instrText xml:space="preserve"> ADDIN ZOTERO_ITEM CSL_CITATION {"citationID":"PfFSzT8n","properties":{"formattedCitation":"(Blanco-Canqui et al., 2017; He et al., 2009; Indoria et al., 2017; Moraru &amp; Teodor, 2012)","plainCitation":"(Blanco-Canqui et al., 2017; He et al., 2009; Indoria et al., 2017; Moraru &amp; Teodor, 2012)","dontUpdate":true,"noteIndex":0},"citationItems":[{"id":241,"uris":["http://zotero.org/users/9588463/items/KVQG7MX7"],"itemData":{"id":241,"type":"article-journal","container-title":"Soil and Tillage Research","DOI":"10.1016/j.still.2017.03.001","ISSN":"01671987","journalAbbreviation":"Soil and Tillage Research","language":"en","page":"38-42","source":"DOI.org (Crossref)","title":"Long-term tillage impact on soil hydraulic properties","volume":"170","author":[{"family":"Blanco-Canqui","given":"Humberto"},{"family":"Wienhold","given":"Brian J."},{"family":"Jin","given":"Virginia L."},{"family":"Schmer","given":"Marty R."},{"family":"Kibet","given":"Leonard C."}],"issued":{"date-parts":[["2017",7]]}},"label":"page"},{"id":215,"uris":["http://zotero.org/users/9588463/items/SP3T555R"],"itemData":{"id":215,"type":"article-journal","container-title":"Soil Use and Management","DOI":"10.1111/j.1475-2743.2009.00210.x","ISSN":"02660032, 14752743","issue":"2","language":"en","page":"201-209","source":"DOI.org (Crossref)","title":"Effects of 10 years of conservation tillage on soil properties and productivity in the farming-pastoral ecotone of Inner Mongolia, China","volume":"25","author":[{"family":"He","given":"J."},{"family":"Kuhn","given":"N. J."},{"family":"Zhang","given":"X. M."},{"family":"Zhang","given":"X. R."},{"family":"Li","given":"H. W."}],"issued":{"date-parts":[["2009",6]]}},"label":"page"},{"id":214,"uris":["http://zotero.org/users/9588463/items/GG3EMF2F"],"itemData":{"id":214,"type":"article-journal","container-title":"Current Science","DOI":"10.18520/cs/v112/i01/52-61","ISSN":"0011-3891","issue":"1","page":"52","source":"DOI.org (Crossref)","title":"Conservation Agriculture - A Panacea to Improve Soil Physical Health","volume":"112","author":[{"family":"Indoria","given":"A. K."},{"family":"Rao","given":"Srinivasa"},{"family":"Sharma","given":"K. L."},{"family":"Sammi Reddy","given":"K."}],"issued":{"date-parts":[["2017",1,1]]}},"label":"page"},{"id":216,"uris":["http://zotero.org/users/9588463/items/WNAQP3I4"],"itemData":{"id":216,"type":"article-journal","page":"1119","title":"Influence of Soil Tillage Systems on Soil Respiration and Production on Wheat, Maize and Soybean Crop","author":[{"family":"Moraru","given":"Paula"},{"family":"Teodor","given":"Rusu"}],"issued":{"date-parts":[["2012",4,1]]}},"label":"page"}],"schema":"https://github.com/citation-style-language/schema/raw/master/csl-citation.json"} </w:instrText>
      </w:r>
      <w:r w:rsidRPr="000E4C0F">
        <w:rPr>
          <w:rStyle w:val="Hyperlink"/>
          <w:rFonts w:eastAsiaTheme="majorEastAsia"/>
          <w:bCs/>
          <w:color w:val="000000" w:themeColor="text1"/>
          <w:u w:val="none"/>
        </w:rPr>
        <w:fldChar w:fldCharType="separate"/>
      </w:r>
      <w:r w:rsidRPr="000E4C0F">
        <w:rPr>
          <w:rStyle w:val="Hyperlink"/>
          <w:rFonts w:eastAsiaTheme="majorEastAsia"/>
          <w:bCs/>
          <w:noProof/>
          <w:color w:val="000000" w:themeColor="text1"/>
          <w:u w:val="none"/>
        </w:rPr>
        <w:t>(Blanco-Canqui et al., 2017; He et al., 2009; Indoria et al., 2017)</w:t>
      </w:r>
      <w:r w:rsidRPr="000E4C0F">
        <w:rPr>
          <w:rStyle w:val="Hyperlink"/>
          <w:rFonts w:eastAsiaTheme="majorEastAsia"/>
          <w:bCs/>
          <w:color w:val="000000" w:themeColor="text1"/>
          <w:u w:val="none"/>
        </w:rPr>
        <w:fldChar w:fldCharType="end"/>
      </w:r>
      <w:r w:rsidRPr="000E4C0F">
        <w:rPr>
          <w:rStyle w:val="Hyperlink"/>
          <w:rFonts w:eastAsiaTheme="majorEastAsia"/>
          <w:bCs/>
          <w:color w:val="000000" w:themeColor="text1"/>
          <w:u w:val="none"/>
        </w:rPr>
        <w:t xml:space="preserve">. For instance, </w:t>
      </w:r>
      <w:r w:rsidRPr="000E4C0F">
        <w:rPr>
          <w:bCs/>
          <w:color w:val="000000" w:themeColor="text1"/>
        </w:rPr>
        <w:t xml:space="preserve">soil compaction and infiltration capacity may take 5-10 years or longer to improve after implementing conservation practices </w:t>
      </w:r>
      <w:r w:rsidRPr="000E4C0F">
        <w:rPr>
          <w:bCs/>
          <w:color w:val="000000" w:themeColor="text1"/>
        </w:rPr>
        <w:fldChar w:fldCharType="begin"/>
      </w:r>
      <w:r w:rsidRPr="000E4C0F">
        <w:rPr>
          <w:bCs/>
          <w:color w:val="000000" w:themeColor="text1"/>
        </w:rPr>
        <w:instrText xml:space="preserve"> ADDIN ZOTERO_ITEM CSL_CITATION {"citationID":"tNI2aF52","properties":{"formattedCitation":"(Blanco\\uc0\\u8208{}Canqui &amp; Ruis, 2020; Indoria et al., 2017; Obi &amp; Nnabude, 1988)","plainCitation":"(Blanco‐Canqui &amp; Ruis, 2020; Indoria et al., 2017; Obi &amp; Nnabude, 1988)","noteIndex":0},"citationItems":[{"id":217,"uris":["http://zotero.org/users/9588463/items/XREU3W4B"],"itemData":{"id":217,"type":"article-journal","container-title":"Soil Science Society of America Journal","DOI":"10.1002/saj2.20129","ISSN":"0361-5995, 1435-0661","issue":"5","journalAbbreviation":"Soil Sci. Soc. Am. j.","language":"en","page":"1527-1576","source":"DOI.org (Crossref)","title":"Cover crop impacts on soil physical properties: A review","title-short":"Cover crop impacts on soil physical properties","volume":"84","author":[{"family":"Blanco‐Canqui","given":"Humberto"},{"family":"Ruis","given":"Sabrina J."}],"issued":{"date-parts":[["2020",9]]}}},{"id":214,"uris":["http://zotero.org/users/9588463/items/GG3EMF2F"],"itemData":{"id":214,"type":"article-journal","container-title":"Current Science","DOI":"10.18520/cs/v112/i01/52-61","ISSN":"0011-3891","issue":"1","page":"52","source":"DOI.org (Crossref)","title":"Conservation Agriculture - A Panacea to Improve Soil Physical Health","volume":"112","author":[{"family":"Indoria","given":"A. K."},{"family":"Rao","given":"Srinivasa"},{"family":"Sharma","given":"K. L."},{"family":"Sammi Reddy","given":"K."}],"issued":{"date-parts":[["2017",1,1]]}}},{"id":243,"uris":["http://zotero.org/users/9588463/items/9KYX599Y"],"itemData":{"id":243,"type":"article-journal","container-title":"Soil and Tillage Research","DOI":"10.1016/0167-1987(88)90057-8","ISSN":"01671987","issue":"1","journalAbbreviation":"Soil and Tillage Research","language":"en","page":"81-90","source":"DOI.org (Crossref)","title":"The effects of different management practices on the physical properties of a sandy loam soil in Southern Nigeria","volume":"12","author":[{"family":"Obi","given":"M.E."},{"family":"Nnabude","given":"P.C."}],"issued":{"date-parts":[["1988",7]]}}}],"schema":"https://github.com/citation-style-language/schema/raw/master/csl-citation.json"} </w:instrText>
      </w:r>
      <w:r w:rsidRPr="000E4C0F">
        <w:rPr>
          <w:bCs/>
          <w:color w:val="000000" w:themeColor="text1"/>
        </w:rPr>
        <w:fldChar w:fldCharType="separate"/>
      </w:r>
      <w:r w:rsidRPr="000E4C0F">
        <w:rPr>
          <w:color w:val="000000" w:themeColor="text1"/>
        </w:rPr>
        <w:t>(Blanco‐Canqui &amp; Ruis, 2020; Indoria et al., 2017; Obi &amp; Nnabude, 1988)</w:t>
      </w:r>
      <w:r w:rsidRPr="000E4C0F">
        <w:rPr>
          <w:bCs/>
          <w:color w:val="000000" w:themeColor="text1"/>
        </w:rPr>
        <w:fldChar w:fldCharType="end"/>
      </w:r>
      <w:r w:rsidRPr="000E4C0F">
        <w:rPr>
          <w:bCs/>
          <w:color w:val="000000" w:themeColor="text1"/>
        </w:rPr>
        <w:t xml:space="preserve">. </w:t>
      </w:r>
      <w:r w:rsidRPr="000E4C0F">
        <w:rPr>
          <w:bCs/>
          <w:iCs/>
          <w:color w:val="000000" w:themeColor="text1"/>
        </w:rPr>
        <w:t xml:space="preserve">Several studies have reported yield declines after initial implementation of no tillage practices, followed by gradual improvements over 5-10 years to either match or surpass yield from conventional tillage </w:t>
      </w:r>
      <w:r w:rsidRPr="000E4C0F">
        <w:rPr>
          <w:bCs/>
          <w:iCs/>
          <w:color w:val="000000" w:themeColor="text1"/>
        </w:rPr>
        <w:fldChar w:fldCharType="begin"/>
      </w:r>
      <w:r w:rsidRPr="000E4C0F">
        <w:rPr>
          <w:bCs/>
          <w:iCs/>
          <w:color w:val="000000" w:themeColor="text1"/>
        </w:rPr>
        <w:instrText xml:space="preserve"> ADDIN ZOTERO_ITEM CSL_CITATION {"citationID":"hEyaLYmX","properties":{"formattedCitation":"(Huggins &amp; Reganold, 2008; Pittelkow et al., 2015)","plainCitation":"(Huggins &amp; Reganold, 2008; Pittelkow et al., 2015)","noteIndex":0},"citationItems":[{"id":16,"uris":["http://zotero.org/users/9588463/items/RL7GTJ4Z"],"itemData":{"id":16,"type":"document","publisher":"Scientific American, Inc.","title":"No Till: The Quiet Revolution","URL":"https://www.ars.usda.gov/ARSUserFiles/20902500/DavidHuggins/NoTill.pdf","author":[{"family":"Huggins","given":"David R."},{"family":"Reganold","given":"John P."}],"issued":{"date-parts":[["2008",7]]}}},{"id":225,"uris":["http://zotero.org/users/9588463/items/TWRY9YP2"],"itemData":{"id":225,"type":"article-journal","container-title":"Field Crops Research","DOI":"10.1016/j.fcr.2015.07.020","ISSN":"03784290","journalAbbreviation":"Field Crops Research","language":"en","page":"156-168","source":"DOI.org (Crossref)","title":"When does no-till yield more? A global meta-analysis","title-short":"When does no-till yield more?","volume":"183","author":[{"family":"Pittelkow","given":"Cameron M."},{"family":"Linquist","given":"Bruce A."},{"family":"Lundy","given":"Mark E."},{"family":"Liang","given":"Xinqiang"},{"family":"Groenigen","given":"Kees Jan","non-dropping-particle":"van"},{"family":"Lee","given":"Juhwan"},{"family":"Gestel","given":"Natasja","non-dropping-particle":"van"},{"family":"Six","given":"Johan"},{"family":"Venterea","given":"Rodney T."},{"family":"Kessel","given":"Chris","non-dropping-particle":"van"}],"issued":{"date-parts":[["2015",11]]}}}],"schema":"https://github.com/citation-style-language/schema/raw/master/csl-citation.json"} </w:instrText>
      </w:r>
      <w:r w:rsidRPr="000E4C0F">
        <w:rPr>
          <w:bCs/>
          <w:iCs/>
          <w:color w:val="000000" w:themeColor="text1"/>
        </w:rPr>
        <w:fldChar w:fldCharType="separate"/>
      </w:r>
      <w:r w:rsidRPr="000E4C0F">
        <w:rPr>
          <w:bCs/>
          <w:iCs/>
          <w:noProof/>
          <w:color w:val="000000" w:themeColor="text1"/>
        </w:rPr>
        <w:t>(Huggins &amp; Reganold, 2008; Pittelkow et al., 2015)</w:t>
      </w:r>
      <w:r w:rsidRPr="000E4C0F">
        <w:rPr>
          <w:bCs/>
          <w:iCs/>
          <w:color w:val="000000" w:themeColor="text1"/>
        </w:rPr>
        <w:fldChar w:fldCharType="end"/>
      </w:r>
      <w:r w:rsidRPr="000E4C0F">
        <w:rPr>
          <w:bCs/>
          <w:iCs/>
          <w:color w:val="000000" w:themeColor="text1"/>
        </w:rPr>
        <w:t xml:space="preserve">. </w:t>
      </w:r>
    </w:p>
    <w:p w14:paraId="395D3F5B"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lastRenderedPageBreak/>
        <w:t xml:space="preserve">This lack of substantial, consistent evidence demonstrates the need for a better understanding of the expected response of soil to management through time. In particular, the temporal effects of specific combinations of conservation tillage and cover cropping systems remains poorly quantified in the U.S. Coastal Plain. While the influence of conservation agriculture for mid-Atlantic grain cropping systems is well documented </w:t>
      </w:r>
      <w:r w:rsidRPr="000E4C0F">
        <w:rPr>
          <w:bCs/>
          <w:color w:val="000000" w:themeColor="text1"/>
        </w:rPr>
        <w:fldChar w:fldCharType="begin"/>
      </w:r>
      <w:r w:rsidRPr="000E4C0F">
        <w:rPr>
          <w:bCs/>
          <w:color w:val="000000" w:themeColor="text1"/>
        </w:rPr>
        <w:instrText xml:space="preserve"> ADDIN ZOTERO_ITEM CSL_CITATION {"citationID":"Rs4zTlNz","properties":{"formattedCitation":"(Franzluebbers, 2010; Holshouser, 2014; Novak et al., 2007; Spargo et al., 2008)","plainCitation":"(Franzluebbers, 2010; Holshouser, 2014; Novak et al., 2007; Spargo et al., 2008)","noteIndex":0},"citationItems":[{"id":48,"uris":["http://zotero.org/users/9588463/items/UYTILNYS"],"itemData":{"id":48,"type":"article-journal","container-title":"Soil Science Society of America Journal","DOI":"10.2136/sssaj2009.0079","ISSN":"03615995","issue":"2","journalAbbreviation":"Soil Sci. Soc. Am. J.","language":"en","page":"347-357","source":"DOI.org (Crossref)","title":"Achieving Soil Organic Carbon Sequestration with Conservation Agricultural Systems in the Southeastern United States","volume":"74","author":[{"family":"Franzluebbers","given":"Alan J."}],"issued":{"date-parts":[["2010",3]]}}},{"id":54,"uris":["http://zotero.org/users/9588463/items/PC546N8H"],"itemData":{"id":54,"type":"report","event-place":"Suffolk, VA","genre":"Extension Publication","publisher":"Virginia Cooperative Extension","publisher-place":"Suffolk, VA","title":"Double Cropping Soybeans in Virginia","URL":"https://vtechworks.lib.vt.edu/bitstream/handle/10919/80596/CSES-102.pdf?sequence=1","author":[{"family":"Holshouser","given":"David"}],"issued":{"date-parts":[["2014"]]}}},{"id":198,"uris":["http://zotero.org/users/9588463/items/QRXKQAQ5"],"itemData":{"id":198,"type":"article-journal","container-title":"Soil Science Society of America Journal","DOI":"10.2136/sssaj2005.0284N","ISSN":"03615995","issue":"2","journalAbbreviation":"Soil Sci. Soc. Am. J.","language":"en","page":"453-456","source":"DOI.org (Crossref)","title":"Carbon Dynamics under Long-Term Conservation and Disk Tillage Management in a Norfolk Loamy Sand","volume":"71","author":[{"family":"Novak","given":"J. M."},{"family":"Bauer","given":"P. J."},{"family":"Hunt","given":"P. G."}],"issued":{"date-parts":[["2007",3]]}}},{"id":46,"uris":["http://zotero.org/users/9588463/items/J3FVB3XM"],"itemData":{"id":46,"type":"article-journal","container-title":"Soil and Tillage Research","DOI":"10.1016/j.still.2008.05.010","ISSN":"01671987","issue":"1-2","journalAbbreviation":"Soil and Tillage Research","language":"en","page":"133-140","source":"DOI.org (Crossref)","title":"Soil carbon sequestration with continuous no-till management of grain cropping systems in the Virginia coastal plain","volume":"100","author":[{"family":"Spargo","given":"J"},{"family":"Alley","given":"M"},{"family":"Follett","given":"R"},{"family":"Wallace","given":"J"}],"issued":{"date-parts":[["2008",7]]}}}],"schema":"https://github.com/citation-style-language/schema/raw/master/csl-citation.json"} </w:instrText>
      </w:r>
      <w:r w:rsidRPr="000E4C0F">
        <w:rPr>
          <w:bCs/>
          <w:color w:val="000000" w:themeColor="text1"/>
        </w:rPr>
        <w:fldChar w:fldCharType="separate"/>
      </w:r>
      <w:r w:rsidRPr="000E4C0F">
        <w:rPr>
          <w:bCs/>
          <w:noProof/>
          <w:color w:val="000000" w:themeColor="text1"/>
        </w:rPr>
        <w:t>(Franzluebbers, 2010; Holshouser, 2014; Novak et al., 2007; Spargo et al., 2008)</w:t>
      </w:r>
      <w:r w:rsidRPr="000E4C0F">
        <w:rPr>
          <w:bCs/>
          <w:color w:val="000000" w:themeColor="text1"/>
        </w:rPr>
        <w:fldChar w:fldCharType="end"/>
      </w:r>
      <w:r w:rsidRPr="000E4C0F">
        <w:rPr>
          <w:bCs/>
          <w:color w:val="000000" w:themeColor="text1"/>
        </w:rPr>
        <w:t xml:space="preserve">, there has been little effort to understand if these practices have similar benefits or drawbacks in the cotton and peanut production systems that are common to the region. </w:t>
      </w:r>
    </w:p>
    <w:p w14:paraId="49546644" w14:textId="755ED6D4"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This study was implemented to evaluate the changes in soil properties in response to conservation management in different cropping system-types over a 7-year period. The cropping system included all of the major row crops grown in this part of the Coastal Plain, including corn (</w:t>
      </w:r>
      <w:proofErr w:type="spellStart"/>
      <w:r w:rsidRPr="000E4C0F">
        <w:rPr>
          <w:bCs/>
          <w:i/>
          <w:iCs/>
          <w:color w:val="000000" w:themeColor="text1"/>
        </w:rPr>
        <w:t>Zea</w:t>
      </w:r>
      <w:proofErr w:type="spellEnd"/>
      <w:r w:rsidRPr="000E4C0F">
        <w:rPr>
          <w:bCs/>
          <w:i/>
          <w:iCs/>
          <w:color w:val="000000" w:themeColor="text1"/>
        </w:rPr>
        <w:t xml:space="preserve"> mays L.</w:t>
      </w:r>
      <w:r w:rsidRPr="000E4C0F">
        <w:rPr>
          <w:bCs/>
          <w:color w:val="000000" w:themeColor="text1"/>
        </w:rPr>
        <w:t>), soybeans (</w:t>
      </w:r>
      <w:proofErr w:type="spellStart"/>
      <w:r w:rsidRPr="000E4C0F">
        <w:rPr>
          <w:bCs/>
          <w:i/>
          <w:iCs/>
          <w:color w:val="000000" w:themeColor="text1"/>
        </w:rPr>
        <w:t>Glysine</w:t>
      </w:r>
      <w:proofErr w:type="spellEnd"/>
      <w:r w:rsidRPr="000E4C0F">
        <w:rPr>
          <w:bCs/>
          <w:i/>
          <w:iCs/>
          <w:color w:val="000000" w:themeColor="text1"/>
        </w:rPr>
        <w:t xml:space="preserve"> max</w:t>
      </w:r>
      <w:r w:rsidRPr="000E4C0F">
        <w:rPr>
          <w:bCs/>
          <w:color w:val="000000" w:themeColor="text1"/>
        </w:rPr>
        <w:t>), cotton (</w:t>
      </w:r>
      <w:r w:rsidRPr="000E4C0F">
        <w:rPr>
          <w:bCs/>
          <w:i/>
          <w:iCs/>
          <w:color w:val="000000" w:themeColor="text1"/>
        </w:rPr>
        <w:t>Gossypium hirsutum L.</w:t>
      </w:r>
      <w:r w:rsidRPr="000E4C0F">
        <w:rPr>
          <w:bCs/>
          <w:color w:val="000000" w:themeColor="text1"/>
        </w:rPr>
        <w:t>), and peanuts (</w:t>
      </w:r>
      <w:proofErr w:type="spellStart"/>
      <w:r w:rsidRPr="000E4C0F">
        <w:rPr>
          <w:bCs/>
          <w:i/>
          <w:iCs/>
          <w:color w:val="000000" w:themeColor="text1"/>
        </w:rPr>
        <w:t>Arachys</w:t>
      </w:r>
      <w:proofErr w:type="spellEnd"/>
      <w:r w:rsidRPr="000E4C0F">
        <w:rPr>
          <w:bCs/>
          <w:i/>
          <w:iCs/>
          <w:color w:val="000000" w:themeColor="text1"/>
        </w:rPr>
        <w:t xml:space="preserve"> hypogaea</w:t>
      </w:r>
      <w:r w:rsidRPr="000E4C0F">
        <w:rPr>
          <w:bCs/>
          <w:color w:val="000000" w:themeColor="text1"/>
        </w:rPr>
        <w:t>). By t</w:t>
      </w:r>
      <w:r w:rsidRPr="000E4C0F">
        <w:rPr>
          <w:rStyle w:val="Hyperlink"/>
          <w:rFonts w:eastAsiaTheme="majorEastAsia"/>
          <w:bCs/>
          <w:color w:val="000000" w:themeColor="text1"/>
          <w:u w:val="none"/>
        </w:rPr>
        <w:t xml:space="preserve">esting how soil properties change from these conservation management practices over time, this research aims to provide an improved understanding of how the soil will function in response to management, and its subsequent ability to support crop growth in the long term. </w:t>
      </w:r>
      <w:r w:rsidR="007A3644" w:rsidRPr="000E7B46">
        <w:rPr>
          <w:bCs/>
          <w:color w:val="000000" w:themeColor="text1"/>
        </w:rPr>
        <w:t xml:space="preserve">A </w:t>
      </w:r>
      <w:r w:rsidR="007A3644" w:rsidRPr="000E7B46">
        <w:rPr>
          <w:color w:val="000000" w:themeColor="text1"/>
          <w:shd w:val="clear" w:color="auto" w:fill="FFFFFF"/>
        </w:rPr>
        <w:t>better understanding of region-specific and cropping system-specific effects on soil properties and processes will support Coastal Plain farmers' in maintaining production and profitability while improving soil and environmental health for greater sustainability and resiliency.</w:t>
      </w:r>
    </w:p>
    <w:p w14:paraId="45E4213C" w14:textId="77777777" w:rsidR="000E4C0F" w:rsidRPr="000E4C0F" w:rsidRDefault="000E4C0F" w:rsidP="000E4C0F">
      <w:pPr>
        <w:pStyle w:val="Heading2"/>
        <w:spacing w:line="480" w:lineRule="auto"/>
        <w:rPr>
          <w:rFonts w:ascii="Times New Roman" w:hAnsi="Times New Roman" w:cs="Times New Roman"/>
          <w:bCs/>
          <w:color w:val="000000" w:themeColor="text1"/>
          <w:sz w:val="24"/>
          <w:szCs w:val="24"/>
        </w:rPr>
      </w:pPr>
      <w:bookmarkStart w:id="1" w:name="_Toc139968595"/>
      <w:r w:rsidRPr="000E4C0F">
        <w:rPr>
          <w:rFonts w:ascii="Times New Roman" w:hAnsi="Times New Roman" w:cs="Times New Roman"/>
          <w:color w:val="000000" w:themeColor="text1"/>
          <w:sz w:val="24"/>
          <w:szCs w:val="24"/>
        </w:rPr>
        <w:t>1.2 Materials and Methods</w:t>
      </w:r>
      <w:bookmarkEnd w:id="1"/>
    </w:p>
    <w:p w14:paraId="5BDBCF2A" w14:textId="77777777" w:rsidR="000E4C0F" w:rsidRPr="000E4C0F" w:rsidRDefault="000E4C0F" w:rsidP="000E4C0F">
      <w:pPr>
        <w:pStyle w:val="Heading3"/>
        <w:spacing w:line="480" w:lineRule="auto"/>
        <w:rPr>
          <w:rFonts w:cs="Times New Roman"/>
          <w:bCs/>
          <w:i/>
          <w:color w:val="000000" w:themeColor="text1"/>
          <w:sz w:val="24"/>
          <w:szCs w:val="24"/>
        </w:rPr>
      </w:pPr>
      <w:bookmarkStart w:id="2" w:name="_Toc139968596"/>
      <w:r w:rsidRPr="000E4C0F">
        <w:rPr>
          <w:rFonts w:cs="Times New Roman"/>
          <w:bCs/>
          <w:i/>
          <w:color w:val="000000" w:themeColor="text1"/>
          <w:sz w:val="24"/>
          <w:szCs w:val="24"/>
        </w:rPr>
        <w:t>1.2.1 Site Description</w:t>
      </w:r>
      <w:bookmarkEnd w:id="2"/>
    </w:p>
    <w:p w14:paraId="1AA76C54" w14:textId="77777777" w:rsidR="000E4C0F" w:rsidRPr="000E4C0F" w:rsidRDefault="000E4C0F" w:rsidP="000E4C0F">
      <w:pPr>
        <w:spacing w:line="480" w:lineRule="auto"/>
        <w:ind w:firstLine="720"/>
        <w:rPr>
          <w:bCs/>
          <w:color w:val="000000" w:themeColor="text1"/>
        </w:rPr>
      </w:pPr>
      <w:r w:rsidRPr="000E4C0F">
        <w:rPr>
          <w:bCs/>
          <w:color w:val="000000" w:themeColor="text1"/>
        </w:rPr>
        <w:t xml:space="preserve">This study was conducted at the Tidewater Agricultural Research and Extension Center in Suffolk, VA (36.663812, -76.737126). The soil is mapped as a </w:t>
      </w:r>
      <w:proofErr w:type="spellStart"/>
      <w:r w:rsidRPr="000E4C0F">
        <w:rPr>
          <w:bCs/>
          <w:color w:val="000000" w:themeColor="text1"/>
        </w:rPr>
        <w:t>Eunola</w:t>
      </w:r>
      <w:proofErr w:type="spellEnd"/>
      <w:r w:rsidRPr="000E4C0F">
        <w:rPr>
          <w:bCs/>
          <w:color w:val="000000" w:themeColor="text1"/>
        </w:rPr>
        <w:t xml:space="preserve"> loamy fine sand, 0 to 2 percent slopes. The </w:t>
      </w:r>
      <w:proofErr w:type="spellStart"/>
      <w:r w:rsidRPr="000E4C0F">
        <w:rPr>
          <w:bCs/>
          <w:color w:val="000000" w:themeColor="text1"/>
        </w:rPr>
        <w:t>Eunola</w:t>
      </w:r>
      <w:proofErr w:type="spellEnd"/>
      <w:r w:rsidRPr="000E4C0F">
        <w:rPr>
          <w:bCs/>
          <w:color w:val="000000" w:themeColor="text1"/>
        </w:rPr>
        <w:t xml:space="preserve"> series is fine-loamy, </w:t>
      </w:r>
      <w:r w:rsidRPr="000E4C0F">
        <w:rPr>
          <w:bCs/>
          <w:color w:val="000000" w:themeColor="text1"/>
          <w:shd w:val="clear" w:color="auto" w:fill="FFFFFF"/>
        </w:rPr>
        <w:t xml:space="preserve">siliceous, semiactive, thermic Aquic </w:t>
      </w:r>
      <w:r w:rsidRPr="000E4C0F">
        <w:rPr>
          <w:bCs/>
          <w:color w:val="000000" w:themeColor="text1"/>
          <w:shd w:val="clear" w:color="auto" w:fill="FFFFFF"/>
        </w:rPr>
        <w:lastRenderedPageBreak/>
        <w:t>Hapludults</w:t>
      </w:r>
      <w:r w:rsidRPr="000E4C0F">
        <w:rPr>
          <w:rStyle w:val="apple-converted-space"/>
          <w:rFonts w:eastAsiaTheme="majorEastAsia"/>
          <w:bCs/>
          <w:color w:val="000000" w:themeColor="text1"/>
          <w:shd w:val="clear" w:color="auto" w:fill="FFFFFF"/>
        </w:rPr>
        <w:t> </w:t>
      </w:r>
      <w:r w:rsidRPr="000E4C0F">
        <w:rPr>
          <w:bCs/>
          <w:color w:val="000000" w:themeColor="text1"/>
        </w:rPr>
        <w:fldChar w:fldCharType="begin"/>
      </w:r>
      <w:r w:rsidRPr="000E4C0F">
        <w:rPr>
          <w:bCs/>
          <w:color w:val="000000" w:themeColor="text1"/>
        </w:rPr>
        <w:instrText xml:space="preserve"> ADDIN ZOTERO_ITEM CSL_CITATION {"citationID":"z2O4M7XE","properties":{"formattedCitation":"(USDA Web Soil Survey, 2021)","plainCitation":"(USDA Web Soil Survey, 2021)","noteIndex":0},"citationItems":[{"id":21,"uris":["http://zotero.org/users/9588463/items/DWRLGBU5"],"itemData":{"id":21,"type":"webpage","title":"USDA Web Soil Survey","URL":"https://websoilsurvey.sc.egov.usda.gov/App/WebSoilSurvey.aspx","author":[{"literal":"USDA Web Soil Survey"}],"accessed":{"date-parts":[["2021",6,11]]},"issued":{"date-parts":[["2021"]]}}}],"schema":"https://github.com/citation-style-language/schema/raw/master/csl-citation.json"} </w:instrText>
      </w:r>
      <w:r w:rsidRPr="000E4C0F">
        <w:rPr>
          <w:bCs/>
          <w:color w:val="000000" w:themeColor="text1"/>
        </w:rPr>
        <w:fldChar w:fldCharType="separate"/>
      </w:r>
      <w:r w:rsidRPr="000E4C0F">
        <w:rPr>
          <w:bCs/>
          <w:color w:val="000000" w:themeColor="text1"/>
        </w:rPr>
        <w:t>(USDA Web Soil Survey, 2021)</w:t>
      </w:r>
      <w:r w:rsidRPr="000E4C0F">
        <w:rPr>
          <w:bCs/>
          <w:color w:val="000000" w:themeColor="text1"/>
        </w:rPr>
        <w:fldChar w:fldCharType="end"/>
      </w:r>
      <w:r w:rsidRPr="000E4C0F">
        <w:rPr>
          <w:bCs/>
          <w:color w:val="000000" w:themeColor="text1"/>
        </w:rPr>
        <w:t xml:space="preserve">. Prior to 2017, the site had a rotation of field corn and upland cotton that was managed using strip tillage. </w:t>
      </w:r>
    </w:p>
    <w:p w14:paraId="23F3A5D7" w14:textId="77777777" w:rsidR="000E4C0F" w:rsidRPr="000E4C0F" w:rsidRDefault="000E4C0F" w:rsidP="000E4C0F">
      <w:pPr>
        <w:pStyle w:val="Heading3"/>
        <w:spacing w:line="480" w:lineRule="auto"/>
        <w:rPr>
          <w:rFonts w:cs="Times New Roman"/>
          <w:bCs/>
          <w:i/>
          <w:color w:val="000000" w:themeColor="text1"/>
          <w:sz w:val="24"/>
          <w:szCs w:val="24"/>
        </w:rPr>
      </w:pPr>
      <w:bookmarkStart w:id="3" w:name="_Toc139968597"/>
      <w:r w:rsidRPr="000E4C0F">
        <w:rPr>
          <w:rFonts w:cs="Times New Roman"/>
          <w:bCs/>
          <w:i/>
          <w:color w:val="000000" w:themeColor="text1"/>
          <w:sz w:val="24"/>
          <w:szCs w:val="24"/>
        </w:rPr>
        <w:t>1.2.2 Experimental Design</w:t>
      </w:r>
      <w:bookmarkEnd w:id="3"/>
    </w:p>
    <w:p w14:paraId="552DDBFB"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The experimental design was a split-plot design with tillage as the whole-plot factor and winter cover as the sub-plot factor. There were four tillage treatments and three winter cover treatments for a total of twelve treatments, with four replicated blocks (Figure A.1). The field showed considerable texture differences based on particle size (Table 1), so the four field blocks were arranged to account for texture. Each row was 0.9 m in width by 12.2 m in length, each sub-plot was four rows wide, and each whole-plot consisted of 3 sub-plots. The four tillage treatments were, in order from most to least intensive, conventional tillage via disc plow to 20-30 cm depth, strip tillage using a sub-soil rip 30 cm wide and 40 cm deep, minimal tillage using a sub-soil rip 5 cm wide and 40 cm deep, and no tillage (Table 2). Note that the latter three treatments were considered to represent different conservation tillage practices. The tillage treatments were first implemented in 2017 (Figure 1).</w:t>
      </w:r>
    </w:p>
    <w:p w14:paraId="5B5D12D6"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The three winter cover treatments were, listed in order of highest to lowest expected biomass input, a high-biomass cover crop, a winter cash crop, and fallow (Table 3). The high biomass cover crop changed between years but was a mix of legume and non-legume cover crops including cereal rye (</w:t>
      </w:r>
      <w:r w:rsidRPr="000E4C0F">
        <w:rPr>
          <w:bCs/>
          <w:i/>
          <w:iCs/>
          <w:color w:val="000000" w:themeColor="text1"/>
        </w:rPr>
        <w:t>Secale cereale L</w:t>
      </w:r>
      <w:r w:rsidRPr="000E4C0F">
        <w:rPr>
          <w:bCs/>
          <w:color w:val="000000" w:themeColor="text1"/>
        </w:rPr>
        <w:t>.), hairy vetch (</w:t>
      </w:r>
      <w:r w:rsidRPr="000E4C0F">
        <w:rPr>
          <w:bCs/>
          <w:i/>
          <w:iCs/>
          <w:color w:val="000000" w:themeColor="text1"/>
        </w:rPr>
        <w:t xml:space="preserve">Vicia </w:t>
      </w:r>
      <w:proofErr w:type="spellStart"/>
      <w:r w:rsidRPr="000E4C0F">
        <w:rPr>
          <w:bCs/>
          <w:i/>
          <w:iCs/>
          <w:color w:val="000000" w:themeColor="text1"/>
        </w:rPr>
        <w:t>villosa</w:t>
      </w:r>
      <w:proofErr w:type="spellEnd"/>
      <w:r w:rsidRPr="000E4C0F">
        <w:rPr>
          <w:bCs/>
          <w:color w:val="000000" w:themeColor="text1"/>
        </w:rPr>
        <w:t>), crimson clover (</w:t>
      </w:r>
      <w:r w:rsidRPr="000E4C0F">
        <w:rPr>
          <w:bCs/>
          <w:i/>
          <w:iCs/>
          <w:color w:val="000000" w:themeColor="text1"/>
        </w:rPr>
        <w:t xml:space="preserve">Trifolium </w:t>
      </w:r>
      <w:proofErr w:type="spellStart"/>
      <w:r w:rsidRPr="000E4C0F">
        <w:rPr>
          <w:bCs/>
          <w:i/>
          <w:iCs/>
          <w:color w:val="000000" w:themeColor="text1"/>
        </w:rPr>
        <w:t>incarnatum</w:t>
      </w:r>
      <w:proofErr w:type="spellEnd"/>
      <w:r w:rsidRPr="000E4C0F">
        <w:rPr>
          <w:bCs/>
          <w:color w:val="000000" w:themeColor="text1"/>
        </w:rPr>
        <w:t>), rapeseed (</w:t>
      </w:r>
      <w:r w:rsidRPr="000E4C0F">
        <w:rPr>
          <w:bCs/>
          <w:i/>
          <w:iCs/>
          <w:color w:val="000000" w:themeColor="text1"/>
        </w:rPr>
        <w:t>Brassica napus var.</w:t>
      </w:r>
      <w:r w:rsidRPr="000E4C0F">
        <w:rPr>
          <w:rStyle w:val="apple-converted-space"/>
          <w:rFonts w:eastAsiaTheme="majorEastAsia"/>
          <w:bCs/>
          <w:color w:val="000000" w:themeColor="text1"/>
          <w:shd w:val="clear" w:color="auto" w:fill="FFFFFF"/>
        </w:rPr>
        <w:t> </w:t>
      </w:r>
      <w:r w:rsidRPr="000E4C0F">
        <w:rPr>
          <w:bCs/>
          <w:i/>
          <w:iCs/>
          <w:color w:val="000000" w:themeColor="text1"/>
        </w:rPr>
        <w:t>napus</w:t>
      </w:r>
      <w:r w:rsidRPr="000E4C0F">
        <w:rPr>
          <w:bCs/>
          <w:color w:val="000000" w:themeColor="text1"/>
        </w:rPr>
        <w:t>), winter oats (</w:t>
      </w:r>
      <w:r w:rsidRPr="000E4C0F">
        <w:rPr>
          <w:bCs/>
          <w:i/>
          <w:iCs/>
          <w:color w:val="000000" w:themeColor="text1"/>
        </w:rPr>
        <w:t>Avena sativa</w:t>
      </w:r>
      <w:r w:rsidRPr="000E4C0F">
        <w:rPr>
          <w:bCs/>
          <w:color w:val="000000" w:themeColor="text1"/>
        </w:rPr>
        <w:t>), triticale (</w:t>
      </w:r>
      <w:proofErr w:type="spellStart"/>
      <w:r w:rsidRPr="000E4C0F">
        <w:rPr>
          <w:bCs/>
          <w:i/>
          <w:iCs/>
          <w:color w:val="000000" w:themeColor="text1"/>
          <w:shd w:val="clear" w:color="auto" w:fill="FFFFFF"/>
        </w:rPr>
        <w:t>Triticosecale</w:t>
      </w:r>
      <w:proofErr w:type="spellEnd"/>
      <w:r w:rsidRPr="000E4C0F">
        <w:rPr>
          <w:bCs/>
          <w:i/>
          <w:iCs/>
          <w:color w:val="000000" w:themeColor="text1"/>
          <w:shd w:val="clear" w:color="auto" w:fill="FFFFFF"/>
        </w:rPr>
        <w:t xml:space="preserve"> </w:t>
      </w:r>
      <w:proofErr w:type="spellStart"/>
      <w:r w:rsidRPr="000E4C0F">
        <w:rPr>
          <w:bCs/>
          <w:i/>
          <w:iCs/>
          <w:color w:val="000000" w:themeColor="text1"/>
          <w:shd w:val="clear" w:color="auto" w:fill="FFFFFF"/>
        </w:rPr>
        <w:t>Wittmack</w:t>
      </w:r>
      <w:proofErr w:type="spellEnd"/>
      <w:r w:rsidRPr="000E4C0F">
        <w:rPr>
          <w:bCs/>
          <w:color w:val="000000" w:themeColor="text1"/>
        </w:rPr>
        <w:t>), and daikon radish (</w:t>
      </w:r>
      <w:r w:rsidRPr="000E4C0F">
        <w:rPr>
          <w:bCs/>
          <w:i/>
          <w:iCs/>
          <w:color w:val="000000" w:themeColor="text1"/>
        </w:rPr>
        <w:t>Raphanus sativus var.</w:t>
      </w:r>
      <w:r w:rsidRPr="000E4C0F">
        <w:rPr>
          <w:rStyle w:val="apple-converted-space"/>
          <w:rFonts w:eastAsiaTheme="majorEastAsia"/>
          <w:bCs/>
          <w:color w:val="000000" w:themeColor="text1"/>
          <w:shd w:val="clear" w:color="auto" w:fill="FFFFFF"/>
        </w:rPr>
        <w:t> </w:t>
      </w:r>
      <w:r w:rsidRPr="000E4C0F">
        <w:rPr>
          <w:bCs/>
          <w:i/>
          <w:iCs/>
          <w:color w:val="000000" w:themeColor="text1"/>
        </w:rPr>
        <w:t>Longipinnatus</w:t>
      </w:r>
      <w:r w:rsidRPr="000E4C0F">
        <w:rPr>
          <w:bCs/>
          <w:color w:val="000000" w:themeColor="text1"/>
        </w:rPr>
        <w:t xml:space="preserve">). In the years where a legume summer cash crop was planted (i.e., soybeans or peanuts), a grass monoculture of rye or winter wheat was planted to avoid potential detrimental effects from successively growing two crops in the same plant family </w:t>
      </w:r>
      <w:r w:rsidRPr="000E4C0F">
        <w:rPr>
          <w:bCs/>
          <w:color w:val="000000" w:themeColor="text1"/>
        </w:rPr>
        <w:fldChar w:fldCharType="begin"/>
      </w:r>
      <w:r w:rsidRPr="000E4C0F">
        <w:rPr>
          <w:bCs/>
          <w:color w:val="000000" w:themeColor="text1"/>
        </w:rPr>
        <w:instrText xml:space="preserve"> ADDIN ZOTERO_ITEM CSL_CITATION {"citationID":"aoqTNlnL","properties":{"formattedCitation":"(Reddy, 2017)","plainCitation":"(Reddy, 2017)","noteIndex":0},"citationItems":[{"id":294,"uris":["http://zotero.org/users/9588463/items/56SM62QH"],"itemData":{"id":294,"type":"chapter","container-title":"Agro-ecological Approaches to Pest Management for Sustainable Agriculture","event-place":"Singapore","ISBN":"978-981-10-4324-6","language":"en","note":"DOI: 10.1007/978-981-10-4325-3_15","page":"229-242","publisher":"Springer Singapore","publisher-place":"Singapore","source":"DOI.org (Crossref)","title":"Crop Rotation","URL":"http://link.springer.com/10.1007/978-981-10-4325-3_15","container-author":[{"family":"Reddy","given":"P. Parvatha"}],"author":[{"family":"Reddy","given":"P. Parvatha"}],"accessed":{"date-parts":[["2023",11,13]]},"issued":{"date-parts":[["2017"]]}}}],"schema":"https://github.com/citation-style-language/schema/raw/master/csl-citation.json"} </w:instrText>
      </w:r>
      <w:r w:rsidRPr="000E4C0F">
        <w:rPr>
          <w:bCs/>
          <w:color w:val="000000" w:themeColor="text1"/>
        </w:rPr>
        <w:fldChar w:fldCharType="separate"/>
      </w:r>
      <w:r w:rsidRPr="000E4C0F">
        <w:rPr>
          <w:bCs/>
          <w:noProof/>
          <w:color w:val="000000" w:themeColor="text1"/>
        </w:rPr>
        <w:t>(Reddy, 2017)</w:t>
      </w:r>
      <w:r w:rsidRPr="000E4C0F">
        <w:rPr>
          <w:bCs/>
          <w:color w:val="000000" w:themeColor="text1"/>
        </w:rPr>
        <w:fldChar w:fldCharType="end"/>
      </w:r>
      <w:r w:rsidRPr="000E4C0F">
        <w:rPr>
          <w:bCs/>
          <w:color w:val="000000" w:themeColor="text1"/>
        </w:rPr>
        <w:t xml:space="preserve">. In 2022, there was an </w:t>
      </w:r>
      <w:r w:rsidRPr="000E4C0F">
        <w:rPr>
          <w:bCs/>
          <w:color w:val="000000" w:themeColor="text1"/>
        </w:rPr>
        <w:lastRenderedPageBreak/>
        <w:t xml:space="preserve">exception due to a delay in planting date: soybeans followed a legume/grass cover crop mix because soybeans have a later planting time than cotton, which was originally planned for the next rotation.  No cover crops were planted in winter 2020-2021 due to complications from the COVID-19 pandemic. Cover crops were terminated using glyphosate and </w:t>
      </w:r>
      <w:proofErr w:type="spellStart"/>
      <w:r w:rsidRPr="000E4C0F">
        <w:rPr>
          <w:bCs/>
          <w:color w:val="000000" w:themeColor="text1"/>
        </w:rPr>
        <w:t>glufosinate</w:t>
      </w:r>
      <w:proofErr w:type="spellEnd"/>
      <w:r w:rsidRPr="000E4C0F">
        <w:rPr>
          <w:bCs/>
          <w:color w:val="000000" w:themeColor="text1"/>
        </w:rPr>
        <w:t xml:space="preserve"> about 2-3 weeks before summer cash crop planting. The winter cash crop changed throughout the years, but was winter wheat (</w:t>
      </w:r>
      <w:r w:rsidRPr="000E4C0F">
        <w:rPr>
          <w:bCs/>
          <w:i/>
          <w:iCs/>
          <w:color w:val="000000" w:themeColor="text1"/>
        </w:rPr>
        <w:t>Triticum aestivum</w:t>
      </w:r>
      <w:r w:rsidRPr="000E4C0F">
        <w:rPr>
          <w:bCs/>
          <w:color w:val="000000" w:themeColor="text1"/>
        </w:rPr>
        <w:t>), rapeseed (</w:t>
      </w:r>
      <w:r w:rsidRPr="000E4C0F">
        <w:rPr>
          <w:bCs/>
          <w:i/>
          <w:iCs/>
          <w:color w:val="000000" w:themeColor="text1"/>
        </w:rPr>
        <w:t>Brassica napus var.</w:t>
      </w:r>
      <w:r w:rsidRPr="000E4C0F">
        <w:rPr>
          <w:rStyle w:val="apple-converted-space"/>
          <w:rFonts w:eastAsiaTheme="majorEastAsia"/>
          <w:bCs/>
          <w:color w:val="000000" w:themeColor="text1"/>
          <w:shd w:val="clear" w:color="auto" w:fill="FFFFFF"/>
        </w:rPr>
        <w:t> </w:t>
      </w:r>
      <w:r w:rsidRPr="000E4C0F">
        <w:rPr>
          <w:bCs/>
          <w:i/>
          <w:iCs/>
          <w:color w:val="000000" w:themeColor="text1"/>
        </w:rPr>
        <w:t>napus</w:t>
      </w:r>
      <w:r w:rsidRPr="000E4C0F">
        <w:rPr>
          <w:bCs/>
          <w:color w:val="000000" w:themeColor="text1"/>
        </w:rPr>
        <w:t>), and cereal rye (</w:t>
      </w:r>
      <w:r w:rsidRPr="000E4C0F">
        <w:rPr>
          <w:bCs/>
          <w:i/>
          <w:iCs/>
          <w:color w:val="000000" w:themeColor="text1"/>
        </w:rPr>
        <w:t>Secale cereale L</w:t>
      </w:r>
      <w:r w:rsidRPr="000E4C0F">
        <w:rPr>
          <w:bCs/>
          <w:color w:val="000000" w:themeColor="text1"/>
        </w:rPr>
        <w:t>.). In the fallow treatment, no winter crops were grown other than weeds. The winter cover treatments started in the winter of 2017-2018 and were maintained until 2023 (Figure 1).</w:t>
      </w:r>
    </w:p>
    <w:p w14:paraId="1CA86FBD" w14:textId="77777777" w:rsidR="000E4C0F" w:rsidRPr="000E4C0F" w:rsidRDefault="000E4C0F" w:rsidP="000E4C0F">
      <w:pPr>
        <w:spacing w:line="480" w:lineRule="auto"/>
        <w:ind w:firstLine="720"/>
        <w:rPr>
          <w:bCs/>
          <w:color w:val="000000" w:themeColor="text1"/>
        </w:rPr>
      </w:pPr>
      <w:r w:rsidRPr="000E4C0F">
        <w:rPr>
          <w:bCs/>
          <w:color w:val="000000" w:themeColor="text1"/>
        </w:rPr>
        <w:t>The summer cash crops were rotated each year (Table 4). Field corn was planted in 2017 and upland cotton was planted in 2018. In 2019, soybeans were planted in the no-tillage and minimal tillage plots, and peanuts were planted in the conventional and strip tillage plot, since peanut production is incompatible with continuous no-tillage or minimal tillage systems. Cotton was planted in 2020 but was not harvested due to yield loss from weather. Field corn was planted in 2021 and soybeans were planted in 2022. The field was managed to Virginia Cooperative Extension recommendations every year.</w:t>
      </w:r>
    </w:p>
    <w:p w14:paraId="04D370E4" w14:textId="77777777" w:rsidR="000E4C0F" w:rsidRPr="000E4C0F" w:rsidRDefault="000E4C0F" w:rsidP="000E4C0F">
      <w:pPr>
        <w:spacing w:line="480" w:lineRule="auto"/>
        <w:rPr>
          <w:bCs/>
          <w:i/>
          <w:color w:val="000000" w:themeColor="text1"/>
        </w:rPr>
      </w:pPr>
      <w:bookmarkStart w:id="4" w:name="_Toc139968598"/>
      <w:r w:rsidRPr="000E4C0F">
        <w:rPr>
          <w:bCs/>
          <w:color w:val="000000" w:themeColor="text1"/>
        </w:rPr>
        <w:t xml:space="preserve">1.2.3 </w:t>
      </w:r>
      <w:r w:rsidRPr="000E4C0F">
        <w:rPr>
          <w:bCs/>
          <w:i/>
          <w:color w:val="000000" w:themeColor="text1"/>
        </w:rPr>
        <w:t>Soil Measurements</w:t>
      </w:r>
      <w:bookmarkEnd w:id="4"/>
    </w:p>
    <w:p w14:paraId="3E9E9C64"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shd w:val="clear" w:color="auto" w:fill="FFFFFF"/>
        </w:rPr>
        <w:t>All field tests for bulk density, penetration resistance, and field-saturated hydraulic conductivity (K</w:t>
      </w:r>
      <w:r w:rsidRPr="000E4C0F">
        <w:rPr>
          <w:bCs/>
          <w:color w:val="000000" w:themeColor="text1"/>
          <w:shd w:val="clear" w:color="auto" w:fill="FFFFFF"/>
          <w:vertAlign w:val="subscript"/>
        </w:rPr>
        <w:t>sat</w:t>
      </w:r>
      <w:r w:rsidRPr="000E4C0F">
        <w:rPr>
          <w:bCs/>
          <w:color w:val="000000" w:themeColor="text1"/>
          <w:shd w:val="clear" w:color="auto" w:fill="FFFFFF"/>
        </w:rPr>
        <w:t>) occurred each summer, approximately 1 month after tillage. Therefore, we expected that those measurements were likely to be strongly influenced by the recent tillage implementation. We collected a second set of measurements in March 2023, 9 months after tillage, to examine soil physical properties after a longer post-tillage interval (Figure 1).</w:t>
      </w:r>
    </w:p>
    <w:p w14:paraId="65E27FB1" w14:textId="77777777" w:rsidR="000E4C0F" w:rsidRPr="000E4C0F" w:rsidRDefault="000E4C0F" w:rsidP="000E4C0F">
      <w:pPr>
        <w:spacing w:line="480" w:lineRule="auto"/>
        <w:ind w:firstLine="720"/>
        <w:rPr>
          <w:bCs/>
          <w:color w:val="000000" w:themeColor="text1"/>
        </w:rPr>
      </w:pPr>
      <w:r w:rsidRPr="000E4C0F">
        <w:rPr>
          <w:bCs/>
          <w:color w:val="000000" w:themeColor="text1"/>
        </w:rPr>
        <w:lastRenderedPageBreak/>
        <w:t>Soil bulk density was measured using intact cylindrical cores (5 cm diameter by 5 cm height) from each plot at depths of 0-5 cm, 5-10 cm, and 10-15 cm. Samples were oven-dried at 105 °C for 24 h. Bulk density was then calculated as dried soil mass (g) divided by core ring volume (98.2 cm</w:t>
      </w:r>
      <w:r w:rsidRPr="000E4C0F">
        <w:rPr>
          <w:bCs/>
          <w:color w:val="000000" w:themeColor="text1"/>
          <w:vertAlign w:val="superscript"/>
        </w:rPr>
        <w:t>3</w:t>
      </w:r>
      <w:r w:rsidRPr="000E4C0F">
        <w:rPr>
          <w:bCs/>
          <w:color w:val="000000" w:themeColor="text1"/>
        </w:rPr>
        <w:t>). Particle density was assumed to equal 2.65 g</w:t>
      </w:r>
      <w:r w:rsidR="00F0119A">
        <w:rPr>
          <w:bCs/>
          <w:color w:val="000000" w:themeColor="text1"/>
        </w:rPr>
        <w:t xml:space="preserve"> </w:t>
      </w:r>
      <w:r w:rsidRPr="000E4C0F">
        <w:rPr>
          <w:bCs/>
          <w:color w:val="000000" w:themeColor="text1"/>
        </w:rPr>
        <w:t>cm</w:t>
      </w:r>
      <w:r w:rsidR="00F0119A">
        <w:rPr>
          <w:bCs/>
          <w:color w:val="000000" w:themeColor="text1"/>
          <w:vertAlign w:val="superscript"/>
        </w:rPr>
        <w:t>-</w:t>
      </w:r>
      <w:r w:rsidRPr="000E4C0F">
        <w:rPr>
          <w:bCs/>
          <w:color w:val="000000" w:themeColor="text1"/>
          <w:vertAlign w:val="superscript"/>
        </w:rPr>
        <w:t>3</w:t>
      </w:r>
      <w:r w:rsidRPr="000E4C0F">
        <w:rPr>
          <w:bCs/>
          <w:color w:val="000000" w:themeColor="text1"/>
        </w:rPr>
        <w:t>. Bulk density was sampled in June 2019, July 2022, and March 2023.</w:t>
      </w:r>
    </w:p>
    <w:p w14:paraId="3D49A190" w14:textId="77777777" w:rsidR="000E4C0F" w:rsidRPr="000E4C0F" w:rsidRDefault="000E4C0F" w:rsidP="000E4C0F">
      <w:pPr>
        <w:widowControl w:val="0"/>
        <w:autoSpaceDE w:val="0"/>
        <w:autoSpaceDN w:val="0"/>
        <w:adjustRightInd w:val="0"/>
        <w:spacing w:line="480" w:lineRule="auto"/>
        <w:ind w:firstLine="720"/>
        <w:rPr>
          <w:bCs/>
          <w:color w:val="000000" w:themeColor="text1"/>
        </w:rPr>
      </w:pPr>
      <w:r w:rsidRPr="000E4C0F">
        <w:rPr>
          <w:bCs/>
          <w:color w:val="000000" w:themeColor="text1"/>
        </w:rPr>
        <w:t xml:space="preserve">Soil penetration resistance was measured with an analog dial penetrometer (DICKEY-john, Auburn, IL, U.S.). Two measurements were taken from each plot at 0 cm, 15 cm, 30 cm, and 45 cm perpendicular to the row center. The measurements were taken in July 2018, 2019, 2021, 2022, and March 2023. Samples were taken after large precipitation events when the soil water content was at approximately field capacity </w:t>
      </w:r>
      <w:r w:rsidRPr="000E4C0F">
        <w:rPr>
          <w:bCs/>
          <w:color w:val="000000" w:themeColor="text1"/>
        </w:rPr>
        <w:fldChar w:fldCharType="begin"/>
      </w:r>
      <w:r w:rsidRPr="000E4C0F">
        <w:rPr>
          <w:bCs/>
          <w:color w:val="000000" w:themeColor="text1"/>
        </w:rPr>
        <w:instrText xml:space="preserve"> ADDIN ZOTERO_ITEM CSL_CITATION {"citationID":"BRBVMUtL","properties":{"formattedCitation":"(Busscher et al., 1987)","plainCitation":"(Busscher et al., 1987)","noteIndex":0},"citationItems":[{"id":227,"uris":["http://zotero.org/users/9588463/items/QSGWCV3G"],"itemData":{"id":227,"type":"article-journal","container-title":"Soil and Tillage Research","DOI":"10.1016/0167-1987(87)90062-6","ISSN":"01671987","issue":"4","journalAbbreviation":"Soil and Tillage Research","language":"en","page":"377-386","source":"DOI.org (Crossref)","title":"Estimation of soil strength properties for critical rooting conditions","volume":"9","author":[{"family":"Busscher","given":"W.J."},{"family":"Spivey","given":"L.D."},{"family":"Campbell","given":"R.B."}],"issued":{"date-parts":[["1987",7]]}}}],"schema":"https://github.com/citation-style-language/schema/raw/master/csl-citation.json"} </w:instrText>
      </w:r>
      <w:r w:rsidRPr="000E4C0F">
        <w:rPr>
          <w:bCs/>
          <w:color w:val="000000" w:themeColor="text1"/>
        </w:rPr>
        <w:fldChar w:fldCharType="separate"/>
      </w:r>
      <w:r w:rsidRPr="000E4C0F">
        <w:rPr>
          <w:bCs/>
          <w:noProof/>
          <w:color w:val="000000" w:themeColor="text1"/>
        </w:rPr>
        <w:t>(Busscher et al., 1987)</w:t>
      </w:r>
      <w:r w:rsidRPr="000E4C0F">
        <w:rPr>
          <w:bCs/>
          <w:color w:val="000000" w:themeColor="text1"/>
        </w:rPr>
        <w:fldChar w:fldCharType="end"/>
      </w:r>
      <w:r w:rsidRPr="000E4C0F">
        <w:rPr>
          <w:bCs/>
          <w:color w:val="000000" w:themeColor="text1"/>
        </w:rPr>
        <w:t xml:space="preserve">; however, the soil moisture was not recorded in 2019-2021. Since soil moisture affects penetration resistance </w:t>
      </w:r>
      <w:r w:rsidRPr="000E4C0F">
        <w:rPr>
          <w:bCs/>
          <w:color w:val="000000" w:themeColor="text1"/>
        </w:rPr>
        <w:fldChar w:fldCharType="begin"/>
      </w:r>
      <w:r w:rsidRPr="000E4C0F">
        <w:rPr>
          <w:bCs/>
          <w:color w:val="000000" w:themeColor="text1"/>
        </w:rPr>
        <w:instrText xml:space="preserve"> ADDIN ZOTERO_ITEM CSL_CITATION {"citationID":"S0PrKlBO","properties":{"formattedCitation":"(Busscher et al., 1987; Vaz et al., 2011)","plainCitation":"(Busscher et al., 1987; Vaz et al., 2011)","noteIndex":0},"citationItems":[{"id":228,"uris":["http://zotero.org/users/9588463/items/JRDN7XSF"],"itemData":{"id":228,"type":"article-journal","container-title":"Geoderma","DOI":"10.1016/j.geoderma.2011.07.016","ISSN":"00167061","issue":"1","journalAbbreviation":"Geoderma","language":"en","page":"92-101","source":"DOI.org (Crossref)","title":"Modeling and correction of soil penetration resistance for varying soil water content","volume":"166","author":[{"family":"Vaz","given":"Carlos M.P."},{"family":"Manieri","given":"Juliana M."},{"family":"Maria","given":"Isabella C.","non-dropping-particle":"de"},{"family":"Tuller","given":"Markus"}],"issued":{"date-parts":[["2011",10]]}}},{"id":227,"uris":["http://zotero.org/users/9588463/items/QSGWCV3G"],"itemData":{"id":227,"type":"article-journal","container-title":"Soil and Tillage Research","DOI":"10.1016/0167-1987(87)90062-6","ISSN":"01671987","issue":"4","journalAbbreviation":"Soil and Tillage Research","language":"en","page":"377-386","source":"DOI.org (Crossref)","title":"Estimation of soil strength properties for critical rooting conditions","volume":"9","author":[{"family":"Busscher","given":"W.J."},{"family":"Spivey","given":"L.D."},{"family":"Campbell","given":"R.B."}],"issued":{"date-parts":[["1987",7]]}}}],"schema":"https://github.com/citation-style-language/schema/raw/master/csl-citation.json"} </w:instrText>
      </w:r>
      <w:r w:rsidRPr="000E4C0F">
        <w:rPr>
          <w:bCs/>
          <w:color w:val="000000" w:themeColor="text1"/>
        </w:rPr>
        <w:fldChar w:fldCharType="separate"/>
      </w:r>
      <w:r w:rsidRPr="000E4C0F">
        <w:rPr>
          <w:bCs/>
          <w:noProof/>
          <w:color w:val="000000" w:themeColor="text1"/>
        </w:rPr>
        <w:t>(Busscher et al., 1987; Vaz et al., 2011)</w:t>
      </w:r>
      <w:r w:rsidRPr="000E4C0F">
        <w:rPr>
          <w:bCs/>
          <w:color w:val="000000" w:themeColor="text1"/>
        </w:rPr>
        <w:fldChar w:fldCharType="end"/>
      </w:r>
      <w:r w:rsidRPr="000E4C0F">
        <w:rPr>
          <w:bCs/>
          <w:color w:val="000000" w:themeColor="text1"/>
        </w:rPr>
        <w:t>, we compared penetration resistance between treatments for each year, but did not compare between years.</w:t>
      </w:r>
    </w:p>
    <w:p w14:paraId="4CC7D93E" w14:textId="77777777" w:rsidR="000E4C0F" w:rsidRPr="000E4C0F" w:rsidRDefault="000E4C0F" w:rsidP="000E4C0F">
      <w:pPr>
        <w:widowControl w:val="0"/>
        <w:autoSpaceDE w:val="0"/>
        <w:autoSpaceDN w:val="0"/>
        <w:adjustRightInd w:val="0"/>
        <w:spacing w:line="480" w:lineRule="auto"/>
        <w:ind w:firstLine="720"/>
        <w:rPr>
          <w:bCs/>
          <w:color w:val="000000" w:themeColor="text1"/>
        </w:rPr>
      </w:pPr>
      <w:r w:rsidRPr="000E4C0F">
        <w:rPr>
          <w:bCs/>
          <w:color w:val="000000" w:themeColor="text1"/>
        </w:rPr>
        <w:t xml:space="preserve"> Field-saturated hydraulic conductivity (K</w:t>
      </w:r>
      <w:r w:rsidRPr="000E4C0F">
        <w:rPr>
          <w:bCs/>
          <w:color w:val="000000" w:themeColor="text1"/>
          <w:vertAlign w:val="subscript"/>
        </w:rPr>
        <w:t>sat</w:t>
      </w:r>
      <w:r w:rsidRPr="000E4C0F">
        <w:rPr>
          <w:bCs/>
          <w:color w:val="000000" w:themeColor="text1"/>
        </w:rPr>
        <w:t xml:space="preserve">) was measured in July 2022 and March 2023 using 15 cm diameter single-ring infiltrometers. Four rings were inserted a depth of about 4 cm into every plot except the winter cash crop subplots, which were excluded due to time constraints. Water was added in 100 mL increments (designed to maintain a relatively constant head), until either the total volume added equaled 1000 mL or an hour had passed since the first addition of water. Initial volumetric water content was estimated using a </w:t>
      </w:r>
      <w:r w:rsidRPr="000E4C0F">
        <w:rPr>
          <w:bCs/>
          <w:color w:val="000000" w:themeColor="text1"/>
        </w:rPr>
        <w:sym w:font="Symbol" w:char="F044"/>
      </w:r>
      <w:r w:rsidRPr="000E4C0F">
        <w:rPr>
          <w:bCs/>
          <w:color w:val="000000" w:themeColor="text1"/>
        </w:rPr>
        <w:t>T Profile Probe (Delta-T Devices Ltd, Cambridge, UK) and final volumetric water content was assumed to be equal to the soil porosity. K</w:t>
      </w:r>
      <w:r w:rsidRPr="000E4C0F">
        <w:rPr>
          <w:bCs/>
          <w:color w:val="000000" w:themeColor="text1"/>
          <w:vertAlign w:val="subscript"/>
        </w:rPr>
        <w:t>sat</w:t>
      </w:r>
      <w:r w:rsidRPr="000E4C0F">
        <w:rPr>
          <w:bCs/>
          <w:color w:val="000000" w:themeColor="text1"/>
        </w:rPr>
        <w:t xml:space="preserve"> was estimated using the single ring infiltration model described in </w:t>
      </w:r>
      <w:r w:rsidRPr="000E4C0F">
        <w:rPr>
          <w:bCs/>
          <w:color w:val="000000" w:themeColor="text1"/>
        </w:rPr>
        <w:fldChar w:fldCharType="begin"/>
      </w:r>
      <w:r w:rsidRPr="000E4C0F">
        <w:rPr>
          <w:bCs/>
          <w:color w:val="000000" w:themeColor="text1"/>
        </w:rPr>
        <w:instrText xml:space="preserve"> ADDIN ZOTERO_ITEM CSL_CITATION {"citationID":"t2UUNMEP","properties":{"formattedCitation":"(Stewart &amp; Abou Najm, 2018)","plainCitation":"(Stewart &amp; Abou Najm, 2018)","dontUpdate":true,"noteIndex":0},"citationItems":[{"id":159,"uris":["http://zotero.org/users/9588463/items/VQQXRFU6"],"itemData":{"id":159,"type":"article-journal","container-title":"Soil Science Society of America Journal","DOI":"10.2136/sssaj2017.09.0314","ISSN":"0361-5995, 1435-0661","issue":"3","journalAbbreviation":"Soil Sci. Soc. Am. j.","language":"en","page":"558-567","source":"DOI.org (Crossref)","title":"A Comprehensive Model for Single Ring Infiltration II: Estimating Field‐Saturated Hydraulic Conductivity","title-short":"A Comprehensive Model for Single Ring Infiltration II","volume":"82","author":[{"family":"Stewart","given":"Ryan D."},{"family":"Abou Najm","given":"Majdi R."}],"issued":{"date-parts":[["2018",5]]}}}],"schema":"https://github.com/citation-style-language/schema/raw/master/csl-citation.json"} </w:instrText>
      </w:r>
      <w:r w:rsidRPr="000E4C0F">
        <w:rPr>
          <w:bCs/>
          <w:color w:val="000000" w:themeColor="text1"/>
        </w:rPr>
        <w:fldChar w:fldCharType="separate"/>
      </w:r>
      <w:r w:rsidRPr="000E4C0F">
        <w:rPr>
          <w:bCs/>
          <w:color w:val="000000" w:themeColor="text1"/>
        </w:rPr>
        <w:t>Stewart &amp; Abou Najm (2018)</w:t>
      </w:r>
      <w:r w:rsidRPr="000E4C0F">
        <w:rPr>
          <w:bCs/>
          <w:color w:val="000000" w:themeColor="text1"/>
        </w:rPr>
        <w:fldChar w:fldCharType="end"/>
      </w:r>
      <w:r w:rsidRPr="000E4C0F">
        <w:rPr>
          <w:bCs/>
          <w:color w:val="000000" w:themeColor="text1"/>
        </w:rPr>
        <w:t xml:space="preserve"> for steady state conditions:  </w:t>
      </w:r>
    </w:p>
    <w:p w14:paraId="29E607C0" w14:textId="77777777" w:rsidR="000E4C0F" w:rsidRPr="000E4C0F" w:rsidRDefault="005E00E4" w:rsidP="000E4C0F">
      <w:pPr>
        <w:widowControl w:val="0"/>
        <w:tabs>
          <w:tab w:val="left" w:pos="8640"/>
        </w:tabs>
        <w:autoSpaceDE w:val="0"/>
        <w:autoSpaceDN w:val="0"/>
        <w:adjustRightInd w:val="0"/>
        <w:spacing w:line="480" w:lineRule="auto"/>
        <w:ind w:firstLine="720"/>
        <w:rPr>
          <w:rFonts w:eastAsiaTheme="minorEastAsia"/>
          <w:bCs/>
          <w:color w:val="000000" w:themeColor="text1"/>
        </w:rPr>
      </w:pPr>
      <m:oMath>
        <m:sSub>
          <m:sSubPr>
            <m:ctrlPr>
              <w:rPr>
                <w:rFonts w:ascii="Cambria Math" w:hAnsi="Cambria Math"/>
                <w:bCs/>
                <w:i/>
                <w:color w:val="000000" w:themeColor="text1"/>
              </w:rPr>
            </m:ctrlPr>
          </m:sSubPr>
          <m:e>
            <m:r>
              <w:rPr>
                <w:rFonts w:ascii="Cambria Math" w:hAnsi="Cambria Math"/>
                <w:color w:val="000000" w:themeColor="text1"/>
              </w:rPr>
              <m:t>K</m:t>
            </m:r>
          </m:e>
          <m:sub>
            <m:r>
              <w:rPr>
                <w:rFonts w:ascii="Cambria Math" w:hAnsi="Cambria Math"/>
                <w:color w:val="000000" w:themeColor="text1"/>
              </w:rPr>
              <m:t>sat</m:t>
            </m:r>
          </m:sub>
        </m:sSub>
        <m:r>
          <w:rPr>
            <w:rFonts w:ascii="Cambria Math" w:hAnsi="Cambria Math"/>
            <w:color w:val="000000" w:themeColor="text1"/>
          </w:rPr>
          <m:t>=</m:t>
        </m:r>
        <m:f>
          <m:fPr>
            <m:ctrlPr>
              <w:rPr>
                <w:rFonts w:ascii="Cambria Math" w:hAnsi="Cambria Math"/>
                <w:bCs/>
                <w:i/>
                <w:color w:val="000000" w:themeColor="text1"/>
              </w:rPr>
            </m:ctrlPr>
          </m:fPr>
          <m:num>
            <m:r>
              <w:rPr>
                <w:rFonts w:ascii="Cambria Math" w:hAnsi="Cambria Math"/>
                <w:color w:val="000000" w:themeColor="text1"/>
              </w:rPr>
              <m:t>m(d+r/2)</m:t>
            </m:r>
          </m:num>
          <m:den>
            <m:r>
              <w:rPr>
                <w:rFonts w:ascii="Cambria Math" w:hAnsi="Cambria Math"/>
                <w:color w:val="000000" w:themeColor="text1"/>
              </w:rPr>
              <m:t>λ+</m:t>
            </m:r>
            <m:sSub>
              <m:sSubPr>
                <m:ctrlPr>
                  <w:rPr>
                    <w:rFonts w:ascii="Cambria Math" w:hAnsi="Cambria Math"/>
                    <w:bCs/>
                    <w:i/>
                    <w:color w:val="000000" w:themeColor="text1"/>
                  </w:rPr>
                </m:ctrlPr>
              </m:sSubPr>
              <m:e>
                <m:r>
                  <w:rPr>
                    <w:rFonts w:ascii="Cambria Math" w:hAnsi="Cambria Math"/>
                    <w:color w:val="000000" w:themeColor="text1"/>
                  </w:rPr>
                  <m:t>h</m:t>
                </m:r>
              </m:e>
              <m:sub>
                <m:r>
                  <w:rPr>
                    <w:rFonts w:ascii="Cambria Math" w:hAnsi="Cambria Math"/>
                    <w:color w:val="000000" w:themeColor="text1"/>
                  </w:rPr>
                  <m:t>source</m:t>
                </m:r>
              </m:sub>
            </m:sSub>
            <m:r>
              <w:rPr>
                <w:rFonts w:ascii="Cambria Math" w:hAnsi="Cambria Math"/>
                <w:color w:val="000000" w:themeColor="text1"/>
              </w:rPr>
              <m:t>+d+r/2</m:t>
            </m:r>
          </m:den>
        </m:f>
      </m:oMath>
      <w:r w:rsidR="000E4C0F" w:rsidRPr="000E4C0F">
        <w:rPr>
          <w:rFonts w:eastAsiaTheme="minorEastAsia"/>
          <w:bCs/>
          <w:color w:val="000000" w:themeColor="text1"/>
        </w:rPr>
        <w:tab/>
        <w:t>(2)</w:t>
      </w:r>
    </w:p>
    <w:p w14:paraId="78C41DA0" w14:textId="77777777" w:rsidR="000E4C0F" w:rsidRPr="000E4C0F" w:rsidRDefault="000E4C0F" w:rsidP="000E4C0F">
      <w:pPr>
        <w:widowControl w:val="0"/>
        <w:autoSpaceDE w:val="0"/>
        <w:autoSpaceDN w:val="0"/>
        <w:adjustRightInd w:val="0"/>
        <w:spacing w:line="480" w:lineRule="auto"/>
        <w:rPr>
          <w:rFonts w:eastAsiaTheme="minorEastAsia"/>
          <w:bCs/>
          <w:color w:val="000000" w:themeColor="text1"/>
        </w:rPr>
      </w:pPr>
      <w:r w:rsidRPr="000E4C0F">
        <w:rPr>
          <w:rFonts w:eastAsiaTheme="minorEastAsia"/>
          <w:bCs/>
          <w:color w:val="000000" w:themeColor="text1"/>
        </w:rPr>
        <w:lastRenderedPageBreak/>
        <w:t>where</w:t>
      </w:r>
      <w:r w:rsidRPr="000E4C0F">
        <w:rPr>
          <w:bCs/>
          <w:color w:val="000000" w:themeColor="text1"/>
        </w:rPr>
        <w:t xml:space="preserve"> </w:t>
      </w:r>
      <w:r w:rsidRPr="000E4C0F">
        <w:rPr>
          <w:bCs/>
          <w:i/>
          <w:iCs/>
          <w:color w:val="000000" w:themeColor="text1"/>
        </w:rPr>
        <w:t>m</w:t>
      </w:r>
      <w:r w:rsidRPr="000E4C0F">
        <w:rPr>
          <w:bCs/>
          <w:color w:val="000000" w:themeColor="text1"/>
        </w:rPr>
        <w:t xml:space="preserve"> is the slope of the regression line between cumulative infiltration (</w:t>
      </w:r>
      <w:r w:rsidRPr="000E4C0F">
        <w:rPr>
          <w:bCs/>
          <w:i/>
          <w:iCs/>
          <w:color w:val="000000" w:themeColor="text1"/>
        </w:rPr>
        <w:t>I</w:t>
      </w:r>
      <w:r w:rsidRPr="000E4C0F">
        <w:rPr>
          <w:bCs/>
          <w:color w:val="000000" w:themeColor="text1"/>
        </w:rPr>
        <w:t>) and time (</w:t>
      </w:r>
      <w:r w:rsidRPr="000E4C0F">
        <w:rPr>
          <w:bCs/>
          <w:i/>
          <w:iCs/>
          <w:color w:val="000000" w:themeColor="text1"/>
        </w:rPr>
        <w:t>t</w:t>
      </w:r>
      <w:r w:rsidRPr="000E4C0F">
        <w:rPr>
          <w:bCs/>
          <w:color w:val="000000" w:themeColor="text1"/>
        </w:rPr>
        <w:t>), fit</w:t>
      </w:r>
      <w:r w:rsidRPr="000E4C0F">
        <w:rPr>
          <w:rFonts w:eastAsiaTheme="minorEastAsia"/>
          <w:bCs/>
          <w:color w:val="000000" w:themeColor="text1"/>
        </w:rPr>
        <w:t xml:space="preserve"> to the final 3-4 data points, </w:t>
      </w:r>
      <w:r w:rsidRPr="000E4C0F">
        <w:rPr>
          <w:rFonts w:eastAsiaTheme="minorEastAsia"/>
          <w:bCs/>
          <w:i/>
          <w:iCs/>
          <w:color w:val="000000" w:themeColor="text1"/>
        </w:rPr>
        <w:t>d</w:t>
      </w:r>
      <w:r w:rsidRPr="000E4C0F">
        <w:rPr>
          <w:rFonts w:eastAsiaTheme="minorEastAsia"/>
          <w:bCs/>
          <w:color w:val="000000" w:themeColor="text1"/>
        </w:rPr>
        <w:t xml:space="preserve"> is the depth of the ring inserted in the ground, </w:t>
      </w:r>
      <w:r w:rsidRPr="000E4C0F">
        <w:rPr>
          <w:rFonts w:eastAsiaTheme="minorEastAsia"/>
          <w:bCs/>
          <w:i/>
          <w:iCs/>
          <w:color w:val="000000" w:themeColor="text1"/>
        </w:rPr>
        <w:t>r</w:t>
      </w:r>
      <w:r w:rsidRPr="000E4C0F">
        <w:rPr>
          <w:rFonts w:eastAsiaTheme="minorEastAsia"/>
          <w:bCs/>
          <w:i/>
          <w:iCs/>
          <w:color w:val="000000" w:themeColor="text1"/>
          <w:vertAlign w:val="subscript"/>
        </w:rPr>
        <w:t xml:space="preserve"> </w:t>
      </w:r>
      <w:r w:rsidRPr="000E4C0F">
        <w:rPr>
          <w:rFonts w:eastAsiaTheme="minorEastAsia"/>
          <w:bCs/>
          <w:color w:val="000000" w:themeColor="text1"/>
        </w:rPr>
        <w:t xml:space="preserve">is the ring radius, </w:t>
      </w:r>
      <w:proofErr w:type="spellStart"/>
      <w:r w:rsidRPr="000E4C0F">
        <w:rPr>
          <w:rFonts w:eastAsiaTheme="minorEastAsia"/>
          <w:bCs/>
          <w:i/>
          <w:iCs/>
          <w:color w:val="000000" w:themeColor="text1"/>
        </w:rPr>
        <w:t>h</w:t>
      </w:r>
      <w:r w:rsidRPr="000E4C0F">
        <w:rPr>
          <w:rFonts w:eastAsiaTheme="minorEastAsia"/>
          <w:bCs/>
          <w:i/>
          <w:iCs/>
          <w:color w:val="000000" w:themeColor="text1"/>
          <w:vertAlign w:val="subscript"/>
        </w:rPr>
        <w:t>source</w:t>
      </w:r>
      <w:proofErr w:type="spellEnd"/>
      <w:r w:rsidRPr="000E4C0F">
        <w:rPr>
          <w:rFonts w:eastAsiaTheme="minorEastAsia"/>
          <w:bCs/>
          <w:color w:val="000000" w:themeColor="text1"/>
        </w:rPr>
        <w:t xml:space="preserve"> is the height of single-ring water source pressure head, and </w:t>
      </w:r>
      <w:r w:rsidRPr="000E4C0F">
        <w:rPr>
          <w:bCs/>
          <w:i/>
          <w:color w:val="000000" w:themeColor="text1"/>
        </w:rPr>
        <w:sym w:font="Symbol" w:char="F06C"/>
      </w:r>
      <w:r w:rsidRPr="000E4C0F">
        <w:rPr>
          <w:bCs/>
          <w:color w:val="000000" w:themeColor="text1"/>
        </w:rPr>
        <w:t xml:space="preserve"> is the capillary length, a measure of the capillary force acting on the soil water.</w:t>
      </w:r>
    </w:p>
    <w:p w14:paraId="16B16AE7" w14:textId="77777777" w:rsidR="000E4C0F" w:rsidRPr="000E4C0F" w:rsidRDefault="000E4C0F" w:rsidP="000E4C0F">
      <w:pPr>
        <w:widowControl w:val="0"/>
        <w:autoSpaceDE w:val="0"/>
        <w:autoSpaceDN w:val="0"/>
        <w:adjustRightInd w:val="0"/>
        <w:spacing w:line="480" w:lineRule="auto"/>
        <w:ind w:firstLine="720"/>
        <w:rPr>
          <w:rFonts w:eastAsiaTheme="minorEastAsia"/>
          <w:bCs/>
          <w:color w:val="000000" w:themeColor="text1"/>
        </w:rPr>
      </w:pPr>
      <w:r w:rsidRPr="000E4C0F">
        <w:rPr>
          <w:bCs/>
          <w:color w:val="000000" w:themeColor="text1"/>
        </w:rPr>
        <w:t xml:space="preserve"> The capillary length was calculated using: </w:t>
      </w:r>
    </w:p>
    <w:p w14:paraId="2F5EE96D" w14:textId="77777777" w:rsidR="000E4C0F" w:rsidRPr="000E4C0F" w:rsidRDefault="000E4C0F" w:rsidP="000E4C0F">
      <w:pPr>
        <w:widowControl w:val="0"/>
        <w:tabs>
          <w:tab w:val="left" w:pos="8640"/>
        </w:tabs>
        <w:autoSpaceDE w:val="0"/>
        <w:autoSpaceDN w:val="0"/>
        <w:adjustRightInd w:val="0"/>
        <w:spacing w:line="480" w:lineRule="auto"/>
        <w:ind w:firstLine="720"/>
        <w:rPr>
          <w:rFonts w:eastAsiaTheme="minorEastAsia"/>
          <w:bCs/>
          <w:color w:val="000000" w:themeColor="text1"/>
        </w:rPr>
      </w:pPr>
      <m:oMath>
        <m:r>
          <w:rPr>
            <w:rFonts w:ascii="Cambria Math" w:hAnsi="Cambria Math"/>
            <w:color w:val="000000" w:themeColor="text1"/>
          </w:rPr>
          <m:t xml:space="preserve">λ= </m:t>
        </m:r>
        <m:f>
          <m:fPr>
            <m:ctrlPr>
              <w:rPr>
                <w:rFonts w:ascii="Cambria Math" w:hAnsi="Cambria Math"/>
                <w:bCs/>
                <w:i/>
                <w:color w:val="000000" w:themeColor="text1"/>
              </w:rPr>
            </m:ctrlPr>
          </m:fPr>
          <m:num>
            <m:r>
              <w:rPr>
                <w:rFonts w:ascii="Cambria Math" w:hAnsi="Cambria Math"/>
                <w:color w:val="000000" w:themeColor="text1"/>
              </w:rPr>
              <m:t>4cb</m:t>
            </m:r>
            <m:d>
              <m:dPr>
                <m:ctrlPr>
                  <w:rPr>
                    <w:rFonts w:ascii="Cambria Math" w:hAnsi="Cambria Math"/>
                    <w:bCs/>
                    <w:i/>
                    <w:color w:val="000000" w:themeColor="text1"/>
                  </w:rPr>
                </m:ctrlPr>
              </m:dPr>
              <m:e>
                <m:r>
                  <w:rPr>
                    <w:rFonts w:ascii="Cambria Math" w:hAnsi="Cambria Math"/>
                    <w:color w:val="000000" w:themeColor="text1"/>
                  </w:rPr>
                  <m:t>1-a</m:t>
                </m:r>
              </m:e>
            </m:d>
            <m:d>
              <m:dPr>
                <m:ctrlPr>
                  <w:rPr>
                    <w:rFonts w:ascii="Cambria Math" w:hAnsi="Cambria Math"/>
                    <w:bCs/>
                    <w:i/>
                    <w:color w:val="000000" w:themeColor="text1"/>
                  </w:rPr>
                </m:ctrlPr>
              </m:dPr>
              <m:e>
                <m:sSub>
                  <m:sSubPr>
                    <m:ctrlPr>
                      <w:rPr>
                        <w:rFonts w:ascii="Cambria Math" w:hAnsi="Cambria Math"/>
                        <w:bCs/>
                        <w:i/>
                        <w:color w:val="000000" w:themeColor="text1"/>
                      </w:rPr>
                    </m:ctrlPr>
                  </m:sSubPr>
                  <m:e>
                    <m:r>
                      <w:rPr>
                        <w:rFonts w:ascii="Cambria Math" w:hAnsi="Cambria Math"/>
                        <w:color w:val="000000" w:themeColor="text1"/>
                      </w:rPr>
                      <m:t>h</m:t>
                    </m:r>
                  </m:e>
                  <m:sub>
                    <m:r>
                      <w:rPr>
                        <w:rFonts w:ascii="Cambria Math" w:hAnsi="Cambria Math"/>
                        <w:color w:val="000000" w:themeColor="text1"/>
                      </w:rPr>
                      <m:t>source</m:t>
                    </m:r>
                  </m:sub>
                </m:sSub>
                <m:r>
                  <w:rPr>
                    <w:rFonts w:ascii="Cambria Math" w:hAnsi="Cambria Math"/>
                    <w:color w:val="000000" w:themeColor="text1"/>
                  </w:rPr>
                  <m:t>+d+</m:t>
                </m:r>
                <m:f>
                  <m:fPr>
                    <m:ctrlPr>
                      <w:rPr>
                        <w:rFonts w:ascii="Cambria Math" w:hAnsi="Cambria Math"/>
                        <w:bCs/>
                        <w:i/>
                        <w:color w:val="000000" w:themeColor="text1"/>
                      </w:rPr>
                    </m:ctrlPr>
                  </m:fPr>
                  <m:num>
                    <m:r>
                      <w:rPr>
                        <w:rFonts w:ascii="Cambria Math" w:hAnsi="Cambria Math"/>
                        <w:color w:val="000000" w:themeColor="text1"/>
                      </w:rPr>
                      <m:t>r</m:t>
                    </m:r>
                  </m:num>
                  <m:den>
                    <m:r>
                      <w:rPr>
                        <w:rFonts w:ascii="Cambria Math" w:hAnsi="Cambria Math"/>
                        <w:color w:val="000000" w:themeColor="text1"/>
                      </w:rPr>
                      <m:t>2</m:t>
                    </m:r>
                  </m:den>
                </m:f>
              </m:e>
            </m:d>
            <m:r>
              <w:rPr>
                <w:rFonts w:ascii="Cambria Math" w:hAnsi="Cambria Math"/>
                <w:color w:val="000000" w:themeColor="text1"/>
              </w:rPr>
              <m:t xml:space="preserve">- </m:t>
            </m:r>
            <m:sSub>
              <m:sSubPr>
                <m:ctrlPr>
                  <w:rPr>
                    <w:rFonts w:ascii="Cambria Math" w:hAnsi="Cambria Math"/>
                    <w:bCs/>
                    <w:i/>
                    <w:color w:val="000000" w:themeColor="text1"/>
                  </w:rPr>
                </m:ctrlPr>
              </m:sSubPr>
              <m:e>
                <m:r>
                  <w:rPr>
                    <w:rFonts w:ascii="Cambria Math" w:hAnsi="Cambria Math"/>
                    <w:color w:val="000000" w:themeColor="text1"/>
                  </w:rPr>
                  <m:t>h</m:t>
                </m:r>
              </m:e>
              <m:sub>
                <m:r>
                  <w:rPr>
                    <w:rFonts w:ascii="Cambria Math" w:hAnsi="Cambria Math"/>
                    <w:color w:val="000000" w:themeColor="text1"/>
                  </w:rPr>
                  <m:t>source</m:t>
                </m:r>
              </m:sub>
            </m:sSub>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θ</m:t>
                </m:r>
              </m:e>
              <m:sub>
                <m:r>
                  <w:rPr>
                    <w:rFonts w:ascii="Cambria Math" w:hAnsi="Cambria Math"/>
                    <w:color w:val="000000" w:themeColor="text1"/>
                  </w:rPr>
                  <m:t>s</m:t>
                </m:r>
              </m:sub>
            </m:sSub>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θ</m:t>
                </m:r>
              </m:e>
              <m:sub>
                <m:r>
                  <w:rPr>
                    <w:rFonts w:ascii="Cambria Math" w:hAnsi="Cambria Math"/>
                    <w:color w:val="000000" w:themeColor="text1"/>
                  </w:rPr>
                  <m:t>i</m:t>
                </m:r>
              </m:sub>
            </m:sSub>
            <m:r>
              <w:rPr>
                <w:rFonts w:ascii="Cambria Math" w:hAnsi="Cambria Math"/>
                <w:color w:val="000000" w:themeColor="text1"/>
              </w:rPr>
              <m:t>)(d+</m:t>
            </m:r>
            <m:f>
              <m:fPr>
                <m:ctrlPr>
                  <w:rPr>
                    <w:rFonts w:ascii="Cambria Math" w:hAnsi="Cambria Math"/>
                    <w:bCs/>
                    <w:i/>
                    <w:color w:val="000000" w:themeColor="text1"/>
                  </w:rPr>
                </m:ctrlPr>
              </m:fPr>
              <m:num>
                <m:r>
                  <w:rPr>
                    <w:rFonts w:ascii="Cambria Math" w:hAnsi="Cambria Math"/>
                    <w:color w:val="000000" w:themeColor="text1"/>
                  </w:rPr>
                  <m:t>r</m:t>
                </m:r>
              </m:num>
              <m:den>
                <m:r>
                  <w:rPr>
                    <w:rFonts w:ascii="Cambria Math" w:hAnsi="Cambria Math"/>
                    <w:color w:val="000000" w:themeColor="text1"/>
                  </w:rPr>
                  <m:t>2</m:t>
                </m:r>
              </m:den>
            </m:f>
            <m:r>
              <w:rPr>
                <w:rFonts w:ascii="Cambria Math" w:hAnsi="Cambria Math"/>
                <w:color w:val="000000" w:themeColor="text1"/>
              </w:rPr>
              <m:t>)</m:t>
            </m:r>
          </m:num>
          <m:den>
            <m:d>
              <m:dPr>
                <m:ctrlPr>
                  <w:rPr>
                    <w:rFonts w:ascii="Cambria Math" w:hAnsi="Cambria Math"/>
                    <w:bCs/>
                    <w:i/>
                    <w:color w:val="000000" w:themeColor="text1"/>
                  </w:rPr>
                </m:ctrlPr>
              </m:dPr>
              <m:e>
                <m:sSub>
                  <m:sSubPr>
                    <m:ctrlPr>
                      <w:rPr>
                        <w:rFonts w:ascii="Cambria Math" w:hAnsi="Cambria Math"/>
                        <w:bCs/>
                        <w:i/>
                        <w:color w:val="000000" w:themeColor="text1"/>
                      </w:rPr>
                    </m:ctrlPr>
                  </m:sSubPr>
                  <m:e>
                    <m:r>
                      <w:rPr>
                        <w:rFonts w:ascii="Cambria Math" w:hAnsi="Cambria Math"/>
                        <w:color w:val="000000" w:themeColor="text1"/>
                      </w:rPr>
                      <m:t>θ</m:t>
                    </m:r>
                  </m:e>
                  <m:sub>
                    <m:r>
                      <w:rPr>
                        <w:rFonts w:ascii="Cambria Math" w:hAnsi="Cambria Math"/>
                        <w:color w:val="000000" w:themeColor="text1"/>
                      </w:rPr>
                      <m:t>s</m:t>
                    </m:r>
                  </m:sub>
                </m:sSub>
                <m:r>
                  <w:rPr>
                    <w:rFonts w:ascii="Cambria Math" w:hAnsi="Cambria Math"/>
                    <w:color w:val="000000" w:themeColor="text1"/>
                  </w:rPr>
                  <m:t>-</m:t>
                </m:r>
                <m:sSub>
                  <m:sSubPr>
                    <m:ctrlPr>
                      <w:rPr>
                        <w:rFonts w:ascii="Cambria Math" w:hAnsi="Cambria Math"/>
                        <w:bCs/>
                        <w:i/>
                        <w:color w:val="000000" w:themeColor="text1"/>
                      </w:rPr>
                    </m:ctrlPr>
                  </m:sSubPr>
                  <m:e>
                    <m:r>
                      <w:rPr>
                        <w:rFonts w:ascii="Cambria Math" w:hAnsi="Cambria Math"/>
                        <w:color w:val="000000" w:themeColor="text1"/>
                      </w:rPr>
                      <m:t>θ</m:t>
                    </m:r>
                  </m:e>
                  <m:sub>
                    <m:r>
                      <w:rPr>
                        <w:rFonts w:ascii="Cambria Math" w:hAnsi="Cambria Math"/>
                        <w:color w:val="000000" w:themeColor="text1"/>
                      </w:rPr>
                      <m:t>i</m:t>
                    </m:r>
                  </m:sub>
                </m:sSub>
              </m:e>
            </m:d>
            <m:d>
              <m:dPr>
                <m:ctrlPr>
                  <w:rPr>
                    <w:rFonts w:ascii="Cambria Math" w:hAnsi="Cambria Math"/>
                    <w:bCs/>
                    <w:i/>
                    <w:color w:val="000000" w:themeColor="text1"/>
                  </w:rPr>
                </m:ctrlPr>
              </m:dPr>
              <m:e>
                <m:r>
                  <w:rPr>
                    <w:rFonts w:ascii="Cambria Math" w:hAnsi="Cambria Math"/>
                    <w:color w:val="000000" w:themeColor="text1"/>
                  </w:rPr>
                  <m:t>d+</m:t>
                </m:r>
                <m:f>
                  <m:fPr>
                    <m:ctrlPr>
                      <w:rPr>
                        <w:rFonts w:ascii="Cambria Math" w:hAnsi="Cambria Math"/>
                        <w:bCs/>
                        <w:i/>
                        <w:color w:val="000000" w:themeColor="text1"/>
                      </w:rPr>
                    </m:ctrlPr>
                  </m:fPr>
                  <m:num>
                    <m:r>
                      <w:rPr>
                        <w:rFonts w:ascii="Cambria Math" w:hAnsi="Cambria Math"/>
                        <w:color w:val="000000" w:themeColor="text1"/>
                      </w:rPr>
                      <m:t>r</m:t>
                    </m:r>
                  </m:num>
                  <m:den>
                    <m:r>
                      <w:rPr>
                        <w:rFonts w:ascii="Cambria Math" w:hAnsi="Cambria Math"/>
                        <w:color w:val="000000" w:themeColor="text1"/>
                      </w:rPr>
                      <m:t>2</m:t>
                    </m:r>
                  </m:den>
                </m:f>
              </m:e>
            </m:d>
            <m:r>
              <w:rPr>
                <w:rFonts w:ascii="Cambria Math" w:hAnsi="Cambria Math"/>
                <w:color w:val="000000" w:themeColor="text1"/>
              </w:rPr>
              <m:t>-4</m:t>
            </m:r>
            <m:sSub>
              <m:sSubPr>
                <m:ctrlPr>
                  <w:rPr>
                    <w:rFonts w:ascii="Cambria Math" w:hAnsi="Cambria Math"/>
                    <w:bCs/>
                    <w:i/>
                    <w:color w:val="000000" w:themeColor="text1"/>
                  </w:rPr>
                </m:ctrlPr>
              </m:sSubPr>
              <m:e>
                <m:r>
                  <w:rPr>
                    <w:rFonts w:ascii="Cambria Math" w:hAnsi="Cambria Math"/>
                    <w:color w:val="000000" w:themeColor="text1"/>
                  </w:rPr>
                  <m:t>c</m:t>
                </m:r>
              </m:e>
              <m:sub>
                <m:r>
                  <w:rPr>
                    <w:rFonts w:ascii="Cambria Math" w:hAnsi="Cambria Math"/>
                    <w:color w:val="000000" w:themeColor="text1"/>
                  </w:rPr>
                  <m:t>3</m:t>
                </m:r>
              </m:sub>
            </m:sSub>
            <m:r>
              <w:rPr>
                <w:rFonts w:ascii="Cambria Math" w:hAnsi="Cambria Math"/>
                <w:color w:val="000000" w:themeColor="text1"/>
              </w:rPr>
              <m:t>b</m:t>
            </m:r>
            <m:d>
              <m:dPr>
                <m:ctrlPr>
                  <w:rPr>
                    <w:rFonts w:ascii="Cambria Math" w:hAnsi="Cambria Math"/>
                    <w:bCs/>
                    <w:i/>
                    <w:color w:val="000000" w:themeColor="text1"/>
                  </w:rPr>
                </m:ctrlPr>
              </m:dPr>
              <m:e>
                <m:r>
                  <w:rPr>
                    <w:rFonts w:ascii="Cambria Math" w:hAnsi="Cambria Math"/>
                    <w:color w:val="000000" w:themeColor="text1"/>
                  </w:rPr>
                  <m:t>1-a</m:t>
                </m:r>
              </m:e>
            </m:d>
          </m:den>
        </m:f>
      </m:oMath>
      <w:r w:rsidRPr="000E4C0F">
        <w:rPr>
          <w:rFonts w:eastAsiaTheme="minorEastAsia"/>
          <w:bCs/>
          <w:color w:val="000000" w:themeColor="text1"/>
        </w:rPr>
        <w:tab/>
        <w:t>(3)</w:t>
      </w:r>
    </w:p>
    <w:p w14:paraId="672DB557" w14:textId="77777777" w:rsidR="000E4C0F" w:rsidRPr="000E4C0F" w:rsidRDefault="000E4C0F" w:rsidP="000E4C0F">
      <w:pPr>
        <w:widowControl w:val="0"/>
        <w:autoSpaceDE w:val="0"/>
        <w:autoSpaceDN w:val="0"/>
        <w:adjustRightInd w:val="0"/>
        <w:spacing w:line="480" w:lineRule="auto"/>
        <w:rPr>
          <w:bCs/>
          <w:color w:val="000000" w:themeColor="text1"/>
        </w:rPr>
      </w:pPr>
      <w:r w:rsidRPr="000E4C0F">
        <w:rPr>
          <w:rFonts w:eastAsiaTheme="minorEastAsia"/>
          <w:bCs/>
          <w:color w:val="000000" w:themeColor="text1"/>
        </w:rPr>
        <w:t xml:space="preserve">where </w:t>
      </w:r>
      <w:r w:rsidRPr="000E4C0F">
        <w:rPr>
          <w:rFonts w:eastAsiaTheme="minorEastAsia"/>
          <w:bCs/>
          <w:i/>
          <w:iCs/>
          <w:color w:val="000000" w:themeColor="text1"/>
        </w:rPr>
        <w:sym w:font="Symbol" w:char="F071"/>
      </w:r>
      <w:r w:rsidRPr="000E4C0F">
        <w:rPr>
          <w:rFonts w:eastAsiaTheme="minorEastAsia"/>
          <w:bCs/>
          <w:i/>
          <w:iCs/>
          <w:color w:val="000000" w:themeColor="text1"/>
          <w:vertAlign w:val="subscript"/>
        </w:rPr>
        <w:t>s</w:t>
      </w:r>
      <w:r w:rsidRPr="000E4C0F">
        <w:rPr>
          <w:rFonts w:eastAsiaTheme="minorEastAsia"/>
          <w:bCs/>
          <w:color w:val="000000" w:themeColor="text1"/>
        </w:rPr>
        <w:t xml:space="preserve"> is the saturated soil water content,</w:t>
      </w:r>
      <w:r w:rsidRPr="000E4C0F">
        <w:rPr>
          <w:rFonts w:eastAsiaTheme="minorEastAsia"/>
          <w:bCs/>
          <w:color w:val="000000" w:themeColor="text1"/>
          <w:vertAlign w:val="subscript"/>
        </w:rPr>
        <w:t xml:space="preserve"> </w:t>
      </w:r>
      <w:r w:rsidRPr="000E4C0F">
        <w:rPr>
          <w:rFonts w:eastAsiaTheme="minorEastAsia"/>
          <w:bCs/>
          <w:i/>
          <w:iCs/>
          <w:color w:val="000000" w:themeColor="text1"/>
        </w:rPr>
        <w:sym w:font="Symbol" w:char="F071"/>
      </w:r>
      <w:proofErr w:type="spellStart"/>
      <w:r w:rsidRPr="000E4C0F">
        <w:rPr>
          <w:rFonts w:eastAsiaTheme="minorEastAsia"/>
          <w:bCs/>
          <w:i/>
          <w:iCs/>
          <w:color w:val="000000" w:themeColor="text1"/>
          <w:vertAlign w:val="subscript"/>
        </w:rPr>
        <w:t>i</w:t>
      </w:r>
      <w:proofErr w:type="spellEnd"/>
      <w:r w:rsidRPr="000E4C0F">
        <w:rPr>
          <w:rFonts w:eastAsiaTheme="minorEastAsia"/>
          <w:bCs/>
          <w:color w:val="000000" w:themeColor="text1"/>
        </w:rPr>
        <w:t xml:space="preserve"> is the initial soil water content, and </w:t>
      </w:r>
      <w:r w:rsidRPr="000E4C0F">
        <w:rPr>
          <w:rFonts w:eastAsiaTheme="minorEastAsia"/>
          <w:bCs/>
          <w:i/>
          <w:iCs/>
          <w:color w:val="000000" w:themeColor="text1"/>
        </w:rPr>
        <w:t>c</w:t>
      </w:r>
      <w:r w:rsidRPr="000E4C0F">
        <w:rPr>
          <w:rFonts w:eastAsiaTheme="minorEastAsia"/>
          <w:bCs/>
          <w:i/>
          <w:iCs/>
          <w:color w:val="000000" w:themeColor="text1"/>
          <w:vertAlign w:val="subscript"/>
        </w:rPr>
        <w:t>3</w:t>
      </w:r>
      <w:r w:rsidRPr="000E4C0F">
        <w:rPr>
          <w:rFonts w:eastAsiaTheme="minorEastAsia"/>
          <w:bCs/>
          <w:color w:val="000000" w:themeColor="text1"/>
        </w:rPr>
        <w:t xml:space="preserve"> is a constant, </w:t>
      </w:r>
      <w:r w:rsidRPr="000E4C0F">
        <w:rPr>
          <w:rFonts w:eastAsiaTheme="minorEastAsia"/>
          <w:bCs/>
          <w:i/>
          <w:iCs/>
          <w:color w:val="000000" w:themeColor="text1"/>
        </w:rPr>
        <w:t>a</w:t>
      </w:r>
      <w:r w:rsidRPr="000E4C0F">
        <w:rPr>
          <w:rFonts w:eastAsiaTheme="minorEastAsia"/>
          <w:bCs/>
          <w:color w:val="000000" w:themeColor="text1"/>
        </w:rPr>
        <w:t xml:space="preserve"> is a constant assumed to be 0.45 and </w:t>
      </w:r>
      <w:r w:rsidRPr="000E4C0F">
        <w:rPr>
          <w:rFonts w:eastAsiaTheme="minorEastAsia"/>
          <w:bCs/>
          <w:i/>
          <w:iCs/>
          <w:color w:val="000000" w:themeColor="text1"/>
        </w:rPr>
        <w:t>b</w:t>
      </w:r>
      <w:r w:rsidRPr="000E4C0F">
        <w:rPr>
          <w:rFonts w:eastAsiaTheme="minorEastAsia"/>
          <w:bCs/>
          <w:color w:val="000000" w:themeColor="text1"/>
        </w:rPr>
        <w:t xml:space="preserve"> is a constant assumed to be 0.55 </w:t>
      </w:r>
      <w:r w:rsidRPr="000E4C0F">
        <w:rPr>
          <w:rFonts w:eastAsiaTheme="minorEastAsia"/>
          <w:bCs/>
          <w:color w:val="000000" w:themeColor="text1"/>
        </w:rPr>
        <w:fldChar w:fldCharType="begin"/>
      </w:r>
      <w:r w:rsidRPr="000E4C0F">
        <w:rPr>
          <w:rFonts w:eastAsiaTheme="minorEastAsia"/>
          <w:bCs/>
          <w:color w:val="000000" w:themeColor="text1"/>
        </w:rPr>
        <w:instrText xml:space="preserve"> ADDIN ZOTERO_ITEM CSL_CITATION {"citationID":"sgx9Wj9n","properties":{"formattedCitation":"(Stewart &amp; Abou Najm, 2018)","plainCitation":"(Stewart &amp; Abou Najm, 2018)","noteIndex":0},"citationItems":[{"id":159,"uris":["http://zotero.org/users/9588463/items/VQQXRFU6"],"itemData":{"id":159,"type":"article-journal","container-title":"Soil Science Society of America Journal","DOI":"10.2136/sssaj2017.09.0314","ISSN":"0361-5995, 1435-0661","issue":"3","journalAbbreviation":"Soil Sci. Soc. Am. j.","language":"en","page":"558-567","source":"DOI.org (Crossref)","title":"A Comprehensive Model for Single Ring Infiltration II: Estimating Field‐Saturated Hydraulic Conductivity","title-short":"A Comprehensive Model for Single Ring Infiltration II","volume":"82","author":[{"family":"Stewart","given":"Ryan D."},{"family":"Abou Najm","given":"Majdi R."}],"issued":{"date-parts":[["2018",5]]}}}],"schema":"https://github.com/citation-style-language/schema/raw/master/csl-citation.json"} </w:instrText>
      </w:r>
      <w:r w:rsidRPr="000E4C0F">
        <w:rPr>
          <w:rFonts w:eastAsiaTheme="minorEastAsia"/>
          <w:bCs/>
          <w:color w:val="000000" w:themeColor="text1"/>
        </w:rPr>
        <w:fldChar w:fldCharType="separate"/>
      </w:r>
      <w:r w:rsidRPr="000E4C0F">
        <w:rPr>
          <w:rFonts w:eastAsiaTheme="minorEastAsia"/>
          <w:bCs/>
          <w:noProof/>
          <w:color w:val="000000" w:themeColor="text1"/>
        </w:rPr>
        <w:t>(Stewart &amp; Abou Najm, 2018)</w:t>
      </w:r>
      <w:r w:rsidRPr="000E4C0F">
        <w:rPr>
          <w:rFonts w:eastAsiaTheme="minorEastAsia"/>
          <w:bCs/>
          <w:color w:val="000000" w:themeColor="text1"/>
        </w:rPr>
        <w:fldChar w:fldCharType="end"/>
      </w:r>
      <w:r w:rsidRPr="000E4C0F">
        <w:rPr>
          <w:rFonts w:eastAsiaTheme="minorEastAsia"/>
          <w:bCs/>
          <w:color w:val="000000" w:themeColor="text1"/>
        </w:rPr>
        <w:t xml:space="preserve">. Whenever the calculated </w:t>
      </w:r>
      <w:r w:rsidRPr="000E4C0F">
        <w:rPr>
          <w:bCs/>
          <w:i/>
          <w:color w:val="000000" w:themeColor="text1"/>
        </w:rPr>
        <w:sym w:font="Symbol" w:char="F06C"/>
      </w:r>
      <w:r w:rsidRPr="000E4C0F">
        <w:rPr>
          <w:bCs/>
          <w:color w:val="000000" w:themeColor="text1"/>
        </w:rPr>
        <w:t xml:space="preserve"> </w:t>
      </w:r>
      <w:r w:rsidRPr="000E4C0F">
        <w:rPr>
          <w:rFonts w:eastAsiaTheme="minorEastAsia"/>
          <w:bCs/>
          <w:color w:val="000000" w:themeColor="text1"/>
        </w:rPr>
        <w:t xml:space="preserve">was &lt; 1 cm, we assumed that </w:t>
      </w:r>
      <w:r w:rsidRPr="000E4C0F">
        <w:rPr>
          <w:bCs/>
          <w:i/>
          <w:color w:val="000000" w:themeColor="text1"/>
        </w:rPr>
        <w:sym w:font="Symbol" w:char="F06C"/>
      </w:r>
      <w:r w:rsidRPr="000E4C0F">
        <w:rPr>
          <w:bCs/>
          <w:color w:val="000000" w:themeColor="text1"/>
        </w:rPr>
        <w:t xml:space="preserve"> = </w:t>
      </w:r>
      <w:r w:rsidRPr="000E4C0F">
        <w:rPr>
          <w:rFonts w:eastAsiaTheme="minorEastAsia"/>
          <w:bCs/>
          <w:color w:val="000000" w:themeColor="text1"/>
        </w:rPr>
        <w:t xml:space="preserve">1 cm. </w:t>
      </w:r>
    </w:p>
    <w:p w14:paraId="5F92B407" w14:textId="1FE60113" w:rsidR="000E4C0F" w:rsidRPr="002130EC" w:rsidRDefault="00D52A38" w:rsidP="002130EC">
      <w:pPr>
        <w:adjustRightInd w:val="0"/>
        <w:snapToGrid w:val="0"/>
        <w:spacing w:line="480" w:lineRule="auto"/>
        <w:ind w:firstLine="720"/>
        <w:rPr>
          <w:color w:val="000000" w:themeColor="text1"/>
        </w:rPr>
      </w:pPr>
      <w:r>
        <w:rPr>
          <w:bCs/>
          <w:color w:val="000000" w:themeColor="text1"/>
        </w:rPr>
        <w:t xml:space="preserve">Soils were sampled for total carbon </w:t>
      </w:r>
      <w:r w:rsidR="002130EC">
        <w:rPr>
          <w:bCs/>
          <w:color w:val="000000" w:themeColor="text1"/>
        </w:rPr>
        <w:t>measurements in</w:t>
      </w:r>
      <w:r w:rsidR="000B2D1E">
        <w:rPr>
          <w:bCs/>
          <w:color w:val="000000" w:themeColor="text1"/>
        </w:rPr>
        <w:t xml:space="preserve"> </w:t>
      </w:r>
      <w:r w:rsidR="007A3644">
        <w:rPr>
          <w:bCs/>
          <w:color w:val="000000" w:themeColor="text1"/>
        </w:rPr>
        <w:t xml:space="preserve">summer </w:t>
      </w:r>
      <w:r w:rsidR="000B2D1E">
        <w:rPr>
          <w:bCs/>
          <w:color w:val="000000" w:themeColor="text1"/>
        </w:rPr>
        <w:t>2018,</w:t>
      </w:r>
      <w:r w:rsidR="002130EC">
        <w:rPr>
          <w:bCs/>
          <w:color w:val="000000" w:themeColor="text1"/>
        </w:rPr>
        <w:t xml:space="preserve"> fall </w:t>
      </w:r>
      <w:r w:rsidR="002130EC" w:rsidRPr="001B0E7D">
        <w:rPr>
          <w:color w:val="000000" w:themeColor="text1"/>
        </w:rPr>
        <w:t>202</w:t>
      </w:r>
      <w:r w:rsidR="007A3644">
        <w:rPr>
          <w:color w:val="000000" w:themeColor="text1"/>
        </w:rPr>
        <w:t>1,</w:t>
      </w:r>
      <w:r w:rsidR="002130EC" w:rsidRPr="001B0E7D">
        <w:rPr>
          <w:color w:val="000000" w:themeColor="text1"/>
        </w:rPr>
        <w:t xml:space="preserve"> and fall 2022. The samples were taken at depths of 0-5 cm, 5-10 cm, 10-30 cm. </w:t>
      </w:r>
      <w:r w:rsidR="002130EC">
        <w:rPr>
          <w:color w:val="000000" w:themeColor="text1"/>
        </w:rPr>
        <w:t>T</w:t>
      </w:r>
      <w:r w:rsidR="000E4C0F" w:rsidRPr="000E4C0F">
        <w:rPr>
          <w:bCs/>
          <w:color w:val="000000" w:themeColor="text1"/>
        </w:rPr>
        <w:t>otal soil carbon was measured on dried and powder-ground samples using an element analyzer (</w:t>
      </w:r>
      <w:proofErr w:type="spellStart"/>
      <w:r w:rsidR="000E4C0F" w:rsidRPr="000E4C0F">
        <w:rPr>
          <w:bCs/>
          <w:color w:val="000000" w:themeColor="text1"/>
        </w:rPr>
        <w:t>Elementar</w:t>
      </w:r>
      <w:proofErr w:type="spellEnd"/>
      <w:r w:rsidR="000E4C0F" w:rsidRPr="000E4C0F">
        <w:rPr>
          <w:bCs/>
          <w:color w:val="000000" w:themeColor="text1"/>
        </w:rPr>
        <w:t xml:space="preserve"> </w:t>
      </w:r>
      <w:proofErr w:type="spellStart"/>
      <w:r w:rsidR="000E4C0F" w:rsidRPr="000E4C0F">
        <w:rPr>
          <w:bCs/>
          <w:color w:val="000000" w:themeColor="text1"/>
        </w:rPr>
        <w:t>VarioMAX</w:t>
      </w:r>
      <w:proofErr w:type="spellEnd"/>
      <w:r w:rsidR="000E4C0F" w:rsidRPr="000E4C0F">
        <w:rPr>
          <w:bCs/>
          <w:color w:val="000000" w:themeColor="text1"/>
        </w:rPr>
        <w:t xml:space="preserve"> CNS Element Analyzer; </w:t>
      </w:r>
      <w:proofErr w:type="spellStart"/>
      <w:r w:rsidR="000E4C0F" w:rsidRPr="000E4C0F">
        <w:rPr>
          <w:bCs/>
          <w:color w:val="000000" w:themeColor="text1"/>
        </w:rPr>
        <w:t>Elementar</w:t>
      </w:r>
      <w:proofErr w:type="spellEnd"/>
      <w:r w:rsidR="000E4C0F" w:rsidRPr="000E4C0F">
        <w:rPr>
          <w:bCs/>
          <w:color w:val="000000" w:themeColor="text1"/>
        </w:rPr>
        <w:t xml:space="preserve"> Americas Inc., Ronkonkoma, New York). The analyzer heated soil to 1,200°C, combusted the carbon to CO</w:t>
      </w:r>
      <w:r w:rsidR="000E4C0F" w:rsidRPr="000E4C0F">
        <w:rPr>
          <w:bCs/>
          <w:color w:val="000000" w:themeColor="text1"/>
          <w:vertAlign w:val="subscript"/>
        </w:rPr>
        <w:t>2,</w:t>
      </w:r>
      <w:r w:rsidR="000E4C0F" w:rsidRPr="000E4C0F">
        <w:rPr>
          <w:bCs/>
          <w:color w:val="000000" w:themeColor="text1"/>
        </w:rPr>
        <w:t xml:space="preserve"> and measured the concentration with an infrared spectrometer </w:t>
      </w:r>
      <w:r w:rsidR="000E4C0F" w:rsidRPr="000E4C0F">
        <w:rPr>
          <w:bCs/>
          <w:color w:val="000000" w:themeColor="text1"/>
        </w:rPr>
        <w:fldChar w:fldCharType="begin"/>
      </w:r>
      <w:r w:rsidR="000E4C0F" w:rsidRPr="000E4C0F">
        <w:rPr>
          <w:bCs/>
          <w:color w:val="000000" w:themeColor="text1"/>
        </w:rPr>
        <w:instrText xml:space="preserve"> ADDIN ZOTERO_ITEM CSL_CITATION {"citationID":"oMAeZKSM","properties":{"formattedCitation":"(Stott, 2019)","plainCitation":"(Stott, 2019)","noteIndex":0},"citationItems":[{"id":24,"uris":["http://zotero.org/users/9588463/items/6IA6LBGJ"],"itemData":{"id":24,"type":"document","publisher":"USDA NRCS","title":"Recommended Soil Health Indicators and Associated Laboratory Procedures","author":[{"family":"Stott","given":"Diane E."}],"accessed":{"date-parts":[["2021",8,26]]},"issued":{"date-parts":[["2019",11]]}}}],"schema":"https://github.com/citation-style-language/schema/raw/master/csl-citation.json"} </w:instrText>
      </w:r>
      <w:r w:rsidR="000E4C0F" w:rsidRPr="000E4C0F">
        <w:rPr>
          <w:bCs/>
          <w:color w:val="000000" w:themeColor="text1"/>
        </w:rPr>
        <w:fldChar w:fldCharType="separate"/>
      </w:r>
      <w:r w:rsidR="000E4C0F" w:rsidRPr="000E4C0F">
        <w:rPr>
          <w:bCs/>
          <w:color w:val="000000" w:themeColor="text1"/>
        </w:rPr>
        <w:t>(Stott, 2019)</w:t>
      </w:r>
      <w:r w:rsidR="000E4C0F" w:rsidRPr="000E4C0F">
        <w:rPr>
          <w:bCs/>
          <w:color w:val="000000" w:themeColor="text1"/>
        </w:rPr>
        <w:fldChar w:fldCharType="end"/>
      </w:r>
      <w:r w:rsidR="000E4C0F" w:rsidRPr="000E4C0F">
        <w:rPr>
          <w:bCs/>
          <w:color w:val="000000" w:themeColor="text1"/>
        </w:rPr>
        <w:t xml:space="preserve">. </w:t>
      </w:r>
    </w:p>
    <w:p w14:paraId="1A116030" w14:textId="4F2881D5"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Carbon stock w</w:t>
      </w:r>
      <w:r w:rsidR="000B2D1E">
        <w:rPr>
          <w:bCs/>
          <w:color w:val="000000" w:themeColor="text1"/>
        </w:rPr>
        <w:t>as</w:t>
      </w:r>
      <w:r w:rsidRPr="000E4C0F">
        <w:rPr>
          <w:bCs/>
          <w:color w:val="000000" w:themeColor="text1"/>
        </w:rPr>
        <w:t xml:space="preserve"> also calculated using</w:t>
      </w:r>
      <w:r w:rsidR="002130EC">
        <w:rPr>
          <w:bCs/>
          <w:color w:val="000000" w:themeColor="text1"/>
        </w:rPr>
        <w:t xml:space="preserve"> 2022 soil</w:t>
      </w:r>
      <w:r w:rsidR="007A3644">
        <w:rPr>
          <w:bCs/>
          <w:color w:val="000000" w:themeColor="text1"/>
        </w:rPr>
        <w:t xml:space="preserve"> samples</w:t>
      </w:r>
      <w:r w:rsidR="002130EC">
        <w:rPr>
          <w:bCs/>
          <w:color w:val="000000" w:themeColor="text1"/>
        </w:rPr>
        <w:t xml:space="preserve"> and 2022 bulk density measurements</w:t>
      </w:r>
      <w:r w:rsidRPr="000E4C0F">
        <w:rPr>
          <w:bCs/>
          <w:color w:val="000000" w:themeColor="text1"/>
        </w:rPr>
        <w:t>.</w:t>
      </w:r>
      <w:r w:rsidR="002130EC">
        <w:rPr>
          <w:bCs/>
          <w:color w:val="000000" w:themeColor="text1"/>
        </w:rPr>
        <w:t xml:space="preserve"> Though soil was sampled to a depth of 30 cm, the bulk density was measured on soil to a depth of 15 cm. Therefore, carbon stock is reported to a depth of 15 cm.</w:t>
      </w:r>
      <w:r w:rsidRPr="000E4C0F">
        <w:rPr>
          <w:bCs/>
          <w:color w:val="000000" w:themeColor="text1"/>
        </w:rPr>
        <w:t xml:space="preserve"> Carbon stock, </w:t>
      </w:r>
      <w:proofErr w:type="spellStart"/>
      <w:r w:rsidRPr="000E4C0F">
        <w:rPr>
          <w:bCs/>
          <w:i/>
          <w:color w:val="000000" w:themeColor="text1"/>
        </w:rPr>
        <w:t>C</w:t>
      </w:r>
      <w:r w:rsidRPr="000E4C0F">
        <w:rPr>
          <w:bCs/>
          <w:i/>
          <w:color w:val="000000" w:themeColor="text1"/>
          <w:vertAlign w:val="subscript"/>
        </w:rPr>
        <w:t>stock</w:t>
      </w:r>
      <w:proofErr w:type="spellEnd"/>
      <w:r w:rsidRPr="000E4C0F">
        <w:rPr>
          <w:bCs/>
          <w:color w:val="000000" w:themeColor="text1"/>
        </w:rPr>
        <w:t xml:space="preserve"> (in </w:t>
      </w:r>
      <w:r w:rsidR="000B2D1E">
        <w:rPr>
          <w:bCs/>
          <w:color w:val="000000" w:themeColor="text1"/>
        </w:rPr>
        <w:t>M</w:t>
      </w:r>
      <w:r w:rsidRPr="000E4C0F">
        <w:rPr>
          <w:bCs/>
          <w:color w:val="000000" w:themeColor="text1"/>
        </w:rPr>
        <w:t>g</w:t>
      </w:r>
      <w:r w:rsidR="00F0119A">
        <w:rPr>
          <w:bCs/>
          <w:color w:val="000000" w:themeColor="text1"/>
        </w:rPr>
        <w:t xml:space="preserve"> </w:t>
      </w:r>
      <w:r w:rsidRPr="000E4C0F">
        <w:rPr>
          <w:bCs/>
          <w:color w:val="000000" w:themeColor="text1"/>
        </w:rPr>
        <w:t>ha</w:t>
      </w:r>
      <w:r w:rsidR="00F0119A">
        <w:rPr>
          <w:bCs/>
          <w:color w:val="000000" w:themeColor="text1"/>
          <w:vertAlign w:val="superscript"/>
        </w:rPr>
        <w:t>-1</w:t>
      </w:r>
      <w:r w:rsidRPr="000E4C0F">
        <w:rPr>
          <w:bCs/>
          <w:color w:val="000000" w:themeColor="text1"/>
        </w:rPr>
        <w:t xml:space="preserve">) was calculated as: </w:t>
      </w:r>
    </w:p>
    <w:p w14:paraId="27A3DDA4" w14:textId="4B599062" w:rsidR="000E4C0F" w:rsidRPr="000E4C0F" w:rsidRDefault="000E4C0F" w:rsidP="000E4C0F">
      <w:pPr>
        <w:tabs>
          <w:tab w:val="left" w:pos="720"/>
          <w:tab w:val="left" w:pos="8640"/>
        </w:tabs>
        <w:adjustRightInd w:val="0"/>
        <w:snapToGrid w:val="0"/>
        <w:spacing w:line="480" w:lineRule="auto"/>
        <w:rPr>
          <w:bCs/>
          <w:iCs/>
          <w:color w:val="000000" w:themeColor="text1"/>
        </w:rPr>
      </w:pPr>
      <w:r w:rsidRPr="000E4C0F">
        <w:rPr>
          <w:bCs/>
          <w:color w:val="000000" w:themeColor="text1"/>
        </w:rPr>
        <w:tab/>
      </w:r>
      <m:oMath>
        <m:sSub>
          <m:sSubPr>
            <m:ctrlPr>
              <w:rPr>
                <w:rFonts w:ascii="Cambria Math" w:hAnsi="Cambria Math"/>
                <w:bCs/>
                <w:i/>
                <w:color w:val="000000" w:themeColor="text1"/>
              </w:rPr>
            </m:ctrlPr>
          </m:sSubPr>
          <m:e>
            <m:r>
              <w:rPr>
                <w:rFonts w:ascii="Cambria Math" w:hAnsi="Cambria Math"/>
                <w:color w:val="000000" w:themeColor="text1"/>
              </w:rPr>
              <m:t>C</m:t>
            </m:r>
          </m:e>
          <m:sub>
            <m:r>
              <w:rPr>
                <w:rFonts w:ascii="Cambria Math" w:hAnsi="Cambria Math"/>
                <w:color w:val="000000" w:themeColor="text1"/>
              </w:rPr>
              <m:t>stock</m:t>
            </m:r>
          </m:sub>
        </m:sSub>
        <m:r>
          <w:rPr>
            <w:rFonts w:ascii="Cambria Math" w:hAnsi="Cambria Math"/>
            <w:color w:val="000000" w:themeColor="text1"/>
          </w:rPr>
          <m:t>=0.1×D×TC×</m:t>
        </m:r>
        <m:sSub>
          <m:sSubPr>
            <m:ctrlPr>
              <w:rPr>
                <w:rFonts w:ascii="Cambria Math" w:hAnsi="Cambria Math"/>
                <w:bCs/>
                <w:i/>
                <w:color w:val="000000" w:themeColor="text1"/>
              </w:rPr>
            </m:ctrlPr>
          </m:sSubPr>
          <m:e>
            <m:r>
              <w:rPr>
                <w:rFonts w:ascii="Cambria Math" w:hAnsi="Cambria Math"/>
                <w:color w:val="000000" w:themeColor="text1"/>
              </w:rPr>
              <m:t>ρ</m:t>
            </m:r>
          </m:e>
          <m:sub>
            <m:r>
              <w:rPr>
                <w:rFonts w:ascii="Cambria Math" w:hAnsi="Cambria Math"/>
                <w:color w:val="000000" w:themeColor="text1"/>
              </w:rPr>
              <m:t>b</m:t>
            </m:r>
          </m:sub>
        </m:sSub>
      </m:oMath>
      <w:r w:rsidRPr="000E4C0F">
        <w:rPr>
          <w:bCs/>
          <w:i/>
          <w:iCs/>
          <w:color w:val="000000" w:themeColor="text1"/>
        </w:rPr>
        <w:tab/>
      </w:r>
      <w:r w:rsidRPr="000E4C0F">
        <w:rPr>
          <w:bCs/>
          <w:iCs/>
          <w:color w:val="000000" w:themeColor="text1"/>
        </w:rPr>
        <w:t>(1)</w:t>
      </w:r>
    </w:p>
    <w:p w14:paraId="547AAC00" w14:textId="024C6596" w:rsidR="000E4C0F" w:rsidRPr="000E4C0F" w:rsidRDefault="000E4C0F" w:rsidP="000E4C0F">
      <w:pPr>
        <w:tabs>
          <w:tab w:val="left" w:pos="720"/>
          <w:tab w:val="left" w:pos="8640"/>
        </w:tabs>
        <w:adjustRightInd w:val="0"/>
        <w:snapToGrid w:val="0"/>
        <w:spacing w:line="480" w:lineRule="auto"/>
        <w:rPr>
          <w:bCs/>
          <w:iCs/>
          <w:color w:val="000000" w:themeColor="text1"/>
        </w:rPr>
      </w:pPr>
      <w:r w:rsidRPr="000E4C0F">
        <w:rPr>
          <w:bCs/>
          <w:iCs/>
          <w:color w:val="000000" w:themeColor="text1"/>
        </w:rPr>
        <w:t xml:space="preserve">where </w:t>
      </w:r>
      <w:r w:rsidRPr="000E4C0F">
        <w:rPr>
          <w:bCs/>
          <w:i/>
          <w:iCs/>
          <w:color w:val="000000" w:themeColor="text1"/>
        </w:rPr>
        <w:t>D</w:t>
      </w:r>
      <w:r w:rsidRPr="000E4C0F">
        <w:rPr>
          <w:bCs/>
          <w:iCs/>
          <w:color w:val="000000" w:themeColor="text1"/>
        </w:rPr>
        <w:t xml:space="preserve"> is the soil depth (in cm),</w:t>
      </w:r>
      <w:r w:rsidRPr="000E4C0F">
        <w:rPr>
          <w:bCs/>
          <w:i/>
          <w:iCs/>
          <w:color w:val="000000" w:themeColor="text1"/>
        </w:rPr>
        <w:t xml:space="preserve"> TC</w:t>
      </w:r>
      <w:r w:rsidRPr="000E4C0F">
        <w:rPr>
          <w:bCs/>
          <w:iCs/>
          <w:color w:val="000000" w:themeColor="text1"/>
        </w:rPr>
        <w:t xml:space="preserve"> is total soil carbon (in </w:t>
      </w:r>
      <w:r w:rsidR="00A253DA">
        <w:rPr>
          <w:bCs/>
          <w:iCs/>
          <w:color w:val="000000" w:themeColor="text1"/>
        </w:rPr>
        <w:t>g kg</w:t>
      </w:r>
      <w:r w:rsidR="00A253DA">
        <w:rPr>
          <w:bCs/>
          <w:iCs/>
          <w:color w:val="000000" w:themeColor="text1"/>
          <w:vertAlign w:val="superscript"/>
        </w:rPr>
        <w:t>-1</w:t>
      </w:r>
      <w:r w:rsidRPr="000E4C0F">
        <w:rPr>
          <w:bCs/>
          <w:iCs/>
          <w:color w:val="000000" w:themeColor="text1"/>
        </w:rPr>
        <w:t xml:space="preserve">), and </w:t>
      </w:r>
      <w:proofErr w:type="spellStart"/>
      <w:r w:rsidRPr="000E4C0F">
        <w:rPr>
          <w:bCs/>
          <w:i/>
          <w:iCs/>
          <w:color w:val="000000" w:themeColor="text1"/>
        </w:rPr>
        <w:t>ρ</w:t>
      </w:r>
      <w:r w:rsidRPr="000E4C0F">
        <w:rPr>
          <w:bCs/>
          <w:i/>
          <w:iCs/>
          <w:color w:val="000000" w:themeColor="text1"/>
          <w:vertAlign w:val="subscript"/>
        </w:rPr>
        <w:t>b</w:t>
      </w:r>
      <w:proofErr w:type="spellEnd"/>
      <w:r w:rsidRPr="000E4C0F">
        <w:rPr>
          <w:bCs/>
          <w:iCs/>
          <w:color w:val="000000" w:themeColor="text1"/>
        </w:rPr>
        <w:t xml:space="preserve"> is the soil bulk density (in g</w:t>
      </w:r>
      <w:r w:rsidR="00F0119A">
        <w:rPr>
          <w:bCs/>
          <w:iCs/>
          <w:color w:val="000000" w:themeColor="text1"/>
        </w:rPr>
        <w:t xml:space="preserve"> </w:t>
      </w:r>
      <w:r w:rsidRPr="00F0119A">
        <w:rPr>
          <w:bCs/>
          <w:iCs/>
          <w:color w:val="000000" w:themeColor="text1"/>
        </w:rPr>
        <w:t>cm</w:t>
      </w:r>
      <w:r w:rsidR="00F0119A">
        <w:rPr>
          <w:bCs/>
          <w:iCs/>
          <w:color w:val="000000" w:themeColor="text1"/>
          <w:vertAlign w:val="superscript"/>
        </w:rPr>
        <w:t>-</w:t>
      </w:r>
      <w:r w:rsidRPr="00F0119A">
        <w:rPr>
          <w:bCs/>
          <w:iCs/>
          <w:color w:val="000000" w:themeColor="text1"/>
          <w:vertAlign w:val="superscript"/>
        </w:rPr>
        <w:t>3</w:t>
      </w:r>
      <w:r w:rsidRPr="000E4C0F">
        <w:rPr>
          <w:bCs/>
          <w:iCs/>
          <w:color w:val="000000" w:themeColor="text1"/>
        </w:rPr>
        <w:t xml:space="preserve">). </w:t>
      </w:r>
    </w:p>
    <w:p w14:paraId="01256A86" w14:textId="77777777" w:rsidR="000E4C0F" w:rsidRPr="000E4C0F" w:rsidRDefault="000E4C0F" w:rsidP="000E4C0F">
      <w:pPr>
        <w:widowControl w:val="0"/>
        <w:autoSpaceDE w:val="0"/>
        <w:autoSpaceDN w:val="0"/>
        <w:adjustRightInd w:val="0"/>
        <w:spacing w:line="480" w:lineRule="auto"/>
        <w:rPr>
          <w:bCs/>
          <w:i/>
          <w:iCs/>
          <w:color w:val="000000" w:themeColor="text1"/>
        </w:rPr>
      </w:pPr>
      <w:r w:rsidRPr="000E4C0F">
        <w:rPr>
          <w:bCs/>
          <w:i/>
          <w:iCs/>
          <w:color w:val="000000" w:themeColor="text1"/>
        </w:rPr>
        <w:t>1.2.4 Winter Cover Biomass</w:t>
      </w:r>
    </w:p>
    <w:p w14:paraId="13744716" w14:textId="77777777" w:rsidR="000E4C0F" w:rsidRPr="000E4C0F" w:rsidRDefault="000E4C0F" w:rsidP="000E4C0F">
      <w:pPr>
        <w:widowControl w:val="0"/>
        <w:autoSpaceDE w:val="0"/>
        <w:autoSpaceDN w:val="0"/>
        <w:adjustRightInd w:val="0"/>
        <w:spacing w:line="480" w:lineRule="auto"/>
        <w:rPr>
          <w:bCs/>
          <w:color w:val="000000" w:themeColor="text1"/>
        </w:rPr>
      </w:pPr>
      <w:r w:rsidRPr="000E4C0F">
        <w:rPr>
          <w:bCs/>
          <w:i/>
          <w:iCs/>
          <w:color w:val="000000" w:themeColor="text1"/>
        </w:rPr>
        <w:lastRenderedPageBreak/>
        <w:tab/>
      </w:r>
      <w:r w:rsidRPr="000E4C0F">
        <w:rPr>
          <w:bCs/>
          <w:color w:val="000000" w:themeColor="text1"/>
        </w:rPr>
        <w:t xml:space="preserve">Winter cover biomass was measured in 2018 and 2022 to determine how much biomass was returned to the field in those years. The biomass was sampled by laying a </w:t>
      </w:r>
      <w:r w:rsidRPr="000E4C0F">
        <w:rPr>
          <w:rFonts w:eastAsiaTheme="minorHAnsi"/>
          <w:bCs/>
          <w:color w:val="000000" w:themeColor="text1"/>
        </w:rPr>
        <w:t>0.5 m x 0.5 m quadrat in a random location in each plot and harvesting all aboveground biomass.</w:t>
      </w:r>
      <w:r w:rsidRPr="000E4C0F">
        <w:rPr>
          <w:bCs/>
          <w:color w:val="000000" w:themeColor="text1"/>
        </w:rPr>
        <w:t xml:space="preserve"> The biomass was calculated by converting the dry mass (g) per sampling area (0.25 m</w:t>
      </w:r>
      <w:r w:rsidRPr="000E4C0F">
        <w:rPr>
          <w:bCs/>
          <w:color w:val="000000" w:themeColor="text1"/>
          <w:vertAlign w:val="superscript"/>
        </w:rPr>
        <w:t>2</w:t>
      </w:r>
      <w:r w:rsidRPr="000E4C0F">
        <w:rPr>
          <w:bCs/>
          <w:color w:val="000000" w:themeColor="text1"/>
        </w:rPr>
        <w:t>) to mass (kg) per hectare</w:t>
      </w:r>
      <w:r w:rsidR="00AB6D4C">
        <w:rPr>
          <w:bCs/>
          <w:color w:val="000000" w:themeColor="text1"/>
        </w:rPr>
        <w:t xml:space="preserve"> (ha)</w:t>
      </w:r>
      <w:r w:rsidRPr="000E4C0F">
        <w:rPr>
          <w:bCs/>
          <w:color w:val="000000" w:themeColor="text1"/>
        </w:rPr>
        <w:t>. Winter cash crop residue returned to the surface (Residue) was estimated based on measured grain yield using:</w:t>
      </w:r>
    </w:p>
    <w:p w14:paraId="6ED7D781" w14:textId="77777777" w:rsidR="000E4C0F" w:rsidRPr="000E4C0F" w:rsidRDefault="000E4C0F" w:rsidP="000E4C0F">
      <w:pPr>
        <w:widowControl w:val="0"/>
        <w:autoSpaceDE w:val="0"/>
        <w:autoSpaceDN w:val="0"/>
        <w:adjustRightInd w:val="0"/>
        <w:spacing w:line="480" w:lineRule="auto"/>
        <w:rPr>
          <w:bCs/>
          <w:color w:val="000000" w:themeColor="text1"/>
        </w:rPr>
      </w:pPr>
      <w:r w:rsidRPr="000E4C0F">
        <w:rPr>
          <w:bCs/>
          <w:color w:val="000000" w:themeColor="text1"/>
        </w:rPr>
        <w:tab/>
      </w:r>
      <m:oMath>
        <m:r>
          <w:rPr>
            <w:rFonts w:ascii="Cambria Math" w:hAnsi="Cambria Math"/>
            <w:color w:val="000000" w:themeColor="text1"/>
          </w:rPr>
          <m:t>Residue=</m:t>
        </m:r>
        <m:f>
          <m:fPr>
            <m:ctrlPr>
              <w:rPr>
                <w:rFonts w:ascii="Cambria Math" w:hAnsi="Cambria Math"/>
                <w:bCs/>
                <w:i/>
                <w:color w:val="000000" w:themeColor="text1"/>
              </w:rPr>
            </m:ctrlPr>
          </m:fPr>
          <m:num>
            <m:r>
              <w:rPr>
                <w:rFonts w:ascii="Cambria Math" w:hAnsi="Cambria Math"/>
                <w:color w:val="000000" w:themeColor="text1"/>
              </w:rPr>
              <m:t>(1-Harvest Index)</m:t>
            </m:r>
          </m:num>
          <m:den>
            <m:r>
              <w:rPr>
                <w:rFonts w:ascii="Cambria Math" w:hAnsi="Cambria Math"/>
                <w:color w:val="000000" w:themeColor="text1"/>
              </w:rPr>
              <m:t>Harvest Index</m:t>
            </m:r>
          </m:den>
        </m:f>
        <m:r>
          <w:rPr>
            <w:rFonts w:ascii="Cambria Math" w:hAnsi="Cambria Math"/>
            <w:color w:val="000000" w:themeColor="text1"/>
          </w:rPr>
          <m:t>×Grain Yield</m:t>
        </m:r>
      </m:oMath>
      <w:r w:rsidRPr="000E4C0F">
        <w:rPr>
          <w:bCs/>
          <w:color w:val="000000" w:themeColor="text1"/>
        </w:rPr>
        <w:t xml:space="preserve">                                                                (2). Winter wheat was assumed to have </w:t>
      </w:r>
      <w:r w:rsidRPr="000E4C0F">
        <w:rPr>
          <w:bCs/>
          <w:i/>
          <w:color w:val="000000" w:themeColor="text1"/>
        </w:rPr>
        <w:t>Harvest Index</w:t>
      </w:r>
      <w:r w:rsidRPr="000E4C0F">
        <w:rPr>
          <w:bCs/>
          <w:color w:val="000000" w:themeColor="text1"/>
        </w:rPr>
        <w:t xml:space="preserve"> = 0.45 </w:t>
      </w:r>
      <w:r w:rsidRPr="000E4C0F">
        <w:rPr>
          <w:bCs/>
          <w:color w:val="000000" w:themeColor="text1"/>
        </w:rPr>
        <w:fldChar w:fldCharType="begin"/>
      </w:r>
      <w:r w:rsidRPr="000E4C0F">
        <w:rPr>
          <w:bCs/>
          <w:color w:val="000000" w:themeColor="text1"/>
        </w:rPr>
        <w:instrText xml:space="preserve"> ADDIN ZOTERO_ITEM CSL_CITATION {"citationID":"ob4daXW9","properties":{"formattedCitation":"(Dai et al., 2016)","plainCitation":"(Dai et al., 2016)","noteIndex":0},"citationItems":[{"id":266,"uris":["http://zotero.org/users/9588463/items/97WIY46V"],"itemData":{"id":266,"type":"article-journal","container-title":"Biomass and Bioenergy","DOI":"10.1016/j.biombioe.2015.12.023","ISSN":"09619534","journalAbbreviation":"Biomass and Bioenergy","language":"en","page":"223-227","source":"DOI.org (Crossref)","title":"Harvest index and straw yield of five classes of wheat","volume":"85","author":[{"family":"Dai","given":"Jing"},{"family":"Bean","given":"Brent"},{"family":"Brown","given":"Bradford"},{"family":"Bruening","given":"William"},{"family":"Edwards","given":"Jeff"},{"family":"Flowers","given":"Michael"},{"family":"Karow","given":"Russell"},{"family":"Lee","given":"Chad"},{"family":"Morgan","given":"Gaylon"},{"family":"Ottman","given":"Michael"},{"family":"Ransom","given":"Joel"},{"family":"Wiersma","given":"Jochum"}],"issued":{"date-parts":[["2016",2]]}}}],"schema":"https://github.com/citation-style-language/schema/raw/master/csl-citation.json"} </w:instrText>
      </w:r>
      <w:r w:rsidRPr="000E4C0F">
        <w:rPr>
          <w:bCs/>
          <w:color w:val="000000" w:themeColor="text1"/>
        </w:rPr>
        <w:fldChar w:fldCharType="separate"/>
      </w:r>
      <w:r w:rsidRPr="000E4C0F">
        <w:rPr>
          <w:bCs/>
          <w:noProof/>
          <w:color w:val="000000" w:themeColor="text1"/>
        </w:rPr>
        <w:t>(Dai et al., 2016)</w:t>
      </w:r>
      <w:r w:rsidRPr="000E4C0F">
        <w:rPr>
          <w:bCs/>
          <w:color w:val="000000" w:themeColor="text1"/>
        </w:rPr>
        <w:fldChar w:fldCharType="end"/>
      </w:r>
      <w:r w:rsidRPr="000E4C0F">
        <w:rPr>
          <w:bCs/>
          <w:color w:val="000000" w:themeColor="text1"/>
        </w:rPr>
        <w:t xml:space="preserve">. Rapeseed was assumed to have </w:t>
      </w:r>
      <w:r w:rsidRPr="000E4C0F">
        <w:rPr>
          <w:bCs/>
          <w:i/>
          <w:iCs/>
          <w:color w:val="000000" w:themeColor="text1"/>
        </w:rPr>
        <w:t>Harvest Index = 0.24</w:t>
      </w:r>
      <w:r w:rsidRPr="000E4C0F">
        <w:rPr>
          <w:bCs/>
          <w:color w:val="000000" w:themeColor="text1"/>
        </w:rPr>
        <w:t xml:space="preserve"> </w:t>
      </w:r>
      <w:r w:rsidRPr="000E4C0F">
        <w:rPr>
          <w:bCs/>
          <w:color w:val="000000" w:themeColor="text1"/>
        </w:rPr>
        <w:fldChar w:fldCharType="begin"/>
      </w:r>
      <w:r w:rsidRPr="000E4C0F">
        <w:rPr>
          <w:bCs/>
          <w:color w:val="000000" w:themeColor="text1"/>
        </w:rPr>
        <w:instrText xml:space="preserve"> ADDIN ZOTERO_ITEM CSL_CITATION {"citationID":"KyfwXkFq","properties":{"formattedCitation":"(Luo et al., 2015)","plainCitation":"(Luo et al., 2015)","noteIndex":0},"citationItems":[{"id":298,"uris":["http://zotero.org/users/9588463/items/7H388EYQ"],"itemData":{"id":298,"type":"article-journal","container-title":"BMC Genomics","DOI":"10.1186/s12864-015-1607-0","ISSN":"1471-2164","issue":"1","journalAbbreviation":"BMC Genomics","language":"en","page":"379","source":"DOI.org (Crossref)","title":"Unravelling the complex trait of harvest index in rapeseed (Brassica napus L.) with association mapping","volume":"16","author":[{"family":"Luo","given":"Xiang"},{"family":"Ma","given":"Chaozhi"},{"family":"Yue","given":"Yao"},{"family":"Hu","given":"Kaining"},{"family":"Li","given":"Yaya"},{"family":"Duan","given":"Zhiqiang"},{"family":"Wu","given":"Ming"},{"family":"Tu","given":"Jinxing"},{"family":"Shen","given":"Jinxiong"},{"family":"Yi","given":"Bin"},{"family":"Fu","given":"Tingdong"}],"issued":{"date-parts":[["2015",12]]}}}],"schema":"https://github.com/citation-style-language/schema/raw/master/csl-citation.json"} </w:instrText>
      </w:r>
      <w:r w:rsidRPr="000E4C0F">
        <w:rPr>
          <w:bCs/>
          <w:color w:val="000000" w:themeColor="text1"/>
        </w:rPr>
        <w:fldChar w:fldCharType="separate"/>
      </w:r>
      <w:r w:rsidRPr="000E4C0F">
        <w:rPr>
          <w:bCs/>
          <w:noProof/>
          <w:color w:val="000000" w:themeColor="text1"/>
        </w:rPr>
        <w:t>(Luo et al., 2015)</w:t>
      </w:r>
      <w:r w:rsidRPr="000E4C0F">
        <w:rPr>
          <w:bCs/>
          <w:color w:val="000000" w:themeColor="text1"/>
        </w:rPr>
        <w:fldChar w:fldCharType="end"/>
      </w:r>
      <w:r w:rsidRPr="000E4C0F">
        <w:rPr>
          <w:bCs/>
          <w:color w:val="000000" w:themeColor="text1"/>
        </w:rPr>
        <w:t xml:space="preserve">. </w:t>
      </w:r>
    </w:p>
    <w:p w14:paraId="69736443" w14:textId="77777777" w:rsidR="000E4C0F" w:rsidRPr="000E4C0F" w:rsidRDefault="000E4C0F" w:rsidP="000E4C0F">
      <w:pPr>
        <w:widowControl w:val="0"/>
        <w:autoSpaceDE w:val="0"/>
        <w:autoSpaceDN w:val="0"/>
        <w:adjustRightInd w:val="0"/>
        <w:spacing w:line="480" w:lineRule="auto"/>
        <w:rPr>
          <w:bCs/>
          <w:i/>
          <w:iCs/>
          <w:color w:val="000000" w:themeColor="text1"/>
        </w:rPr>
      </w:pPr>
      <w:r w:rsidRPr="000E4C0F">
        <w:rPr>
          <w:bCs/>
          <w:i/>
          <w:iCs/>
          <w:color w:val="000000" w:themeColor="text1"/>
        </w:rPr>
        <w:t>1.2.5 Cash Crop Yield</w:t>
      </w:r>
    </w:p>
    <w:p w14:paraId="0ADA5242" w14:textId="77777777" w:rsidR="000E4C0F" w:rsidRPr="000E4C0F" w:rsidRDefault="000E4C0F" w:rsidP="000E4C0F">
      <w:pPr>
        <w:widowControl w:val="0"/>
        <w:autoSpaceDE w:val="0"/>
        <w:autoSpaceDN w:val="0"/>
        <w:adjustRightInd w:val="0"/>
        <w:spacing w:line="480" w:lineRule="auto"/>
        <w:ind w:firstLine="720"/>
        <w:rPr>
          <w:bCs/>
          <w:color w:val="000000" w:themeColor="text1"/>
        </w:rPr>
      </w:pPr>
      <w:r w:rsidRPr="000E4C0F">
        <w:rPr>
          <w:bCs/>
          <w:color w:val="000000" w:themeColor="text1"/>
        </w:rPr>
        <w:t>Each year, the center two rows per plot were harvested to determine summer cash crop yield. Crop yield was taken in every year (2017-2022) except in 2020. Cotton lint yield and peanut yields were calculated by converting the mass (kg) per plot to the mass (kg) per hectare. Corn and soybean yield were calculated by adjusting the harvest mass to a standard moisture (15.5% for corn and 13% for soybean), and then converting the mass (kg) per plot to the mass (kg) per hectare</w:t>
      </w:r>
      <w:r w:rsidR="00AB6D4C">
        <w:rPr>
          <w:bCs/>
          <w:color w:val="000000" w:themeColor="text1"/>
        </w:rPr>
        <w:t>.</w:t>
      </w:r>
    </w:p>
    <w:p w14:paraId="74926160" w14:textId="77777777" w:rsidR="000E4C0F" w:rsidRPr="000E4C0F" w:rsidRDefault="000E4C0F" w:rsidP="000E4C0F">
      <w:pPr>
        <w:pStyle w:val="Heading3"/>
        <w:spacing w:line="480" w:lineRule="auto"/>
        <w:rPr>
          <w:rFonts w:cs="Times New Roman"/>
          <w:bCs/>
          <w:i/>
          <w:color w:val="000000" w:themeColor="text1"/>
          <w:sz w:val="24"/>
          <w:szCs w:val="24"/>
        </w:rPr>
      </w:pPr>
      <w:bookmarkStart w:id="5" w:name="_Toc139968600"/>
      <w:r w:rsidRPr="000E4C0F">
        <w:rPr>
          <w:rFonts w:cs="Times New Roman"/>
          <w:bCs/>
          <w:i/>
          <w:color w:val="000000" w:themeColor="text1"/>
          <w:sz w:val="24"/>
          <w:szCs w:val="24"/>
        </w:rPr>
        <w:t>1.2.6 Statistical Analyses</w:t>
      </w:r>
      <w:bookmarkEnd w:id="5"/>
    </w:p>
    <w:p w14:paraId="2EAE90F1" w14:textId="77777777" w:rsidR="000E4C0F" w:rsidRPr="000E4C0F" w:rsidRDefault="000E4C0F" w:rsidP="000E4C0F">
      <w:pPr>
        <w:autoSpaceDE w:val="0"/>
        <w:autoSpaceDN w:val="0"/>
        <w:adjustRightInd w:val="0"/>
        <w:spacing w:line="480" w:lineRule="auto"/>
        <w:ind w:firstLine="720"/>
        <w:rPr>
          <w:bCs/>
          <w:color w:val="000000" w:themeColor="text1"/>
        </w:rPr>
      </w:pPr>
      <w:r w:rsidRPr="000E4C0F">
        <w:rPr>
          <w:bCs/>
          <w:color w:val="000000" w:themeColor="text1"/>
        </w:rPr>
        <w:t xml:space="preserve">We used a split-plot two-way ANOVA to determine </w:t>
      </w:r>
      <w:r w:rsidRPr="000E4C0F">
        <w:rPr>
          <w:rFonts w:eastAsiaTheme="minorEastAsia"/>
          <w:bCs/>
          <w:color w:val="000000" w:themeColor="text1"/>
        </w:rPr>
        <w:t xml:space="preserve">if winter cover, tillage, or their interaction had a significant effect on soil properties. </w:t>
      </w:r>
      <w:r w:rsidRPr="000E4C0F">
        <w:rPr>
          <w:bCs/>
          <w:color w:val="000000" w:themeColor="text1"/>
        </w:rPr>
        <w:t>The Tukey-Kramer’s HSD method was used for mean separation, with α = 0.05 as the level of significance. A Shapiro-wilk test was run on data to test for normality. Both years of the K</w:t>
      </w:r>
      <w:r w:rsidRPr="000E4C0F">
        <w:rPr>
          <w:bCs/>
          <w:color w:val="000000" w:themeColor="text1"/>
          <w:vertAlign w:val="subscript"/>
        </w:rPr>
        <w:t>sat</w:t>
      </w:r>
      <w:r w:rsidRPr="000E4C0F">
        <w:rPr>
          <w:bCs/>
          <w:color w:val="000000" w:themeColor="text1"/>
        </w:rPr>
        <w:t xml:space="preserve"> data and all years of the carbon concentration data were log-transformed prior to statistical analysis. However, non-transformed values were </w:t>
      </w:r>
      <w:r w:rsidRPr="000E4C0F">
        <w:rPr>
          <w:bCs/>
          <w:color w:val="000000" w:themeColor="text1"/>
        </w:rPr>
        <w:lastRenderedPageBreak/>
        <w:t>reported in figures. All statistical analyses were performed using R Version 4.1.3 (R Development Core Team, 2022.)</w:t>
      </w:r>
    </w:p>
    <w:p w14:paraId="79FB4B22" w14:textId="77777777" w:rsidR="000E4C0F" w:rsidRPr="000E4C0F" w:rsidRDefault="000E4C0F" w:rsidP="000E4C0F">
      <w:pPr>
        <w:pStyle w:val="Heading2"/>
        <w:spacing w:line="480" w:lineRule="auto"/>
        <w:rPr>
          <w:rFonts w:ascii="Times New Roman" w:hAnsi="Times New Roman" w:cs="Times New Roman"/>
          <w:bCs/>
          <w:color w:val="000000" w:themeColor="text1"/>
          <w:sz w:val="24"/>
          <w:szCs w:val="24"/>
        </w:rPr>
      </w:pPr>
      <w:r w:rsidRPr="000E4C0F">
        <w:rPr>
          <w:rFonts w:ascii="Times New Roman" w:hAnsi="Times New Roman" w:cs="Times New Roman"/>
          <w:color w:val="000000" w:themeColor="text1"/>
          <w:sz w:val="24"/>
          <w:szCs w:val="24"/>
        </w:rPr>
        <w:t>1.3 Results and Discussion</w:t>
      </w:r>
    </w:p>
    <w:p w14:paraId="387E5289" w14:textId="77777777" w:rsidR="000E4C0F" w:rsidRPr="000E4C0F" w:rsidRDefault="000E4C0F" w:rsidP="000E4C0F">
      <w:pPr>
        <w:pStyle w:val="Heading3"/>
        <w:spacing w:line="480" w:lineRule="auto"/>
        <w:rPr>
          <w:rFonts w:cs="Times New Roman"/>
          <w:bCs/>
          <w:i/>
          <w:color w:val="000000" w:themeColor="text1"/>
          <w:sz w:val="24"/>
          <w:szCs w:val="24"/>
        </w:rPr>
      </w:pPr>
      <w:r w:rsidRPr="000E4C0F">
        <w:rPr>
          <w:rFonts w:cs="Times New Roman"/>
          <w:bCs/>
          <w:i/>
          <w:color w:val="000000" w:themeColor="text1"/>
          <w:sz w:val="24"/>
          <w:szCs w:val="24"/>
        </w:rPr>
        <w:t>1.3.1 Winter Cover Biomass</w:t>
      </w:r>
    </w:p>
    <w:p w14:paraId="61311CEC" w14:textId="77777777" w:rsidR="000E4C0F" w:rsidRPr="000E4C0F" w:rsidRDefault="000E4C0F" w:rsidP="000E4C0F">
      <w:pPr>
        <w:spacing w:line="480" w:lineRule="auto"/>
        <w:ind w:firstLine="720"/>
        <w:rPr>
          <w:bCs/>
          <w:color w:val="000000" w:themeColor="text1"/>
        </w:rPr>
      </w:pPr>
      <w:r w:rsidRPr="000E4C0F">
        <w:rPr>
          <w:bCs/>
          <w:color w:val="000000" w:themeColor="text1"/>
        </w:rPr>
        <w:t>The amount of biomass returned to the soil differed between winter cover treatments in both 2018 and 2022 (p &lt; 0.0001; Figure 2). In 2018, the winter cash crop had significantly higher biomass (</w:t>
      </w:r>
      <w:r w:rsidRPr="000E4C0F">
        <w:rPr>
          <w:bCs/>
          <w:color w:val="000000" w:themeColor="text1"/>
          <w:shd w:val="clear" w:color="auto" w:fill="FFFFFF"/>
        </w:rPr>
        <w:t xml:space="preserve">9,819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xml:space="preserve">) than the cover crop (5,836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and both had significantly more biomass than the fallow (</w:t>
      </w:r>
      <w:r w:rsidRPr="000E4C0F">
        <w:rPr>
          <w:bCs/>
          <w:color w:val="000000" w:themeColor="text1"/>
          <w:shd w:val="clear" w:color="auto" w:fill="FFFFFF"/>
        </w:rPr>
        <w:t xml:space="preserve">933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In 2022, the cash crop (</w:t>
      </w:r>
      <w:r w:rsidRPr="000E4C0F">
        <w:rPr>
          <w:bCs/>
          <w:color w:val="000000" w:themeColor="text1"/>
          <w:shd w:val="clear" w:color="auto" w:fill="FFFFFF"/>
        </w:rPr>
        <w:t xml:space="preserve">4,338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xml:space="preserve">) again had significantly more biomass than the cover crop (1,781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and both were significantly greater than the fallow (</w:t>
      </w:r>
      <w:r w:rsidRPr="000E4C0F">
        <w:rPr>
          <w:bCs/>
          <w:color w:val="000000" w:themeColor="text1"/>
          <w:shd w:val="clear" w:color="auto" w:fill="FFFFFF"/>
        </w:rPr>
        <w:t xml:space="preserve">436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The increased biomass in the winter cash crop treatments was likely because the cash crops were fertilized, whereas the cover crops were not.</w:t>
      </w:r>
    </w:p>
    <w:p w14:paraId="342F6AB1" w14:textId="77777777" w:rsidR="000E4C0F" w:rsidRPr="000E4C0F" w:rsidRDefault="000E4C0F" w:rsidP="000E4C0F">
      <w:pPr>
        <w:spacing w:line="480" w:lineRule="auto"/>
        <w:ind w:firstLine="720"/>
        <w:rPr>
          <w:bCs/>
          <w:color w:val="000000" w:themeColor="text1"/>
        </w:rPr>
      </w:pPr>
      <w:r w:rsidRPr="000E4C0F">
        <w:rPr>
          <w:bCs/>
          <w:color w:val="000000" w:themeColor="text1"/>
        </w:rPr>
        <w:t xml:space="preserve">Since the winter cash crop biomass was sampled before grain harvest in both 2018 and 2022, we also estimated biomass values using a harvest index for each crop (rapeseed in 2018 and winter wheat in 2022; Table A.2). In 2018, using the harvest index resulted in an estimated biomass return of 1,698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00AB6D4C" w:rsidRPr="000E4C0F">
        <w:rPr>
          <w:bCs/>
          <w:color w:val="000000" w:themeColor="text1"/>
        </w:rPr>
        <w:t xml:space="preserve"> </w:t>
      </w:r>
      <w:r w:rsidRPr="000E4C0F">
        <w:rPr>
          <w:bCs/>
          <w:color w:val="000000" w:themeColor="text1"/>
        </w:rPr>
        <w:t>(for rapeseed), which was lower than either the harvested cash crop biomass (</w:t>
      </w:r>
      <w:r w:rsidRPr="000E4C0F">
        <w:rPr>
          <w:bCs/>
          <w:color w:val="000000" w:themeColor="text1"/>
          <w:shd w:val="clear" w:color="auto" w:fill="FFFFFF"/>
        </w:rPr>
        <w:t xml:space="preserve">9,819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shd w:val="clear" w:color="auto" w:fill="FFFFFF"/>
        </w:rPr>
        <w:t>) or the cover crop biomass (</w:t>
      </w:r>
      <w:r w:rsidRPr="000E4C0F">
        <w:rPr>
          <w:bCs/>
          <w:color w:val="000000" w:themeColor="text1"/>
        </w:rPr>
        <w:t xml:space="preserve">5,836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xml:space="preserve">). Using the harvest index for 2022 (winter wheat) resulted in an estimated winter cash crop biomass of 2,729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xml:space="preserve">, which was also lower than the harvested biomass, but still higher than the cover crop biomass (1,781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xml:space="preserve">). Therefore, the mean winter cash crop biomass values estimated with the harvest index were lower than the mean harvested biomass values in both years. This discrepancy was likely because the harvested biomass included the wheat grain, which would have been removed before residue return. </w:t>
      </w:r>
    </w:p>
    <w:p w14:paraId="1A1CE3CA" w14:textId="77777777" w:rsidR="000E4C0F" w:rsidRPr="000E4C0F" w:rsidRDefault="000E4C0F" w:rsidP="000E4C0F">
      <w:pPr>
        <w:pStyle w:val="Heading3"/>
        <w:spacing w:line="480" w:lineRule="auto"/>
        <w:rPr>
          <w:rFonts w:cs="Times New Roman"/>
          <w:bCs/>
          <w:i/>
          <w:color w:val="000000" w:themeColor="text1"/>
          <w:sz w:val="24"/>
          <w:szCs w:val="24"/>
        </w:rPr>
      </w:pPr>
      <w:bookmarkStart w:id="6" w:name="_Toc139968602"/>
      <w:r w:rsidRPr="000E4C0F">
        <w:rPr>
          <w:rFonts w:cs="Times New Roman"/>
          <w:bCs/>
          <w:i/>
          <w:color w:val="000000" w:themeColor="text1"/>
          <w:sz w:val="24"/>
          <w:szCs w:val="24"/>
        </w:rPr>
        <w:lastRenderedPageBreak/>
        <w:t>1.3.2 Bulk Density</w:t>
      </w:r>
      <w:bookmarkEnd w:id="6"/>
    </w:p>
    <w:p w14:paraId="615B8DE7"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 xml:space="preserve">Temporal variability in bulk density was greater in the conventional and strip tillage systems than the minimal and no tillage systems (Figure 3). While all bulk densities measured in 2019 were not significantly different from each other, in summer 2022 the bulk density values for soils under conventional and strip tillage were significantly lower than the other two tillage treatments both at the 0-5 cm (p = 0.004) and 10-15 cm (p = 0.022) depths (Table A.1). The bulk densities measured in March 2023 for strip tillage and conventional tillage both increased from the summer 2022 values, and bulk density was once again not significantly different between treatments. Nonetheless, bulk densities decreased through time in the upper 5 cm of the minimal tillage and no tillage treatments. This decreasing pattern was not seen in the subsurface depths (5-10 cm and 10-15 cm). </w:t>
      </w:r>
    </w:p>
    <w:p w14:paraId="105FC8BD"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 xml:space="preserve">The significant differences between treatments in 2022 can be explained by the recent tillage implementation. Tillage was conducted about a month before the 2022 measurements were taken in July, whereas the March 2023 measurements were taken about 9 months after the last tillage event. The lack of significant differences between treatments in 2023 indicate that soil structure reconsolidated in the nine months since tillage was implemented for the strip and conventional tillage plots. </w:t>
      </w:r>
      <w:r w:rsidRPr="000E4C0F">
        <w:rPr>
          <w:bCs/>
          <w:color w:val="000000" w:themeColor="text1"/>
        </w:rPr>
        <w:fldChar w:fldCharType="begin"/>
      </w:r>
      <w:r w:rsidRPr="000E4C0F">
        <w:rPr>
          <w:bCs/>
          <w:color w:val="000000" w:themeColor="text1"/>
        </w:rPr>
        <w:instrText xml:space="preserve"> ADDIN ZOTERO_ITEM CSL_CITATION {"citationID":"JwLDle88","properties":{"formattedCitation":"(Alletto &amp; Coquet, 2009)","plainCitation":"(Alletto &amp; Coquet, 2009)","dontUpdate":true,"noteIndex":0},"citationItems":[{"id":229,"uris":["http://zotero.org/users/9588463/items/SZV3LLXE"],"itemData":{"id":229,"type":"article-journal","container-title":"Geoderma","DOI":"10.1016/j.geoderma.2009.05.023","ISSN":"00167061","issue":"1-2","journalAbbreviation":"Geoderma","language":"en","page":"85-94","source":"DOI.org (Crossref)","title":"Temporal and spatial variability of soil bulk density and near-saturated hydraulic conductivity under two contrasted tillage management systems","volume":"152","author":[{"family":"Alletto","given":"Lionel"},{"family":"Coquet","given":"Yves"}],"issued":{"date-parts":[["2009",8]]}}}],"schema":"https://github.com/citation-style-language/schema/raw/master/csl-citation.json"} </w:instrText>
      </w:r>
      <w:r w:rsidRPr="000E4C0F">
        <w:rPr>
          <w:bCs/>
          <w:color w:val="000000" w:themeColor="text1"/>
        </w:rPr>
        <w:fldChar w:fldCharType="separate"/>
      </w:r>
      <w:r w:rsidRPr="000E4C0F">
        <w:rPr>
          <w:bCs/>
          <w:noProof/>
          <w:color w:val="000000" w:themeColor="text1"/>
        </w:rPr>
        <w:t>Alletto &amp; Coquet (2009)</w:t>
      </w:r>
      <w:r w:rsidRPr="000E4C0F">
        <w:rPr>
          <w:bCs/>
          <w:color w:val="000000" w:themeColor="text1"/>
        </w:rPr>
        <w:fldChar w:fldCharType="end"/>
      </w:r>
      <w:r w:rsidRPr="000E4C0F">
        <w:rPr>
          <w:bCs/>
          <w:color w:val="000000" w:themeColor="text1"/>
        </w:rPr>
        <w:t xml:space="preserve"> measured the temporal change in bulk density between conventional and conservation tillage treatments and found that soils significantly increased in bulk density by 51 days after tillage, and that there was greater variation in conventionally tilled soils. Taken together, these results suggest that while tillage can decrease bulk density for a brief period, soils are likely to reconsolidate to bulk densities that are similar to or even greater than the initial bulk density.</w:t>
      </w:r>
    </w:p>
    <w:p w14:paraId="45A4AAC4"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lastRenderedPageBreak/>
        <w:t xml:space="preserve">We observed a decreasing bulk density in the top 5 cm of no tillage and minimal tillage systems over time (Figure 3). This result matches the outcome observed by </w:t>
      </w:r>
      <w:r w:rsidRPr="000E4C0F">
        <w:rPr>
          <w:bCs/>
          <w:color w:val="000000" w:themeColor="text1"/>
        </w:rPr>
        <w:fldChar w:fldCharType="begin"/>
      </w:r>
      <w:r w:rsidRPr="000E4C0F">
        <w:rPr>
          <w:bCs/>
          <w:color w:val="000000" w:themeColor="text1"/>
        </w:rPr>
        <w:instrText xml:space="preserve"> ADDIN ZOTERO_ITEM CSL_CITATION {"citationID":"t4WgaTQL","properties":{"formattedCitation":"(Spargo et al., 2008)","plainCitation":"(Spargo et al., 2008)","dontUpdate":true,"noteIndex":0},"citationItems":[{"id":46,"uris":["http://zotero.org/users/9588463/items/J3FVB3XM"],"itemData":{"id":46,"type":"article-journal","container-title":"Soil and Tillage Research","DOI":"10.1016/j.still.2008.05.010","ISSN":"01671987","issue":"1-2","journalAbbreviation":"Soil and Tillage Research","language":"en","page":"133-140","source":"DOI.org (Crossref)","title":"Soil carbon sequestration with continuous no-till management of grain cropping systems in the Virginia coastal plain","volume":"100","author":[{"family":"Spargo","given":"J"},{"family":"Alley","given":"M"},{"family":"Follett","given":"R"},{"family":"Wallace","given":"J"}],"issued":{"date-parts":[["2008",7]]}}}],"schema":"https://github.com/citation-style-language/schema/raw/master/csl-citation.json"} </w:instrText>
      </w:r>
      <w:r w:rsidRPr="000E4C0F">
        <w:rPr>
          <w:bCs/>
          <w:color w:val="000000" w:themeColor="text1"/>
        </w:rPr>
        <w:fldChar w:fldCharType="separate"/>
      </w:r>
      <w:r w:rsidRPr="000E4C0F">
        <w:rPr>
          <w:bCs/>
          <w:noProof/>
          <w:color w:val="000000" w:themeColor="text1"/>
        </w:rPr>
        <w:t>Spargo et al. (2008)</w:t>
      </w:r>
      <w:r w:rsidRPr="000E4C0F">
        <w:rPr>
          <w:bCs/>
          <w:color w:val="000000" w:themeColor="text1"/>
        </w:rPr>
        <w:fldChar w:fldCharType="end"/>
      </w:r>
      <w:r w:rsidRPr="000E4C0F">
        <w:rPr>
          <w:bCs/>
          <w:color w:val="000000" w:themeColor="text1"/>
        </w:rPr>
        <w:t xml:space="preserve">, who found decreasing bulk density in the upper 2.5 cm of a Coastal Plain soil. That study found that 22% of the variation in bulk density was explained by duration of no tillage, which the authors attributed to increased soil surface carbon when using no tillage. </w:t>
      </w:r>
    </w:p>
    <w:p w14:paraId="5937EC35" w14:textId="77777777" w:rsidR="000E4C0F" w:rsidRPr="000E4C0F" w:rsidRDefault="000E4C0F" w:rsidP="000E4C0F">
      <w:pPr>
        <w:pStyle w:val="Heading3"/>
        <w:spacing w:line="480" w:lineRule="auto"/>
        <w:rPr>
          <w:rFonts w:cs="Times New Roman"/>
          <w:bCs/>
          <w:i/>
          <w:color w:val="000000" w:themeColor="text1"/>
          <w:sz w:val="24"/>
          <w:szCs w:val="24"/>
        </w:rPr>
      </w:pPr>
      <w:bookmarkStart w:id="7" w:name="_Toc139968603"/>
      <w:r w:rsidRPr="000E4C0F">
        <w:rPr>
          <w:rFonts w:cs="Times New Roman"/>
          <w:bCs/>
          <w:i/>
          <w:color w:val="000000" w:themeColor="text1"/>
          <w:sz w:val="24"/>
          <w:szCs w:val="24"/>
        </w:rPr>
        <w:t>1.3.3 Penetration Resistance</w:t>
      </w:r>
      <w:bookmarkEnd w:id="7"/>
    </w:p>
    <w:p w14:paraId="516D8046"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 xml:space="preserve">The depth to the uppermost root-restrictive layer (i.e., with penetration resistance ≥ 2,068 kPa) varied between treatments, distance from row center, and years (Figure 4). Across all years, depth to the root-restrictive layer was greatest in the row center (0 cm) for strip tillage and increasing for minimal tillage. There was an exception in 2019, when the conventional tillage and strip tillage had significantly deeper root-restrictive layers (Figure 4). This same trend was generally seen at 15, 30, and 45 cm from the row middle. While there was an influence from winter cover in 2018, there was no other year where the depth to the root-restrictive layer was significantly different from winter cover. </w:t>
      </w:r>
    </w:p>
    <w:p w14:paraId="70DEE128"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 xml:space="preserve">When measured in the spring of 2023, the soil under strip tillage and minimal tillage treatments maintained a significantly deeper depth to root-restrictive layer in the row middle, and the strip tillage remained significantly deeper than other treatments at 15 cm, 30 cm, and 45 cm from the row. That measurement took place nine months after the last strip tillage implementation and twenty-one months after the last minimal tillage implementation. Previous work has differed on whether annual deep tillage is necessary in row cropping systems in the Coastal Plain. </w:t>
      </w:r>
      <w:r w:rsidRPr="000E4C0F">
        <w:rPr>
          <w:bCs/>
          <w:color w:val="000000" w:themeColor="text1"/>
        </w:rPr>
        <w:fldChar w:fldCharType="begin"/>
      </w:r>
      <w:r w:rsidRPr="000E4C0F">
        <w:rPr>
          <w:bCs/>
          <w:color w:val="000000" w:themeColor="text1"/>
        </w:rPr>
        <w:instrText xml:space="preserve"> ADDIN ZOTERO_ITEM CSL_CITATION {"citationID":"khxMo9Un","properties":{"formattedCitation":"(Busscher et al., 1986)","plainCitation":"(Busscher et al., 1986)","dontUpdate":true,"noteIndex":0},"citationItems":[{"id":231,"uris":["http://zotero.org/users/9588463/items/F69BX4IW"],"itemData":{"id":231,"type":"article-journal","container-title":"Soil Science","issue":"2","page":"144-1848","title":"Residual Effects of Tillage on Coastal Plain Soil Strength","volume":"141","author":[{"family":"Busscher","given":"W. J."},{"family":"Sojka","given":"R. E."},{"family":"Doty","given":"C. W."}],"issued":{"date-parts":[["1986",2]]}}}],"schema":"https://github.com/citation-style-language/schema/raw/master/csl-citation.json"} </w:instrText>
      </w:r>
      <w:r w:rsidRPr="000E4C0F">
        <w:rPr>
          <w:bCs/>
          <w:color w:val="000000" w:themeColor="text1"/>
        </w:rPr>
        <w:fldChar w:fldCharType="separate"/>
      </w:r>
      <w:r w:rsidRPr="000E4C0F">
        <w:rPr>
          <w:bCs/>
          <w:noProof/>
          <w:color w:val="000000" w:themeColor="text1"/>
        </w:rPr>
        <w:t>Busscher et al. (1986)</w:t>
      </w:r>
      <w:r w:rsidRPr="000E4C0F">
        <w:rPr>
          <w:bCs/>
          <w:color w:val="000000" w:themeColor="text1"/>
        </w:rPr>
        <w:fldChar w:fldCharType="end"/>
      </w:r>
      <w:r w:rsidRPr="000E4C0F">
        <w:rPr>
          <w:bCs/>
          <w:color w:val="000000" w:themeColor="text1"/>
        </w:rPr>
        <w:t xml:space="preserve"> found no significant difference in soil strength between treatments that had not been subsoiled in a year or more, which indicates that the soils had reconsolidated after tillage. However, </w:t>
      </w:r>
      <w:r w:rsidRPr="000E4C0F">
        <w:rPr>
          <w:bCs/>
          <w:color w:val="000000" w:themeColor="text1"/>
        </w:rPr>
        <w:fldChar w:fldCharType="begin"/>
      </w:r>
      <w:r w:rsidRPr="000E4C0F">
        <w:rPr>
          <w:bCs/>
          <w:color w:val="000000" w:themeColor="text1"/>
        </w:rPr>
        <w:instrText xml:space="preserve"> ADDIN ZOTERO_ITEM CSL_CITATION {"citationID":"oK2TjFTd","properties":{"formattedCitation":"(Busscher et al., 2000)","plainCitation":"(Busscher et al., 2000)","dontUpdate":true,"noteIndex":0},"citationItems":[{"id":189,"uris":["http://zotero.org/users/9588463/items/PKI3EN97"],"itemData":{"id":189,"type":"article-journal","container-title":"Soil Science Society of America Journal","DOI":"10.2136/sssaj2000.643999x","ISSN":"03615995","issue":"3","journalAbbreviation":"Soil Sci. Soc. Am. J.","language":"en","page":"999-1003","source":"DOI.org (Crossref)","title":"Timing Effects of Deep Tillage on Penetration Resistance and Wheat and Soybean Yield","volume":"64","author":[{"family":"Busscher","given":"W. J."},{"family":"Frederick","given":"J. R."},{"family":"Bauer","given":"P. J."}],"issued":{"date-parts":[["2000",5]]}}}],"schema":"https://github.com/citation-style-language/schema/raw/master/csl-citation.json"} </w:instrText>
      </w:r>
      <w:r w:rsidRPr="000E4C0F">
        <w:rPr>
          <w:bCs/>
          <w:color w:val="000000" w:themeColor="text1"/>
        </w:rPr>
        <w:fldChar w:fldCharType="separate"/>
      </w:r>
      <w:r w:rsidRPr="000E4C0F">
        <w:rPr>
          <w:bCs/>
          <w:noProof/>
          <w:color w:val="000000" w:themeColor="text1"/>
        </w:rPr>
        <w:t>Busscher et al.</w:t>
      </w:r>
      <w:r w:rsidRPr="000E4C0F">
        <w:rPr>
          <w:bCs/>
          <w:color w:val="000000" w:themeColor="text1"/>
        </w:rPr>
        <w:fldChar w:fldCharType="end"/>
      </w:r>
      <w:r w:rsidRPr="000E4C0F">
        <w:rPr>
          <w:bCs/>
          <w:color w:val="000000" w:themeColor="text1"/>
        </w:rPr>
        <w:t xml:space="preserve"> (2000) found residual effects from deep </w:t>
      </w:r>
      <w:r w:rsidRPr="000E4C0F">
        <w:rPr>
          <w:bCs/>
          <w:color w:val="000000" w:themeColor="text1"/>
        </w:rPr>
        <w:lastRenderedPageBreak/>
        <w:t>tillage on root growth for two years, but not in the third</w:t>
      </w:r>
      <w:r w:rsidRPr="000E4C0F">
        <w:rPr>
          <w:bCs/>
          <w:color w:val="000000" w:themeColor="text1"/>
          <w:vertAlign w:val="superscript"/>
        </w:rPr>
        <w:t xml:space="preserve"> </w:t>
      </w:r>
      <w:r w:rsidRPr="000E4C0F">
        <w:rPr>
          <w:bCs/>
          <w:color w:val="000000" w:themeColor="text1"/>
        </w:rPr>
        <w:t xml:space="preserve">year. The results from our study likewise suggest that it may not be necessary to implement deep tillage every year to break up a plow pan, but it is not known if consolidation would eventually happen after a longer absence of deep tillage (e.g., 3-4 years). </w:t>
      </w:r>
    </w:p>
    <w:p w14:paraId="3170B2AB" w14:textId="77777777" w:rsidR="000E4C0F" w:rsidRPr="000E4C0F" w:rsidRDefault="000E4C0F" w:rsidP="000E4C0F">
      <w:pPr>
        <w:pStyle w:val="Heading3"/>
        <w:spacing w:line="480" w:lineRule="auto"/>
        <w:rPr>
          <w:rFonts w:cs="Times New Roman"/>
          <w:bCs/>
          <w:i/>
          <w:color w:val="000000" w:themeColor="text1"/>
          <w:sz w:val="24"/>
          <w:szCs w:val="24"/>
        </w:rPr>
      </w:pPr>
      <w:bookmarkStart w:id="8" w:name="_Toc139968604"/>
      <w:r w:rsidRPr="000E4C0F">
        <w:rPr>
          <w:rFonts w:cs="Times New Roman"/>
          <w:bCs/>
          <w:i/>
          <w:color w:val="000000" w:themeColor="text1"/>
          <w:sz w:val="24"/>
          <w:szCs w:val="24"/>
        </w:rPr>
        <w:t>1.3.4 Field-Saturated Hydraulic Conductivity</w:t>
      </w:r>
      <w:bookmarkEnd w:id="8"/>
      <w:r w:rsidRPr="000E4C0F">
        <w:rPr>
          <w:rFonts w:cs="Times New Roman"/>
          <w:bCs/>
          <w:i/>
          <w:color w:val="000000" w:themeColor="text1"/>
          <w:sz w:val="24"/>
          <w:szCs w:val="24"/>
        </w:rPr>
        <w:t xml:space="preserve"> (K</w:t>
      </w:r>
      <w:r w:rsidRPr="000E4C0F">
        <w:rPr>
          <w:rFonts w:cs="Times New Roman"/>
          <w:bCs/>
          <w:i/>
          <w:color w:val="000000" w:themeColor="text1"/>
          <w:sz w:val="24"/>
          <w:szCs w:val="24"/>
          <w:vertAlign w:val="subscript"/>
        </w:rPr>
        <w:t>sat</w:t>
      </w:r>
      <w:r w:rsidRPr="000E4C0F">
        <w:rPr>
          <w:rFonts w:cs="Times New Roman"/>
          <w:bCs/>
          <w:i/>
          <w:color w:val="000000" w:themeColor="text1"/>
          <w:sz w:val="24"/>
          <w:szCs w:val="24"/>
        </w:rPr>
        <w:t>)</w:t>
      </w:r>
    </w:p>
    <w:p w14:paraId="4B831CC4" w14:textId="77777777" w:rsidR="000E4C0F" w:rsidRPr="000E4C0F" w:rsidRDefault="000E4C0F" w:rsidP="000E4C0F">
      <w:pPr>
        <w:adjustRightInd w:val="0"/>
        <w:snapToGrid w:val="0"/>
        <w:spacing w:line="480" w:lineRule="auto"/>
        <w:rPr>
          <w:bCs/>
          <w:color w:val="000000" w:themeColor="text1"/>
        </w:rPr>
      </w:pPr>
      <w:r w:rsidRPr="000E4C0F">
        <w:rPr>
          <w:bCs/>
          <w:color w:val="000000" w:themeColor="text1"/>
        </w:rPr>
        <w:tab/>
        <w:t>Tillage significantly influenced K</w:t>
      </w:r>
      <w:r w:rsidRPr="000E4C0F">
        <w:rPr>
          <w:bCs/>
          <w:color w:val="000000" w:themeColor="text1"/>
          <w:vertAlign w:val="subscript"/>
        </w:rPr>
        <w:t xml:space="preserve">sat </w:t>
      </w:r>
      <w:r w:rsidRPr="000E4C0F">
        <w:rPr>
          <w:bCs/>
          <w:color w:val="000000" w:themeColor="text1"/>
        </w:rPr>
        <w:t>in 2022 (p = 0.017). The strip tillage treatment had significantly higher K</w:t>
      </w:r>
      <w:r w:rsidRPr="000E4C0F">
        <w:rPr>
          <w:bCs/>
          <w:color w:val="000000" w:themeColor="text1"/>
          <w:vertAlign w:val="subscript"/>
        </w:rPr>
        <w:t>sat</w:t>
      </w:r>
      <w:r w:rsidRPr="000E4C0F">
        <w:rPr>
          <w:bCs/>
          <w:color w:val="000000" w:themeColor="text1"/>
        </w:rPr>
        <w:t xml:space="preserve"> (</w:t>
      </w:r>
      <w:r w:rsidRPr="000E4C0F">
        <w:rPr>
          <w:bCs/>
          <w:color w:val="000000" w:themeColor="text1"/>
          <w:shd w:val="clear" w:color="auto" w:fill="FFFFFF"/>
        </w:rPr>
        <w:t>0.009 cm/s</w:t>
      </w:r>
      <w:r w:rsidRPr="000E4C0F">
        <w:rPr>
          <w:bCs/>
          <w:color w:val="000000" w:themeColor="text1"/>
        </w:rPr>
        <w:t>) than the minimal tillage (</w:t>
      </w:r>
      <w:r w:rsidRPr="000E4C0F">
        <w:rPr>
          <w:bCs/>
          <w:color w:val="000000" w:themeColor="text1"/>
          <w:shd w:val="clear" w:color="auto" w:fill="FFFFFF"/>
        </w:rPr>
        <w:t>0.003 cm/s)</w:t>
      </w:r>
      <w:r w:rsidRPr="000E4C0F">
        <w:rPr>
          <w:bCs/>
          <w:color w:val="000000" w:themeColor="text1"/>
        </w:rPr>
        <w:t xml:space="preserve"> and no tillage treatments (0.002 cm/s; Figure 5). By spring of 2023, however, K</w:t>
      </w:r>
      <w:r w:rsidRPr="000E4C0F">
        <w:rPr>
          <w:bCs/>
          <w:color w:val="000000" w:themeColor="text1"/>
          <w:vertAlign w:val="subscript"/>
        </w:rPr>
        <w:t>sat</w:t>
      </w:r>
      <w:r w:rsidRPr="000E4C0F">
        <w:rPr>
          <w:bCs/>
          <w:color w:val="000000" w:themeColor="text1"/>
        </w:rPr>
        <w:t xml:space="preserve"> values had decreased in the strip till and conventional tillage treatments and had numerically, but not significantly, lower means than the minimal and no-tillage treatments. It is likely that the temporary decrease in bulk density seen after tillage for the strip and conventional tillage treatments led to greater K</w:t>
      </w:r>
      <w:r w:rsidRPr="000E4C0F">
        <w:rPr>
          <w:bCs/>
          <w:color w:val="000000" w:themeColor="text1"/>
          <w:vertAlign w:val="subscript"/>
        </w:rPr>
        <w:t>sat</w:t>
      </w:r>
      <w:r w:rsidRPr="000E4C0F">
        <w:rPr>
          <w:bCs/>
          <w:color w:val="000000" w:themeColor="text1"/>
        </w:rPr>
        <w:t xml:space="preserve"> values, but the soil consolidation observed in those treatments by spring of 2023 also had the effect of reducing soil permeability. </w:t>
      </w:r>
      <w:bookmarkStart w:id="9" w:name="_Toc139968606"/>
    </w:p>
    <w:p w14:paraId="7FF37273" w14:textId="77777777" w:rsidR="000E4C0F" w:rsidRPr="000E4C0F" w:rsidRDefault="000E4C0F" w:rsidP="000E4C0F">
      <w:pPr>
        <w:pStyle w:val="Heading3"/>
        <w:spacing w:line="480" w:lineRule="auto"/>
        <w:rPr>
          <w:rFonts w:cs="Times New Roman"/>
          <w:bCs/>
          <w:i/>
          <w:color w:val="000000" w:themeColor="text1"/>
          <w:sz w:val="24"/>
          <w:szCs w:val="24"/>
        </w:rPr>
      </w:pPr>
      <w:r w:rsidRPr="000E4C0F">
        <w:rPr>
          <w:rFonts w:cs="Times New Roman"/>
          <w:bCs/>
          <w:i/>
          <w:color w:val="000000" w:themeColor="text1"/>
          <w:sz w:val="24"/>
          <w:szCs w:val="24"/>
        </w:rPr>
        <w:t>1.3.5 Soil Carbon</w:t>
      </w:r>
      <w:bookmarkEnd w:id="9"/>
    </w:p>
    <w:p w14:paraId="397AB185"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In 2018, near the beginning of the experiment, total soil carbon was not significantly affected by tillage (Figure A.2) or winter cover (Figure A.3) at any depth. By 2021, however, the strip tillage plots had a significantly greater soil carbon concentration at 0-5 cm than the conventional tillage plots (mean of 1</w:t>
      </w:r>
      <w:r w:rsidR="00AB6D4C">
        <w:rPr>
          <w:bCs/>
          <w:color w:val="000000" w:themeColor="text1"/>
        </w:rPr>
        <w:t>1.</w:t>
      </w:r>
      <w:r w:rsidRPr="000E4C0F">
        <w:rPr>
          <w:bCs/>
          <w:color w:val="000000" w:themeColor="text1"/>
        </w:rPr>
        <w:t>3</w:t>
      </w:r>
      <w:r w:rsidR="00AB6D4C">
        <w:rPr>
          <w:bCs/>
          <w:color w:val="000000" w:themeColor="text1"/>
        </w:rPr>
        <w:t xml:space="preserve"> g kg</w:t>
      </w:r>
      <w:r w:rsidR="00AB6D4C">
        <w:rPr>
          <w:bCs/>
          <w:color w:val="000000" w:themeColor="text1"/>
          <w:vertAlign w:val="superscript"/>
        </w:rPr>
        <w:t>-1</w:t>
      </w:r>
      <w:r w:rsidR="00AB6D4C" w:rsidRPr="000E4C0F">
        <w:rPr>
          <w:bCs/>
          <w:color w:val="000000" w:themeColor="text1"/>
        </w:rPr>
        <w:t xml:space="preserve"> </w:t>
      </w:r>
      <w:r w:rsidRPr="000E4C0F">
        <w:rPr>
          <w:bCs/>
          <w:color w:val="000000" w:themeColor="text1"/>
        </w:rPr>
        <w:t>versus 8</w:t>
      </w:r>
      <w:r w:rsidR="00AB6D4C">
        <w:rPr>
          <w:bCs/>
          <w:color w:val="000000" w:themeColor="text1"/>
        </w:rPr>
        <w:t>.</w:t>
      </w:r>
      <w:r w:rsidRPr="000E4C0F">
        <w:rPr>
          <w:bCs/>
          <w:color w:val="000000" w:themeColor="text1"/>
        </w:rPr>
        <w:t>4</w:t>
      </w:r>
      <w:r w:rsidR="00AB6D4C">
        <w:rPr>
          <w:bCs/>
          <w:color w:val="000000" w:themeColor="text1"/>
        </w:rPr>
        <w:t xml:space="preserve"> g kg</w:t>
      </w:r>
      <w:r w:rsidR="00AB6D4C">
        <w:rPr>
          <w:bCs/>
          <w:color w:val="000000" w:themeColor="text1"/>
          <w:vertAlign w:val="superscript"/>
        </w:rPr>
        <w:t>-1</w:t>
      </w:r>
      <w:r w:rsidRPr="000E4C0F">
        <w:rPr>
          <w:bCs/>
          <w:color w:val="000000" w:themeColor="text1"/>
        </w:rPr>
        <w:t>). In 2022, both tillage and winter cover had significant effects on soil carbon at 0-5 cm. Soil carbon concentration was once again significantly greater in the strip tillage compared to the conventional tillage plots (mean of 1</w:t>
      </w:r>
      <w:r w:rsidR="00AB6D4C">
        <w:rPr>
          <w:bCs/>
          <w:color w:val="000000" w:themeColor="text1"/>
        </w:rPr>
        <w:t>6.1 g kg</w:t>
      </w:r>
      <w:r w:rsidR="00AB6D4C">
        <w:rPr>
          <w:bCs/>
          <w:color w:val="000000" w:themeColor="text1"/>
          <w:vertAlign w:val="superscript"/>
        </w:rPr>
        <w:t>-1</w:t>
      </w:r>
      <w:r w:rsidRPr="000E4C0F">
        <w:rPr>
          <w:bCs/>
          <w:color w:val="000000" w:themeColor="text1"/>
        </w:rPr>
        <w:t xml:space="preserve"> versus 1</w:t>
      </w:r>
      <w:r w:rsidR="00AB6D4C">
        <w:rPr>
          <w:bCs/>
          <w:color w:val="000000" w:themeColor="text1"/>
        </w:rPr>
        <w:t>0.9 g kg</w:t>
      </w:r>
      <w:r w:rsidR="00AB6D4C">
        <w:rPr>
          <w:bCs/>
          <w:color w:val="000000" w:themeColor="text1"/>
          <w:vertAlign w:val="superscript"/>
        </w:rPr>
        <w:t>-1</w:t>
      </w:r>
      <w:r w:rsidRPr="000E4C0F">
        <w:rPr>
          <w:bCs/>
          <w:color w:val="000000" w:themeColor="text1"/>
        </w:rPr>
        <w:t>). Moreover, the cover crop (1</w:t>
      </w:r>
      <w:r w:rsidR="00AB6D4C">
        <w:rPr>
          <w:bCs/>
          <w:color w:val="000000" w:themeColor="text1"/>
        </w:rPr>
        <w:t>5.</w:t>
      </w:r>
      <w:r w:rsidRPr="000E4C0F">
        <w:rPr>
          <w:bCs/>
          <w:color w:val="000000" w:themeColor="text1"/>
        </w:rPr>
        <w:t>1</w:t>
      </w:r>
      <w:r w:rsidR="00AB6D4C">
        <w:rPr>
          <w:bCs/>
          <w:color w:val="000000" w:themeColor="text1"/>
        </w:rPr>
        <w:t xml:space="preserve"> g kg</w:t>
      </w:r>
      <w:r w:rsidR="00AB6D4C">
        <w:rPr>
          <w:bCs/>
          <w:color w:val="000000" w:themeColor="text1"/>
          <w:vertAlign w:val="superscript"/>
        </w:rPr>
        <w:t>-1</w:t>
      </w:r>
      <w:r w:rsidRPr="000E4C0F">
        <w:rPr>
          <w:bCs/>
          <w:color w:val="000000" w:themeColor="text1"/>
        </w:rPr>
        <w:t>) and cash crop (14</w:t>
      </w:r>
      <w:r w:rsidR="00AB6D4C">
        <w:rPr>
          <w:bCs/>
          <w:color w:val="000000" w:themeColor="text1"/>
        </w:rPr>
        <w:t>.</w:t>
      </w:r>
      <w:r w:rsidRPr="000E4C0F">
        <w:rPr>
          <w:bCs/>
          <w:color w:val="000000" w:themeColor="text1"/>
        </w:rPr>
        <w:t>6</w:t>
      </w:r>
      <w:r w:rsidR="00AB6D4C">
        <w:rPr>
          <w:bCs/>
          <w:color w:val="000000" w:themeColor="text1"/>
        </w:rPr>
        <w:t xml:space="preserve"> g kg</w:t>
      </w:r>
      <w:r w:rsidR="00AB6D4C">
        <w:rPr>
          <w:bCs/>
          <w:color w:val="000000" w:themeColor="text1"/>
          <w:vertAlign w:val="superscript"/>
        </w:rPr>
        <w:t>-1</w:t>
      </w:r>
      <w:r w:rsidRPr="000E4C0F">
        <w:rPr>
          <w:bCs/>
          <w:color w:val="000000" w:themeColor="text1"/>
        </w:rPr>
        <w:t>) treatments had significantly greater carbon concentrations than the fallow treatment (13</w:t>
      </w:r>
      <w:r w:rsidR="00AB6D4C">
        <w:rPr>
          <w:bCs/>
          <w:color w:val="000000" w:themeColor="text1"/>
        </w:rPr>
        <w:t>.</w:t>
      </w:r>
      <w:r w:rsidRPr="000E4C0F">
        <w:rPr>
          <w:bCs/>
          <w:color w:val="000000" w:themeColor="text1"/>
        </w:rPr>
        <w:t>3</w:t>
      </w:r>
      <w:r w:rsidR="00AB6D4C">
        <w:rPr>
          <w:bCs/>
          <w:color w:val="000000" w:themeColor="text1"/>
        </w:rPr>
        <w:t xml:space="preserve"> g kg</w:t>
      </w:r>
      <w:r w:rsidR="00AB6D4C">
        <w:rPr>
          <w:bCs/>
          <w:color w:val="000000" w:themeColor="text1"/>
          <w:vertAlign w:val="superscript"/>
        </w:rPr>
        <w:t>-1</w:t>
      </w:r>
      <w:r w:rsidR="00AB6D4C">
        <w:rPr>
          <w:bCs/>
          <w:color w:val="000000" w:themeColor="text1"/>
        </w:rPr>
        <w:t>)</w:t>
      </w:r>
      <w:r w:rsidRPr="000E4C0F">
        <w:rPr>
          <w:bCs/>
          <w:color w:val="000000" w:themeColor="text1"/>
        </w:rPr>
        <w:t xml:space="preserve">. Tillage also affected total carbon at the 5-10 cm depth in 2022, with the strip tillage treatment </w:t>
      </w:r>
      <w:r w:rsidRPr="000E4C0F">
        <w:rPr>
          <w:bCs/>
          <w:color w:val="000000" w:themeColor="text1"/>
        </w:rPr>
        <w:lastRenderedPageBreak/>
        <w:t>having significantly greater carbon concentration than no tillage (mean of 12</w:t>
      </w:r>
      <w:r w:rsidR="00AB6D4C">
        <w:rPr>
          <w:bCs/>
          <w:color w:val="000000" w:themeColor="text1"/>
        </w:rPr>
        <w:t>.</w:t>
      </w:r>
      <w:r w:rsidRPr="000E4C0F">
        <w:rPr>
          <w:bCs/>
          <w:color w:val="000000" w:themeColor="text1"/>
        </w:rPr>
        <w:t>1</w:t>
      </w:r>
      <w:r w:rsidR="00AB6D4C">
        <w:rPr>
          <w:bCs/>
          <w:color w:val="000000" w:themeColor="text1"/>
        </w:rPr>
        <w:t xml:space="preserve"> g kg</w:t>
      </w:r>
      <w:r w:rsidR="00AB6D4C">
        <w:rPr>
          <w:bCs/>
          <w:color w:val="000000" w:themeColor="text1"/>
          <w:vertAlign w:val="superscript"/>
        </w:rPr>
        <w:t>-1</w:t>
      </w:r>
      <w:r w:rsidR="00AB6D4C" w:rsidRPr="000E4C0F">
        <w:rPr>
          <w:bCs/>
          <w:color w:val="000000" w:themeColor="text1"/>
        </w:rPr>
        <w:t xml:space="preserve"> </w:t>
      </w:r>
      <w:r w:rsidRPr="000E4C0F">
        <w:rPr>
          <w:bCs/>
          <w:color w:val="000000" w:themeColor="text1"/>
        </w:rPr>
        <w:t>versus 8</w:t>
      </w:r>
      <w:r w:rsidR="00AB6D4C">
        <w:rPr>
          <w:bCs/>
          <w:color w:val="000000" w:themeColor="text1"/>
        </w:rPr>
        <w:t>.</w:t>
      </w:r>
      <w:r w:rsidRPr="000E4C0F">
        <w:rPr>
          <w:bCs/>
          <w:color w:val="000000" w:themeColor="text1"/>
        </w:rPr>
        <w:t>3</w:t>
      </w:r>
      <w:r w:rsidR="00AB6D4C">
        <w:rPr>
          <w:bCs/>
          <w:color w:val="000000" w:themeColor="text1"/>
        </w:rPr>
        <w:t xml:space="preserve"> g kg</w:t>
      </w:r>
      <w:r w:rsidR="00AB6D4C">
        <w:rPr>
          <w:bCs/>
          <w:color w:val="000000" w:themeColor="text1"/>
          <w:vertAlign w:val="superscript"/>
        </w:rPr>
        <w:t>-1</w:t>
      </w:r>
      <w:r w:rsidRPr="000E4C0F">
        <w:rPr>
          <w:bCs/>
          <w:color w:val="000000" w:themeColor="text1"/>
        </w:rPr>
        <w:t xml:space="preserve">). </w:t>
      </w:r>
    </w:p>
    <w:p w14:paraId="32F90C04" w14:textId="77777777" w:rsidR="000E4C0F" w:rsidRDefault="000E4C0F" w:rsidP="000E4C0F">
      <w:pPr>
        <w:adjustRightInd w:val="0"/>
        <w:snapToGrid w:val="0"/>
        <w:spacing w:line="480" w:lineRule="auto"/>
        <w:rPr>
          <w:bCs/>
          <w:color w:val="000000" w:themeColor="text1"/>
        </w:rPr>
      </w:pPr>
      <w:r w:rsidRPr="000E4C0F">
        <w:rPr>
          <w:bCs/>
          <w:i/>
          <w:iCs/>
          <w:color w:val="000000" w:themeColor="text1"/>
        </w:rPr>
        <w:tab/>
      </w:r>
      <w:r w:rsidRPr="000E4C0F">
        <w:rPr>
          <w:bCs/>
          <w:color w:val="000000" w:themeColor="text1"/>
        </w:rPr>
        <w:t xml:space="preserve">We also calculated the change in carbon concentration from 2018 to 2022 to better understand the effect of management on the magnitude of change in those 4 years (Figure A.4). Though the treatments were not significantly different from each other at any depth, there were notable numeric differences. The strip tillage treatment had a mean carbon increase of 0.67% in the upper 5 cm, similar to the increase in the no tillage plots (0.68%), whereas the conventional tillage treatment had a change of only 0.18%. At the 5-10 cm depth, carbon increased in the conventional tillage treatment by 0.51%, by 0.47% in the strip tillage plots, by 0.42% in the minimal tillage plots, and by 0.33% in the no tillage treatment. At the 10-30 cm depth, the mean carbon increase in strip tillage was 0.63%, versus 0.34% for the no tillage, 0.54% for the minimal tillage, and 0.40% for the conventional tillage. No notable differences in carbon concentration changes were observed for any of the winter cover treatments. </w:t>
      </w:r>
    </w:p>
    <w:p w14:paraId="60B988B1" w14:textId="335CA8FC" w:rsidR="009D5382" w:rsidRDefault="009D5382" w:rsidP="009D5382">
      <w:pPr>
        <w:adjustRightInd w:val="0"/>
        <w:snapToGrid w:val="0"/>
        <w:spacing w:line="480" w:lineRule="auto"/>
        <w:ind w:firstLine="720"/>
        <w:rPr>
          <w:bCs/>
          <w:color w:val="000000" w:themeColor="text1"/>
        </w:rPr>
      </w:pPr>
      <w:r w:rsidRPr="000E4C0F">
        <w:rPr>
          <w:bCs/>
          <w:color w:val="000000" w:themeColor="text1"/>
        </w:rPr>
        <w:t xml:space="preserve">The no tillage treatment had its greatest carbon concentrations near the surface, likely due to stratification </w:t>
      </w:r>
      <w:r w:rsidRPr="000E4C0F">
        <w:rPr>
          <w:bCs/>
          <w:color w:val="000000" w:themeColor="text1"/>
        </w:rPr>
        <w:fldChar w:fldCharType="begin"/>
      </w:r>
      <w:r w:rsidRPr="000E4C0F">
        <w:rPr>
          <w:bCs/>
          <w:color w:val="000000" w:themeColor="text1"/>
        </w:rPr>
        <w:instrText xml:space="preserve"> ADDIN ZOTERO_ITEM CSL_CITATION {"citationID":"9p6y5Xci","properties":{"formattedCitation":"(A. J. Franzluebbers, 2002; Hunt et al., 1996; Novak et al., 2020)","plainCitation":"(A. J. Franzluebbers, 2002; Hunt et al., 1996; Novak et al., 2020)","dontUpdate":true,"noteIndex":0},"citationItems":[{"id":221,"uris":["http://zotero.org/users/9588463/items/IZUPA8HL"],"itemData":{"id":221,"type":"article-journal","container-title":"Soil and Tillage Research","DOI":"10.1016/S0167-1987(02)00018-1","ISSN":"01671987","issue":"2","journalAbbreviation":"Soil and Tillage Research","language":"en","page":"95-106","source":"DOI.org (Crossref)","title":"Soil organic matter stratification ratio as an indicator of soil quality","volume":"66","author":[{"family":"Franzluebbers","given":"A.J"}],"issued":{"date-parts":[["2002",7]]}}},{"id":177,"uris":["http://zotero.org/users/9588463/items/YLK3KJVX"],"itemData":{"id":177,"type":"article-journal","abstract":"Soil carbon (C) management is vital for sandy southeastern Coastal Plain (SCP) soils that are naturally low in C. A long-term investigation began in 1979 to determine if conservation tillage would increase the C content of a Norfolk loamy sand (Typic Kandiudult) with a cropping system that included corn (Zea mays L.), cotton (Gossypium hirsutum L.), soybean [Glycine max (L.) Merr.], and wheat (Triticum aestivum L.). Plots were 60 m (196.8 ft) long and 23 m (75.5 ft) wide with five replications. Before modern conservation tillage technology was available, increasing soil C was believed to be nearly impossible under row crop production, particularly if cotton and soybean were part of the rotation. Tillage (conventional vs. conservation) was the main plot treatment. At the beginning of the experiment, C contents were not significantly different. In years 9 to 14, the mean C content of the 0- to 5-cm (0- to 2-in) depth for conservation tillage was nearly double that for conventional tillage: 12.0 vs 7.2 g kg−1 (1.2 and 0.72%) (P ≤ 0.05). The r2 of C content vs time over the 14 years was 0.44 for the 0- to 5-cm layer of the conservation tillage plots. The slope was 0.61 g kg−1 yr−1 (0.06%), and the probability that the slope was zero was &amp;lt; 0.001. A smaller slope increase of 0.17 g kg−1 yr−1 (0.017%) also existed for conservation tillage at the 5- to 10-cm (2.0- to 3.9-in) depth. The C content was not consistently different between tillage treatments below the 15-cm (5.9-in) depth. Improved equipment, management, and soil quality allowed conservation tillage plots to produce greater yields during years 9 to 14. Long-term conservation tillage of row crops appears to be a viable method of increasing the C content of sandy SCP soils even when soybean and cotton are part of the rotation.","container-title":"Journal of Soil and Water Conservation","issue":"3","page":"255","title":"Changes in carbon content of a Norfolk loamy sand after 14 years of conservation or conventional tillage","volume":"51","author":[{"family":"Hunt","given":"P. G."},{"family":"Karlen","given":"D. L."},{"family":"Matheny","given":"T. A."},{"family":"Quisenberry","given":"V. L."}],"issued":{"date-parts":[["1996",5,1]]}}},{"id":49,"uris":["http://zotero.org/users/9588463/items/4HDW5TPF"],"itemData":{"id":49,"type":"article-journal","container-title":"Agronomy Journal","DOI":"10.1002/agj2.20184","ISSN":"0002-1962, 1435-0645","issue":"4","journalAbbreviation":"Agron.j.","language":"en","page":"3152-3162","source":"DOI.org (Crossref)","title":"Loamy sand soil approaches organic carbon saturation after 37 years of conservation tillage","volume":"112","author":[{"family":"Novak","given":"J.M."},{"family":"Watts","given":"D.W."},{"family":"Bauer","given":"P.J."},{"family":"Karlen","given":"D.L."},{"family":"Hunt","given":"P.G."},{"family":"Mishra","given":"U."}],"issued":{"date-parts":[["2020",7]]}}}],"schema":"https://github.com/citation-style-language/schema/raw/master/csl-citation.json"} </w:instrText>
      </w:r>
      <w:r w:rsidRPr="000E4C0F">
        <w:rPr>
          <w:bCs/>
          <w:color w:val="000000" w:themeColor="text1"/>
        </w:rPr>
        <w:fldChar w:fldCharType="separate"/>
      </w:r>
      <w:r w:rsidRPr="000E4C0F">
        <w:rPr>
          <w:bCs/>
          <w:noProof/>
          <w:color w:val="000000" w:themeColor="text1"/>
        </w:rPr>
        <w:t>(Franzluebbers, 2002; Hunt et al., 1996; Novak et al., 2020)</w:t>
      </w:r>
      <w:r w:rsidRPr="000E4C0F">
        <w:rPr>
          <w:bCs/>
          <w:color w:val="000000" w:themeColor="text1"/>
        </w:rPr>
        <w:fldChar w:fldCharType="end"/>
      </w:r>
      <w:r w:rsidRPr="000E4C0F">
        <w:rPr>
          <w:bCs/>
          <w:color w:val="000000" w:themeColor="text1"/>
        </w:rPr>
        <w:t xml:space="preserve">. In contrast, the conventional tillage plots had less carbon near the surface but some possible enrichment in the 5-10 cm depth.  The strip tillage had an overall carbon increase of 0.61% (depth-weighted mean for 0-30 cm) between 2018 and 2022, which is an average of ~ 0.15% per year and a relatively large value compared to the rates measured in other studies. For example, </w:t>
      </w:r>
      <w:r w:rsidRPr="000E4C0F">
        <w:rPr>
          <w:bCs/>
          <w:color w:val="000000" w:themeColor="text1"/>
        </w:rPr>
        <w:fldChar w:fldCharType="begin"/>
      </w:r>
      <w:r w:rsidRPr="000E4C0F">
        <w:rPr>
          <w:bCs/>
          <w:color w:val="000000" w:themeColor="text1"/>
        </w:rPr>
        <w:instrText xml:space="preserve"> ADDIN ZOTERO_ITEM CSL_CITATION {"citationID":"OTjyg1KN","properties":{"formattedCitation":"(Novak et al., 2007)","plainCitation":"(Novak et al., 2007)","dontUpdate":true,"noteIndex":0},"citationItems":[{"id":198,"uris":["http://zotero.org/users/9588463/items/QRXKQAQ5"],"itemData":{"id":198,"type":"article-journal","container-title":"Soil Science Society of America Journal","DOI":"10.2136/sssaj2005.0284N","ISSN":"03615995","issue":"2","journalAbbreviation":"Soil Sci. Soc. Am. J.","language":"en","page":"453-456","source":"DOI.org (Crossref)","title":"Carbon Dynamics under Long-Term Conservation and Disk Tillage Management in a Norfolk Loamy Sand","volume":"71","author":[{"family":"Novak","given":"J. M."},{"family":"Bauer","given":"P. J."},{"family":"Hunt","given":"P. G."}],"issued":{"date-parts":[["2007",3]]}}}],"schema":"https://github.com/citation-style-language/schema/raw/master/csl-citation.json"} </w:instrText>
      </w:r>
      <w:r w:rsidRPr="000E4C0F">
        <w:rPr>
          <w:bCs/>
          <w:color w:val="000000" w:themeColor="text1"/>
        </w:rPr>
        <w:fldChar w:fldCharType="separate"/>
      </w:r>
      <w:r w:rsidRPr="000E4C0F">
        <w:rPr>
          <w:bCs/>
          <w:noProof/>
          <w:color w:val="000000" w:themeColor="text1"/>
        </w:rPr>
        <w:t>Novak et al. (2007)</w:t>
      </w:r>
      <w:r w:rsidRPr="000E4C0F">
        <w:rPr>
          <w:bCs/>
          <w:color w:val="000000" w:themeColor="text1"/>
        </w:rPr>
        <w:fldChar w:fldCharType="end"/>
      </w:r>
      <w:r w:rsidRPr="000E4C0F">
        <w:rPr>
          <w:bCs/>
          <w:color w:val="000000" w:themeColor="text1"/>
        </w:rPr>
        <w:t xml:space="preserve"> estimated a carbon sequestration rate of 0.045 % per year in in the top 5 cm over a 24-year period when implementing conservation tillage with a subsoiler once per year. However, there were no cover crops grown, which may explain why the increase was not as large as seen in our study. Furthermore, soils depleted of soil organic matter are shown to accumulate carbon more </w:t>
      </w:r>
      <w:r w:rsidRPr="000E4C0F">
        <w:rPr>
          <w:bCs/>
          <w:color w:val="000000" w:themeColor="text1"/>
        </w:rPr>
        <w:lastRenderedPageBreak/>
        <w:t xml:space="preserve">rapidly in the initial years after switching to conservation practices, and then experience a lag as the practices continue </w:t>
      </w:r>
      <w:r w:rsidRPr="000E4C0F">
        <w:rPr>
          <w:bCs/>
          <w:color w:val="000000" w:themeColor="text1"/>
        </w:rPr>
        <w:fldChar w:fldCharType="begin"/>
      </w:r>
      <w:r w:rsidRPr="000E4C0F">
        <w:rPr>
          <w:bCs/>
          <w:color w:val="000000" w:themeColor="text1"/>
        </w:rPr>
        <w:instrText xml:space="preserve"> ADDIN ZOTERO_ITEM CSL_CITATION {"citationID":"pevQusXr","properties":{"formattedCitation":"(Machmuller et al., 2015; Novak et al., 2020)","plainCitation":"(Machmuller et al., 2015; Novak et al., 2020)","noteIndex":0},"citationItems":[{"id":264,"uris":["http://zotero.org/users/9588463/items/IEWEQ2TE"],"itemData":{"id":264,"type":"article-journal","container-title":"Nature Communications","DOI":"10.1038/ncomms7995","ISSN":"2041-1723","issue":"1","journalAbbreviation":"Nat Commun","language":"en","page":"6995","source":"DOI.org (Crossref)","title":"Emerging land use practices rapidly increase soil organic matter","volume":"6","author":[{"family":"Machmuller","given":"Megan B."},{"family":"Kramer","given":"Marc G."},{"family":"Cyle","given":"Taylor K."},{"family":"Hill","given":"Nick"},{"family":"Hancock","given":"Dennis"},{"family":"Thompson","given":"Aaron"}],"issued":{"date-parts":[["2015",4,30]]}}},{"id":49,"uris":["http://zotero.org/users/9588463/items/4HDW5TPF"],"itemData":{"id":49,"type":"article-journal","container-title":"Agronomy Journal","DOI":"10.1002/agj2.20184","ISSN":"0002-1962, 1435-0645","issue":"4","journalAbbreviation":"Agron.j.","language":"en","page":"3152-3162","source":"DOI.org (Crossref)","title":"Loamy sand soil approaches organic carbon saturation after 37 years of conservation tillage","volume":"112","author":[{"family":"Novak","given":"J.M."},{"family":"Watts","given":"D.W."},{"family":"Bauer","given":"P.J."},{"family":"Karlen","given":"D.L."},{"family":"Hunt","given":"P.G."},{"family":"Mishra","given":"U."}],"issued":{"date-parts":[["2020",7]]}}}],"schema":"https://github.com/citation-style-language/schema/raw/master/csl-citation.json"} </w:instrText>
      </w:r>
      <w:r w:rsidRPr="000E4C0F">
        <w:rPr>
          <w:bCs/>
          <w:color w:val="000000" w:themeColor="text1"/>
        </w:rPr>
        <w:fldChar w:fldCharType="separate"/>
      </w:r>
      <w:r w:rsidRPr="000E4C0F">
        <w:rPr>
          <w:bCs/>
          <w:noProof/>
          <w:color w:val="000000" w:themeColor="text1"/>
        </w:rPr>
        <w:t>(Machmuller et al., 2015; Novak et al., 2020)</w:t>
      </w:r>
      <w:r w:rsidRPr="000E4C0F">
        <w:rPr>
          <w:bCs/>
          <w:color w:val="000000" w:themeColor="text1"/>
        </w:rPr>
        <w:fldChar w:fldCharType="end"/>
      </w:r>
      <w:r w:rsidRPr="000E4C0F">
        <w:rPr>
          <w:bCs/>
          <w:color w:val="000000" w:themeColor="text1"/>
        </w:rPr>
        <w:t>. These results presented here may therefore represent a best-case scenario, and likely do not represent long-term rates of carbon sequestration in these systems. Nonetheless, these results emphasize that strip tillage is a practice that may combine advantages of both no tillage (e.g., less surface disturbance) and conventional tillage (e.g., carbon incorporation to depth), and should be further evaluated for its potential to enhance climate-smart agriculture.</w:t>
      </w:r>
    </w:p>
    <w:p w14:paraId="174EC0FC" w14:textId="067EE926" w:rsidR="000E4C0F" w:rsidRPr="000E4C0F" w:rsidRDefault="000E4C0F" w:rsidP="000E4C0F">
      <w:pPr>
        <w:adjustRightInd w:val="0"/>
        <w:snapToGrid w:val="0"/>
        <w:spacing w:line="480" w:lineRule="auto"/>
        <w:rPr>
          <w:bCs/>
          <w:i/>
          <w:color w:val="000000" w:themeColor="text1"/>
        </w:rPr>
      </w:pPr>
      <w:r w:rsidRPr="000E4C0F">
        <w:rPr>
          <w:bCs/>
          <w:i/>
          <w:color w:val="000000" w:themeColor="text1"/>
        </w:rPr>
        <w:t>1.3.6 Carbon Stock</w:t>
      </w:r>
      <w:r w:rsidR="00AD4EE8">
        <w:rPr>
          <w:bCs/>
          <w:i/>
          <w:color w:val="000000" w:themeColor="text1"/>
        </w:rPr>
        <w:t>s</w:t>
      </w:r>
    </w:p>
    <w:p w14:paraId="58B885D7" w14:textId="7A82CBB3" w:rsidR="00C178DE" w:rsidRDefault="000E4C0F" w:rsidP="00C546F7">
      <w:pPr>
        <w:adjustRightInd w:val="0"/>
        <w:snapToGrid w:val="0"/>
        <w:spacing w:line="480" w:lineRule="auto"/>
        <w:ind w:firstLine="720"/>
        <w:rPr>
          <w:bCs/>
          <w:color w:val="000000" w:themeColor="text1"/>
        </w:rPr>
      </w:pPr>
      <w:r w:rsidRPr="000E4C0F">
        <w:rPr>
          <w:bCs/>
          <w:color w:val="000000" w:themeColor="text1"/>
        </w:rPr>
        <w:t>We used the 2022 carbon concentration and bulk density values to calculate soil carbon stock</w:t>
      </w:r>
      <w:r w:rsidR="00AD4EE8">
        <w:rPr>
          <w:bCs/>
          <w:color w:val="000000" w:themeColor="text1"/>
        </w:rPr>
        <w:t>s</w:t>
      </w:r>
      <w:r w:rsidRPr="000E4C0F">
        <w:rPr>
          <w:bCs/>
          <w:color w:val="000000" w:themeColor="text1"/>
        </w:rPr>
        <w:t xml:space="preserve"> for that year (Figure 6). Both tillage (p = 0.001) and winter cover (p = 0.049) practices had significant effects on carbon stock at the 0-5 cm depth</w:t>
      </w:r>
      <w:r w:rsidR="00894FA2">
        <w:rPr>
          <w:bCs/>
          <w:color w:val="000000" w:themeColor="text1"/>
        </w:rPr>
        <w:t>.</w:t>
      </w:r>
      <w:r w:rsidRPr="000E4C0F">
        <w:rPr>
          <w:bCs/>
          <w:color w:val="000000" w:themeColor="text1"/>
        </w:rPr>
        <w:t xml:space="preserve"> The conventional tillage treatment had a mean carbon stock of 6</w:t>
      </w:r>
      <w:r w:rsidR="00325BC7">
        <w:rPr>
          <w:bCs/>
          <w:color w:val="000000" w:themeColor="text1"/>
        </w:rPr>
        <w:t>.</w:t>
      </w:r>
      <w:r w:rsidR="007643CB">
        <w:rPr>
          <w:bCs/>
          <w:color w:val="000000" w:themeColor="text1"/>
        </w:rPr>
        <w:t>76</w:t>
      </w:r>
      <w:r w:rsidRPr="000E4C0F">
        <w:rPr>
          <w:bCs/>
          <w:color w:val="000000" w:themeColor="text1"/>
        </w:rPr>
        <w:t xml:space="preserve"> </w:t>
      </w:r>
      <w:r w:rsidR="00325BC7">
        <w:rPr>
          <w:bCs/>
          <w:color w:val="000000" w:themeColor="text1"/>
        </w:rPr>
        <w:t>M</w:t>
      </w:r>
      <w:r w:rsidRPr="000E4C0F">
        <w:rPr>
          <w:bCs/>
          <w:color w:val="000000" w:themeColor="text1"/>
        </w:rPr>
        <w:t>g</w:t>
      </w:r>
      <w:r w:rsidR="00AB6D4C">
        <w:rPr>
          <w:bCs/>
          <w:color w:val="000000" w:themeColor="text1"/>
        </w:rPr>
        <w:t xml:space="preserve"> </w:t>
      </w:r>
      <w:r w:rsidRPr="000E4C0F">
        <w:rPr>
          <w:bCs/>
          <w:color w:val="000000" w:themeColor="text1"/>
        </w:rPr>
        <w:t>ha</w:t>
      </w:r>
      <w:r w:rsidR="00AB6D4C">
        <w:rPr>
          <w:bCs/>
          <w:color w:val="000000" w:themeColor="text1"/>
          <w:vertAlign w:val="superscript"/>
        </w:rPr>
        <w:t>-1</w:t>
      </w:r>
      <w:r w:rsidRPr="000E4C0F">
        <w:rPr>
          <w:bCs/>
          <w:color w:val="000000" w:themeColor="text1"/>
        </w:rPr>
        <w:t xml:space="preserve"> in the top 5 cm. This amount was significantly less than those measured in the no tillage (</w:t>
      </w:r>
      <w:r w:rsidRPr="000E4C0F">
        <w:rPr>
          <w:bCs/>
          <w:color w:val="000000" w:themeColor="text1"/>
          <w:shd w:val="clear" w:color="auto" w:fill="FFFFFF"/>
        </w:rPr>
        <w:t>11</w:t>
      </w:r>
      <w:r w:rsidR="00325BC7">
        <w:rPr>
          <w:bCs/>
          <w:color w:val="000000" w:themeColor="text1"/>
          <w:shd w:val="clear" w:color="auto" w:fill="FFFFFF"/>
        </w:rPr>
        <w:t>.</w:t>
      </w:r>
      <w:r w:rsidRPr="000E4C0F">
        <w:rPr>
          <w:bCs/>
          <w:color w:val="000000" w:themeColor="text1"/>
          <w:shd w:val="clear" w:color="auto" w:fill="FFFFFF"/>
        </w:rPr>
        <w:t>1</w:t>
      </w:r>
      <w:r w:rsidR="00325BC7">
        <w:rPr>
          <w:bCs/>
          <w:color w:val="000000" w:themeColor="text1"/>
          <w:shd w:val="clear" w:color="auto" w:fill="FFFFFF"/>
        </w:rPr>
        <w:t>9</w:t>
      </w:r>
      <w:r w:rsidRPr="000E4C0F">
        <w:rPr>
          <w:bCs/>
          <w:color w:val="000000" w:themeColor="text1"/>
          <w:shd w:val="clear" w:color="auto" w:fill="FFFFFF"/>
        </w:rPr>
        <w:t xml:space="preserve"> </w:t>
      </w:r>
      <w:r w:rsidR="00AB6D4C">
        <w:rPr>
          <w:bCs/>
          <w:color w:val="000000" w:themeColor="text1"/>
        </w:rPr>
        <w:t>M</w:t>
      </w:r>
      <w:r w:rsidR="00AB6D4C" w:rsidRPr="000E4C0F">
        <w:rPr>
          <w:bCs/>
          <w:color w:val="000000" w:themeColor="text1"/>
        </w:rPr>
        <w:t>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minimal tillage (10</w:t>
      </w:r>
      <w:r w:rsidR="00325BC7">
        <w:rPr>
          <w:bCs/>
          <w:color w:val="000000" w:themeColor="text1"/>
        </w:rPr>
        <w:t>.</w:t>
      </w:r>
      <w:r w:rsidRPr="000E4C0F">
        <w:rPr>
          <w:bCs/>
          <w:color w:val="000000" w:themeColor="text1"/>
        </w:rPr>
        <w:t xml:space="preserve">66 </w:t>
      </w:r>
      <w:r w:rsidR="00AB6D4C">
        <w:rPr>
          <w:bCs/>
          <w:color w:val="000000" w:themeColor="text1"/>
        </w:rPr>
        <w:t>M</w:t>
      </w:r>
      <w:r w:rsidR="00AB6D4C" w:rsidRPr="000E4C0F">
        <w:rPr>
          <w:bCs/>
          <w:color w:val="000000" w:themeColor="text1"/>
        </w:rPr>
        <w:t>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and strip tillage plots (</w:t>
      </w:r>
      <w:r w:rsidRPr="000E4C0F">
        <w:rPr>
          <w:bCs/>
          <w:color w:val="000000" w:themeColor="text1"/>
          <w:shd w:val="clear" w:color="auto" w:fill="FFFFFF"/>
        </w:rPr>
        <w:t>10</w:t>
      </w:r>
      <w:r w:rsidR="00325BC7">
        <w:rPr>
          <w:bCs/>
          <w:color w:val="000000" w:themeColor="text1"/>
          <w:shd w:val="clear" w:color="auto" w:fill="FFFFFF"/>
        </w:rPr>
        <w:t>.</w:t>
      </w:r>
      <w:r w:rsidRPr="000E4C0F">
        <w:rPr>
          <w:bCs/>
          <w:color w:val="000000" w:themeColor="text1"/>
          <w:shd w:val="clear" w:color="auto" w:fill="FFFFFF"/>
        </w:rPr>
        <w:t>3</w:t>
      </w:r>
      <w:r w:rsidR="00325BC7">
        <w:rPr>
          <w:bCs/>
          <w:color w:val="000000" w:themeColor="text1"/>
          <w:shd w:val="clear" w:color="auto" w:fill="FFFFFF"/>
        </w:rPr>
        <w:t>3</w:t>
      </w:r>
      <w:r w:rsidRPr="000E4C0F">
        <w:rPr>
          <w:bCs/>
          <w:color w:val="000000" w:themeColor="text1"/>
          <w:shd w:val="clear" w:color="auto" w:fill="FFFFFF"/>
        </w:rPr>
        <w:t xml:space="preserve"> </w:t>
      </w:r>
      <w:r w:rsidR="00AB6D4C">
        <w:rPr>
          <w:bCs/>
          <w:color w:val="000000" w:themeColor="text1"/>
        </w:rPr>
        <w:t>M</w:t>
      </w:r>
      <w:r w:rsidR="00AB6D4C" w:rsidRPr="000E4C0F">
        <w:rPr>
          <w:bCs/>
          <w:color w:val="000000" w:themeColor="text1"/>
        </w:rPr>
        <w:t>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xml:space="preserve">), all of which were not significantly different from one another. Mean carbon stock in the cash crop plots was </w:t>
      </w:r>
      <w:r w:rsidRPr="000E4C0F">
        <w:rPr>
          <w:bCs/>
          <w:color w:val="000000" w:themeColor="text1"/>
          <w:shd w:val="clear" w:color="auto" w:fill="FFFFFF"/>
        </w:rPr>
        <w:t>10</w:t>
      </w:r>
      <w:r w:rsidR="00325BC7">
        <w:rPr>
          <w:bCs/>
          <w:color w:val="000000" w:themeColor="text1"/>
          <w:shd w:val="clear" w:color="auto" w:fill="FFFFFF"/>
        </w:rPr>
        <w:t>.</w:t>
      </w:r>
      <w:r w:rsidRPr="000E4C0F">
        <w:rPr>
          <w:bCs/>
          <w:color w:val="000000" w:themeColor="text1"/>
          <w:shd w:val="clear" w:color="auto" w:fill="FFFFFF"/>
        </w:rPr>
        <w:t>2</w:t>
      </w:r>
      <w:r w:rsidR="00325BC7">
        <w:rPr>
          <w:bCs/>
          <w:color w:val="000000" w:themeColor="text1"/>
          <w:shd w:val="clear" w:color="auto" w:fill="FFFFFF"/>
        </w:rPr>
        <w:t>9</w:t>
      </w:r>
      <w:r w:rsidRPr="000E4C0F">
        <w:rPr>
          <w:bCs/>
          <w:color w:val="000000" w:themeColor="text1"/>
          <w:shd w:val="clear" w:color="auto" w:fill="FFFFFF"/>
        </w:rPr>
        <w:t xml:space="preserve"> </w:t>
      </w:r>
      <w:r w:rsidR="00AB6D4C">
        <w:rPr>
          <w:bCs/>
          <w:color w:val="000000" w:themeColor="text1"/>
        </w:rPr>
        <w:t>M</w:t>
      </w:r>
      <w:r w:rsidR="00AB6D4C" w:rsidRPr="000E4C0F">
        <w:rPr>
          <w:bCs/>
          <w:color w:val="000000" w:themeColor="text1"/>
        </w:rPr>
        <w:t>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which was significantly higher than the fallow (</w:t>
      </w:r>
      <w:r w:rsidRPr="000E4C0F">
        <w:rPr>
          <w:bCs/>
          <w:color w:val="000000" w:themeColor="text1"/>
          <w:shd w:val="clear" w:color="auto" w:fill="FFFFFF"/>
        </w:rPr>
        <w:t>9</w:t>
      </w:r>
      <w:r w:rsidR="00325BC7">
        <w:rPr>
          <w:bCs/>
          <w:color w:val="000000" w:themeColor="text1"/>
          <w:shd w:val="clear" w:color="auto" w:fill="FFFFFF"/>
        </w:rPr>
        <w:t>.17</w:t>
      </w:r>
      <w:r w:rsidRPr="000E4C0F">
        <w:rPr>
          <w:bCs/>
          <w:color w:val="000000" w:themeColor="text1"/>
          <w:shd w:val="clear" w:color="auto" w:fill="FFFFFF"/>
        </w:rPr>
        <w:t xml:space="preserve"> </w:t>
      </w:r>
      <w:r w:rsidR="00AB6D4C">
        <w:rPr>
          <w:bCs/>
          <w:color w:val="000000" w:themeColor="text1"/>
        </w:rPr>
        <w:t>M</w:t>
      </w:r>
      <w:r w:rsidR="00AB6D4C" w:rsidRPr="000E4C0F">
        <w:rPr>
          <w:bCs/>
          <w:color w:val="000000" w:themeColor="text1"/>
        </w:rPr>
        <w:t>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xml:space="preserve">). </w:t>
      </w:r>
      <w:r w:rsidR="004310DF">
        <w:rPr>
          <w:bCs/>
          <w:color w:val="000000" w:themeColor="text1"/>
        </w:rPr>
        <w:t xml:space="preserve">We also calculated carbon stock </w:t>
      </w:r>
      <w:r w:rsidR="009D5382">
        <w:rPr>
          <w:bCs/>
          <w:color w:val="000000" w:themeColor="text1"/>
        </w:rPr>
        <w:t>for</w:t>
      </w:r>
      <w:r w:rsidR="004310DF">
        <w:rPr>
          <w:bCs/>
          <w:color w:val="000000" w:themeColor="text1"/>
        </w:rPr>
        <w:t xml:space="preserve"> the</w:t>
      </w:r>
      <w:r w:rsidR="001710A2">
        <w:rPr>
          <w:bCs/>
          <w:color w:val="000000" w:themeColor="text1"/>
        </w:rPr>
        <w:t xml:space="preserve"> </w:t>
      </w:r>
      <w:r w:rsidR="00B71CF3">
        <w:rPr>
          <w:bCs/>
          <w:color w:val="000000" w:themeColor="text1"/>
        </w:rPr>
        <w:t>0-15 cm depth</w:t>
      </w:r>
      <w:r w:rsidR="007643CB">
        <w:rPr>
          <w:bCs/>
          <w:color w:val="000000" w:themeColor="text1"/>
        </w:rPr>
        <w:t xml:space="preserve"> and found that in both</w:t>
      </w:r>
      <w:r w:rsidR="007643CB" w:rsidRPr="007643CB">
        <w:rPr>
          <w:bCs/>
          <w:color w:val="000000" w:themeColor="text1"/>
        </w:rPr>
        <w:t xml:space="preserve"> deep (strip and minimal) tillage plots</w:t>
      </w:r>
      <w:r w:rsidR="007643CB">
        <w:rPr>
          <w:bCs/>
          <w:color w:val="000000" w:themeColor="text1"/>
        </w:rPr>
        <w:t>, carbon stock</w:t>
      </w:r>
      <w:r w:rsidR="007643CB" w:rsidRPr="007643CB">
        <w:rPr>
          <w:bCs/>
          <w:color w:val="000000" w:themeColor="text1"/>
        </w:rPr>
        <w:t xml:space="preserve"> w</w:t>
      </w:r>
      <w:r w:rsidR="007643CB">
        <w:rPr>
          <w:bCs/>
          <w:color w:val="000000" w:themeColor="text1"/>
        </w:rPr>
        <w:t>as</w:t>
      </w:r>
      <w:r w:rsidR="007643CB" w:rsidRPr="007643CB">
        <w:rPr>
          <w:bCs/>
          <w:color w:val="000000" w:themeColor="text1"/>
        </w:rPr>
        <w:t xml:space="preserve"> </w:t>
      </w:r>
      <w:r w:rsidR="007643CB">
        <w:rPr>
          <w:bCs/>
          <w:color w:val="000000" w:themeColor="text1"/>
        </w:rPr>
        <w:t>~</w:t>
      </w:r>
      <w:r w:rsidR="007643CB" w:rsidRPr="007643CB">
        <w:rPr>
          <w:bCs/>
          <w:color w:val="000000" w:themeColor="text1"/>
        </w:rPr>
        <w:t xml:space="preserve"> </w:t>
      </w:r>
      <w:r w:rsidR="006B5049">
        <w:rPr>
          <w:bCs/>
          <w:color w:val="000000" w:themeColor="text1"/>
        </w:rPr>
        <w:t>25</w:t>
      </w:r>
      <w:r w:rsidR="007643CB" w:rsidRPr="007643CB">
        <w:rPr>
          <w:bCs/>
          <w:color w:val="000000" w:themeColor="text1"/>
        </w:rPr>
        <w:t xml:space="preserve"> Mg ha</w:t>
      </w:r>
      <w:r w:rsidR="007643CB" w:rsidRPr="007643CB">
        <w:rPr>
          <w:bCs/>
          <w:color w:val="000000" w:themeColor="text1"/>
          <w:vertAlign w:val="superscript"/>
        </w:rPr>
        <w:t>-1</w:t>
      </w:r>
      <w:r w:rsidR="007643CB" w:rsidRPr="007643CB">
        <w:rPr>
          <w:bCs/>
          <w:color w:val="000000" w:themeColor="text1"/>
        </w:rPr>
        <w:t>, which is numerically higher than in the no till (</w:t>
      </w:r>
      <w:r w:rsidR="006B5049">
        <w:rPr>
          <w:bCs/>
          <w:color w:val="000000" w:themeColor="text1"/>
        </w:rPr>
        <w:t>22.61</w:t>
      </w:r>
      <w:r w:rsidR="007643CB" w:rsidRPr="007643CB">
        <w:rPr>
          <w:bCs/>
          <w:color w:val="000000" w:themeColor="text1"/>
        </w:rPr>
        <w:t xml:space="preserve"> Mg ha</w:t>
      </w:r>
      <w:r w:rsidR="007643CB" w:rsidRPr="007643CB">
        <w:rPr>
          <w:bCs/>
          <w:color w:val="000000" w:themeColor="text1"/>
          <w:vertAlign w:val="superscript"/>
        </w:rPr>
        <w:t>-1</w:t>
      </w:r>
      <w:r w:rsidR="007643CB" w:rsidRPr="007643CB">
        <w:rPr>
          <w:bCs/>
          <w:color w:val="000000" w:themeColor="text1"/>
        </w:rPr>
        <w:t xml:space="preserve">) and conventional till plots </w:t>
      </w:r>
      <w:r w:rsidR="006B5049">
        <w:rPr>
          <w:bCs/>
          <w:color w:val="000000" w:themeColor="text1"/>
        </w:rPr>
        <w:t>(19.51</w:t>
      </w:r>
      <w:r w:rsidR="007643CB" w:rsidRPr="007643CB">
        <w:rPr>
          <w:bCs/>
          <w:color w:val="000000" w:themeColor="text1"/>
        </w:rPr>
        <w:t xml:space="preserve"> Mg ha</w:t>
      </w:r>
      <w:r w:rsidR="007643CB" w:rsidRPr="007643CB">
        <w:rPr>
          <w:bCs/>
          <w:color w:val="000000" w:themeColor="text1"/>
          <w:vertAlign w:val="superscript"/>
        </w:rPr>
        <w:t>-1</w:t>
      </w:r>
      <w:r w:rsidR="007643CB" w:rsidRPr="007643CB">
        <w:rPr>
          <w:bCs/>
          <w:color w:val="000000" w:themeColor="text1"/>
        </w:rPr>
        <w:t>). However, there were no statistically significant differences</w:t>
      </w:r>
      <w:r w:rsidR="007643CB">
        <w:rPr>
          <w:bCs/>
          <w:color w:val="000000" w:themeColor="text1"/>
        </w:rPr>
        <w:t xml:space="preserve"> among</w:t>
      </w:r>
      <w:r w:rsidR="00C7078F">
        <w:rPr>
          <w:bCs/>
          <w:color w:val="000000" w:themeColor="text1"/>
        </w:rPr>
        <w:t xml:space="preserve"> both winter cover and tillage</w:t>
      </w:r>
      <w:r w:rsidR="001710A2" w:rsidRPr="007643CB">
        <w:rPr>
          <w:bCs/>
          <w:color w:val="000000" w:themeColor="text1"/>
        </w:rPr>
        <w:t xml:space="preserve"> treatments</w:t>
      </w:r>
      <w:r w:rsidR="00C7078F">
        <w:rPr>
          <w:bCs/>
          <w:color w:val="000000" w:themeColor="text1"/>
        </w:rPr>
        <w:t xml:space="preserve"> at</w:t>
      </w:r>
      <w:r w:rsidR="00A54014" w:rsidRPr="007643CB">
        <w:rPr>
          <w:bCs/>
          <w:color w:val="000000" w:themeColor="text1"/>
        </w:rPr>
        <w:t xml:space="preserve"> </w:t>
      </w:r>
      <w:r w:rsidR="00C7078F">
        <w:rPr>
          <w:bCs/>
          <w:color w:val="000000" w:themeColor="text1"/>
        </w:rPr>
        <w:t xml:space="preserve">0-15 cm depth </w:t>
      </w:r>
      <w:r w:rsidR="001710A2" w:rsidRPr="007643CB">
        <w:rPr>
          <w:bCs/>
          <w:color w:val="000000" w:themeColor="text1"/>
        </w:rPr>
        <w:t xml:space="preserve">(Figure 6). </w:t>
      </w:r>
    </w:p>
    <w:p w14:paraId="679AE553" w14:textId="0B8FA690" w:rsidR="004310DF" w:rsidRPr="000E4C0F" w:rsidRDefault="004B7EFE" w:rsidP="00C546F7">
      <w:pPr>
        <w:adjustRightInd w:val="0"/>
        <w:snapToGrid w:val="0"/>
        <w:spacing w:line="480" w:lineRule="auto"/>
        <w:ind w:firstLine="720"/>
        <w:rPr>
          <w:bCs/>
          <w:color w:val="000000" w:themeColor="text1"/>
        </w:rPr>
      </w:pPr>
      <w:r>
        <w:rPr>
          <w:bCs/>
          <w:color w:val="000000" w:themeColor="text1"/>
        </w:rPr>
        <w:t xml:space="preserve">The lack of significant difference from treatments </w:t>
      </w:r>
      <w:r w:rsidR="00CA1DD0">
        <w:rPr>
          <w:bCs/>
          <w:color w:val="000000" w:themeColor="text1"/>
        </w:rPr>
        <w:t xml:space="preserve">in carbon stocks </w:t>
      </w:r>
      <w:r>
        <w:rPr>
          <w:bCs/>
          <w:color w:val="000000" w:themeColor="text1"/>
        </w:rPr>
        <w:t>below 5 cm</w:t>
      </w:r>
      <w:r w:rsidR="00C178DE">
        <w:rPr>
          <w:bCs/>
          <w:color w:val="000000" w:themeColor="text1"/>
        </w:rPr>
        <w:t xml:space="preserve"> is somewhat expected </w:t>
      </w:r>
      <w:r w:rsidR="0057613F">
        <w:rPr>
          <w:bCs/>
          <w:color w:val="000000" w:themeColor="text1"/>
        </w:rPr>
        <w:t>as</w:t>
      </w:r>
      <w:r w:rsidR="00C178DE">
        <w:rPr>
          <w:bCs/>
          <w:color w:val="000000" w:themeColor="text1"/>
        </w:rPr>
        <w:t xml:space="preserve"> t</w:t>
      </w:r>
      <w:r w:rsidR="006B5049">
        <w:rPr>
          <w:bCs/>
          <w:color w:val="000000" w:themeColor="text1"/>
        </w:rPr>
        <w:t xml:space="preserve">here was a </w:t>
      </w:r>
      <w:r w:rsidR="0057613F">
        <w:rPr>
          <w:bCs/>
          <w:color w:val="000000" w:themeColor="text1"/>
        </w:rPr>
        <w:t>rel</w:t>
      </w:r>
      <w:r w:rsidR="00222589">
        <w:rPr>
          <w:bCs/>
          <w:color w:val="000000" w:themeColor="text1"/>
        </w:rPr>
        <w:t xml:space="preserve">atively </w:t>
      </w:r>
      <w:r w:rsidR="006B5049">
        <w:rPr>
          <w:bCs/>
          <w:color w:val="000000" w:themeColor="text1"/>
        </w:rPr>
        <w:t>smaller difference</w:t>
      </w:r>
      <w:r w:rsidR="00C178DE">
        <w:rPr>
          <w:bCs/>
          <w:color w:val="000000" w:themeColor="text1"/>
        </w:rPr>
        <w:t xml:space="preserve"> among treatments for soil carbon concentrations and bulk densities at depths lower than 5 cm (Figure </w:t>
      </w:r>
      <w:r w:rsidR="006B5049">
        <w:rPr>
          <w:bCs/>
          <w:color w:val="000000" w:themeColor="text1"/>
        </w:rPr>
        <w:t>3</w:t>
      </w:r>
      <w:r w:rsidR="00C178DE">
        <w:rPr>
          <w:bCs/>
          <w:color w:val="000000" w:themeColor="text1"/>
        </w:rPr>
        <w:t xml:space="preserve">, Figure A.2). Though </w:t>
      </w:r>
      <w:r w:rsidR="00C178DE">
        <w:rPr>
          <w:bCs/>
          <w:color w:val="000000" w:themeColor="text1"/>
        </w:rPr>
        <w:lastRenderedPageBreak/>
        <w:t>studies have seen significant increases in carbon stock</w:t>
      </w:r>
      <w:r w:rsidR="00CA1DD0">
        <w:rPr>
          <w:bCs/>
          <w:color w:val="000000" w:themeColor="text1"/>
        </w:rPr>
        <w:t>s</w:t>
      </w:r>
      <w:r w:rsidR="00C178DE">
        <w:rPr>
          <w:bCs/>
          <w:color w:val="000000" w:themeColor="text1"/>
        </w:rPr>
        <w:t xml:space="preserve"> </w:t>
      </w:r>
      <w:r>
        <w:rPr>
          <w:bCs/>
          <w:color w:val="000000" w:themeColor="text1"/>
        </w:rPr>
        <w:t xml:space="preserve">from conservation management </w:t>
      </w:r>
      <w:r w:rsidR="00CA1DD0">
        <w:rPr>
          <w:bCs/>
          <w:color w:val="000000" w:themeColor="text1"/>
        </w:rPr>
        <w:t>to a 30 cm depth</w:t>
      </w:r>
      <w:r w:rsidR="00C178DE">
        <w:rPr>
          <w:bCs/>
          <w:color w:val="000000" w:themeColor="text1"/>
        </w:rPr>
        <w:t>, results have been inconsistent</w:t>
      </w:r>
      <w:r w:rsidR="003A6536">
        <w:rPr>
          <w:bCs/>
          <w:color w:val="000000" w:themeColor="text1"/>
        </w:rPr>
        <w:t xml:space="preserve"> </w:t>
      </w:r>
      <w:r w:rsidR="004A73AD">
        <w:rPr>
          <w:bCs/>
          <w:color w:val="000000" w:themeColor="text1"/>
        </w:rPr>
        <w:t xml:space="preserve">due to variation in climate, soil type, and duration of management </w:t>
      </w:r>
      <w:r w:rsidR="004A73AD">
        <w:rPr>
          <w:bCs/>
          <w:color w:val="000000" w:themeColor="text1"/>
        </w:rPr>
        <w:fldChar w:fldCharType="begin"/>
      </w:r>
      <w:r w:rsidR="004A73AD">
        <w:rPr>
          <w:bCs/>
          <w:color w:val="000000" w:themeColor="text1"/>
        </w:rPr>
        <w:instrText xml:space="preserve"> ADDIN ZOTERO_ITEM CSL_CITATION {"citationID":"hWgxhSuk","properties":{"formattedCitation":"(Jian et al., 2020; Poeplau &amp; Don, 2015)","plainCitation":"(Jian et al., 2020; Poeplau &amp; Don, 2015)","noteIndex":0},"citationItems":[{"id":60,"uris":["http://zotero.org/users/9588463/items/QM5KC2F7"],"itemData":{"id":60,"type":"article-journal","container-title":"Soil Biology and Biochemistry","DOI":"10.1016/j.soilbio.2020.107735","ISSN":"00380717","journalAbbreviation":"Soil Biology and Biochemistry","language":"en","page":"107735","source":"DOI.org (Crossref)","title":"A meta-analysis of global cropland soil carbon changes due to cover cropping","volume":"143","author":[{"family":"Jian","given":"Jinshi"},{"family":"Du","given":"Xuan"},{"family":"Reiter","given":"Mark S."},{"family":"Stewart","given":"Ryan D."}],"issued":{"date-parts":[["2020",4]]}}},{"id":57,"uris":["http://zotero.org/users/9588463/items/YAH9D79X"],"itemData":{"id":57,"type":"article-journal","container-title":"Agriculture, Ecosystems &amp; Environment","DOI":"10.1016/j.agee.2014.10.024","ISSN":"01678809","journalAbbreviation":"Agriculture, Ecosystems &amp; Environment","language":"en","page":"33-41","source":"DOI.org (Crossref)","title":"Carbon sequestration in agricultural soils via cultivation of cover crops – A meta-analysis","volume":"200","author":[{"family":"Poeplau","given":"Christopher"},{"family":"Don","given":"Axel"}],"issued":{"date-parts":[["2015",2]]}}}],"schema":"https://github.com/citation-style-language/schema/raw/master/csl-citation.json"} </w:instrText>
      </w:r>
      <w:r w:rsidR="004A73AD">
        <w:rPr>
          <w:bCs/>
          <w:color w:val="000000" w:themeColor="text1"/>
        </w:rPr>
        <w:fldChar w:fldCharType="separate"/>
      </w:r>
      <w:r w:rsidR="004A73AD">
        <w:rPr>
          <w:bCs/>
          <w:noProof/>
          <w:color w:val="000000" w:themeColor="text1"/>
        </w:rPr>
        <w:t>(Jian et al., 2020; Poeplau &amp; Don, 2015)</w:t>
      </w:r>
      <w:r w:rsidR="004A73AD">
        <w:rPr>
          <w:bCs/>
          <w:color w:val="000000" w:themeColor="text1"/>
        </w:rPr>
        <w:fldChar w:fldCharType="end"/>
      </w:r>
      <w:r w:rsidR="00CA1DD0">
        <w:rPr>
          <w:bCs/>
          <w:color w:val="000000" w:themeColor="text1"/>
        </w:rPr>
        <w:t>.</w:t>
      </w:r>
      <w:r w:rsidR="00381219">
        <w:rPr>
          <w:bCs/>
          <w:color w:val="000000" w:themeColor="text1"/>
        </w:rPr>
        <w:t xml:space="preserve"> T</w:t>
      </w:r>
      <w:r w:rsidR="004A73AD">
        <w:rPr>
          <w:bCs/>
          <w:color w:val="000000" w:themeColor="text1"/>
        </w:rPr>
        <w:t>he warm, humid climate and course soil texture found in the coastal plain</w:t>
      </w:r>
      <w:r w:rsidR="00381219">
        <w:rPr>
          <w:bCs/>
          <w:color w:val="000000" w:themeColor="text1"/>
        </w:rPr>
        <w:t xml:space="preserve"> may have limited the capacity of soil carbon storage for the first 7 years of this study.</w:t>
      </w:r>
      <w:r w:rsidR="004A73AD">
        <w:rPr>
          <w:bCs/>
          <w:color w:val="000000" w:themeColor="text1"/>
        </w:rPr>
        <w:t xml:space="preserve"> </w:t>
      </w:r>
      <w:r w:rsidR="00381219">
        <w:rPr>
          <w:bCs/>
          <w:color w:val="000000" w:themeColor="text1"/>
        </w:rPr>
        <w:t xml:space="preserve">With the soil carbon concentration data showing an increasing trend particularly in the strip tillage treatments (Figure A.2), it is possible that more time is needed to see significant differences in carbon stock at depths lower than 5 cm </w:t>
      </w:r>
      <w:r w:rsidR="00381219">
        <w:rPr>
          <w:bCs/>
          <w:color w:val="000000" w:themeColor="text1"/>
        </w:rPr>
        <w:fldChar w:fldCharType="begin"/>
      </w:r>
      <w:r w:rsidR="00381219">
        <w:rPr>
          <w:bCs/>
          <w:color w:val="000000" w:themeColor="text1"/>
        </w:rPr>
        <w:instrText xml:space="preserve"> ADDIN ZOTERO_ITEM CSL_CITATION {"citationID":"WhctbYp4","properties":{"formattedCitation":"(Poeplau &amp; Don, 2015)","plainCitation":"(Poeplau &amp; Don, 2015)","noteIndex":0},"citationItems":[{"id":57,"uris":["http://zotero.org/users/9588463/items/YAH9D79X"],"itemData":{"id":57,"type":"article-journal","container-title":"Agriculture, Ecosystems &amp; Environment","DOI":"10.1016/j.agee.2014.10.024","ISSN":"01678809","journalAbbreviation":"Agriculture, Ecosystems &amp; Environment","language":"en","page":"33-41","source":"DOI.org (Crossref)","title":"Carbon sequestration in agricultural soils via cultivation of cover crops – A meta-analysis","volume":"200","author":[{"family":"Poeplau","given":"Christopher"},{"family":"Don","given":"Axel"}],"issued":{"date-parts":[["2015",2]]}}}],"schema":"https://github.com/citation-style-language/schema/raw/master/csl-citation.json"} </w:instrText>
      </w:r>
      <w:r w:rsidR="00381219">
        <w:rPr>
          <w:bCs/>
          <w:color w:val="000000" w:themeColor="text1"/>
        </w:rPr>
        <w:fldChar w:fldCharType="separate"/>
      </w:r>
      <w:r w:rsidR="00381219">
        <w:rPr>
          <w:bCs/>
          <w:noProof/>
          <w:color w:val="000000" w:themeColor="text1"/>
        </w:rPr>
        <w:t>(Poeplau &amp; Don, 2015)</w:t>
      </w:r>
      <w:r w:rsidR="00381219">
        <w:rPr>
          <w:bCs/>
          <w:color w:val="000000" w:themeColor="text1"/>
        </w:rPr>
        <w:fldChar w:fldCharType="end"/>
      </w:r>
      <w:r w:rsidR="00381219">
        <w:rPr>
          <w:bCs/>
          <w:color w:val="000000" w:themeColor="text1"/>
        </w:rPr>
        <w:t>.</w:t>
      </w:r>
    </w:p>
    <w:p w14:paraId="458B0956" w14:textId="77777777" w:rsidR="000E4C0F" w:rsidRPr="000E4C0F" w:rsidRDefault="000E4C0F" w:rsidP="000E4C0F">
      <w:pPr>
        <w:pStyle w:val="Heading3"/>
        <w:spacing w:line="480" w:lineRule="auto"/>
        <w:rPr>
          <w:rFonts w:cs="Times New Roman"/>
          <w:bCs/>
          <w:i/>
          <w:color w:val="000000" w:themeColor="text1"/>
          <w:sz w:val="24"/>
          <w:szCs w:val="24"/>
        </w:rPr>
      </w:pPr>
      <w:bookmarkStart w:id="10" w:name="_Toc139968608"/>
      <w:r w:rsidRPr="000E4C0F">
        <w:rPr>
          <w:rFonts w:cs="Times New Roman"/>
          <w:bCs/>
          <w:i/>
          <w:color w:val="000000" w:themeColor="text1"/>
          <w:sz w:val="24"/>
          <w:szCs w:val="24"/>
        </w:rPr>
        <w:t>1.3.7 Yield</w:t>
      </w:r>
      <w:bookmarkEnd w:id="10"/>
    </w:p>
    <w:p w14:paraId="01F20874"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 xml:space="preserve">Summer cash crop yield was calculated in every year except 2020 (Figure A.5). The yield measurements from 2017, at the start of the study, did not significantly differ between tillage treatments. Therefore, the common observation of a summer cash crop yield decrease in the first year of switching to no tillage </w:t>
      </w:r>
      <w:r w:rsidRPr="000E4C0F">
        <w:rPr>
          <w:bCs/>
          <w:color w:val="000000" w:themeColor="text1"/>
        </w:rPr>
        <w:fldChar w:fldCharType="begin"/>
      </w:r>
      <w:r w:rsidRPr="000E4C0F">
        <w:rPr>
          <w:bCs/>
          <w:color w:val="000000" w:themeColor="text1"/>
        </w:rPr>
        <w:instrText xml:space="preserve"> ADDIN ZOTERO_ITEM CSL_CITATION {"citationID":"2dL7D1H5","properties":{"formattedCitation":"(Huggins &amp; Reganold, 2008; Pittelkow et al., 2015)","plainCitation":"(Huggins &amp; Reganold, 2008; Pittelkow et al., 2015)","dontUpdate":true,"noteIndex":0},"citationItems":[{"id":16,"uris":["http://zotero.org/users/9588463/items/RL7GTJ4Z"],"itemData":{"id":16,"type":"document","publisher":"Scientific American, Inc.","title":"No Till: The Quiet Revolution","URL":"https://www.ars.usda.gov/ARSUserFiles/20902500/DavidHuggins/NoTill.pdf","author":[{"family":"Huggins","given":"David R."},{"family":"Reganold","given":"John P."}],"issued":{"date-parts":[["2008",7]]}}},{"id":225,"uris":["http://zotero.org/users/9588463/items/TWRY9YP2"],"itemData":{"id":225,"type":"article-journal","container-title":"Field Crops Research","DOI":"10.1016/j.fcr.2015.07.020","ISSN":"03784290","journalAbbreviation":"Field Crops Research","language":"en","page":"156-168","source":"DOI.org (Crossref)","title":"When does no-till yield more? A global meta-analysis","title-short":"When does no-till yield more?","volume":"183","author":[{"family":"Pittelkow","given":"Cameron M."},{"family":"Linquist","given":"Bruce A."},{"family":"Lundy","given":"Mark E."},{"family":"Liang","given":"Xinqiang"},{"family":"Groenigen","given":"Kees Jan","non-dropping-particle":"van"},{"family":"Lee","given":"Juhwan"},{"family":"Gestel","given":"Natasja","non-dropping-particle":"van"},{"family":"Six","given":"Johan"},{"family":"Venterea","given":"Rodney T."},{"family":"Kessel","given":"Chris","non-dropping-particle":"van"}],"issued":{"date-parts":[["2015",11]]}}}],"schema":"https://github.com/citation-style-language/schema/raw/master/csl-citation.json"} </w:instrText>
      </w:r>
      <w:r w:rsidRPr="000E4C0F">
        <w:rPr>
          <w:bCs/>
          <w:color w:val="000000" w:themeColor="text1"/>
        </w:rPr>
        <w:fldChar w:fldCharType="separate"/>
      </w:r>
      <w:r w:rsidRPr="000E4C0F">
        <w:rPr>
          <w:bCs/>
          <w:noProof/>
          <w:color w:val="000000" w:themeColor="text1"/>
        </w:rPr>
        <w:t>(e.g., Huggins &amp; Reganold, 2008; Pittelkow et al., 2015)</w:t>
      </w:r>
      <w:r w:rsidRPr="000E4C0F">
        <w:rPr>
          <w:bCs/>
          <w:color w:val="000000" w:themeColor="text1"/>
        </w:rPr>
        <w:fldChar w:fldCharType="end"/>
      </w:r>
      <w:r w:rsidRPr="000E4C0F">
        <w:rPr>
          <w:bCs/>
          <w:color w:val="000000" w:themeColor="text1"/>
        </w:rPr>
        <w:t xml:space="preserve"> did not occur in this study. Sandy soils characteristically have a low water holding capacity, and the absence of tillage may have led to increased soil water, contributing to increased yield relative to outcomes seen in studies conducted in finer-textured soils </w:t>
      </w:r>
      <w:r w:rsidRPr="000E4C0F">
        <w:rPr>
          <w:bCs/>
          <w:color w:val="000000" w:themeColor="text1"/>
        </w:rPr>
        <w:fldChar w:fldCharType="begin"/>
      </w:r>
      <w:r w:rsidRPr="000E4C0F">
        <w:rPr>
          <w:bCs/>
          <w:color w:val="000000" w:themeColor="text1"/>
        </w:rPr>
        <w:instrText xml:space="preserve"> ADDIN ZOTERO_ITEM CSL_CITATION {"citationID":"UKd7R6jp","properties":{"formattedCitation":"(Pittelkow et al., 2015)","plainCitation":"(Pittelkow et al., 2015)","noteIndex":0},"citationItems":[{"id":225,"uris":["http://zotero.org/users/9588463/items/TWRY9YP2"],"itemData":{"id":225,"type":"article-journal","container-title":"Field Crops Research","DOI":"10.1016/j.fcr.2015.07.020","ISSN":"03784290","journalAbbreviation":"Field Crops Research","language":"en","page":"156-168","source":"DOI.org (Crossref)","title":"When does no-till yield more? A global meta-analysis","title-short":"When does no-till yield more?","volume":"183","author":[{"family":"Pittelkow","given":"Cameron M."},{"family":"Linquist","given":"Bruce A."},{"family":"Lundy","given":"Mark E."},{"family":"Liang","given":"Xinqiang"},{"family":"Groenigen","given":"Kees Jan","non-dropping-particle":"van"},{"family":"Lee","given":"Juhwan"},{"family":"Gestel","given":"Natasja","non-dropping-particle":"van"},{"family":"Six","given":"Johan"},{"family":"Venterea","given":"Rodney T."},{"family":"Kessel","given":"Chris","non-dropping-particle":"van"}],"issued":{"date-parts":[["2015",11]]}}}],"schema":"https://github.com/citation-style-language/schema/raw/master/csl-citation.json"} </w:instrText>
      </w:r>
      <w:r w:rsidRPr="000E4C0F">
        <w:rPr>
          <w:bCs/>
          <w:color w:val="000000" w:themeColor="text1"/>
        </w:rPr>
        <w:fldChar w:fldCharType="separate"/>
      </w:r>
      <w:r w:rsidRPr="000E4C0F">
        <w:rPr>
          <w:bCs/>
          <w:noProof/>
          <w:color w:val="000000" w:themeColor="text1"/>
        </w:rPr>
        <w:t>(Pittelkow et al., 2015)</w:t>
      </w:r>
      <w:r w:rsidRPr="000E4C0F">
        <w:rPr>
          <w:bCs/>
          <w:color w:val="000000" w:themeColor="text1"/>
        </w:rPr>
        <w:fldChar w:fldCharType="end"/>
      </w:r>
      <w:r w:rsidRPr="000E4C0F">
        <w:rPr>
          <w:bCs/>
          <w:color w:val="000000" w:themeColor="text1"/>
        </w:rPr>
        <w:t xml:space="preserve">. </w:t>
      </w:r>
    </w:p>
    <w:p w14:paraId="3D3B064F" w14:textId="46065FAD" w:rsidR="000E4C0F" w:rsidRPr="000E4C0F" w:rsidRDefault="000E4C0F" w:rsidP="000E4C0F">
      <w:pPr>
        <w:adjustRightInd w:val="0"/>
        <w:snapToGrid w:val="0"/>
        <w:spacing w:line="480" w:lineRule="auto"/>
        <w:ind w:firstLine="720"/>
        <w:rPr>
          <w:bCs/>
          <w:i/>
          <w:iCs/>
          <w:color w:val="000000" w:themeColor="text1"/>
        </w:rPr>
      </w:pPr>
      <w:r w:rsidRPr="000E4C0F">
        <w:rPr>
          <w:bCs/>
          <w:color w:val="000000" w:themeColor="text1"/>
        </w:rPr>
        <w:t xml:space="preserve">Treatment effects were observed in 2018 and 2022 (Figure 7). In 2018, there was a significant influence of winter cover on cotton yield, as the cover crop treatment (1,019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was significantly higher than the cash crop (736 kg</w:t>
      </w:r>
      <w:r w:rsidR="00AB6D4C">
        <w:rPr>
          <w:bCs/>
          <w:color w:val="000000" w:themeColor="text1"/>
        </w:rPr>
        <w:t xml:space="preserve"> </w:t>
      </w:r>
      <w:r w:rsidRPr="000E4C0F">
        <w:rPr>
          <w:bCs/>
          <w:color w:val="000000" w:themeColor="text1"/>
        </w:rPr>
        <w:t>ha</w:t>
      </w:r>
      <w:r w:rsidR="00AB6D4C">
        <w:rPr>
          <w:bCs/>
          <w:color w:val="000000" w:themeColor="text1"/>
          <w:vertAlign w:val="superscript"/>
        </w:rPr>
        <w:t>-1</w:t>
      </w:r>
      <w:r w:rsidRPr="000E4C0F">
        <w:rPr>
          <w:bCs/>
          <w:color w:val="000000" w:themeColor="text1"/>
        </w:rPr>
        <w:t xml:space="preserve">) treatment (p &lt; 0.0001). In 2022, there was a significant effect from winter cover: average yield in the cover crop treatments (2,441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xml:space="preserve">) was significantly higher (p = 0.04) than in the cash crop treatments (2,117 </w:t>
      </w:r>
      <w:r w:rsidR="00AB6D4C" w:rsidRPr="000E4C0F">
        <w:rPr>
          <w:bCs/>
          <w:color w:val="000000" w:themeColor="text1"/>
        </w:rPr>
        <w:t>kg</w:t>
      </w:r>
      <w:r w:rsidR="00AB6D4C">
        <w:rPr>
          <w:bCs/>
          <w:color w:val="000000" w:themeColor="text1"/>
        </w:rPr>
        <w:t xml:space="preserve"> </w:t>
      </w:r>
      <w:r w:rsidR="00AB6D4C" w:rsidRPr="000E4C0F">
        <w:rPr>
          <w:bCs/>
          <w:color w:val="000000" w:themeColor="text1"/>
        </w:rPr>
        <w:t>ha</w:t>
      </w:r>
      <w:r w:rsidR="00AB6D4C">
        <w:rPr>
          <w:bCs/>
          <w:color w:val="000000" w:themeColor="text1"/>
          <w:vertAlign w:val="superscript"/>
        </w:rPr>
        <w:t>-1</w:t>
      </w:r>
      <w:r w:rsidRPr="000E4C0F">
        <w:rPr>
          <w:bCs/>
          <w:color w:val="000000" w:themeColor="text1"/>
        </w:rPr>
        <w:t xml:space="preserve">). </w:t>
      </w:r>
    </w:p>
    <w:p w14:paraId="1C6DD913"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 xml:space="preserve">Several potential reasons may explain the greater yields detected in the cover crop versus the cash crop treatments in those years. In 2018, cotton was planted later following the winter cash crop treatments than the other winter cover treatments; therefore, the lower summer cash </w:t>
      </w:r>
      <w:r w:rsidRPr="000E4C0F">
        <w:rPr>
          <w:bCs/>
          <w:color w:val="000000" w:themeColor="text1"/>
        </w:rPr>
        <w:lastRenderedPageBreak/>
        <w:t>crop yield measured that year was therefore likely due to the shorter growing season. Another possibility is that the legume species included in the cover crop mixtures in 2018 and 2022 helped to reduce the C:N ratio of the soil, whereas the monocrop rye (a grass species) that was planted in 2019 and 2020 did not (and no cover crop was planted in 2021). Previous work has found that cover crop mixtures can increase yield of the subsequent cash crop compared to monoculture grasses (</w:t>
      </w:r>
      <w:r w:rsidRPr="000E4C0F">
        <w:rPr>
          <w:bCs/>
          <w:noProof/>
          <w:color w:val="000000" w:themeColor="text1"/>
        </w:rPr>
        <w:t>Jian et al., 2020)</w:t>
      </w:r>
      <w:r w:rsidRPr="000E4C0F">
        <w:rPr>
          <w:bCs/>
          <w:color w:val="000000" w:themeColor="text1"/>
        </w:rPr>
        <w:t>, and that cover crop C:N and cash crop yield are negatively correlated (</w:t>
      </w:r>
      <w:r w:rsidRPr="000E4C0F">
        <w:rPr>
          <w:bCs/>
          <w:color w:val="000000" w:themeColor="text1"/>
        </w:rPr>
        <w:fldChar w:fldCharType="begin"/>
      </w:r>
      <w:r w:rsidRPr="000E4C0F">
        <w:rPr>
          <w:bCs/>
          <w:color w:val="000000" w:themeColor="text1"/>
        </w:rPr>
        <w:instrText xml:space="preserve"> ADDIN ZOTERO_ITEM CSL_CITATION {"citationID":"Qj3dbEv5","properties":{"formattedCitation":"(Finney et al., 2016)","plainCitation":"(Finney et al., 2016)","dontUpdate":true,"noteIndex":0},"citationItems":[{"id":261,"uris":["http://zotero.org/users/9588463/items/3CJFQGHM"],"itemData":{"id":261,"type":"article-journal","container-title":"Agronomy Journal","DOI":"10.2134/agronj15.0182","ISSN":"0002-1962, 1435-0645","issue":"1","journalAbbreviation":"Agronomy Journal","language":"en","page":"39-52","source":"DOI.org (Crossref)","title":"Biomass Production and Carbon/Nitrogen Ratio Influence Ecosystem Services from Cover Crop Mixtures","volume":"108","author":[{"family":"Finney","given":"Denise M."},{"family":"White","given":"Charles M."},{"family":"Kaye","given":"Jason P."}],"issued":{"date-parts":[["2016",1]]}}}],"schema":"https://github.com/citation-style-language/schema/raw/master/csl-citation.json"} </w:instrText>
      </w:r>
      <w:r w:rsidRPr="000E4C0F">
        <w:rPr>
          <w:bCs/>
          <w:color w:val="000000" w:themeColor="text1"/>
        </w:rPr>
        <w:fldChar w:fldCharType="separate"/>
      </w:r>
      <w:r w:rsidRPr="000E4C0F">
        <w:rPr>
          <w:bCs/>
          <w:noProof/>
          <w:color w:val="000000" w:themeColor="text1"/>
        </w:rPr>
        <w:t>Finney et al., 2016)</w:t>
      </w:r>
      <w:r w:rsidRPr="000E4C0F">
        <w:rPr>
          <w:bCs/>
          <w:color w:val="000000" w:themeColor="text1"/>
        </w:rPr>
        <w:fldChar w:fldCharType="end"/>
      </w:r>
      <w:r w:rsidRPr="000E4C0F">
        <w:rPr>
          <w:bCs/>
          <w:color w:val="000000" w:themeColor="text1"/>
        </w:rPr>
        <w:t xml:space="preserve">. </w:t>
      </w:r>
    </w:p>
    <w:p w14:paraId="3D2D6640" w14:textId="77777777" w:rsidR="000E4C0F" w:rsidRPr="000E4C0F" w:rsidRDefault="000E4C0F" w:rsidP="000E4C0F">
      <w:pPr>
        <w:adjustRightInd w:val="0"/>
        <w:snapToGrid w:val="0"/>
        <w:spacing w:line="480" w:lineRule="auto"/>
        <w:ind w:firstLine="720"/>
        <w:rPr>
          <w:bCs/>
          <w:color w:val="000000" w:themeColor="text1"/>
        </w:rPr>
      </w:pPr>
      <w:r w:rsidRPr="000E4C0F">
        <w:rPr>
          <w:bCs/>
          <w:color w:val="000000" w:themeColor="text1"/>
        </w:rPr>
        <w:t xml:space="preserve">The results from this study demonstrate tradeoffs between the use of a winter cash crop versus a cover crop as a winter soil cover strategy. If the farmer’s goal is to maximize summer cash crop yield, then using a cover crop mixture that includes legumes may be the best strategy. However, if the goal is to maximize farm profitability, then it may be better to plant a winter cash crop grass, such as rye or winter wheat. Another consideration is the length of the growing season of the summer cash crop, which can be reduced in double cropping systems (i.e., a winter cash crop grown to harvest). Also, if farmers decide to use a monoculture grass species as a cover crop, then removing some of the residue could benefit yield by potentially reducing nitrogen immobilization in the soil during the summer growing period. Residue removal may have some additional drawbacks in terms of other aspects of soil health, e.g., greater erosion due to less soil cover </w:t>
      </w:r>
      <w:r w:rsidRPr="000E4C0F">
        <w:rPr>
          <w:bCs/>
          <w:color w:val="000000" w:themeColor="text1"/>
        </w:rPr>
        <w:fldChar w:fldCharType="begin"/>
      </w:r>
      <w:r w:rsidRPr="000E4C0F">
        <w:rPr>
          <w:bCs/>
          <w:color w:val="000000" w:themeColor="text1"/>
        </w:rPr>
        <w:instrText xml:space="preserve"> ADDIN ZOTERO_ITEM CSL_CITATION {"citationID":"TJZnP01i","properties":{"formattedCitation":"(Du et al., 2022)","plainCitation":"(Du et al., 2022)","noteIndex":0},"citationItems":[{"id":300,"uris":["http://zotero.org/users/9588463/items/R5IH96JY"],"itemData":{"id":300,"type":"article-journal","container-title":"International Soil and Water Conservation Research","DOI":"10.1016/j.iswcr.2021.08.001","ISSN":"20956339","issue":"2","journalAbbreviation":"International Soil and Water Conservation Research","language":"en","page":"188-196","source":"DOI.org (Crossref)","title":"Conservation management decreases surface runoff and soil erosion","volume":"10","author":[{"family":"Du","given":"Xuan"},{"family":"Jian","given":"Jinshi"},{"family":"Du","given":"Can"},{"family":"Stewart","given":"Ryan D."}],"issued":{"date-parts":[["2022",6]]}}}],"schema":"https://github.com/citation-style-language/schema/raw/master/csl-citation.json"} </w:instrText>
      </w:r>
      <w:r w:rsidRPr="000E4C0F">
        <w:rPr>
          <w:bCs/>
          <w:color w:val="000000" w:themeColor="text1"/>
        </w:rPr>
        <w:fldChar w:fldCharType="separate"/>
      </w:r>
      <w:r w:rsidRPr="000E4C0F">
        <w:rPr>
          <w:bCs/>
          <w:noProof/>
          <w:color w:val="000000" w:themeColor="text1"/>
        </w:rPr>
        <w:t>(Du et al., 2022)</w:t>
      </w:r>
      <w:r w:rsidRPr="000E4C0F">
        <w:rPr>
          <w:bCs/>
          <w:color w:val="000000" w:themeColor="text1"/>
        </w:rPr>
        <w:fldChar w:fldCharType="end"/>
      </w:r>
      <w:r w:rsidRPr="000E4C0F">
        <w:rPr>
          <w:bCs/>
          <w:color w:val="000000" w:themeColor="text1"/>
        </w:rPr>
        <w:t xml:space="preserve"> so these factors should all be considered together when deciding on the exact planting strategies to use during the winter.  </w:t>
      </w:r>
      <w:bookmarkStart w:id="11" w:name="_Toc139968609"/>
    </w:p>
    <w:p w14:paraId="11B86F82" w14:textId="77777777" w:rsidR="000E4C0F" w:rsidRPr="000E4C0F" w:rsidRDefault="000E4C0F" w:rsidP="000E4C0F">
      <w:pPr>
        <w:pStyle w:val="Heading2"/>
        <w:spacing w:line="480" w:lineRule="auto"/>
        <w:rPr>
          <w:rFonts w:ascii="Times New Roman" w:hAnsi="Times New Roman" w:cs="Times New Roman"/>
          <w:bCs/>
          <w:color w:val="000000" w:themeColor="text1"/>
          <w:sz w:val="24"/>
          <w:szCs w:val="24"/>
        </w:rPr>
      </w:pPr>
      <w:r w:rsidRPr="000E4C0F">
        <w:rPr>
          <w:rFonts w:ascii="Times New Roman" w:hAnsi="Times New Roman" w:cs="Times New Roman"/>
          <w:color w:val="000000" w:themeColor="text1"/>
          <w:sz w:val="24"/>
          <w:szCs w:val="24"/>
        </w:rPr>
        <w:t>1.4 Conclusion</w:t>
      </w:r>
      <w:bookmarkEnd w:id="11"/>
    </w:p>
    <w:p w14:paraId="6B9A81ED" w14:textId="66F6CF5B" w:rsidR="000E4C0F" w:rsidRPr="000E4C0F" w:rsidRDefault="000E4C0F" w:rsidP="000E4C0F">
      <w:pPr>
        <w:autoSpaceDE w:val="0"/>
        <w:autoSpaceDN w:val="0"/>
        <w:adjustRightInd w:val="0"/>
        <w:spacing w:line="480" w:lineRule="auto"/>
        <w:ind w:firstLine="720"/>
        <w:rPr>
          <w:rFonts w:eastAsiaTheme="minorHAnsi"/>
          <w:bCs/>
          <w:color w:val="000000" w:themeColor="text1"/>
          <w14:ligatures w14:val="standardContextual"/>
        </w:rPr>
      </w:pPr>
      <w:r w:rsidRPr="000E4C0F">
        <w:rPr>
          <w:rFonts w:eastAsiaTheme="minorHAnsi"/>
          <w:bCs/>
          <w:color w:val="000000" w:themeColor="text1"/>
          <w14:ligatures w14:val="standardContextual"/>
        </w:rPr>
        <w:t>In this study we examined soil physical properties (i.e., bulk density, penetration resistance, K</w:t>
      </w:r>
      <w:r w:rsidRPr="000E4C0F">
        <w:rPr>
          <w:rFonts w:eastAsiaTheme="minorHAnsi"/>
          <w:bCs/>
          <w:color w:val="000000" w:themeColor="text1"/>
          <w:vertAlign w:val="subscript"/>
          <w14:ligatures w14:val="standardContextual"/>
        </w:rPr>
        <w:t>sat</w:t>
      </w:r>
      <w:r w:rsidRPr="000E4C0F">
        <w:rPr>
          <w:rFonts w:eastAsiaTheme="minorHAnsi"/>
          <w:bCs/>
          <w:color w:val="000000" w:themeColor="text1"/>
          <w14:ligatures w14:val="standardContextual"/>
        </w:rPr>
        <w:t xml:space="preserve">), soil carbon, and summer cash crop yield during 7 years of different tillage and over-winter crop management practices. Outcomes varied between years and soil depths, but a </w:t>
      </w:r>
      <w:r w:rsidRPr="000E4C0F">
        <w:rPr>
          <w:rFonts w:eastAsiaTheme="minorHAnsi"/>
          <w:bCs/>
          <w:color w:val="000000" w:themeColor="text1"/>
          <w14:ligatures w14:val="standardContextual"/>
        </w:rPr>
        <w:lastRenderedPageBreak/>
        <w:t>few patterns clearly emerged from the results. Bulk density and K</w:t>
      </w:r>
      <w:r w:rsidRPr="000E4C0F">
        <w:rPr>
          <w:rFonts w:eastAsiaTheme="minorHAnsi"/>
          <w:bCs/>
          <w:color w:val="000000" w:themeColor="text1"/>
          <w:vertAlign w:val="subscript"/>
          <w14:ligatures w14:val="standardContextual"/>
        </w:rPr>
        <w:t>sat</w:t>
      </w:r>
      <w:r w:rsidRPr="000E4C0F">
        <w:rPr>
          <w:rFonts w:eastAsiaTheme="minorHAnsi"/>
          <w:bCs/>
          <w:color w:val="000000" w:themeColor="text1"/>
          <w14:ligatures w14:val="standardContextual"/>
        </w:rPr>
        <w:t xml:space="preserve"> of the upper soil profile were both modified when using conventional and strip tillage. These effects were mostly temporary, as the differences disappeared by nine months after tillage. Soil carbon also was variable through time, but carbon </w:t>
      </w:r>
      <w:r w:rsidR="00AD4EE8">
        <w:rPr>
          <w:rFonts w:eastAsiaTheme="minorHAnsi"/>
          <w:bCs/>
          <w:color w:val="000000" w:themeColor="text1"/>
          <w14:ligatures w14:val="standardContextual"/>
        </w:rPr>
        <w:t xml:space="preserve">stock </w:t>
      </w:r>
      <w:r w:rsidRPr="000E4C0F">
        <w:rPr>
          <w:rFonts w:eastAsiaTheme="minorHAnsi"/>
          <w:bCs/>
          <w:color w:val="000000" w:themeColor="text1"/>
          <w14:ligatures w14:val="standardContextual"/>
        </w:rPr>
        <w:t xml:space="preserve">of the 0-5 cm depth </w:t>
      </w:r>
      <w:proofErr w:type="gramStart"/>
      <w:r w:rsidRPr="000E4C0F">
        <w:rPr>
          <w:rFonts w:eastAsiaTheme="minorHAnsi"/>
          <w:bCs/>
          <w:color w:val="000000" w:themeColor="text1"/>
          <w14:ligatures w14:val="standardContextual"/>
        </w:rPr>
        <w:t>were</w:t>
      </w:r>
      <w:proofErr w:type="gramEnd"/>
      <w:r w:rsidRPr="000E4C0F">
        <w:rPr>
          <w:rFonts w:eastAsiaTheme="minorHAnsi"/>
          <w:bCs/>
          <w:color w:val="000000" w:themeColor="text1"/>
          <w14:ligatures w14:val="standardContextual"/>
        </w:rPr>
        <w:t xml:space="preserve"> significantly greater in the conservation tillage treatments compared to conventional tillage by the end of the study. </w:t>
      </w:r>
      <w:r w:rsidRPr="000E4C0F">
        <w:rPr>
          <w:rFonts w:eastAsiaTheme="minorHAnsi"/>
          <w:color w:val="000000" w:themeColor="text1"/>
        </w:rPr>
        <w:t xml:space="preserve">The winter cover treatments (i.e., cover and cash crops) likewise had increased soil carbon in the upper 5 cm by the end of the study. </w:t>
      </w:r>
      <w:r w:rsidRPr="000E4C0F">
        <w:rPr>
          <w:rFonts w:eastAsiaTheme="minorHAnsi"/>
          <w:bCs/>
          <w:color w:val="000000" w:themeColor="text1"/>
          <w14:ligatures w14:val="standardContextual"/>
        </w:rPr>
        <w:t xml:space="preserve">These findings demonstrate that Coastal Plain agricultural soils have the potential to act as a carbon sink when using conservation agriculture practices. </w:t>
      </w:r>
    </w:p>
    <w:p w14:paraId="217747AD" w14:textId="77777777" w:rsidR="000E4C0F" w:rsidRPr="000E4C0F" w:rsidRDefault="000E4C0F" w:rsidP="000E4C0F">
      <w:pPr>
        <w:autoSpaceDE w:val="0"/>
        <w:autoSpaceDN w:val="0"/>
        <w:adjustRightInd w:val="0"/>
        <w:spacing w:line="480" w:lineRule="auto"/>
        <w:ind w:firstLine="720"/>
        <w:rPr>
          <w:rFonts w:eastAsiaTheme="minorHAnsi"/>
          <w:bCs/>
          <w:color w:val="000000" w:themeColor="text1"/>
          <w14:ligatures w14:val="standardContextual"/>
        </w:rPr>
      </w:pPr>
      <w:r w:rsidRPr="000E4C0F">
        <w:rPr>
          <w:rFonts w:eastAsiaTheme="minorHAnsi"/>
          <w:bCs/>
          <w:color w:val="000000" w:themeColor="text1"/>
          <w14:ligatures w14:val="standardContextual"/>
        </w:rPr>
        <w:t xml:space="preserve">Depth to the root-restrictive soil layer was fairly consistent through time. The deep tillage treatments (strip tillage and minimal tillage) had significantly deeper depths to root-restrictive layers in every year that penetration resistance was measured (2018-2023). Residual effects from deep tillage also persisted for more than a year. Finally, summer cash crop yield did not significantly decline from the implementation of no tillage, and yields were significantly improved when using cover crop mixtures that included legume, brassica, and grass species. </w:t>
      </w:r>
    </w:p>
    <w:p w14:paraId="780584F2" w14:textId="77777777" w:rsidR="000E4C0F" w:rsidRPr="000E4C0F" w:rsidRDefault="000E4C0F" w:rsidP="000E4C0F">
      <w:pPr>
        <w:spacing w:line="480" w:lineRule="auto"/>
        <w:ind w:firstLine="720"/>
        <w:rPr>
          <w:rFonts w:eastAsiaTheme="minorHAnsi"/>
          <w:color w:val="000000" w:themeColor="text1"/>
        </w:rPr>
      </w:pPr>
      <w:r w:rsidRPr="000E4C0F">
        <w:rPr>
          <w:rFonts w:eastAsiaTheme="minorHAnsi"/>
          <w:color w:val="000000" w:themeColor="text1"/>
        </w:rPr>
        <w:t xml:space="preserve">Altogether, conservation management can be used to improve soil properties in row cropping systems commonly used in the Coastal Plain of the U.S. In particular, strip tillage can provide benefits such as greater soil carbon accumulation </w:t>
      </w:r>
      <w:r w:rsidR="00F0119A">
        <w:rPr>
          <w:rFonts w:eastAsiaTheme="minorHAnsi"/>
          <w:color w:val="000000" w:themeColor="text1"/>
        </w:rPr>
        <w:t>deeper than the first 5 centimeters</w:t>
      </w:r>
      <w:r w:rsidRPr="000E4C0F">
        <w:rPr>
          <w:rFonts w:eastAsiaTheme="minorHAnsi"/>
          <w:color w:val="000000" w:themeColor="text1"/>
        </w:rPr>
        <w:t xml:space="preserve"> and </w:t>
      </w:r>
      <w:r w:rsidR="00F0119A">
        <w:rPr>
          <w:rFonts w:eastAsiaTheme="minorHAnsi"/>
          <w:color w:val="000000" w:themeColor="text1"/>
        </w:rPr>
        <w:t xml:space="preserve">a </w:t>
      </w:r>
      <w:r w:rsidRPr="000E4C0F">
        <w:rPr>
          <w:rFonts w:eastAsiaTheme="minorHAnsi"/>
          <w:color w:val="000000" w:themeColor="text1"/>
        </w:rPr>
        <w:t>greater depth to root-restrictive layer</w:t>
      </w:r>
      <w:r w:rsidR="00AB6D4C">
        <w:rPr>
          <w:rFonts w:eastAsiaTheme="minorHAnsi"/>
          <w:color w:val="000000" w:themeColor="text1"/>
        </w:rPr>
        <w:t xml:space="preserve"> than under no-till</w:t>
      </w:r>
      <w:r w:rsidRPr="000E4C0F">
        <w:rPr>
          <w:rFonts w:eastAsiaTheme="minorHAnsi"/>
          <w:color w:val="000000" w:themeColor="text1"/>
        </w:rPr>
        <w:t xml:space="preserve">. These improvements can lead to agronomic benefits such as increased yield. Reduced tillage and winter cover crops practices may help to improve soil resilience to environmental stressors such as droughts and heavy precipitation events, which are becoming increasingly common. Farmers should therefore continue to integrate practices such as strip tillage and cover cropping into their agronomic systems. </w:t>
      </w:r>
    </w:p>
    <w:p w14:paraId="06CA3499" w14:textId="77777777" w:rsidR="000E4C0F" w:rsidRPr="000E4C0F" w:rsidRDefault="000E4C0F" w:rsidP="000E4C0F">
      <w:pPr>
        <w:pStyle w:val="Heading2"/>
        <w:spacing w:line="480" w:lineRule="auto"/>
        <w:rPr>
          <w:rFonts w:ascii="Times New Roman" w:eastAsiaTheme="minorHAnsi" w:hAnsi="Times New Roman" w:cs="Times New Roman"/>
          <w:color w:val="000000" w:themeColor="text1"/>
          <w:sz w:val="24"/>
          <w:szCs w:val="24"/>
        </w:rPr>
      </w:pPr>
      <w:r w:rsidRPr="000E4C0F">
        <w:rPr>
          <w:rFonts w:ascii="Times New Roman" w:eastAsiaTheme="minorHAnsi" w:hAnsi="Times New Roman" w:cs="Times New Roman"/>
          <w:color w:val="000000" w:themeColor="text1"/>
          <w:sz w:val="24"/>
          <w:szCs w:val="24"/>
        </w:rPr>
        <w:lastRenderedPageBreak/>
        <w:t>Acknowledgments</w:t>
      </w:r>
    </w:p>
    <w:p w14:paraId="16508EA7" w14:textId="77777777" w:rsidR="000E4C0F" w:rsidRPr="000E4C0F" w:rsidRDefault="000E4C0F" w:rsidP="000E4C0F">
      <w:pPr>
        <w:spacing w:line="480" w:lineRule="auto"/>
        <w:rPr>
          <w:rFonts w:eastAsiaTheme="minorHAnsi"/>
          <w:b/>
          <w:bCs/>
          <w:color w:val="000000" w:themeColor="text1"/>
        </w:rPr>
      </w:pPr>
      <w:r w:rsidRPr="000E4C0F">
        <w:rPr>
          <w:rFonts w:eastAsia="Calibri"/>
          <w:color w:val="000000" w:themeColor="text1"/>
        </w:rPr>
        <w:t xml:space="preserve">The authors acknowledge the support provided by the U.S. Department of Agriculture NRCS Conservation Innovation Grant # 69-33A7-17-086. Funding for this work was provided in part by the Virginia Agricultural Experiment Station and the Hatch Program of the National Institute of Food and Agriculture, U.S. Department of Agriculture. </w:t>
      </w:r>
      <w:r w:rsidRPr="000E4C0F">
        <w:rPr>
          <w:rFonts w:eastAsiaTheme="minorHAnsi"/>
          <w:b/>
          <w:bCs/>
          <w:color w:val="000000" w:themeColor="text1"/>
        </w:rPr>
        <w:br w:type="page"/>
      </w:r>
    </w:p>
    <w:p w14:paraId="2B7D5192" w14:textId="77777777" w:rsidR="000E4C0F" w:rsidRPr="000E4C0F" w:rsidRDefault="000E4C0F" w:rsidP="000E4C0F">
      <w:pPr>
        <w:pStyle w:val="Bibliography"/>
        <w:rPr>
          <w:rFonts w:eastAsiaTheme="minorHAnsi"/>
          <w:b/>
          <w:bCs/>
          <w:color w:val="000000" w:themeColor="text1"/>
        </w:rPr>
      </w:pPr>
      <w:r w:rsidRPr="000E4C0F">
        <w:rPr>
          <w:rFonts w:eastAsiaTheme="minorHAnsi"/>
          <w:b/>
          <w:bCs/>
          <w:color w:val="000000" w:themeColor="text1"/>
        </w:rPr>
        <w:lastRenderedPageBreak/>
        <w:t>References</w:t>
      </w:r>
    </w:p>
    <w:p w14:paraId="1FBCABCF" w14:textId="77777777" w:rsidR="00222589" w:rsidRPr="00222589" w:rsidRDefault="000E4C0F" w:rsidP="00222589">
      <w:pPr>
        <w:pStyle w:val="Bibliography"/>
        <w:rPr>
          <w:color w:val="000000"/>
        </w:rPr>
      </w:pPr>
      <w:r w:rsidRPr="000E4C0F">
        <w:rPr>
          <w:rFonts w:eastAsiaTheme="minorHAnsi"/>
          <w:color w:val="000000" w:themeColor="text1"/>
        </w:rPr>
        <w:fldChar w:fldCharType="begin"/>
      </w:r>
      <w:r w:rsidRPr="000E4C0F">
        <w:rPr>
          <w:rFonts w:eastAsiaTheme="minorHAnsi"/>
          <w:color w:val="000000" w:themeColor="text1"/>
        </w:rPr>
        <w:instrText xml:space="preserve"> ADDIN ZOTERO_BIBL {"uncited":[],"omitted":[],"custom":[]} CSL_BIBLIOGRAPHY </w:instrText>
      </w:r>
      <w:r w:rsidRPr="000E4C0F">
        <w:rPr>
          <w:rFonts w:eastAsiaTheme="minorHAnsi"/>
          <w:color w:val="000000" w:themeColor="text1"/>
        </w:rPr>
        <w:fldChar w:fldCharType="separate"/>
      </w:r>
      <w:r w:rsidR="00222589" w:rsidRPr="00222589">
        <w:rPr>
          <w:color w:val="000000"/>
        </w:rPr>
        <w:t xml:space="preserve">Alletto, L., &amp; Coquet, Y. (2009). Temporal and spatial variability of soil bulk density and near-saturated hydraulic conductivity under two contrasted tillage management systems. </w:t>
      </w:r>
      <w:r w:rsidR="00222589" w:rsidRPr="00222589">
        <w:rPr>
          <w:i/>
          <w:iCs/>
          <w:color w:val="000000"/>
        </w:rPr>
        <w:t>Geoderma</w:t>
      </w:r>
      <w:r w:rsidR="00222589" w:rsidRPr="00222589">
        <w:rPr>
          <w:color w:val="000000"/>
        </w:rPr>
        <w:t xml:space="preserve">, </w:t>
      </w:r>
      <w:r w:rsidR="00222589" w:rsidRPr="00222589">
        <w:rPr>
          <w:i/>
          <w:iCs/>
          <w:color w:val="000000"/>
        </w:rPr>
        <w:t>152</w:t>
      </w:r>
      <w:r w:rsidR="00222589" w:rsidRPr="00222589">
        <w:rPr>
          <w:color w:val="000000"/>
        </w:rPr>
        <w:t>(1–2), 85–94. https://doi.org/10.1016/j.geoderma.2009.05.023</w:t>
      </w:r>
    </w:p>
    <w:p w14:paraId="2417EFE1" w14:textId="77777777" w:rsidR="00222589" w:rsidRPr="00222589" w:rsidRDefault="00222589" w:rsidP="00222589">
      <w:pPr>
        <w:pStyle w:val="Bibliography"/>
        <w:rPr>
          <w:color w:val="000000"/>
        </w:rPr>
      </w:pPr>
      <w:r w:rsidRPr="00222589">
        <w:rPr>
          <w:color w:val="000000"/>
        </w:rPr>
        <w:t xml:space="preserve">Blanco‐Canqui, H., &amp; Ruis, S. J. (2020). Cover crop impacts on soil physical properties: A review. </w:t>
      </w:r>
      <w:r w:rsidRPr="00222589">
        <w:rPr>
          <w:i/>
          <w:iCs/>
          <w:color w:val="000000"/>
        </w:rPr>
        <w:t>Soil Science Society of America Journal</w:t>
      </w:r>
      <w:r w:rsidRPr="00222589">
        <w:rPr>
          <w:color w:val="000000"/>
        </w:rPr>
        <w:t xml:space="preserve">, </w:t>
      </w:r>
      <w:r w:rsidRPr="00222589">
        <w:rPr>
          <w:i/>
          <w:iCs/>
          <w:color w:val="000000"/>
        </w:rPr>
        <w:t>84</w:t>
      </w:r>
      <w:r w:rsidRPr="00222589">
        <w:rPr>
          <w:color w:val="000000"/>
        </w:rPr>
        <w:t>(5), 1527–1576. https://doi.org/10.1002/saj2.20129</w:t>
      </w:r>
    </w:p>
    <w:p w14:paraId="455A4FBF" w14:textId="77777777" w:rsidR="00222589" w:rsidRPr="00222589" w:rsidRDefault="00222589" w:rsidP="00222589">
      <w:pPr>
        <w:pStyle w:val="Bibliography"/>
        <w:rPr>
          <w:color w:val="000000"/>
        </w:rPr>
      </w:pPr>
      <w:r w:rsidRPr="00222589">
        <w:rPr>
          <w:color w:val="000000"/>
        </w:rPr>
        <w:t xml:space="preserve">Blanco-Canqui, H., Wienhold, B. J., Jin, V. L., Schmer, M. R., &amp; Kibet, L. C. (2017). Long-term tillage impact on soil hydraulic properties. </w:t>
      </w:r>
      <w:r w:rsidRPr="00222589">
        <w:rPr>
          <w:i/>
          <w:iCs/>
          <w:color w:val="000000"/>
        </w:rPr>
        <w:t>Soil and Tillage Research</w:t>
      </w:r>
      <w:r w:rsidRPr="00222589">
        <w:rPr>
          <w:color w:val="000000"/>
        </w:rPr>
        <w:t xml:space="preserve">, </w:t>
      </w:r>
      <w:r w:rsidRPr="00222589">
        <w:rPr>
          <w:i/>
          <w:iCs/>
          <w:color w:val="000000"/>
        </w:rPr>
        <w:t>170</w:t>
      </w:r>
      <w:r w:rsidRPr="00222589">
        <w:rPr>
          <w:color w:val="000000"/>
        </w:rPr>
        <w:t>, 38–42. https://doi.org/10.1016/j.still.2017.03.001</w:t>
      </w:r>
    </w:p>
    <w:p w14:paraId="34B23764" w14:textId="77777777" w:rsidR="00222589" w:rsidRPr="00222589" w:rsidRDefault="00222589" w:rsidP="00222589">
      <w:pPr>
        <w:pStyle w:val="Bibliography"/>
        <w:rPr>
          <w:color w:val="000000"/>
        </w:rPr>
      </w:pPr>
      <w:r w:rsidRPr="00222589">
        <w:rPr>
          <w:color w:val="000000"/>
        </w:rPr>
        <w:t xml:space="preserve">Busscher, W. J., Frederick, J. R., &amp; Bauer, P. J. (2000). Timing Effects of Deep Tillage on Penetration Resistance and Wheat and Soybean Yield. </w:t>
      </w:r>
      <w:r w:rsidRPr="00222589">
        <w:rPr>
          <w:i/>
          <w:iCs/>
          <w:color w:val="000000"/>
        </w:rPr>
        <w:t>Soil Science Society of America Journal</w:t>
      </w:r>
      <w:r w:rsidRPr="00222589">
        <w:rPr>
          <w:color w:val="000000"/>
        </w:rPr>
        <w:t xml:space="preserve">, </w:t>
      </w:r>
      <w:r w:rsidRPr="00222589">
        <w:rPr>
          <w:i/>
          <w:iCs/>
          <w:color w:val="000000"/>
        </w:rPr>
        <w:t>64</w:t>
      </w:r>
      <w:r w:rsidRPr="00222589">
        <w:rPr>
          <w:color w:val="000000"/>
        </w:rPr>
        <w:t>(3), 999–1003. https://doi.org/10.2136/sssaj2000.643999x</w:t>
      </w:r>
    </w:p>
    <w:p w14:paraId="3403CB79" w14:textId="77777777" w:rsidR="00222589" w:rsidRPr="00222589" w:rsidRDefault="00222589" w:rsidP="00222589">
      <w:pPr>
        <w:pStyle w:val="Bibliography"/>
        <w:rPr>
          <w:color w:val="000000"/>
        </w:rPr>
      </w:pPr>
      <w:r w:rsidRPr="00222589">
        <w:rPr>
          <w:color w:val="000000"/>
        </w:rPr>
        <w:t xml:space="preserve">Busscher, W. J., Sojka, R. E., &amp; Doty, C. W. (1986). Residual Effects of Tillage on Coastal Plain Soil Strength. </w:t>
      </w:r>
      <w:r w:rsidRPr="00222589">
        <w:rPr>
          <w:i/>
          <w:iCs/>
          <w:color w:val="000000"/>
        </w:rPr>
        <w:t>Soil Science</w:t>
      </w:r>
      <w:r w:rsidRPr="00222589">
        <w:rPr>
          <w:color w:val="000000"/>
        </w:rPr>
        <w:t xml:space="preserve">, </w:t>
      </w:r>
      <w:r w:rsidRPr="00222589">
        <w:rPr>
          <w:i/>
          <w:iCs/>
          <w:color w:val="000000"/>
        </w:rPr>
        <w:t>141</w:t>
      </w:r>
      <w:r w:rsidRPr="00222589">
        <w:rPr>
          <w:color w:val="000000"/>
        </w:rPr>
        <w:t>(2), 144–1848.</w:t>
      </w:r>
    </w:p>
    <w:p w14:paraId="10A1BA20" w14:textId="77777777" w:rsidR="00222589" w:rsidRPr="00222589" w:rsidRDefault="00222589" w:rsidP="00222589">
      <w:pPr>
        <w:pStyle w:val="Bibliography"/>
        <w:rPr>
          <w:color w:val="000000"/>
        </w:rPr>
      </w:pPr>
      <w:r w:rsidRPr="00222589">
        <w:rPr>
          <w:color w:val="000000"/>
        </w:rPr>
        <w:t xml:space="preserve">Busscher, W. J., Spivey, L. D., &amp; Campbell, R. B. (1987). Estimation of soil strength properties for critical rooting conditions. </w:t>
      </w:r>
      <w:r w:rsidRPr="00222589">
        <w:rPr>
          <w:i/>
          <w:iCs/>
          <w:color w:val="000000"/>
        </w:rPr>
        <w:t>Soil and Tillage Research</w:t>
      </w:r>
      <w:r w:rsidRPr="00222589">
        <w:rPr>
          <w:color w:val="000000"/>
        </w:rPr>
        <w:t xml:space="preserve">, </w:t>
      </w:r>
      <w:r w:rsidRPr="00222589">
        <w:rPr>
          <w:i/>
          <w:iCs/>
          <w:color w:val="000000"/>
        </w:rPr>
        <w:t>9</w:t>
      </w:r>
      <w:r w:rsidRPr="00222589">
        <w:rPr>
          <w:color w:val="000000"/>
        </w:rPr>
        <w:t>(4), 377–386. https://doi.org/10.1016/0167-1987(87)90062-6</w:t>
      </w:r>
    </w:p>
    <w:p w14:paraId="276E16F2" w14:textId="77777777" w:rsidR="00222589" w:rsidRPr="00222589" w:rsidRDefault="00222589" w:rsidP="00222589">
      <w:pPr>
        <w:pStyle w:val="Bibliography"/>
        <w:rPr>
          <w:color w:val="000000"/>
        </w:rPr>
      </w:pPr>
      <w:r w:rsidRPr="00222589">
        <w:rPr>
          <w:color w:val="000000"/>
        </w:rPr>
        <w:t xml:space="preserve">Dai, J., Bean, B., Brown, B., Bruening, W., Edwards, J., Flowers, M., Karow, R., Lee, C., Morgan, G., Ottman, M., Ransom, J., &amp; Wiersma, J. (2016). Harvest index and straw yield of five classes of wheat. </w:t>
      </w:r>
      <w:r w:rsidRPr="00222589">
        <w:rPr>
          <w:i/>
          <w:iCs/>
          <w:color w:val="000000"/>
        </w:rPr>
        <w:t>Biomass and Bioenergy</w:t>
      </w:r>
      <w:r w:rsidRPr="00222589">
        <w:rPr>
          <w:color w:val="000000"/>
        </w:rPr>
        <w:t xml:space="preserve">, </w:t>
      </w:r>
      <w:r w:rsidRPr="00222589">
        <w:rPr>
          <w:i/>
          <w:iCs/>
          <w:color w:val="000000"/>
        </w:rPr>
        <w:t>85</w:t>
      </w:r>
      <w:r w:rsidRPr="00222589">
        <w:rPr>
          <w:color w:val="000000"/>
        </w:rPr>
        <w:t>, 223–227. https://doi.org/10.1016/j.biombioe.2015.12.023</w:t>
      </w:r>
    </w:p>
    <w:p w14:paraId="45731A08" w14:textId="77777777" w:rsidR="00222589" w:rsidRPr="00222589" w:rsidRDefault="00222589" w:rsidP="00222589">
      <w:pPr>
        <w:pStyle w:val="Bibliography"/>
        <w:rPr>
          <w:color w:val="000000"/>
        </w:rPr>
      </w:pPr>
      <w:r w:rsidRPr="00222589">
        <w:rPr>
          <w:color w:val="000000"/>
        </w:rPr>
        <w:lastRenderedPageBreak/>
        <w:t xml:space="preserve">Dang, Y. P., Dalal, R. C., &amp; Menzies, N. W. (Eds.). (2020). </w:t>
      </w:r>
      <w:r w:rsidRPr="00222589">
        <w:rPr>
          <w:i/>
          <w:iCs/>
          <w:color w:val="000000"/>
        </w:rPr>
        <w:t>No-till Farming Systems for Sustainable Agriculture: Challenges and Opportunities</w:t>
      </w:r>
      <w:r w:rsidRPr="00222589">
        <w:rPr>
          <w:color w:val="000000"/>
        </w:rPr>
        <w:t>. Springer International Publishing. https://doi.org/10.1007/978-3-030-46409-7</w:t>
      </w:r>
    </w:p>
    <w:p w14:paraId="6BBA6FC2" w14:textId="77777777" w:rsidR="00222589" w:rsidRPr="00222589" w:rsidRDefault="00222589" w:rsidP="00222589">
      <w:pPr>
        <w:pStyle w:val="Bibliography"/>
        <w:rPr>
          <w:color w:val="000000"/>
        </w:rPr>
      </w:pPr>
      <w:r w:rsidRPr="00222589">
        <w:rPr>
          <w:color w:val="000000"/>
        </w:rPr>
        <w:t xml:space="preserve">Du, X., Jian, J., Du, C., &amp; Stewart, R. D. (2022). Conservation management decreases surface runoff and soil erosion. </w:t>
      </w:r>
      <w:r w:rsidRPr="00222589">
        <w:rPr>
          <w:i/>
          <w:iCs/>
          <w:color w:val="000000"/>
        </w:rPr>
        <w:t>International Soil and Water Conservation Research</w:t>
      </w:r>
      <w:r w:rsidRPr="00222589">
        <w:rPr>
          <w:color w:val="000000"/>
        </w:rPr>
        <w:t xml:space="preserve">, </w:t>
      </w:r>
      <w:r w:rsidRPr="00222589">
        <w:rPr>
          <w:i/>
          <w:iCs/>
          <w:color w:val="000000"/>
        </w:rPr>
        <w:t>10</w:t>
      </w:r>
      <w:r w:rsidRPr="00222589">
        <w:rPr>
          <w:color w:val="000000"/>
        </w:rPr>
        <w:t>(2), 188–196. https://doi.org/10.1016/j.iswcr.2021.08.001</w:t>
      </w:r>
    </w:p>
    <w:p w14:paraId="6A5E50EC" w14:textId="77777777" w:rsidR="00222589" w:rsidRPr="00222589" w:rsidRDefault="00222589" w:rsidP="00222589">
      <w:pPr>
        <w:pStyle w:val="Bibliography"/>
        <w:rPr>
          <w:color w:val="000000"/>
        </w:rPr>
      </w:pPr>
      <w:r w:rsidRPr="00222589">
        <w:rPr>
          <w:color w:val="000000"/>
        </w:rPr>
        <w:t xml:space="preserve">Farmaha, B. S., Sekaran, U., &amp; Franzluebbers, A. J. (2022). Cover cropping and conservation tillage improve soil health in the southeastern United States. </w:t>
      </w:r>
      <w:r w:rsidRPr="00222589">
        <w:rPr>
          <w:i/>
          <w:iCs/>
          <w:color w:val="000000"/>
        </w:rPr>
        <w:t>Agronomy Journal</w:t>
      </w:r>
      <w:r w:rsidRPr="00222589">
        <w:rPr>
          <w:color w:val="000000"/>
        </w:rPr>
        <w:t xml:space="preserve">, </w:t>
      </w:r>
      <w:r w:rsidRPr="00222589">
        <w:rPr>
          <w:i/>
          <w:iCs/>
          <w:color w:val="000000"/>
        </w:rPr>
        <w:t>114</w:t>
      </w:r>
      <w:r w:rsidRPr="00222589">
        <w:rPr>
          <w:color w:val="000000"/>
        </w:rPr>
        <w:t>(1), 296–316. https://doi.org/10.1002/agj2.20865</w:t>
      </w:r>
    </w:p>
    <w:p w14:paraId="3F5359DB" w14:textId="77777777" w:rsidR="00222589" w:rsidRPr="00222589" w:rsidRDefault="00222589" w:rsidP="00222589">
      <w:pPr>
        <w:pStyle w:val="Bibliography"/>
        <w:rPr>
          <w:color w:val="000000"/>
        </w:rPr>
      </w:pPr>
      <w:r w:rsidRPr="00222589">
        <w:rPr>
          <w:color w:val="000000"/>
        </w:rPr>
        <w:t xml:space="preserve">Finney, D. M., White, C. M., &amp; Kaye, J. P. (2016). Biomass Production and Carbon/Nitrogen Ratio Influence Ecosystem Services from Cover Crop Mixtures. </w:t>
      </w:r>
      <w:r w:rsidRPr="00222589">
        <w:rPr>
          <w:i/>
          <w:iCs/>
          <w:color w:val="000000"/>
        </w:rPr>
        <w:t>Agronomy Journal</w:t>
      </w:r>
      <w:r w:rsidRPr="00222589">
        <w:rPr>
          <w:color w:val="000000"/>
        </w:rPr>
        <w:t xml:space="preserve">, </w:t>
      </w:r>
      <w:r w:rsidRPr="00222589">
        <w:rPr>
          <w:i/>
          <w:iCs/>
          <w:color w:val="000000"/>
        </w:rPr>
        <w:t>108</w:t>
      </w:r>
      <w:r w:rsidRPr="00222589">
        <w:rPr>
          <w:color w:val="000000"/>
        </w:rPr>
        <w:t>(1), 39–52. https://doi.org/10.2134/agronj15.0182</w:t>
      </w:r>
    </w:p>
    <w:p w14:paraId="7BAB0484" w14:textId="77777777" w:rsidR="00222589" w:rsidRPr="00222589" w:rsidRDefault="00222589" w:rsidP="00222589">
      <w:pPr>
        <w:pStyle w:val="Bibliography"/>
        <w:rPr>
          <w:color w:val="000000"/>
        </w:rPr>
      </w:pPr>
      <w:r w:rsidRPr="00222589">
        <w:rPr>
          <w:color w:val="000000"/>
        </w:rPr>
        <w:t xml:space="preserve">Franzluebbers, A. J. (2002). Soil organic matter stratification ratio as an indicator of soil quality. </w:t>
      </w:r>
      <w:r w:rsidRPr="00222589">
        <w:rPr>
          <w:i/>
          <w:iCs/>
          <w:color w:val="000000"/>
        </w:rPr>
        <w:t>Soil and Tillage Research</w:t>
      </w:r>
      <w:r w:rsidRPr="00222589">
        <w:rPr>
          <w:color w:val="000000"/>
        </w:rPr>
        <w:t xml:space="preserve">, </w:t>
      </w:r>
      <w:r w:rsidRPr="00222589">
        <w:rPr>
          <w:i/>
          <w:iCs/>
          <w:color w:val="000000"/>
        </w:rPr>
        <w:t>66</w:t>
      </w:r>
      <w:r w:rsidRPr="00222589">
        <w:rPr>
          <w:color w:val="000000"/>
        </w:rPr>
        <w:t>(2), 95–106. https://doi.org/10.1016/S0167-1987(02)00018-1</w:t>
      </w:r>
    </w:p>
    <w:p w14:paraId="6AD9339C" w14:textId="77777777" w:rsidR="00222589" w:rsidRPr="00222589" w:rsidRDefault="00222589" w:rsidP="00222589">
      <w:pPr>
        <w:pStyle w:val="Bibliography"/>
        <w:rPr>
          <w:color w:val="000000"/>
        </w:rPr>
      </w:pPr>
      <w:r w:rsidRPr="00222589">
        <w:rPr>
          <w:color w:val="000000"/>
        </w:rPr>
        <w:t xml:space="preserve">Franzluebbers, A. J. (2010). Achieving Soil Organic Carbon Sequestration with Conservation Agricultural Systems in the Southeastern United States. </w:t>
      </w:r>
      <w:r w:rsidRPr="00222589">
        <w:rPr>
          <w:i/>
          <w:iCs/>
          <w:color w:val="000000"/>
        </w:rPr>
        <w:t>Soil Science Society of America Journal</w:t>
      </w:r>
      <w:r w:rsidRPr="00222589">
        <w:rPr>
          <w:color w:val="000000"/>
        </w:rPr>
        <w:t xml:space="preserve">, </w:t>
      </w:r>
      <w:r w:rsidRPr="00222589">
        <w:rPr>
          <w:i/>
          <w:iCs/>
          <w:color w:val="000000"/>
        </w:rPr>
        <w:t>74</w:t>
      </w:r>
      <w:r w:rsidRPr="00222589">
        <w:rPr>
          <w:color w:val="000000"/>
        </w:rPr>
        <w:t>(2), 347–357. https://doi.org/10.2136/sssaj2009.0079</w:t>
      </w:r>
    </w:p>
    <w:p w14:paraId="299DEB06" w14:textId="77777777" w:rsidR="00222589" w:rsidRPr="00222589" w:rsidRDefault="00222589" w:rsidP="00222589">
      <w:pPr>
        <w:pStyle w:val="Bibliography"/>
        <w:rPr>
          <w:color w:val="000000"/>
        </w:rPr>
      </w:pPr>
      <w:r w:rsidRPr="00222589">
        <w:rPr>
          <w:color w:val="000000"/>
        </w:rPr>
        <w:t xml:space="preserve">García-González, I., Hontoria, C., Gabriel, J. L., Alonso-Ayuso, M., &amp; Quemada, M. (2018). Cover crops to mitigate soil degradation and enhance soil functionality in irrigated land. </w:t>
      </w:r>
      <w:r w:rsidRPr="00222589">
        <w:rPr>
          <w:i/>
          <w:iCs/>
          <w:color w:val="000000"/>
        </w:rPr>
        <w:t>Geoderma</w:t>
      </w:r>
      <w:r w:rsidRPr="00222589">
        <w:rPr>
          <w:color w:val="000000"/>
        </w:rPr>
        <w:t xml:space="preserve">, </w:t>
      </w:r>
      <w:r w:rsidRPr="00222589">
        <w:rPr>
          <w:i/>
          <w:iCs/>
          <w:color w:val="000000"/>
        </w:rPr>
        <w:t>322</w:t>
      </w:r>
      <w:r w:rsidRPr="00222589">
        <w:rPr>
          <w:color w:val="000000"/>
        </w:rPr>
        <w:t>, 81–88. https://doi.org/10.1016/j.geoderma.2018.02.024</w:t>
      </w:r>
    </w:p>
    <w:p w14:paraId="2A4E08B1" w14:textId="77777777" w:rsidR="00222589" w:rsidRPr="00222589" w:rsidRDefault="00222589" w:rsidP="00222589">
      <w:pPr>
        <w:pStyle w:val="Bibliography"/>
        <w:rPr>
          <w:color w:val="000000"/>
        </w:rPr>
      </w:pPr>
      <w:r w:rsidRPr="00222589">
        <w:rPr>
          <w:color w:val="000000"/>
        </w:rPr>
        <w:lastRenderedPageBreak/>
        <w:t xml:space="preserve">Gorucu, S., Khalilian, A., Han, Y. J., Dodd, R. B., &amp; Smith, B. R. (2006). An algorithm to determine the optimal tillage depth from soil penetrometer data in coastal plain soils. </w:t>
      </w:r>
      <w:r w:rsidRPr="00222589">
        <w:rPr>
          <w:i/>
          <w:iCs/>
          <w:color w:val="000000"/>
        </w:rPr>
        <w:t>Applied Engineering in Agriculture.</w:t>
      </w:r>
      <w:r w:rsidRPr="00222589">
        <w:rPr>
          <w:color w:val="000000"/>
        </w:rPr>
        <w:t xml:space="preserve">, </w:t>
      </w:r>
      <w:r w:rsidRPr="00222589">
        <w:rPr>
          <w:i/>
          <w:iCs/>
          <w:color w:val="000000"/>
        </w:rPr>
        <w:t>22</w:t>
      </w:r>
      <w:r w:rsidRPr="00222589">
        <w:rPr>
          <w:color w:val="000000"/>
        </w:rPr>
        <w:t>(5), 625–631.</w:t>
      </w:r>
    </w:p>
    <w:p w14:paraId="0EB03B08" w14:textId="77777777" w:rsidR="00222589" w:rsidRPr="00222589" w:rsidRDefault="00222589" w:rsidP="00222589">
      <w:pPr>
        <w:pStyle w:val="Bibliography"/>
        <w:rPr>
          <w:color w:val="000000"/>
        </w:rPr>
      </w:pPr>
      <w:r w:rsidRPr="00222589">
        <w:rPr>
          <w:color w:val="000000"/>
        </w:rPr>
        <w:t xml:space="preserve">He, J., Kuhn, N. J., Zhang, X. M., Zhang, X. R., &amp; Li, H. W. (2009). Effects of 10 years of conservation tillage on soil properties and productivity in the farming-pastoral ecotone of Inner Mongolia, China. </w:t>
      </w:r>
      <w:r w:rsidRPr="00222589">
        <w:rPr>
          <w:i/>
          <w:iCs/>
          <w:color w:val="000000"/>
        </w:rPr>
        <w:t>Soil Use and Management</w:t>
      </w:r>
      <w:r w:rsidRPr="00222589">
        <w:rPr>
          <w:color w:val="000000"/>
        </w:rPr>
        <w:t xml:space="preserve">, </w:t>
      </w:r>
      <w:r w:rsidRPr="00222589">
        <w:rPr>
          <w:i/>
          <w:iCs/>
          <w:color w:val="000000"/>
        </w:rPr>
        <w:t>25</w:t>
      </w:r>
      <w:r w:rsidRPr="00222589">
        <w:rPr>
          <w:color w:val="000000"/>
        </w:rPr>
        <w:t>(2), 201–209. https://doi.org/10.1111/j.1475-2743.2009.00210.x</w:t>
      </w:r>
    </w:p>
    <w:p w14:paraId="19D55562" w14:textId="77777777" w:rsidR="00222589" w:rsidRPr="00222589" w:rsidRDefault="00222589" w:rsidP="00222589">
      <w:pPr>
        <w:pStyle w:val="Bibliography"/>
        <w:rPr>
          <w:color w:val="000000"/>
        </w:rPr>
      </w:pPr>
      <w:r w:rsidRPr="00222589">
        <w:rPr>
          <w:color w:val="000000"/>
        </w:rPr>
        <w:t xml:space="preserve">Holshouser, D. (2014). </w:t>
      </w:r>
      <w:r w:rsidRPr="00222589">
        <w:rPr>
          <w:i/>
          <w:iCs/>
          <w:color w:val="000000"/>
        </w:rPr>
        <w:t>Double Cropping Soybeans in Virginia</w:t>
      </w:r>
      <w:r w:rsidRPr="00222589">
        <w:rPr>
          <w:color w:val="000000"/>
        </w:rPr>
        <w:t xml:space="preserve"> [Extension Publication]. Virginia Cooperative Extension. https://vtechworks.lib.vt.edu/bitstream/handle/10919/80596/CSES-102.pdf?sequence=1</w:t>
      </w:r>
    </w:p>
    <w:p w14:paraId="28396246" w14:textId="77777777" w:rsidR="00222589" w:rsidRPr="00222589" w:rsidRDefault="00222589" w:rsidP="00222589">
      <w:pPr>
        <w:pStyle w:val="Bibliography"/>
        <w:rPr>
          <w:color w:val="000000"/>
        </w:rPr>
      </w:pPr>
      <w:r w:rsidRPr="00222589">
        <w:rPr>
          <w:color w:val="000000"/>
        </w:rPr>
        <w:t xml:space="preserve">Huggins, D. R., &amp; Reganold, J. P. (2008, July). </w:t>
      </w:r>
      <w:r w:rsidRPr="00222589">
        <w:rPr>
          <w:i/>
          <w:iCs/>
          <w:color w:val="000000"/>
        </w:rPr>
        <w:t>No Till: The Quiet Revolution</w:t>
      </w:r>
      <w:r w:rsidRPr="00222589">
        <w:rPr>
          <w:color w:val="000000"/>
        </w:rPr>
        <w:t>. Scientific American, Inc. https://www.ars.usda.gov/ARSUserFiles/20902500/DavidHuggins/NoTill.pdf</w:t>
      </w:r>
    </w:p>
    <w:p w14:paraId="3C7BF0D2" w14:textId="77777777" w:rsidR="00222589" w:rsidRPr="00222589" w:rsidRDefault="00222589" w:rsidP="00222589">
      <w:pPr>
        <w:pStyle w:val="Bibliography"/>
        <w:rPr>
          <w:color w:val="000000"/>
        </w:rPr>
      </w:pPr>
      <w:r w:rsidRPr="00222589">
        <w:rPr>
          <w:color w:val="000000"/>
        </w:rPr>
        <w:t xml:space="preserve">Hunt, P. G., Karlen, D. L., Matheny, T. A., &amp; Quisenberry, V. L. (1996). Changes in carbon content of a Norfolk loamy sand after 14 years of conservation or conventional tillage. </w:t>
      </w:r>
      <w:r w:rsidRPr="00222589">
        <w:rPr>
          <w:i/>
          <w:iCs/>
          <w:color w:val="000000"/>
        </w:rPr>
        <w:t>Journal of Soil and Water Conservation</w:t>
      </w:r>
      <w:r w:rsidRPr="00222589">
        <w:rPr>
          <w:color w:val="000000"/>
        </w:rPr>
        <w:t xml:space="preserve">, </w:t>
      </w:r>
      <w:r w:rsidRPr="00222589">
        <w:rPr>
          <w:i/>
          <w:iCs/>
          <w:color w:val="000000"/>
        </w:rPr>
        <w:t>51</w:t>
      </w:r>
      <w:r w:rsidRPr="00222589">
        <w:rPr>
          <w:color w:val="000000"/>
        </w:rPr>
        <w:t>(3), 255.</w:t>
      </w:r>
    </w:p>
    <w:p w14:paraId="79D27683" w14:textId="77777777" w:rsidR="00222589" w:rsidRPr="00222589" w:rsidRDefault="00222589" w:rsidP="00222589">
      <w:pPr>
        <w:pStyle w:val="Bibliography"/>
        <w:rPr>
          <w:color w:val="000000"/>
        </w:rPr>
      </w:pPr>
      <w:r w:rsidRPr="00222589">
        <w:rPr>
          <w:color w:val="000000"/>
        </w:rPr>
        <w:t xml:space="preserve">Indoria, A. K., Rao, S., Sharma, K. L., &amp; Sammi Reddy, K. (2017). Conservation Agriculture—A Panacea to Improve Soil Physical Health. </w:t>
      </w:r>
      <w:r w:rsidRPr="00222589">
        <w:rPr>
          <w:i/>
          <w:iCs/>
          <w:color w:val="000000"/>
        </w:rPr>
        <w:t>Current Science</w:t>
      </w:r>
      <w:r w:rsidRPr="00222589">
        <w:rPr>
          <w:color w:val="000000"/>
        </w:rPr>
        <w:t xml:space="preserve">, </w:t>
      </w:r>
      <w:r w:rsidRPr="00222589">
        <w:rPr>
          <w:i/>
          <w:iCs/>
          <w:color w:val="000000"/>
        </w:rPr>
        <w:t>112</w:t>
      </w:r>
      <w:r w:rsidRPr="00222589">
        <w:rPr>
          <w:color w:val="000000"/>
        </w:rPr>
        <w:t>(1), 52. https://doi.org/10.18520/cs/v112/i01/52-61</w:t>
      </w:r>
    </w:p>
    <w:p w14:paraId="1A1971B5" w14:textId="77777777" w:rsidR="00222589" w:rsidRPr="00222589" w:rsidRDefault="00222589" w:rsidP="00222589">
      <w:pPr>
        <w:pStyle w:val="Bibliography"/>
        <w:rPr>
          <w:color w:val="000000"/>
        </w:rPr>
      </w:pPr>
      <w:r w:rsidRPr="00222589">
        <w:rPr>
          <w:color w:val="000000"/>
        </w:rPr>
        <w:t xml:space="preserve">Jian, J., Du, X., Reiter, M. S., &amp; Stewart, R. D. (2020). A meta-analysis of global cropland soil carbon changes due to cover cropping. </w:t>
      </w:r>
      <w:r w:rsidRPr="00222589">
        <w:rPr>
          <w:i/>
          <w:iCs/>
          <w:color w:val="000000"/>
        </w:rPr>
        <w:t>Soil Biology and Biochemistry</w:t>
      </w:r>
      <w:r w:rsidRPr="00222589">
        <w:rPr>
          <w:color w:val="000000"/>
        </w:rPr>
        <w:t xml:space="preserve">, </w:t>
      </w:r>
      <w:r w:rsidRPr="00222589">
        <w:rPr>
          <w:i/>
          <w:iCs/>
          <w:color w:val="000000"/>
        </w:rPr>
        <w:t>143</w:t>
      </w:r>
      <w:r w:rsidRPr="00222589">
        <w:rPr>
          <w:color w:val="000000"/>
        </w:rPr>
        <w:t>, 107735. https://doi.org/10.1016/j.soilbio.2020.107735</w:t>
      </w:r>
    </w:p>
    <w:p w14:paraId="5D2BF8CE" w14:textId="77777777" w:rsidR="00222589" w:rsidRPr="00222589" w:rsidRDefault="00222589" w:rsidP="00222589">
      <w:pPr>
        <w:pStyle w:val="Bibliography"/>
        <w:rPr>
          <w:color w:val="000000"/>
        </w:rPr>
      </w:pPr>
      <w:r w:rsidRPr="00222589">
        <w:rPr>
          <w:color w:val="000000"/>
        </w:rPr>
        <w:lastRenderedPageBreak/>
        <w:t xml:space="preserve">Lal, R. (2015). Restoring Soil Quality to Mitigate Soil Degradation. </w:t>
      </w:r>
      <w:r w:rsidRPr="00222589">
        <w:rPr>
          <w:i/>
          <w:iCs/>
          <w:color w:val="000000"/>
        </w:rPr>
        <w:t>Sustainability</w:t>
      </w:r>
      <w:r w:rsidRPr="00222589">
        <w:rPr>
          <w:color w:val="000000"/>
        </w:rPr>
        <w:t xml:space="preserve">, </w:t>
      </w:r>
      <w:r w:rsidRPr="00222589">
        <w:rPr>
          <w:i/>
          <w:iCs/>
          <w:color w:val="000000"/>
        </w:rPr>
        <w:t>7</w:t>
      </w:r>
      <w:r w:rsidRPr="00222589">
        <w:rPr>
          <w:color w:val="000000"/>
        </w:rPr>
        <w:t>(5), 5875–5895. https://doi.org/10.3390/su7055875</w:t>
      </w:r>
    </w:p>
    <w:p w14:paraId="7AF4DEAF" w14:textId="77777777" w:rsidR="00222589" w:rsidRPr="00222589" w:rsidRDefault="00222589" w:rsidP="00222589">
      <w:pPr>
        <w:pStyle w:val="Bibliography"/>
        <w:rPr>
          <w:color w:val="000000"/>
        </w:rPr>
      </w:pPr>
      <w:r w:rsidRPr="00222589">
        <w:rPr>
          <w:color w:val="000000"/>
        </w:rPr>
        <w:t xml:space="preserve">Lal, R. (2020). Soil organic matter content and crop yield. </w:t>
      </w:r>
      <w:r w:rsidRPr="00222589">
        <w:rPr>
          <w:i/>
          <w:iCs/>
          <w:color w:val="000000"/>
        </w:rPr>
        <w:t>Journal of Soil and Water Conservation</w:t>
      </w:r>
      <w:r w:rsidRPr="00222589">
        <w:rPr>
          <w:color w:val="000000"/>
        </w:rPr>
        <w:t xml:space="preserve">, </w:t>
      </w:r>
      <w:r w:rsidRPr="00222589">
        <w:rPr>
          <w:i/>
          <w:iCs/>
          <w:color w:val="000000"/>
        </w:rPr>
        <w:t>75</w:t>
      </w:r>
      <w:r w:rsidRPr="00222589">
        <w:rPr>
          <w:color w:val="000000"/>
        </w:rPr>
        <w:t>(2), 27A-32A. https://doi.org/10.2489/jswc.75.2.27A</w:t>
      </w:r>
    </w:p>
    <w:p w14:paraId="1F0FD657" w14:textId="77777777" w:rsidR="00222589" w:rsidRPr="00222589" w:rsidRDefault="00222589" w:rsidP="00222589">
      <w:pPr>
        <w:pStyle w:val="Bibliography"/>
        <w:rPr>
          <w:color w:val="000000"/>
        </w:rPr>
      </w:pPr>
      <w:r w:rsidRPr="00222589">
        <w:rPr>
          <w:color w:val="000000"/>
        </w:rPr>
        <w:t xml:space="preserve">Luo, X., Ma, C., Yue, Y., Hu, K., Li, Y., Duan, Z., Wu, M., Tu, J., Shen, J., Yi, B., &amp; Fu, T. (2015). Unravelling the complex trait of harvest index in rapeseed (Brassica napus L.) with association mapping. </w:t>
      </w:r>
      <w:r w:rsidRPr="00222589">
        <w:rPr>
          <w:i/>
          <w:iCs/>
          <w:color w:val="000000"/>
        </w:rPr>
        <w:t>BMC Genomics</w:t>
      </w:r>
      <w:r w:rsidRPr="00222589">
        <w:rPr>
          <w:color w:val="000000"/>
        </w:rPr>
        <w:t xml:space="preserve">, </w:t>
      </w:r>
      <w:r w:rsidRPr="00222589">
        <w:rPr>
          <w:i/>
          <w:iCs/>
          <w:color w:val="000000"/>
        </w:rPr>
        <w:t>16</w:t>
      </w:r>
      <w:r w:rsidRPr="00222589">
        <w:rPr>
          <w:color w:val="000000"/>
        </w:rPr>
        <w:t>(1), 379. https://doi.org/10.1186/s12864-015-1607-0</w:t>
      </w:r>
    </w:p>
    <w:p w14:paraId="3D9E7756" w14:textId="77777777" w:rsidR="00222589" w:rsidRPr="00222589" w:rsidRDefault="00222589" w:rsidP="00222589">
      <w:pPr>
        <w:pStyle w:val="Bibliography"/>
        <w:rPr>
          <w:color w:val="000000"/>
        </w:rPr>
      </w:pPr>
      <w:r w:rsidRPr="00222589">
        <w:rPr>
          <w:color w:val="000000"/>
        </w:rPr>
        <w:t xml:space="preserve">Machmuller, M. B., Kramer, M. G., Cyle, T. K., Hill, N., Hancock, D., &amp; Thompson, A. (2015). Emerging land use practices rapidly increase soil organic matter. </w:t>
      </w:r>
      <w:r w:rsidRPr="00222589">
        <w:rPr>
          <w:i/>
          <w:iCs/>
          <w:color w:val="000000"/>
        </w:rPr>
        <w:t>Nature Communications</w:t>
      </w:r>
      <w:r w:rsidRPr="00222589">
        <w:rPr>
          <w:color w:val="000000"/>
        </w:rPr>
        <w:t xml:space="preserve">, </w:t>
      </w:r>
      <w:r w:rsidRPr="00222589">
        <w:rPr>
          <w:i/>
          <w:iCs/>
          <w:color w:val="000000"/>
        </w:rPr>
        <w:t>6</w:t>
      </w:r>
      <w:r w:rsidRPr="00222589">
        <w:rPr>
          <w:color w:val="000000"/>
        </w:rPr>
        <w:t>(1), 6995. https://doi.org/10.1038/ncomms7995</w:t>
      </w:r>
    </w:p>
    <w:p w14:paraId="0354ECC5" w14:textId="77777777" w:rsidR="00222589" w:rsidRPr="00222589" w:rsidRDefault="00222589" w:rsidP="00222589">
      <w:pPr>
        <w:pStyle w:val="Bibliography"/>
        <w:rPr>
          <w:color w:val="000000"/>
        </w:rPr>
      </w:pPr>
      <w:r w:rsidRPr="00222589">
        <w:rPr>
          <w:color w:val="000000"/>
        </w:rPr>
        <w:t xml:space="preserve">Minasny, B., Malone, B. P., McBratney, A. B., Angers, D. A., Arrouays, D., Chambers, A., Chaplot, V., Chen, Z.-S., Cheng, K., Das, B. S., Field, D. J., Gimona, A., Hedley, C. B., Hong, S. Y., Mandal, B., Marchant, B. P., Martin, M., McConkey, B. G., Mulder, V. L., … Winowiecki, L. (2017). Soil carbon 4 per mille. </w:t>
      </w:r>
      <w:r w:rsidRPr="00222589">
        <w:rPr>
          <w:i/>
          <w:iCs/>
          <w:color w:val="000000"/>
        </w:rPr>
        <w:t>Geoderma</w:t>
      </w:r>
      <w:r w:rsidRPr="00222589">
        <w:rPr>
          <w:color w:val="000000"/>
        </w:rPr>
        <w:t xml:space="preserve">, </w:t>
      </w:r>
      <w:r w:rsidRPr="00222589">
        <w:rPr>
          <w:i/>
          <w:iCs/>
          <w:color w:val="000000"/>
        </w:rPr>
        <w:t>292</w:t>
      </w:r>
      <w:r w:rsidRPr="00222589">
        <w:rPr>
          <w:color w:val="000000"/>
        </w:rPr>
        <w:t>, 59–86. https://doi.org/10.1016/j.geoderma.2017.01.002</w:t>
      </w:r>
    </w:p>
    <w:p w14:paraId="6C0C02D4" w14:textId="77777777" w:rsidR="00222589" w:rsidRPr="00222589" w:rsidRDefault="00222589" w:rsidP="00222589">
      <w:pPr>
        <w:pStyle w:val="Bibliography"/>
        <w:rPr>
          <w:color w:val="000000"/>
        </w:rPr>
      </w:pPr>
      <w:r w:rsidRPr="00222589">
        <w:rPr>
          <w:color w:val="000000"/>
        </w:rPr>
        <w:t xml:space="preserve">Moraru, P., &amp; Teodor, R. (2012). </w:t>
      </w:r>
      <w:r w:rsidRPr="00222589">
        <w:rPr>
          <w:i/>
          <w:iCs/>
          <w:color w:val="000000"/>
        </w:rPr>
        <w:t>Influence of Soil Tillage Systems on Soil Respiration and Production on Wheat, Maize and Soybean Crop</w:t>
      </w:r>
      <w:r w:rsidRPr="00222589">
        <w:rPr>
          <w:color w:val="000000"/>
        </w:rPr>
        <w:t>. 1119.</w:t>
      </w:r>
    </w:p>
    <w:p w14:paraId="23D560E0" w14:textId="77777777" w:rsidR="00222589" w:rsidRPr="00222589" w:rsidRDefault="00222589" w:rsidP="00222589">
      <w:pPr>
        <w:pStyle w:val="Bibliography"/>
        <w:rPr>
          <w:color w:val="000000"/>
        </w:rPr>
      </w:pPr>
      <w:r w:rsidRPr="00222589">
        <w:rPr>
          <w:color w:val="000000"/>
        </w:rPr>
        <w:t xml:space="preserve">Novak, J. M., Bauer, P. J., &amp; Hunt, P. G. (2007). Carbon Dynamics under Long-Term Conservation and Disk Tillage Management in a Norfolk Loamy Sand. </w:t>
      </w:r>
      <w:r w:rsidRPr="00222589">
        <w:rPr>
          <w:i/>
          <w:iCs/>
          <w:color w:val="000000"/>
        </w:rPr>
        <w:t>Soil Science Society of America Journal</w:t>
      </w:r>
      <w:r w:rsidRPr="00222589">
        <w:rPr>
          <w:color w:val="000000"/>
        </w:rPr>
        <w:t xml:space="preserve">, </w:t>
      </w:r>
      <w:r w:rsidRPr="00222589">
        <w:rPr>
          <w:i/>
          <w:iCs/>
          <w:color w:val="000000"/>
        </w:rPr>
        <w:t>71</w:t>
      </w:r>
      <w:r w:rsidRPr="00222589">
        <w:rPr>
          <w:color w:val="000000"/>
        </w:rPr>
        <w:t>(2), 453–456. https://doi.org/10.2136/sssaj2005.0284N</w:t>
      </w:r>
    </w:p>
    <w:p w14:paraId="4BF24478" w14:textId="77777777" w:rsidR="00222589" w:rsidRPr="00222589" w:rsidRDefault="00222589" w:rsidP="00222589">
      <w:pPr>
        <w:pStyle w:val="Bibliography"/>
        <w:rPr>
          <w:color w:val="000000"/>
        </w:rPr>
      </w:pPr>
      <w:r w:rsidRPr="00222589">
        <w:rPr>
          <w:color w:val="000000"/>
        </w:rPr>
        <w:t xml:space="preserve">Novak, J. M., &amp; Busscher, W. J. (2013). Selection and Use of Designer Biochars to Improve Characteristics of Southeastern USA Coastal Plain Degraded Soils. In J. W. Lee (Ed.), </w:t>
      </w:r>
      <w:r w:rsidRPr="00222589">
        <w:rPr>
          <w:i/>
          <w:iCs/>
          <w:color w:val="000000"/>
        </w:rPr>
        <w:lastRenderedPageBreak/>
        <w:t>Advanced Biofuels and Bioproducts</w:t>
      </w:r>
      <w:r w:rsidRPr="00222589">
        <w:rPr>
          <w:color w:val="000000"/>
        </w:rPr>
        <w:t xml:space="preserve"> (pp. 69–96). Springer New York. https://doi.org/10.1007/978-1-4614-3348-4_7</w:t>
      </w:r>
    </w:p>
    <w:p w14:paraId="28399A4B" w14:textId="77777777" w:rsidR="00222589" w:rsidRPr="00222589" w:rsidRDefault="00222589" w:rsidP="00222589">
      <w:pPr>
        <w:pStyle w:val="Bibliography"/>
        <w:rPr>
          <w:color w:val="000000"/>
        </w:rPr>
      </w:pPr>
      <w:r w:rsidRPr="00222589">
        <w:rPr>
          <w:color w:val="000000"/>
        </w:rPr>
        <w:t xml:space="preserve">Novak, J. M., Frederick, J. R., Bauer, P. J., &amp; Watts, D. W. (2009). Rebuilding Organic Carbon Contents in Coastal Plain Soils Using Conservation Tillage Systems. </w:t>
      </w:r>
      <w:r w:rsidRPr="00222589">
        <w:rPr>
          <w:i/>
          <w:iCs/>
          <w:color w:val="000000"/>
        </w:rPr>
        <w:t>Soil Science Society of America Journal</w:t>
      </w:r>
      <w:r w:rsidRPr="00222589">
        <w:rPr>
          <w:color w:val="000000"/>
        </w:rPr>
        <w:t xml:space="preserve">, </w:t>
      </w:r>
      <w:r w:rsidRPr="00222589">
        <w:rPr>
          <w:i/>
          <w:iCs/>
          <w:color w:val="000000"/>
        </w:rPr>
        <w:t>73</w:t>
      </w:r>
      <w:r w:rsidRPr="00222589">
        <w:rPr>
          <w:color w:val="000000"/>
        </w:rPr>
        <w:t>(2), 622–629. https://doi.org/10.2136/sssaj2008.0193</w:t>
      </w:r>
    </w:p>
    <w:p w14:paraId="44E0FBE6" w14:textId="77777777" w:rsidR="00222589" w:rsidRPr="00222589" w:rsidRDefault="00222589" w:rsidP="00222589">
      <w:pPr>
        <w:pStyle w:val="Bibliography"/>
        <w:rPr>
          <w:color w:val="000000"/>
        </w:rPr>
      </w:pPr>
      <w:r w:rsidRPr="00222589">
        <w:rPr>
          <w:color w:val="000000"/>
        </w:rPr>
        <w:t xml:space="preserve">Novak, J. M., Watts, D. W., Bauer, P. J., Karlen, D. L., Hunt, P. G., &amp; Mishra, U. (2020). Loamy sand soil approaches organic carbon saturation after 37 years of conservation tillage. </w:t>
      </w:r>
      <w:r w:rsidRPr="00222589">
        <w:rPr>
          <w:i/>
          <w:iCs/>
          <w:color w:val="000000"/>
        </w:rPr>
        <w:t>Agronomy Journal</w:t>
      </w:r>
      <w:r w:rsidRPr="00222589">
        <w:rPr>
          <w:color w:val="000000"/>
        </w:rPr>
        <w:t xml:space="preserve">, </w:t>
      </w:r>
      <w:r w:rsidRPr="00222589">
        <w:rPr>
          <w:i/>
          <w:iCs/>
          <w:color w:val="000000"/>
        </w:rPr>
        <w:t>112</w:t>
      </w:r>
      <w:r w:rsidRPr="00222589">
        <w:rPr>
          <w:color w:val="000000"/>
        </w:rPr>
        <w:t>(4), 3152–3162. https://doi.org/10.1002/agj2.20184</w:t>
      </w:r>
    </w:p>
    <w:p w14:paraId="062C796E" w14:textId="77777777" w:rsidR="00222589" w:rsidRPr="00222589" w:rsidRDefault="00222589" w:rsidP="00222589">
      <w:pPr>
        <w:pStyle w:val="Bibliography"/>
        <w:rPr>
          <w:color w:val="000000"/>
        </w:rPr>
      </w:pPr>
      <w:r w:rsidRPr="00222589">
        <w:rPr>
          <w:color w:val="000000"/>
        </w:rPr>
        <w:t xml:space="preserve">Obi, M. E., &amp; Nnabude, P. C. (1988). The effects of different management practices on the physical properties of a sandy loam soil in Southern Nigeria. </w:t>
      </w:r>
      <w:r w:rsidRPr="00222589">
        <w:rPr>
          <w:i/>
          <w:iCs/>
          <w:color w:val="000000"/>
        </w:rPr>
        <w:t>Soil and Tillage Research</w:t>
      </w:r>
      <w:r w:rsidRPr="00222589">
        <w:rPr>
          <w:color w:val="000000"/>
        </w:rPr>
        <w:t xml:space="preserve">, </w:t>
      </w:r>
      <w:r w:rsidRPr="00222589">
        <w:rPr>
          <w:i/>
          <w:iCs/>
          <w:color w:val="000000"/>
        </w:rPr>
        <w:t>12</w:t>
      </w:r>
      <w:r w:rsidRPr="00222589">
        <w:rPr>
          <w:color w:val="000000"/>
        </w:rPr>
        <w:t>(1), 81–90. https://doi.org/10.1016/0167-1987(88)90057-8</w:t>
      </w:r>
    </w:p>
    <w:p w14:paraId="733B2063" w14:textId="77777777" w:rsidR="00222589" w:rsidRPr="00222589" w:rsidRDefault="00222589" w:rsidP="00222589">
      <w:pPr>
        <w:pStyle w:val="Bibliography"/>
        <w:rPr>
          <w:color w:val="000000"/>
        </w:rPr>
      </w:pPr>
      <w:r w:rsidRPr="00222589">
        <w:rPr>
          <w:color w:val="000000"/>
        </w:rPr>
        <w:t xml:space="preserve">Pittelkow, C. M., Linquist, B. A., Lundy, M. E., Liang, X., van Groenigen, K. J., Lee, J., van Gestel, N., Six, J., Venterea, R. T., &amp; van Kessel, C. (2015). When does no-till yield more? A global meta-analysis. </w:t>
      </w:r>
      <w:r w:rsidRPr="00222589">
        <w:rPr>
          <w:i/>
          <w:iCs/>
          <w:color w:val="000000"/>
        </w:rPr>
        <w:t>Field Crops Research</w:t>
      </w:r>
      <w:r w:rsidRPr="00222589">
        <w:rPr>
          <w:color w:val="000000"/>
        </w:rPr>
        <w:t xml:space="preserve">, </w:t>
      </w:r>
      <w:r w:rsidRPr="00222589">
        <w:rPr>
          <w:i/>
          <w:iCs/>
          <w:color w:val="000000"/>
        </w:rPr>
        <w:t>183</w:t>
      </w:r>
      <w:r w:rsidRPr="00222589">
        <w:rPr>
          <w:color w:val="000000"/>
        </w:rPr>
        <w:t>, 156–168. https://doi.org/10.1016/j.fcr.2015.07.020</w:t>
      </w:r>
    </w:p>
    <w:p w14:paraId="3E567558" w14:textId="77777777" w:rsidR="00222589" w:rsidRPr="00222589" w:rsidRDefault="00222589" w:rsidP="00222589">
      <w:pPr>
        <w:pStyle w:val="Bibliography"/>
        <w:rPr>
          <w:color w:val="000000"/>
        </w:rPr>
      </w:pPr>
      <w:r w:rsidRPr="00222589">
        <w:rPr>
          <w:color w:val="000000"/>
        </w:rPr>
        <w:t xml:space="preserve">Poeplau, C., &amp; Don, A. (2015). Carbon sequestration in agricultural soils via cultivation of cover crops – A meta-analysis. </w:t>
      </w:r>
      <w:r w:rsidRPr="00222589">
        <w:rPr>
          <w:i/>
          <w:iCs/>
          <w:color w:val="000000"/>
        </w:rPr>
        <w:t>Agriculture, Ecosystems &amp; Environment</w:t>
      </w:r>
      <w:r w:rsidRPr="00222589">
        <w:rPr>
          <w:color w:val="000000"/>
        </w:rPr>
        <w:t xml:space="preserve">, </w:t>
      </w:r>
      <w:r w:rsidRPr="00222589">
        <w:rPr>
          <w:i/>
          <w:iCs/>
          <w:color w:val="000000"/>
        </w:rPr>
        <w:t>200</w:t>
      </w:r>
      <w:r w:rsidRPr="00222589">
        <w:rPr>
          <w:color w:val="000000"/>
        </w:rPr>
        <w:t>, 33–41. https://doi.org/10.1016/j.agee.2014.10.024</w:t>
      </w:r>
    </w:p>
    <w:p w14:paraId="15E082B8" w14:textId="77777777" w:rsidR="00222589" w:rsidRPr="00222589" w:rsidRDefault="00222589" w:rsidP="00222589">
      <w:pPr>
        <w:pStyle w:val="Bibliography"/>
        <w:rPr>
          <w:color w:val="000000"/>
        </w:rPr>
      </w:pPr>
      <w:r w:rsidRPr="00222589">
        <w:rPr>
          <w:color w:val="000000"/>
        </w:rPr>
        <w:t xml:space="preserve">Reddy, P. P. (2017). Crop Rotation. In P. P. Reddy, </w:t>
      </w:r>
      <w:r w:rsidRPr="00222589">
        <w:rPr>
          <w:i/>
          <w:iCs/>
          <w:color w:val="000000"/>
        </w:rPr>
        <w:t>Agro-ecological Approaches to Pest Management for Sustainable Agriculture</w:t>
      </w:r>
      <w:r w:rsidRPr="00222589">
        <w:rPr>
          <w:color w:val="000000"/>
        </w:rPr>
        <w:t xml:space="preserve"> (pp. 229–242). Springer Singapore. https://doi.org/10.1007/978-981-10-4325-3_15</w:t>
      </w:r>
    </w:p>
    <w:p w14:paraId="610386D6" w14:textId="77777777" w:rsidR="00222589" w:rsidRPr="00222589" w:rsidRDefault="00222589" w:rsidP="00222589">
      <w:pPr>
        <w:pStyle w:val="Bibliography"/>
        <w:rPr>
          <w:color w:val="000000"/>
        </w:rPr>
      </w:pPr>
      <w:r w:rsidRPr="00222589">
        <w:rPr>
          <w:color w:val="000000"/>
        </w:rPr>
        <w:lastRenderedPageBreak/>
        <w:t xml:space="preserve">Spargo, J., Alley, M., Follett, R., &amp; Wallace, J. (2008). Soil carbon sequestration with continuous no-till management of grain cropping systems in the Virginia coastal plain. </w:t>
      </w:r>
      <w:r w:rsidRPr="00222589">
        <w:rPr>
          <w:i/>
          <w:iCs/>
          <w:color w:val="000000"/>
        </w:rPr>
        <w:t>Soil and Tillage Research</w:t>
      </w:r>
      <w:r w:rsidRPr="00222589">
        <w:rPr>
          <w:color w:val="000000"/>
        </w:rPr>
        <w:t xml:space="preserve">, </w:t>
      </w:r>
      <w:r w:rsidRPr="00222589">
        <w:rPr>
          <w:i/>
          <w:iCs/>
          <w:color w:val="000000"/>
        </w:rPr>
        <w:t>100</w:t>
      </w:r>
      <w:r w:rsidRPr="00222589">
        <w:rPr>
          <w:color w:val="000000"/>
        </w:rPr>
        <w:t>(1–2), 133–140. https://doi.org/10.1016/j.still.2008.05.010</w:t>
      </w:r>
    </w:p>
    <w:p w14:paraId="5F58B035" w14:textId="77777777" w:rsidR="00222589" w:rsidRPr="00222589" w:rsidRDefault="00222589" w:rsidP="00222589">
      <w:pPr>
        <w:pStyle w:val="Bibliography"/>
        <w:rPr>
          <w:color w:val="000000"/>
        </w:rPr>
      </w:pPr>
      <w:r w:rsidRPr="00222589">
        <w:rPr>
          <w:color w:val="000000"/>
        </w:rPr>
        <w:t xml:space="preserve">Stewart, R. D., &amp; Abou Najm, M. R. (2018). A Comprehensive Model for Single Ring Infiltration II: Estimating Field‐Saturated Hydraulic Conductivity. </w:t>
      </w:r>
      <w:r w:rsidRPr="00222589">
        <w:rPr>
          <w:i/>
          <w:iCs/>
          <w:color w:val="000000"/>
        </w:rPr>
        <w:t>Soil Science Society of America Journal</w:t>
      </w:r>
      <w:r w:rsidRPr="00222589">
        <w:rPr>
          <w:color w:val="000000"/>
        </w:rPr>
        <w:t xml:space="preserve">, </w:t>
      </w:r>
      <w:r w:rsidRPr="00222589">
        <w:rPr>
          <w:i/>
          <w:iCs/>
          <w:color w:val="000000"/>
        </w:rPr>
        <w:t>82</w:t>
      </w:r>
      <w:r w:rsidRPr="00222589">
        <w:rPr>
          <w:color w:val="000000"/>
        </w:rPr>
        <w:t>(3), 558–567. https://doi.org/10.2136/sssaj2017.09.0314</w:t>
      </w:r>
    </w:p>
    <w:p w14:paraId="686CD3BE" w14:textId="77777777" w:rsidR="00222589" w:rsidRPr="00222589" w:rsidRDefault="00222589" w:rsidP="00222589">
      <w:pPr>
        <w:pStyle w:val="Bibliography"/>
        <w:rPr>
          <w:color w:val="000000"/>
        </w:rPr>
      </w:pPr>
      <w:r w:rsidRPr="00222589">
        <w:rPr>
          <w:color w:val="000000"/>
        </w:rPr>
        <w:t xml:space="preserve">Stott, D. E. (2019, November). </w:t>
      </w:r>
      <w:r w:rsidRPr="00222589">
        <w:rPr>
          <w:i/>
          <w:iCs/>
          <w:color w:val="000000"/>
        </w:rPr>
        <w:t>Recommended Soil Health Indicators and Associated Laboratory Procedures</w:t>
      </w:r>
      <w:r w:rsidRPr="00222589">
        <w:rPr>
          <w:color w:val="000000"/>
        </w:rPr>
        <w:t>. USDA NRCS.</w:t>
      </w:r>
    </w:p>
    <w:p w14:paraId="32040ED8" w14:textId="77777777" w:rsidR="00222589" w:rsidRPr="00222589" w:rsidRDefault="00222589" w:rsidP="00222589">
      <w:pPr>
        <w:pStyle w:val="Bibliography"/>
        <w:rPr>
          <w:color w:val="000000"/>
        </w:rPr>
      </w:pPr>
      <w:r w:rsidRPr="00222589">
        <w:rPr>
          <w:color w:val="000000"/>
        </w:rPr>
        <w:t xml:space="preserve">UC Sustainable Agriculture Research and Education Program. (2017). </w:t>
      </w:r>
      <w:r w:rsidRPr="00222589">
        <w:rPr>
          <w:i/>
          <w:iCs/>
          <w:color w:val="000000"/>
        </w:rPr>
        <w:t>Conservation Tillage</w:t>
      </w:r>
      <w:r w:rsidRPr="00222589">
        <w:rPr>
          <w:color w:val="000000"/>
        </w:rPr>
        <w:t>.</w:t>
      </w:r>
    </w:p>
    <w:p w14:paraId="60BA40BE" w14:textId="77777777" w:rsidR="00222589" w:rsidRPr="00222589" w:rsidRDefault="00222589" w:rsidP="00222589">
      <w:pPr>
        <w:pStyle w:val="Bibliography"/>
        <w:rPr>
          <w:color w:val="000000"/>
        </w:rPr>
      </w:pPr>
      <w:r w:rsidRPr="00222589">
        <w:rPr>
          <w:color w:val="000000"/>
        </w:rPr>
        <w:t xml:space="preserve">USDA Web Soil Survey. (2021). </w:t>
      </w:r>
      <w:r w:rsidRPr="00222589">
        <w:rPr>
          <w:i/>
          <w:iCs/>
          <w:color w:val="000000"/>
        </w:rPr>
        <w:t>USDA Web Soil Survey</w:t>
      </w:r>
      <w:r w:rsidRPr="00222589">
        <w:rPr>
          <w:color w:val="000000"/>
        </w:rPr>
        <w:t>. https://websoilsurvey.sc.egov.usda.gov/App/WebSoilSurvey.aspx</w:t>
      </w:r>
    </w:p>
    <w:p w14:paraId="6452B5C7" w14:textId="77777777" w:rsidR="00222589" w:rsidRPr="00222589" w:rsidRDefault="00222589" w:rsidP="00222589">
      <w:pPr>
        <w:pStyle w:val="Bibliography"/>
        <w:rPr>
          <w:color w:val="000000"/>
        </w:rPr>
      </w:pPr>
      <w:r w:rsidRPr="00222589">
        <w:rPr>
          <w:color w:val="000000"/>
        </w:rPr>
        <w:t xml:space="preserve">Vaz, C. M. P., Manieri, J. M., de Maria, I. C., &amp; Tuller, M. (2011). Modeling and correction of soil penetration resistance for varying soil water content. </w:t>
      </w:r>
      <w:r w:rsidRPr="00222589">
        <w:rPr>
          <w:i/>
          <w:iCs/>
          <w:color w:val="000000"/>
        </w:rPr>
        <w:t>Geoderma</w:t>
      </w:r>
      <w:r w:rsidRPr="00222589">
        <w:rPr>
          <w:color w:val="000000"/>
        </w:rPr>
        <w:t xml:space="preserve">, </w:t>
      </w:r>
      <w:r w:rsidRPr="00222589">
        <w:rPr>
          <w:i/>
          <w:iCs/>
          <w:color w:val="000000"/>
        </w:rPr>
        <w:t>166</w:t>
      </w:r>
      <w:r w:rsidRPr="00222589">
        <w:rPr>
          <w:color w:val="000000"/>
        </w:rPr>
        <w:t>(1), 92–101. https://doi.org/10.1016/j.geoderma.2011.07.016</w:t>
      </w:r>
    </w:p>
    <w:p w14:paraId="00BDB932" w14:textId="21405502" w:rsidR="000E4C0F" w:rsidRPr="000E4C0F" w:rsidRDefault="000E4C0F" w:rsidP="000E4C0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bCs/>
          <w:color w:val="000000" w:themeColor="text1"/>
        </w:rPr>
      </w:pPr>
      <w:r w:rsidRPr="000E4C0F">
        <w:rPr>
          <w:rFonts w:eastAsiaTheme="minorHAnsi"/>
          <w:color w:val="000000" w:themeColor="text1"/>
        </w:rPr>
        <w:fldChar w:fldCharType="end"/>
      </w:r>
    </w:p>
    <w:p w14:paraId="0976521D" w14:textId="77777777" w:rsidR="000E4C0F" w:rsidRPr="000E4C0F" w:rsidRDefault="000E4C0F" w:rsidP="000E4C0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b/>
          <w:color w:val="000000" w:themeColor="text1"/>
        </w:rPr>
      </w:pPr>
      <w:r w:rsidRPr="000E4C0F">
        <w:rPr>
          <w:rFonts w:eastAsiaTheme="minorHAnsi"/>
          <w:b/>
          <w:color w:val="000000" w:themeColor="text1"/>
        </w:rPr>
        <w:t>Tables</w:t>
      </w:r>
    </w:p>
    <w:p w14:paraId="1B38D6B0" w14:textId="77777777" w:rsidR="000E4C0F" w:rsidRPr="000E4C0F" w:rsidRDefault="000E4C0F" w:rsidP="000E4C0F">
      <w:pPr>
        <w:adjustRightInd w:val="0"/>
        <w:snapToGrid w:val="0"/>
        <w:rPr>
          <w:bCs/>
          <w:color w:val="000000" w:themeColor="text1"/>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0E4C0F" w:rsidRPr="000E4C0F" w14:paraId="0CEFDC2A" w14:textId="77777777" w:rsidTr="0007491F">
        <w:trPr>
          <w:jc w:val="center"/>
        </w:trPr>
        <w:tc>
          <w:tcPr>
            <w:tcW w:w="9350" w:type="dxa"/>
          </w:tcPr>
          <w:tbl>
            <w:tblPr>
              <w:tblW w:w="5200" w:type="dxa"/>
              <w:jc w:val="center"/>
              <w:tblLook w:val="04A0" w:firstRow="1" w:lastRow="0" w:firstColumn="1" w:lastColumn="0" w:noHBand="0" w:noVBand="1"/>
            </w:tblPr>
            <w:tblGrid>
              <w:gridCol w:w="1300"/>
              <w:gridCol w:w="1300"/>
              <w:gridCol w:w="1300"/>
              <w:gridCol w:w="1300"/>
            </w:tblGrid>
            <w:tr w:rsidR="000E4C0F" w:rsidRPr="000E4C0F" w14:paraId="435AFC07" w14:textId="77777777" w:rsidTr="0007491F">
              <w:trPr>
                <w:trHeight w:val="340"/>
                <w:jc w:val="center"/>
              </w:trPr>
              <w:tc>
                <w:tcPr>
                  <w:tcW w:w="1300" w:type="dxa"/>
                  <w:tcBorders>
                    <w:top w:val="single" w:sz="8" w:space="0" w:color="auto"/>
                    <w:left w:val="nil"/>
                    <w:bottom w:val="single" w:sz="4" w:space="0" w:color="auto"/>
                  </w:tcBorders>
                  <w:shd w:val="clear" w:color="auto" w:fill="auto"/>
                  <w:noWrap/>
                  <w:vAlign w:val="center"/>
                  <w:hideMark/>
                </w:tcPr>
                <w:p w14:paraId="6E90ED19" w14:textId="77777777" w:rsidR="000E4C0F" w:rsidRPr="000E4C0F" w:rsidRDefault="000E4C0F" w:rsidP="000E4C0F">
                  <w:pPr>
                    <w:jc w:val="center"/>
                    <w:rPr>
                      <w:b/>
                      <w:color w:val="000000" w:themeColor="text1"/>
                    </w:rPr>
                  </w:pPr>
                  <w:r w:rsidRPr="000E4C0F">
                    <w:rPr>
                      <w:b/>
                      <w:color w:val="000000" w:themeColor="text1"/>
                    </w:rPr>
                    <w:t>Block</w:t>
                  </w:r>
                </w:p>
              </w:tc>
              <w:tc>
                <w:tcPr>
                  <w:tcW w:w="1300" w:type="dxa"/>
                  <w:tcBorders>
                    <w:top w:val="single" w:sz="8" w:space="0" w:color="auto"/>
                    <w:left w:val="nil"/>
                    <w:bottom w:val="single" w:sz="4" w:space="0" w:color="auto"/>
                    <w:right w:val="nil"/>
                  </w:tcBorders>
                  <w:shd w:val="clear" w:color="auto" w:fill="auto"/>
                  <w:noWrap/>
                  <w:vAlign w:val="center"/>
                  <w:hideMark/>
                </w:tcPr>
                <w:p w14:paraId="48E4C165" w14:textId="77777777" w:rsidR="000E4C0F" w:rsidRPr="0011325B" w:rsidRDefault="000E4C0F" w:rsidP="0011325B">
                  <w:pPr>
                    <w:jc w:val="center"/>
                    <w:rPr>
                      <w:bCs/>
                      <w:color w:val="000000" w:themeColor="text1"/>
                    </w:rPr>
                  </w:pPr>
                  <w:r w:rsidRPr="000E4C0F">
                    <w:rPr>
                      <w:bCs/>
                      <w:color w:val="000000" w:themeColor="text1"/>
                    </w:rPr>
                    <w:t xml:space="preserve"> Sand</w:t>
                  </w:r>
                  <w:r w:rsidR="00F0119A">
                    <w:rPr>
                      <w:bCs/>
                      <w:color w:val="000000" w:themeColor="text1"/>
                    </w:rPr>
                    <w:t xml:space="preserve"> </w:t>
                  </w:r>
                  <w:r w:rsidR="0011325B">
                    <w:rPr>
                      <w:bCs/>
                      <w:color w:val="000000" w:themeColor="text1"/>
                    </w:rPr>
                    <w:t>(%)</w:t>
                  </w:r>
                </w:p>
              </w:tc>
              <w:tc>
                <w:tcPr>
                  <w:tcW w:w="1300" w:type="dxa"/>
                  <w:tcBorders>
                    <w:top w:val="single" w:sz="8" w:space="0" w:color="auto"/>
                    <w:left w:val="nil"/>
                    <w:bottom w:val="single" w:sz="4" w:space="0" w:color="auto"/>
                    <w:right w:val="nil"/>
                  </w:tcBorders>
                  <w:shd w:val="clear" w:color="auto" w:fill="auto"/>
                  <w:noWrap/>
                  <w:vAlign w:val="center"/>
                  <w:hideMark/>
                </w:tcPr>
                <w:p w14:paraId="0ADC11BE" w14:textId="77777777" w:rsidR="000E4C0F" w:rsidRPr="0011325B" w:rsidRDefault="000E4C0F" w:rsidP="0011325B">
                  <w:pPr>
                    <w:jc w:val="center"/>
                    <w:rPr>
                      <w:bCs/>
                      <w:color w:val="000000" w:themeColor="text1"/>
                    </w:rPr>
                  </w:pPr>
                  <w:r w:rsidRPr="000E4C0F">
                    <w:rPr>
                      <w:bCs/>
                      <w:color w:val="000000" w:themeColor="text1"/>
                    </w:rPr>
                    <w:t>Silt</w:t>
                  </w:r>
                  <w:r w:rsidR="00F0119A">
                    <w:rPr>
                      <w:bCs/>
                      <w:color w:val="000000" w:themeColor="text1"/>
                    </w:rPr>
                    <w:t xml:space="preserve"> (</w:t>
                  </w:r>
                  <w:r w:rsidR="0011325B">
                    <w:rPr>
                      <w:bCs/>
                      <w:color w:val="000000" w:themeColor="text1"/>
                    </w:rPr>
                    <w:t>%</w:t>
                  </w:r>
                  <w:r w:rsidR="00F0119A">
                    <w:rPr>
                      <w:bCs/>
                      <w:color w:val="000000" w:themeColor="text1"/>
                    </w:rPr>
                    <w:t>)</w:t>
                  </w:r>
                </w:p>
              </w:tc>
              <w:tc>
                <w:tcPr>
                  <w:tcW w:w="1300" w:type="dxa"/>
                  <w:tcBorders>
                    <w:top w:val="single" w:sz="8" w:space="0" w:color="auto"/>
                    <w:left w:val="nil"/>
                    <w:bottom w:val="single" w:sz="4" w:space="0" w:color="auto"/>
                    <w:right w:val="nil"/>
                  </w:tcBorders>
                  <w:shd w:val="clear" w:color="auto" w:fill="auto"/>
                  <w:noWrap/>
                  <w:vAlign w:val="center"/>
                  <w:hideMark/>
                </w:tcPr>
                <w:p w14:paraId="37A15587" w14:textId="77777777" w:rsidR="00F0119A" w:rsidRPr="0011325B" w:rsidRDefault="000E4C0F" w:rsidP="0011325B">
                  <w:pPr>
                    <w:jc w:val="center"/>
                    <w:rPr>
                      <w:bCs/>
                      <w:color w:val="000000" w:themeColor="text1"/>
                    </w:rPr>
                  </w:pPr>
                  <w:r w:rsidRPr="000E4C0F">
                    <w:rPr>
                      <w:bCs/>
                      <w:color w:val="000000" w:themeColor="text1"/>
                    </w:rPr>
                    <w:t>Clay</w:t>
                  </w:r>
                  <w:r w:rsidR="0011325B">
                    <w:rPr>
                      <w:bCs/>
                      <w:color w:val="000000" w:themeColor="text1"/>
                    </w:rPr>
                    <w:t xml:space="preserve"> </w:t>
                  </w:r>
                  <w:r w:rsidR="00F0119A">
                    <w:rPr>
                      <w:bCs/>
                      <w:color w:val="000000" w:themeColor="text1"/>
                    </w:rPr>
                    <w:t>(</w:t>
                  </w:r>
                  <w:r w:rsidR="0011325B">
                    <w:rPr>
                      <w:bCs/>
                      <w:color w:val="000000" w:themeColor="text1"/>
                    </w:rPr>
                    <w:t>%</w:t>
                  </w:r>
                  <w:r w:rsidR="00F0119A">
                    <w:rPr>
                      <w:bCs/>
                      <w:color w:val="000000" w:themeColor="text1"/>
                    </w:rPr>
                    <w:t>)</w:t>
                  </w:r>
                </w:p>
              </w:tc>
            </w:tr>
            <w:tr w:rsidR="000E4C0F" w:rsidRPr="000E4C0F" w14:paraId="3780FD8F" w14:textId="77777777" w:rsidTr="0007491F">
              <w:trPr>
                <w:trHeight w:val="340"/>
                <w:jc w:val="center"/>
              </w:trPr>
              <w:tc>
                <w:tcPr>
                  <w:tcW w:w="1300" w:type="dxa"/>
                  <w:tcBorders>
                    <w:top w:val="single" w:sz="4" w:space="0" w:color="auto"/>
                    <w:left w:val="nil"/>
                    <w:bottom w:val="nil"/>
                  </w:tcBorders>
                  <w:shd w:val="clear" w:color="auto" w:fill="auto"/>
                  <w:noWrap/>
                  <w:vAlign w:val="center"/>
                  <w:hideMark/>
                </w:tcPr>
                <w:p w14:paraId="1483662C" w14:textId="77777777" w:rsidR="000E4C0F" w:rsidRPr="000E4C0F" w:rsidRDefault="000E4C0F" w:rsidP="000E4C0F">
                  <w:pPr>
                    <w:jc w:val="center"/>
                    <w:rPr>
                      <w:b/>
                      <w:color w:val="000000" w:themeColor="text1"/>
                    </w:rPr>
                  </w:pPr>
                  <w:r w:rsidRPr="000E4C0F">
                    <w:rPr>
                      <w:b/>
                      <w:color w:val="000000" w:themeColor="text1"/>
                    </w:rPr>
                    <w:t>1</w:t>
                  </w:r>
                </w:p>
              </w:tc>
              <w:tc>
                <w:tcPr>
                  <w:tcW w:w="1300" w:type="dxa"/>
                  <w:tcBorders>
                    <w:top w:val="single" w:sz="4" w:space="0" w:color="auto"/>
                    <w:left w:val="nil"/>
                    <w:bottom w:val="nil"/>
                    <w:right w:val="nil"/>
                  </w:tcBorders>
                  <w:shd w:val="clear" w:color="auto" w:fill="auto"/>
                  <w:noWrap/>
                  <w:vAlign w:val="center"/>
                  <w:hideMark/>
                </w:tcPr>
                <w:p w14:paraId="0FF3605B" w14:textId="77777777" w:rsidR="000E4C0F" w:rsidRPr="000E4C0F" w:rsidRDefault="000E4C0F" w:rsidP="000E4C0F">
                  <w:pPr>
                    <w:jc w:val="center"/>
                    <w:rPr>
                      <w:color w:val="000000" w:themeColor="text1"/>
                    </w:rPr>
                  </w:pPr>
                  <w:r w:rsidRPr="000E4C0F">
                    <w:rPr>
                      <w:bCs/>
                      <w:color w:val="000000" w:themeColor="text1"/>
                    </w:rPr>
                    <w:t>30.6</w:t>
                  </w:r>
                </w:p>
              </w:tc>
              <w:tc>
                <w:tcPr>
                  <w:tcW w:w="1300" w:type="dxa"/>
                  <w:tcBorders>
                    <w:top w:val="single" w:sz="4" w:space="0" w:color="auto"/>
                    <w:left w:val="nil"/>
                    <w:bottom w:val="nil"/>
                    <w:right w:val="nil"/>
                  </w:tcBorders>
                  <w:shd w:val="clear" w:color="auto" w:fill="auto"/>
                  <w:noWrap/>
                  <w:vAlign w:val="center"/>
                  <w:hideMark/>
                </w:tcPr>
                <w:p w14:paraId="06C449A5" w14:textId="77777777" w:rsidR="000E4C0F" w:rsidRPr="000E4C0F" w:rsidRDefault="000E4C0F" w:rsidP="000E4C0F">
                  <w:pPr>
                    <w:jc w:val="center"/>
                    <w:rPr>
                      <w:color w:val="000000" w:themeColor="text1"/>
                    </w:rPr>
                  </w:pPr>
                  <w:r w:rsidRPr="000E4C0F">
                    <w:rPr>
                      <w:bCs/>
                      <w:color w:val="000000" w:themeColor="text1"/>
                    </w:rPr>
                    <w:t>44.7</w:t>
                  </w:r>
                </w:p>
              </w:tc>
              <w:tc>
                <w:tcPr>
                  <w:tcW w:w="1300" w:type="dxa"/>
                  <w:tcBorders>
                    <w:top w:val="single" w:sz="4" w:space="0" w:color="auto"/>
                    <w:left w:val="nil"/>
                    <w:bottom w:val="nil"/>
                    <w:right w:val="nil"/>
                  </w:tcBorders>
                  <w:shd w:val="clear" w:color="auto" w:fill="auto"/>
                  <w:noWrap/>
                  <w:vAlign w:val="center"/>
                  <w:hideMark/>
                </w:tcPr>
                <w:p w14:paraId="3349F677" w14:textId="77777777" w:rsidR="000E4C0F" w:rsidRPr="000E4C0F" w:rsidRDefault="000E4C0F" w:rsidP="000E4C0F">
                  <w:pPr>
                    <w:jc w:val="center"/>
                    <w:rPr>
                      <w:color w:val="000000" w:themeColor="text1"/>
                    </w:rPr>
                  </w:pPr>
                  <w:r w:rsidRPr="000E4C0F">
                    <w:rPr>
                      <w:bCs/>
                      <w:color w:val="000000" w:themeColor="text1"/>
                    </w:rPr>
                    <w:t>24.7</w:t>
                  </w:r>
                </w:p>
              </w:tc>
            </w:tr>
            <w:tr w:rsidR="000E4C0F" w:rsidRPr="000E4C0F" w14:paraId="6EFA2D08" w14:textId="77777777" w:rsidTr="0007491F">
              <w:trPr>
                <w:trHeight w:val="320"/>
                <w:jc w:val="center"/>
              </w:trPr>
              <w:tc>
                <w:tcPr>
                  <w:tcW w:w="1300" w:type="dxa"/>
                  <w:tcBorders>
                    <w:top w:val="nil"/>
                    <w:left w:val="nil"/>
                    <w:bottom w:val="nil"/>
                  </w:tcBorders>
                  <w:shd w:val="clear" w:color="auto" w:fill="auto"/>
                  <w:noWrap/>
                  <w:vAlign w:val="center"/>
                  <w:hideMark/>
                </w:tcPr>
                <w:p w14:paraId="6A8C37FB" w14:textId="77777777" w:rsidR="000E4C0F" w:rsidRPr="000E4C0F" w:rsidRDefault="000E4C0F" w:rsidP="000E4C0F">
                  <w:pPr>
                    <w:jc w:val="center"/>
                    <w:rPr>
                      <w:b/>
                      <w:color w:val="000000" w:themeColor="text1"/>
                    </w:rPr>
                  </w:pPr>
                  <w:r w:rsidRPr="000E4C0F">
                    <w:rPr>
                      <w:b/>
                      <w:color w:val="000000" w:themeColor="text1"/>
                    </w:rPr>
                    <w:t>2</w:t>
                  </w:r>
                </w:p>
              </w:tc>
              <w:tc>
                <w:tcPr>
                  <w:tcW w:w="1300" w:type="dxa"/>
                  <w:tcBorders>
                    <w:top w:val="nil"/>
                    <w:left w:val="nil"/>
                    <w:bottom w:val="nil"/>
                    <w:right w:val="nil"/>
                  </w:tcBorders>
                  <w:shd w:val="clear" w:color="auto" w:fill="auto"/>
                  <w:noWrap/>
                  <w:vAlign w:val="center"/>
                  <w:hideMark/>
                </w:tcPr>
                <w:p w14:paraId="204C7AA4" w14:textId="77777777" w:rsidR="000E4C0F" w:rsidRPr="000E4C0F" w:rsidRDefault="000E4C0F" w:rsidP="000E4C0F">
                  <w:pPr>
                    <w:jc w:val="center"/>
                    <w:rPr>
                      <w:color w:val="000000" w:themeColor="text1"/>
                    </w:rPr>
                  </w:pPr>
                  <w:r w:rsidRPr="000E4C0F">
                    <w:rPr>
                      <w:bCs/>
                      <w:color w:val="000000" w:themeColor="text1"/>
                    </w:rPr>
                    <w:t>36.3</w:t>
                  </w:r>
                </w:p>
              </w:tc>
              <w:tc>
                <w:tcPr>
                  <w:tcW w:w="1300" w:type="dxa"/>
                  <w:tcBorders>
                    <w:top w:val="nil"/>
                    <w:left w:val="nil"/>
                    <w:bottom w:val="nil"/>
                    <w:right w:val="nil"/>
                  </w:tcBorders>
                  <w:shd w:val="clear" w:color="auto" w:fill="auto"/>
                  <w:noWrap/>
                  <w:vAlign w:val="center"/>
                  <w:hideMark/>
                </w:tcPr>
                <w:p w14:paraId="3109B2FB" w14:textId="77777777" w:rsidR="000E4C0F" w:rsidRPr="000E4C0F" w:rsidRDefault="000E4C0F" w:rsidP="000E4C0F">
                  <w:pPr>
                    <w:jc w:val="center"/>
                    <w:rPr>
                      <w:color w:val="000000" w:themeColor="text1"/>
                    </w:rPr>
                  </w:pPr>
                  <w:r w:rsidRPr="000E4C0F">
                    <w:rPr>
                      <w:bCs/>
                      <w:color w:val="000000" w:themeColor="text1"/>
                    </w:rPr>
                    <w:t>41.5</w:t>
                  </w:r>
                </w:p>
              </w:tc>
              <w:tc>
                <w:tcPr>
                  <w:tcW w:w="1300" w:type="dxa"/>
                  <w:tcBorders>
                    <w:top w:val="nil"/>
                    <w:left w:val="nil"/>
                    <w:bottom w:val="nil"/>
                    <w:right w:val="nil"/>
                  </w:tcBorders>
                  <w:shd w:val="clear" w:color="auto" w:fill="auto"/>
                  <w:noWrap/>
                  <w:vAlign w:val="center"/>
                  <w:hideMark/>
                </w:tcPr>
                <w:p w14:paraId="5C241302" w14:textId="77777777" w:rsidR="000E4C0F" w:rsidRPr="000E4C0F" w:rsidRDefault="000E4C0F" w:rsidP="000E4C0F">
                  <w:pPr>
                    <w:jc w:val="center"/>
                    <w:rPr>
                      <w:color w:val="000000" w:themeColor="text1"/>
                    </w:rPr>
                  </w:pPr>
                  <w:r w:rsidRPr="000E4C0F">
                    <w:rPr>
                      <w:bCs/>
                      <w:color w:val="000000" w:themeColor="text1"/>
                    </w:rPr>
                    <w:t>22.2</w:t>
                  </w:r>
                </w:p>
              </w:tc>
            </w:tr>
            <w:tr w:rsidR="000E4C0F" w:rsidRPr="000E4C0F" w14:paraId="14C32519" w14:textId="77777777" w:rsidTr="0007491F">
              <w:trPr>
                <w:trHeight w:val="320"/>
                <w:jc w:val="center"/>
              </w:trPr>
              <w:tc>
                <w:tcPr>
                  <w:tcW w:w="1300" w:type="dxa"/>
                  <w:tcBorders>
                    <w:top w:val="nil"/>
                    <w:left w:val="nil"/>
                  </w:tcBorders>
                  <w:shd w:val="clear" w:color="auto" w:fill="auto"/>
                  <w:noWrap/>
                  <w:vAlign w:val="center"/>
                  <w:hideMark/>
                </w:tcPr>
                <w:p w14:paraId="0E9E8F09" w14:textId="77777777" w:rsidR="000E4C0F" w:rsidRPr="000E4C0F" w:rsidRDefault="000E4C0F" w:rsidP="000E4C0F">
                  <w:pPr>
                    <w:jc w:val="center"/>
                    <w:rPr>
                      <w:b/>
                      <w:color w:val="000000" w:themeColor="text1"/>
                    </w:rPr>
                  </w:pPr>
                  <w:r w:rsidRPr="000E4C0F">
                    <w:rPr>
                      <w:b/>
                      <w:color w:val="000000" w:themeColor="text1"/>
                    </w:rPr>
                    <w:t>3</w:t>
                  </w:r>
                </w:p>
              </w:tc>
              <w:tc>
                <w:tcPr>
                  <w:tcW w:w="1300" w:type="dxa"/>
                  <w:tcBorders>
                    <w:top w:val="nil"/>
                    <w:left w:val="nil"/>
                    <w:right w:val="nil"/>
                  </w:tcBorders>
                  <w:shd w:val="clear" w:color="auto" w:fill="auto"/>
                  <w:noWrap/>
                  <w:vAlign w:val="center"/>
                  <w:hideMark/>
                </w:tcPr>
                <w:p w14:paraId="73E1FAF2" w14:textId="77777777" w:rsidR="000E4C0F" w:rsidRPr="000E4C0F" w:rsidRDefault="000E4C0F" w:rsidP="000E4C0F">
                  <w:pPr>
                    <w:jc w:val="center"/>
                    <w:rPr>
                      <w:color w:val="000000" w:themeColor="text1"/>
                    </w:rPr>
                  </w:pPr>
                  <w:r w:rsidRPr="000E4C0F">
                    <w:rPr>
                      <w:bCs/>
                      <w:color w:val="000000" w:themeColor="text1"/>
                    </w:rPr>
                    <w:t>60.8</w:t>
                  </w:r>
                </w:p>
              </w:tc>
              <w:tc>
                <w:tcPr>
                  <w:tcW w:w="1300" w:type="dxa"/>
                  <w:tcBorders>
                    <w:top w:val="nil"/>
                    <w:left w:val="nil"/>
                    <w:right w:val="nil"/>
                  </w:tcBorders>
                  <w:shd w:val="clear" w:color="auto" w:fill="auto"/>
                  <w:noWrap/>
                  <w:vAlign w:val="center"/>
                  <w:hideMark/>
                </w:tcPr>
                <w:p w14:paraId="3F651C56" w14:textId="77777777" w:rsidR="000E4C0F" w:rsidRPr="000E4C0F" w:rsidRDefault="000E4C0F" w:rsidP="000E4C0F">
                  <w:pPr>
                    <w:jc w:val="center"/>
                    <w:rPr>
                      <w:color w:val="000000" w:themeColor="text1"/>
                    </w:rPr>
                  </w:pPr>
                  <w:r w:rsidRPr="000E4C0F">
                    <w:rPr>
                      <w:bCs/>
                      <w:color w:val="000000" w:themeColor="text1"/>
                    </w:rPr>
                    <w:t>25.8</w:t>
                  </w:r>
                </w:p>
              </w:tc>
              <w:tc>
                <w:tcPr>
                  <w:tcW w:w="1300" w:type="dxa"/>
                  <w:tcBorders>
                    <w:top w:val="nil"/>
                    <w:left w:val="nil"/>
                    <w:right w:val="nil"/>
                  </w:tcBorders>
                  <w:shd w:val="clear" w:color="auto" w:fill="auto"/>
                  <w:noWrap/>
                  <w:vAlign w:val="center"/>
                  <w:hideMark/>
                </w:tcPr>
                <w:p w14:paraId="24FCE3FD" w14:textId="77777777" w:rsidR="000E4C0F" w:rsidRPr="000E4C0F" w:rsidRDefault="000E4C0F" w:rsidP="000E4C0F">
                  <w:pPr>
                    <w:jc w:val="center"/>
                    <w:rPr>
                      <w:color w:val="000000" w:themeColor="text1"/>
                    </w:rPr>
                  </w:pPr>
                  <w:r w:rsidRPr="000E4C0F">
                    <w:rPr>
                      <w:bCs/>
                      <w:color w:val="000000" w:themeColor="text1"/>
                    </w:rPr>
                    <w:t>13.4</w:t>
                  </w:r>
                </w:p>
              </w:tc>
            </w:tr>
            <w:tr w:rsidR="000E4C0F" w:rsidRPr="000E4C0F" w14:paraId="684CD0F1" w14:textId="77777777" w:rsidTr="0007491F">
              <w:trPr>
                <w:trHeight w:val="340"/>
                <w:jc w:val="center"/>
              </w:trPr>
              <w:tc>
                <w:tcPr>
                  <w:tcW w:w="1300" w:type="dxa"/>
                  <w:tcBorders>
                    <w:top w:val="nil"/>
                    <w:left w:val="nil"/>
                    <w:bottom w:val="single" w:sz="4" w:space="0" w:color="auto"/>
                  </w:tcBorders>
                  <w:shd w:val="clear" w:color="auto" w:fill="auto"/>
                  <w:noWrap/>
                  <w:vAlign w:val="center"/>
                  <w:hideMark/>
                </w:tcPr>
                <w:p w14:paraId="1D72EECD" w14:textId="77777777" w:rsidR="000E4C0F" w:rsidRPr="000E4C0F" w:rsidRDefault="000E4C0F" w:rsidP="000E4C0F">
                  <w:pPr>
                    <w:jc w:val="center"/>
                    <w:rPr>
                      <w:b/>
                      <w:color w:val="000000" w:themeColor="text1"/>
                    </w:rPr>
                  </w:pPr>
                  <w:r w:rsidRPr="000E4C0F">
                    <w:rPr>
                      <w:b/>
                      <w:color w:val="000000" w:themeColor="text1"/>
                    </w:rPr>
                    <w:t>4</w:t>
                  </w:r>
                </w:p>
              </w:tc>
              <w:tc>
                <w:tcPr>
                  <w:tcW w:w="1300" w:type="dxa"/>
                  <w:tcBorders>
                    <w:top w:val="nil"/>
                    <w:left w:val="nil"/>
                    <w:bottom w:val="single" w:sz="4" w:space="0" w:color="auto"/>
                    <w:right w:val="nil"/>
                  </w:tcBorders>
                  <w:shd w:val="clear" w:color="auto" w:fill="auto"/>
                  <w:noWrap/>
                  <w:vAlign w:val="center"/>
                  <w:hideMark/>
                </w:tcPr>
                <w:p w14:paraId="5D3FE339" w14:textId="77777777" w:rsidR="000E4C0F" w:rsidRPr="000E4C0F" w:rsidRDefault="000E4C0F" w:rsidP="000E4C0F">
                  <w:pPr>
                    <w:jc w:val="center"/>
                    <w:rPr>
                      <w:color w:val="000000" w:themeColor="text1"/>
                    </w:rPr>
                  </w:pPr>
                  <w:r w:rsidRPr="000E4C0F">
                    <w:rPr>
                      <w:bCs/>
                      <w:color w:val="000000" w:themeColor="text1"/>
                    </w:rPr>
                    <w:t>65.1</w:t>
                  </w:r>
                </w:p>
              </w:tc>
              <w:tc>
                <w:tcPr>
                  <w:tcW w:w="1300" w:type="dxa"/>
                  <w:tcBorders>
                    <w:top w:val="nil"/>
                    <w:left w:val="nil"/>
                    <w:bottom w:val="single" w:sz="4" w:space="0" w:color="auto"/>
                    <w:right w:val="nil"/>
                  </w:tcBorders>
                  <w:shd w:val="clear" w:color="auto" w:fill="auto"/>
                  <w:noWrap/>
                  <w:vAlign w:val="center"/>
                  <w:hideMark/>
                </w:tcPr>
                <w:p w14:paraId="76FCD6BF" w14:textId="77777777" w:rsidR="000E4C0F" w:rsidRPr="000E4C0F" w:rsidRDefault="000E4C0F" w:rsidP="000E4C0F">
                  <w:pPr>
                    <w:jc w:val="center"/>
                    <w:rPr>
                      <w:color w:val="000000" w:themeColor="text1"/>
                    </w:rPr>
                  </w:pPr>
                  <w:r w:rsidRPr="000E4C0F">
                    <w:rPr>
                      <w:bCs/>
                      <w:color w:val="000000" w:themeColor="text1"/>
                    </w:rPr>
                    <w:t>23.0</w:t>
                  </w:r>
                </w:p>
              </w:tc>
              <w:tc>
                <w:tcPr>
                  <w:tcW w:w="1300" w:type="dxa"/>
                  <w:tcBorders>
                    <w:top w:val="nil"/>
                    <w:left w:val="nil"/>
                    <w:bottom w:val="single" w:sz="4" w:space="0" w:color="auto"/>
                    <w:right w:val="nil"/>
                  </w:tcBorders>
                  <w:shd w:val="clear" w:color="auto" w:fill="auto"/>
                  <w:noWrap/>
                  <w:vAlign w:val="center"/>
                  <w:hideMark/>
                </w:tcPr>
                <w:p w14:paraId="5CC763CF" w14:textId="77777777" w:rsidR="000E4C0F" w:rsidRPr="000E4C0F" w:rsidRDefault="000E4C0F" w:rsidP="000E4C0F">
                  <w:pPr>
                    <w:jc w:val="center"/>
                    <w:rPr>
                      <w:color w:val="000000" w:themeColor="text1"/>
                    </w:rPr>
                  </w:pPr>
                  <w:r w:rsidRPr="000E4C0F">
                    <w:rPr>
                      <w:bCs/>
                      <w:color w:val="000000" w:themeColor="text1"/>
                    </w:rPr>
                    <w:t>11.9</w:t>
                  </w:r>
                </w:p>
              </w:tc>
            </w:tr>
          </w:tbl>
          <w:p w14:paraId="65F89819" w14:textId="77777777" w:rsidR="000E4C0F" w:rsidRPr="000E4C0F" w:rsidRDefault="000E4C0F" w:rsidP="000E4C0F">
            <w:pPr>
              <w:adjustRightInd w:val="0"/>
              <w:snapToGrid w:val="0"/>
              <w:jc w:val="center"/>
              <w:rPr>
                <w:bCs/>
                <w:color w:val="000000" w:themeColor="text1"/>
              </w:rPr>
            </w:pPr>
          </w:p>
        </w:tc>
      </w:tr>
    </w:tbl>
    <w:p w14:paraId="68DDEC01" w14:textId="77777777" w:rsidR="000E4C0F" w:rsidRPr="000E4C0F" w:rsidRDefault="000E4C0F" w:rsidP="000E4C0F">
      <w:pPr>
        <w:adjustRightInd w:val="0"/>
        <w:snapToGrid w:val="0"/>
        <w:rPr>
          <w:bCs/>
          <w:color w:val="000000" w:themeColor="text1"/>
        </w:rPr>
      </w:pPr>
      <w:r w:rsidRPr="000E4C0F">
        <w:rPr>
          <w:bCs/>
          <w:color w:val="000000" w:themeColor="text1"/>
        </w:rPr>
        <w:t>Table 1: Mean sand</w:t>
      </w:r>
      <w:r w:rsidR="0011325B">
        <w:rPr>
          <w:bCs/>
          <w:color w:val="000000" w:themeColor="text1"/>
        </w:rPr>
        <w:t>, silt,</w:t>
      </w:r>
      <w:r w:rsidRPr="000E4C0F">
        <w:rPr>
          <w:bCs/>
          <w:color w:val="000000" w:themeColor="text1"/>
        </w:rPr>
        <w:t xml:space="preserve"> and clay </w:t>
      </w:r>
      <w:r w:rsidR="0011325B">
        <w:rPr>
          <w:bCs/>
          <w:color w:val="000000" w:themeColor="text1"/>
        </w:rPr>
        <w:t>percentages</w:t>
      </w:r>
      <w:r w:rsidRPr="000E4C0F">
        <w:rPr>
          <w:bCs/>
          <w:color w:val="000000" w:themeColor="text1"/>
        </w:rPr>
        <w:t xml:space="preserve"> measured for each block 0 - 30 cm (</w:t>
      </w:r>
      <w:r w:rsidRPr="000E4C0F">
        <w:rPr>
          <w:bCs/>
          <w:i/>
          <w:color w:val="000000" w:themeColor="text1"/>
        </w:rPr>
        <w:t>n</w:t>
      </w:r>
      <w:r w:rsidRPr="000E4C0F">
        <w:rPr>
          <w:bCs/>
          <w:color w:val="000000" w:themeColor="text1"/>
        </w:rPr>
        <w:t xml:space="preserve"> = 12 replicates).</w:t>
      </w:r>
    </w:p>
    <w:tbl>
      <w:tblPr>
        <w:tblW w:w="5215" w:type="dxa"/>
        <w:jc w:val="center"/>
        <w:tblLook w:val="04A0" w:firstRow="1" w:lastRow="0" w:firstColumn="1" w:lastColumn="0" w:noHBand="0" w:noVBand="1"/>
      </w:tblPr>
      <w:tblGrid>
        <w:gridCol w:w="1590"/>
        <w:gridCol w:w="1815"/>
        <w:gridCol w:w="1890"/>
      </w:tblGrid>
      <w:tr w:rsidR="000E4C0F" w:rsidRPr="000E4C0F" w14:paraId="4D20E374" w14:textId="77777777" w:rsidTr="0007491F">
        <w:trPr>
          <w:trHeight w:val="340"/>
          <w:jc w:val="center"/>
        </w:trPr>
        <w:tc>
          <w:tcPr>
            <w:tcW w:w="1510" w:type="dxa"/>
            <w:tcBorders>
              <w:top w:val="single" w:sz="4" w:space="0" w:color="auto"/>
              <w:bottom w:val="single" w:sz="4" w:space="0" w:color="auto"/>
            </w:tcBorders>
            <w:shd w:val="clear" w:color="auto" w:fill="auto"/>
            <w:noWrap/>
            <w:vAlign w:val="bottom"/>
            <w:hideMark/>
          </w:tcPr>
          <w:p w14:paraId="24B3DDC6" w14:textId="77777777" w:rsidR="000E4C0F" w:rsidRPr="000E4C0F" w:rsidRDefault="000E4C0F" w:rsidP="000E4C0F">
            <w:pPr>
              <w:jc w:val="center"/>
              <w:rPr>
                <w:b/>
                <w:color w:val="000000" w:themeColor="text1"/>
              </w:rPr>
            </w:pPr>
            <w:r w:rsidRPr="000E4C0F">
              <w:rPr>
                <w:b/>
                <w:color w:val="000000" w:themeColor="text1"/>
              </w:rPr>
              <w:t>Tillage Type</w:t>
            </w:r>
          </w:p>
        </w:tc>
        <w:tc>
          <w:tcPr>
            <w:tcW w:w="1815" w:type="dxa"/>
            <w:tcBorders>
              <w:top w:val="single" w:sz="4" w:space="0" w:color="auto"/>
              <w:left w:val="nil"/>
              <w:bottom w:val="single" w:sz="4" w:space="0" w:color="auto"/>
            </w:tcBorders>
            <w:shd w:val="clear" w:color="auto" w:fill="auto"/>
            <w:noWrap/>
            <w:vAlign w:val="bottom"/>
            <w:hideMark/>
          </w:tcPr>
          <w:p w14:paraId="234FAEA0" w14:textId="77777777" w:rsidR="000E4C0F" w:rsidRPr="000E4C0F" w:rsidRDefault="000E4C0F" w:rsidP="000E4C0F">
            <w:pPr>
              <w:jc w:val="center"/>
              <w:rPr>
                <w:bCs/>
                <w:color w:val="000000" w:themeColor="text1"/>
              </w:rPr>
            </w:pPr>
            <w:r w:rsidRPr="000E4C0F">
              <w:rPr>
                <w:bCs/>
                <w:color w:val="000000" w:themeColor="text1"/>
              </w:rPr>
              <w:t xml:space="preserve">Summer Tillage </w:t>
            </w:r>
          </w:p>
        </w:tc>
        <w:tc>
          <w:tcPr>
            <w:tcW w:w="1890" w:type="dxa"/>
            <w:tcBorders>
              <w:top w:val="single" w:sz="4" w:space="0" w:color="auto"/>
              <w:bottom w:val="single" w:sz="4" w:space="0" w:color="auto"/>
            </w:tcBorders>
            <w:shd w:val="clear" w:color="auto" w:fill="auto"/>
            <w:noWrap/>
            <w:vAlign w:val="bottom"/>
            <w:hideMark/>
          </w:tcPr>
          <w:p w14:paraId="42EB04B8" w14:textId="77777777" w:rsidR="000E4C0F" w:rsidRPr="000E4C0F" w:rsidRDefault="000E4C0F" w:rsidP="000E4C0F">
            <w:pPr>
              <w:jc w:val="center"/>
              <w:rPr>
                <w:bCs/>
                <w:color w:val="000000" w:themeColor="text1"/>
              </w:rPr>
            </w:pPr>
            <w:r w:rsidRPr="000E4C0F">
              <w:rPr>
                <w:bCs/>
                <w:color w:val="000000" w:themeColor="text1"/>
              </w:rPr>
              <w:t xml:space="preserve">Fall Tillage </w:t>
            </w:r>
          </w:p>
        </w:tc>
      </w:tr>
      <w:tr w:rsidR="000E4C0F" w:rsidRPr="000E4C0F" w14:paraId="1D315E3A" w14:textId="77777777" w:rsidTr="0007491F">
        <w:trPr>
          <w:trHeight w:val="340"/>
          <w:jc w:val="center"/>
        </w:trPr>
        <w:tc>
          <w:tcPr>
            <w:tcW w:w="1510" w:type="dxa"/>
            <w:tcBorders>
              <w:top w:val="single" w:sz="4" w:space="0" w:color="auto"/>
            </w:tcBorders>
            <w:shd w:val="clear" w:color="auto" w:fill="auto"/>
            <w:noWrap/>
            <w:vAlign w:val="bottom"/>
            <w:hideMark/>
          </w:tcPr>
          <w:p w14:paraId="01C2C677" w14:textId="77777777" w:rsidR="000E4C0F" w:rsidRPr="000E4C0F" w:rsidRDefault="000E4C0F" w:rsidP="000E4C0F">
            <w:pPr>
              <w:jc w:val="center"/>
              <w:rPr>
                <w:b/>
                <w:color w:val="000000" w:themeColor="text1"/>
              </w:rPr>
            </w:pPr>
            <w:r w:rsidRPr="000E4C0F">
              <w:rPr>
                <w:b/>
                <w:color w:val="000000" w:themeColor="text1"/>
              </w:rPr>
              <w:t>Conventional</w:t>
            </w:r>
          </w:p>
        </w:tc>
        <w:tc>
          <w:tcPr>
            <w:tcW w:w="1815" w:type="dxa"/>
            <w:tcBorders>
              <w:top w:val="single" w:sz="4" w:space="0" w:color="auto"/>
              <w:left w:val="nil"/>
            </w:tcBorders>
            <w:shd w:val="clear" w:color="auto" w:fill="auto"/>
            <w:noWrap/>
            <w:vAlign w:val="bottom"/>
            <w:hideMark/>
          </w:tcPr>
          <w:p w14:paraId="2844773C" w14:textId="77777777" w:rsidR="000E4C0F" w:rsidRPr="000E4C0F" w:rsidRDefault="000E4C0F" w:rsidP="000E4C0F">
            <w:pPr>
              <w:jc w:val="center"/>
              <w:rPr>
                <w:bCs/>
                <w:color w:val="000000" w:themeColor="text1"/>
              </w:rPr>
            </w:pPr>
            <w:r w:rsidRPr="000E4C0F">
              <w:rPr>
                <w:bCs/>
                <w:color w:val="000000" w:themeColor="text1"/>
              </w:rPr>
              <w:t>Y</w:t>
            </w:r>
          </w:p>
        </w:tc>
        <w:tc>
          <w:tcPr>
            <w:tcW w:w="1890" w:type="dxa"/>
            <w:tcBorders>
              <w:top w:val="single" w:sz="4" w:space="0" w:color="auto"/>
            </w:tcBorders>
            <w:shd w:val="clear" w:color="auto" w:fill="auto"/>
            <w:noWrap/>
            <w:vAlign w:val="bottom"/>
            <w:hideMark/>
          </w:tcPr>
          <w:p w14:paraId="659EEE85" w14:textId="77777777" w:rsidR="000E4C0F" w:rsidRPr="000E4C0F" w:rsidRDefault="000E4C0F" w:rsidP="000E4C0F">
            <w:pPr>
              <w:jc w:val="center"/>
              <w:rPr>
                <w:bCs/>
                <w:color w:val="000000" w:themeColor="text1"/>
              </w:rPr>
            </w:pPr>
            <w:r w:rsidRPr="000E4C0F">
              <w:rPr>
                <w:bCs/>
                <w:color w:val="000000" w:themeColor="text1"/>
              </w:rPr>
              <w:t>Y</w:t>
            </w:r>
          </w:p>
        </w:tc>
      </w:tr>
      <w:tr w:rsidR="000E4C0F" w:rsidRPr="000E4C0F" w14:paraId="73723748" w14:textId="77777777" w:rsidTr="0007491F">
        <w:trPr>
          <w:trHeight w:val="320"/>
          <w:jc w:val="center"/>
        </w:trPr>
        <w:tc>
          <w:tcPr>
            <w:tcW w:w="1510" w:type="dxa"/>
            <w:shd w:val="clear" w:color="auto" w:fill="auto"/>
            <w:noWrap/>
            <w:vAlign w:val="bottom"/>
            <w:hideMark/>
          </w:tcPr>
          <w:p w14:paraId="09F89EDB" w14:textId="77777777" w:rsidR="000E4C0F" w:rsidRPr="000E4C0F" w:rsidRDefault="000E4C0F" w:rsidP="000E4C0F">
            <w:pPr>
              <w:jc w:val="center"/>
              <w:rPr>
                <w:b/>
                <w:color w:val="000000" w:themeColor="text1"/>
              </w:rPr>
            </w:pPr>
            <w:r w:rsidRPr="000E4C0F">
              <w:rPr>
                <w:b/>
                <w:color w:val="000000" w:themeColor="text1"/>
              </w:rPr>
              <w:t>Strip</w:t>
            </w:r>
          </w:p>
        </w:tc>
        <w:tc>
          <w:tcPr>
            <w:tcW w:w="1815" w:type="dxa"/>
            <w:tcBorders>
              <w:left w:val="nil"/>
            </w:tcBorders>
            <w:shd w:val="clear" w:color="auto" w:fill="auto"/>
            <w:noWrap/>
            <w:vAlign w:val="bottom"/>
            <w:hideMark/>
          </w:tcPr>
          <w:p w14:paraId="21F2EB7C" w14:textId="77777777" w:rsidR="000E4C0F" w:rsidRPr="000E4C0F" w:rsidRDefault="000E4C0F" w:rsidP="000E4C0F">
            <w:pPr>
              <w:jc w:val="center"/>
              <w:rPr>
                <w:bCs/>
                <w:color w:val="000000" w:themeColor="text1"/>
              </w:rPr>
            </w:pPr>
            <w:r w:rsidRPr="000E4C0F">
              <w:rPr>
                <w:bCs/>
                <w:color w:val="000000" w:themeColor="text1"/>
              </w:rPr>
              <w:t>Y</w:t>
            </w:r>
          </w:p>
        </w:tc>
        <w:tc>
          <w:tcPr>
            <w:tcW w:w="1890" w:type="dxa"/>
            <w:shd w:val="clear" w:color="auto" w:fill="auto"/>
            <w:noWrap/>
            <w:vAlign w:val="bottom"/>
            <w:hideMark/>
          </w:tcPr>
          <w:p w14:paraId="7F40C929" w14:textId="77777777" w:rsidR="000E4C0F" w:rsidRPr="000E4C0F" w:rsidRDefault="000E4C0F" w:rsidP="000E4C0F">
            <w:pPr>
              <w:jc w:val="center"/>
              <w:rPr>
                <w:bCs/>
                <w:color w:val="000000" w:themeColor="text1"/>
              </w:rPr>
            </w:pPr>
            <w:r w:rsidRPr="000E4C0F">
              <w:rPr>
                <w:bCs/>
                <w:color w:val="000000" w:themeColor="text1"/>
              </w:rPr>
              <w:t>N</w:t>
            </w:r>
          </w:p>
        </w:tc>
      </w:tr>
      <w:tr w:rsidR="000E4C0F" w:rsidRPr="000E4C0F" w14:paraId="77426716" w14:textId="77777777" w:rsidTr="0007491F">
        <w:trPr>
          <w:trHeight w:val="320"/>
          <w:jc w:val="center"/>
        </w:trPr>
        <w:tc>
          <w:tcPr>
            <w:tcW w:w="1510" w:type="dxa"/>
            <w:shd w:val="clear" w:color="auto" w:fill="auto"/>
            <w:noWrap/>
            <w:vAlign w:val="bottom"/>
            <w:hideMark/>
          </w:tcPr>
          <w:p w14:paraId="7FBFBC10" w14:textId="77777777" w:rsidR="000E4C0F" w:rsidRPr="000E4C0F" w:rsidRDefault="000E4C0F" w:rsidP="000E4C0F">
            <w:pPr>
              <w:jc w:val="center"/>
              <w:rPr>
                <w:b/>
                <w:color w:val="000000" w:themeColor="text1"/>
              </w:rPr>
            </w:pPr>
            <w:r w:rsidRPr="000E4C0F">
              <w:rPr>
                <w:b/>
                <w:color w:val="000000" w:themeColor="text1"/>
              </w:rPr>
              <w:t>Minimal</w:t>
            </w:r>
          </w:p>
        </w:tc>
        <w:tc>
          <w:tcPr>
            <w:tcW w:w="1815" w:type="dxa"/>
            <w:tcBorders>
              <w:left w:val="nil"/>
            </w:tcBorders>
            <w:shd w:val="clear" w:color="auto" w:fill="auto"/>
            <w:noWrap/>
            <w:vAlign w:val="bottom"/>
            <w:hideMark/>
          </w:tcPr>
          <w:p w14:paraId="799EBC34" w14:textId="77777777" w:rsidR="000E4C0F" w:rsidRPr="000E4C0F" w:rsidRDefault="000E4C0F" w:rsidP="000E4C0F">
            <w:pPr>
              <w:jc w:val="center"/>
              <w:rPr>
                <w:bCs/>
                <w:color w:val="000000" w:themeColor="text1"/>
              </w:rPr>
            </w:pPr>
            <w:r w:rsidRPr="000E4C0F">
              <w:rPr>
                <w:bCs/>
                <w:color w:val="000000" w:themeColor="text1"/>
              </w:rPr>
              <w:t>Y</w:t>
            </w:r>
          </w:p>
        </w:tc>
        <w:tc>
          <w:tcPr>
            <w:tcW w:w="1890" w:type="dxa"/>
            <w:shd w:val="clear" w:color="auto" w:fill="auto"/>
            <w:noWrap/>
            <w:vAlign w:val="bottom"/>
            <w:hideMark/>
          </w:tcPr>
          <w:p w14:paraId="59A7039C" w14:textId="77777777" w:rsidR="000E4C0F" w:rsidRPr="000E4C0F" w:rsidRDefault="000E4C0F" w:rsidP="000E4C0F">
            <w:pPr>
              <w:jc w:val="center"/>
              <w:rPr>
                <w:bCs/>
                <w:color w:val="000000" w:themeColor="text1"/>
              </w:rPr>
            </w:pPr>
            <w:r w:rsidRPr="000E4C0F">
              <w:rPr>
                <w:bCs/>
                <w:color w:val="000000" w:themeColor="text1"/>
              </w:rPr>
              <w:t>N</w:t>
            </w:r>
          </w:p>
        </w:tc>
      </w:tr>
      <w:tr w:rsidR="000E4C0F" w:rsidRPr="000E4C0F" w14:paraId="37A3ADB3" w14:textId="77777777" w:rsidTr="0007491F">
        <w:trPr>
          <w:trHeight w:val="340"/>
          <w:jc w:val="center"/>
        </w:trPr>
        <w:tc>
          <w:tcPr>
            <w:tcW w:w="1510" w:type="dxa"/>
            <w:tcBorders>
              <w:bottom w:val="double" w:sz="4" w:space="0" w:color="auto"/>
            </w:tcBorders>
            <w:shd w:val="clear" w:color="auto" w:fill="auto"/>
            <w:noWrap/>
            <w:vAlign w:val="bottom"/>
            <w:hideMark/>
          </w:tcPr>
          <w:p w14:paraId="4979BB04" w14:textId="77777777" w:rsidR="000E4C0F" w:rsidRPr="000E4C0F" w:rsidRDefault="000E4C0F" w:rsidP="000E4C0F">
            <w:pPr>
              <w:jc w:val="center"/>
              <w:rPr>
                <w:b/>
                <w:color w:val="000000" w:themeColor="text1"/>
              </w:rPr>
            </w:pPr>
            <w:r w:rsidRPr="000E4C0F">
              <w:rPr>
                <w:b/>
                <w:color w:val="000000" w:themeColor="text1"/>
              </w:rPr>
              <w:t>None</w:t>
            </w:r>
          </w:p>
        </w:tc>
        <w:tc>
          <w:tcPr>
            <w:tcW w:w="1815" w:type="dxa"/>
            <w:tcBorders>
              <w:left w:val="nil"/>
              <w:bottom w:val="double" w:sz="4" w:space="0" w:color="auto"/>
            </w:tcBorders>
            <w:shd w:val="clear" w:color="auto" w:fill="auto"/>
            <w:noWrap/>
            <w:vAlign w:val="bottom"/>
            <w:hideMark/>
          </w:tcPr>
          <w:p w14:paraId="5E086463" w14:textId="77777777" w:rsidR="000E4C0F" w:rsidRPr="000E4C0F" w:rsidRDefault="000E4C0F" w:rsidP="000E4C0F">
            <w:pPr>
              <w:jc w:val="center"/>
              <w:rPr>
                <w:bCs/>
                <w:color w:val="000000" w:themeColor="text1"/>
              </w:rPr>
            </w:pPr>
            <w:r w:rsidRPr="000E4C0F">
              <w:rPr>
                <w:bCs/>
                <w:color w:val="000000" w:themeColor="text1"/>
              </w:rPr>
              <w:t>N</w:t>
            </w:r>
          </w:p>
        </w:tc>
        <w:tc>
          <w:tcPr>
            <w:tcW w:w="1890" w:type="dxa"/>
            <w:tcBorders>
              <w:bottom w:val="double" w:sz="4" w:space="0" w:color="auto"/>
            </w:tcBorders>
            <w:shd w:val="clear" w:color="auto" w:fill="auto"/>
            <w:noWrap/>
            <w:vAlign w:val="bottom"/>
            <w:hideMark/>
          </w:tcPr>
          <w:p w14:paraId="0300254D" w14:textId="77777777" w:rsidR="000E4C0F" w:rsidRPr="000E4C0F" w:rsidRDefault="000E4C0F" w:rsidP="000E4C0F">
            <w:pPr>
              <w:jc w:val="center"/>
              <w:rPr>
                <w:bCs/>
                <w:color w:val="000000" w:themeColor="text1"/>
              </w:rPr>
            </w:pPr>
            <w:r w:rsidRPr="000E4C0F">
              <w:rPr>
                <w:bCs/>
                <w:color w:val="000000" w:themeColor="text1"/>
              </w:rPr>
              <w:t>N</w:t>
            </w:r>
          </w:p>
        </w:tc>
      </w:tr>
    </w:tbl>
    <w:p w14:paraId="1D4B84BF" w14:textId="77777777" w:rsidR="000E4C0F" w:rsidRPr="000E4C0F" w:rsidRDefault="000E4C0F" w:rsidP="000E4C0F">
      <w:pPr>
        <w:adjustRightInd w:val="0"/>
        <w:snapToGrid w:val="0"/>
        <w:rPr>
          <w:bCs/>
          <w:color w:val="000000" w:themeColor="text1"/>
        </w:rPr>
      </w:pPr>
      <w:r w:rsidRPr="000E4C0F">
        <w:rPr>
          <w:bCs/>
          <w:color w:val="000000" w:themeColor="text1"/>
        </w:rPr>
        <w:lastRenderedPageBreak/>
        <w:t>Table 2: List of tillage treatments and timing of each tillage implementation each year. “Y” indicates tillage was implemented, and “N” indicates tillage was not implemented. This pattern was repeated each year between 2017 and 2022 except for 2022, where summer tillage was not implemented for the minimal tillage treatment and fall tillage was not implemented for the conventional tillage.</w:t>
      </w:r>
    </w:p>
    <w:p w14:paraId="75306043" w14:textId="77777777" w:rsidR="000E4C0F" w:rsidRPr="000E4C0F" w:rsidRDefault="000E4C0F" w:rsidP="000E4C0F">
      <w:pPr>
        <w:adjustRightInd w:val="0"/>
        <w:snapToGrid w:val="0"/>
        <w:rPr>
          <w:bCs/>
          <w:color w:val="000000" w:themeColor="text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50"/>
      </w:tblGrid>
      <w:tr w:rsidR="000E4C0F" w:rsidRPr="000E4C0F" w14:paraId="1E25B24A" w14:textId="77777777" w:rsidTr="0007491F">
        <w:tc>
          <w:tcPr>
            <w:tcW w:w="9350" w:type="dxa"/>
          </w:tcPr>
          <w:tbl>
            <w:tblPr>
              <w:tblW w:w="0" w:type="auto"/>
              <w:jc w:val="center"/>
              <w:tblLayout w:type="fixed"/>
              <w:tblLook w:val="04A0" w:firstRow="1" w:lastRow="0" w:firstColumn="1" w:lastColumn="0" w:noHBand="0" w:noVBand="1"/>
            </w:tblPr>
            <w:tblGrid>
              <w:gridCol w:w="1369"/>
              <w:gridCol w:w="1856"/>
              <w:gridCol w:w="902"/>
              <w:gridCol w:w="1349"/>
              <w:gridCol w:w="1369"/>
              <w:gridCol w:w="1765"/>
            </w:tblGrid>
            <w:tr w:rsidR="000E4C0F" w:rsidRPr="000E4C0F" w14:paraId="4CB5BA36" w14:textId="77777777" w:rsidTr="00E43346">
              <w:trPr>
                <w:trHeight w:val="500"/>
                <w:jc w:val="center"/>
              </w:trPr>
              <w:tc>
                <w:tcPr>
                  <w:tcW w:w="1369" w:type="dxa"/>
                  <w:tcBorders>
                    <w:top w:val="single" w:sz="8" w:space="0" w:color="auto"/>
                    <w:left w:val="nil"/>
                    <w:bottom w:val="single" w:sz="4" w:space="0" w:color="auto"/>
                  </w:tcBorders>
                  <w:shd w:val="clear" w:color="auto" w:fill="auto"/>
                  <w:vAlign w:val="center"/>
                  <w:hideMark/>
                </w:tcPr>
                <w:p w14:paraId="5BE9D21D" w14:textId="77777777" w:rsidR="000E4C0F" w:rsidRPr="000E4C0F" w:rsidRDefault="000E4C0F" w:rsidP="000E4C0F">
                  <w:pPr>
                    <w:jc w:val="center"/>
                    <w:rPr>
                      <w:b/>
                      <w:color w:val="000000" w:themeColor="text1"/>
                    </w:rPr>
                  </w:pPr>
                  <w:r w:rsidRPr="000E4C0F">
                    <w:rPr>
                      <w:b/>
                      <w:color w:val="000000" w:themeColor="text1"/>
                    </w:rPr>
                    <w:t>Winter Cover Strategy</w:t>
                  </w:r>
                </w:p>
              </w:tc>
              <w:tc>
                <w:tcPr>
                  <w:tcW w:w="1856" w:type="dxa"/>
                  <w:tcBorders>
                    <w:top w:val="single" w:sz="8" w:space="0" w:color="auto"/>
                    <w:left w:val="nil"/>
                    <w:bottom w:val="single" w:sz="4" w:space="0" w:color="auto"/>
                    <w:right w:val="nil"/>
                  </w:tcBorders>
                  <w:shd w:val="clear" w:color="auto" w:fill="auto"/>
                  <w:vAlign w:val="center"/>
                  <w:hideMark/>
                </w:tcPr>
                <w:p w14:paraId="342E9267" w14:textId="77777777" w:rsidR="000E4C0F" w:rsidRPr="000E4C0F" w:rsidRDefault="000E4C0F" w:rsidP="000E4C0F">
                  <w:pPr>
                    <w:jc w:val="center"/>
                    <w:rPr>
                      <w:bCs/>
                      <w:color w:val="000000" w:themeColor="text1"/>
                    </w:rPr>
                  </w:pPr>
                  <w:r w:rsidRPr="000E4C0F">
                    <w:rPr>
                      <w:bCs/>
                      <w:color w:val="000000" w:themeColor="text1"/>
                    </w:rPr>
                    <w:t>2018</w:t>
                  </w:r>
                </w:p>
              </w:tc>
              <w:tc>
                <w:tcPr>
                  <w:tcW w:w="902" w:type="dxa"/>
                  <w:tcBorders>
                    <w:top w:val="single" w:sz="8" w:space="0" w:color="auto"/>
                    <w:left w:val="nil"/>
                    <w:bottom w:val="single" w:sz="4" w:space="0" w:color="auto"/>
                    <w:right w:val="nil"/>
                  </w:tcBorders>
                  <w:shd w:val="clear" w:color="auto" w:fill="auto"/>
                  <w:vAlign w:val="center"/>
                  <w:hideMark/>
                </w:tcPr>
                <w:p w14:paraId="79B35A86" w14:textId="77777777" w:rsidR="000E4C0F" w:rsidRPr="000E4C0F" w:rsidRDefault="000E4C0F" w:rsidP="000E4C0F">
                  <w:pPr>
                    <w:jc w:val="center"/>
                    <w:rPr>
                      <w:bCs/>
                      <w:color w:val="000000" w:themeColor="text1"/>
                    </w:rPr>
                  </w:pPr>
                  <w:r w:rsidRPr="000E4C0F">
                    <w:rPr>
                      <w:bCs/>
                      <w:color w:val="000000" w:themeColor="text1"/>
                    </w:rPr>
                    <w:t>2019</w:t>
                  </w:r>
                </w:p>
              </w:tc>
              <w:tc>
                <w:tcPr>
                  <w:tcW w:w="1349" w:type="dxa"/>
                  <w:tcBorders>
                    <w:top w:val="single" w:sz="8" w:space="0" w:color="auto"/>
                    <w:left w:val="nil"/>
                    <w:bottom w:val="single" w:sz="4" w:space="0" w:color="auto"/>
                    <w:right w:val="nil"/>
                  </w:tcBorders>
                  <w:shd w:val="clear" w:color="auto" w:fill="auto"/>
                  <w:vAlign w:val="center"/>
                  <w:hideMark/>
                </w:tcPr>
                <w:p w14:paraId="70A4B01A" w14:textId="77777777" w:rsidR="000E4C0F" w:rsidRPr="000E4C0F" w:rsidRDefault="000E4C0F" w:rsidP="000E4C0F">
                  <w:pPr>
                    <w:jc w:val="center"/>
                    <w:rPr>
                      <w:bCs/>
                      <w:color w:val="000000" w:themeColor="text1"/>
                    </w:rPr>
                  </w:pPr>
                  <w:r w:rsidRPr="000E4C0F">
                    <w:rPr>
                      <w:bCs/>
                      <w:color w:val="000000" w:themeColor="text1"/>
                    </w:rPr>
                    <w:t>2020</w:t>
                  </w:r>
                </w:p>
              </w:tc>
              <w:tc>
                <w:tcPr>
                  <w:tcW w:w="1369" w:type="dxa"/>
                  <w:tcBorders>
                    <w:top w:val="single" w:sz="8" w:space="0" w:color="auto"/>
                    <w:left w:val="nil"/>
                    <w:bottom w:val="single" w:sz="4" w:space="0" w:color="auto"/>
                    <w:right w:val="nil"/>
                  </w:tcBorders>
                  <w:shd w:val="clear" w:color="auto" w:fill="auto"/>
                  <w:vAlign w:val="center"/>
                  <w:hideMark/>
                </w:tcPr>
                <w:p w14:paraId="7904C529" w14:textId="77777777" w:rsidR="000E4C0F" w:rsidRPr="000E4C0F" w:rsidRDefault="000E4C0F" w:rsidP="000E4C0F">
                  <w:pPr>
                    <w:jc w:val="center"/>
                    <w:rPr>
                      <w:bCs/>
                      <w:color w:val="000000" w:themeColor="text1"/>
                    </w:rPr>
                  </w:pPr>
                  <w:r w:rsidRPr="000E4C0F">
                    <w:rPr>
                      <w:bCs/>
                      <w:color w:val="000000" w:themeColor="text1"/>
                    </w:rPr>
                    <w:t>2021</w:t>
                  </w:r>
                </w:p>
              </w:tc>
              <w:tc>
                <w:tcPr>
                  <w:tcW w:w="1765" w:type="dxa"/>
                  <w:tcBorders>
                    <w:top w:val="single" w:sz="8" w:space="0" w:color="auto"/>
                    <w:left w:val="nil"/>
                    <w:bottom w:val="single" w:sz="4" w:space="0" w:color="auto"/>
                    <w:right w:val="nil"/>
                  </w:tcBorders>
                  <w:shd w:val="clear" w:color="auto" w:fill="auto"/>
                  <w:vAlign w:val="center"/>
                  <w:hideMark/>
                </w:tcPr>
                <w:p w14:paraId="470CAF81" w14:textId="77777777" w:rsidR="000E4C0F" w:rsidRPr="000E4C0F" w:rsidRDefault="000E4C0F" w:rsidP="000E4C0F">
                  <w:pPr>
                    <w:jc w:val="center"/>
                    <w:rPr>
                      <w:bCs/>
                      <w:color w:val="000000" w:themeColor="text1"/>
                    </w:rPr>
                  </w:pPr>
                  <w:r w:rsidRPr="000E4C0F">
                    <w:rPr>
                      <w:bCs/>
                      <w:color w:val="000000" w:themeColor="text1"/>
                    </w:rPr>
                    <w:t>2022</w:t>
                  </w:r>
                </w:p>
              </w:tc>
            </w:tr>
            <w:tr w:rsidR="000E4C0F" w:rsidRPr="000E4C0F" w14:paraId="1E20E83C" w14:textId="77777777" w:rsidTr="00E43346">
              <w:trPr>
                <w:trHeight w:val="522"/>
                <w:jc w:val="center"/>
              </w:trPr>
              <w:tc>
                <w:tcPr>
                  <w:tcW w:w="1369" w:type="dxa"/>
                  <w:tcBorders>
                    <w:top w:val="single" w:sz="4" w:space="0" w:color="auto"/>
                    <w:left w:val="nil"/>
                    <w:bottom w:val="nil"/>
                  </w:tcBorders>
                  <w:shd w:val="clear" w:color="auto" w:fill="auto"/>
                  <w:vAlign w:val="center"/>
                  <w:hideMark/>
                </w:tcPr>
                <w:p w14:paraId="72B574FE" w14:textId="77777777" w:rsidR="000E4C0F" w:rsidRPr="000E4C0F" w:rsidRDefault="000E4C0F" w:rsidP="000E4C0F">
                  <w:pPr>
                    <w:jc w:val="center"/>
                    <w:rPr>
                      <w:b/>
                      <w:color w:val="000000" w:themeColor="text1"/>
                    </w:rPr>
                  </w:pPr>
                  <w:r w:rsidRPr="000E4C0F">
                    <w:rPr>
                      <w:b/>
                      <w:color w:val="000000" w:themeColor="text1"/>
                    </w:rPr>
                    <w:t>Fallow</w:t>
                  </w:r>
                </w:p>
              </w:tc>
              <w:tc>
                <w:tcPr>
                  <w:tcW w:w="1856" w:type="dxa"/>
                  <w:tcBorders>
                    <w:top w:val="single" w:sz="4" w:space="0" w:color="auto"/>
                    <w:left w:val="nil"/>
                    <w:bottom w:val="nil"/>
                  </w:tcBorders>
                  <w:shd w:val="clear" w:color="auto" w:fill="auto"/>
                  <w:vAlign w:val="center"/>
                  <w:hideMark/>
                </w:tcPr>
                <w:p w14:paraId="36562A23" w14:textId="77777777" w:rsidR="000E4C0F" w:rsidRPr="000E4C0F" w:rsidRDefault="000E4C0F" w:rsidP="000E4C0F">
                  <w:pPr>
                    <w:jc w:val="center"/>
                    <w:rPr>
                      <w:bCs/>
                      <w:color w:val="000000" w:themeColor="text1"/>
                    </w:rPr>
                  </w:pPr>
                  <w:r w:rsidRPr="000E4C0F">
                    <w:rPr>
                      <w:bCs/>
                      <w:color w:val="000000" w:themeColor="text1"/>
                    </w:rPr>
                    <w:t>Fallow</w:t>
                  </w:r>
                </w:p>
              </w:tc>
              <w:tc>
                <w:tcPr>
                  <w:tcW w:w="902" w:type="dxa"/>
                  <w:tcBorders>
                    <w:top w:val="single" w:sz="4" w:space="0" w:color="auto"/>
                  </w:tcBorders>
                  <w:shd w:val="clear" w:color="auto" w:fill="auto"/>
                  <w:vAlign w:val="center"/>
                  <w:hideMark/>
                </w:tcPr>
                <w:p w14:paraId="229B4FEB" w14:textId="77777777" w:rsidR="000E4C0F" w:rsidRPr="000E4C0F" w:rsidRDefault="000E4C0F" w:rsidP="000E4C0F">
                  <w:pPr>
                    <w:jc w:val="center"/>
                    <w:rPr>
                      <w:bCs/>
                      <w:color w:val="000000" w:themeColor="text1"/>
                    </w:rPr>
                  </w:pPr>
                  <w:r w:rsidRPr="000E4C0F">
                    <w:rPr>
                      <w:bCs/>
                      <w:color w:val="000000" w:themeColor="text1"/>
                    </w:rPr>
                    <w:t>Fallow</w:t>
                  </w:r>
                </w:p>
              </w:tc>
              <w:tc>
                <w:tcPr>
                  <w:tcW w:w="1349" w:type="dxa"/>
                  <w:tcBorders>
                    <w:top w:val="single" w:sz="4" w:space="0" w:color="auto"/>
                    <w:left w:val="nil"/>
                    <w:bottom w:val="nil"/>
                    <w:right w:val="nil"/>
                  </w:tcBorders>
                  <w:shd w:val="clear" w:color="auto" w:fill="auto"/>
                  <w:vAlign w:val="center"/>
                  <w:hideMark/>
                </w:tcPr>
                <w:p w14:paraId="3B559D9F" w14:textId="77777777" w:rsidR="000E4C0F" w:rsidRPr="000E4C0F" w:rsidRDefault="000E4C0F" w:rsidP="000E4C0F">
                  <w:pPr>
                    <w:jc w:val="center"/>
                    <w:rPr>
                      <w:bCs/>
                      <w:color w:val="000000" w:themeColor="text1"/>
                    </w:rPr>
                  </w:pPr>
                  <w:r w:rsidRPr="000E4C0F">
                    <w:rPr>
                      <w:bCs/>
                      <w:color w:val="000000" w:themeColor="text1"/>
                    </w:rPr>
                    <w:t>Fallow</w:t>
                  </w:r>
                </w:p>
              </w:tc>
              <w:tc>
                <w:tcPr>
                  <w:tcW w:w="1369" w:type="dxa"/>
                  <w:tcBorders>
                    <w:top w:val="single" w:sz="4" w:space="0" w:color="auto"/>
                    <w:left w:val="nil"/>
                    <w:bottom w:val="nil"/>
                    <w:right w:val="nil"/>
                  </w:tcBorders>
                  <w:shd w:val="clear" w:color="auto" w:fill="auto"/>
                  <w:vAlign w:val="center"/>
                  <w:hideMark/>
                </w:tcPr>
                <w:p w14:paraId="5E8CBFE4" w14:textId="77777777" w:rsidR="000E4C0F" w:rsidRPr="000E4C0F" w:rsidRDefault="000E4C0F" w:rsidP="000E4C0F">
                  <w:pPr>
                    <w:jc w:val="center"/>
                    <w:rPr>
                      <w:bCs/>
                      <w:color w:val="000000" w:themeColor="text1"/>
                    </w:rPr>
                  </w:pPr>
                  <w:r w:rsidRPr="000E4C0F">
                    <w:rPr>
                      <w:bCs/>
                      <w:color w:val="000000" w:themeColor="text1"/>
                    </w:rPr>
                    <w:t>Fallow</w:t>
                  </w:r>
                </w:p>
              </w:tc>
              <w:tc>
                <w:tcPr>
                  <w:tcW w:w="1765" w:type="dxa"/>
                  <w:tcBorders>
                    <w:top w:val="single" w:sz="4" w:space="0" w:color="auto"/>
                    <w:left w:val="nil"/>
                    <w:bottom w:val="nil"/>
                    <w:right w:val="nil"/>
                  </w:tcBorders>
                  <w:shd w:val="clear" w:color="auto" w:fill="auto"/>
                  <w:vAlign w:val="center"/>
                  <w:hideMark/>
                </w:tcPr>
                <w:p w14:paraId="58AA7394" w14:textId="77777777" w:rsidR="000E4C0F" w:rsidRPr="000E4C0F" w:rsidRDefault="000E4C0F" w:rsidP="000E4C0F">
                  <w:pPr>
                    <w:jc w:val="center"/>
                    <w:rPr>
                      <w:bCs/>
                      <w:color w:val="000000" w:themeColor="text1"/>
                    </w:rPr>
                  </w:pPr>
                  <w:r w:rsidRPr="000E4C0F">
                    <w:rPr>
                      <w:bCs/>
                      <w:color w:val="000000" w:themeColor="text1"/>
                    </w:rPr>
                    <w:t>Fallow</w:t>
                  </w:r>
                </w:p>
              </w:tc>
            </w:tr>
            <w:tr w:rsidR="000E4C0F" w:rsidRPr="000E4C0F" w14:paraId="6077B00F" w14:textId="77777777" w:rsidTr="00E43346">
              <w:trPr>
                <w:trHeight w:val="738"/>
                <w:jc w:val="center"/>
              </w:trPr>
              <w:tc>
                <w:tcPr>
                  <w:tcW w:w="1369" w:type="dxa"/>
                  <w:tcBorders>
                    <w:top w:val="nil"/>
                    <w:left w:val="nil"/>
                  </w:tcBorders>
                  <w:shd w:val="clear" w:color="auto" w:fill="auto"/>
                  <w:vAlign w:val="center"/>
                  <w:hideMark/>
                </w:tcPr>
                <w:p w14:paraId="6F79F5C0" w14:textId="77777777" w:rsidR="000E4C0F" w:rsidRPr="000E4C0F" w:rsidRDefault="000E4C0F" w:rsidP="000E4C0F">
                  <w:pPr>
                    <w:jc w:val="center"/>
                    <w:rPr>
                      <w:b/>
                      <w:color w:val="000000" w:themeColor="text1"/>
                    </w:rPr>
                  </w:pPr>
                  <w:r w:rsidRPr="000E4C0F">
                    <w:rPr>
                      <w:b/>
                      <w:color w:val="000000" w:themeColor="text1"/>
                    </w:rPr>
                    <w:t>High Biomass</w:t>
                  </w:r>
                </w:p>
              </w:tc>
              <w:tc>
                <w:tcPr>
                  <w:tcW w:w="1856" w:type="dxa"/>
                  <w:tcBorders>
                    <w:top w:val="nil"/>
                    <w:left w:val="nil"/>
                    <w:right w:val="nil"/>
                  </w:tcBorders>
                  <w:shd w:val="clear" w:color="auto" w:fill="auto"/>
                  <w:vAlign w:val="center"/>
                  <w:hideMark/>
                </w:tcPr>
                <w:p w14:paraId="34D5AA2E" w14:textId="77777777" w:rsidR="000E4C0F" w:rsidRPr="000E4C0F" w:rsidRDefault="000E4C0F" w:rsidP="000E4C0F">
                  <w:pPr>
                    <w:jc w:val="center"/>
                    <w:rPr>
                      <w:bCs/>
                      <w:color w:val="000000" w:themeColor="text1"/>
                    </w:rPr>
                  </w:pPr>
                  <w:r w:rsidRPr="000E4C0F">
                    <w:rPr>
                      <w:bCs/>
                      <w:color w:val="000000" w:themeColor="text1"/>
                    </w:rPr>
                    <w:t>Rye, HV, Clover, Rapeseed</w:t>
                  </w:r>
                </w:p>
              </w:tc>
              <w:tc>
                <w:tcPr>
                  <w:tcW w:w="902" w:type="dxa"/>
                  <w:tcBorders>
                    <w:left w:val="nil"/>
                    <w:right w:val="nil"/>
                  </w:tcBorders>
                  <w:shd w:val="clear" w:color="auto" w:fill="auto"/>
                  <w:vAlign w:val="center"/>
                  <w:hideMark/>
                </w:tcPr>
                <w:p w14:paraId="03EE820D" w14:textId="77777777" w:rsidR="000E4C0F" w:rsidRPr="000E4C0F" w:rsidRDefault="000E4C0F" w:rsidP="000E4C0F">
                  <w:pPr>
                    <w:jc w:val="center"/>
                    <w:rPr>
                      <w:bCs/>
                      <w:color w:val="000000" w:themeColor="text1"/>
                    </w:rPr>
                  </w:pPr>
                  <w:r w:rsidRPr="000E4C0F">
                    <w:rPr>
                      <w:bCs/>
                      <w:color w:val="000000" w:themeColor="text1"/>
                    </w:rPr>
                    <w:t>Rye</w:t>
                  </w:r>
                </w:p>
              </w:tc>
              <w:tc>
                <w:tcPr>
                  <w:tcW w:w="1349" w:type="dxa"/>
                  <w:tcBorders>
                    <w:top w:val="nil"/>
                    <w:left w:val="nil"/>
                    <w:right w:val="nil"/>
                  </w:tcBorders>
                  <w:shd w:val="clear" w:color="auto" w:fill="auto"/>
                  <w:vAlign w:val="center"/>
                  <w:hideMark/>
                </w:tcPr>
                <w:p w14:paraId="6FFFF04E" w14:textId="77777777" w:rsidR="000E4C0F" w:rsidRPr="000E4C0F" w:rsidRDefault="000E4C0F" w:rsidP="000E4C0F">
                  <w:pPr>
                    <w:jc w:val="center"/>
                    <w:rPr>
                      <w:bCs/>
                      <w:color w:val="000000" w:themeColor="text1"/>
                    </w:rPr>
                  </w:pPr>
                  <w:r w:rsidRPr="000E4C0F">
                    <w:rPr>
                      <w:bCs/>
                      <w:color w:val="000000" w:themeColor="text1"/>
                    </w:rPr>
                    <w:t>Rye</w:t>
                  </w:r>
                </w:p>
              </w:tc>
              <w:tc>
                <w:tcPr>
                  <w:tcW w:w="1369" w:type="dxa"/>
                  <w:tcBorders>
                    <w:top w:val="nil"/>
                    <w:left w:val="nil"/>
                    <w:right w:val="nil"/>
                  </w:tcBorders>
                  <w:shd w:val="clear" w:color="auto" w:fill="auto"/>
                  <w:vAlign w:val="center"/>
                  <w:hideMark/>
                </w:tcPr>
                <w:p w14:paraId="48B2DA65" w14:textId="77777777" w:rsidR="000E4C0F" w:rsidRPr="000E4C0F" w:rsidRDefault="000E4C0F" w:rsidP="000E4C0F">
                  <w:pPr>
                    <w:jc w:val="center"/>
                    <w:rPr>
                      <w:bCs/>
                      <w:color w:val="000000" w:themeColor="text1"/>
                    </w:rPr>
                  </w:pPr>
                  <w:r w:rsidRPr="000E4C0F">
                    <w:rPr>
                      <w:bCs/>
                      <w:color w:val="000000" w:themeColor="text1"/>
                    </w:rPr>
                    <w:t>Fallow</w:t>
                  </w:r>
                </w:p>
              </w:tc>
              <w:tc>
                <w:tcPr>
                  <w:tcW w:w="1765" w:type="dxa"/>
                  <w:tcBorders>
                    <w:top w:val="nil"/>
                    <w:left w:val="nil"/>
                    <w:right w:val="nil"/>
                  </w:tcBorders>
                  <w:shd w:val="clear" w:color="auto" w:fill="auto"/>
                  <w:vAlign w:val="center"/>
                  <w:hideMark/>
                </w:tcPr>
                <w:p w14:paraId="10712A7D" w14:textId="77777777" w:rsidR="000E4C0F" w:rsidRPr="000E4C0F" w:rsidRDefault="000E4C0F" w:rsidP="000E4C0F">
                  <w:pPr>
                    <w:jc w:val="center"/>
                    <w:rPr>
                      <w:bCs/>
                      <w:color w:val="000000" w:themeColor="text1"/>
                    </w:rPr>
                  </w:pPr>
                  <w:r w:rsidRPr="000E4C0F">
                    <w:rPr>
                      <w:bCs/>
                      <w:color w:val="000000" w:themeColor="text1"/>
                    </w:rPr>
                    <w:t>Rye, HV, Clover, WO, Tr, DR</w:t>
                  </w:r>
                </w:p>
              </w:tc>
            </w:tr>
            <w:tr w:rsidR="000E4C0F" w:rsidRPr="000E4C0F" w14:paraId="462B4EDF" w14:textId="77777777" w:rsidTr="00E43346">
              <w:trPr>
                <w:trHeight w:val="450"/>
                <w:jc w:val="center"/>
              </w:trPr>
              <w:tc>
                <w:tcPr>
                  <w:tcW w:w="1369" w:type="dxa"/>
                  <w:tcBorders>
                    <w:top w:val="nil"/>
                    <w:left w:val="nil"/>
                    <w:bottom w:val="single" w:sz="4" w:space="0" w:color="auto"/>
                  </w:tcBorders>
                  <w:shd w:val="clear" w:color="auto" w:fill="auto"/>
                  <w:vAlign w:val="center"/>
                  <w:hideMark/>
                </w:tcPr>
                <w:p w14:paraId="6AAA278F" w14:textId="77777777" w:rsidR="000E4C0F" w:rsidRPr="000E4C0F" w:rsidRDefault="000E4C0F" w:rsidP="000E4C0F">
                  <w:pPr>
                    <w:jc w:val="center"/>
                    <w:rPr>
                      <w:b/>
                      <w:color w:val="000000" w:themeColor="text1"/>
                    </w:rPr>
                  </w:pPr>
                  <w:r w:rsidRPr="000E4C0F">
                    <w:rPr>
                      <w:b/>
                      <w:color w:val="000000" w:themeColor="text1"/>
                    </w:rPr>
                    <w:t>Cash Crop</w:t>
                  </w:r>
                </w:p>
              </w:tc>
              <w:tc>
                <w:tcPr>
                  <w:tcW w:w="1856" w:type="dxa"/>
                  <w:tcBorders>
                    <w:top w:val="nil"/>
                    <w:left w:val="nil"/>
                    <w:bottom w:val="single" w:sz="4" w:space="0" w:color="auto"/>
                    <w:right w:val="nil"/>
                  </w:tcBorders>
                  <w:shd w:val="clear" w:color="auto" w:fill="auto"/>
                  <w:vAlign w:val="center"/>
                  <w:hideMark/>
                </w:tcPr>
                <w:p w14:paraId="1CBC794F" w14:textId="77777777" w:rsidR="000E4C0F" w:rsidRPr="000E4C0F" w:rsidRDefault="000E4C0F" w:rsidP="000E4C0F">
                  <w:pPr>
                    <w:jc w:val="center"/>
                    <w:rPr>
                      <w:bCs/>
                      <w:color w:val="000000" w:themeColor="text1"/>
                    </w:rPr>
                  </w:pPr>
                  <w:r w:rsidRPr="000E4C0F">
                    <w:rPr>
                      <w:bCs/>
                      <w:color w:val="000000" w:themeColor="text1"/>
                    </w:rPr>
                    <w:t>Rapeseed</w:t>
                  </w:r>
                </w:p>
              </w:tc>
              <w:tc>
                <w:tcPr>
                  <w:tcW w:w="902" w:type="dxa"/>
                  <w:tcBorders>
                    <w:top w:val="nil"/>
                    <w:left w:val="nil"/>
                    <w:bottom w:val="single" w:sz="4" w:space="0" w:color="auto"/>
                    <w:right w:val="nil"/>
                  </w:tcBorders>
                  <w:shd w:val="clear" w:color="auto" w:fill="auto"/>
                  <w:vAlign w:val="center"/>
                  <w:hideMark/>
                </w:tcPr>
                <w:p w14:paraId="058695CF" w14:textId="77777777" w:rsidR="000E4C0F" w:rsidRPr="000E4C0F" w:rsidRDefault="000E4C0F" w:rsidP="000E4C0F">
                  <w:pPr>
                    <w:jc w:val="center"/>
                    <w:rPr>
                      <w:bCs/>
                      <w:color w:val="000000" w:themeColor="text1"/>
                    </w:rPr>
                  </w:pPr>
                  <w:r w:rsidRPr="000E4C0F">
                    <w:rPr>
                      <w:bCs/>
                      <w:color w:val="000000" w:themeColor="text1"/>
                    </w:rPr>
                    <w:t>Rye</w:t>
                  </w:r>
                </w:p>
              </w:tc>
              <w:tc>
                <w:tcPr>
                  <w:tcW w:w="1349" w:type="dxa"/>
                  <w:tcBorders>
                    <w:top w:val="nil"/>
                    <w:left w:val="nil"/>
                    <w:bottom w:val="single" w:sz="4" w:space="0" w:color="auto"/>
                    <w:right w:val="nil"/>
                  </w:tcBorders>
                  <w:shd w:val="clear" w:color="auto" w:fill="auto"/>
                  <w:vAlign w:val="center"/>
                  <w:hideMark/>
                </w:tcPr>
                <w:p w14:paraId="172DCBF7" w14:textId="77777777" w:rsidR="000E4C0F" w:rsidRPr="000E4C0F" w:rsidRDefault="000E4C0F" w:rsidP="000E4C0F">
                  <w:pPr>
                    <w:jc w:val="center"/>
                    <w:rPr>
                      <w:bCs/>
                      <w:color w:val="000000" w:themeColor="text1"/>
                    </w:rPr>
                  </w:pPr>
                  <w:r w:rsidRPr="000E4C0F">
                    <w:rPr>
                      <w:bCs/>
                      <w:color w:val="000000" w:themeColor="text1"/>
                    </w:rPr>
                    <w:t>Rye</w:t>
                  </w:r>
                </w:p>
              </w:tc>
              <w:tc>
                <w:tcPr>
                  <w:tcW w:w="1369" w:type="dxa"/>
                  <w:tcBorders>
                    <w:top w:val="nil"/>
                    <w:left w:val="nil"/>
                    <w:bottom w:val="single" w:sz="4" w:space="0" w:color="auto"/>
                    <w:right w:val="nil"/>
                  </w:tcBorders>
                  <w:shd w:val="clear" w:color="auto" w:fill="auto"/>
                  <w:vAlign w:val="center"/>
                  <w:hideMark/>
                </w:tcPr>
                <w:p w14:paraId="52F68B2F" w14:textId="77777777" w:rsidR="000E4C0F" w:rsidRPr="000E4C0F" w:rsidRDefault="000E4C0F" w:rsidP="000E4C0F">
                  <w:pPr>
                    <w:jc w:val="center"/>
                    <w:rPr>
                      <w:bCs/>
                      <w:color w:val="000000" w:themeColor="text1"/>
                    </w:rPr>
                  </w:pPr>
                  <w:r w:rsidRPr="000E4C0F">
                    <w:rPr>
                      <w:bCs/>
                      <w:color w:val="000000" w:themeColor="text1"/>
                    </w:rPr>
                    <w:t>Fallow</w:t>
                  </w:r>
                </w:p>
              </w:tc>
              <w:tc>
                <w:tcPr>
                  <w:tcW w:w="1765" w:type="dxa"/>
                  <w:tcBorders>
                    <w:top w:val="nil"/>
                    <w:left w:val="nil"/>
                    <w:bottom w:val="single" w:sz="4" w:space="0" w:color="auto"/>
                    <w:right w:val="nil"/>
                  </w:tcBorders>
                  <w:shd w:val="clear" w:color="auto" w:fill="auto"/>
                  <w:vAlign w:val="center"/>
                  <w:hideMark/>
                </w:tcPr>
                <w:p w14:paraId="57467CB7" w14:textId="77777777" w:rsidR="000E4C0F" w:rsidRPr="000E4C0F" w:rsidRDefault="000E4C0F" w:rsidP="000E4C0F">
                  <w:pPr>
                    <w:jc w:val="center"/>
                    <w:rPr>
                      <w:bCs/>
                      <w:color w:val="000000" w:themeColor="text1"/>
                    </w:rPr>
                  </w:pPr>
                  <w:r w:rsidRPr="000E4C0F">
                    <w:rPr>
                      <w:bCs/>
                      <w:color w:val="000000" w:themeColor="text1"/>
                    </w:rPr>
                    <w:t>Winter Wheat</w:t>
                  </w:r>
                </w:p>
              </w:tc>
            </w:tr>
          </w:tbl>
          <w:p w14:paraId="067DAB6A" w14:textId="77777777" w:rsidR="000E4C0F" w:rsidRPr="000E4C0F" w:rsidRDefault="000E4C0F" w:rsidP="000E4C0F">
            <w:pPr>
              <w:adjustRightInd w:val="0"/>
              <w:snapToGrid w:val="0"/>
              <w:rPr>
                <w:bCs/>
                <w:i/>
                <w:iCs/>
                <w:color w:val="000000" w:themeColor="text1"/>
              </w:rPr>
            </w:pPr>
          </w:p>
        </w:tc>
      </w:tr>
    </w:tbl>
    <w:p w14:paraId="27357DE0" w14:textId="42E7C107" w:rsidR="000E4C0F" w:rsidRDefault="000E4C0F" w:rsidP="000E4C0F">
      <w:pPr>
        <w:adjustRightInd w:val="0"/>
        <w:snapToGrid w:val="0"/>
        <w:rPr>
          <w:bCs/>
          <w:i/>
          <w:iCs/>
          <w:color w:val="000000" w:themeColor="text1"/>
        </w:rPr>
      </w:pPr>
      <w:r w:rsidRPr="000E4C0F">
        <w:rPr>
          <w:bCs/>
          <w:i/>
          <w:iCs/>
          <w:color w:val="000000" w:themeColor="text1"/>
        </w:rPr>
        <w:t>HV = hairy vetch, Clover = crimson clover, WO = winter oats, Rye = cereal rye, Tr = triticale, DR = daikon radish.</w:t>
      </w:r>
    </w:p>
    <w:p w14:paraId="73922152" w14:textId="77777777" w:rsidR="007C115D" w:rsidRPr="000E4C0F" w:rsidRDefault="007C115D" w:rsidP="000E4C0F">
      <w:pPr>
        <w:adjustRightInd w:val="0"/>
        <w:snapToGrid w:val="0"/>
        <w:rPr>
          <w:bCs/>
          <w:i/>
          <w:iCs/>
          <w:color w:val="000000" w:themeColor="text1"/>
        </w:rPr>
      </w:pPr>
    </w:p>
    <w:p w14:paraId="4A2ACEAB" w14:textId="77777777" w:rsidR="000E4C0F" w:rsidRPr="000E4C0F" w:rsidRDefault="000E4C0F" w:rsidP="000E4C0F">
      <w:pPr>
        <w:adjustRightInd w:val="0"/>
        <w:snapToGrid w:val="0"/>
        <w:rPr>
          <w:bCs/>
          <w:i/>
          <w:iCs/>
          <w:color w:val="000000" w:themeColor="text1"/>
        </w:rPr>
      </w:pPr>
      <w:r w:rsidRPr="000E4C0F">
        <w:rPr>
          <w:bCs/>
          <w:color w:val="000000" w:themeColor="text1"/>
        </w:rPr>
        <w:t>Table 3: List of winter cover rotation planted through the study period. Each winter cover strategy was repeated for each tillage treatment (</w:t>
      </w:r>
      <w:r w:rsidRPr="000E4C0F">
        <w:rPr>
          <w:bCs/>
          <w:i/>
          <w:color w:val="000000" w:themeColor="text1"/>
        </w:rPr>
        <w:t>n</w:t>
      </w:r>
      <w:r w:rsidRPr="000E4C0F">
        <w:rPr>
          <w:bCs/>
          <w:color w:val="000000" w:themeColor="text1"/>
        </w:rPr>
        <w:t xml:space="preserve"> = 4 replicates).</w:t>
      </w:r>
    </w:p>
    <w:p w14:paraId="67475D38" w14:textId="77777777" w:rsidR="000E4C0F" w:rsidRPr="000E4C0F" w:rsidRDefault="000E4C0F" w:rsidP="000E4C0F">
      <w:pPr>
        <w:adjustRightInd w:val="0"/>
        <w:snapToGrid w:val="0"/>
        <w:rPr>
          <w:bCs/>
          <w:i/>
          <w:iCs/>
          <w:color w:val="000000" w:themeColor="text1"/>
        </w:rPr>
      </w:pPr>
    </w:p>
    <w:tbl>
      <w:tblPr>
        <w:tblW w:w="5928" w:type="dxa"/>
        <w:jc w:val="center"/>
        <w:tblLook w:val="04A0" w:firstRow="1" w:lastRow="0" w:firstColumn="1" w:lastColumn="0" w:noHBand="0" w:noVBand="1"/>
      </w:tblPr>
      <w:tblGrid>
        <w:gridCol w:w="925"/>
        <w:gridCol w:w="962"/>
        <w:gridCol w:w="1110"/>
        <w:gridCol w:w="962"/>
        <w:gridCol w:w="926"/>
        <w:gridCol w:w="1043"/>
      </w:tblGrid>
      <w:tr w:rsidR="000E4C0F" w:rsidRPr="000E4C0F" w14:paraId="1B4D35FA" w14:textId="77777777" w:rsidTr="0007491F">
        <w:trPr>
          <w:trHeight w:val="500"/>
          <w:jc w:val="center"/>
        </w:trPr>
        <w:tc>
          <w:tcPr>
            <w:tcW w:w="925" w:type="dxa"/>
            <w:tcBorders>
              <w:top w:val="single" w:sz="8" w:space="0" w:color="auto"/>
              <w:bottom w:val="single" w:sz="4" w:space="0" w:color="auto"/>
              <w:right w:val="nil"/>
            </w:tcBorders>
            <w:shd w:val="clear" w:color="auto" w:fill="auto"/>
            <w:vAlign w:val="center"/>
            <w:hideMark/>
          </w:tcPr>
          <w:p w14:paraId="37D02B26" w14:textId="77777777" w:rsidR="000E4C0F" w:rsidRPr="000E4C0F" w:rsidRDefault="000E4C0F" w:rsidP="000E4C0F">
            <w:pPr>
              <w:jc w:val="center"/>
              <w:rPr>
                <w:bCs/>
                <w:color w:val="000000" w:themeColor="text1"/>
              </w:rPr>
            </w:pPr>
            <w:r w:rsidRPr="000E4C0F">
              <w:rPr>
                <w:bCs/>
                <w:color w:val="000000" w:themeColor="text1"/>
              </w:rPr>
              <w:t>2017</w:t>
            </w:r>
          </w:p>
        </w:tc>
        <w:tc>
          <w:tcPr>
            <w:tcW w:w="962" w:type="dxa"/>
            <w:tcBorders>
              <w:top w:val="single" w:sz="8" w:space="0" w:color="auto"/>
              <w:left w:val="nil"/>
              <w:bottom w:val="single" w:sz="4" w:space="0" w:color="auto"/>
              <w:right w:val="nil"/>
            </w:tcBorders>
            <w:shd w:val="clear" w:color="auto" w:fill="auto"/>
            <w:vAlign w:val="center"/>
            <w:hideMark/>
          </w:tcPr>
          <w:p w14:paraId="481429AB" w14:textId="77777777" w:rsidR="000E4C0F" w:rsidRPr="000E4C0F" w:rsidRDefault="000E4C0F" w:rsidP="000E4C0F">
            <w:pPr>
              <w:jc w:val="center"/>
              <w:rPr>
                <w:bCs/>
                <w:color w:val="000000" w:themeColor="text1"/>
              </w:rPr>
            </w:pPr>
            <w:r w:rsidRPr="000E4C0F">
              <w:rPr>
                <w:bCs/>
                <w:color w:val="000000" w:themeColor="text1"/>
              </w:rPr>
              <w:t>2018</w:t>
            </w:r>
          </w:p>
        </w:tc>
        <w:tc>
          <w:tcPr>
            <w:tcW w:w="1110" w:type="dxa"/>
            <w:tcBorders>
              <w:top w:val="single" w:sz="8" w:space="0" w:color="auto"/>
              <w:left w:val="nil"/>
              <w:bottom w:val="single" w:sz="4" w:space="0" w:color="auto"/>
              <w:right w:val="nil"/>
            </w:tcBorders>
            <w:shd w:val="clear" w:color="auto" w:fill="auto"/>
            <w:vAlign w:val="center"/>
            <w:hideMark/>
          </w:tcPr>
          <w:p w14:paraId="488F6F4B" w14:textId="77777777" w:rsidR="000E4C0F" w:rsidRPr="000E4C0F" w:rsidRDefault="000E4C0F" w:rsidP="000E4C0F">
            <w:pPr>
              <w:jc w:val="center"/>
              <w:rPr>
                <w:bCs/>
                <w:color w:val="000000" w:themeColor="text1"/>
              </w:rPr>
            </w:pPr>
            <w:r w:rsidRPr="000E4C0F">
              <w:rPr>
                <w:bCs/>
                <w:color w:val="000000" w:themeColor="text1"/>
              </w:rPr>
              <w:t>2019</w:t>
            </w:r>
          </w:p>
        </w:tc>
        <w:tc>
          <w:tcPr>
            <w:tcW w:w="962" w:type="dxa"/>
            <w:tcBorders>
              <w:top w:val="single" w:sz="8" w:space="0" w:color="auto"/>
              <w:left w:val="nil"/>
              <w:bottom w:val="single" w:sz="4" w:space="0" w:color="auto"/>
              <w:right w:val="nil"/>
            </w:tcBorders>
            <w:shd w:val="clear" w:color="auto" w:fill="auto"/>
            <w:vAlign w:val="center"/>
            <w:hideMark/>
          </w:tcPr>
          <w:p w14:paraId="41AD78D9" w14:textId="77777777" w:rsidR="000E4C0F" w:rsidRPr="000E4C0F" w:rsidRDefault="000E4C0F" w:rsidP="000E4C0F">
            <w:pPr>
              <w:jc w:val="center"/>
              <w:rPr>
                <w:bCs/>
                <w:color w:val="000000" w:themeColor="text1"/>
              </w:rPr>
            </w:pPr>
            <w:r w:rsidRPr="000E4C0F">
              <w:rPr>
                <w:bCs/>
                <w:color w:val="000000" w:themeColor="text1"/>
              </w:rPr>
              <w:t>2020</w:t>
            </w:r>
          </w:p>
        </w:tc>
        <w:tc>
          <w:tcPr>
            <w:tcW w:w="926" w:type="dxa"/>
            <w:tcBorders>
              <w:top w:val="single" w:sz="8" w:space="0" w:color="auto"/>
              <w:left w:val="nil"/>
              <w:bottom w:val="single" w:sz="4" w:space="0" w:color="auto"/>
              <w:right w:val="nil"/>
            </w:tcBorders>
            <w:shd w:val="clear" w:color="auto" w:fill="auto"/>
            <w:vAlign w:val="center"/>
            <w:hideMark/>
          </w:tcPr>
          <w:p w14:paraId="3701E630" w14:textId="77777777" w:rsidR="000E4C0F" w:rsidRPr="000E4C0F" w:rsidRDefault="000E4C0F" w:rsidP="000E4C0F">
            <w:pPr>
              <w:jc w:val="center"/>
              <w:rPr>
                <w:bCs/>
                <w:color w:val="000000" w:themeColor="text1"/>
              </w:rPr>
            </w:pPr>
            <w:r w:rsidRPr="000E4C0F">
              <w:rPr>
                <w:bCs/>
                <w:color w:val="000000" w:themeColor="text1"/>
              </w:rPr>
              <w:t>2021</w:t>
            </w:r>
          </w:p>
        </w:tc>
        <w:tc>
          <w:tcPr>
            <w:tcW w:w="1043" w:type="dxa"/>
            <w:tcBorders>
              <w:top w:val="single" w:sz="8" w:space="0" w:color="auto"/>
              <w:left w:val="nil"/>
              <w:bottom w:val="single" w:sz="4" w:space="0" w:color="auto"/>
            </w:tcBorders>
            <w:shd w:val="clear" w:color="auto" w:fill="auto"/>
            <w:vAlign w:val="center"/>
            <w:hideMark/>
          </w:tcPr>
          <w:p w14:paraId="5EE8929B" w14:textId="77777777" w:rsidR="000E4C0F" w:rsidRPr="000E4C0F" w:rsidRDefault="000E4C0F" w:rsidP="000E4C0F">
            <w:pPr>
              <w:jc w:val="center"/>
              <w:rPr>
                <w:bCs/>
                <w:color w:val="000000" w:themeColor="text1"/>
              </w:rPr>
            </w:pPr>
            <w:r w:rsidRPr="000E4C0F">
              <w:rPr>
                <w:bCs/>
                <w:color w:val="000000" w:themeColor="text1"/>
              </w:rPr>
              <w:t>2022</w:t>
            </w:r>
          </w:p>
        </w:tc>
      </w:tr>
      <w:tr w:rsidR="000E4C0F" w:rsidRPr="000E4C0F" w14:paraId="529D584F" w14:textId="77777777" w:rsidTr="0007491F">
        <w:trPr>
          <w:trHeight w:val="340"/>
          <w:jc w:val="center"/>
        </w:trPr>
        <w:tc>
          <w:tcPr>
            <w:tcW w:w="925" w:type="dxa"/>
            <w:tcBorders>
              <w:top w:val="single" w:sz="4" w:space="0" w:color="auto"/>
              <w:bottom w:val="single" w:sz="4" w:space="0" w:color="auto"/>
              <w:right w:val="nil"/>
            </w:tcBorders>
            <w:shd w:val="clear" w:color="auto" w:fill="auto"/>
            <w:vAlign w:val="center"/>
            <w:hideMark/>
          </w:tcPr>
          <w:p w14:paraId="7C1C8059" w14:textId="77777777" w:rsidR="000E4C0F" w:rsidRPr="000E4C0F" w:rsidRDefault="000E4C0F" w:rsidP="000E4C0F">
            <w:pPr>
              <w:jc w:val="center"/>
              <w:rPr>
                <w:bCs/>
                <w:color w:val="000000" w:themeColor="text1"/>
              </w:rPr>
            </w:pPr>
            <w:r w:rsidRPr="000E4C0F">
              <w:rPr>
                <w:bCs/>
                <w:color w:val="000000" w:themeColor="text1"/>
              </w:rPr>
              <w:t>Corn</w:t>
            </w:r>
          </w:p>
        </w:tc>
        <w:tc>
          <w:tcPr>
            <w:tcW w:w="962" w:type="dxa"/>
            <w:tcBorders>
              <w:top w:val="single" w:sz="4" w:space="0" w:color="auto"/>
              <w:left w:val="nil"/>
              <w:bottom w:val="single" w:sz="4" w:space="0" w:color="auto"/>
              <w:right w:val="nil"/>
            </w:tcBorders>
            <w:shd w:val="clear" w:color="auto" w:fill="auto"/>
            <w:vAlign w:val="center"/>
            <w:hideMark/>
          </w:tcPr>
          <w:p w14:paraId="6C74CFF0" w14:textId="77777777" w:rsidR="000E4C0F" w:rsidRPr="000E4C0F" w:rsidRDefault="000E4C0F" w:rsidP="000E4C0F">
            <w:pPr>
              <w:jc w:val="center"/>
              <w:rPr>
                <w:bCs/>
                <w:color w:val="000000" w:themeColor="text1"/>
              </w:rPr>
            </w:pPr>
            <w:r w:rsidRPr="000E4C0F">
              <w:rPr>
                <w:bCs/>
                <w:color w:val="000000" w:themeColor="text1"/>
              </w:rPr>
              <w:t>Cotton</w:t>
            </w:r>
          </w:p>
        </w:tc>
        <w:tc>
          <w:tcPr>
            <w:tcW w:w="1110" w:type="dxa"/>
            <w:tcBorders>
              <w:top w:val="single" w:sz="4" w:space="0" w:color="auto"/>
              <w:left w:val="nil"/>
              <w:bottom w:val="single" w:sz="4" w:space="0" w:color="auto"/>
              <w:right w:val="nil"/>
            </w:tcBorders>
            <w:shd w:val="clear" w:color="auto" w:fill="auto"/>
            <w:vAlign w:val="center"/>
            <w:hideMark/>
          </w:tcPr>
          <w:p w14:paraId="585A22E5" w14:textId="77777777" w:rsidR="000E4C0F" w:rsidRPr="000E4C0F" w:rsidRDefault="000E4C0F" w:rsidP="000E4C0F">
            <w:pPr>
              <w:jc w:val="center"/>
              <w:rPr>
                <w:bCs/>
                <w:color w:val="000000" w:themeColor="text1"/>
              </w:rPr>
            </w:pPr>
            <w:r w:rsidRPr="000E4C0F">
              <w:rPr>
                <w:bCs/>
                <w:color w:val="000000" w:themeColor="text1"/>
              </w:rPr>
              <w:t>Soybean/</w:t>
            </w:r>
          </w:p>
          <w:p w14:paraId="14F99D03" w14:textId="77777777" w:rsidR="000E4C0F" w:rsidRPr="000E4C0F" w:rsidRDefault="000E4C0F" w:rsidP="000E4C0F">
            <w:pPr>
              <w:jc w:val="center"/>
              <w:rPr>
                <w:bCs/>
                <w:color w:val="000000" w:themeColor="text1"/>
              </w:rPr>
            </w:pPr>
            <w:r w:rsidRPr="000E4C0F">
              <w:rPr>
                <w:bCs/>
                <w:color w:val="000000" w:themeColor="text1"/>
              </w:rPr>
              <w:t>Peanut</w:t>
            </w:r>
          </w:p>
        </w:tc>
        <w:tc>
          <w:tcPr>
            <w:tcW w:w="962" w:type="dxa"/>
            <w:tcBorders>
              <w:top w:val="single" w:sz="4" w:space="0" w:color="auto"/>
              <w:left w:val="nil"/>
              <w:bottom w:val="single" w:sz="4" w:space="0" w:color="auto"/>
              <w:right w:val="nil"/>
            </w:tcBorders>
            <w:shd w:val="clear" w:color="auto" w:fill="auto"/>
            <w:vAlign w:val="center"/>
            <w:hideMark/>
          </w:tcPr>
          <w:p w14:paraId="47092C32" w14:textId="77777777" w:rsidR="000E4C0F" w:rsidRPr="000E4C0F" w:rsidRDefault="000E4C0F" w:rsidP="000E4C0F">
            <w:pPr>
              <w:jc w:val="center"/>
              <w:rPr>
                <w:bCs/>
                <w:color w:val="000000" w:themeColor="text1"/>
              </w:rPr>
            </w:pPr>
            <w:r w:rsidRPr="000E4C0F">
              <w:rPr>
                <w:bCs/>
                <w:color w:val="000000" w:themeColor="text1"/>
              </w:rPr>
              <w:t>Cotton</w:t>
            </w:r>
          </w:p>
        </w:tc>
        <w:tc>
          <w:tcPr>
            <w:tcW w:w="926" w:type="dxa"/>
            <w:tcBorders>
              <w:top w:val="single" w:sz="4" w:space="0" w:color="auto"/>
              <w:left w:val="nil"/>
              <w:bottom w:val="single" w:sz="4" w:space="0" w:color="auto"/>
              <w:right w:val="nil"/>
            </w:tcBorders>
            <w:shd w:val="clear" w:color="auto" w:fill="auto"/>
            <w:vAlign w:val="center"/>
            <w:hideMark/>
          </w:tcPr>
          <w:p w14:paraId="45F1452B" w14:textId="77777777" w:rsidR="000E4C0F" w:rsidRPr="000E4C0F" w:rsidRDefault="000E4C0F" w:rsidP="000E4C0F">
            <w:pPr>
              <w:jc w:val="center"/>
              <w:rPr>
                <w:bCs/>
                <w:color w:val="000000" w:themeColor="text1"/>
              </w:rPr>
            </w:pPr>
            <w:r w:rsidRPr="000E4C0F">
              <w:rPr>
                <w:bCs/>
                <w:color w:val="000000" w:themeColor="text1"/>
              </w:rPr>
              <w:t>Corn</w:t>
            </w:r>
          </w:p>
        </w:tc>
        <w:tc>
          <w:tcPr>
            <w:tcW w:w="1043" w:type="dxa"/>
            <w:tcBorders>
              <w:top w:val="single" w:sz="4" w:space="0" w:color="auto"/>
              <w:left w:val="nil"/>
              <w:bottom w:val="single" w:sz="4" w:space="0" w:color="auto"/>
            </w:tcBorders>
            <w:shd w:val="clear" w:color="auto" w:fill="auto"/>
            <w:vAlign w:val="center"/>
            <w:hideMark/>
          </w:tcPr>
          <w:p w14:paraId="53F755A4" w14:textId="77777777" w:rsidR="000E4C0F" w:rsidRPr="000E4C0F" w:rsidRDefault="000E4C0F" w:rsidP="000E4C0F">
            <w:pPr>
              <w:jc w:val="center"/>
              <w:rPr>
                <w:bCs/>
                <w:color w:val="000000" w:themeColor="text1"/>
              </w:rPr>
            </w:pPr>
            <w:r w:rsidRPr="000E4C0F">
              <w:rPr>
                <w:bCs/>
                <w:color w:val="000000" w:themeColor="text1"/>
              </w:rPr>
              <w:t>Soybean</w:t>
            </w:r>
          </w:p>
        </w:tc>
      </w:tr>
    </w:tbl>
    <w:p w14:paraId="79519F78" w14:textId="77777777" w:rsidR="000E4C0F" w:rsidRPr="000E4C0F" w:rsidRDefault="000E4C0F" w:rsidP="000E4C0F">
      <w:pPr>
        <w:adjustRightInd w:val="0"/>
        <w:snapToGrid w:val="0"/>
        <w:rPr>
          <w:bCs/>
          <w:i/>
          <w:iCs/>
          <w:color w:val="000000" w:themeColor="text1"/>
        </w:rPr>
      </w:pPr>
      <w:r w:rsidRPr="000E4C0F">
        <w:rPr>
          <w:bCs/>
          <w:color w:val="000000" w:themeColor="text1"/>
        </w:rPr>
        <w:t>Table 4: List of summer cash crops planted through the study period. Each summer cash crop was grown for all treatments except in 2019 when soybeans were planted in minimal and no tillage plots and peanuts were planted in strip and conventional tillage plots.</w:t>
      </w:r>
    </w:p>
    <w:p w14:paraId="4B5FB774" w14:textId="77777777" w:rsidR="000E4C0F" w:rsidRPr="000E4C0F" w:rsidRDefault="000E4C0F" w:rsidP="000E4C0F">
      <w:pPr>
        <w:adjustRightInd w:val="0"/>
        <w:snapToGrid w:val="0"/>
        <w:rPr>
          <w:bCs/>
          <w:i/>
          <w:iCs/>
          <w:color w:val="000000" w:themeColor="text1"/>
        </w:rPr>
      </w:pPr>
    </w:p>
    <w:p w14:paraId="320DB688" w14:textId="77777777" w:rsidR="000E4C0F" w:rsidRPr="000E4C0F" w:rsidRDefault="000E4C0F" w:rsidP="000E4C0F">
      <w:pPr>
        <w:spacing w:line="480" w:lineRule="auto"/>
        <w:rPr>
          <w:b/>
          <w:color w:val="000000" w:themeColor="text1"/>
        </w:rPr>
      </w:pPr>
      <w:r w:rsidRPr="000E4C0F">
        <w:rPr>
          <w:b/>
          <w:color w:val="000000" w:themeColor="text1"/>
        </w:rPr>
        <w:t>Figures</w:t>
      </w:r>
    </w:p>
    <w:p w14:paraId="53204DA1" w14:textId="77777777" w:rsidR="000E4C0F" w:rsidRPr="000E4C0F" w:rsidRDefault="000E4C0F" w:rsidP="000E4C0F">
      <w:pPr>
        <w:spacing w:line="480" w:lineRule="auto"/>
        <w:rPr>
          <w:bCs/>
          <w:color w:val="000000" w:themeColor="text1"/>
        </w:rPr>
      </w:pPr>
      <w:r w:rsidRPr="000E4C0F">
        <w:rPr>
          <w:bCs/>
          <w:i/>
          <w:iCs/>
          <w:noProof/>
          <w:color w:val="000000" w:themeColor="text1"/>
          <w14:ligatures w14:val="standardContextual"/>
        </w:rPr>
        <w:drawing>
          <wp:inline distT="0" distB="0" distL="0" distR="0" wp14:anchorId="4439C275" wp14:editId="76E5DF90">
            <wp:extent cx="5943600" cy="2108200"/>
            <wp:effectExtent l="0" t="0" r="0" b="0"/>
            <wp:docPr id="996287580" name="Picture 1" descr="A diagram of a time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287580" name="Picture 1" descr="A diagram of a timeline&#10;&#10;Description automatically generated with medium confidence"/>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2108200"/>
                    </a:xfrm>
                    <a:prstGeom prst="rect">
                      <a:avLst/>
                    </a:prstGeom>
                  </pic:spPr>
                </pic:pic>
              </a:graphicData>
            </a:graphic>
          </wp:inline>
        </w:drawing>
      </w:r>
    </w:p>
    <w:p w14:paraId="194F0B9B" w14:textId="77777777" w:rsidR="000E4C0F" w:rsidRPr="000E4C0F" w:rsidRDefault="000E4C0F" w:rsidP="000E4C0F">
      <w:pPr>
        <w:adjustRightInd w:val="0"/>
        <w:snapToGrid w:val="0"/>
        <w:rPr>
          <w:bCs/>
          <w:color w:val="000000" w:themeColor="text1"/>
        </w:rPr>
      </w:pPr>
      <w:r w:rsidRPr="000E4C0F">
        <w:rPr>
          <w:bCs/>
          <w:color w:val="000000" w:themeColor="text1"/>
        </w:rPr>
        <w:t>Figure 1: General timeline of tillage implementation, winter cover planting (WC), and parameter measurement timing.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0"/>
      </w:tblGrid>
      <w:tr w:rsidR="000E4C0F" w:rsidRPr="000E4C0F" w14:paraId="3F40A267" w14:textId="77777777" w:rsidTr="0007491F">
        <w:tc>
          <w:tcPr>
            <w:tcW w:w="9360" w:type="dxa"/>
          </w:tcPr>
          <w:p w14:paraId="087D054A" w14:textId="77777777" w:rsidR="000E4C0F" w:rsidRPr="000E4C0F" w:rsidRDefault="000E4C0F" w:rsidP="0007491F">
            <w:pPr>
              <w:adjustRightInd w:val="0"/>
              <w:snapToGrid w:val="0"/>
              <w:spacing w:line="480" w:lineRule="auto"/>
              <w:jc w:val="center"/>
              <w:rPr>
                <w:bCs/>
                <w:i/>
                <w:iCs/>
                <w:color w:val="000000" w:themeColor="text1"/>
              </w:rPr>
            </w:pPr>
            <w:r w:rsidRPr="000E4C0F">
              <w:rPr>
                <w:bCs/>
                <w:i/>
                <w:iCs/>
                <w:noProof/>
                <w:color w:val="000000" w:themeColor="text1"/>
              </w:rPr>
              <w:lastRenderedPageBreak/>
              <w:drawing>
                <wp:inline distT="0" distB="0" distL="0" distR="0" wp14:anchorId="6BBE8814" wp14:editId="07774F58">
                  <wp:extent cx="4572000" cy="2743200"/>
                  <wp:effectExtent l="0" t="0" r="0" b="0"/>
                  <wp:docPr id="1581310144" name="Picture 1581310144" descr="A graph of different colored and blue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310144" name="Picture 1581310144" descr="A graph of different colored and blue bars&#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tc>
      </w:tr>
      <w:tr w:rsidR="000E4C0F" w:rsidRPr="000E4C0F" w14:paraId="38F56FB6" w14:textId="77777777" w:rsidTr="0007491F">
        <w:tc>
          <w:tcPr>
            <w:tcW w:w="9360" w:type="dxa"/>
          </w:tcPr>
          <w:p w14:paraId="2DA31DF0" w14:textId="77777777" w:rsidR="000E4C0F" w:rsidRDefault="000E4C0F" w:rsidP="000E4C0F">
            <w:pPr>
              <w:adjustRightInd w:val="0"/>
              <w:snapToGrid w:val="0"/>
              <w:rPr>
                <w:bCs/>
                <w:color w:val="000000" w:themeColor="text1"/>
              </w:rPr>
            </w:pPr>
            <w:r w:rsidRPr="000E4C0F">
              <w:rPr>
                <w:bCs/>
                <w:color w:val="000000" w:themeColor="text1"/>
              </w:rPr>
              <w:t>Figure 2: Winter cover biomass (kg</w:t>
            </w:r>
            <w:r w:rsidR="00F0119A">
              <w:rPr>
                <w:bCs/>
                <w:color w:val="000000" w:themeColor="text1"/>
              </w:rPr>
              <w:t xml:space="preserve"> </w:t>
            </w:r>
            <w:r w:rsidRPr="000E4C0F">
              <w:rPr>
                <w:bCs/>
                <w:color w:val="000000" w:themeColor="text1"/>
              </w:rPr>
              <w:t>ha</w:t>
            </w:r>
            <w:r w:rsidR="00F0119A">
              <w:rPr>
                <w:bCs/>
                <w:color w:val="000000" w:themeColor="text1"/>
                <w:vertAlign w:val="superscript"/>
              </w:rPr>
              <w:t>-1</w:t>
            </w:r>
            <w:r w:rsidRPr="000E4C0F">
              <w:rPr>
                <w:bCs/>
                <w:color w:val="000000" w:themeColor="text1"/>
              </w:rPr>
              <w:t xml:space="preserve">) measured in 2018 (left panel) and 2022 (right panel). Columns represent the mean of each winter cover treatment, error bars represent the standard deviation, and different letters represent significantly different means between treatments for a given year (p </w:t>
            </w:r>
            <w:r w:rsidRPr="000E4C0F">
              <w:rPr>
                <w:bCs/>
                <w:color w:val="000000" w:themeColor="text1"/>
              </w:rPr>
              <w:sym w:font="Symbol" w:char="F0A3"/>
            </w:r>
            <w:r w:rsidRPr="000E4C0F">
              <w:rPr>
                <w:bCs/>
                <w:color w:val="000000" w:themeColor="text1"/>
              </w:rPr>
              <w:t xml:space="preserve"> 0.05; </w:t>
            </w:r>
            <w:r w:rsidRPr="000E4C0F">
              <w:rPr>
                <w:bCs/>
                <w:i/>
                <w:color w:val="000000" w:themeColor="text1"/>
              </w:rPr>
              <w:t>n</w:t>
            </w:r>
            <w:r w:rsidRPr="000E4C0F">
              <w:rPr>
                <w:bCs/>
                <w:color w:val="000000" w:themeColor="text1"/>
              </w:rPr>
              <w:t xml:space="preserve"> = 16). </w:t>
            </w:r>
          </w:p>
          <w:p w14:paraId="018F198C" w14:textId="77777777" w:rsidR="00CA1DD0" w:rsidRPr="000E4C0F" w:rsidRDefault="00CA1DD0" w:rsidP="00CA1DD0">
            <w:pPr>
              <w:adjustRightInd w:val="0"/>
              <w:snapToGrid w:val="0"/>
              <w:jc w:val="center"/>
              <w:rPr>
                <w:bCs/>
                <w:color w:val="000000" w:themeColor="text1"/>
              </w:rPr>
            </w:pPr>
            <w:r w:rsidRPr="000E4C0F">
              <w:rPr>
                <w:bCs/>
                <w:noProof/>
                <w:color w:val="000000" w:themeColor="text1"/>
                <w14:ligatures w14:val="standardContextual"/>
              </w:rPr>
              <w:drawing>
                <wp:inline distT="0" distB="0" distL="0" distR="0" wp14:anchorId="7D4CBCA7" wp14:editId="03EE43F7">
                  <wp:extent cx="4572000" cy="3424115"/>
                  <wp:effectExtent l="0" t="0" r="0" b="5080"/>
                  <wp:docPr id="5928303" name="Picture 1" descr="A graph of different sizes of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8303" name="Picture 1" descr="A graph of different sizes of lines&#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572000" cy="3424115"/>
                          </a:xfrm>
                          <a:prstGeom prst="rect">
                            <a:avLst/>
                          </a:prstGeom>
                        </pic:spPr>
                      </pic:pic>
                    </a:graphicData>
                  </a:graphic>
                </wp:inline>
              </w:drawing>
            </w:r>
          </w:p>
          <w:p w14:paraId="1309FF2D" w14:textId="66B2006B" w:rsidR="00CA1DD0" w:rsidRPr="000E4C0F" w:rsidRDefault="00CA1DD0" w:rsidP="000E4C0F">
            <w:pPr>
              <w:adjustRightInd w:val="0"/>
              <w:snapToGrid w:val="0"/>
              <w:rPr>
                <w:bCs/>
                <w:color w:val="000000" w:themeColor="text1"/>
              </w:rPr>
            </w:pPr>
            <w:r w:rsidRPr="000E4C0F">
              <w:rPr>
                <w:bCs/>
                <w:color w:val="000000" w:themeColor="text1"/>
              </w:rPr>
              <w:t xml:space="preserve">Figure 3: Bulk density of </w:t>
            </w:r>
            <w:r>
              <w:rPr>
                <w:bCs/>
                <w:color w:val="000000" w:themeColor="text1"/>
              </w:rPr>
              <w:t>each</w:t>
            </w:r>
            <w:r w:rsidRPr="000E4C0F">
              <w:rPr>
                <w:bCs/>
                <w:color w:val="000000" w:themeColor="text1"/>
              </w:rPr>
              <w:t xml:space="preserve"> tillage treatment over a 7-year period at 0-5 cm (top left), 5-10 cm (top right), and 10-15 cm (bottom left) depths. Colors represent different tillage treatments, error bars represent the standard deviation, and asterisks represent significantly different means between treatments in a particular year (p </w:t>
            </w:r>
            <w:r w:rsidRPr="000E4C0F">
              <w:rPr>
                <w:bCs/>
                <w:color w:val="000000" w:themeColor="text1"/>
              </w:rPr>
              <w:sym w:font="Symbol" w:char="F0A3"/>
            </w:r>
            <w:r w:rsidRPr="000E4C0F">
              <w:rPr>
                <w:bCs/>
                <w:color w:val="000000" w:themeColor="text1"/>
              </w:rPr>
              <w:t xml:space="preserve"> 0.05; </w:t>
            </w:r>
            <w:r w:rsidRPr="000E4C0F">
              <w:rPr>
                <w:bCs/>
                <w:i/>
                <w:color w:val="000000" w:themeColor="text1"/>
              </w:rPr>
              <w:t>n</w:t>
            </w:r>
            <w:r w:rsidRPr="000E4C0F">
              <w:rPr>
                <w:bCs/>
                <w:color w:val="000000" w:themeColor="text1"/>
              </w:rPr>
              <w:t xml:space="preserve"> = 12).</w:t>
            </w:r>
          </w:p>
          <w:p w14:paraId="65C055D4" w14:textId="77777777" w:rsidR="000E4C0F" w:rsidRPr="000E4C0F" w:rsidRDefault="000E4C0F" w:rsidP="000E4C0F">
            <w:pPr>
              <w:adjustRightInd w:val="0"/>
              <w:snapToGrid w:val="0"/>
              <w:ind w:firstLine="720"/>
              <w:rPr>
                <w:bCs/>
                <w:color w:val="000000" w:themeColor="text1"/>
              </w:rPr>
            </w:pPr>
          </w:p>
          <w:tbl>
            <w:tblPr>
              <w:tblStyle w:val="TableGrid"/>
              <w:tblW w:w="1016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65"/>
            </w:tblGrid>
            <w:tr w:rsidR="000E4C0F" w:rsidRPr="000E4C0F" w14:paraId="6B243D7E" w14:textId="77777777" w:rsidTr="0007491F">
              <w:trPr>
                <w:trHeight w:val="4823"/>
                <w:jc w:val="center"/>
              </w:trPr>
              <w:tc>
                <w:tcPr>
                  <w:tcW w:w="10165" w:type="dxa"/>
                </w:tcPr>
                <w:p w14:paraId="1EA99776" w14:textId="77777777" w:rsidR="000E4C0F" w:rsidRPr="000E4C0F" w:rsidRDefault="000E4C0F" w:rsidP="000E4C0F">
                  <w:pPr>
                    <w:adjustRightInd w:val="0"/>
                    <w:snapToGrid w:val="0"/>
                    <w:jc w:val="center"/>
                    <w:rPr>
                      <w:bCs/>
                      <w:color w:val="000000" w:themeColor="text1"/>
                    </w:rPr>
                  </w:pPr>
                  <w:r w:rsidRPr="000E4C0F">
                    <w:rPr>
                      <w:bCs/>
                      <w:noProof/>
                      <w:color w:val="000000" w:themeColor="text1"/>
                    </w:rPr>
                    <w:lastRenderedPageBreak/>
                    <w:drawing>
                      <wp:inline distT="0" distB="0" distL="0" distR="0" wp14:anchorId="072BA1FD" wp14:editId="2FF2112C">
                        <wp:extent cx="5486400" cy="3379015"/>
                        <wp:effectExtent l="0" t="0" r="0" b="0"/>
                        <wp:docPr id="10" name="Picture 10" descr="A picture containing diagram, text,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diagram, text, line, plot&#10;&#10;Description automatically generated"/>
                                <pic:cNvPicPr/>
                              </pic:nvPicPr>
                              <pic:blipFill>
                                <a:blip r:embed="rId9">
                                  <a:extLst>
                                    <a:ext uri="{28A0092B-C50C-407E-A947-70E740481C1C}">
                                      <a14:useLocalDpi xmlns:a14="http://schemas.microsoft.com/office/drawing/2010/main" val="0"/>
                                    </a:ext>
                                  </a:extLst>
                                </a:blip>
                                <a:srcRect l="1984" r="1984"/>
                                <a:stretch>
                                  <a:fillRect/>
                                </a:stretch>
                              </pic:blipFill>
                              <pic:spPr bwMode="auto">
                                <a:xfrm>
                                  <a:off x="0" y="0"/>
                                  <a:ext cx="5486400" cy="3379015"/>
                                </a:xfrm>
                                <a:prstGeom prst="rect">
                                  <a:avLst/>
                                </a:prstGeom>
                                <a:ln>
                                  <a:noFill/>
                                </a:ln>
                                <a:extLst>
                                  <a:ext uri="{53640926-AAD7-44D8-BBD7-CCE9431645EC}">
                                    <a14:shadowObscured xmlns:a14="http://schemas.microsoft.com/office/drawing/2010/main"/>
                                  </a:ext>
                                </a:extLst>
                              </pic:spPr>
                            </pic:pic>
                          </a:graphicData>
                        </a:graphic>
                      </wp:inline>
                    </w:drawing>
                  </w:r>
                </w:p>
              </w:tc>
            </w:tr>
          </w:tbl>
          <w:p w14:paraId="6857EA61" w14:textId="4E208AE6" w:rsidR="000E4C0F" w:rsidRPr="000E4C0F" w:rsidRDefault="000E4C0F" w:rsidP="000E4C0F">
            <w:pPr>
              <w:adjustRightInd w:val="0"/>
              <w:snapToGrid w:val="0"/>
              <w:rPr>
                <w:bCs/>
                <w:color w:val="000000" w:themeColor="text1"/>
              </w:rPr>
            </w:pPr>
            <w:r w:rsidRPr="000E4C0F">
              <w:rPr>
                <w:bCs/>
                <w:color w:val="000000" w:themeColor="text1"/>
              </w:rPr>
              <w:t xml:space="preserve">Figure </w:t>
            </w:r>
            <w:r w:rsidR="00CA1DD0">
              <w:rPr>
                <w:bCs/>
                <w:color w:val="000000" w:themeColor="text1"/>
              </w:rPr>
              <w:t>4</w:t>
            </w:r>
            <w:r w:rsidRPr="000E4C0F">
              <w:rPr>
                <w:bCs/>
                <w:color w:val="000000" w:themeColor="text1"/>
              </w:rPr>
              <w:t>: Depth to the uppermost root-restrictive layer (2,068 kPa) for the four tillage treatments, as measured in the row center (top left), 15 cm from row center (top right), 30 cm from row center (bottom left), and 45 cm from row center (bottom right). Colors represent different treatments, points represent means</w:t>
            </w:r>
            <w:r w:rsidR="00E43346">
              <w:rPr>
                <w:bCs/>
                <w:color w:val="000000" w:themeColor="text1"/>
              </w:rPr>
              <w:t>,</w:t>
            </w:r>
            <w:r w:rsidRPr="000E4C0F">
              <w:rPr>
                <w:bCs/>
                <w:color w:val="000000" w:themeColor="text1"/>
              </w:rPr>
              <w:t xml:space="preserve"> error bars represent the standard deviation, and asterisks indicate significant difference between treatments (p </w:t>
            </w:r>
            <w:r w:rsidRPr="000E4C0F">
              <w:rPr>
                <w:bCs/>
                <w:color w:val="000000" w:themeColor="text1"/>
              </w:rPr>
              <w:sym w:font="Symbol" w:char="F0A3"/>
            </w:r>
            <w:r w:rsidRPr="000E4C0F">
              <w:rPr>
                <w:bCs/>
                <w:color w:val="000000" w:themeColor="text1"/>
              </w:rPr>
              <w:t xml:space="preserve"> 0.05; </w:t>
            </w:r>
            <w:r w:rsidRPr="000E4C0F">
              <w:rPr>
                <w:bCs/>
                <w:i/>
                <w:color w:val="000000" w:themeColor="text1"/>
              </w:rPr>
              <w:t>n</w:t>
            </w:r>
            <w:r w:rsidRPr="000E4C0F">
              <w:rPr>
                <w:bCs/>
                <w:color w:val="000000" w:themeColor="text1"/>
              </w:rPr>
              <w:t xml:space="preserve"> = 12).</w:t>
            </w:r>
          </w:p>
          <w:p w14:paraId="0FC782C1" w14:textId="77777777" w:rsidR="000E4C0F" w:rsidRPr="000E4C0F" w:rsidRDefault="000E4C0F" w:rsidP="000E4C0F">
            <w:pPr>
              <w:adjustRightInd w:val="0"/>
              <w:snapToGrid w:val="0"/>
              <w:rPr>
                <w:bCs/>
                <w:color w:val="000000" w:themeColor="text1"/>
              </w:rPr>
            </w:pPr>
          </w:p>
          <w:p w14:paraId="73EFCEB9" w14:textId="77777777" w:rsidR="000E4C0F" w:rsidRPr="000E4C0F" w:rsidRDefault="000E4C0F" w:rsidP="000E4C0F">
            <w:pPr>
              <w:rPr>
                <w:bCs/>
                <w:color w:val="000000" w:themeColor="text1"/>
              </w:rPr>
            </w:pPr>
          </w:p>
          <w:p w14:paraId="51DA7A47" w14:textId="77777777" w:rsidR="000E4C0F" w:rsidRPr="000E4C0F" w:rsidRDefault="000E4C0F" w:rsidP="000E4C0F">
            <w:pPr>
              <w:adjustRightInd w:val="0"/>
              <w:snapToGrid w:val="0"/>
              <w:jc w:val="center"/>
              <w:rPr>
                <w:bCs/>
                <w:color w:val="000000" w:themeColor="text1"/>
              </w:rPr>
            </w:pPr>
          </w:p>
          <w:p w14:paraId="1B3D215D" w14:textId="77777777" w:rsidR="000E4C0F" w:rsidRPr="000E4C0F" w:rsidRDefault="000E4C0F" w:rsidP="000E4C0F">
            <w:pPr>
              <w:pStyle w:val="HTMLPreformatted"/>
              <w:shd w:val="clear" w:color="auto" w:fill="FFFFFF"/>
              <w:rPr>
                <w:rFonts w:ascii="Times New Roman" w:hAnsi="Times New Roman" w:cs="Times New Roman"/>
                <w:bCs/>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4"/>
            </w:tblGrid>
            <w:tr w:rsidR="000E4C0F" w:rsidRPr="000E4C0F" w14:paraId="0E5CF8F8" w14:textId="77777777" w:rsidTr="0007491F">
              <w:tc>
                <w:tcPr>
                  <w:tcW w:w="9350" w:type="dxa"/>
                </w:tcPr>
                <w:p w14:paraId="1335B492" w14:textId="77777777" w:rsidR="000E4C0F" w:rsidRPr="000E4C0F" w:rsidRDefault="000E4C0F" w:rsidP="000E4C0F">
                  <w:pPr>
                    <w:adjustRightInd w:val="0"/>
                    <w:snapToGrid w:val="0"/>
                    <w:jc w:val="center"/>
                    <w:rPr>
                      <w:bCs/>
                      <w:color w:val="000000" w:themeColor="text1"/>
                    </w:rPr>
                  </w:pPr>
                  <w:r w:rsidRPr="000E4C0F">
                    <w:rPr>
                      <w:bCs/>
                      <w:noProof/>
                      <w:color w:val="000000" w:themeColor="text1"/>
                    </w:rPr>
                    <w:drawing>
                      <wp:inline distT="0" distB="0" distL="0" distR="0" wp14:anchorId="38738EBE" wp14:editId="4437F3E1">
                        <wp:extent cx="4359040" cy="2615424"/>
                        <wp:effectExtent l="0" t="0" r="0" b="1270"/>
                        <wp:docPr id="8" name="Picture 8" descr="A graph of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graph of different colored squares&#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359040" cy="2615424"/>
                                </a:xfrm>
                                <a:prstGeom prst="rect">
                                  <a:avLst/>
                                </a:prstGeom>
                              </pic:spPr>
                            </pic:pic>
                          </a:graphicData>
                        </a:graphic>
                      </wp:inline>
                    </w:drawing>
                  </w:r>
                </w:p>
              </w:tc>
            </w:tr>
          </w:tbl>
          <w:p w14:paraId="1FC7F0DA" w14:textId="77777777" w:rsidR="000E4C0F" w:rsidRPr="000E4C0F" w:rsidRDefault="000E4C0F" w:rsidP="000E4C0F">
            <w:pPr>
              <w:adjustRightInd w:val="0"/>
              <w:snapToGrid w:val="0"/>
              <w:rPr>
                <w:color w:val="000000" w:themeColor="text1"/>
              </w:rPr>
            </w:pPr>
            <w:r w:rsidRPr="000E4C0F">
              <w:rPr>
                <w:bCs/>
                <w:color w:val="000000" w:themeColor="text1"/>
              </w:rPr>
              <w:t>Figure 5: Field-saturated hydraulic conductivity (K</w:t>
            </w:r>
            <w:r w:rsidRPr="000E4C0F">
              <w:rPr>
                <w:bCs/>
                <w:color w:val="000000" w:themeColor="text1"/>
                <w:vertAlign w:val="subscript"/>
              </w:rPr>
              <w:t>sat</w:t>
            </w:r>
            <w:r w:rsidRPr="000E4C0F">
              <w:rPr>
                <w:bCs/>
                <w:color w:val="000000" w:themeColor="text1"/>
              </w:rPr>
              <w:t xml:space="preserve">) measured in the different tillage treatments in 2022 (left panel) and 2023 (right panel). Columns represent the mean of each </w:t>
            </w:r>
            <w:r w:rsidRPr="000E4C0F">
              <w:rPr>
                <w:bCs/>
                <w:color w:val="000000" w:themeColor="text1"/>
              </w:rPr>
              <w:lastRenderedPageBreak/>
              <w:t xml:space="preserve">tillage treatment, error bars represent the standard error of the mean, and different letters represent significantly different means between treatments for a given year (p </w:t>
            </w:r>
            <w:r w:rsidRPr="000E4C0F">
              <w:rPr>
                <w:bCs/>
                <w:color w:val="000000" w:themeColor="text1"/>
              </w:rPr>
              <w:sym w:font="Symbol" w:char="F0A3"/>
            </w:r>
            <w:r w:rsidRPr="000E4C0F">
              <w:rPr>
                <w:bCs/>
                <w:color w:val="000000" w:themeColor="text1"/>
              </w:rPr>
              <w:t xml:space="preserve"> 0.05; </w:t>
            </w:r>
            <w:r w:rsidRPr="000E4C0F">
              <w:rPr>
                <w:bCs/>
                <w:i/>
                <w:color w:val="000000" w:themeColor="text1"/>
              </w:rPr>
              <w:t>n</w:t>
            </w:r>
            <w:r w:rsidRPr="000E4C0F">
              <w:rPr>
                <w:bCs/>
                <w:color w:val="000000" w:themeColor="text1"/>
              </w:rPr>
              <w:t xml:space="preserve"> = 8). </w:t>
            </w:r>
          </w:p>
          <w:p w14:paraId="546F9BDC" w14:textId="77777777" w:rsidR="000E4C0F" w:rsidRPr="000E4C0F" w:rsidRDefault="000E4C0F" w:rsidP="000E4C0F">
            <w:pPr>
              <w:rPr>
                <w:color w:val="000000" w:themeColor="text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4"/>
            </w:tblGrid>
            <w:tr w:rsidR="000E4C0F" w:rsidRPr="000E4C0F" w14:paraId="100C88A6" w14:textId="77777777" w:rsidTr="001A1CD1">
              <w:tc>
                <w:tcPr>
                  <w:tcW w:w="9350" w:type="dxa"/>
                </w:tcPr>
                <w:p w14:paraId="60B4F7B8" w14:textId="4EFB0AD8" w:rsidR="001A1CD1" w:rsidRPr="001A1CD1" w:rsidRDefault="001A1CD1" w:rsidP="001A1CD1">
                  <w:pPr>
                    <w:tabs>
                      <w:tab w:val="left" w:pos="1215"/>
                    </w:tabs>
                    <w:adjustRightInd w:val="0"/>
                    <w:snapToGrid w:val="0"/>
                    <w:rPr>
                      <w:bCs/>
                      <w:i/>
                      <w:iCs/>
                      <w:color w:val="000000" w:themeColor="text1"/>
                    </w:rPr>
                  </w:pPr>
                  <w:r>
                    <w:rPr>
                      <w:bCs/>
                      <w:i/>
                      <w:iCs/>
                      <w:color w:val="000000" w:themeColor="text1"/>
                    </w:rPr>
                    <w:t>a)</w:t>
                  </w:r>
                </w:p>
                <w:p w14:paraId="1C7D5AAE" w14:textId="6C039696" w:rsidR="000E4C0F" w:rsidRPr="001A1CD1" w:rsidRDefault="00E15038" w:rsidP="001A1CD1">
                  <w:pPr>
                    <w:tabs>
                      <w:tab w:val="left" w:pos="1215"/>
                    </w:tabs>
                    <w:adjustRightInd w:val="0"/>
                    <w:snapToGrid w:val="0"/>
                    <w:jc w:val="center"/>
                    <w:rPr>
                      <w:bCs/>
                      <w:color w:val="000000" w:themeColor="text1"/>
                    </w:rPr>
                  </w:pPr>
                  <w:r>
                    <w:rPr>
                      <w:bCs/>
                      <w:noProof/>
                      <w:color w:val="000000" w:themeColor="text1"/>
                      <w14:ligatures w14:val="standardContextual"/>
                    </w:rPr>
                    <w:drawing>
                      <wp:inline distT="0" distB="0" distL="0" distR="0" wp14:anchorId="340837B3" wp14:editId="35104507">
                        <wp:extent cx="5029197" cy="2310159"/>
                        <wp:effectExtent l="0" t="0" r="635" b="1270"/>
                        <wp:docPr id="17939731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973118"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29197" cy="2310159"/>
                                </a:xfrm>
                                <a:prstGeom prst="rect">
                                  <a:avLst/>
                                </a:prstGeom>
                              </pic:spPr>
                            </pic:pic>
                          </a:graphicData>
                        </a:graphic>
                      </wp:inline>
                    </w:drawing>
                  </w:r>
                </w:p>
              </w:tc>
            </w:tr>
            <w:tr w:rsidR="000E4C0F" w:rsidRPr="000E4C0F" w14:paraId="5C43D23A" w14:textId="77777777" w:rsidTr="001A1CD1">
              <w:tc>
                <w:tcPr>
                  <w:tcW w:w="9350" w:type="dxa"/>
                </w:tcPr>
                <w:p w14:paraId="26DA24B4" w14:textId="4BC7F375" w:rsidR="001A1CD1" w:rsidRDefault="001A1CD1" w:rsidP="001A1CD1">
                  <w:pPr>
                    <w:adjustRightInd w:val="0"/>
                    <w:snapToGrid w:val="0"/>
                    <w:rPr>
                      <w:bCs/>
                      <w:i/>
                      <w:iCs/>
                      <w:color w:val="000000" w:themeColor="text1"/>
                    </w:rPr>
                  </w:pPr>
                  <w:r>
                    <w:rPr>
                      <w:bCs/>
                      <w:i/>
                      <w:iCs/>
                      <w:color w:val="000000" w:themeColor="text1"/>
                    </w:rPr>
                    <w:t>b)</w:t>
                  </w:r>
                </w:p>
                <w:p w14:paraId="609F59C5" w14:textId="2103B8ED" w:rsidR="000E4C0F" w:rsidRPr="000E4C0F" w:rsidRDefault="00E15038" w:rsidP="001A1CD1">
                  <w:pPr>
                    <w:adjustRightInd w:val="0"/>
                    <w:snapToGrid w:val="0"/>
                    <w:jc w:val="center"/>
                    <w:rPr>
                      <w:bCs/>
                      <w:i/>
                      <w:iCs/>
                      <w:color w:val="000000" w:themeColor="text1"/>
                    </w:rPr>
                  </w:pPr>
                  <w:r>
                    <w:rPr>
                      <w:bCs/>
                      <w:i/>
                      <w:iCs/>
                      <w:noProof/>
                      <w:color w:val="000000" w:themeColor="text1"/>
                      <w14:ligatures w14:val="standardContextual"/>
                    </w:rPr>
                    <w:drawing>
                      <wp:inline distT="0" distB="0" distL="0" distR="0" wp14:anchorId="1F313C4A" wp14:editId="42B1AB95">
                        <wp:extent cx="5029197" cy="2320381"/>
                        <wp:effectExtent l="0" t="0" r="635" b="3810"/>
                        <wp:docPr id="187948928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489284" name="Picture 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29197" cy="2320381"/>
                                </a:xfrm>
                                <a:prstGeom prst="rect">
                                  <a:avLst/>
                                </a:prstGeom>
                              </pic:spPr>
                            </pic:pic>
                          </a:graphicData>
                        </a:graphic>
                      </wp:inline>
                    </w:drawing>
                  </w:r>
                </w:p>
              </w:tc>
            </w:tr>
          </w:tbl>
          <w:p w14:paraId="30E4D7FC" w14:textId="1D68B328" w:rsidR="000E4C0F" w:rsidRPr="000E4C0F" w:rsidRDefault="000E4C0F" w:rsidP="000E4C0F">
            <w:pPr>
              <w:adjustRightInd w:val="0"/>
              <w:snapToGrid w:val="0"/>
              <w:rPr>
                <w:bCs/>
                <w:color w:val="000000" w:themeColor="text1"/>
              </w:rPr>
            </w:pPr>
            <w:r w:rsidRPr="000E4C0F">
              <w:rPr>
                <w:bCs/>
                <w:color w:val="000000" w:themeColor="text1"/>
              </w:rPr>
              <w:t>Figure 6: Carbon stock (</w:t>
            </w:r>
            <w:r w:rsidR="008253C0">
              <w:rPr>
                <w:bCs/>
                <w:color w:val="000000" w:themeColor="text1"/>
              </w:rPr>
              <w:t>M</w:t>
            </w:r>
            <w:r w:rsidR="00F0119A" w:rsidRPr="000E4C0F">
              <w:rPr>
                <w:bCs/>
                <w:color w:val="000000" w:themeColor="text1"/>
              </w:rPr>
              <w:t>g</w:t>
            </w:r>
            <w:r w:rsidR="00F0119A">
              <w:rPr>
                <w:bCs/>
                <w:color w:val="000000" w:themeColor="text1"/>
              </w:rPr>
              <w:t xml:space="preserve"> </w:t>
            </w:r>
            <w:r w:rsidR="00F0119A" w:rsidRPr="000E4C0F">
              <w:rPr>
                <w:bCs/>
                <w:color w:val="000000" w:themeColor="text1"/>
              </w:rPr>
              <w:t>ha</w:t>
            </w:r>
            <w:r w:rsidR="00F0119A">
              <w:rPr>
                <w:bCs/>
                <w:color w:val="000000" w:themeColor="text1"/>
                <w:vertAlign w:val="superscript"/>
              </w:rPr>
              <w:t>-1</w:t>
            </w:r>
            <w:r w:rsidRPr="000E4C0F">
              <w:rPr>
                <w:bCs/>
                <w:color w:val="000000" w:themeColor="text1"/>
              </w:rPr>
              <w:t>) measured in 2022 for the different a)</w:t>
            </w:r>
            <w:r w:rsidRPr="000E4C0F">
              <w:rPr>
                <w:bCs/>
                <w:i/>
                <w:iCs/>
                <w:color w:val="000000" w:themeColor="text1"/>
              </w:rPr>
              <w:t xml:space="preserve"> </w:t>
            </w:r>
            <w:r w:rsidRPr="000E4C0F">
              <w:rPr>
                <w:bCs/>
                <w:color w:val="000000" w:themeColor="text1"/>
              </w:rPr>
              <w:t>tillage and b) winter cover treatments for 0-5 cm (left),</w:t>
            </w:r>
            <w:r w:rsidR="00EA01E6">
              <w:rPr>
                <w:bCs/>
                <w:color w:val="000000" w:themeColor="text1"/>
              </w:rPr>
              <w:t xml:space="preserve"> and 0-15 cm (right)</w:t>
            </w:r>
            <w:r w:rsidRPr="000E4C0F">
              <w:rPr>
                <w:bCs/>
                <w:color w:val="000000" w:themeColor="text1"/>
              </w:rPr>
              <w:t xml:space="preserve">. Columns represent the mean of each treatment, error bars represent the standard deviation, and different letters represent significantly different means between treatments (p </w:t>
            </w:r>
            <w:r w:rsidRPr="000E4C0F">
              <w:rPr>
                <w:bCs/>
                <w:color w:val="000000" w:themeColor="text1"/>
              </w:rPr>
              <w:sym w:font="Symbol" w:char="F0A3"/>
            </w:r>
            <w:r w:rsidRPr="000E4C0F">
              <w:rPr>
                <w:bCs/>
                <w:color w:val="000000" w:themeColor="text1"/>
              </w:rPr>
              <w:t xml:space="preserve"> 0.05; </w:t>
            </w:r>
            <w:r w:rsidRPr="000E4C0F">
              <w:rPr>
                <w:bCs/>
                <w:i/>
                <w:color w:val="000000" w:themeColor="text1"/>
              </w:rPr>
              <w:t>n</w:t>
            </w:r>
            <w:r w:rsidRPr="000E4C0F">
              <w:rPr>
                <w:bCs/>
                <w:color w:val="000000" w:themeColor="text1"/>
              </w:rPr>
              <w:t xml:space="preserve"> = 12 for the tillage treatments and </w:t>
            </w:r>
            <w:r w:rsidRPr="000E4C0F">
              <w:rPr>
                <w:bCs/>
                <w:i/>
                <w:color w:val="000000" w:themeColor="text1"/>
              </w:rPr>
              <w:t>n</w:t>
            </w:r>
            <w:r w:rsidRPr="000E4C0F">
              <w:rPr>
                <w:bCs/>
                <w:color w:val="000000" w:themeColor="text1"/>
              </w:rPr>
              <w:t xml:space="preserve"> = 16 for the winter cover treatments).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4"/>
            </w:tblGrid>
            <w:tr w:rsidR="000E4C0F" w:rsidRPr="000E4C0F" w14:paraId="003F4478" w14:textId="77777777" w:rsidTr="0007491F">
              <w:tc>
                <w:tcPr>
                  <w:tcW w:w="9350" w:type="dxa"/>
                </w:tcPr>
                <w:p w14:paraId="563E9B03" w14:textId="77777777" w:rsidR="000E4C0F" w:rsidRPr="000E4C0F" w:rsidRDefault="000E4C0F" w:rsidP="000E4C0F">
                  <w:pPr>
                    <w:adjustRightInd w:val="0"/>
                    <w:snapToGrid w:val="0"/>
                    <w:rPr>
                      <w:bCs/>
                      <w:color w:val="000000" w:themeColor="text1"/>
                    </w:rPr>
                  </w:pPr>
                </w:p>
                <w:p w14:paraId="3ACDB255" w14:textId="77777777" w:rsidR="000E4C0F" w:rsidRPr="000E4C0F" w:rsidRDefault="000E4C0F" w:rsidP="000E4C0F">
                  <w:pPr>
                    <w:adjustRightInd w:val="0"/>
                    <w:snapToGrid w:val="0"/>
                    <w:jc w:val="center"/>
                    <w:rPr>
                      <w:bCs/>
                      <w:color w:val="000000" w:themeColor="text1"/>
                    </w:rPr>
                  </w:pPr>
                  <w:r w:rsidRPr="000E4C0F">
                    <w:rPr>
                      <w:bCs/>
                      <w:i/>
                      <w:iCs/>
                      <w:noProof/>
                      <w:color w:val="000000" w:themeColor="text1"/>
                    </w:rPr>
                    <w:lastRenderedPageBreak/>
                    <w:drawing>
                      <wp:inline distT="0" distB="0" distL="0" distR="0" wp14:anchorId="3193C4F3" wp14:editId="0CF75953">
                        <wp:extent cx="4572000" cy="1920505"/>
                        <wp:effectExtent l="0" t="0" r="0" b="0"/>
                        <wp:docPr id="360382908" name="Picture 2" descr="A graph of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848107" name="Picture 2" descr="A graph of different colored squares&#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72000" cy="1920505"/>
                                </a:xfrm>
                                <a:prstGeom prst="rect">
                                  <a:avLst/>
                                </a:prstGeom>
                              </pic:spPr>
                            </pic:pic>
                          </a:graphicData>
                        </a:graphic>
                      </wp:inline>
                    </w:drawing>
                  </w:r>
                </w:p>
              </w:tc>
            </w:tr>
          </w:tbl>
          <w:p w14:paraId="16325E0D" w14:textId="77777777" w:rsidR="000E4C0F" w:rsidRPr="000E4C0F" w:rsidRDefault="000E4C0F" w:rsidP="000E4C0F">
            <w:pPr>
              <w:adjustRightInd w:val="0"/>
              <w:snapToGrid w:val="0"/>
              <w:jc w:val="center"/>
              <w:rPr>
                <w:bCs/>
                <w:i/>
                <w:iCs/>
                <w:color w:val="000000" w:themeColor="text1"/>
              </w:rPr>
            </w:pPr>
            <w:r w:rsidRPr="000E4C0F">
              <w:rPr>
                <w:bCs/>
                <w:i/>
                <w:iCs/>
                <w:noProof/>
                <w:color w:val="000000" w:themeColor="text1"/>
              </w:rPr>
              <w:lastRenderedPageBreak/>
              <w:drawing>
                <wp:inline distT="0" distB="0" distL="0" distR="0" wp14:anchorId="082A7DBA" wp14:editId="6126015D">
                  <wp:extent cx="0" cy="0"/>
                  <wp:effectExtent l="0" t="0" r="0" b="0"/>
                  <wp:docPr id="686848107" name="Picture 2" descr="A graph of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848107" name="Picture 2" descr="A graph of different colored squares&#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0" cy="0"/>
                          </a:xfrm>
                          <a:prstGeom prst="rect">
                            <a:avLst/>
                          </a:prstGeom>
                        </pic:spPr>
                      </pic:pic>
                    </a:graphicData>
                  </a:graphic>
                </wp:inline>
              </w:drawing>
            </w:r>
          </w:p>
          <w:p w14:paraId="254EE3E1" w14:textId="77777777" w:rsidR="000E4C0F" w:rsidRPr="000E4C0F" w:rsidRDefault="000E4C0F" w:rsidP="000E4C0F">
            <w:pPr>
              <w:adjustRightInd w:val="0"/>
              <w:snapToGrid w:val="0"/>
              <w:rPr>
                <w:bCs/>
                <w:color w:val="000000" w:themeColor="text1"/>
              </w:rPr>
            </w:pPr>
            <w:r w:rsidRPr="000E4C0F">
              <w:rPr>
                <w:bCs/>
                <w:color w:val="000000" w:themeColor="text1"/>
              </w:rPr>
              <w:t>Figure 7: Soybean yield (</w:t>
            </w:r>
            <w:r w:rsidR="00F0119A" w:rsidRPr="000E4C0F">
              <w:rPr>
                <w:bCs/>
                <w:color w:val="000000" w:themeColor="text1"/>
              </w:rPr>
              <w:t>kg</w:t>
            </w:r>
            <w:r w:rsidR="00F0119A">
              <w:rPr>
                <w:bCs/>
                <w:color w:val="000000" w:themeColor="text1"/>
              </w:rPr>
              <w:t xml:space="preserve"> </w:t>
            </w:r>
            <w:r w:rsidR="00F0119A" w:rsidRPr="000E4C0F">
              <w:rPr>
                <w:bCs/>
                <w:color w:val="000000" w:themeColor="text1"/>
              </w:rPr>
              <w:t>ha</w:t>
            </w:r>
            <w:r w:rsidR="00F0119A">
              <w:rPr>
                <w:bCs/>
                <w:color w:val="000000" w:themeColor="text1"/>
                <w:vertAlign w:val="superscript"/>
              </w:rPr>
              <w:t>-1</w:t>
            </w:r>
            <w:r w:rsidRPr="000E4C0F">
              <w:rPr>
                <w:bCs/>
                <w:color w:val="000000" w:themeColor="text1"/>
              </w:rPr>
              <w:t xml:space="preserve">) measured in 2018 (left) and 2022 (right). Columns represent the mean of each winter cover treatment, error bars represent the standard deviation, and different letters represent significantly different means between treatments for a given year (p </w:t>
            </w:r>
            <w:r w:rsidRPr="000E4C0F">
              <w:rPr>
                <w:bCs/>
                <w:color w:val="000000" w:themeColor="text1"/>
              </w:rPr>
              <w:sym w:font="Symbol" w:char="F0A3"/>
            </w:r>
            <w:r w:rsidRPr="000E4C0F">
              <w:rPr>
                <w:bCs/>
                <w:color w:val="000000" w:themeColor="text1"/>
              </w:rPr>
              <w:t xml:space="preserve"> 0.05; </w:t>
            </w:r>
            <w:r w:rsidRPr="000E4C0F">
              <w:rPr>
                <w:bCs/>
                <w:i/>
                <w:color w:val="000000" w:themeColor="text1"/>
              </w:rPr>
              <w:t>n</w:t>
            </w:r>
            <w:r w:rsidRPr="000E4C0F">
              <w:rPr>
                <w:bCs/>
                <w:color w:val="000000" w:themeColor="text1"/>
              </w:rPr>
              <w:t xml:space="preserve"> = 16). </w:t>
            </w:r>
          </w:p>
          <w:p w14:paraId="5E88F7B3" w14:textId="77777777" w:rsidR="000E4C0F" w:rsidRPr="000E4C0F" w:rsidRDefault="000E4C0F" w:rsidP="000E4C0F">
            <w:pPr>
              <w:adjustRightInd w:val="0"/>
              <w:snapToGrid w:val="0"/>
              <w:rPr>
                <w:bCs/>
                <w:color w:val="000000" w:themeColor="text1"/>
              </w:rPr>
            </w:pPr>
          </w:p>
          <w:p w14:paraId="47936C96" w14:textId="77777777" w:rsidR="000E4C0F" w:rsidRPr="000E4C0F" w:rsidRDefault="000E4C0F" w:rsidP="000E4C0F">
            <w:pPr>
              <w:adjustRightInd w:val="0"/>
              <w:snapToGrid w:val="0"/>
              <w:rPr>
                <w:bCs/>
                <w:color w:val="000000" w:themeColor="text1"/>
              </w:rPr>
            </w:pPr>
          </w:p>
          <w:p w14:paraId="7DB9992B" w14:textId="77777777" w:rsidR="000E4C0F" w:rsidRPr="000E4C0F" w:rsidRDefault="000E4C0F" w:rsidP="000E4C0F">
            <w:pPr>
              <w:adjustRightInd w:val="0"/>
              <w:snapToGrid w:val="0"/>
              <w:rPr>
                <w:bCs/>
                <w:color w:val="000000" w:themeColor="text1"/>
              </w:rPr>
            </w:pPr>
          </w:p>
          <w:p w14:paraId="54360F4A" w14:textId="77777777" w:rsidR="000E4C0F" w:rsidRPr="000E4C0F" w:rsidRDefault="000E4C0F" w:rsidP="000E4C0F">
            <w:pPr>
              <w:adjustRightInd w:val="0"/>
              <w:snapToGrid w:val="0"/>
              <w:rPr>
                <w:bCs/>
                <w:color w:val="000000" w:themeColor="text1"/>
              </w:rPr>
            </w:pPr>
          </w:p>
        </w:tc>
      </w:tr>
    </w:tbl>
    <w:p w14:paraId="3ACB6D30" w14:textId="77777777" w:rsidR="000E4C0F" w:rsidRPr="000E4C0F" w:rsidRDefault="000E4C0F" w:rsidP="000E4C0F">
      <w:pPr>
        <w:pStyle w:val="Heading1"/>
        <w:spacing w:line="480" w:lineRule="auto"/>
        <w:rPr>
          <w:rFonts w:ascii="Times New Roman" w:hAnsi="Times New Roman" w:cs="Times New Roman"/>
          <w:b/>
          <w:color w:val="000000" w:themeColor="text1"/>
          <w:sz w:val="24"/>
          <w:szCs w:val="24"/>
        </w:rPr>
      </w:pPr>
    </w:p>
    <w:p w14:paraId="29289CA3" w14:textId="77777777" w:rsidR="000E4C0F" w:rsidRPr="000E4C0F" w:rsidRDefault="000E4C0F" w:rsidP="000E4C0F">
      <w:pPr>
        <w:spacing w:line="480" w:lineRule="auto"/>
        <w:rPr>
          <w:rFonts w:eastAsiaTheme="majorEastAsia"/>
          <w:color w:val="000000" w:themeColor="text1"/>
        </w:rPr>
      </w:pPr>
      <w:r w:rsidRPr="000E4C0F">
        <w:rPr>
          <w:b/>
          <w:color w:val="000000" w:themeColor="text1"/>
        </w:rPr>
        <w:br w:type="page"/>
      </w:r>
    </w:p>
    <w:p w14:paraId="160DD6A9" w14:textId="77777777" w:rsidR="000E4C0F" w:rsidRPr="000E4C0F" w:rsidRDefault="000E4C0F" w:rsidP="000E4C0F">
      <w:pPr>
        <w:pStyle w:val="Heading1"/>
        <w:spacing w:line="480" w:lineRule="auto"/>
        <w:rPr>
          <w:rFonts w:ascii="Times New Roman" w:hAnsi="Times New Roman" w:cs="Times New Roman"/>
          <w:b/>
          <w:color w:val="000000" w:themeColor="text1"/>
          <w:sz w:val="24"/>
          <w:szCs w:val="24"/>
        </w:rPr>
      </w:pPr>
      <w:r w:rsidRPr="000E4C0F">
        <w:rPr>
          <w:rFonts w:ascii="Times New Roman" w:hAnsi="Times New Roman" w:cs="Times New Roman"/>
          <w:color w:val="000000" w:themeColor="text1"/>
          <w:sz w:val="24"/>
          <w:szCs w:val="24"/>
        </w:rPr>
        <w:lastRenderedPageBreak/>
        <w:t>Appendix A</w:t>
      </w:r>
    </w:p>
    <w:p w14:paraId="2BF0C2C6" w14:textId="77777777" w:rsidR="000E4C0F" w:rsidRPr="000E4C0F" w:rsidRDefault="000E4C0F" w:rsidP="000E4C0F">
      <w:pPr>
        <w:rPr>
          <w:color w:val="000000" w:themeColor="text1"/>
        </w:rPr>
      </w:pPr>
      <w:r w:rsidRPr="000E4C0F">
        <w:rPr>
          <w:color w:val="000000" w:themeColor="text1"/>
        </w:rPr>
        <w:t>Tables</w:t>
      </w:r>
    </w:p>
    <w:p w14:paraId="4E6CF44E" w14:textId="77777777" w:rsidR="000E4C0F" w:rsidRPr="000E4C0F" w:rsidRDefault="000E4C0F" w:rsidP="000E4C0F">
      <w:pPr>
        <w:rPr>
          <w:color w:val="000000" w:themeColor="text1"/>
        </w:rPr>
      </w:pPr>
    </w:p>
    <w:tbl>
      <w:tblPr>
        <w:tblW w:w="7188" w:type="dxa"/>
        <w:jc w:val="center"/>
        <w:tblLook w:val="04A0" w:firstRow="1" w:lastRow="0" w:firstColumn="1" w:lastColumn="0" w:noHBand="0" w:noVBand="1"/>
      </w:tblPr>
      <w:tblGrid>
        <w:gridCol w:w="1300"/>
        <w:gridCol w:w="1070"/>
        <w:gridCol w:w="1428"/>
        <w:gridCol w:w="1955"/>
        <w:gridCol w:w="1428"/>
        <w:gridCol w:w="7"/>
      </w:tblGrid>
      <w:tr w:rsidR="006D3773" w:rsidRPr="000E4C0F" w14:paraId="361B689C" w14:textId="77777777" w:rsidTr="001D7160">
        <w:trPr>
          <w:gridAfter w:val="1"/>
          <w:wAfter w:w="7" w:type="dxa"/>
          <w:trHeight w:val="380"/>
          <w:jc w:val="center"/>
        </w:trPr>
        <w:tc>
          <w:tcPr>
            <w:tcW w:w="7181" w:type="dxa"/>
            <w:gridSpan w:val="5"/>
            <w:tcBorders>
              <w:top w:val="single" w:sz="4" w:space="0" w:color="auto"/>
              <w:left w:val="nil"/>
              <w:bottom w:val="single" w:sz="4" w:space="0" w:color="auto"/>
              <w:right w:val="single" w:sz="4" w:space="0" w:color="000000"/>
            </w:tcBorders>
            <w:shd w:val="clear" w:color="auto" w:fill="auto"/>
            <w:vAlign w:val="center"/>
          </w:tcPr>
          <w:p w14:paraId="40F5F095" w14:textId="17E3D570" w:rsidR="006D3773" w:rsidRPr="000E4C0F" w:rsidRDefault="006D3773" w:rsidP="000E4C0F">
            <w:pPr>
              <w:jc w:val="center"/>
              <w:rPr>
                <w:color w:val="000000" w:themeColor="text1"/>
              </w:rPr>
            </w:pPr>
            <w:r>
              <w:rPr>
                <w:color w:val="000000" w:themeColor="text1"/>
              </w:rPr>
              <w:t>Bulk Density (g cm</w:t>
            </w:r>
            <w:r w:rsidRPr="00CC7B8F">
              <w:rPr>
                <w:color w:val="000000" w:themeColor="text1"/>
                <w:vertAlign w:val="superscript"/>
              </w:rPr>
              <w:t>-3</w:t>
            </w:r>
            <w:r>
              <w:rPr>
                <w:color w:val="000000" w:themeColor="text1"/>
              </w:rPr>
              <w:t>)</w:t>
            </w:r>
          </w:p>
        </w:tc>
      </w:tr>
      <w:tr w:rsidR="000E4C0F" w:rsidRPr="000E4C0F" w14:paraId="1BE16DB3" w14:textId="77777777" w:rsidTr="0007491F">
        <w:trPr>
          <w:gridAfter w:val="1"/>
          <w:wAfter w:w="7" w:type="dxa"/>
          <w:trHeight w:val="380"/>
          <w:jc w:val="center"/>
        </w:trPr>
        <w:tc>
          <w:tcPr>
            <w:tcW w:w="2370" w:type="dxa"/>
            <w:gridSpan w:val="2"/>
            <w:tcBorders>
              <w:top w:val="single" w:sz="4" w:space="0" w:color="auto"/>
              <w:left w:val="nil"/>
              <w:bottom w:val="single" w:sz="4" w:space="0" w:color="auto"/>
              <w:right w:val="single" w:sz="4" w:space="0" w:color="000000"/>
            </w:tcBorders>
            <w:shd w:val="clear" w:color="auto" w:fill="auto"/>
            <w:vAlign w:val="center"/>
            <w:hideMark/>
          </w:tcPr>
          <w:p w14:paraId="44E52E06" w14:textId="77777777" w:rsidR="000E4C0F" w:rsidRPr="000E4C0F" w:rsidRDefault="000E4C0F" w:rsidP="000E4C0F">
            <w:pPr>
              <w:jc w:val="center"/>
              <w:rPr>
                <w:color w:val="000000" w:themeColor="text1"/>
              </w:rPr>
            </w:pPr>
            <w:r w:rsidRPr="000E4C0F">
              <w:rPr>
                <w:color w:val="000000" w:themeColor="text1"/>
              </w:rPr>
              <w:t>Year</w:t>
            </w:r>
          </w:p>
        </w:tc>
        <w:tc>
          <w:tcPr>
            <w:tcW w:w="1428" w:type="dxa"/>
            <w:tcBorders>
              <w:top w:val="single" w:sz="4" w:space="0" w:color="auto"/>
              <w:left w:val="nil"/>
              <w:bottom w:val="single" w:sz="4" w:space="0" w:color="auto"/>
              <w:right w:val="single" w:sz="4" w:space="0" w:color="auto"/>
            </w:tcBorders>
            <w:shd w:val="clear" w:color="auto" w:fill="auto"/>
            <w:vAlign w:val="center"/>
            <w:hideMark/>
          </w:tcPr>
          <w:p w14:paraId="27238648" w14:textId="77777777" w:rsidR="000E4C0F" w:rsidRPr="000E4C0F" w:rsidRDefault="000E4C0F" w:rsidP="000E4C0F">
            <w:pPr>
              <w:jc w:val="center"/>
              <w:rPr>
                <w:color w:val="000000" w:themeColor="text1"/>
              </w:rPr>
            </w:pPr>
            <w:r w:rsidRPr="000E4C0F">
              <w:rPr>
                <w:color w:val="000000" w:themeColor="text1"/>
              </w:rPr>
              <w:t>2019</w:t>
            </w:r>
          </w:p>
        </w:tc>
        <w:tc>
          <w:tcPr>
            <w:tcW w:w="1955" w:type="dxa"/>
            <w:tcBorders>
              <w:top w:val="single" w:sz="4" w:space="0" w:color="auto"/>
              <w:left w:val="nil"/>
              <w:bottom w:val="single" w:sz="4" w:space="0" w:color="auto"/>
              <w:right w:val="single" w:sz="4" w:space="0" w:color="auto"/>
            </w:tcBorders>
            <w:shd w:val="clear" w:color="auto" w:fill="auto"/>
            <w:vAlign w:val="center"/>
            <w:hideMark/>
          </w:tcPr>
          <w:p w14:paraId="18E3336D" w14:textId="77777777" w:rsidR="000E4C0F" w:rsidRPr="000E4C0F" w:rsidRDefault="000E4C0F" w:rsidP="000E4C0F">
            <w:pPr>
              <w:jc w:val="center"/>
              <w:rPr>
                <w:color w:val="000000" w:themeColor="text1"/>
              </w:rPr>
            </w:pPr>
            <w:r w:rsidRPr="000E4C0F">
              <w:rPr>
                <w:color w:val="000000" w:themeColor="text1"/>
              </w:rPr>
              <w:t>2022</w:t>
            </w:r>
          </w:p>
        </w:tc>
        <w:tc>
          <w:tcPr>
            <w:tcW w:w="1428" w:type="dxa"/>
            <w:tcBorders>
              <w:top w:val="single" w:sz="4" w:space="0" w:color="auto"/>
              <w:left w:val="nil"/>
              <w:bottom w:val="single" w:sz="4" w:space="0" w:color="auto"/>
              <w:right w:val="nil"/>
            </w:tcBorders>
            <w:shd w:val="clear" w:color="auto" w:fill="auto"/>
            <w:vAlign w:val="center"/>
            <w:hideMark/>
          </w:tcPr>
          <w:p w14:paraId="5F38AA12" w14:textId="77777777" w:rsidR="000E4C0F" w:rsidRPr="000E4C0F" w:rsidRDefault="000E4C0F" w:rsidP="000E4C0F">
            <w:pPr>
              <w:jc w:val="center"/>
              <w:rPr>
                <w:color w:val="000000" w:themeColor="text1"/>
              </w:rPr>
            </w:pPr>
            <w:r w:rsidRPr="000E4C0F">
              <w:rPr>
                <w:color w:val="000000" w:themeColor="text1"/>
              </w:rPr>
              <w:t>2023</w:t>
            </w:r>
          </w:p>
        </w:tc>
      </w:tr>
      <w:tr w:rsidR="000E4C0F" w:rsidRPr="000E4C0F" w14:paraId="6F5D8040" w14:textId="77777777" w:rsidTr="0007491F">
        <w:trPr>
          <w:trHeight w:val="360"/>
          <w:jc w:val="center"/>
        </w:trPr>
        <w:tc>
          <w:tcPr>
            <w:tcW w:w="1300" w:type="dxa"/>
            <w:tcBorders>
              <w:top w:val="nil"/>
              <w:left w:val="nil"/>
              <w:bottom w:val="single" w:sz="4" w:space="0" w:color="auto"/>
              <w:right w:val="single" w:sz="4" w:space="0" w:color="auto"/>
            </w:tcBorders>
            <w:shd w:val="clear" w:color="auto" w:fill="auto"/>
            <w:vAlign w:val="center"/>
            <w:hideMark/>
          </w:tcPr>
          <w:p w14:paraId="323A3ADA" w14:textId="77777777" w:rsidR="000E4C0F" w:rsidRPr="000E4C0F" w:rsidRDefault="000E4C0F" w:rsidP="000E4C0F">
            <w:pPr>
              <w:jc w:val="center"/>
              <w:rPr>
                <w:color w:val="000000" w:themeColor="text1"/>
              </w:rPr>
            </w:pPr>
            <w:r w:rsidRPr="000E4C0F">
              <w:rPr>
                <w:color w:val="000000" w:themeColor="text1"/>
              </w:rPr>
              <w:t>Depth</w:t>
            </w:r>
          </w:p>
        </w:tc>
        <w:tc>
          <w:tcPr>
            <w:tcW w:w="5888" w:type="dxa"/>
            <w:gridSpan w:val="5"/>
            <w:tcBorders>
              <w:top w:val="single" w:sz="4" w:space="0" w:color="auto"/>
              <w:left w:val="nil"/>
              <w:bottom w:val="single" w:sz="4" w:space="0" w:color="auto"/>
              <w:right w:val="nil"/>
            </w:tcBorders>
            <w:shd w:val="clear" w:color="auto" w:fill="auto"/>
            <w:vAlign w:val="center"/>
            <w:hideMark/>
          </w:tcPr>
          <w:p w14:paraId="7EF09A54" w14:textId="77777777" w:rsidR="000E4C0F" w:rsidRPr="000E4C0F" w:rsidRDefault="000E4C0F" w:rsidP="000E4C0F">
            <w:pPr>
              <w:jc w:val="center"/>
              <w:rPr>
                <w:color w:val="000000" w:themeColor="text1"/>
              </w:rPr>
            </w:pPr>
            <w:r w:rsidRPr="000E4C0F">
              <w:rPr>
                <w:color w:val="000000" w:themeColor="text1"/>
              </w:rPr>
              <w:t>0-5 cm</w:t>
            </w:r>
          </w:p>
        </w:tc>
      </w:tr>
      <w:tr w:rsidR="000E4C0F" w:rsidRPr="000E4C0F" w14:paraId="7933BE24" w14:textId="77777777" w:rsidTr="0007491F">
        <w:trPr>
          <w:gridAfter w:val="1"/>
          <w:wAfter w:w="7" w:type="dxa"/>
          <w:trHeight w:val="360"/>
          <w:jc w:val="center"/>
        </w:trPr>
        <w:tc>
          <w:tcPr>
            <w:tcW w:w="1300" w:type="dxa"/>
            <w:vMerge w:val="restart"/>
            <w:tcBorders>
              <w:top w:val="nil"/>
              <w:left w:val="nil"/>
              <w:bottom w:val="single" w:sz="4" w:space="0" w:color="000000"/>
              <w:right w:val="single" w:sz="4" w:space="0" w:color="auto"/>
            </w:tcBorders>
            <w:shd w:val="clear" w:color="auto" w:fill="auto"/>
            <w:textDirection w:val="btLr"/>
            <w:vAlign w:val="center"/>
            <w:hideMark/>
          </w:tcPr>
          <w:p w14:paraId="710DFB47" w14:textId="77777777" w:rsidR="000E4C0F" w:rsidRPr="000E4C0F" w:rsidRDefault="000E4C0F" w:rsidP="000E4C0F">
            <w:pPr>
              <w:jc w:val="center"/>
              <w:rPr>
                <w:color w:val="000000" w:themeColor="text1"/>
              </w:rPr>
            </w:pPr>
            <w:r w:rsidRPr="000E4C0F">
              <w:rPr>
                <w:color w:val="000000" w:themeColor="text1"/>
              </w:rPr>
              <w:t>Tillage Treatment</w:t>
            </w:r>
          </w:p>
        </w:tc>
        <w:tc>
          <w:tcPr>
            <w:tcW w:w="1070" w:type="dxa"/>
            <w:tcBorders>
              <w:top w:val="nil"/>
              <w:left w:val="nil"/>
              <w:bottom w:val="single" w:sz="4" w:space="0" w:color="auto"/>
              <w:right w:val="single" w:sz="4" w:space="0" w:color="auto"/>
            </w:tcBorders>
            <w:shd w:val="clear" w:color="auto" w:fill="auto"/>
            <w:vAlign w:val="center"/>
            <w:hideMark/>
          </w:tcPr>
          <w:p w14:paraId="406DBF84" w14:textId="77777777" w:rsidR="000E4C0F" w:rsidRPr="000E4C0F" w:rsidRDefault="000E4C0F" w:rsidP="000E4C0F">
            <w:pPr>
              <w:jc w:val="center"/>
              <w:rPr>
                <w:color w:val="000000" w:themeColor="text1"/>
              </w:rPr>
            </w:pPr>
            <w:r w:rsidRPr="000E4C0F">
              <w:rPr>
                <w:color w:val="000000" w:themeColor="text1"/>
              </w:rPr>
              <w:t>CT</w:t>
            </w:r>
          </w:p>
        </w:tc>
        <w:tc>
          <w:tcPr>
            <w:tcW w:w="1428" w:type="dxa"/>
            <w:tcBorders>
              <w:top w:val="nil"/>
              <w:left w:val="nil"/>
              <w:bottom w:val="single" w:sz="4" w:space="0" w:color="auto"/>
              <w:right w:val="nil"/>
            </w:tcBorders>
            <w:shd w:val="clear" w:color="auto" w:fill="auto"/>
            <w:vAlign w:val="center"/>
            <w:hideMark/>
          </w:tcPr>
          <w:p w14:paraId="4D58F402" w14:textId="77777777" w:rsidR="000E4C0F" w:rsidRPr="000E4C0F" w:rsidRDefault="000E4C0F" w:rsidP="000E4C0F">
            <w:pPr>
              <w:jc w:val="center"/>
              <w:rPr>
                <w:color w:val="000000" w:themeColor="text1"/>
              </w:rPr>
            </w:pPr>
            <w:r w:rsidRPr="000E4C0F">
              <w:rPr>
                <w:color w:val="000000" w:themeColor="text1"/>
              </w:rPr>
              <w:t>1.59 ± 0.07</w:t>
            </w:r>
          </w:p>
        </w:tc>
        <w:tc>
          <w:tcPr>
            <w:tcW w:w="1955" w:type="dxa"/>
            <w:tcBorders>
              <w:top w:val="nil"/>
              <w:left w:val="nil"/>
              <w:bottom w:val="single" w:sz="4" w:space="0" w:color="auto"/>
              <w:right w:val="nil"/>
            </w:tcBorders>
            <w:shd w:val="clear" w:color="auto" w:fill="auto"/>
            <w:vAlign w:val="center"/>
            <w:hideMark/>
          </w:tcPr>
          <w:p w14:paraId="6895CE63" w14:textId="77777777" w:rsidR="000E4C0F" w:rsidRPr="000E4C0F" w:rsidRDefault="000E4C0F" w:rsidP="000E4C0F">
            <w:pPr>
              <w:ind w:firstLineChars="100" w:firstLine="240"/>
              <w:rPr>
                <w:color w:val="000000" w:themeColor="text1"/>
              </w:rPr>
            </w:pPr>
            <w:r w:rsidRPr="000E4C0F">
              <w:rPr>
                <w:color w:val="000000" w:themeColor="text1"/>
              </w:rPr>
              <w:t xml:space="preserve">1.26 ± 0.09 </w:t>
            </w:r>
            <w:proofErr w:type="spellStart"/>
            <w:r w:rsidRPr="000E4C0F">
              <w:rPr>
                <w:color w:val="000000" w:themeColor="text1"/>
              </w:rPr>
              <w:t>bc</w:t>
            </w:r>
            <w:proofErr w:type="spellEnd"/>
          </w:p>
        </w:tc>
        <w:tc>
          <w:tcPr>
            <w:tcW w:w="1428" w:type="dxa"/>
            <w:tcBorders>
              <w:top w:val="nil"/>
              <w:left w:val="nil"/>
              <w:bottom w:val="single" w:sz="4" w:space="0" w:color="auto"/>
              <w:right w:val="nil"/>
            </w:tcBorders>
            <w:shd w:val="clear" w:color="auto" w:fill="auto"/>
            <w:vAlign w:val="center"/>
            <w:hideMark/>
          </w:tcPr>
          <w:p w14:paraId="561B87C0" w14:textId="77777777" w:rsidR="000E4C0F" w:rsidRPr="000E4C0F" w:rsidRDefault="000E4C0F" w:rsidP="000E4C0F">
            <w:pPr>
              <w:jc w:val="center"/>
              <w:rPr>
                <w:color w:val="000000" w:themeColor="text1"/>
              </w:rPr>
            </w:pPr>
            <w:r w:rsidRPr="000E4C0F">
              <w:rPr>
                <w:color w:val="000000" w:themeColor="text1"/>
              </w:rPr>
              <w:t>1.45 ±0.17</w:t>
            </w:r>
          </w:p>
        </w:tc>
      </w:tr>
      <w:tr w:rsidR="000E4C0F" w:rsidRPr="000E4C0F" w14:paraId="73B520AC"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511272C6"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4BC9EDF8" w14:textId="77777777" w:rsidR="000E4C0F" w:rsidRPr="000E4C0F" w:rsidRDefault="000E4C0F" w:rsidP="000E4C0F">
            <w:pPr>
              <w:jc w:val="center"/>
              <w:rPr>
                <w:color w:val="000000" w:themeColor="text1"/>
              </w:rPr>
            </w:pPr>
            <w:r w:rsidRPr="000E4C0F">
              <w:rPr>
                <w:color w:val="000000" w:themeColor="text1"/>
              </w:rPr>
              <w:t>ST</w:t>
            </w:r>
          </w:p>
        </w:tc>
        <w:tc>
          <w:tcPr>
            <w:tcW w:w="1428" w:type="dxa"/>
            <w:tcBorders>
              <w:top w:val="nil"/>
              <w:left w:val="nil"/>
              <w:bottom w:val="single" w:sz="4" w:space="0" w:color="auto"/>
              <w:right w:val="nil"/>
            </w:tcBorders>
            <w:shd w:val="clear" w:color="auto" w:fill="auto"/>
            <w:vAlign w:val="center"/>
            <w:hideMark/>
          </w:tcPr>
          <w:p w14:paraId="1CBB2D58" w14:textId="77777777" w:rsidR="000E4C0F" w:rsidRPr="000E4C0F" w:rsidRDefault="000E4C0F" w:rsidP="000E4C0F">
            <w:pPr>
              <w:jc w:val="center"/>
              <w:rPr>
                <w:color w:val="000000" w:themeColor="text1"/>
              </w:rPr>
            </w:pPr>
            <w:r w:rsidRPr="000E4C0F">
              <w:rPr>
                <w:color w:val="000000" w:themeColor="text1"/>
              </w:rPr>
              <w:t>1.59 ± 0.09</w:t>
            </w:r>
          </w:p>
        </w:tc>
        <w:tc>
          <w:tcPr>
            <w:tcW w:w="1955" w:type="dxa"/>
            <w:tcBorders>
              <w:top w:val="nil"/>
              <w:left w:val="nil"/>
              <w:bottom w:val="single" w:sz="4" w:space="0" w:color="auto"/>
              <w:right w:val="nil"/>
            </w:tcBorders>
            <w:shd w:val="clear" w:color="auto" w:fill="auto"/>
            <w:vAlign w:val="center"/>
            <w:hideMark/>
          </w:tcPr>
          <w:p w14:paraId="53C7522C" w14:textId="77777777" w:rsidR="000E4C0F" w:rsidRPr="000E4C0F" w:rsidRDefault="000E4C0F" w:rsidP="000E4C0F">
            <w:pPr>
              <w:ind w:firstLineChars="100" w:firstLine="240"/>
              <w:rPr>
                <w:color w:val="000000" w:themeColor="text1"/>
              </w:rPr>
            </w:pPr>
            <w:r w:rsidRPr="000E4C0F">
              <w:rPr>
                <w:color w:val="000000" w:themeColor="text1"/>
              </w:rPr>
              <w:t>1.29 ± 0.12 c</w:t>
            </w:r>
          </w:p>
        </w:tc>
        <w:tc>
          <w:tcPr>
            <w:tcW w:w="1428" w:type="dxa"/>
            <w:tcBorders>
              <w:top w:val="nil"/>
              <w:left w:val="nil"/>
              <w:bottom w:val="single" w:sz="4" w:space="0" w:color="auto"/>
              <w:right w:val="nil"/>
            </w:tcBorders>
            <w:shd w:val="clear" w:color="auto" w:fill="auto"/>
            <w:vAlign w:val="center"/>
            <w:hideMark/>
          </w:tcPr>
          <w:p w14:paraId="20A84D95" w14:textId="77777777" w:rsidR="000E4C0F" w:rsidRPr="000E4C0F" w:rsidRDefault="000E4C0F" w:rsidP="000E4C0F">
            <w:pPr>
              <w:jc w:val="center"/>
              <w:rPr>
                <w:color w:val="000000" w:themeColor="text1"/>
              </w:rPr>
            </w:pPr>
            <w:r w:rsidRPr="000E4C0F">
              <w:rPr>
                <w:color w:val="000000" w:themeColor="text1"/>
              </w:rPr>
              <w:t>1.47±0.18</w:t>
            </w:r>
          </w:p>
        </w:tc>
      </w:tr>
      <w:tr w:rsidR="000E4C0F" w:rsidRPr="000E4C0F" w14:paraId="3177F83B"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06B354A2"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28C27EEE" w14:textId="77777777" w:rsidR="000E4C0F" w:rsidRPr="000E4C0F" w:rsidRDefault="000E4C0F" w:rsidP="000E4C0F">
            <w:pPr>
              <w:jc w:val="center"/>
              <w:rPr>
                <w:color w:val="000000" w:themeColor="text1"/>
              </w:rPr>
            </w:pPr>
            <w:r w:rsidRPr="000E4C0F">
              <w:rPr>
                <w:color w:val="000000" w:themeColor="text1"/>
              </w:rPr>
              <w:t>MT</w:t>
            </w:r>
          </w:p>
        </w:tc>
        <w:tc>
          <w:tcPr>
            <w:tcW w:w="1428" w:type="dxa"/>
            <w:tcBorders>
              <w:top w:val="nil"/>
              <w:left w:val="nil"/>
              <w:bottom w:val="single" w:sz="4" w:space="0" w:color="auto"/>
              <w:right w:val="nil"/>
            </w:tcBorders>
            <w:shd w:val="clear" w:color="auto" w:fill="auto"/>
            <w:vAlign w:val="center"/>
            <w:hideMark/>
          </w:tcPr>
          <w:p w14:paraId="488C2D27" w14:textId="77777777" w:rsidR="000E4C0F" w:rsidRPr="000E4C0F" w:rsidRDefault="000E4C0F" w:rsidP="000E4C0F">
            <w:pPr>
              <w:jc w:val="center"/>
              <w:rPr>
                <w:color w:val="000000" w:themeColor="text1"/>
              </w:rPr>
            </w:pPr>
            <w:r w:rsidRPr="000E4C0F">
              <w:rPr>
                <w:color w:val="000000" w:themeColor="text1"/>
              </w:rPr>
              <w:t>1.59 ± 0.08</w:t>
            </w:r>
          </w:p>
        </w:tc>
        <w:tc>
          <w:tcPr>
            <w:tcW w:w="1955" w:type="dxa"/>
            <w:tcBorders>
              <w:top w:val="nil"/>
              <w:left w:val="nil"/>
              <w:bottom w:val="single" w:sz="4" w:space="0" w:color="auto"/>
              <w:right w:val="nil"/>
            </w:tcBorders>
            <w:shd w:val="clear" w:color="auto" w:fill="auto"/>
            <w:vAlign w:val="center"/>
            <w:hideMark/>
          </w:tcPr>
          <w:p w14:paraId="44AD0FF4" w14:textId="77777777" w:rsidR="000E4C0F" w:rsidRPr="000E4C0F" w:rsidRDefault="000E4C0F" w:rsidP="000E4C0F">
            <w:pPr>
              <w:ind w:firstLineChars="100" w:firstLine="240"/>
              <w:rPr>
                <w:color w:val="000000" w:themeColor="text1"/>
              </w:rPr>
            </w:pPr>
            <w:r w:rsidRPr="000E4C0F">
              <w:rPr>
                <w:color w:val="000000" w:themeColor="text1"/>
              </w:rPr>
              <w:t>1.41 ± 0.13 ab</w:t>
            </w:r>
          </w:p>
        </w:tc>
        <w:tc>
          <w:tcPr>
            <w:tcW w:w="1428" w:type="dxa"/>
            <w:tcBorders>
              <w:top w:val="nil"/>
              <w:left w:val="nil"/>
              <w:bottom w:val="single" w:sz="4" w:space="0" w:color="auto"/>
              <w:right w:val="nil"/>
            </w:tcBorders>
            <w:shd w:val="clear" w:color="auto" w:fill="auto"/>
            <w:vAlign w:val="center"/>
            <w:hideMark/>
          </w:tcPr>
          <w:p w14:paraId="3E49D4DD" w14:textId="77777777" w:rsidR="000E4C0F" w:rsidRPr="000E4C0F" w:rsidRDefault="000E4C0F" w:rsidP="000E4C0F">
            <w:pPr>
              <w:jc w:val="center"/>
              <w:rPr>
                <w:color w:val="000000" w:themeColor="text1"/>
              </w:rPr>
            </w:pPr>
            <w:r w:rsidRPr="000E4C0F">
              <w:rPr>
                <w:color w:val="000000" w:themeColor="text1"/>
              </w:rPr>
              <w:t>1.37±0.15</w:t>
            </w:r>
          </w:p>
        </w:tc>
      </w:tr>
      <w:tr w:rsidR="000E4C0F" w:rsidRPr="000E4C0F" w14:paraId="79CD9F56"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627AB005"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17BF9FB0" w14:textId="77777777" w:rsidR="000E4C0F" w:rsidRPr="000E4C0F" w:rsidRDefault="000E4C0F" w:rsidP="000E4C0F">
            <w:pPr>
              <w:jc w:val="center"/>
              <w:rPr>
                <w:color w:val="000000" w:themeColor="text1"/>
              </w:rPr>
            </w:pPr>
            <w:r w:rsidRPr="000E4C0F">
              <w:rPr>
                <w:color w:val="000000" w:themeColor="text1"/>
              </w:rPr>
              <w:t>NT</w:t>
            </w:r>
          </w:p>
        </w:tc>
        <w:tc>
          <w:tcPr>
            <w:tcW w:w="1428" w:type="dxa"/>
            <w:tcBorders>
              <w:top w:val="nil"/>
              <w:left w:val="nil"/>
              <w:bottom w:val="single" w:sz="4" w:space="0" w:color="auto"/>
              <w:right w:val="nil"/>
            </w:tcBorders>
            <w:shd w:val="clear" w:color="auto" w:fill="auto"/>
            <w:vAlign w:val="center"/>
            <w:hideMark/>
          </w:tcPr>
          <w:p w14:paraId="2D5DDDAF" w14:textId="77777777" w:rsidR="000E4C0F" w:rsidRPr="000E4C0F" w:rsidRDefault="000E4C0F" w:rsidP="000E4C0F">
            <w:pPr>
              <w:jc w:val="center"/>
              <w:rPr>
                <w:color w:val="000000" w:themeColor="text1"/>
              </w:rPr>
            </w:pPr>
            <w:r w:rsidRPr="000E4C0F">
              <w:rPr>
                <w:color w:val="000000" w:themeColor="text1"/>
              </w:rPr>
              <w:t>1.57 ± 0.10</w:t>
            </w:r>
          </w:p>
        </w:tc>
        <w:tc>
          <w:tcPr>
            <w:tcW w:w="1955" w:type="dxa"/>
            <w:tcBorders>
              <w:top w:val="nil"/>
              <w:left w:val="nil"/>
              <w:bottom w:val="single" w:sz="4" w:space="0" w:color="auto"/>
              <w:right w:val="nil"/>
            </w:tcBorders>
            <w:shd w:val="clear" w:color="auto" w:fill="auto"/>
            <w:vAlign w:val="center"/>
            <w:hideMark/>
          </w:tcPr>
          <w:p w14:paraId="050E45A4" w14:textId="77777777" w:rsidR="000E4C0F" w:rsidRPr="000E4C0F" w:rsidRDefault="000E4C0F" w:rsidP="000E4C0F">
            <w:pPr>
              <w:ind w:firstLineChars="100" w:firstLine="240"/>
              <w:rPr>
                <w:color w:val="000000" w:themeColor="text1"/>
              </w:rPr>
            </w:pPr>
            <w:r w:rsidRPr="000E4C0F">
              <w:rPr>
                <w:color w:val="000000" w:themeColor="text1"/>
              </w:rPr>
              <w:t>1.47 ± 0.08 a</w:t>
            </w:r>
          </w:p>
        </w:tc>
        <w:tc>
          <w:tcPr>
            <w:tcW w:w="1428" w:type="dxa"/>
            <w:tcBorders>
              <w:top w:val="nil"/>
              <w:left w:val="nil"/>
              <w:bottom w:val="single" w:sz="4" w:space="0" w:color="auto"/>
              <w:right w:val="nil"/>
            </w:tcBorders>
            <w:shd w:val="clear" w:color="auto" w:fill="auto"/>
            <w:vAlign w:val="center"/>
            <w:hideMark/>
          </w:tcPr>
          <w:p w14:paraId="0F92477F" w14:textId="77777777" w:rsidR="000E4C0F" w:rsidRPr="000E4C0F" w:rsidRDefault="000E4C0F" w:rsidP="000E4C0F">
            <w:pPr>
              <w:jc w:val="center"/>
              <w:rPr>
                <w:color w:val="000000" w:themeColor="text1"/>
              </w:rPr>
            </w:pPr>
            <w:r w:rsidRPr="000E4C0F">
              <w:rPr>
                <w:color w:val="000000" w:themeColor="text1"/>
              </w:rPr>
              <w:t>1.43±0.12</w:t>
            </w:r>
          </w:p>
        </w:tc>
      </w:tr>
      <w:tr w:rsidR="000E4C0F" w:rsidRPr="000E4C0F" w14:paraId="4295708C"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60669C07"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5B7CA710" w14:textId="77777777" w:rsidR="000E4C0F" w:rsidRPr="000E4C0F" w:rsidRDefault="000E4C0F" w:rsidP="000E4C0F">
            <w:pPr>
              <w:jc w:val="center"/>
              <w:rPr>
                <w:color w:val="000000" w:themeColor="text1"/>
              </w:rPr>
            </w:pPr>
            <w:r w:rsidRPr="000E4C0F">
              <w:rPr>
                <w:color w:val="000000" w:themeColor="text1"/>
              </w:rPr>
              <w:t>F-value</w:t>
            </w:r>
          </w:p>
        </w:tc>
        <w:tc>
          <w:tcPr>
            <w:tcW w:w="1428" w:type="dxa"/>
            <w:tcBorders>
              <w:top w:val="nil"/>
              <w:left w:val="nil"/>
              <w:bottom w:val="single" w:sz="4" w:space="0" w:color="auto"/>
              <w:right w:val="nil"/>
            </w:tcBorders>
            <w:shd w:val="clear" w:color="auto" w:fill="auto"/>
            <w:vAlign w:val="center"/>
            <w:hideMark/>
          </w:tcPr>
          <w:p w14:paraId="5821E794" w14:textId="77777777" w:rsidR="000E4C0F" w:rsidRPr="000E4C0F" w:rsidRDefault="000E4C0F" w:rsidP="000E4C0F">
            <w:pPr>
              <w:jc w:val="center"/>
              <w:rPr>
                <w:color w:val="000000" w:themeColor="text1"/>
              </w:rPr>
            </w:pPr>
            <w:r w:rsidRPr="000E4C0F">
              <w:rPr>
                <w:color w:val="000000" w:themeColor="text1"/>
              </w:rPr>
              <w:t>-</w:t>
            </w:r>
          </w:p>
        </w:tc>
        <w:tc>
          <w:tcPr>
            <w:tcW w:w="1955" w:type="dxa"/>
            <w:tcBorders>
              <w:top w:val="nil"/>
              <w:left w:val="nil"/>
              <w:bottom w:val="single" w:sz="4" w:space="0" w:color="auto"/>
              <w:right w:val="nil"/>
            </w:tcBorders>
            <w:shd w:val="clear" w:color="auto" w:fill="auto"/>
            <w:vAlign w:val="center"/>
            <w:hideMark/>
          </w:tcPr>
          <w:p w14:paraId="27BDFFA5" w14:textId="77777777" w:rsidR="000E4C0F" w:rsidRPr="000E4C0F" w:rsidRDefault="000E4C0F" w:rsidP="000E4C0F">
            <w:pPr>
              <w:jc w:val="center"/>
              <w:rPr>
                <w:color w:val="000000" w:themeColor="text1"/>
              </w:rPr>
            </w:pPr>
            <w:r w:rsidRPr="000E4C0F">
              <w:rPr>
                <w:color w:val="000000" w:themeColor="text1"/>
              </w:rPr>
              <w:t>9.37</w:t>
            </w:r>
          </w:p>
        </w:tc>
        <w:tc>
          <w:tcPr>
            <w:tcW w:w="1428" w:type="dxa"/>
            <w:tcBorders>
              <w:top w:val="nil"/>
              <w:left w:val="nil"/>
              <w:bottom w:val="single" w:sz="4" w:space="0" w:color="auto"/>
              <w:right w:val="nil"/>
            </w:tcBorders>
            <w:shd w:val="clear" w:color="auto" w:fill="auto"/>
            <w:vAlign w:val="center"/>
            <w:hideMark/>
          </w:tcPr>
          <w:p w14:paraId="3F051F7A"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6086A0EE"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7A0B93E8"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29361E73" w14:textId="77777777" w:rsidR="000E4C0F" w:rsidRPr="000E4C0F" w:rsidRDefault="000E4C0F" w:rsidP="000E4C0F">
            <w:pPr>
              <w:jc w:val="center"/>
              <w:rPr>
                <w:color w:val="000000" w:themeColor="text1"/>
              </w:rPr>
            </w:pPr>
            <w:r w:rsidRPr="000E4C0F">
              <w:rPr>
                <w:color w:val="000000" w:themeColor="text1"/>
              </w:rPr>
              <w:t>p-value</w:t>
            </w:r>
          </w:p>
        </w:tc>
        <w:tc>
          <w:tcPr>
            <w:tcW w:w="1428" w:type="dxa"/>
            <w:tcBorders>
              <w:top w:val="nil"/>
              <w:left w:val="nil"/>
              <w:bottom w:val="single" w:sz="4" w:space="0" w:color="auto"/>
              <w:right w:val="nil"/>
            </w:tcBorders>
            <w:shd w:val="clear" w:color="auto" w:fill="auto"/>
            <w:vAlign w:val="center"/>
            <w:hideMark/>
          </w:tcPr>
          <w:p w14:paraId="1C3ADC4D" w14:textId="77777777" w:rsidR="000E4C0F" w:rsidRPr="000E4C0F" w:rsidRDefault="000E4C0F" w:rsidP="000E4C0F">
            <w:pPr>
              <w:jc w:val="center"/>
              <w:rPr>
                <w:color w:val="000000" w:themeColor="text1"/>
              </w:rPr>
            </w:pPr>
            <w:r w:rsidRPr="000E4C0F">
              <w:rPr>
                <w:color w:val="000000" w:themeColor="text1"/>
              </w:rPr>
              <w:t>-</w:t>
            </w:r>
          </w:p>
        </w:tc>
        <w:tc>
          <w:tcPr>
            <w:tcW w:w="1955" w:type="dxa"/>
            <w:tcBorders>
              <w:top w:val="nil"/>
              <w:left w:val="nil"/>
              <w:bottom w:val="single" w:sz="4" w:space="0" w:color="auto"/>
              <w:right w:val="nil"/>
            </w:tcBorders>
            <w:shd w:val="clear" w:color="auto" w:fill="auto"/>
            <w:vAlign w:val="center"/>
            <w:hideMark/>
          </w:tcPr>
          <w:p w14:paraId="19222422" w14:textId="77777777" w:rsidR="000E4C0F" w:rsidRPr="000E4C0F" w:rsidRDefault="000E4C0F" w:rsidP="000E4C0F">
            <w:pPr>
              <w:jc w:val="center"/>
              <w:rPr>
                <w:color w:val="000000" w:themeColor="text1"/>
              </w:rPr>
            </w:pPr>
            <w:r w:rsidRPr="000E4C0F">
              <w:rPr>
                <w:color w:val="000000" w:themeColor="text1"/>
              </w:rPr>
              <w:t>0.004</w:t>
            </w:r>
          </w:p>
        </w:tc>
        <w:tc>
          <w:tcPr>
            <w:tcW w:w="1428" w:type="dxa"/>
            <w:tcBorders>
              <w:top w:val="nil"/>
              <w:left w:val="nil"/>
              <w:bottom w:val="single" w:sz="4" w:space="0" w:color="auto"/>
              <w:right w:val="nil"/>
            </w:tcBorders>
            <w:shd w:val="clear" w:color="auto" w:fill="auto"/>
            <w:vAlign w:val="center"/>
            <w:hideMark/>
          </w:tcPr>
          <w:p w14:paraId="4DD0DBA1"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033A3A1E" w14:textId="77777777" w:rsidTr="0007491F">
        <w:trPr>
          <w:trHeight w:val="340"/>
          <w:jc w:val="center"/>
        </w:trPr>
        <w:tc>
          <w:tcPr>
            <w:tcW w:w="1300" w:type="dxa"/>
            <w:tcBorders>
              <w:top w:val="nil"/>
              <w:left w:val="nil"/>
              <w:bottom w:val="single" w:sz="4" w:space="0" w:color="auto"/>
              <w:right w:val="single" w:sz="4" w:space="0" w:color="auto"/>
            </w:tcBorders>
            <w:shd w:val="clear" w:color="auto" w:fill="auto"/>
            <w:vAlign w:val="center"/>
            <w:hideMark/>
          </w:tcPr>
          <w:p w14:paraId="27D8A474" w14:textId="77777777" w:rsidR="000E4C0F" w:rsidRPr="000E4C0F" w:rsidRDefault="000E4C0F" w:rsidP="000E4C0F">
            <w:pPr>
              <w:jc w:val="center"/>
              <w:rPr>
                <w:color w:val="000000" w:themeColor="text1"/>
              </w:rPr>
            </w:pPr>
            <w:r w:rsidRPr="000E4C0F">
              <w:rPr>
                <w:color w:val="000000" w:themeColor="text1"/>
              </w:rPr>
              <w:t>Depth</w:t>
            </w:r>
          </w:p>
        </w:tc>
        <w:tc>
          <w:tcPr>
            <w:tcW w:w="5888" w:type="dxa"/>
            <w:gridSpan w:val="5"/>
            <w:tcBorders>
              <w:top w:val="nil"/>
              <w:left w:val="nil"/>
              <w:bottom w:val="single" w:sz="4" w:space="0" w:color="auto"/>
              <w:right w:val="nil"/>
            </w:tcBorders>
            <w:shd w:val="clear" w:color="auto" w:fill="auto"/>
            <w:vAlign w:val="center"/>
            <w:hideMark/>
          </w:tcPr>
          <w:p w14:paraId="3D29AF63" w14:textId="77777777" w:rsidR="000E4C0F" w:rsidRPr="000E4C0F" w:rsidRDefault="000E4C0F" w:rsidP="000E4C0F">
            <w:pPr>
              <w:jc w:val="center"/>
              <w:rPr>
                <w:color w:val="000000" w:themeColor="text1"/>
              </w:rPr>
            </w:pPr>
            <w:r w:rsidRPr="000E4C0F">
              <w:rPr>
                <w:color w:val="000000" w:themeColor="text1"/>
              </w:rPr>
              <w:t>5-10 cm</w:t>
            </w:r>
          </w:p>
        </w:tc>
      </w:tr>
      <w:tr w:rsidR="000E4C0F" w:rsidRPr="000E4C0F" w14:paraId="5EEE0AB2" w14:textId="77777777" w:rsidTr="0007491F">
        <w:trPr>
          <w:gridAfter w:val="1"/>
          <w:wAfter w:w="7" w:type="dxa"/>
          <w:trHeight w:val="360"/>
          <w:jc w:val="center"/>
        </w:trPr>
        <w:tc>
          <w:tcPr>
            <w:tcW w:w="1300" w:type="dxa"/>
            <w:vMerge w:val="restart"/>
            <w:tcBorders>
              <w:top w:val="nil"/>
              <w:left w:val="nil"/>
              <w:bottom w:val="single" w:sz="4" w:space="0" w:color="000000"/>
              <w:right w:val="single" w:sz="4" w:space="0" w:color="auto"/>
            </w:tcBorders>
            <w:shd w:val="clear" w:color="auto" w:fill="auto"/>
            <w:textDirection w:val="btLr"/>
            <w:vAlign w:val="center"/>
            <w:hideMark/>
          </w:tcPr>
          <w:p w14:paraId="6BD43982" w14:textId="77777777" w:rsidR="000E4C0F" w:rsidRPr="000E4C0F" w:rsidRDefault="000E4C0F" w:rsidP="000E4C0F">
            <w:pPr>
              <w:jc w:val="center"/>
              <w:rPr>
                <w:color w:val="000000" w:themeColor="text1"/>
              </w:rPr>
            </w:pPr>
            <w:r w:rsidRPr="000E4C0F">
              <w:rPr>
                <w:color w:val="000000" w:themeColor="text1"/>
              </w:rPr>
              <w:t>Tillage Treatment</w:t>
            </w:r>
          </w:p>
        </w:tc>
        <w:tc>
          <w:tcPr>
            <w:tcW w:w="1070" w:type="dxa"/>
            <w:tcBorders>
              <w:top w:val="nil"/>
              <w:left w:val="nil"/>
              <w:bottom w:val="single" w:sz="4" w:space="0" w:color="auto"/>
              <w:right w:val="single" w:sz="4" w:space="0" w:color="auto"/>
            </w:tcBorders>
            <w:shd w:val="clear" w:color="auto" w:fill="auto"/>
            <w:vAlign w:val="center"/>
            <w:hideMark/>
          </w:tcPr>
          <w:p w14:paraId="47AF1B4D" w14:textId="77777777" w:rsidR="000E4C0F" w:rsidRPr="000E4C0F" w:rsidRDefault="000E4C0F" w:rsidP="000E4C0F">
            <w:pPr>
              <w:jc w:val="center"/>
              <w:rPr>
                <w:color w:val="000000" w:themeColor="text1"/>
              </w:rPr>
            </w:pPr>
            <w:r w:rsidRPr="000E4C0F">
              <w:rPr>
                <w:color w:val="000000" w:themeColor="text1"/>
              </w:rPr>
              <w:t>CT</w:t>
            </w:r>
          </w:p>
        </w:tc>
        <w:tc>
          <w:tcPr>
            <w:tcW w:w="1428" w:type="dxa"/>
            <w:tcBorders>
              <w:top w:val="nil"/>
              <w:left w:val="nil"/>
              <w:bottom w:val="single" w:sz="4" w:space="0" w:color="auto"/>
              <w:right w:val="nil"/>
            </w:tcBorders>
            <w:shd w:val="clear" w:color="auto" w:fill="auto"/>
            <w:vAlign w:val="center"/>
            <w:hideMark/>
          </w:tcPr>
          <w:p w14:paraId="23B7391C" w14:textId="77777777" w:rsidR="000E4C0F" w:rsidRPr="000E4C0F" w:rsidRDefault="000E4C0F" w:rsidP="000E4C0F">
            <w:pPr>
              <w:jc w:val="center"/>
              <w:rPr>
                <w:color w:val="000000" w:themeColor="text1"/>
              </w:rPr>
            </w:pPr>
            <w:r w:rsidRPr="000E4C0F">
              <w:rPr>
                <w:color w:val="000000" w:themeColor="text1"/>
              </w:rPr>
              <w:t>1.74 ± 0.07</w:t>
            </w:r>
          </w:p>
        </w:tc>
        <w:tc>
          <w:tcPr>
            <w:tcW w:w="1955" w:type="dxa"/>
            <w:tcBorders>
              <w:top w:val="nil"/>
              <w:left w:val="nil"/>
              <w:bottom w:val="single" w:sz="4" w:space="0" w:color="auto"/>
              <w:right w:val="nil"/>
            </w:tcBorders>
            <w:shd w:val="clear" w:color="auto" w:fill="auto"/>
            <w:vAlign w:val="center"/>
            <w:hideMark/>
          </w:tcPr>
          <w:p w14:paraId="47169C5F" w14:textId="77777777" w:rsidR="000E4C0F" w:rsidRPr="000E4C0F" w:rsidRDefault="000E4C0F" w:rsidP="000E4C0F">
            <w:pPr>
              <w:ind w:firstLineChars="100" w:firstLine="240"/>
              <w:rPr>
                <w:color w:val="000000" w:themeColor="text1"/>
              </w:rPr>
            </w:pPr>
            <w:r w:rsidRPr="000E4C0F">
              <w:rPr>
                <w:color w:val="000000" w:themeColor="text1"/>
              </w:rPr>
              <w:t>1.44 ± 0.13</w:t>
            </w:r>
          </w:p>
        </w:tc>
        <w:tc>
          <w:tcPr>
            <w:tcW w:w="1428" w:type="dxa"/>
            <w:tcBorders>
              <w:top w:val="nil"/>
              <w:left w:val="nil"/>
              <w:bottom w:val="single" w:sz="4" w:space="0" w:color="auto"/>
              <w:right w:val="nil"/>
            </w:tcBorders>
            <w:shd w:val="clear" w:color="auto" w:fill="auto"/>
            <w:vAlign w:val="center"/>
            <w:hideMark/>
          </w:tcPr>
          <w:p w14:paraId="4979C100" w14:textId="77777777" w:rsidR="000E4C0F" w:rsidRPr="000E4C0F" w:rsidRDefault="000E4C0F" w:rsidP="000E4C0F">
            <w:pPr>
              <w:jc w:val="center"/>
              <w:rPr>
                <w:color w:val="000000" w:themeColor="text1"/>
              </w:rPr>
            </w:pPr>
            <w:r w:rsidRPr="000E4C0F">
              <w:rPr>
                <w:color w:val="000000" w:themeColor="text1"/>
              </w:rPr>
              <w:t>1.51 ±0.17</w:t>
            </w:r>
          </w:p>
        </w:tc>
      </w:tr>
      <w:tr w:rsidR="000E4C0F" w:rsidRPr="000E4C0F" w14:paraId="4A655C94"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6D1D2581"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1234B3B6" w14:textId="77777777" w:rsidR="000E4C0F" w:rsidRPr="000E4C0F" w:rsidRDefault="000E4C0F" w:rsidP="000E4C0F">
            <w:pPr>
              <w:jc w:val="center"/>
              <w:rPr>
                <w:color w:val="000000" w:themeColor="text1"/>
              </w:rPr>
            </w:pPr>
            <w:r w:rsidRPr="000E4C0F">
              <w:rPr>
                <w:color w:val="000000" w:themeColor="text1"/>
              </w:rPr>
              <w:t>ST</w:t>
            </w:r>
          </w:p>
        </w:tc>
        <w:tc>
          <w:tcPr>
            <w:tcW w:w="1428" w:type="dxa"/>
            <w:tcBorders>
              <w:top w:val="nil"/>
              <w:left w:val="nil"/>
              <w:bottom w:val="single" w:sz="4" w:space="0" w:color="auto"/>
              <w:right w:val="nil"/>
            </w:tcBorders>
            <w:shd w:val="clear" w:color="auto" w:fill="auto"/>
            <w:vAlign w:val="center"/>
            <w:hideMark/>
          </w:tcPr>
          <w:p w14:paraId="0ADF0BB0" w14:textId="77777777" w:rsidR="000E4C0F" w:rsidRPr="000E4C0F" w:rsidRDefault="000E4C0F" w:rsidP="000E4C0F">
            <w:pPr>
              <w:jc w:val="center"/>
              <w:rPr>
                <w:color w:val="000000" w:themeColor="text1"/>
              </w:rPr>
            </w:pPr>
            <w:r w:rsidRPr="000E4C0F">
              <w:rPr>
                <w:color w:val="000000" w:themeColor="text1"/>
              </w:rPr>
              <w:t>1.71 ± 0.05</w:t>
            </w:r>
          </w:p>
        </w:tc>
        <w:tc>
          <w:tcPr>
            <w:tcW w:w="1955" w:type="dxa"/>
            <w:tcBorders>
              <w:top w:val="nil"/>
              <w:left w:val="nil"/>
              <w:bottom w:val="single" w:sz="4" w:space="0" w:color="auto"/>
              <w:right w:val="nil"/>
            </w:tcBorders>
            <w:shd w:val="clear" w:color="auto" w:fill="auto"/>
            <w:vAlign w:val="center"/>
            <w:hideMark/>
          </w:tcPr>
          <w:p w14:paraId="29D005C1" w14:textId="77777777" w:rsidR="000E4C0F" w:rsidRPr="000E4C0F" w:rsidRDefault="000E4C0F" w:rsidP="000E4C0F">
            <w:pPr>
              <w:ind w:firstLineChars="100" w:firstLine="240"/>
              <w:rPr>
                <w:color w:val="000000" w:themeColor="text1"/>
              </w:rPr>
            </w:pPr>
            <w:r w:rsidRPr="000E4C0F">
              <w:rPr>
                <w:color w:val="000000" w:themeColor="text1"/>
              </w:rPr>
              <w:t>1.45 ± 0.11</w:t>
            </w:r>
          </w:p>
        </w:tc>
        <w:tc>
          <w:tcPr>
            <w:tcW w:w="1428" w:type="dxa"/>
            <w:tcBorders>
              <w:top w:val="nil"/>
              <w:left w:val="nil"/>
              <w:bottom w:val="single" w:sz="4" w:space="0" w:color="auto"/>
              <w:right w:val="nil"/>
            </w:tcBorders>
            <w:shd w:val="clear" w:color="auto" w:fill="auto"/>
            <w:vAlign w:val="center"/>
            <w:hideMark/>
          </w:tcPr>
          <w:p w14:paraId="2C79740A" w14:textId="77777777" w:rsidR="000E4C0F" w:rsidRPr="000E4C0F" w:rsidRDefault="000E4C0F" w:rsidP="000E4C0F">
            <w:pPr>
              <w:jc w:val="center"/>
              <w:rPr>
                <w:color w:val="000000" w:themeColor="text1"/>
              </w:rPr>
            </w:pPr>
            <w:r w:rsidRPr="000E4C0F">
              <w:rPr>
                <w:color w:val="000000" w:themeColor="text1"/>
              </w:rPr>
              <w:t>1.47±0.18</w:t>
            </w:r>
          </w:p>
        </w:tc>
      </w:tr>
      <w:tr w:rsidR="000E4C0F" w:rsidRPr="000E4C0F" w14:paraId="70F62C41"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2D9D7568"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0CADCFE1" w14:textId="77777777" w:rsidR="000E4C0F" w:rsidRPr="000E4C0F" w:rsidRDefault="000E4C0F" w:rsidP="000E4C0F">
            <w:pPr>
              <w:jc w:val="center"/>
              <w:rPr>
                <w:color w:val="000000" w:themeColor="text1"/>
              </w:rPr>
            </w:pPr>
            <w:r w:rsidRPr="000E4C0F">
              <w:rPr>
                <w:color w:val="000000" w:themeColor="text1"/>
              </w:rPr>
              <w:t>MT</w:t>
            </w:r>
          </w:p>
        </w:tc>
        <w:tc>
          <w:tcPr>
            <w:tcW w:w="1428" w:type="dxa"/>
            <w:tcBorders>
              <w:top w:val="nil"/>
              <w:left w:val="nil"/>
              <w:bottom w:val="single" w:sz="4" w:space="0" w:color="auto"/>
              <w:right w:val="nil"/>
            </w:tcBorders>
            <w:shd w:val="clear" w:color="auto" w:fill="auto"/>
            <w:vAlign w:val="center"/>
            <w:hideMark/>
          </w:tcPr>
          <w:p w14:paraId="030CADF4" w14:textId="77777777" w:rsidR="000E4C0F" w:rsidRPr="000E4C0F" w:rsidRDefault="000E4C0F" w:rsidP="000E4C0F">
            <w:pPr>
              <w:jc w:val="center"/>
              <w:rPr>
                <w:color w:val="000000" w:themeColor="text1"/>
              </w:rPr>
            </w:pPr>
            <w:r w:rsidRPr="000E4C0F">
              <w:rPr>
                <w:color w:val="000000" w:themeColor="text1"/>
              </w:rPr>
              <w:t>1.71 ± 0.04</w:t>
            </w:r>
          </w:p>
        </w:tc>
        <w:tc>
          <w:tcPr>
            <w:tcW w:w="1955" w:type="dxa"/>
            <w:tcBorders>
              <w:top w:val="nil"/>
              <w:left w:val="nil"/>
              <w:bottom w:val="single" w:sz="4" w:space="0" w:color="auto"/>
              <w:right w:val="nil"/>
            </w:tcBorders>
            <w:shd w:val="clear" w:color="auto" w:fill="auto"/>
            <w:vAlign w:val="center"/>
            <w:hideMark/>
          </w:tcPr>
          <w:p w14:paraId="187A1A7F" w14:textId="77777777" w:rsidR="000E4C0F" w:rsidRPr="000E4C0F" w:rsidRDefault="000E4C0F" w:rsidP="000E4C0F">
            <w:pPr>
              <w:ind w:firstLineChars="100" w:firstLine="240"/>
              <w:rPr>
                <w:color w:val="000000" w:themeColor="text1"/>
              </w:rPr>
            </w:pPr>
            <w:r w:rsidRPr="000E4C0F">
              <w:rPr>
                <w:color w:val="000000" w:themeColor="text1"/>
              </w:rPr>
              <w:t>1.63 ± 0.09</w:t>
            </w:r>
          </w:p>
        </w:tc>
        <w:tc>
          <w:tcPr>
            <w:tcW w:w="1428" w:type="dxa"/>
            <w:tcBorders>
              <w:top w:val="nil"/>
              <w:left w:val="nil"/>
              <w:bottom w:val="single" w:sz="4" w:space="0" w:color="auto"/>
              <w:right w:val="nil"/>
            </w:tcBorders>
            <w:shd w:val="clear" w:color="auto" w:fill="auto"/>
            <w:vAlign w:val="center"/>
            <w:hideMark/>
          </w:tcPr>
          <w:p w14:paraId="1F573E1A" w14:textId="77777777" w:rsidR="000E4C0F" w:rsidRPr="000E4C0F" w:rsidRDefault="000E4C0F" w:rsidP="000E4C0F">
            <w:pPr>
              <w:jc w:val="center"/>
              <w:rPr>
                <w:color w:val="000000" w:themeColor="text1"/>
              </w:rPr>
            </w:pPr>
            <w:r w:rsidRPr="000E4C0F">
              <w:rPr>
                <w:color w:val="000000" w:themeColor="text1"/>
              </w:rPr>
              <w:t>1.37±0.15</w:t>
            </w:r>
          </w:p>
        </w:tc>
      </w:tr>
      <w:tr w:rsidR="000E4C0F" w:rsidRPr="000E4C0F" w14:paraId="620568C9"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2F0CBE63"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16F0B0B6" w14:textId="77777777" w:rsidR="000E4C0F" w:rsidRPr="000E4C0F" w:rsidRDefault="000E4C0F" w:rsidP="000E4C0F">
            <w:pPr>
              <w:jc w:val="center"/>
              <w:rPr>
                <w:color w:val="000000" w:themeColor="text1"/>
              </w:rPr>
            </w:pPr>
            <w:r w:rsidRPr="000E4C0F">
              <w:rPr>
                <w:color w:val="000000" w:themeColor="text1"/>
              </w:rPr>
              <w:t>NT</w:t>
            </w:r>
          </w:p>
        </w:tc>
        <w:tc>
          <w:tcPr>
            <w:tcW w:w="1428" w:type="dxa"/>
            <w:tcBorders>
              <w:top w:val="nil"/>
              <w:left w:val="nil"/>
              <w:bottom w:val="single" w:sz="4" w:space="0" w:color="auto"/>
              <w:right w:val="nil"/>
            </w:tcBorders>
            <w:shd w:val="clear" w:color="auto" w:fill="auto"/>
            <w:vAlign w:val="center"/>
            <w:hideMark/>
          </w:tcPr>
          <w:p w14:paraId="2AB7FA4E" w14:textId="77777777" w:rsidR="000E4C0F" w:rsidRPr="000E4C0F" w:rsidRDefault="000E4C0F" w:rsidP="000E4C0F">
            <w:pPr>
              <w:jc w:val="center"/>
              <w:rPr>
                <w:color w:val="000000" w:themeColor="text1"/>
              </w:rPr>
            </w:pPr>
            <w:r w:rsidRPr="000E4C0F">
              <w:rPr>
                <w:color w:val="000000" w:themeColor="text1"/>
              </w:rPr>
              <w:t>1.69 ± 0.07</w:t>
            </w:r>
          </w:p>
        </w:tc>
        <w:tc>
          <w:tcPr>
            <w:tcW w:w="1955" w:type="dxa"/>
            <w:tcBorders>
              <w:top w:val="nil"/>
              <w:left w:val="nil"/>
              <w:bottom w:val="single" w:sz="4" w:space="0" w:color="auto"/>
              <w:right w:val="nil"/>
            </w:tcBorders>
            <w:shd w:val="clear" w:color="auto" w:fill="auto"/>
            <w:vAlign w:val="center"/>
            <w:hideMark/>
          </w:tcPr>
          <w:p w14:paraId="6F0A410C" w14:textId="77777777" w:rsidR="000E4C0F" w:rsidRPr="000E4C0F" w:rsidRDefault="000E4C0F" w:rsidP="000E4C0F">
            <w:pPr>
              <w:ind w:firstLineChars="100" w:firstLine="240"/>
              <w:rPr>
                <w:color w:val="000000" w:themeColor="text1"/>
              </w:rPr>
            </w:pPr>
            <w:r w:rsidRPr="000E4C0F">
              <w:rPr>
                <w:color w:val="000000" w:themeColor="text1"/>
              </w:rPr>
              <w:t>1.57 ± 0.05</w:t>
            </w:r>
          </w:p>
        </w:tc>
        <w:tc>
          <w:tcPr>
            <w:tcW w:w="1428" w:type="dxa"/>
            <w:tcBorders>
              <w:top w:val="nil"/>
              <w:left w:val="nil"/>
              <w:bottom w:val="single" w:sz="4" w:space="0" w:color="auto"/>
              <w:right w:val="nil"/>
            </w:tcBorders>
            <w:shd w:val="clear" w:color="auto" w:fill="auto"/>
            <w:vAlign w:val="center"/>
            <w:hideMark/>
          </w:tcPr>
          <w:p w14:paraId="776E6AD5" w14:textId="77777777" w:rsidR="000E4C0F" w:rsidRPr="000E4C0F" w:rsidRDefault="000E4C0F" w:rsidP="000E4C0F">
            <w:pPr>
              <w:jc w:val="center"/>
              <w:rPr>
                <w:color w:val="000000" w:themeColor="text1"/>
              </w:rPr>
            </w:pPr>
            <w:r w:rsidRPr="000E4C0F">
              <w:rPr>
                <w:color w:val="000000" w:themeColor="text1"/>
              </w:rPr>
              <w:t>1.43±0.12</w:t>
            </w:r>
          </w:p>
        </w:tc>
      </w:tr>
      <w:tr w:rsidR="000E4C0F" w:rsidRPr="000E4C0F" w14:paraId="550304D1"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0491C728"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6791FEBA" w14:textId="77777777" w:rsidR="000E4C0F" w:rsidRPr="000E4C0F" w:rsidRDefault="000E4C0F" w:rsidP="000E4C0F">
            <w:pPr>
              <w:jc w:val="center"/>
              <w:rPr>
                <w:color w:val="000000" w:themeColor="text1"/>
              </w:rPr>
            </w:pPr>
            <w:r w:rsidRPr="000E4C0F">
              <w:rPr>
                <w:color w:val="000000" w:themeColor="text1"/>
              </w:rPr>
              <w:t>F-value</w:t>
            </w:r>
          </w:p>
        </w:tc>
        <w:tc>
          <w:tcPr>
            <w:tcW w:w="1428" w:type="dxa"/>
            <w:tcBorders>
              <w:top w:val="nil"/>
              <w:left w:val="nil"/>
              <w:bottom w:val="single" w:sz="4" w:space="0" w:color="auto"/>
              <w:right w:val="nil"/>
            </w:tcBorders>
            <w:shd w:val="clear" w:color="auto" w:fill="auto"/>
            <w:vAlign w:val="center"/>
            <w:hideMark/>
          </w:tcPr>
          <w:p w14:paraId="66E6246C" w14:textId="77777777" w:rsidR="000E4C0F" w:rsidRPr="000E4C0F" w:rsidRDefault="000E4C0F" w:rsidP="000E4C0F">
            <w:pPr>
              <w:jc w:val="center"/>
              <w:rPr>
                <w:color w:val="000000" w:themeColor="text1"/>
              </w:rPr>
            </w:pPr>
            <w:r w:rsidRPr="000E4C0F">
              <w:rPr>
                <w:color w:val="000000" w:themeColor="text1"/>
              </w:rPr>
              <w:t>-</w:t>
            </w:r>
          </w:p>
        </w:tc>
        <w:tc>
          <w:tcPr>
            <w:tcW w:w="1955" w:type="dxa"/>
            <w:tcBorders>
              <w:top w:val="nil"/>
              <w:left w:val="nil"/>
              <w:bottom w:val="single" w:sz="4" w:space="0" w:color="auto"/>
              <w:right w:val="nil"/>
            </w:tcBorders>
            <w:shd w:val="clear" w:color="auto" w:fill="auto"/>
            <w:vAlign w:val="center"/>
            <w:hideMark/>
          </w:tcPr>
          <w:p w14:paraId="261030EE" w14:textId="77777777" w:rsidR="000E4C0F" w:rsidRPr="000E4C0F" w:rsidRDefault="000E4C0F" w:rsidP="000E4C0F">
            <w:pPr>
              <w:jc w:val="center"/>
              <w:rPr>
                <w:color w:val="000000" w:themeColor="text1"/>
              </w:rPr>
            </w:pPr>
            <w:r w:rsidRPr="000E4C0F">
              <w:rPr>
                <w:color w:val="000000" w:themeColor="text1"/>
              </w:rPr>
              <w:t>-</w:t>
            </w:r>
          </w:p>
        </w:tc>
        <w:tc>
          <w:tcPr>
            <w:tcW w:w="1428" w:type="dxa"/>
            <w:tcBorders>
              <w:top w:val="nil"/>
              <w:left w:val="nil"/>
              <w:bottom w:val="single" w:sz="4" w:space="0" w:color="auto"/>
              <w:right w:val="nil"/>
            </w:tcBorders>
            <w:shd w:val="clear" w:color="auto" w:fill="auto"/>
            <w:vAlign w:val="center"/>
            <w:hideMark/>
          </w:tcPr>
          <w:p w14:paraId="5631F14D"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05C33F90"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6FDCAAB4"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7F8DA0FD" w14:textId="77777777" w:rsidR="000E4C0F" w:rsidRPr="000E4C0F" w:rsidRDefault="000E4C0F" w:rsidP="000E4C0F">
            <w:pPr>
              <w:jc w:val="center"/>
              <w:rPr>
                <w:color w:val="000000" w:themeColor="text1"/>
              </w:rPr>
            </w:pPr>
            <w:r w:rsidRPr="000E4C0F">
              <w:rPr>
                <w:color w:val="000000" w:themeColor="text1"/>
              </w:rPr>
              <w:t>p-value</w:t>
            </w:r>
          </w:p>
        </w:tc>
        <w:tc>
          <w:tcPr>
            <w:tcW w:w="1428" w:type="dxa"/>
            <w:tcBorders>
              <w:top w:val="nil"/>
              <w:left w:val="nil"/>
              <w:bottom w:val="single" w:sz="4" w:space="0" w:color="auto"/>
              <w:right w:val="nil"/>
            </w:tcBorders>
            <w:shd w:val="clear" w:color="auto" w:fill="auto"/>
            <w:vAlign w:val="center"/>
            <w:hideMark/>
          </w:tcPr>
          <w:p w14:paraId="776615CC" w14:textId="77777777" w:rsidR="000E4C0F" w:rsidRPr="000E4C0F" w:rsidRDefault="000E4C0F" w:rsidP="000E4C0F">
            <w:pPr>
              <w:jc w:val="center"/>
              <w:rPr>
                <w:color w:val="000000" w:themeColor="text1"/>
              </w:rPr>
            </w:pPr>
            <w:r w:rsidRPr="000E4C0F">
              <w:rPr>
                <w:color w:val="000000" w:themeColor="text1"/>
              </w:rPr>
              <w:t>-</w:t>
            </w:r>
          </w:p>
        </w:tc>
        <w:tc>
          <w:tcPr>
            <w:tcW w:w="1955" w:type="dxa"/>
            <w:tcBorders>
              <w:top w:val="nil"/>
              <w:left w:val="nil"/>
              <w:bottom w:val="single" w:sz="4" w:space="0" w:color="auto"/>
              <w:right w:val="nil"/>
            </w:tcBorders>
            <w:shd w:val="clear" w:color="auto" w:fill="auto"/>
            <w:vAlign w:val="center"/>
            <w:hideMark/>
          </w:tcPr>
          <w:p w14:paraId="225F381C" w14:textId="77777777" w:rsidR="000E4C0F" w:rsidRPr="000E4C0F" w:rsidRDefault="000E4C0F" w:rsidP="000E4C0F">
            <w:pPr>
              <w:jc w:val="center"/>
              <w:rPr>
                <w:color w:val="000000" w:themeColor="text1"/>
              </w:rPr>
            </w:pPr>
            <w:r w:rsidRPr="000E4C0F">
              <w:rPr>
                <w:color w:val="000000" w:themeColor="text1"/>
              </w:rPr>
              <w:t>-</w:t>
            </w:r>
          </w:p>
        </w:tc>
        <w:tc>
          <w:tcPr>
            <w:tcW w:w="1428" w:type="dxa"/>
            <w:tcBorders>
              <w:top w:val="nil"/>
              <w:left w:val="nil"/>
              <w:bottom w:val="single" w:sz="4" w:space="0" w:color="auto"/>
              <w:right w:val="nil"/>
            </w:tcBorders>
            <w:shd w:val="clear" w:color="auto" w:fill="auto"/>
            <w:vAlign w:val="center"/>
            <w:hideMark/>
          </w:tcPr>
          <w:p w14:paraId="39F84D88"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69BEC772" w14:textId="77777777" w:rsidTr="0007491F">
        <w:trPr>
          <w:trHeight w:val="340"/>
          <w:jc w:val="center"/>
        </w:trPr>
        <w:tc>
          <w:tcPr>
            <w:tcW w:w="1300" w:type="dxa"/>
            <w:tcBorders>
              <w:top w:val="nil"/>
              <w:left w:val="nil"/>
              <w:bottom w:val="single" w:sz="4" w:space="0" w:color="auto"/>
              <w:right w:val="single" w:sz="4" w:space="0" w:color="auto"/>
            </w:tcBorders>
            <w:shd w:val="clear" w:color="auto" w:fill="auto"/>
            <w:vAlign w:val="center"/>
            <w:hideMark/>
          </w:tcPr>
          <w:p w14:paraId="2E6A3308" w14:textId="77777777" w:rsidR="000E4C0F" w:rsidRPr="000E4C0F" w:rsidRDefault="000E4C0F" w:rsidP="000E4C0F">
            <w:pPr>
              <w:jc w:val="center"/>
              <w:rPr>
                <w:color w:val="000000" w:themeColor="text1"/>
              </w:rPr>
            </w:pPr>
            <w:r w:rsidRPr="000E4C0F">
              <w:rPr>
                <w:color w:val="000000" w:themeColor="text1"/>
              </w:rPr>
              <w:t>Depth</w:t>
            </w:r>
          </w:p>
        </w:tc>
        <w:tc>
          <w:tcPr>
            <w:tcW w:w="5888" w:type="dxa"/>
            <w:gridSpan w:val="5"/>
            <w:tcBorders>
              <w:top w:val="nil"/>
              <w:left w:val="nil"/>
              <w:bottom w:val="single" w:sz="4" w:space="0" w:color="auto"/>
              <w:right w:val="nil"/>
            </w:tcBorders>
            <w:shd w:val="clear" w:color="auto" w:fill="auto"/>
            <w:vAlign w:val="center"/>
            <w:hideMark/>
          </w:tcPr>
          <w:p w14:paraId="3B348AD4" w14:textId="77777777" w:rsidR="000E4C0F" w:rsidRPr="000E4C0F" w:rsidRDefault="000E4C0F" w:rsidP="000E4C0F">
            <w:pPr>
              <w:jc w:val="center"/>
              <w:rPr>
                <w:color w:val="000000" w:themeColor="text1"/>
              </w:rPr>
            </w:pPr>
            <w:r w:rsidRPr="000E4C0F">
              <w:rPr>
                <w:color w:val="000000" w:themeColor="text1"/>
              </w:rPr>
              <w:t>10-30 cm</w:t>
            </w:r>
          </w:p>
        </w:tc>
      </w:tr>
      <w:tr w:rsidR="000E4C0F" w:rsidRPr="000E4C0F" w14:paraId="010EDB3B" w14:textId="77777777" w:rsidTr="0007491F">
        <w:trPr>
          <w:gridAfter w:val="1"/>
          <w:wAfter w:w="7" w:type="dxa"/>
          <w:trHeight w:val="360"/>
          <w:jc w:val="center"/>
        </w:trPr>
        <w:tc>
          <w:tcPr>
            <w:tcW w:w="1300" w:type="dxa"/>
            <w:vMerge w:val="restart"/>
            <w:tcBorders>
              <w:top w:val="nil"/>
              <w:left w:val="nil"/>
              <w:bottom w:val="single" w:sz="4" w:space="0" w:color="000000"/>
              <w:right w:val="single" w:sz="4" w:space="0" w:color="auto"/>
            </w:tcBorders>
            <w:shd w:val="clear" w:color="auto" w:fill="auto"/>
            <w:textDirection w:val="btLr"/>
            <w:vAlign w:val="center"/>
            <w:hideMark/>
          </w:tcPr>
          <w:p w14:paraId="56F657D9" w14:textId="77777777" w:rsidR="000E4C0F" w:rsidRPr="000E4C0F" w:rsidRDefault="000E4C0F" w:rsidP="000E4C0F">
            <w:pPr>
              <w:jc w:val="center"/>
              <w:rPr>
                <w:color w:val="000000" w:themeColor="text1"/>
              </w:rPr>
            </w:pPr>
            <w:r w:rsidRPr="000E4C0F">
              <w:rPr>
                <w:color w:val="000000" w:themeColor="text1"/>
              </w:rPr>
              <w:t>Tillage Treatment</w:t>
            </w:r>
          </w:p>
        </w:tc>
        <w:tc>
          <w:tcPr>
            <w:tcW w:w="1070" w:type="dxa"/>
            <w:tcBorders>
              <w:top w:val="nil"/>
              <w:left w:val="nil"/>
              <w:bottom w:val="single" w:sz="4" w:space="0" w:color="auto"/>
              <w:right w:val="single" w:sz="4" w:space="0" w:color="auto"/>
            </w:tcBorders>
            <w:shd w:val="clear" w:color="auto" w:fill="auto"/>
            <w:vAlign w:val="center"/>
            <w:hideMark/>
          </w:tcPr>
          <w:p w14:paraId="43950E34" w14:textId="77777777" w:rsidR="000E4C0F" w:rsidRPr="000E4C0F" w:rsidRDefault="000E4C0F" w:rsidP="000E4C0F">
            <w:pPr>
              <w:jc w:val="center"/>
              <w:rPr>
                <w:color w:val="000000" w:themeColor="text1"/>
              </w:rPr>
            </w:pPr>
            <w:r w:rsidRPr="000E4C0F">
              <w:rPr>
                <w:color w:val="000000" w:themeColor="text1"/>
              </w:rPr>
              <w:t>CT</w:t>
            </w:r>
          </w:p>
        </w:tc>
        <w:tc>
          <w:tcPr>
            <w:tcW w:w="1428" w:type="dxa"/>
            <w:tcBorders>
              <w:top w:val="nil"/>
              <w:left w:val="nil"/>
              <w:bottom w:val="single" w:sz="4" w:space="0" w:color="auto"/>
              <w:right w:val="nil"/>
            </w:tcBorders>
            <w:shd w:val="clear" w:color="auto" w:fill="auto"/>
            <w:vAlign w:val="center"/>
            <w:hideMark/>
          </w:tcPr>
          <w:p w14:paraId="484EA9B9" w14:textId="77777777" w:rsidR="000E4C0F" w:rsidRPr="000E4C0F" w:rsidRDefault="000E4C0F" w:rsidP="000E4C0F">
            <w:pPr>
              <w:jc w:val="center"/>
              <w:rPr>
                <w:color w:val="000000" w:themeColor="text1"/>
              </w:rPr>
            </w:pPr>
            <w:r w:rsidRPr="000E4C0F">
              <w:rPr>
                <w:color w:val="000000" w:themeColor="text1"/>
              </w:rPr>
              <w:t>1.76 ± 0.06</w:t>
            </w:r>
          </w:p>
        </w:tc>
        <w:tc>
          <w:tcPr>
            <w:tcW w:w="1955" w:type="dxa"/>
            <w:tcBorders>
              <w:top w:val="nil"/>
              <w:left w:val="nil"/>
              <w:bottom w:val="single" w:sz="4" w:space="0" w:color="auto"/>
              <w:right w:val="nil"/>
            </w:tcBorders>
            <w:shd w:val="clear" w:color="auto" w:fill="auto"/>
            <w:vAlign w:val="center"/>
            <w:hideMark/>
          </w:tcPr>
          <w:p w14:paraId="0CD1E6F7" w14:textId="77777777" w:rsidR="000E4C0F" w:rsidRPr="000E4C0F" w:rsidRDefault="000E4C0F" w:rsidP="000E4C0F">
            <w:pPr>
              <w:ind w:firstLineChars="100" w:firstLine="240"/>
              <w:rPr>
                <w:color w:val="000000" w:themeColor="text1"/>
              </w:rPr>
            </w:pPr>
            <w:r w:rsidRPr="000E4C0F">
              <w:rPr>
                <w:color w:val="000000" w:themeColor="text1"/>
              </w:rPr>
              <w:t>1.71 ± 0.09 a</w:t>
            </w:r>
          </w:p>
        </w:tc>
        <w:tc>
          <w:tcPr>
            <w:tcW w:w="1428" w:type="dxa"/>
            <w:tcBorders>
              <w:top w:val="nil"/>
              <w:left w:val="nil"/>
              <w:bottom w:val="single" w:sz="4" w:space="0" w:color="auto"/>
              <w:right w:val="nil"/>
            </w:tcBorders>
            <w:shd w:val="clear" w:color="auto" w:fill="auto"/>
            <w:vAlign w:val="center"/>
            <w:hideMark/>
          </w:tcPr>
          <w:p w14:paraId="6B965384" w14:textId="77777777" w:rsidR="000E4C0F" w:rsidRPr="000E4C0F" w:rsidRDefault="000E4C0F" w:rsidP="000E4C0F">
            <w:pPr>
              <w:jc w:val="center"/>
              <w:rPr>
                <w:color w:val="000000" w:themeColor="text1"/>
              </w:rPr>
            </w:pPr>
            <w:r w:rsidRPr="000E4C0F">
              <w:rPr>
                <w:color w:val="000000" w:themeColor="text1"/>
              </w:rPr>
              <w:t>1.76 ± 0.10</w:t>
            </w:r>
          </w:p>
        </w:tc>
      </w:tr>
      <w:tr w:rsidR="000E4C0F" w:rsidRPr="000E4C0F" w14:paraId="5E9CC90B" w14:textId="77777777" w:rsidTr="0007491F">
        <w:trPr>
          <w:gridAfter w:val="1"/>
          <w:wAfter w:w="7" w:type="dxa"/>
          <w:trHeight w:val="360"/>
          <w:jc w:val="center"/>
        </w:trPr>
        <w:tc>
          <w:tcPr>
            <w:tcW w:w="1300" w:type="dxa"/>
            <w:vMerge/>
            <w:tcBorders>
              <w:top w:val="nil"/>
              <w:left w:val="nil"/>
              <w:bottom w:val="single" w:sz="4" w:space="0" w:color="000000"/>
              <w:right w:val="single" w:sz="4" w:space="0" w:color="auto"/>
            </w:tcBorders>
            <w:vAlign w:val="center"/>
            <w:hideMark/>
          </w:tcPr>
          <w:p w14:paraId="31FD05AE"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52CFB43C" w14:textId="77777777" w:rsidR="000E4C0F" w:rsidRPr="000E4C0F" w:rsidRDefault="000E4C0F" w:rsidP="000E4C0F">
            <w:pPr>
              <w:jc w:val="center"/>
              <w:rPr>
                <w:color w:val="000000" w:themeColor="text1"/>
              </w:rPr>
            </w:pPr>
            <w:r w:rsidRPr="000E4C0F">
              <w:rPr>
                <w:color w:val="000000" w:themeColor="text1"/>
              </w:rPr>
              <w:t>ST</w:t>
            </w:r>
          </w:p>
        </w:tc>
        <w:tc>
          <w:tcPr>
            <w:tcW w:w="1428" w:type="dxa"/>
            <w:tcBorders>
              <w:top w:val="nil"/>
              <w:left w:val="nil"/>
              <w:bottom w:val="single" w:sz="4" w:space="0" w:color="auto"/>
              <w:right w:val="nil"/>
            </w:tcBorders>
            <w:shd w:val="clear" w:color="auto" w:fill="auto"/>
            <w:vAlign w:val="center"/>
            <w:hideMark/>
          </w:tcPr>
          <w:p w14:paraId="054246D7" w14:textId="77777777" w:rsidR="000E4C0F" w:rsidRPr="000E4C0F" w:rsidRDefault="000E4C0F" w:rsidP="000E4C0F">
            <w:pPr>
              <w:jc w:val="center"/>
              <w:rPr>
                <w:color w:val="000000" w:themeColor="text1"/>
              </w:rPr>
            </w:pPr>
            <w:r w:rsidRPr="000E4C0F">
              <w:rPr>
                <w:color w:val="000000" w:themeColor="text1"/>
              </w:rPr>
              <w:t>1.69 ± 0.02</w:t>
            </w:r>
          </w:p>
        </w:tc>
        <w:tc>
          <w:tcPr>
            <w:tcW w:w="1955" w:type="dxa"/>
            <w:tcBorders>
              <w:top w:val="nil"/>
              <w:left w:val="nil"/>
              <w:bottom w:val="single" w:sz="4" w:space="0" w:color="auto"/>
              <w:right w:val="nil"/>
            </w:tcBorders>
            <w:shd w:val="clear" w:color="auto" w:fill="auto"/>
            <w:vAlign w:val="center"/>
            <w:hideMark/>
          </w:tcPr>
          <w:p w14:paraId="5AA46A97" w14:textId="77777777" w:rsidR="000E4C0F" w:rsidRPr="000E4C0F" w:rsidRDefault="000E4C0F" w:rsidP="000E4C0F">
            <w:pPr>
              <w:ind w:firstLineChars="100" w:firstLine="240"/>
              <w:rPr>
                <w:color w:val="000000" w:themeColor="text1"/>
              </w:rPr>
            </w:pPr>
            <w:r w:rsidRPr="000E4C0F">
              <w:rPr>
                <w:color w:val="000000" w:themeColor="text1"/>
              </w:rPr>
              <w:t>1.45 ± 0.10 b</w:t>
            </w:r>
          </w:p>
        </w:tc>
        <w:tc>
          <w:tcPr>
            <w:tcW w:w="1428" w:type="dxa"/>
            <w:tcBorders>
              <w:top w:val="nil"/>
              <w:left w:val="nil"/>
              <w:bottom w:val="single" w:sz="4" w:space="0" w:color="auto"/>
              <w:right w:val="nil"/>
            </w:tcBorders>
            <w:shd w:val="clear" w:color="auto" w:fill="auto"/>
            <w:vAlign w:val="center"/>
            <w:hideMark/>
          </w:tcPr>
          <w:p w14:paraId="7099FD71" w14:textId="77777777" w:rsidR="000E4C0F" w:rsidRPr="000E4C0F" w:rsidRDefault="000E4C0F" w:rsidP="000E4C0F">
            <w:pPr>
              <w:jc w:val="center"/>
              <w:rPr>
                <w:color w:val="000000" w:themeColor="text1"/>
              </w:rPr>
            </w:pPr>
            <w:r w:rsidRPr="000E4C0F">
              <w:rPr>
                <w:color w:val="000000" w:themeColor="text1"/>
              </w:rPr>
              <w:t>1.72 ± 0.11</w:t>
            </w:r>
          </w:p>
        </w:tc>
      </w:tr>
      <w:tr w:rsidR="000E4C0F" w:rsidRPr="000E4C0F" w14:paraId="65299750"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3FD9818A"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164B5D1B" w14:textId="77777777" w:rsidR="000E4C0F" w:rsidRPr="000E4C0F" w:rsidRDefault="000E4C0F" w:rsidP="000E4C0F">
            <w:pPr>
              <w:jc w:val="center"/>
              <w:rPr>
                <w:color w:val="000000" w:themeColor="text1"/>
              </w:rPr>
            </w:pPr>
            <w:r w:rsidRPr="000E4C0F">
              <w:rPr>
                <w:color w:val="000000" w:themeColor="text1"/>
              </w:rPr>
              <w:t>MT</w:t>
            </w:r>
          </w:p>
        </w:tc>
        <w:tc>
          <w:tcPr>
            <w:tcW w:w="1428" w:type="dxa"/>
            <w:tcBorders>
              <w:top w:val="nil"/>
              <w:left w:val="nil"/>
              <w:bottom w:val="single" w:sz="4" w:space="0" w:color="auto"/>
              <w:right w:val="nil"/>
            </w:tcBorders>
            <w:shd w:val="clear" w:color="auto" w:fill="auto"/>
            <w:vAlign w:val="center"/>
            <w:hideMark/>
          </w:tcPr>
          <w:p w14:paraId="643FA3B5" w14:textId="77777777" w:rsidR="000E4C0F" w:rsidRPr="000E4C0F" w:rsidRDefault="000E4C0F" w:rsidP="000E4C0F">
            <w:pPr>
              <w:jc w:val="center"/>
              <w:rPr>
                <w:color w:val="000000" w:themeColor="text1"/>
              </w:rPr>
            </w:pPr>
            <w:r w:rsidRPr="000E4C0F">
              <w:rPr>
                <w:color w:val="000000" w:themeColor="text1"/>
              </w:rPr>
              <w:t>1.72 ± 0.07</w:t>
            </w:r>
          </w:p>
        </w:tc>
        <w:tc>
          <w:tcPr>
            <w:tcW w:w="1955" w:type="dxa"/>
            <w:tcBorders>
              <w:top w:val="nil"/>
              <w:left w:val="nil"/>
              <w:bottom w:val="single" w:sz="4" w:space="0" w:color="auto"/>
              <w:right w:val="nil"/>
            </w:tcBorders>
            <w:shd w:val="clear" w:color="auto" w:fill="auto"/>
            <w:vAlign w:val="center"/>
            <w:hideMark/>
          </w:tcPr>
          <w:p w14:paraId="78783ADB" w14:textId="77777777" w:rsidR="000E4C0F" w:rsidRPr="000E4C0F" w:rsidRDefault="000E4C0F" w:rsidP="000E4C0F">
            <w:pPr>
              <w:ind w:firstLineChars="100" w:firstLine="240"/>
              <w:rPr>
                <w:color w:val="000000" w:themeColor="text1"/>
              </w:rPr>
            </w:pPr>
            <w:r w:rsidRPr="000E4C0F">
              <w:rPr>
                <w:color w:val="000000" w:themeColor="text1"/>
              </w:rPr>
              <w:t>1.62 ± 0.15 ab</w:t>
            </w:r>
          </w:p>
        </w:tc>
        <w:tc>
          <w:tcPr>
            <w:tcW w:w="1428" w:type="dxa"/>
            <w:tcBorders>
              <w:top w:val="nil"/>
              <w:left w:val="nil"/>
              <w:bottom w:val="single" w:sz="4" w:space="0" w:color="auto"/>
              <w:right w:val="nil"/>
            </w:tcBorders>
            <w:shd w:val="clear" w:color="auto" w:fill="auto"/>
            <w:vAlign w:val="center"/>
            <w:hideMark/>
          </w:tcPr>
          <w:p w14:paraId="3776D72C" w14:textId="77777777" w:rsidR="000E4C0F" w:rsidRPr="000E4C0F" w:rsidRDefault="000E4C0F" w:rsidP="000E4C0F">
            <w:pPr>
              <w:jc w:val="center"/>
              <w:rPr>
                <w:color w:val="000000" w:themeColor="text1"/>
              </w:rPr>
            </w:pPr>
            <w:r w:rsidRPr="000E4C0F">
              <w:rPr>
                <w:color w:val="000000" w:themeColor="text1"/>
              </w:rPr>
              <w:t>1.67 ± 0.14</w:t>
            </w:r>
          </w:p>
        </w:tc>
      </w:tr>
      <w:tr w:rsidR="000E4C0F" w:rsidRPr="000E4C0F" w14:paraId="6C454E79"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079EBA39"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6F5ACE3B" w14:textId="77777777" w:rsidR="000E4C0F" w:rsidRPr="000E4C0F" w:rsidRDefault="000E4C0F" w:rsidP="000E4C0F">
            <w:pPr>
              <w:jc w:val="center"/>
              <w:rPr>
                <w:color w:val="000000" w:themeColor="text1"/>
              </w:rPr>
            </w:pPr>
            <w:r w:rsidRPr="000E4C0F">
              <w:rPr>
                <w:color w:val="000000" w:themeColor="text1"/>
              </w:rPr>
              <w:t>NT</w:t>
            </w:r>
          </w:p>
        </w:tc>
        <w:tc>
          <w:tcPr>
            <w:tcW w:w="1428" w:type="dxa"/>
            <w:tcBorders>
              <w:top w:val="nil"/>
              <w:left w:val="nil"/>
              <w:bottom w:val="single" w:sz="4" w:space="0" w:color="auto"/>
              <w:right w:val="nil"/>
            </w:tcBorders>
            <w:shd w:val="clear" w:color="auto" w:fill="auto"/>
            <w:vAlign w:val="center"/>
            <w:hideMark/>
          </w:tcPr>
          <w:p w14:paraId="09A6B01D" w14:textId="77777777" w:rsidR="000E4C0F" w:rsidRPr="000E4C0F" w:rsidRDefault="000E4C0F" w:rsidP="000E4C0F">
            <w:pPr>
              <w:jc w:val="center"/>
              <w:rPr>
                <w:color w:val="000000" w:themeColor="text1"/>
              </w:rPr>
            </w:pPr>
            <w:r w:rsidRPr="000E4C0F">
              <w:rPr>
                <w:color w:val="000000" w:themeColor="text1"/>
              </w:rPr>
              <w:t>1.79 ± 0.07</w:t>
            </w:r>
          </w:p>
        </w:tc>
        <w:tc>
          <w:tcPr>
            <w:tcW w:w="1955" w:type="dxa"/>
            <w:tcBorders>
              <w:top w:val="nil"/>
              <w:left w:val="nil"/>
              <w:bottom w:val="single" w:sz="4" w:space="0" w:color="auto"/>
              <w:right w:val="nil"/>
            </w:tcBorders>
            <w:shd w:val="clear" w:color="auto" w:fill="auto"/>
            <w:vAlign w:val="center"/>
            <w:hideMark/>
          </w:tcPr>
          <w:p w14:paraId="5ABEF39E" w14:textId="77777777" w:rsidR="000E4C0F" w:rsidRPr="000E4C0F" w:rsidRDefault="000E4C0F" w:rsidP="000E4C0F">
            <w:pPr>
              <w:ind w:firstLineChars="100" w:firstLine="240"/>
              <w:rPr>
                <w:color w:val="000000" w:themeColor="text1"/>
              </w:rPr>
            </w:pPr>
            <w:r w:rsidRPr="000E4C0F">
              <w:rPr>
                <w:color w:val="000000" w:themeColor="text1"/>
              </w:rPr>
              <w:t>1.69 ± 0.10 a</w:t>
            </w:r>
          </w:p>
        </w:tc>
        <w:tc>
          <w:tcPr>
            <w:tcW w:w="1428" w:type="dxa"/>
            <w:tcBorders>
              <w:top w:val="nil"/>
              <w:left w:val="nil"/>
              <w:bottom w:val="single" w:sz="4" w:space="0" w:color="auto"/>
              <w:right w:val="nil"/>
            </w:tcBorders>
            <w:shd w:val="clear" w:color="auto" w:fill="auto"/>
            <w:vAlign w:val="center"/>
            <w:hideMark/>
          </w:tcPr>
          <w:p w14:paraId="6A94DF3E" w14:textId="77777777" w:rsidR="000E4C0F" w:rsidRPr="000E4C0F" w:rsidRDefault="000E4C0F" w:rsidP="000E4C0F">
            <w:pPr>
              <w:jc w:val="center"/>
              <w:rPr>
                <w:color w:val="000000" w:themeColor="text1"/>
              </w:rPr>
            </w:pPr>
            <w:r w:rsidRPr="000E4C0F">
              <w:rPr>
                <w:color w:val="000000" w:themeColor="text1"/>
              </w:rPr>
              <w:t>1.76 ± 0.09</w:t>
            </w:r>
          </w:p>
        </w:tc>
      </w:tr>
      <w:tr w:rsidR="000E4C0F" w:rsidRPr="000E4C0F" w14:paraId="52BD203C"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39E068F3"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712708D1" w14:textId="77777777" w:rsidR="000E4C0F" w:rsidRPr="000E4C0F" w:rsidRDefault="000E4C0F" w:rsidP="000E4C0F">
            <w:pPr>
              <w:jc w:val="center"/>
              <w:rPr>
                <w:color w:val="000000" w:themeColor="text1"/>
              </w:rPr>
            </w:pPr>
            <w:r w:rsidRPr="000E4C0F">
              <w:rPr>
                <w:color w:val="000000" w:themeColor="text1"/>
              </w:rPr>
              <w:t>F-value</w:t>
            </w:r>
          </w:p>
        </w:tc>
        <w:tc>
          <w:tcPr>
            <w:tcW w:w="1428" w:type="dxa"/>
            <w:tcBorders>
              <w:top w:val="nil"/>
              <w:left w:val="nil"/>
              <w:bottom w:val="single" w:sz="4" w:space="0" w:color="auto"/>
              <w:right w:val="nil"/>
            </w:tcBorders>
            <w:shd w:val="clear" w:color="auto" w:fill="auto"/>
            <w:vAlign w:val="center"/>
            <w:hideMark/>
          </w:tcPr>
          <w:p w14:paraId="018A3244" w14:textId="77777777" w:rsidR="000E4C0F" w:rsidRPr="000E4C0F" w:rsidRDefault="000E4C0F" w:rsidP="000E4C0F">
            <w:pPr>
              <w:jc w:val="center"/>
              <w:rPr>
                <w:color w:val="000000" w:themeColor="text1"/>
              </w:rPr>
            </w:pPr>
            <w:r w:rsidRPr="000E4C0F">
              <w:rPr>
                <w:color w:val="000000" w:themeColor="text1"/>
              </w:rPr>
              <w:t>-</w:t>
            </w:r>
          </w:p>
        </w:tc>
        <w:tc>
          <w:tcPr>
            <w:tcW w:w="1955" w:type="dxa"/>
            <w:tcBorders>
              <w:top w:val="nil"/>
              <w:left w:val="nil"/>
              <w:bottom w:val="single" w:sz="4" w:space="0" w:color="auto"/>
              <w:right w:val="nil"/>
            </w:tcBorders>
            <w:shd w:val="clear" w:color="auto" w:fill="auto"/>
            <w:vAlign w:val="center"/>
            <w:hideMark/>
          </w:tcPr>
          <w:p w14:paraId="2DB70364" w14:textId="77777777" w:rsidR="000E4C0F" w:rsidRPr="000E4C0F" w:rsidRDefault="000E4C0F" w:rsidP="000E4C0F">
            <w:pPr>
              <w:jc w:val="center"/>
              <w:rPr>
                <w:color w:val="000000" w:themeColor="text1"/>
              </w:rPr>
            </w:pPr>
            <w:r w:rsidRPr="000E4C0F">
              <w:rPr>
                <w:color w:val="000000" w:themeColor="text1"/>
              </w:rPr>
              <w:t>5.33</w:t>
            </w:r>
          </w:p>
        </w:tc>
        <w:tc>
          <w:tcPr>
            <w:tcW w:w="1428" w:type="dxa"/>
            <w:tcBorders>
              <w:top w:val="nil"/>
              <w:left w:val="nil"/>
              <w:bottom w:val="single" w:sz="4" w:space="0" w:color="auto"/>
              <w:right w:val="nil"/>
            </w:tcBorders>
            <w:shd w:val="clear" w:color="auto" w:fill="auto"/>
            <w:vAlign w:val="center"/>
            <w:hideMark/>
          </w:tcPr>
          <w:p w14:paraId="6109DF01"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5F0295A1" w14:textId="77777777" w:rsidTr="0007491F">
        <w:trPr>
          <w:gridAfter w:val="1"/>
          <w:wAfter w:w="7" w:type="dxa"/>
          <w:trHeight w:val="340"/>
          <w:jc w:val="center"/>
        </w:trPr>
        <w:tc>
          <w:tcPr>
            <w:tcW w:w="1300" w:type="dxa"/>
            <w:vMerge/>
            <w:tcBorders>
              <w:top w:val="nil"/>
              <w:left w:val="nil"/>
              <w:bottom w:val="single" w:sz="4" w:space="0" w:color="000000"/>
              <w:right w:val="single" w:sz="4" w:space="0" w:color="auto"/>
            </w:tcBorders>
            <w:vAlign w:val="center"/>
            <w:hideMark/>
          </w:tcPr>
          <w:p w14:paraId="3C8A917D" w14:textId="77777777" w:rsidR="000E4C0F" w:rsidRPr="000E4C0F" w:rsidRDefault="000E4C0F" w:rsidP="000E4C0F">
            <w:pPr>
              <w:rPr>
                <w:color w:val="000000" w:themeColor="text1"/>
              </w:rPr>
            </w:pPr>
          </w:p>
        </w:tc>
        <w:tc>
          <w:tcPr>
            <w:tcW w:w="1070" w:type="dxa"/>
            <w:tcBorders>
              <w:top w:val="nil"/>
              <w:left w:val="nil"/>
              <w:bottom w:val="single" w:sz="4" w:space="0" w:color="auto"/>
              <w:right w:val="single" w:sz="4" w:space="0" w:color="auto"/>
            </w:tcBorders>
            <w:shd w:val="clear" w:color="auto" w:fill="auto"/>
            <w:vAlign w:val="center"/>
            <w:hideMark/>
          </w:tcPr>
          <w:p w14:paraId="2AFC2D45" w14:textId="77777777" w:rsidR="000E4C0F" w:rsidRPr="000E4C0F" w:rsidRDefault="000E4C0F" w:rsidP="000E4C0F">
            <w:pPr>
              <w:jc w:val="center"/>
              <w:rPr>
                <w:color w:val="000000" w:themeColor="text1"/>
              </w:rPr>
            </w:pPr>
            <w:r w:rsidRPr="000E4C0F">
              <w:rPr>
                <w:color w:val="000000" w:themeColor="text1"/>
              </w:rPr>
              <w:t>p-value</w:t>
            </w:r>
          </w:p>
        </w:tc>
        <w:tc>
          <w:tcPr>
            <w:tcW w:w="1428" w:type="dxa"/>
            <w:tcBorders>
              <w:top w:val="nil"/>
              <w:left w:val="nil"/>
              <w:bottom w:val="single" w:sz="4" w:space="0" w:color="auto"/>
              <w:right w:val="nil"/>
            </w:tcBorders>
            <w:shd w:val="clear" w:color="auto" w:fill="auto"/>
            <w:vAlign w:val="center"/>
            <w:hideMark/>
          </w:tcPr>
          <w:p w14:paraId="27618723" w14:textId="77777777" w:rsidR="000E4C0F" w:rsidRPr="000E4C0F" w:rsidRDefault="000E4C0F" w:rsidP="000E4C0F">
            <w:pPr>
              <w:jc w:val="center"/>
              <w:rPr>
                <w:color w:val="000000" w:themeColor="text1"/>
              </w:rPr>
            </w:pPr>
            <w:r w:rsidRPr="000E4C0F">
              <w:rPr>
                <w:color w:val="000000" w:themeColor="text1"/>
              </w:rPr>
              <w:t>-</w:t>
            </w:r>
          </w:p>
        </w:tc>
        <w:tc>
          <w:tcPr>
            <w:tcW w:w="1955" w:type="dxa"/>
            <w:tcBorders>
              <w:top w:val="nil"/>
              <w:left w:val="nil"/>
              <w:bottom w:val="single" w:sz="4" w:space="0" w:color="auto"/>
              <w:right w:val="nil"/>
            </w:tcBorders>
            <w:shd w:val="clear" w:color="auto" w:fill="auto"/>
            <w:vAlign w:val="center"/>
            <w:hideMark/>
          </w:tcPr>
          <w:p w14:paraId="6389FFBC" w14:textId="77777777" w:rsidR="000E4C0F" w:rsidRPr="000E4C0F" w:rsidRDefault="000E4C0F" w:rsidP="000E4C0F">
            <w:pPr>
              <w:jc w:val="center"/>
              <w:rPr>
                <w:color w:val="000000" w:themeColor="text1"/>
              </w:rPr>
            </w:pPr>
            <w:r w:rsidRPr="000E4C0F">
              <w:rPr>
                <w:color w:val="000000" w:themeColor="text1"/>
              </w:rPr>
              <w:t>0.0219</w:t>
            </w:r>
          </w:p>
        </w:tc>
        <w:tc>
          <w:tcPr>
            <w:tcW w:w="1428" w:type="dxa"/>
            <w:tcBorders>
              <w:top w:val="nil"/>
              <w:left w:val="nil"/>
              <w:bottom w:val="single" w:sz="4" w:space="0" w:color="auto"/>
              <w:right w:val="nil"/>
            </w:tcBorders>
            <w:shd w:val="clear" w:color="auto" w:fill="auto"/>
            <w:vAlign w:val="center"/>
            <w:hideMark/>
          </w:tcPr>
          <w:p w14:paraId="4024CE13" w14:textId="77777777" w:rsidR="000E4C0F" w:rsidRPr="000E4C0F" w:rsidRDefault="000E4C0F" w:rsidP="000E4C0F">
            <w:pPr>
              <w:jc w:val="center"/>
              <w:rPr>
                <w:color w:val="000000" w:themeColor="text1"/>
              </w:rPr>
            </w:pPr>
            <w:r w:rsidRPr="000E4C0F">
              <w:rPr>
                <w:color w:val="000000" w:themeColor="text1"/>
              </w:rPr>
              <w:t>-</w:t>
            </w:r>
          </w:p>
        </w:tc>
      </w:tr>
    </w:tbl>
    <w:p w14:paraId="01331C75" w14:textId="77777777" w:rsidR="000E4C0F" w:rsidRPr="000E4C0F" w:rsidRDefault="000E4C0F" w:rsidP="000E4C0F">
      <w:pPr>
        <w:rPr>
          <w:color w:val="000000" w:themeColor="text1"/>
        </w:rPr>
      </w:pPr>
      <w:r w:rsidRPr="000E4C0F">
        <w:rPr>
          <w:color w:val="000000" w:themeColor="text1"/>
        </w:rPr>
        <w:t xml:space="preserve">Table A.1: Mean Bulk Density Values by tillage treatment in 2019, 2022, 2023, at the 0-5 cm depth, 5-10 cm depth, 10-15 cm depth. Different letters represent significantly different means between treatments for a given year (p </w:t>
      </w:r>
      <w:r w:rsidRPr="000E4C0F">
        <w:rPr>
          <w:color w:val="000000" w:themeColor="text1"/>
        </w:rPr>
        <w:sym w:font="Symbol" w:char="F0A3"/>
      </w:r>
      <w:r w:rsidRPr="000E4C0F">
        <w:rPr>
          <w:color w:val="000000" w:themeColor="text1"/>
        </w:rPr>
        <w:t xml:space="preserve"> 0.05).</w:t>
      </w:r>
    </w:p>
    <w:p w14:paraId="20D75540" w14:textId="77777777" w:rsidR="000E4C0F" w:rsidRPr="000E4C0F" w:rsidRDefault="000E4C0F" w:rsidP="000E4C0F">
      <w:pPr>
        <w:jc w:val="center"/>
        <w:rPr>
          <w:color w:val="000000" w:themeColor="text1"/>
        </w:rPr>
      </w:pPr>
    </w:p>
    <w:p w14:paraId="7FEE3A2F" w14:textId="77777777" w:rsidR="000E4C0F" w:rsidRPr="000E4C0F" w:rsidRDefault="000E4C0F" w:rsidP="000E4C0F">
      <w:pPr>
        <w:rPr>
          <w:color w:val="000000" w:themeColor="text1"/>
        </w:rPr>
      </w:pPr>
    </w:p>
    <w:tbl>
      <w:tblPr>
        <w:tblW w:w="9340"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300"/>
        <w:gridCol w:w="1120"/>
        <w:gridCol w:w="1540"/>
        <w:gridCol w:w="1420"/>
        <w:gridCol w:w="2020"/>
        <w:gridCol w:w="1940"/>
      </w:tblGrid>
      <w:tr w:rsidR="000E4C0F" w:rsidRPr="000E4C0F" w14:paraId="32580638" w14:textId="77777777" w:rsidTr="0007491F">
        <w:trPr>
          <w:trHeight w:val="1020"/>
        </w:trPr>
        <w:tc>
          <w:tcPr>
            <w:tcW w:w="1300" w:type="dxa"/>
            <w:tcBorders>
              <w:top w:val="single" w:sz="4" w:space="0" w:color="auto"/>
              <w:bottom w:val="single" w:sz="4" w:space="0" w:color="auto"/>
              <w:right w:val="nil"/>
            </w:tcBorders>
            <w:shd w:val="clear" w:color="auto" w:fill="auto"/>
            <w:vAlign w:val="center"/>
            <w:hideMark/>
          </w:tcPr>
          <w:p w14:paraId="713B22C8" w14:textId="77777777" w:rsidR="000E4C0F" w:rsidRPr="000E4C0F" w:rsidRDefault="000E4C0F" w:rsidP="000E4C0F">
            <w:pPr>
              <w:jc w:val="center"/>
              <w:rPr>
                <w:color w:val="000000" w:themeColor="text1"/>
              </w:rPr>
            </w:pPr>
            <w:r w:rsidRPr="000E4C0F">
              <w:rPr>
                <w:color w:val="000000" w:themeColor="text1"/>
              </w:rPr>
              <w:t>Year</w:t>
            </w:r>
          </w:p>
        </w:tc>
        <w:tc>
          <w:tcPr>
            <w:tcW w:w="1120" w:type="dxa"/>
            <w:tcBorders>
              <w:top w:val="single" w:sz="4" w:space="0" w:color="auto"/>
              <w:left w:val="nil"/>
              <w:bottom w:val="single" w:sz="4" w:space="0" w:color="auto"/>
              <w:right w:val="nil"/>
            </w:tcBorders>
            <w:shd w:val="clear" w:color="auto" w:fill="auto"/>
            <w:vAlign w:val="center"/>
            <w:hideMark/>
          </w:tcPr>
          <w:p w14:paraId="04B24513" w14:textId="77777777" w:rsidR="000E4C0F" w:rsidRPr="000E4C0F" w:rsidRDefault="000E4C0F" w:rsidP="000E4C0F">
            <w:pPr>
              <w:jc w:val="center"/>
              <w:rPr>
                <w:color w:val="000000" w:themeColor="text1"/>
              </w:rPr>
            </w:pPr>
            <w:r w:rsidRPr="000E4C0F">
              <w:rPr>
                <w:color w:val="000000" w:themeColor="text1"/>
              </w:rPr>
              <w:t>Grain Yield (</w:t>
            </w:r>
            <w:r w:rsidR="00F0119A" w:rsidRPr="000E4C0F">
              <w:rPr>
                <w:bCs/>
                <w:color w:val="000000" w:themeColor="text1"/>
              </w:rPr>
              <w:t>kg</w:t>
            </w:r>
            <w:r w:rsidR="00F0119A">
              <w:rPr>
                <w:bCs/>
                <w:color w:val="000000" w:themeColor="text1"/>
              </w:rPr>
              <w:t xml:space="preserve"> </w:t>
            </w:r>
            <w:r w:rsidR="00F0119A" w:rsidRPr="000E4C0F">
              <w:rPr>
                <w:bCs/>
                <w:color w:val="000000" w:themeColor="text1"/>
              </w:rPr>
              <w:t>ha</w:t>
            </w:r>
            <w:r w:rsidR="00F0119A">
              <w:rPr>
                <w:bCs/>
                <w:color w:val="000000" w:themeColor="text1"/>
                <w:vertAlign w:val="superscript"/>
              </w:rPr>
              <w:t>-1</w:t>
            </w:r>
            <w:r w:rsidRPr="000E4C0F">
              <w:rPr>
                <w:color w:val="000000" w:themeColor="text1"/>
              </w:rPr>
              <w:t>)</w:t>
            </w:r>
          </w:p>
        </w:tc>
        <w:tc>
          <w:tcPr>
            <w:tcW w:w="1540" w:type="dxa"/>
            <w:tcBorders>
              <w:top w:val="single" w:sz="4" w:space="0" w:color="auto"/>
              <w:left w:val="nil"/>
              <w:bottom w:val="single" w:sz="4" w:space="0" w:color="auto"/>
              <w:right w:val="nil"/>
            </w:tcBorders>
            <w:shd w:val="clear" w:color="auto" w:fill="auto"/>
            <w:vAlign w:val="center"/>
            <w:hideMark/>
          </w:tcPr>
          <w:p w14:paraId="4610AB77" w14:textId="77777777" w:rsidR="00F0119A" w:rsidRDefault="000E4C0F" w:rsidP="000E4C0F">
            <w:pPr>
              <w:jc w:val="center"/>
              <w:rPr>
                <w:color w:val="000000" w:themeColor="text1"/>
              </w:rPr>
            </w:pPr>
            <w:r w:rsidRPr="000E4C0F">
              <w:rPr>
                <w:color w:val="000000" w:themeColor="text1"/>
              </w:rPr>
              <w:t xml:space="preserve">Harvested Biomass </w:t>
            </w:r>
          </w:p>
          <w:p w14:paraId="088ECB9A" w14:textId="77777777" w:rsidR="000E4C0F" w:rsidRPr="000E4C0F" w:rsidRDefault="000E4C0F" w:rsidP="000E4C0F">
            <w:pPr>
              <w:jc w:val="center"/>
              <w:rPr>
                <w:color w:val="000000" w:themeColor="text1"/>
              </w:rPr>
            </w:pPr>
            <w:r w:rsidRPr="000E4C0F">
              <w:rPr>
                <w:color w:val="000000" w:themeColor="text1"/>
              </w:rPr>
              <w:t>(</w:t>
            </w:r>
            <w:r w:rsidR="00F0119A" w:rsidRPr="000E4C0F">
              <w:rPr>
                <w:bCs/>
                <w:color w:val="000000" w:themeColor="text1"/>
              </w:rPr>
              <w:t>kg</w:t>
            </w:r>
            <w:r w:rsidR="00F0119A">
              <w:rPr>
                <w:bCs/>
                <w:color w:val="000000" w:themeColor="text1"/>
              </w:rPr>
              <w:t xml:space="preserve"> </w:t>
            </w:r>
            <w:r w:rsidR="00F0119A" w:rsidRPr="000E4C0F">
              <w:rPr>
                <w:bCs/>
                <w:color w:val="000000" w:themeColor="text1"/>
              </w:rPr>
              <w:t>ha</w:t>
            </w:r>
            <w:r w:rsidR="00F0119A">
              <w:rPr>
                <w:bCs/>
                <w:color w:val="000000" w:themeColor="text1"/>
                <w:vertAlign w:val="superscript"/>
              </w:rPr>
              <w:t>-1</w:t>
            </w:r>
            <w:r w:rsidRPr="000E4C0F">
              <w:rPr>
                <w:color w:val="000000" w:themeColor="text1"/>
              </w:rPr>
              <w:t>)</w:t>
            </w:r>
          </w:p>
        </w:tc>
        <w:tc>
          <w:tcPr>
            <w:tcW w:w="1420" w:type="dxa"/>
            <w:tcBorders>
              <w:top w:val="single" w:sz="4" w:space="0" w:color="auto"/>
              <w:left w:val="nil"/>
              <w:bottom w:val="single" w:sz="4" w:space="0" w:color="auto"/>
              <w:right w:val="nil"/>
            </w:tcBorders>
            <w:shd w:val="clear" w:color="auto" w:fill="auto"/>
            <w:vAlign w:val="center"/>
            <w:hideMark/>
          </w:tcPr>
          <w:p w14:paraId="69257E7A" w14:textId="77777777" w:rsidR="000E4C0F" w:rsidRPr="000E4C0F" w:rsidRDefault="000E4C0F" w:rsidP="000E4C0F">
            <w:pPr>
              <w:jc w:val="center"/>
              <w:rPr>
                <w:color w:val="000000" w:themeColor="text1"/>
              </w:rPr>
            </w:pPr>
            <w:r w:rsidRPr="000E4C0F">
              <w:rPr>
                <w:color w:val="000000" w:themeColor="text1"/>
              </w:rPr>
              <w:t>HI-Estimated Biomass (</w:t>
            </w:r>
            <w:r w:rsidR="00F0119A" w:rsidRPr="000E4C0F">
              <w:rPr>
                <w:bCs/>
                <w:color w:val="000000" w:themeColor="text1"/>
              </w:rPr>
              <w:t>kg</w:t>
            </w:r>
            <w:r w:rsidR="00F0119A">
              <w:rPr>
                <w:bCs/>
                <w:color w:val="000000" w:themeColor="text1"/>
              </w:rPr>
              <w:t xml:space="preserve"> </w:t>
            </w:r>
            <w:r w:rsidR="00F0119A" w:rsidRPr="000E4C0F">
              <w:rPr>
                <w:bCs/>
                <w:color w:val="000000" w:themeColor="text1"/>
              </w:rPr>
              <w:t>ha</w:t>
            </w:r>
            <w:r w:rsidR="00F0119A">
              <w:rPr>
                <w:bCs/>
                <w:color w:val="000000" w:themeColor="text1"/>
                <w:vertAlign w:val="superscript"/>
              </w:rPr>
              <w:t>-1</w:t>
            </w:r>
            <w:r w:rsidRPr="000E4C0F">
              <w:rPr>
                <w:color w:val="000000" w:themeColor="text1"/>
              </w:rPr>
              <w:t>)</w:t>
            </w:r>
          </w:p>
        </w:tc>
        <w:tc>
          <w:tcPr>
            <w:tcW w:w="2020" w:type="dxa"/>
            <w:tcBorders>
              <w:top w:val="single" w:sz="4" w:space="0" w:color="auto"/>
              <w:left w:val="nil"/>
              <w:bottom w:val="single" w:sz="4" w:space="0" w:color="auto"/>
              <w:right w:val="nil"/>
            </w:tcBorders>
            <w:shd w:val="clear" w:color="auto" w:fill="auto"/>
            <w:vAlign w:val="center"/>
            <w:hideMark/>
          </w:tcPr>
          <w:p w14:paraId="5E71FC9D" w14:textId="77777777" w:rsidR="000E4C0F" w:rsidRPr="000E4C0F" w:rsidRDefault="000E4C0F" w:rsidP="000E4C0F">
            <w:pPr>
              <w:jc w:val="center"/>
              <w:rPr>
                <w:color w:val="000000" w:themeColor="text1"/>
              </w:rPr>
            </w:pPr>
            <w:r w:rsidRPr="000E4C0F">
              <w:rPr>
                <w:color w:val="000000" w:themeColor="text1"/>
              </w:rPr>
              <w:t>R</w:t>
            </w:r>
            <w:r w:rsidRPr="000E4C0F">
              <w:rPr>
                <w:color w:val="000000" w:themeColor="text1"/>
                <w:vertAlign w:val="superscript"/>
              </w:rPr>
              <w:t>2</w:t>
            </w:r>
            <w:r w:rsidRPr="000E4C0F">
              <w:rPr>
                <w:color w:val="000000" w:themeColor="text1"/>
              </w:rPr>
              <w:t xml:space="preserve"> </w:t>
            </w:r>
          </w:p>
        </w:tc>
        <w:tc>
          <w:tcPr>
            <w:tcW w:w="1940" w:type="dxa"/>
            <w:tcBorders>
              <w:top w:val="single" w:sz="4" w:space="0" w:color="auto"/>
              <w:left w:val="nil"/>
              <w:bottom w:val="single" w:sz="4" w:space="0" w:color="auto"/>
            </w:tcBorders>
            <w:shd w:val="clear" w:color="auto" w:fill="auto"/>
            <w:vAlign w:val="center"/>
            <w:hideMark/>
          </w:tcPr>
          <w:p w14:paraId="55F4FB42" w14:textId="77777777" w:rsidR="000E4C0F" w:rsidRPr="000E4C0F" w:rsidRDefault="000E4C0F" w:rsidP="000E4C0F">
            <w:pPr>
              <w:jc w:val="center"/>
              <w:rPr>
                <w:color w:val="000000" w:themeColor="text1"/>
              </w:rPr>
            </w:pPr>
            <w:r w:rsidRPr="000E4C0F">
              <w:rPr>
                <w:color w:val="000000" w:themeColor="text1"/>
              </w:rPr>
              <w:t xml:space="preserve">Slope </w:t>
            </w:r>
          </w:p>
        </w:tc>
      </w:tr>
      <w:tr w:rsidR="000E4C0F" w:rsidRPr="000E4C0F" w14:paraId="647FF66D" w14:textId="77777777" w:rsidTr="0007491F">
        <w:trPr>
          <w:trHeight w:val="320"/>
        </w:trPr>
        <w:tc>
          <w:tcPr>
            <w:tcW w:w="1300" w:type="dxa"/>
            <w:tcBorders>
              <w:top w:val="single" w:sz="4" w:space="0" w:color="auto"/>
              <w:right w:val="nil"/>
            </w:tcBorders>
            <w:shd w:val="clear" w:color="auto" w:fill="auto"/>
            <w:noWrap/>
            <w:vAlign w:val="center"/>
            <w:hideMark/>
          </w:tcPr>
          <w:p w14:paraId="75F353C1" w14:textId="77777777" w:rsidR="000E4C0F" w:rsidRPr="000E4C0F" w:rsidRDefault="000E4C0F" w:rsidP="000E4C0F">
            <w:pPr>
              <w:jc w:val="center"/>
              <w:rPr>
                <w:color w:val="000000" w:themeColor="text1"/>
              </w:rPr>
            </w:pPr>
            <w:r w:rsidRPr="000E4C0F">
              <w:rPr>
                <w:color w:val="000000" w:themeColor="text1"/>
              </w:rPr>
              <w:t>2018</w:t>
            </w:r>
          </w:p>
        </w:tc>
        <w:tc>
          <w:tcPr>
            <w:tcW w:w="1120" w:type="dxa"/>
            <w:tcBorders>
              <w:top w:val="single" w:sz="4" w:space="0" w:color="auto"/>
              <w:left w:val="nil"/>
              <w:right w:val="nil"/>
            </w:tcBorders>
            <w:shd w:val="clear" w:color="auto" w:fill="auto"/>
            <w:noWrap/>
            <w:vAlign w:val="center"/>
            <w:hideMark/>
          </w:tcPr>
          <w:p w14:paraId="12E102E9" w14:textId="77777777" w:rsidR="000E4C0F" w:rsidRPr="000E4C0F" w:rsidRDefault="000E4C0F" w:rsidP="000E4C0F">
            <w:pPr>
              <w:jc w:val="center"/>
              <w:rPr>
                <w:color w:val="000000" w:themeColor="text1"/>
              </w:rPr>
            </w:pPr>
            <w:r w:rsidRPr="000E4C0F">
              <w:rPr>
                <w:color w:val="000000" w:themeColor="text1"/>
              </w:rPr>
              <w:t>1390</w:t>
            </w:r>
          </w:p>
        </w:tc>
        <w:tc>
          <w:tcPr>
            <w:tcW w:w="1540" w:type="dxa"/>
            <w:tcBorders>
              <w:top w:val="single" w:sz="4" w:space="0" w:color="auto"/>
              <w:left w:val="nil"/>
              <w:right w:val="nil"/>
            </w:tcBorders>
            <w:shd w:val="clear" w:color="auto" w:fill="auto"/>
            <w:noWrap/>
            <w:vAlign w:val="center"/>
            <w:hideMark/>
          </w:tcPr>
          <w:p w14:paraId="5D39586B" w14:textId="77777777" w:rsidR="000E4C0F" w:rsidRPr="000E4C0F" w:rsidRDefault="000E4C0F" w:rsidP="000E4C0F">
            <w:pPr>
              <w:jc w:val="center"/>
              <w:rPr>
                <w:color w:val="000000" w:themeColor="text1"/>
              </w:rPr>
            </w:pPr>
            <w:r w:rsidRPr="000E4C0F">
              <w:rPr>
                <w:color w:val="000000" w:themeColor="text1"/>
              </w:rPr>
              <w:t>9819</w:t>
            </w:r>
          </w:p>
        </w:tc>
        <w:tc>
          <w:tcPr>
            <w:tcW w:w="1420" w:type="dxa"/>
            <w:tcBorders>
              <w:top w:val="single" w:sz="4" w:space="0" w:color="auto"/>
              <w:left w:val="nil"/>
              <w:right w:val="nil"/>
            </w:tcBorders>
            <w:shd w:val="clear" w:color="auto" w:fill="auto"/>
            <w:noWrap/>
            <w:vAlign w:val="center"/>
            <w:hideMark/>
          </w:tcPr>
          <w:p w14:paraId="7C01EE6A" w14:textId="77777777" w:rsidR="000E4C0F" w:rsidRPr="000E4C0F" w:rsidRDefault="000E4C0F" w:rsidP="000E4C0F">
            <w:pPr>
              <w:jc w:val="center"/>
              <w:rPr>
                <w:color w:val="000000" w:themeColor="text1"/>
              </w:rPr>
            </w:pPr>
            <w:r w:rsidRPr="000E4C0F">
              <w:rPr>
                <w:color w:val="000000" w:themeColor="text1"/>
              </w:rPr>
              <w:t>1699</w:t>
            </w:r>
          </w:p>
        </w:tc>
        <w:tc>
          <w:tcPr>
            <w:tcW w:w="2020" w:type="dxa"/>
            <w:tcBorders>
              <w:top w:val="single" w:sz="4" w:space="0" w:color="auto"/>
              <w:left w:val="nil"/>
              <w:right w:val="nil"/>
            </w:tcBorders>
            <w:shd w:val="clear" w:color="auto" w:fill="auto"/>
            <w:noWrap/>
            <w:vAlign w:val="center"/>
            <w:hideMark/>
          </w:tcPr>
          <w:p w14:paraId="712447C6" w14:textId="77777777" w:rsidR="000E4C0F" w:rsidRPr="000E4C0F" w:rsidRDefault="000E4C0F" w:rsidP="000E4C0F">
            <w:pPr>
              <w:jc w:val="center"/>
              <w:rPr>
                <w:color w:val="000000" w:themeColor="text1"/>
              </w:rPr>
            </w:pPr>
            <w:r w:rsidRPr="000E4C0F">
              <w:rPr>
                <w:color w:val="000000" w:themeColor="text1"/>
              </w:rPr>
              <w:t>0.31</w:t>
            </w:r>
          </w:p>
        </w:tc>
        <w:tc>
          <w:tcPr>
            <w:tcW w:w="1940" w:type="dxa"/>
            <w:tcBorders>
              <w:top w:val="single" w:sz="4" w:space="0" w:color="auto"/>
              <w:left w:val="nil"/>
            </w:tcBorders>
            <w:shd w:val="clear" w:color="auto" w:fill="auto"/>
            <w:noWrap/>
            <w:vAlign w:val="center"/>
            <w:hideMark/>
          </w:tcPr>
          <w:p w14:paraId="17E26D18" w14:textId="77777777" w:rsidR="000E4C0F" w:rsidRPr="000E4C0F" w:rsidRDefault="000E4C0F" w:rsidP="000E4C0F">
            <w:pPr>
              <w:jc w:val="center"/>
              <w:rPr>
                <w:color w:val="000000" w:themeColor="text1"/>
              </w:rPr>
            </w:pPr>
            <w:r w:rsidRPr="000E4C0F">
              <w:rPr>
                <w:color w:val="000000" w:themeColor="text1"/>
              </w:rPr>
              <w:t>1.39</w:t>
            </w:r>
          </w:p>
        </w:tc>
      </w:tr>
      <w:tr w:rsidR="000E4C0F" w:rsidRPr="000E4C0F" w14:paraId="09842EB7" w14:textId="77777777" w:rsidTr="0007491F">
        <w:trPr>
          <w:trHeight w:val="320"/>
        </w:trPr>
        <w:tc>
          <w:tcPr>
            <w:tcW w:w="1300" w:type="dxa"/>
            <w:tcBorders>
              <w:right w:val="nil"/>
            </w:tcBorders>
            <w:shd w:val="clear" w:color="auto" w:fill="auto"/>
            <w:noWrap/>
            <w:vAlign w:val="center"/>
            <w:hideMark/>
          </w:tcPr>
          <w:p w14:paraId="1C1DA318" w14:textId="77777777" w:rsidR="000E4C0F" w:rsidRPr="000E4C0F" w:rsidRDefault="000E4C0F" w:rsidP="000E4C0F">
            <w:pPr>
              <w:jc w:val="center"/>
              <w:rPr>
                <w:color w:val="000000" w:themeColor="text1"/>
              </w:rPr>
            </w:pPr>
            <w:r w:rsidRPr="000E4C0F">
              <w:rPr>
                <w:color w:val="000000" w:themeColor="text1"/>
              </w:rPr>
              <w:t>2022</w:t>
            </w:r>
          </w:p>
        </w:tc>
        <w:tc>
          <w:tcPr>
            <w:tcW w:w="1120" w:type="dxa"/>
            <w:tcBorders>
              <w:left w:val="nil"/>
              <w:right w:val="nil"/>
            </w:tcBorders>
            <w:shd w:val="clear" w:color="auto" w:fill="auto"/>
            <w:noWrap/>
            <w:vAlign w:val="center"/>
            <w:hideMark/>
          </w:tcPr>
          <w:p w14:paraId="38068DFC" w14:textId="77777777" w:rsidR="000E4C0F" w:rsidRPr="000E4C0F" w:rsidRDefault="000E4C0F" w:rsidP="000E4C0F">
            <w:pPr>
              <w:jc w:val="center"/>
              <w:rPr>
                <w:color w:val="000000" w:themeColor="text1"/>
              </w:rPr>
            </w:pPr>
            <w:r w:rsidRPr="000E4C0F">
              <w:rPr>
                <w:color w:val="000000" w:themeColor="text1"/>
              </w:rPr>
              <w:t>2364</w:t>
            </w:r>
          </w:p>
        </w:tc>
        <w:tc>
          <w:tcPr>
            <w:tcW w:w="1540" w:type="dxa"/>
            <w:tcBorders>
              <w:left w:val="nil"/>
              <w:right w:val="nil"/>
            </w:tcBorders>
            <w:shd w:val="clear" w:color="auto" w:fill="auto"/>
            <w:noWrap/>
            <w:vAlign w:val="center"/>
            <w:hideMark/>
          </w:tcPr>
          <w:p w14:paraId="6E81D436" w14:textId="77777777" w:rsidR="000E4C0F" w:rsidRPr="000E4C0F" w:rsidRDefault="000E4C0F" w:rsidP="000E4C0F">
            <w:pPr>
              <w:jc w:val="center"/>
              <w:rPr>
                <w:color w:val="000000" w:themeColor="text1"/>
              </w:rPr>
            </w:pPr>
            <w:r w:rsidRPr="000E4C0F">
              <w:rPr>
                <w:color w:val="000000" w:themeColor="text1"/>
              </w:rPr>
              <w:t>4338</w:t>
            </w:r>
          </w:p>
        </w:tc>
        <w:tc>
          <w:tcPr>
            <w:tcW w:w="1420" w:type="dxa"/>
            <w:tcBorders>
              <w:left w:val="nil"/>
              <w:right w:val="nil"/>
            </w:tcBorders>
            <w:shd w:val="clear" w:color="auto" w:fill="auto"/>
            <w:noWrap/>
            <w:vAlign w:val="center"/>
            <w:hideMark/>
          </w:tcPr>
          <w:p w14:paraId="05B70964" w14:textId="77777777" w:rsidR="000E4C0F" w:rsidRPr="000E4C0F" w:rsidRDefault="000E4C0F" w:rsidP="000E4C0F">
            <w:pPr>
              <w:jc w:val="center"/>
              <w:rPr>
                <w:color w:val="000000" w:themeColor="text1"/>
              </w:rPr>
            </w:pPr>
            <w:r w:rsidRPr="000E4C0F">
              <w:rPr>
                <w:color w:val="000000" w:themeColor="text1"/>
              </w:rPr>
              <w:t>2889</w:t>
            </w:r>
          </w:p>
        </w:tc>
        <w:tc>
          <w:tcPr>
            <w:tcW w:w="2020" w:type="dxa"/>
            <w:tcBorders>
              <w:left w:val="nil"/>
              <w:right w:val="nil"/>
            </w:tcBorders>
            <w:shd w:val="clear" w:color="auto" w:fill="auto"/>
            <w:noWrap/>
            <w:vAlign w:val="center"/>
            <w:hideMark/>
          </w:tcPr>
          <w:p w14:paraId="59EFF8D9" w14:textId="77777777" w:rsidR="000E4C0F" w:rsidRPr="000E4C0F" w:rsidRDefault="000E4C0F" w:rsidP="000E4C0F">
            <w:pPr>
              <w:jc w:val="center"/>
              <w:rPr>
                <w:color w:val="000000" w:themeColor="text1"/>
              </w:rPr>
            </w:pPr>
            <w:r w:rsidRPr="000E4C0F">
              <w:rPr>
                <w:color w:val="000000" w:themeColor="text1"/>
              </w:rPr>
              <w:t>0.59</w:t>
            </w:r>
          </w:p>
        </w:tc>
        <w:tc>
          <w:tcPr>
            <w:tcW w:w="1940" w:type="dxa"/>
            <w:tcBorders>
              <w:left w:val="nil"/>
            </w:tcBorders>
            <w:shd w:val="clear" w:color="auto" w:fill="auto"/>
            <w:noWrap/>
            <w:vAlign w:val="center"/>
            <w:hideMark/>
          </w:tcPr>
          <w:p w14:paraId="662A8D86" w14:textId="77777777" w:rsidR="000E4C0F" w:rsidRPr="000E4C0F" w:rsidRDefault="000E4C0F" w:rsidP="000E4C0F">
            <w:pPr>
              <w:jc w:val="center"/>
              <w:rPr>
                <w:color w:val="000000" w:themeColor="text1"/>
              </w:rPr>
            </w:pPr>
            <w:r w:rsidRPr="000E4C0F">
              <w:rPr>
                <w:color w:val="000000" w:themeColor="text1"/>
              </w:rPr>
              <w:t>1.28</w:t>
            </w:r>
          </w:p>
        </w:tc>
      </w:tr>
    </w:tbl>
    <w:p w14:paraId="2F00DE93" w14:textId="77777777" w:rsidR="000E4C0F" w:rsidRPr="000E4C0F" w:rsidRDefault="000E4C0F" w:rsidP="000E4C0F">
      <w:pPr>
        <w:rPr>
          <w:color w:val="000000" w:themeColor="text1"/>
        </w:rPr>
      </w:pPr>
      <w:r w:rsidRPr="000E4C0F">
        <w:rPr>
          <w:color w:val="000000" w:themeColor="text1"/>
        </w:rPr>
        <w:lastRenderedPageBreak/>
        <w:t>Table A.2: Mean Grain Yield, Harvested Biomass, Harvest Index (HI) -estimated Biomass, and the linear relationship statistics between the two metrics in 2018 and 2022 (R</w:t>
      </w:r>
      <w:r w:rsidRPr="000E4C0F">
        <w:rPr>
          <w:color w:val="000000" w:themeColor="text1"/>
          <w:vertAlign w:val="superscript"/>
        </w:rPr>
        <w:t>2</w:t>
      </w:r>
      <w:r w:rsidRPr="000E4C0F">
        <w:rPr>
          <w:color w:val="000000" w:themeColor="text1"/>
        </w:rPr>
        <w:t xml:space="preserve"> and slope).</w:t>
      </w:r>
    </w:p>
    <w:p w14:paraId="4F677ACD" w14:textId="77777777" w:rsidR="000E4C0F" w:rsidRPr="000E4C0F" w:rsidRDefault="000E4C0F" w:rsidP="000E4C0F">
      <w:pPr>
        <w:rPr>
          <w:color w:val="000000" w:themeColor="text1"/>
        </w:rPr>
      </w:pPr>
    </w:p>
    <w:tbl>
      <w:tblPr>
        <w:tblW w:w="8360" w:type="dxa"/>
        <w:jc w:val="center"/>
        <w:tblLook w:val="04A0" w:firstRow="1" w:lastRow="0" w:firstColumn="1" w:lastColumn="0" w:noHBand="0" w:noVBand="1"/>
      </w:tblPr>
      <w:tblGrid>
        <w:gridCol w:w="1300"/>
        <w:gridCol w:w="1300"/>
        <w:gridCol w:w="1240"/>
        <w:gridCol w:w="1640"/>
        <w:gridCol w:w="1520"/>
        <w:gridCol w:w="1360"/>
      </w:tblGrid>
      <w:tr w:rsidR="000E4C0F" w:rsidRPr="000E4C0F" w14:paraId="66930F29" w14:textId="77777777" w:rsidTr="0007491F">
        <w:trPr>
          <w:trHeight w:val="380"/>
          <w:jc w:val="center"/>
        </w:trPr>
        <w:tc>
          <w:tcPr>
            <w:tcW w:w="2600" w:type="dxa"/>
            <w:gridSpan w:val="2"/>
            <w:tcBorders>
              <w:top w:val="single" w:sz="4" w:space="0" w:color="auto"/>
              <w:left w:val="nil"/>
              <w:bottom w:val="single" w:sz="4" w:space="0" w:color="auto"/>
            </w:tcBorders>
            <w:shd w:val="clear" w:color="auto" w:fill="auto"/>
            <w:vAlign w:val="center"/>
            <w:hideMark/>
          </w:tcPr>
          <w:p w14:paraId="4FDEFCAA" w14:textId="77777777" w:rsidR="000E4C0F" w:rsidRPr="000E4C0F" w:rsidRDefault="000E4C0F" w:rsidP="000E4C0F">
            <w:pPr>
              <w:jc w:val="center"/>
              <w:rPr>
                <w:color w:val="000000" w:themeColor="text1"/>
              </w:rPr>
            </w:pPr>
            <w:r w:rsidRPr="000E4C0F">
              <w:rPr>
                <w:color w:val="000000" w:themeColor="text1"/>
              </w:rPr>
              <w:t>Year</w:t>
            </w:r>
          </w:p>
        </w:tc>
        <w:tc>
          <w:tcPr>
            <w:tcW w:w="1240" w:type="dxa"/>
            <w:tcBorders>
              <w:top w:val="single" w:sz="4" w:space="0" w:color="auto"/>
              <w:bottom w:val="single" w:sz="4" w:space="0" w:color="auto"/>
            </w:tcBorders>
            <w:shd w:val="clear" w:color="auto" w:fill="auto"/>
            <w:vAlign w:val="center"/>
            <w:hideMark/>
          </w:tcPr>
          <w:p w14:paraId="388FD8B4" w14:textId="77777777" w:rsidR="000E4C0F" w:rsidRPr="000E4C0F" w:rsidRDefault="000E4C0F" w:rsidP="000E4C0F">
            <w:pPr>
              <w:jc w:val="center"/>
              <w:rPr>
                <w:color w:val="000000" w:themeColor="text1"/>
              </w:rPr>
            </w:pPr>
            <w:r w:rsidRPr="000E4C0F">
              <w:rPr>
                <w:color w:val="000000" w:themeColor="text1"/>
              </w:rPr>
              <w:t>2018</w:t>
            </w:r>
          </w:p>
        </w:tc>
        <w:tc>
          <w:tcPr>
            <w:tcW w:w="1640" w:type="dxa"/>
            <w:tcBorders>
              <w:top w:val="single" w:sz="4" w:space="0" w:color="auto"/>
              <w:bottom w:val="single" w:sz="4" w:space="0" w:color="auto"/>
            </w:tcBorders>
            <w:shd w:val="clear" w:color="auto" w:fill="auto"/>
            <w:vAlign w:val="center"/>
            <w:hideMark/>
          </w:tcPr>
          <w:p w14:paraId="01794E28" w14:textId="77777777" w:rsidR="000E4C0F" w:rsidRPr="000E4C0F" w:rsidRDefault="000E4C0F" w:rsidP="000E4C0F">
            <w:pPr>
              <w:jc w:val="center"/>
              <w:rPr>
                <w:color w:val="000000" w:themeColor="text1"/>
              </w:rPr>
            </w:pPr>
            <w:r w:rsidRPr="000E4C0F">
              <w:rPr>
                <w:color w:val="000000" w:themeColor="text1"/>
              </w:rPr>
              <w:t>2021</w:t>
            </w:r>
          </w:p>
        </w:tc>
        <w:tc>
          <w:tcPr>
            <w:tcW w:w="1520" w:type="dxa"/>
            <w:tcBorders>
              <w:top w:val="single" w:sz="4" w:space="0" w:color="auto"/>
              <w:bottom w:val="single" w:sz="4" w:space="0" w:color="auto"/>
            </w:tcBorders>
            <w:shd w:val="clear" w:color="auto" w:fill="auto"/>
            <w:vAlign w:val="center"/>
            <w:hideMark/>
          </w:tcPr>
          <w:p w14:paraId="25B80310" w14:textId="77777777" w:rsidR="000E4C0F" w:rsidRPr="000E4C0F" w:rsidRDefault="000E4C0F" w:rsidP="000E4C0F">
            <w:pPr>
              <w:jc w:val="center"/>
              <w:rPr>
                <w:color w:val="000000" w:themeColor="text1"/>
              </w:rPr>
            </w:pPr>
            <w:r w:rsidRPr="000E4C0F">
              <w:rPr>
                <w:color w:val="000000" w:themeColor="text1"/>
              </w:rPr>
              <w:t>2022</w:t>
            </w:r>
          </w:p>
        </w:tc>
        <w:tc>
          <w:tcPr>
            <w:tcW w:w="1360" w:type="dxa"/>
            <w:tcBorders>
              <w:top w:val="single" w:sz="4" w:space="0" w:color="auto"/>
              <w:bottom w:val="single" w:sz="4" w:space="0" w:color="auto"/>
              <w:right w:val="nil"/>
            </w:tcBorders>
            <w:shd w:val="clear" w:color="auto" w:fill="auto"/>
            <w:vAlign w:val="center"/>
            <w:hideMark/>
          </w:tcPr>
          <w:p w14:paraId="1F5A4EF0" w14:textId="77777777" w:rsidR="000E4C0F" w:rsidRPr="000E4C0F" w:rsidRDefault="000E4C0F" w:rsidP="000E4C0F">
            <w:pPr>
              <w:jc w:val="center"/>
              <w:rPr>
                <w:color w:val="000000" w:themeColor="text1"/>
              </w:rPr>
            </w:pPr>
            <w:r w:rsidRPr="000E4C0F">
              <w:rPr>
                <w:color w:val="000000" w:themeColor="text1"/>
              </w:rPr>
              <w:t>4 yr. Change</w:t>
            </w:r>
            <w:r w:rsidR="005F1914">
              <w:rPr>
                <w:color w:val="000000" w:themeColor="text1"/>
              </w:rPr>
              <w:t xml:space="preserve"> (%)</w:t>
            </w:r>
          </w:p>
        </w:tc>
      </w:tr>
      <w:tr w:rsidR="000E4C0F" w:rsidRPr="000E4C0F" w14:paraId="71DC3E38" w14:textId="77777777" w:rsidTr="0007491F">
        <w:trPr>
          <w:trHeight w:val="360"/>
          <w:jc w:val="center"/>
        </w:trPr>
        <w:tc>
          <w:tcPr>
            <w:tcW w:w="1300" w:type="dxa"/>
            <w:tcBorders>
              <w:top w:val="single" w:sz="4" w:space="0" w:color="auto"/>
              <w:left w:val="nil"/>
              <w:bottom w:val="single" w:sz="4" w:space="0" w:color="auto"/>
              <w:right w:val="single" w:sz="4" w:space="0" w:color="auto"/>
            </w:tcBorders>
            <w:shd w:val="clear" w:color="auto" w:fill="auto"/>
            <w:vAlign w:val="center"/>
            <w:hideMark/>
          </w:tcPr>
          <w:p w14:paraId="32B98268" w14:textId="77777777" w:rsidR="000E4C0F" w:rsidRPr="000E4C0F" w:rsidRDefault="000E4C0F" w:rsidP="000E4C0F">
            <w:pPr>
              <w:jc w:val="center"/>
              <w:rPr>
                <w:color w:val="000000" w:themeColor="text1"/>
              </w:rPr>
            </w:pPr>
            <w:r w:rsidRPr="000E4C0F">
              <w:rPr>
                <w:color w:val="000000" w:themeColor="text1"/>
              </w:rPr>
              <w:t>Depth</w:t>
            </w:r>
          </w:p>
        </w:tc>
        <w:tc>
          <w:tcPr>
            <w:tcW w:w="7060" w:type="dxa"/>
            <w:gridSpan w:val="5"/>
            <w:tcBorders>
              <w:top w:val="single" w:sz="4" w:space="0" w:color="auto"/>
              <w:left w:val="nil"/>
              <w:bottom w:val="single" w:sz="4" w:space="0" w:color="auto"/>
              <w:right w:val="nil"/>
            </w:tcBorders>
            <w:shd w:val="clear" w:color="auto" w:fill="auto"/>
            <w:vAlign w:val="center"/>
            <w:hideMark/>
          </w:tcPr>
          <w:p w14:paraId="11CC9E29" w14:textId="77777777" w:rsidR="000E4C0F" w:rsidRPr="000E4C0F" w:rsidRDefault="000E4C0F" w:rsidP="000E4C0F">
            <w:pPr>
              <w:jc w:val="center"/>
              <w:rPr>
                <w:color w:val="000000" w:themeColor="text1"/>
              </w:rPr>
            </w:pPr>
            <w:r w:rsidRPr="000E4C0F">
              <w:rPr>
                <w:color w:val="000000" w:themeColor="text1"/>
              </w:rPr>
              <w:t>0-5 cm</w:t>
            </w:r>
          </w:p>
        </w:tc>
      </w:tr>
      <w:tr w:rsidR="000E4C0F" w:rsidRPr="000E4C0F" w14:paraId="66E7AC3E" w14:textId="77777777" w:rsidTr="0007491F">
        <w:trPr>
          <w:trHeight w:val="360"/>
          <w:jc w:val="center"/>
        </w:trPr>
        <w:tc>
          <w:tcPr>
            <w:tcW w:w="1300" w:type="dxa"/>
            <w:vMerge w:val="restart"/>
            <w:tcBorders>
              <w:top w:val="nil"/>
              <w:left w:val="nil"/>
              <w:bottom w:val="single" w:sz="4" w:space="0" w:color="000000"/>
              <w:right w:val="single" w:sz="4" w:space="0" w:color="auto"/>
            </w:tcBorders>
            <w:shd w:val="clear" w:color="auto" w:fill="auto"/>
            <w:textDirection w:val="btLr"/>
            <w:vAlign w:val="center"/>
            <w:hideMark/>
          </w:tcPr>
          <w:p w14:paraId="294BD472" w14:textId="77777777" w:rsidR="000E4C0F" w:rsidRPr="000E4C0F" w:rsidRDefault="000E4C0F" w:rsidP="000E4C0F">
            <w:pPr>
              <w:jc w:val="center"/>
              <w:rPr>
                <w:color w:val="000000" w:themeColor="text1"/>
              </w:rPr>
            </w:pPr>
            <w:r w:rsidRPr="000E4C0F">
              <w:rPr>
                <w:color w:val="000000" w:themeColor="text1"/>
              </w:rPr>
              <w:t>Tillage Treatment</w:t>
            </w:r>
          </w:p>
        </w:tc>
        <w:tc>
          <w:tcPr>
            <w:tcW w:w="1300" w:type="dxa"/>
            <w:tcBorders>
              <w:top w:val="nil"/>
              <w:left w:val="nil"/>
              <w:bottom w:val="single" w:sz="4" w:space="0" w:color="auto"/>
              <w:right w:val="single" w:sz="4" w:space="0" w:color="auto"/>
            </w:tcBorders>
            <w:shd w:val="clear" w:color="auto" w:fill="auto"/>
            <w:vAlign w:val="center"/>
            <w:hideMark/>
          </w:tcPr>
          <w:p w14:paraId="5D21D4AE" w14:textId="77777777" w:rsidR="000E4C0F" w:rsidRPr="000E4C0F" w:rsidRDefault="000E4C0F" w:rsidP="000E4C0F">
            <w:pPr>
              <w:jc w:val="center"/>
              <w:rPr>
                <w:color w:val="000000" w:themeColor="text1"/>
              </w:rPr>
            </w:pPr>
            <w:r w:rsidRPr="000E4C0F">
              <w:rPr>
                <w:color w:val="000000" w:themeColor="text1"/>
              </w:rPr>
              <w:t>CT</w:t>
            </w:r>
          </w:p>
        </w:tc>
        <w:tc>
          <w:tcPr>
            <w:tcW w:w="1240" w:type="dxa"/>
            <w:tcBorders>
              <w:top w:val="nil"/>
              <w:left w:val="nil"/>
              <w:bottom w:val="single" w:sz="4" w:space="0" w:color="auto"/>
              <w:right w:val="nil"/>
            </w:tcBorders>
            <w:shd w:val="clear" w:color="auto" w:fill="auto"/>
            <w:vAlign w:val="center"/>
            <w:hideMark/>
          </w:tcPr>
          <w:p w14:paraId="75E90B0C" w14:textId="77777777" w:rsidR="000E4C0F" w:rsidRPr="000E4C0F" w:rsidRDefault="000E4C0F" w:rsidP="000E4C0F">
            <w:pPr>
              <w:jc w:val="center"/>
              <w:rPr>
                <w:color w:val="000000" w:themeColor="text1"/>
              </w:rPr>
            </w:pPr>
            <w:r w:rsidRPr="000E4C0F">
              <w:rPr>
                <w:color w:val="000000" w:themeColor="text1"/>
              </w:rPr>
              <w:t>10</w:t>
            </w:r>
            <w:r w:rsidR="001909A5">
              <w:rPr>
                <w:color w:val="000000" w:themeColor="text1"/>
              </w:rPr>
              <w:t>.</w:t>
            </w:r>
            <w:r w:rsidRPr="000E4C0F">
              <w:rPr>
                <w:color w:val="000000" w:themeColor="text1"/>
              </w:rPr>
              <w:t>0 ± 1</w:t>
            </w:r>
            <w:r w:rsidR="005F1914">
              <w:rPr>
                <w:color w:val="000000" w:themeColor="text1"/>
              </w:rPr>
              <w:t>.</w:t>
            </w:r>
            <w:r w:rsidRPr="000E4C0F">
              <w:rPr>
                <w:color w:val="000000" w:themeColor="text1"/>
              </w:rPr>
              <w:t>2</w:t>
            </w:r>
          </w:p>
        </w:tc>
        <w:tc>
          <w:tcPr>
            <w:tcW w:w="1640" w:type="dxa"/>
            <w:tcBorders>
              <w:top w:val="nil"/>
              <w:left w:val="nil"/>
              <w:bottom w:val="single" w:sz="4" w:space="0" w:color="auto"/>
              <w:right w:val="nil"/>
            </w:tcBorders>
            <w:shd w:val="clear" w:color="auto" w:fill="auto"/>
            <w:vAlign w:val="center"/>
            <w:hideMark/>
          </w:tcPr>
          <w:p w14:paraId="0859C486" w14:textId="77777777" w:rsidR="000E4C0F" w:rsidRPr="000E4C0F" w:rsidRDefault="000E4C0F" w:rsidP="000E4C0F">
            <w:pPr>
              <w:jc w:val="center"/>
              <w:rPr>
                <w:color w:val="000000" w:themeColor="text1"/>
              </w:rPr>
            </w:pPr>
            <w:r w:rsidRPr="000E4C0F">
              <w:rPr>
                <w:color w:val="000000" w:themeColor="text1"/>
              </w:rPr>
              <w:t>8</w:t>
            </w:r>
            <w:r w:rsidR="005F1914">
              <w:rPr>
                <w:color w:val="000000" w:themeColor="text1"/>
              </w:rPr>
              <w:t>.</w:t>
            </w:r>
            <w:r w:rsidRPr="000E4C0F">
              <w:rPr>
                <w:color w:val="000000" w:themeColor="text1"/>
              </w:rPr>
              <w:t xml:space="preserve">3 ± </w:t>
            </w:r>
            <w:r w:rsidR="005F1914">
              <w:rPr>
                <w:color w:val="000000" w:themeColor="text1"/>
              </w:rPr>
              <w:t>1.</w:t>
            </w:r>
            <w:r w:rsidRPr="000E4C0F">
              <w:rPr>
                <w:color w:val="000000" w:themeColor="text1"/>
              </w:rPr>
              <w:t>0 b</w:t>
            </w:r>
          </w:p>
        </w:tc>
        <w:tc>
          <w:tcPr>
            <w:tcW w:w="1520" w:type="dxa"/>
            <w:tcBorders>
              <w:top w:val="nil"/>
              <w:left w:val="nil"/>
              <w:bottom w:val="single" w:sz="4" w:space="0" w:color="auto"/>
              <w:right w:val="nil"/>
            </w:tcBorders>
            <w:shd w:val="clear" w:color="auto" w:fill="auto"/>
            <w:vAlign w:val="center"/>
            <w:hideMark/>
          </w:tcPr>
          <w:p w14:paraId="76D4F136" w14:textId="77777777" w:rsidR="000E4C0F" w:rsidRPr="000E4C0F" w:rsidRDefault="000E4C0F" w:rsidP="000E4C0F">
            <w:pPr>
              <w:jc w:val="center"/>
              <w:rPr>
                <w:color w:val="000000" w:themeColor="text1"/>
              </w:rPr>
            </w:pPr>
            <w:r w:rsidRPr="000E4C0F">
              <w:rPr>
                <w:color w:val="000000" w:themeColor="text1"/>
              </w:rPr>
              <w:t>10</w:t>
            </w:r>
            <w:r w:rsidR="005F1914">
              <w:rPr>
                <w:color w:val="000000" w:themeColor="text1"/>
              </w:rPr>
              <w:t>.</w:t>
            </w:r>
            <w:r w:rsidRPr="000E4C0F">
              <w:rPr>
                <w:color w:val="000000" w:themeColor="text1"/>
              </w:rPr>
              <w:t xml:space="preserve">9 ± </w:t>
            </w:r>
            <w:r w:rsidR="005F1914">
              <w:rPr>
                <w:color w:val="000000" w:themeColor="text1"/>
              </w:rPr>
              <w:t>1.</w:t>
            </w:r>
            <w:r w:rsidRPr="000E4C0F">
              <w:rPr>
                <w:color w:val="000000" w:themeColor="text1"/>
              </w:rPr>
              <w:t>8 b</w:t>
            </w:r>
          </w:p>
        </w:tc>
        <w:tc>
          <w:tcPr>
            <w:tcW w:w="1360" w:type="dxa"/>
            <w:tcBorders>
              <w:top w:val="nil"/>
              <w:left w:val="nil"/>
              <w:bottom w:val="single" w:sz="4" w:space="0" w:color="auto"/>
              <w:right w:val="nil"/>
            </w:tcBorders>
            <w:shd w:val="clear" w:color="auto" w:fill="auto"/>
            <w:vAlign w:val="center"/>
            <w:hideMark/>
          </w:tcPr>
          <w:p w14:paraId="6236AF15" w14:textId="77777777" w:rsidR="000E4C0F" w:rsidRPr="000E4C0F" w:rsidRDefault="000E4C0F" w:rsidP="000E4C0F">
            <w:pPr>
              <w:jc w:val="center"/>
              <w:rPr>
                <w:color w:val="000000" w:themeColor="text1"/>
              </w:rPr>
            </w:pPr>
            <w:r w:rsidRPr="000E4C0F">
              <w:rPr>
                <w:color w:val="000000" w:themeColor="text1"/>
              </w:rPr>
              <w:t>0.18 ± 0.08</w:t>
            </w:r>
          </w:p>
        </w:tc>
      </w:tr>
      <w:tr w:rsidR="000E4C0F" w:rsidRPr="000E4C0F" w14:paraId="1232ADCC"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60C7AAC7"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66EF6F7B" w14:textId="77777777" w:rsidR="000E4C0F" w:rsidRPr="000E4C0F" w:rsidRDefault="000E4C0F" w:rsidP="000E4C0F">
            <w:pPr>
              <w:jc w:val="center"/>
              <w:rPr>
                <w:color w:val="000000" w:themeColor="text1"/>
              </w:rPr>
            </w:pPr>
            <w:r w:rsidRPr="000E4C0F">
              <w:rPr>
                <w:color w:val="000000" w:themeColor="text1"/>
              </w:rPr>
              <w:t>ST</w:t>
            </w:r>
          </w:p>
        </w:tc>
        <w:tc>
          <w:tcPr>
            <w:tcW w:w="1240" w:type="dxa"/>
            <w:tcBorders>
              <w:top w:val="nil"/>
              <w:left w:val="nil"/>
              <w:bottom w:val="single" w:sz="4" w:space="0" w:color="auto"/>
              <w:right w:val="nil"/>
            </w:tcBorders>
            <w:shd w:val="clear" w:color="auto" w:fill="auto"/>
            <w:vAlign w:val="center"/>
            <w:hideMark/>
          </w:tcPr>
          <w:p w14:paraId="0A949DB3" w14:textId="77777777" w:rsidR="000E4C0F" w:rsidRPr="000E4C0F" w:rsidRDefault="001909A5" w:rsidP="000E4C0F">
            <w:pPr>
              <w:jc w:val="center"/>
              <w:rPr>
                <w:color w:val="000000" w:themeColor="text1"/>
              </w:rPr>
            </w:pPr>
            <w:r>
              <w:rPr>
                <w:color w:val="000000" w:themeColor="text1"/>
              </w:rPr>
              <w:t>1</w:t>
            </w:r>
            <w:r w:rsidR="000E4C0F" w:rsidRPr="000E4C0F">
              <w:rPr>
                <w:color w:val="000000" w:themeColor="text1"/>
              </w:rPr>
              <w:t>1</w:t>
            </w:r>
            <w:r>
              <w:rPr>
                <w:color w:val="000000" w:themeColor="text1"/>
              </w:rPr>
              <w:t>.</w:t>
            </w:r>
            <w:r w:rsidR="000E4C0F" w:rsidRPr="000E4C0F">
              <w:rPr>
                <w:color w:val="000000" w:themeColor="text1"/>
              </w:rPr>
              <w:t>0 ± 1</w:t>
            </w:r>
            <w:r w:rsidR="005F1914">
              <w:rPr>
                <w:color w:val="000000" w:themeColor="text1"/>
              </w:rPr>
              <w:t>.</w:t>
            </w:r>
            <w:r w:rsidR="000E4C0F" w:rsidRPr="000E4C0F">
              <w:rPr>
                <w:color w:val="000000" w:themeColor="text1"/>
              </w:rPr>
              <w:t>5</w:t>
            </w:r>
          </w:p>
        </w:tc>
        <w:tc>
          <w:tcPr>
            <w:tcW w:w="1640" w:type="dxa"/>
            <w:tcBorders>
              <w:top w:val="nil"/>
              <w:left w:val="nil"/>
              <w:bottom w:val="single" w:sz="4" w:space="0" w:color="auto"/>
              <w:right w:val="nil"/>
            </w:tcBorders>
            <w:shd w:val="clear" w:color="auto" w:fill="auto"/>
            <w:vAlign w:val="center"/>
            <w:hideMark/>
          </w:tcPr>
          <w:p w14:paraId="0272919B" w14:textId="77777777" w:rsidR="000E4C0F" w:rsidRPr="000E4C0F" w:rsidRDefault="000E4C0F" w:rsidP="000E4C0F">
            <w:pPr>
              <w:jc w:val="center"/>
              <w:rPr>
                <w:color w:val="000000" w:themeColor="text1"/>
              </w:rPr>
            </w:pPr>
            <w:r w:rsidRPr="000E4C0F">
              <w:rPr>
                <w:color w:val="000000" w:themeColor="text1"/>
              </w:rPr>
              <w:t>11</w:t>
            </w:r>
            <w:r w:rsidR="005F1914">
              <w:rPr>
                <w:color w:val="000000" w:themeColor="text1"/>
              </w:rPr>
              <w:t>.</w:t>
            </w:r>
            <w:r w:rsidRPr="000E4C0F">
              <w:rPr>
                <w:color w:val="000000" w:themeColor="text1"/>
              </w:rPr>
              <w:t>3 ± 1</w:t>
            </w:r>
            <w:r w:rsidR="005F1914">
              <w:rPr>
                <w:color w:val="000000" w:themeColor="text1"/>
              </w:rPr>
              <w:t>.</w:t>
            </w:r>
            <w:r w:rsidRPr="000E4C0F">
              <w:rPr>
                <w:color w:val="000000" w:themeColor="text1"/>
              </w:rPr>
              <w:t>0 a</w:t>
            </w:r>
          </w:p>
        </w:tc>
        <w:tc>
          <w:tcPr>
            <w:tcW w:w="1520" w:type="dxa"/>
            <w:tcBorders>
              <w:top w:val="nil"/>
              <w:left w:val="nil"/>
              <w:bottom w:val="single" w:sz="4" w:space="0" w:color="auto"/>
              <w:right w:val="nil"/>
            </w:tcBorders>
            <w:shd w:val="clear" w:color="auto" w:fill="auto"/>
            <w:vAlign w:val="center"/>
            <w:hideMark/>
          </w:tcPr>
          <w:p w14:paraId="004895EB" w14:textId="77777777" w:rsidR="000E4C0F" w:rsidRPr="000E4C0F" w:rsidRDefault="000E4C0F" w:rsidP="000E4C0F">
            <w:pPr>
              <w:jc w:val="center"/>
              <w:rPr>
                <w:color w:val="000000" w:themeColor="text1"/>
              </w:rPr>
            </w:pPr>
            <w:r w:rsidRPr="000E4C0F">
              <w:rPr>
                <w:color w:val="000000" w:themeColor="text1"/>
              </w:rPr>
              <w:t>16</w:t>
            </w:r>
            <w:r w:rsidR="005F1914">
              <w:rPr>
                <w:color w:val="000000" w:themeColor="text1"/>
              </w:rPr>
              <w:t>.</w:t>
            </w:r>
            <w:r w:rsidRPr="000E4C0F">
              <w:rPr>
                <w:color w:val="000000" w:themeColor="text1"/>
              </w:rPr>
              <w:t>1 ± 1</w:t>
            </w:r>
            <w:r w:rsidR="005F1914">
              <w:rPr>
                <w:color w:val="000000" w:themeColor="text1"/>
              </w:rPr>
              <w:t>.</w:t>
            </w:r>
            <w:r w:rsidRPr="000E4C0F">
              <w:rPr>
                <w:color w:val="000000" w:themeColor="text1"/>
              </w:rPr>
              <w:t>3 a</w:t>
            </w:r>
          </w:p>
        </w:tc>
        <w:tc>
          <w:tcPr>
            <w:tcW w:w="1360" w:type="dxa"/>
            <w:tcBorders>
              <w:top w:val="nil"/>
              <w:left w:val="nil"/>
              <w:bottom w:val="single" w:sz="4" w:space="0" w:color="auto"/>
              <w:right w:val="nil"/>
            </w:tcBorders>
            <w:shd w:val="clear" w:color="auto" w:fill="auto"/>
            <w:vAlign w:val="center"/>
            <w:hideMark/>
          </w:tcPr>
          <w:p w14:paraId="7BAC0B19" w14:textId="77777777" w:rsidR="000E4C0F" w:rsidRPr="000E4C0F" w:rsidRDefault="000E4C0F" w:rsidP="000E4C0F">
            <w:pPr>
              <w:jc w:val="center"/>
              <w:rPr>
                <w:color w:val="000000" w:themeColor="text1"/>
              </w:rPr>
            </w:pPr>
            <w:r w:rsidRPr="000E4C0F">
              <w:rPr>
                <w:color w:val="000000" w:themeColor="text1"/>
              </w:rPr>
              <w:t>0.67 ± 0.43</w:t>
            </w:r>
          </w:p>
        </w:tc>
      </w:tr>
      <w:tr w:rsidR="000E4C0F" w:rsidRPr="000E4C0F" w14:paraId="4CEC0505"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3D422E2C"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2EF21744" w14:textId="77777777" w:rsidR="000E4C0F" w:rsidRPr="000E4C0F" w:rsidRDefault="000E4C0F" w:rsidP="000E4C0F">
            <w:pPr>
              <w:jc w:val="center"/>
              <w:rPr>
                <w:color w:val="000000" w:themeColor="text1"/>
              </w:rPr>
            </w:pPr>
            <w:r w:rsidRPr="000E4C0F">
              <w:rPr>
                <w:color w:val="000000" w:themeColor="text1"/>
              </w:rPr>
              <w:t>MT</w:t>
            </w:r>
          </w:p>
        </w:tc>
        <w:tc>
          <w:tcPr>
            <w:tcW w:w="1240" w:type="dxa"/>
            <w:tcBorders>
              <w:top w:val="nil"/>
              <w:left w:val="nil"/>
              <w:bottom w:val="single" w:sz="4" w:space="0" w:color="auto"/>
              <w:right w:val="nil"/>
            </w:tcBorders>
            <w:shd w:val="clear" w:color="auto" w:fill="auto"/>
            <w:vAlign w:val="center"/>
            <w:hideMark/>
          </w:tcPr>
          <w:p w14:paraId="187357E8" w14:textId="77777777" w:rsidR="000E4C0F" w:rsidRPr="000E4C0F" w:rsidRDefault="000E4C0F" w:rsidP="000E4C0F">
            <w:pPr>
              <w:jc w:val="center"/>
              <w:rPr>
                <w:color w:val="000000" w:themeColor="text1"/>
              </w:rPr>
            </w:pPr>
            <w:r w:rsidRPr="000E4C0F">
              <w:rPr>
                <w:color w:val="000000" w:themeColor="text1"/>
              </w:rPr>
              <w:t>11</w:t>
            </w:r>
            <w:r w:rsidR="001909A5">
              <w:rPr>
                <w:color w:val="000000" w:themeColor="text1"/>
              </w:rPr>
              <w:t>.</w:t>
            </w:r>
            <w:r w:rsidRPr="000E4C0F">
              <w:rPr>
                <w:color w:val="000000" w:themeColor="text1"/>
              </w:rPr>
              <w:t>4 ± 0</w:t>
            </w:r>
            <w:r w:rsidR="005F1914">
              <w:rPr>
                <w:color w:val="000000" w:themeColor="text1"/>
              </w:rPr>
              <w:t>.</w:t>
            </w:r>
            <w:r w:rsidRPr="000E4C0F">
              <w:rPr>
                <w:color w:val="000000" w:themeColor="text1"/>
              </w:rPr>
              <w:t>8</w:t>
            </w:r>
          </w:p>
        </w:tc>
        <w:tc>
          <w:tcPr>
            <w:tcW w:w="1640" w:type="dxa"/>
            <w:tcBorders>
              <w:top w:val="nil"/>
              <w:left w:val="nil"/>
              <w:bottom w:val="single" w:sz="4" w:space="0" w:color="auto"/>
              <w:right w:val="nil"/>
            </w:tcBorders>
            <w:shd w:val="clear" w:color="auto" w:fill="auto"/>
            <w:vAlign w:val="center"/>
            <w:hideMark/>
          </w:tcPr>
          <w:p w14:paraId="1C002EB5" w14:textId="77777777" w:rsidR="000E4C0F" w:rsidRPr="000E4C0F" w:rsidRDefault="000E4C0F" w:rsidP="000E4C0F">
            <w:pPr>
              <w:jc w:val="center"/>
              <w:rPr>
                <w:color w:val="000000" w:themeColor="text1"/>
              </w:rPr>
            </w:pPr>
            <w:r w:rsidRPr="000E4C0F">
              <w:rPr>
                <w:color w:val="000000" w:themeColor="text1"/>
              </w:rPr>
              <w:t>10</w:t>
            </w:r>
            <w:r w:rsidR="005F1914">
              <w:rPr>
                <w:color w:val="000000" w:themeColor="text1"/>
              </w:rPr>
              <w:t>.</w:t>
            </w:r>
            <w:r w:rsidRPr="000E4C0F">
              <w:rPr>
                <w:color w:val="000000" w:themeColor="text1"/>
              </w:rPr>
              <w:t>0 ± 1</w:t>
            </w:r>
            <w:r w:rsidR="005F1914">
              <w:rPr>
                <w:color w:val="000000" w:themeColor="text1"/>
              </w:rPr>
              <w:t>.</w:t>
            </w:r>
            <w:r w:rsidRPr="000E4C0F">
              <w:rPr>
                <w:color w:val="000000" w:themeColor="text1"/>
              </w:rPr>
              <w:t>5 ab</w:t>
            </w:r>
          </w:p>
        </w:tc>
        <w:tc>
          <w:tcPr>
            <w:tcW w:w="1520" w:type="dxa"/>
            <w:tcBorders>
              <w:top w:val="nil"/>
              <w:left w:val="nil"/>
              <w:bottom w:val="single" w:sz="4" w:space="0" w:color="auto"/>
              <w:right w:val="nil"/>
            </w:tcBorders>
            <w:shd w:val="clear" w:color="auto" w:fill="auto"/>
            <w:vAlign w:val="center"/>
            <w:hideMark/>
          </w:tcPr>
          <w:p w14:paraId="4E0C9DE9" w14:textId="77777777" w:rsidR="000E4C0F" w:rsidRPr="000E4C0F" w:rsidRDefault="000E4C0F" w:rsidP="000E4C0F">
            <w:pPr>
              <w:jc w:val="center"/>
              <w:rPr>
                <w:color w:val="000000" w:themeColor="text1"/>
              </w:rPr>
            </w:pPr>
            <w:r w:rsidRPr="000E4C0F">
              <w:rPr>
                <w:color w:val="000000" w:themeColor="text1"/>
              </w:rPr>
              <w:t>15</w:t>
            </w:r>
            <w:r w:rsidR="005F1914">
              <w:rPr>
                <w:color w:val="000000" w:themeColor="text1"/>
              </w:rPr>
              <w:t>.</w:t>
            </w:r>
            <w:r w:rsidRPr="000E4C0F">
              <w:rPr>
                <w:color w:val="000000" w:themeColor="text1"/>
              </w:rPr>
              <w:t>2 ± 1</w:t>
            </w:r>
            <w:r w:rsidR="005F1914">
              <w:rPr>
                <w:color w:val="000000" w:themeColor="text1"/>
              </w:rPr>
              <w:t>.</w:t>
            </w:r>
            <w:r w:rsidRPr="000E4C0F">
              <w:rPr>
                <w:color w:val="000000" w:themeColor="text1"/>
              </w:rPr>
              <w:t>3 ab</w:t>
            </w:r>
          </w:p>
        </w:tc>
        <w:tc>
          <w:tcPr>
            <w:tcW w:w="1360" w:type="dxa"/>
            <w:tcBorders>
              <w:top w:val="nil"/>
              <w:left w:val="nil"/>
              <w:bottom w:val="single" w:sz="4" w:space="0" w:color="auto"/>
              <w:right w:val="nil"/>
            </w:tcBorders>
            <w:shd w:val="clear" w:color="auto" w:fill="auto"/>
            <w:vAlign w:val="center"/>
            <w:hideMark/>
          </w:tcPr>
          <w:p w14:paraId="5512CA69" w14:textId="77777777" w:rsidR="000E4C0F" w:rsidRPr="000E4C0F" w:rsidRDefault="000E4C0F" w:rsidP="000E4C0F">
            <w:pPr>
              <w:jc w:val="center"/>
              <w:rPr>
                <w:color w:val="000000" w:themeColor="text1"/>
              </w:rPr>
            </w:pPr>
            <w:r w:rsidRPr="000E4C0F">
              <w:rPr>
                <w:color w:val="000000" w:themeColor="text1"/>
              </w:rPr>
              <w:t>0.48 ± 0.31</w:t>
            </w:r>
          </w:p>
        </w:tc>
      </w:tr>
      <w:tr w:rsidR="000E4C0F" w:rsidRPr="000E4C0F" w14:paraId="5979D1B2"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158979B8"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560F46B5" w14:textId="77777777" w:rsidR="000E4C0F" w:rsidRPr="000E4C0F" w:rsidRDefault="000E4C0F" w:rsidP="000E4C0F">
            <w:pPr>
              <w:jc w:val="center"/>
              <w:rPr>
                <w:color w:val="000000" w:themeColor="text1"/>
              </w:rPr>
            </w:pPr>
            <w:r w:rsidRPr="000E4C0F">
              <w:rPr>
                <w:color w:val="000000" w:themeColor="text1"/>
              </w:rPr>
              <w:t>NT</w:t>
            </w:r>
          </w:p>
        </w:tc>
        <w:tc>
          <w:tcPr>
            <w:tcW w:w="1240" w:type="dxa"/>
            <w:tcBorders>
              <w:top w:val="nil"/>
              <w:left w:val="nil"/>
              <w:bottom w:val="single" w:sz="4" w:space="0" w:color="auto"/>
              <w:right w:val="nil"/>
            </w:tcBorders>
            <w:shd w:val="clear" w:color="auto" w:fill="auto"/>
            <w:vAlign w:val="center"/>
            <w:hideMark/>
          </w:tcPr>
          <w:p w14:paraId="231876CE" w14:textId="77777777" w:rsidR="000E4C0F" w:rsidRPr="000E4C0F" w:rsidRDefault="000E4C0F" w:rsidP="000E4C0F">
            <w:pPr>
              <w:jc w:val="center"/>
              <w:rPr>
                <w:color w:val="000000" w:themeColor="text1"/>
              </w:rPr>
            </w:pPr>
            <w:r w:rsidRPr="000E4C0F">
              <w:rPr>
                <w:color w:val="000000" w:themeColor="text1"/>
              </w:rPr>
              <w:t>9</w:t>
            </w:r>
            <w:r w:rsidR="001909A5">
              <w:rPr>
                <w:color w:val="000000" w:themeColor="text1"/>
              </w:rPr>
              <w:t>.</w:t>
            </w:r>
            <w:r w:rsidRPr="000E4C0F">
              <w:rPr>
                <w:color w:val="000000" w:themeColor="text1"/>
              </w:rPr>
              <w:t>9 ± 1</w:t>
            </w:r>
            <w:r w:rsidR="005F1914">
              <w:rPr>
                <w:color w:val="000000" w:themeColor="text1"/>
              </w:rPr>
              <w:t>.</w:t>
            </w:r>
            <w:r w:rsidRPr="000E4C0F">
              <w:rPr>
                <w:color w:val="000000" w:themeColor="text1"/>
              </w:rPr>
              <w:t>1</w:t>
            </w:r>
          </w:p>
        </w:tc>
        <w:tc>
          <w:tcPr>
            <w:tcW w:w="1640" w:type="dxa"/>
            <w:tcBorders>
              <w:top w:val="nil"/>
              <w:left w:val="nil"/>
              <w:bottom w:val="single" w:sz="4" w:space="0" w:color="auto"/>
              <w:right w:val="nil"/>
            </w:tcBorders>
            <w:shd w:val="clear" w:color="auto" w:fill="auto"/>
            <w:vAlign w:val="center"/>
            <w:hideMark/>
          </w:tcPr>
          <w:p w14:paraId="7C9289A2" w14:textId="77777777" w:rsidR="000E4C0F" w:rsidRPr="000E4C0F" w:rsidRDefault="000E4C0F" w:rsidP="000E4C0F">
            <w:pPr>
              <w:jc w:val="center"/>
              <w:rPr>
                <w:color w:val="000000" w:themeColor="text1"/>
              </w:rPr>
            </w:pPr>
            <w:r w:rsidRPr="000E4C0F">
              <w:rPr>
                <w:color w:val="000000" w:themeColor="text1"/>
              </w:rPr>
              <w:t>9</w:t>
            </w:r>
            <w:r w:rsidR="005F1914">
              <w:rPr>
                <w:color w:val="000000" w:themeColor="text1"/>
              </w:rPr>
              <w:t>.</w:t>
            </w:r>
            <w:r w:rsidRPr="000E4C0F">
              <w:rPr>
                <w:color w:val="000000" w:themeColor="text1"/>
              </w:rPr>
              <w:t>7 ± 1</w:t>
            </w:r>
            <w:r w:rsidR="005F1914">
              <w:rPr>
                <w:color w:val="000000" w:themeColor="text1"/>
              </w:rPr>
              <w:t>.</w:t>
            </w:r>
            <w:r w:rsidRPr="000E4C0F">
              <w:rPr>
                <w:color w:val="000000" w:themeColor="text1"/>
              </w:rPr>
              <w:t>2 ab</w:t>
            </w:r>
          </w:p>
        </w:tc>
        <w:tc>
          <w:tcPr>
            <w:tcW w:w="1520" w:type="dxa"/>
            <w:tcBorders>
              <w:top w:val="nil"/>
              <w:left w:val="nil"/>
              <w:bottom w:val="single" w:sz="4" w:space="0" w:color="auto"/>
              <w:right w:val="nil"/>
            </w:tcBorders>
            <w:shd w:val="clear" w:color="auto" w:fill="auto"/>
            <w:vAlign w:val="center"/>
            <w:hideMark/>
          </w:tcPr>
          <w:p w14:paraId="1CB71306" w14:textId="77777777" w:rsidR="000E4C0F" w:rsidRPr="000E4C0F" w:rsidRDefault="000E4C0F" w:rsidP="000E4C0F">
            <w:pPr>
              <w:jc w:val="center"/>
              <w:rPr>
                <w:color w:val="000000" w:themeColor="text1"/>
              </w:rPr>
            </w:pPr>
            <w:r w:rsidRPr="000E4C0F">
              <w:rPr>
                <w:color w:val="000000" w:themeColor="text1"/>
              </w:rPr>
              <w:t>15</w:t>
            </w:r>
            <w:r w:rsidR="005F1914">
              <w:rPr>
                <w:color w:val="000000" w:themeColor="text1"/>
              </w:rPr>
              <w:t>.</w:t>
            </w:r>
            <w:r w:rsidRPr="000E4C0F">
              <w:rPr>
                <w:color w:val="000000" w:themeColor="text1"/>
              </w:rPr>
              <w:t>2 ± 0</w:t>
            </w:r>
            <w:r w:rsidR="005F1914">
              <w:rPr>
                <w:color w:val="000000" w:themeColor="text1"/>
              </w:rPr>
              <w:t>.</w:t>
            </w:r>
            <w:r w:rsidRPr="000E4C0F">
              <w:rPr>
                <w:color w:val="000000" w:themeColor="text1"/>
              </w:rPr>
              <w:t>8 ab</w:t>
            </w:r>
          </w:p>
        </w:tc>
        <w:tc>
          <w:tcPr>
            <w:tcW w:w="1360" w:type="dxa"/>
            <w:tcBorders>
              <w:top w:val="nil"/>
              <w:left w:val="nil"/>
              <w:bottom w:val="single" w:sz="4" w:space="0" w:color="auto"/>
              <w:right w:val="nil"/>
            </w:tcBorders>
            <w:shd w:val="clear" w:color="auto" w:fill="auto"/>
            <w:vAlign w:val="center"/>
            <w:hideMark/>
          </w:tcPr>
          <w:p w14:paraId="36619ABB" w14:textId="77777777" w:rsidR="000E4C0F" w:rsidRPr="000E4C0F" w:rsidRDefault="000E4C0F" w:rsidP="000E4C0F">
            <w:pPr>
              <w:jc w:val="center"/>
              <w:rPr>
                <w:color w:val="000000" w:themeColor="text1"/>
              </w:rPr>
            </w:pPr>
            <w:r w:rsidRPr="000E4C0F">
              <w:rPr>
                <w:color w:val="000000" w:themeColor="text1"/>
              </w:rPr>
              <w:t>0.68 ± 0.61</w:t>
            </w:r>
          </w:p>
        </w:tc>
      </w:tr>
      <w:tr w:rsidR="000E4C0F" w:rsidRPr="000E4C0F" w14:paraId="082D89D2"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316E8ABB"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78CD0571" w14:textId="77777777" w:rsidR="000E4C0F" w:rsidRPr="000E4C0F" w:rsidRDefault="000E4C0F" w:rsidP="000E4C0F">
            <w:pPr>
              <w:jc w:val="center"/>
              <w:rPr>
                <w:color w:val="000000" w:themeColor="text1"/>
              </w:rPr>
            </w:pPr>
            <w:r w:rsidRPr="000E4C0F">
              <w:rPr>
                <w:color w:val="000000" w:themeColor="text1"/>
              </w:rPr>
              <w:t>F-value</w:t>
            </w:r>
          </w:p>
        </w:tc>
        <w:tc>
          <w:tcPr>
            <w:tcW w:w="1240" w:type="dxa"/>
            <w:tcBorders>
              <w:top w:val="nil"/>
              <w:left w:val="nil"/>
              <w:bottom w:val="single" w:sz="4" w:space="0" w:color="auto"/>
              <w:right w:val="nil"/>
            </w:tcBorders>
            <w:shd w:val="clear" w:color="auto" w:fill="auto"/>
            <w:vAlign w:val="center"/>
            <w:hideMark/>
          </w:tcPr>
          <w:p w14:paraId="6C56B443" w14:textId="77777777" w:rsidR="000E4C0F" w:rsidRPr="000E4C0F" w:rsidRDefault="000E4C0F" w:rsidP="000E4C0F">
            <w:pPr>
              <w:jc w:val="center"/>
              <w:rPr>
                <w:color w:val="000000" w:themeColor="text1"/>
              </w:rPr>
            </w:pPr>
            <w:r w:rsidRPr="000E4C0F">
              <w:rPr>
                <w:color w:val="000000" w:themeColor="text1"/>
              </w:rPr>
              <w:t>-</w:t>
            </w:r>
          </w:p>
        </w:tc>
        <w:tc>
          <w:tcPr>
            <w:tcW w:w="1640" w:type="dxa"/>
            <w:tcBorders>
              <w:top w:val="nil"/>
              <w:left w:val="nil"/>
              <w:bottom w:val="single" w:sz="4" w:space="0" w:color="auto"/>
              <w:right w:val="nil"/>
            </w:tcBorders>
            <w:shd w:val="clear" w:color="auto" w:fill="auto"/>
            <w:vAlign w:val="center"/>
            <w:hideMark/>
          </w:tcPr>
          <w:p w14:paraId="554E640D" w14:textId="77777777" w:rsidR="000E4C0F" w:rsidRPr="007C115D" w:rsidRDefault="000E4C0F" w:rsidP="000E4C0F">
            <w:pPr>
              <w:jc w:val="center"/>
              <w:rPr>
                <w:color w:val="000000" w:themeColor="text1"/>
              </w:rPr>
            </w:pPr>
            <w:r w:rsidRPr="007C115D">
              <w:rPr>
                <w:color w:val="000000" w:themeColor="text1"/>
              </w:rPr>
              <w:t>4.83</w:t>
            </w:r>
          </w:p>
        </w:tc>
        <w:tc>
          <w:tcPr>
            <w:tcW w:w="1520" w:type="dxa"/>
            <w:tcBorders>
              <w:top w:val="nil"/>
              <w:left w:val="nil"/>
              <w:bottom w:val="single" w:sz="4" w:space="0" w:color="auto"/>
              <w:right w:val="nil"/>
            </w:tcBorders>
            <w:shd w:val="clear" w:color="auto" w:fill="auto"/>
            <w:vAlign w:val="center"/>
            <w:hideMark/>
          </w:tcPr>
          <w:p w14:paraId="3B612E59" w14:textId="77777777" w:rsidR="000E4C0F" w:rsidRPr="007C115D" w:rsidRDefault="000E4C0F" w:rsidP="000E4C0F">
            <w:pPr>
              <w:jc w:val="center"/>
              <w:rPr>
                <w:color w:val="000000" w:themeColor="text1"/>
              </w:rPr>
            </w:pPr>
            <w:r w:rsidRPr="007C115D">
              <w:rPr>
                <w:color w:val="000000" w:themeColor="text1"/>
              </w:rPr>
              <w:t>4.6</w:t>
            </w:r>
          </w:p>
        </w:tc>
        <w:tc>
          <w:tcPr>
            <w:tcW w:w="1360" w:type="dxa"/>
            <w:tcBorders>
              <w:top w:val="nil"/>
              <w:left w:val="nil"/>
              <w:bottom w:val="single" w:sz="4" w:space="0" w:color="auto"/>
              <w:right w:val="nil"/>
            </w:tcBorders>
            <w:shd w:val="clear" w:color="auto" w:fill="auto"/>
            <w:vAlign w:val="center"/>
            <w:hideMark/>
          </w:tcPr>
          <w:p w14:paraId="1A3BEE31"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000BB28B"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560D03B8"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4C54A028" w14:textId="77777777" w:rsidR="000E4C0F" w:rsidRPr="000E4C0F" w:rsidRDefault="000E4C0F" w:rsidP="000E4C0F">
            <w:pPr>
              <w:jc w:val="center"/>
              <w:rPr>
                <w:color w:val="000000" w:themeColor="text1"/>
              </w:rPr>
            </w:pPr>
            <w:r w:rsidRPr="000E4C0F">
              <w:rPr>
                <w:color w:val="000000" w:themeColor="text1"/>
              </w:rPr>
              <w:t>P-value</w:t>
            </w:r>
          </w:p>
        </w:tc>
        <w:tc>
          <w:tcPr>
            <w:tcW w:w="1240" w:type="dxa"/>
            <w:tcBorders>
              <w:top w:val="nil"/>
              <w:left w:val="nil"/>
              <w:bottom w:val="single" w:sz="4" w:space="0" w:color="auto"/>
              <w:right w:val="nil"/>
            </w:tcBorders>
            <w:shd w:val="clear" w:color="auto" w:fill="auto"/>
            <w:vAlign w:val="center"/>
            <w:hideMark/>
          </w:tcPr>
          <w:p w14:paraId="6590F11A" w14:textId="77777777" w:rsidR="000E4C0F" w:rsidRPr="000E4C0F" w:rsidRDefault="000E4C0F" w:rsidP="000E4C0F">
            <w:pPr>
              <w:jc w:val="center"/>
              <w:rPr>
                <w:color w:val="000000" w:themeColor="text1"/>
              </w:rPr>
            </w:pPr>
            <w:r w:rsidRPr="000E4C0F">
              <w:rPr>
                <w:color w:val="000000" w:themeColor="text1"/>
              </w:rPr>
              <w:t>-</w:t>
            </w:r>
          </w:p>
        </w:tc>
        <w:tc>
          <w:tcPr>
            <w:tcW w:w="1640" w:type="dxa"/>
            <w:tcBorders>
              <w:top w:val="nil"/>
              <w:left w:val="nil"/>
              <w:bottom w:val="single" w:sz="4" w:space="0" w:color="auto"/>
              <w:right w:val="nil"/>
            </w:tcBorders>
            <w:shd w:val="clear" w:color="auto" w:fill="auto"/>
            <w:vAlign w:val="center"/>
            <w:hideMark/>
          </w:tcPr>
          <w:p w14:paraId="047E52BB" w14:textId="77777777" w:rsidR="000E4C0F" w:rsidRPr="007C115D" w:rsidRDefault="000E4C0F" w:rsidP="000E4C0F">
            <w:pPr>
              <w:jc w:val="center"/>
              <w:rPr>
                <w:color w:val="000000" w:themeColor="text1"/>
              </w:rPr>
            </w:pPr>
            <w:r w:rsidRPr="007C115D">
              <w:rPr>
                <w:color w:val="000000" w:themeColor="text1"/>
              </w:rPr>
              <w:t>0.028</w:t>
            </w:r>
          </w:p>
        </w:tc>
        <w:tc>
          <w:tcPr>
            <w:tcW w:w="1520" w:type="dxa"/>
            <w:tcBorders>
              <w:top w:val="nil"/>
              <w:left w:val="nil"/>
              <w:bottom w:val="single" w:sz="4" w:space="0" w:color="auto"/>
              <w:right w:val="nil"/>
            </w:tcBorders>
            <w:shd w:val="clear" w:color="auto" w:fill="auto"/>
            <w:vAlign w:val="center"/>
            <w:hideMark/>
          </w:tcPr>
          <w:p w14:paraId="7D389311" w14:textId="77777777" w:rsidR="000E4C0F" w:rsidRPr="007C115D" w:rsidRDefault="000E4C0F" w:rsidP="000E4C0F">
            <w:pPr>
              <w:jc w:val="center"/>
              <w:rPr>
                <w:color w:val="000000" w:themeColor="text1"/>
              </w:rPr>
            </w:pPr>
            <w:r w:rsidRPr="007C115D">
              <w:rPr>
                <w:color w:val="000000" w:themeColor="text1"/>
              </w:rPr>
              <w:t>0.032</w:t>
            </w:r>
          </w:p>
        </w:tc>
        <w:tc>
          <w:tcPr>
            <w:tcW w:w="1360" w:type="dxa"/>
            <w:tcBorders>
              <w:top w:val="nil"/>
              <w:left w:val="nil"/>
              <w:bottom w:val="single" w:sz="4" w:space="0" w:color="auto"/>
              <w:right w:val="nil"/>
            </w:tcBorders>
            <w:shd w:val="clear" w:color="auto" w:fill="auto"/>
            <w:vAlign w:val="center"/>
            <w:hideMark/>
          </w:tcPr>
          <w:p w14:paraId="7E6EE9C9"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529C2063" w14:textId="77777777" w:rsidTr="0007491F">
        <w:trPr>
          <w:trHeight w:val="340"/>
          <w:jc w:val="center"/>
        </w:trPr>
        <w:tc>
          <w:tcPr>
            <w:tcW w:w="1300" w:type="dxa"/>
            <w:tcBorders>
              <w:top w:val="nil"/>
              <w:left w:val="nil"/>
              <w:bottom w:val="single" w:sz="4" w:space="0" w:color="auto"/>
              <w:right w:val="single" w:sz="4" w:space="0" w:color="auto"/>
            </w:tcBorders>
            <w:shd w:val="clear" w:color="auto" w:fill="auto"/>
            <w:vAlign w:val="center"/>
            <w:hideMark/>
          </w:tcPr>
          <w:p w14:paraId="5BCD2EF9" w14:textId="77777777" w:rsidR="000E4C0F" w:rsidRPr="000E4C0F" w:rsidRDefault="000E4C0F" w:rsidP="000E4C0F">
            <w:pPr>
              <w:jc w:val="center"/>
              <w:rPr>
                <w:color w:val="000000" w:themeColor="text1"/>
              </w:rPr>
            </w:pPr>
            <w:r w:rsidRPr="000E4C0F">
              <w:rPr>
                <w:color w:val="000000" w:themeColor="text1"/>
              </w:rPr>
              <w:t>Depth</w:t>
            </w:r>
          </w:p>
        </w:tc>
        <w:tc>
          <w:tcPr>
            <w:tcW w:w="7060" w:type="dxa"/>
            <w:gridSpan w:val="5"/>
            <w:tcBorders>
              <w:top w:val="nil"/>
              <w:left w:val="nil"/>
              <w:bottom w:val="single" w:sz="4" w:space="0" w:color="auto"/>
              <w:right w:val="nil"/>
            </w:tcBorders>
            <w:shd w:val="clear" w:color="auto" w:fill="auto"/>
            <w:vAlign w:val="center"/>
            <w:hideMark/>
          </w:tcPr>
          <w:p w14:paraId="698FF44D" w14:textId="77777777" w:rsidR="000E4C0F" w:rsidRPr="000E4C0F" w:rsidRDefault="000E4C0F" w:rsidP="000E4C0F">
            <w:pPr>
              <w:jc w:val="center"/>
              <w:rPr>
                <w:color w:val="000000" w:themeColor="text1"/>
              </w:rPr>
            </w:pPr>
            <w:r w:rsidRPr="000E4C0F">
              <w:rPr>
                <w:color w:val="000000" w:themeColor="text1"/>
              </w:rPr>
              <w:t>5-10 cm</w:t>
            </w:r>
          </w:p>
        </w:tc>
      </w:tr>
      <w:tr w:rsidR="000E4C0F" w:rsidRPr="000E4C0F" w14:paraId="2B3B903F" w14:textId="77777777" w:rsidTr="0007491F">
        <w:trPr>
          <w:trHeight w:val="360"/>
          <w:jc w:val="center"/>
        </w:trPr>
        <w:tc>
          <w:tcPr>
            <w:tcW w:w="1300" w:type="dxa"/>
            <w:vMerge w:val="restart"/>
            <w:tcBorders>
              <w:top w:val="nil"/>
              <w:left w:val="nil"/>
              <w:bottom w:val="single" w:sz="4" w:space="0" w:color="000000"/>
              <w:right w:val="single" w:sz="4" w:space="0" w:color="auto"/>
            </w:tcBorders>
            <w:shd w:val="clear" w:color="auto" w:fill="auto"/>
            <w:textDirection w:val="btLr"/>
            <w:vAlign w:val="center"/>
            <w:hideMark/>
          </w:tcPr>
          <w:p w14:paraId="4A935DD1" w14:textId="77777777" w:rsidR="000E4C0F" w:rsidRPr="000E4C0F" w:rsidRDefault="000E4C0F" w:rsidP="000E4C0F">
            <w:pPr>
              <w:jc w:val="center"/>
              <w:rPr>
                <w:color w:val="000000" w:themeColor="text1"/>
              </w:rPr>
            </w:pPr>
            <w:r w:rsidRPr="000E4C0F">
              <w:rPr>
                <w:color w:val="000000" w:themeColor="text1"/>
              </w:rPr>
              <w:t>Tillage Treatment</w:t>
            </w:r>
          </w:p>
        </w:tc>
        <w:tc>
          <w:tcPr>
            <w:tcW w:w="1300" w:type="dxa"/>
            <w:tcBorders>
              <w:top w:val="nil"/>
              <w:left w:val="nil"/>
              <w:bottom w:val="single" w:sz="4" w:space="0" w:color="auto"/>
              <w:right w:val="single" w:sz="4" w:space="0" w:color="auto"/>
            </w:tcBorders>
            <w:shd w:val="clear" w:color="auto" w:fill="auto"/>
            <w:vAlign w:val="center"/>
            <w:hideMark/>
          </w:tcPr>
          <w:p w14:paraId="1282EB54" w14:textId="77777777" w:rsidR="000E4C0F" w:rsidRPr="000E4C0F" w:rsidRDefault="000E4C0F" w:rsidP="000E4C0F">
            <w:pPr>
              <w:jc w:val="center"/>
              <w:rPr>
                <w:color w:val="000000" w:themeColor="text1"/>
              </w:rPr>
            </w:pPr>
            <w:r w:rsidRPr="000E4C0F">
              <w:rPr>
                <w:color w:val="000000" w:themeColor="text1"/>
              </w:rPr>
              <w:t>CT</w:t>
            </w:r>
          </w:p>
        </w:tc>
        <w:tc>
          <w:tcPr>
            <w:tcW w:w="1240" w:type="dxa"/>
            <w:tcBorders>
              <w:top w:val="nil"/>
              <w:left w:val="nil"/>
              <w:bottom w:val="single" w:sz="4" w:space="0" w:color="auto"/>
              <w:right w:val="nil"/>
            </w:tcBorders>
            <w:shd w:val="clear" w:color="auto" w:fill="auto"/>
            <w:vAlign w:val="center"/>
            <w:hideMark/>
          </w:tcPr>
          <w:p w14:paraId="438AA52C" w14:textId="77777777" w:rsidR="000E4C0F" w:rsidRPr="000E4C0F" w:rsidRDefault="000E4C0F" w:rsidP="000E4C0F">
            <w:pPr>
              <w:jc w:val="center"/>
              <w:rPr>
                <w:color w:val="000000" w:themeColor="text1"/>
              </w:rPr>
            </w:pPr>
            <w:r w:rsidRPr="000E4C0F">
              <w:rPr>
                <w:color w:val="000000" w:themeColor="text1"/>
              </w:rPr>
              <w:t>5</w:t>
            </w:r>
            <w:r w:rsidR="001052E4">
              <w:rPr>
                <w:color w:val="000000" w:themeColor="text1"/>
              </w:rPr>
              <w:t>.</w:t>
            </w:r>
            <w:r w:rsidRPr="000E4C0F">
              <w:rPr>
                <w:color w:val="000000" w:themeColor="text1"/>
              </w:rPr>
              <w:t>8 ± 1</w:t>
            </w:r>
            <w:r w:rsidR="001052E4">
              <w:rPr>
                <w:color w:val="000000" w:themeColor="text1"/>
              </w:rPr>
              <w:t>.</w:t>
            </w:r>
            <w:r w:rsidRPr="000E4C0F">
              <w:rPr>
                <w:color w:val="000000" w:themeColor="text1"/>
              </w:rPr>
              <w:t>3</w:t>
            </w:r>
          </w:p>
        </w:tc>
        <w:tc>
          <w:tcPr>
            <w:tcW w:w="1640" w:type="dxa"/>
            <w:tcBorders>
              <w:top w:val="nil"/>
              <w:left w:val="nil"/>
              <w:bottom w:val="single" w:sz="4" w:space="0" w:color="auto"/>
              <w:right w:val="nil"/>
            </w:tcBorders>
            <w:shd w:val="clear" w:color="auto" w:fill="auto"/>
            <w:vAlign w:val="center"/>
            <w:hideMark/>
          </w:tcPr>
          <w:p w14:paraId="38EF508B" w14:textId="77777777" w:rsidR="000E4C0F" w:rsidRPr="000E4C0F" w:rsidRDefault="000E4C0F" w:rsidP="000E4C0F">
            <w:pPr>
              <w:jc w:val="center"/>
              <w:rPr>
                <w:color w:val="000000" w:themeColor="text1"/>
              </w:rPr>
            </w:pPr>
            <w:r w:rsidRPr="000E4C0F">
              <w:rPr>
                <w:color w:val="000000" w:themeColor="text1"/>
              </w:rPr>
              <w:t>7</w:t>
            </w:r>
            <w:r w:rsidR="001052E4">
              <w:rPr>
                <w:color w:val="000000" w:themeColor="text1"/>
              </w:rPr>
              <w:t>.</w:t>
            </w:r>
            <w:r w:rsidRPr="000E4C0F">
              <w:rPr>
                <w:color w:val="000000" w:themeColor="text1"/>
              </w:rPr>
              <w:t>1 ± 0</w:t>
            </w:r>
            <w:r w:rsidR="001052E4">
              <w:rPr>
                <w:color w:val="000000" w:themeColor="text1"/>
              </w:rPr>
              <w:t>.</w:t>
            </w:r>
            <w:r w:rsidRPr="000E4C0F">
              <w:rPr>
                <w:color w:val="000000" w:themeColor="text1"/>
              </w:rPr>
              <w:t>9</w:t>
            </w:r>
          </w:p>
        </w:tc>
        <w:tc>
          <w:tcPr>
            <w:tcW w:w="1520" w:type="dxa"/>
            <w:tcBorders>
              <w:top w:val="nil"/>
              <w:left w:val="nil"/>
              <w:bottom w:val="single" w:sz="4" w:space="0" w:color="auto"/>
              <w:right w:val="nil"/>
            </w:tcBorders>
            <w:shd w:val="clear" w:color="auto" w:fill="auto"/>
            <w:vAlign w:val="center"/>
            <w:hideMark/>
          </w:tcPr>
          <w:p w14:paraId="4FF1A9E1" w14:textId="77777777" w:rsidR="000E4C0F" w:rsidRPr="000E4C0F" w:rsidRDefault="000E4C0F" w:rsidP="000E4C0F">
            <w:pPr>
              <w:jc w:val="center"/>
              <w:rPr>
                <w:color w:val="000000" w:themeColor="text1"/>
              </w:rPr>
            </w:pPr>
            <w:r w:rsidRPr="000E4C0F">
              <w:rPr>
                <w:color w:val="000000" w:themeColor="text1"/>
              </w:rPr>
              <w:t>10</w:t>
            </w:r>
            <w:r w:rsidR="001052E4">
              <w:rPr>
                <w:color w:val="000000" w:themeColor="text1"/>
              </w:rPr>
              <w:t>.</w:t>
            </w:r>
            <w:r w:rsidRPr="000E4C0F">
              <w:rPr>
                <w:color w:val="000000" w:themeColor="text1"/>
              </w:rPr>
              <w:t>2 ± 1</w:t>
            </w:r>
            <w:r w:rsidR="001052E4">
              <w:rPr>
                <w:color w:val="000000" w:themeColor="text1"/>
              </w:rPr>
              <w:t>.</w:t>
            </w:r>
            <w:r w:rsidRPr="000E4C0F">
              <w:rPr>
                <w:color w:val="000000" w:themeColor="text1"/>
              </w:rPr>
              <w:t>1 ab</w:t>
            </w:r>
          </w:p>
        </w:tc>
        <w:tc>
          <w:tcPr>
            <w:tcW w:w="1360" w:type="dxa"/>
            <w:tcBorders>
              <w:top w:val="nil"/>
              <w:left w:val="nil"/>
              <w:bottom w:val="single" w:sz="4" w:space="0" w:color="auto"/>
              <w:right w:val="nil"/>
            </w:tcBorders>
            <w:shd w:val="clear" w:color="auto" w:fill="auto"/>
            <w:vAlign w:val="center"/>
            <w:hideMark/>
          </w:tcPr>
          <w:p w14:paraId="050EFE39" w14:textId="77777777" w:rsidR="000E4C0F" w:rsidRPr="000E4C0F" w:rsidRDefault="000E4C0F" w:rsidP="000E4C0F">
            <w:pPr>
              <w:jc w:val="center"/>
              <w:rPr>
                <w:color w:val="000000" w:themeColor="text1"/>
              </w:rPr>
            </w:pPr>
            <w:r w:rsidRPr="000E4C0F">
              <w:rPr>
                <w:color w:val="000000" w:themeColor="text1"/>
              </w:rPr>
              <w:t>0.51 ±0.15</w:t>
            </w:r>
          </w:p>
        </w:tc>
      </w:tr>
      <w:tr w:rsidR="000E4C0F" w:rsidRPr="000E4C0F" w14:paraId="16F846E2"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27199BED"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1C7FA12D" w14:textId="77777777" w:rsidR="000E4C0F" w:rsidRPr="000E4C0F" w:rsidRDefault="000E4C0F" w:rsidP="000E4C0F">
            <w:pPr>
              <w:jc w:val="center"/>
              <w:rPr>
                <w:color w:val="000000" w:themeColor="text1"/>
              </w:rPr>
            </w:pPr>
            <w:r w:rsidRPr="000E4C0F">
              <w:rPr>
                <w:color w:val="000000" w:themeColor="text1"/>
              </w:rPr>
              <w:t>ST</w:t>
            </w:r>
          </w:p>
        </w:tc>
        <w:tc>
          <w:tcPr>
            <w:tcW w:w="1240" w:type="dxa"/>
            <w:tcBorders>
              <w:top w:val="nil"/>
              <w:left w:val="nil"/>
              <w:bottom w:val="single" w:sz="4" w:space="0" w:color="auto"/>
              <w:right w:val="nil"/>
            </w:tcBorders>
            <w:shd w:val="clear" w:color="auto" w:fill="auto"/>
            <w:vAlign w:val="center"/>
            <w:hideMark/>
          </w:tcPr>
          <w:p w14:paraId="6756F929" w14:textId="77777777" w:rsidR="000E4C0F" w:rsidRPr="000E4C0F" w:rsidRDefault="000E4C0F" w:rsidP="000E4C0F">
            <w:pPr>
              <w:jc w:val="center"/>
              <w:rPr>
                <w:color w:val="000000" w:themeColor="text1"/>
              </w:rPr>
            </w:pPr>
            <w:r w:rsidRPr="000E4C0F">
              <w:rPr>
                <w:color w:val="000000" w:themeColor="text1"/>
              </w:rPr>
              <w:t>9</w:t>
            </w:r>
            <w:r w:rsidR="001052E4">
              <w:rPr>
                <w:color w:val="000000" w:themeColor="text1"/>
              </w:rPr>
              <w:t>.</w:t>
            </w:r>
            <w:r w:rsidRPr="000E4C0F">
              <w:rPr>
                <w:color w:val="000000" w:themeColor="text1"/>
              </w:rPr>
              <w:t>2 ± 0</w:t>
            </w:r>
            <w:r w:rsidR="001052E4">
              <w:rPr>
                <w:color w:val="000000" w:themeColor="text1"/>
              </w:rPr>
              <w:t>.</w:t>
            </w:r>
            <w:r w:rsidRPr="000E4C0F">
              <w:rPr>
                <w:color w:val="000000" w:themeColor="text1"/>
              </w:rPr>
              <w:t>8</w:t>
            </w:r>
          </w:p>
        </w:tc>
        <w:tc>
          <w:tcPr>
            <w:tcW w:w="1640" w:type="dxa"/>
            <w:tcBorders>
              <w:top w:val="nil"/>
              <w:left w:val="nil"/>
              <w:bottom w:val="single" w:sz="4" w:space="0" w:color="auto"/>
              <w:right w:val="nil"/>
            </w:tcBorders>
            <w:shd w:val="clear" w:color="auto" w:fill="auto"/>
            <w:vAlign w:val="center"/>
            <w:hideMark/>
          </w:tcPr>
          <w:p w14:paraId="0EA1947B" w14:textId="77777777" w:rsidR="000E4C0F" w:rsidRPr="000E4C0F" w:rsidRDefault="000E4C0F" w:rsidP="000E4C0F">
            <w:pPr>
              <w:jc w:val="center"/>
              <w:rPr>
                <w:color w:val="000000" w:themeColor="text1"/>
              </w:rPr>
            </w:pPr>
            <w:r w:rsidRPr="000E4C0F">
              <w:rPr>
                <w:color w:val="000000" w:themeColor="text1"/>
              </w:rPr>
              <w:t>8</w:t>
            </w:r>
            <w:r w:rsidR="001052E4">
              <w:rPr>
                <w:color w:val="000000" w:themeColor="text1"/>
              </w:rPr>
              <w:t>.</w:t>
            </w:r>
            <w:r w:rsidRPr="000E4C0F">
              <w:rPr>
                <w:color w:val="000000" w:themeColor="text1"/>
              </w:rPr>
              <w:t>6 ± 1</w:t>
            </w:r>
            <w:r w:rsidR="001052E4">
              <w:rPr>
                <w:color w:val="000000" w:themeColor="text1"/>
              </w:rPr>
              <w:t>.</w:t>
            </w:r>
            <w:r w:rsidRPr="000E4C0F">
              <w:rPr>
                <w:color w:val="000000" w:themeColor="text1"/>
              </w:rPr>
              <w:t>1</w:t>
            </w:r>
          </w:p>
        </w:tc>
        <w:tc>
          <w:tcPr>
            <w:tcW w:w="1520" w:type="dxa"/>
            <w:tcBorders>
              <w:top w:val="nil"/>
              <w:left w:val="nil"/>
              <w:bottom w:val="single" w:sz="4" w:space="0" w:color="auto"/>
              <w:right w:val="nil"/>
            </w:tcBorders>
            <w:shd w:val="clear" w:color="auto" w:fill="auto"/>
            <w:vAlign w:val="center"/>
            <w:hideMark/>
          </w:tcPr>
          <w:p w14:paraId="67C9EC74" w14:textId="77777777" w:rsidR="000E4C0F" w:rsidRPr="000E4C0F" w:rsidRDefault="000E4C0F" w:rsidP="000E4C0F">
            <w:pPr>
              <w:jc w:val="center"/>
              <w:rPr>
                <w:color w:val="000000" w:themeColor="text1"/>
              </w:rPr>
            </w:pPr>
            <w:r w:rsidRPr="000E4C0F">
              <w:rPr>
                <w:color w:val="000000" w:themeColor="text1"/>
              </w:rPr>
              <w:t>12</w:t>
            </w:r>
            <w:r w:rsidR="001052E4">
              <w:rPr>
                <w:color w:val="000000" w:themeColor="text1"/>
              </w:rPr>
              <w:t>.</w:t>
            </w:r>
            <w:r w:rsidRPr="000E4C0F">
              <w:rPr>
                <w:color w:val="000000" w:themeColor="text1"/>
              </w:rPr>
              <w:t>1 ± 1</w:t>
            </w:r>
            <w:r w:rsidR="001052E4">
              <w:rPr>
                <w:color w:val="000000" w:themeColor="text1"/>
              </w:rPr>
              <w:t>.</w:t>
            </w:r>
            <w:r w:rsidRPr="000E4C0F">
              <w:rPr>
                <w:color w:val="000000" w:themeColor="text1"/>
              </w:rPr>
              <w:t>3 a</w:t>
            </w:r>
          </w:p>
        </w:tc>
        <w:tc>
          <w:tcPr>
            <w:tcW w:w="1360" w:type="dxa"/>
            <w:tcBorders>
              <w:top w:val="nil"/>
              <w:left w:val="nil"/>
              <w:bottom w:val="single" w:sz="4" w:space="0" w:color="auto"/>
              <w:right w:val="nil"/>
            </w:tcBorders>
            <w:shd w:val="clear" w:color="auto" w:fill="auto"/>
            <w:vAlign w:val="center"/>
            <w:hideMark/>
          </w:tcPr>
          <w:p w14:paraId="4880F9B4" w14:textId="77777777" w:rsidR="000E4C0F" w:rsidRPr="000E4C0F" w:rsidRDefault="000E4C0F" w:rsidP="000E4C0F">
            <w:pPr>
              <w:jc w:val="center"/>
              <w:rPr>
                <w:color w:val="000000" w:themeColor="text1"/>
              </w:rPr>
            </w:pPr>
            <w:r w:rsidRPr="000E4C0F">
              <w:rPr>
                <w:color w:val="000000" w:themeColor="text1"/>
              </w:rPr>
              <w:t>0.47 ± 0.21</w:t>
            </w:r>
          </w:p>
        </w:tc>
      </w:tr>
      <w:tr w:rsidR="000E4C0F" w:rsidRPr="000E4C0F" w14:paraId="2A9C86DA"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4DC4136F"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762A602A" w14:textId="77777777" w:rsidR="000E4C0F" w:rsidRPr="000E4C0F" w:rsidRDefault="000E4C0F" w:rsidP="000E4C0F">
            <w:pPr>
              <w:jc w:val="center"/>
              <w:rPr>
                <w:color w:val="000000" w:themeColor="text1"/>
              </w:rPr>
            </w:pPr>
            <w:r w:rsidRPr="000E4C0F">
              <w:rPr>
                <w:color w:val="000000" w:themeColor="text1"/>
              </w:rPr>
              <w:t>MT</w:t>
            </w:r>
          </w:p>
        </w:tc>
        <w:tc>
          <w:tcPr>
            <w:tcW w:w="1240" w:type="dxa"/>
            <w:tcBorders>
              <w:top w:val="nil"/>
              <w:left w:val="nil"/>
              <w:bottom w:val="single" w:sz="4" w:space="0" w:color="auto"/>
              <w:right w:val="nil"/>
            </w:tcBorders>
            <w:shd w:val="clear" w:color="auto" w:fill="auto"/>
            <w:vAlign w:val="center"/>
            <w:hideMark/>
          </w:tcPr>
          <w:p w14:paraId="52B8191A" w14:textId="77777777" w:rsidR="000E4C0F" w:rsidRPr="000E4C0F" w:rsidRDefault="000E4C0F" w:rsidP="000E4C0F">
            <w:pPr>
              <w:jc w:val="center"/>
              <w:rPr>
                <w:color w:val="000000" w:themeColor="text1"/>
              </w:rPr>
            </w:pPr>
            <w:r w:rsidRPr="000E4C0F">
              <w:rPr>
                <w:color w:val="000000" w:themeColor="text1"/>
              </w:rPr>
              <w:t>7</w:t>
            </w:r>
            <w:r w:rsidR="001052E4">
              <w:rPr>
                <w:color w:val="000000" w:themeColor="text1"/>
              </w:rPr>
              <w:t>.</w:t>
            </w:r>
            <w:r w:rsidRPr="000E4C0F">
              <w:rPr>
                <w:color w:val="000000" w:themeColor="text1"/>
              </w:rPr>
              <w:t>6 ± 1</w:t>
            </w:r>
            <w:r w:rsidR="001052E4">
              <w:rPr>
                <w:color w:val="000000" w:themeColor="text1"/>
              </w:rPr>
              <w:t>.</w:t>
            </w:r>
            <w:r w:rsidRPr="000E4C0F">
              <w:rPr>
                <w:color w:val="000000" w:themeColor="text1"/>
              </w:rPr>
              <w:t>0</w:t>
            </w:r>
          </w:p>
        </w:tc>
        <w:tc>
          <w:tcPr>
            <w:tcW w:w="1640" w:type="dxa"/>
            <w:tcBorders>
              <w:top w:val="nil"/>
              <w:left w:val="nil"/>
              <w:bottom w:val="single" w:sz="4" w:space="0" w:color="auto"/>
              <w:right w:val="nil"/>
            </w:tcBorders>
            <w:shd w:val="clear" w:color="auto" w:fill="auto"/>
            <w:vAlign w:val="center"/>
            <w:hideMark/>
          </w:tcPr>
          <w:p w14:paraId="7BA7DF5F" w14:textId="77777777" w:rsidR="000E4C0F" w:rsidRPr="000E4C0F" w:rsidRDefault="000E4C0F" w:rsidP="000E4C0F">
            <w:pPr>
              <w:jc w:val="center"/>
              <w:rPr>
                <w:color w:val="000000" w:themeColor="text1"/>
              </w:rPr>
            </w:pPr>
            <w:r w:rsidRPr="000E4C0F">
              <w:rPr>
                <w:color w:val="000000" w:themeColor="text1"/>
              </w:rPr>
              <w:t>6</w:t>
            </w:r>
            <w:r w:rsidR="001052E4">
              <w:rPr>
                <w:color w:val="000000" w:themeColor="text1"/>
              </w:rPr>
              <w:t>.</w:t>
            </w:r>
            <w:r w:rsidRPr="000E4C0F">
              <w:rPr>
                <w:color w:val="000000" w:themeColor="text1"/>
              </w:rPr>
              <w:t>8 ± 1</w:t>
            </w:r>
            <w:r w:rsidR="001052E4">
              <w:rPr>
                <w:color w:val="000000" w:themeColor="text1"/>
              </w:rPr>
              <w:t>.</w:t>
            </w:r>
            <w:r w:rsidRPr="000E4C0F">
              <w:rPr>
                <w:color w:val="000000" w:themeColor="text1"/>
              </w:rPr>
              <w:t>9</w:t>
            </w:r>
          </w:p>
        </w:tc>
        <w:tc>
          <w:tcPr>
            <w:tcW w:w="1520" w:type="dxa"/>
            <w:tcBorders>
              <w:top w:val="nil"/>
              <w:left w:val="nil"/>
              <w:bottom w:val="single" w:sz="4" w:space="0" w:color="auto"/>
              <w:right w:val="nil"/>
            </w:tcBorders>
            <w:shd w:val="clear" w:color="auto" w:fill="auto"/>
            <w:vAlign w:val="center"/>
            <w:hideMark/>
          </w:tcPr>
          <w:p w14:paraId="7231330C" w14:textId="77777777" w:rsidR="000E4C0F" w:rsidRPr="000E4C0F" w:rsidRDefault="000E4C0F" w:rsidP="000E4C0F">
            <w:pPr>
              <w:jc w:val="center"/>
              <w:rPr>
                <w:color w:val="000000" w:themeColor="text1"/>
              </w:rPr>
            </w:pPr>
            <w:r w:rsidRPr="000E4C0F">
              <w:rPr>
                <w:color w:val="000000" w:themeColor="text1"/>
              </w:rPr>
              <w:t>10</w:t>
            </w:r>
            <w:r w:rsidR="001052E4">
              <w:rPr>
                <w:color w:val="000000" w:themeColor="text1"/>
              </w:rPr>
              <w:t>.</w:t>
            </w:r>
            <w:r w:rsidRPr="000E4C0F">
              <w:rPr>
                <w:color w:val="000000" w:themeColor="text1"/>
              </w:rPr>
              <w:t>3 ± 1</w:t>
            </w:r>
            <w:r w:rsidR="001052E4">
              <w:rPr>
                <w:color w:val="000000" w:themeColor="text1"/>
              </w:rPr>
              <w:t>.</w:t>
            </w:r>
            <w:r w:rsidRPr="000E4C0F">
              <w:rPr>
                <w:color w:val="000000" w:themeColor="text1"/>
              </w:rPr>
              <w:t>2 ab</w:t>
            </w:r>
          </w:p>
        </w:tc>
        <w:tc>
          <w:tcPr>
            <w:tcW w:w="1360" w:type="dxa"/>
            <w:tcBorders>
              <w:top w:val="nil"/>
              <w:left w:val="nil"/>
              <w:bottom w:val="single" w:sz="4" w:space="0" w:color="auto"/>
              <w:right w:val="nil"/>
            </w:tcBorders>
            <w:shd w:val="clear" w:color="auto" w:fill="auto"/>
            <w:vAlign w:val="center"/>
            <w:hideMark/>
          </w:tcPr>
          <w:p w14:paraId="64805728" w14:textId="77777777" w:rsidR="000E4C0F" w:rsidRPr="000E4C0F" w:rsidRDefault="000E4C0F" w:rsidP="000E4C0F">
            <w:pPr>
              <w:jc w:val="center"/>
              <w:rPr>
                <w:color w:val="000000" w:themeColor="text1"/>
              </w:rPr>
            </w:pPr>
            <w:r w:rsidRPr="000E4C0F">
              <w:rPr>
                <w:color w:val="000000" w:themeColor="text1"/>
              </w:rPr>
              <w:t>0.42 ± 0.20</w:t>
            </w:r>
          </w:p>
        </w:tc>
      </w:tr>
      <w:tr w:rsidR="000E4C0F" w:rsidRPr="000E4C0F" w14:paraId="42CB9535"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51EE338F"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3A3CD109" w14:textId="77777777" w:rsidR="000E4C0F" w:rsidRPr="000E4C0F" w:rsidRDefault="000E4C0F" w:rsidP="000E4C0F">
            <w:pPr>
              <w:jc w:val="center"/>
              <w:rPr>
                <w:color w:val="000000" w:themeColor="text1"/>
              </w:rPr>
            </w:pPr>
            <w:r w:rsidRPr="000E4C0F">
              <w:rPr>
                <w:color w:val="000000" w:themeColor="text1"/>
              </w:rPr>
              <w:t>NT</w:t>
            </w:r>
          </w:p>
        </w:tc>
        <w:tc>
          <w:tcPr>
            <w:tcW w:w="1240" w:type="dxa"/>
            <w:tcBorders>
              <w:top w:val="nil"/>
              <w:left w:val="nil"/>
              <w:bottom w:val="single" w:sz="4" w:space="0" w:color="auto"/>
              <w:right w:val="nil"/>
            </w:tcBorders>
            <w:shd w:val="clear" w:color="auto" w:fill="auto"/>
            <w:vAlign w:val="center"/>
            <w:hideMark/>
          </w:tcPr>
          <w:p w14:paraId="4A2C292D" w14:textId="77777777" w:rsidR="000E4C0F" w:rsidRPr="000E4C0F" w:rsidRDefault="000E4C0F" w:rsidP="000E4C0F">
            <w:pPr>
              <w:jc w:val="center"/>
              <w:rPr>
                <w:color w:val="000000" w:themeColor="text1"/>
              </w:rPr>
            </w:pPr>
            <w:r w:rsidRPr="000E4C0F">
              <w:rPr>
                <w:color w:val="000000" w:themeColor="text1"/>
              </w:rPr>
              <w:t>6</w:t>
            </w:r>
            <w:r w:rsidR="001052E4">
              <w:rPr>
                <w:color w:val="000000" w:themeColor="text1"/>
              </w:rPr>
              <w:t>.</w:t>
            </w:r>
            <w:r w:rsidRPr="000E4C0F">
              <w:rPr>
                <w:color w:val="000000" w:themeColor="text1"/>
              </w:rPr>
              <w:t>3 ± 0</w:t>
            </w:r>
            <w:r w:rsidR="001052E4">
              <w:rPr>
                <w:color w:val="000000" w:themeColor="text1"/>
              </w:rPr>
              <w:t>.</w:t>
            </w:r>
            <w:r w:rsidRPr="000E4C0F">
              <w:rPr>
                <w:color w:val="000000" w:themeColor="text1"/>
              </w:rPr>
              <w:t>9</w:t>
            </w:r>
          </w:p>
        </w:tc>
        <w:tc>
          <w:tcPr>
            <w:tcW w:w="1640" w:type="dxa"/>
            <w:tcBorders>
              <w:top w:val="nil"/>
              <w:left w:val="nil"/>
              <w:bottom w:val="single" w:sz="4" w:space="0" w:color="auto"/>
              <w:right w:val="nil"/>
            </w:tcBorders>
            <w:shd w:val="clear" w:color="auto" w:fill="auto"/>
            <w:vAlign w:val="center"/>
            <w:hideMark/>
          </w:tcPr>
          <w:p w14:paraId="1B347433" w14:textId="77777777" w:rsidR="000E4C0F" w:rsidRPr="000E4C0F" w:rsidRDefault="000E4C0F" w:rsidP="000E4C0F">
            <w:pPr>
              <w:jc w:val="center"/>
              <w:rPr>
                <w:color w:val="000000" w:themeColor="text1"/>
              </w:rPr>
            </w:pPr>
            <w:r w:rsidRPr="000E4C0F">
              <w:rPr>
                <w:color w:val="000000" w:themeColor="text1"/>
              </w:rPr>
              <w:t>6</w:t>
            </w:r>
            <w:r w:rsidR="001052E4">
              <w:rPr>
                <w:color w:val="000000" w:themeColor="text1"/>
              </w:rPr>
              <w:t>.</w:t>
            </w:r>
            <w:r w:rsidRPr="000E4C0F">
              <w:rPr>
                <w:color w:val="000000" w:themeColor="text1"/>
              </w:rPr>
              <w:t>8 ± 1</w:t>
            </w:r>
            <w:r w:rsidR="001052E4">
              <w:rPr>
                <w:color w:val="000000" w:themeColor="text1"/>
              </w:rPr>
              <w:t>.</w:t>
            </w:r>
            <w:r w:rsidRPr="000E4C0F">
              <w:rPr>
                <w:color w:val="000000" w:themeColor="text1"/>
              </w:rPr>
              <w:t>2</w:t>
            </w:r>
          </w:p>
        </w:tc>
        <w:tc>
          <w:tcPr>
            <w:tcW w:w="1520" w:type="dxa"/>
            <w:tcBorders>
              <w:top w:val="nil"/>
              <w:left w:val="nil"/>
              <w:bottom w:val="single" w:sz="4" w:space="0" w:color="auto"/>
              <w:right w:val="nil"/>
            </w:tcBorders>
            <w:shd w:val="clear" w:color="auto" w:fill="auto"/>
            <w:vAlign w:val="center"/>
            <w:hideMark/>
          </w:tcPr>
          <w:p w14:paraId="465A7BA1" w14:textId="77777777" w:rsidR="000E4C0F" w:rsidRPr="000E4C0F" w:rsidRDefault="000E4C0F" w:rsidP="000E4C0F">
            <w:pPr>
              <w:jc w:val="center"/>
              <w:rPr>
                <w:color w:val="000000" w:themeColor="text1"/>
              </w:rPr>
            </w:pPr>
            <w:r w:rsidRPr="000E4C0F">
              <w:rPr>
                <w:color w:val="000000" w:themeColor="text1"/>
              </w:rPr>
              <w:t>8</w:t>
            </w:r>
            <w:r w:rsidR="001052E4">
              <w:rPr>
                <w:color w:val="000000" w:themeColor="text1"/>
              </w:rPr>
              <w:t>.</w:t>
            </w:r>
            <w:r w:rsidRPr="000E4C0F">
              <w:rPr>
                <w:color w:val="000000" w:themeColor="text1"/>
              </w:rPr>
              <w:t>3 ± 1</w:t>
            </w:r>
            <w:r w:rsidR="001052E4">
              <w:rPr>
                <w:color w:val="000000" w:themeColor="text1"/>
              </w:rPr>
              <w:t>.</w:t>
            </w:r>
            <w:r w:rsidRPr="000E4C0F">
              <w:rPr>
                <w:color w:val="000000" w:themeColor="text1"/>
              </w:rPr>
              <w:t>3 b</w:t>
            </w:r>
          </w:p>
        </w:tc>
        <w:tc>
          <w:tcPr>
            <w:tcW w:w="1360" w:type="dxa"/>
            <w:tcBorders>
              <w:top w:val="nil"/>
              <w:left w:val="nil"/>
              <w:bottom w:val="single" w:sz="4" w:space="0" w:color="auto"/>
              <w:right w:val="nil"/>
            </w:tcBorders>
            <w:shd w:val="clear" w:color="auto" w:fill="auto"/>
            <w:vAlign w:val="center"/>
            <w:hideMark/>
          </w:tcPr>
          <w:p w14:paraId="1845A4AF" w14:textId="77777777" w:rsidR="000E4C0F" w:rsidRPr="000E4C0F" w:rsidRDefault="000E4C0F" w:rsidP="000E4C0F">
            <w:pPr>
              <w:jc w:val="center"/>
              <w:rPr>
                <w:color w:val="000000" w:themeColor="text1"/>
              </w:rPr>
            </w:pPr>
            <w:r w:rsidRPr="000E4C0F">
              <w:rPr>
                <w:color w:val="000000" w:themeColor="text1"/>
              </w:rPr>
              <w:t>0.33 ± 0.20</w:t>
            </w:r>
          </w:p>
        </w:tc>
      </w:tr>
      <w:tr w:rsidR="000E4C0F" w:rsidRPr="000E4C0F" w14:paraId="1FB9CAFE"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1727DE9C"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6F93BDAB" w14:textId="77777777" w:rsidR="000E4C0F" w:rsidRPr="000E4C0F" w:rsidRDefault="000E4C0F" w:rsidP="000E4C0F">
            <w:pPr>
              <w:jc w:val="center"/>
              <w:rPr>
                <w:color w:val="000000" w:themeColor="text1"/>
              </w:rPr>
            </w:pPr>
            <w:r w:rsidRPr="000E4C0F">
              <w:rPr>
                <w:color w:val="000000" w:themeColor="text1"/>
              </w:rPr>
              <w:t>F-value</w:t>
            </w:r>
          </w:p>
        </w:tc>
        <w:tc>
          <w:tcPr>
            <w:tcW w:w="1240" w:type="dxa"/>
            <w:tcBorders>
              <w:top w:val="nil"/>
              <w:left w:val="nil"/>
              <w:bottom w:val="single" w:sz="4" w:space="0" w:color="auto"/>
              <w:right w:val="nil"/>
            </w:tcBorders>
            <w:shd w:val="clear" w:color="auto" w:fill="auto"/>
            <w:vAlign w:val="center"/>
            <w:hideMark/>
          </w:tcPr>
          <w:p w14:paraId="11E02F67" w14:textId="77777777" w:rsidR="000E4C0F" w:rsidRPr="000E4C0F" w:rsidRDefault="000E4C0F" w:rsidP="000E4C0F">
            <w:pPr>
              <w:jc w:val="center"/>
              <w:rPr>
                <w:color w:val="000000" w:themeColor="text1"/>
              </w:rPr>
            </w:pPr>
            <w:r w:rsidRPr="000E4C0F">
              <w:rPr>
                <w:color w:val="000000" w:themeColor="text1"/>
              </w:rPr>
              <w:t>-</w:t>
            </w:r>
          </w:p>
        </w:tc>
        <w:tc>
          <w:tcPr>
            <w:tcW w:w="1640" w:type="dxa"/>
            <w:tcBorders>
              <w:top w:val="nil"/>
              <w:left w:val="nil"/>
              <w:bottom w:val="single" w:sz="4" w:space="0" w:color="auto"/>
              <w:right w:val="nil"/>
            </w:tcBorders>
            <w:shd w:val="clear" w:color="auto" w:fill="auto"/>
            <w:vAlign w:val="center"/>
            <w:hideMark/>
          </w:tcPr>
          <w:p w14:paraId="608733A5" w14:textId="77777777" w:rsidR="000E4C0F" w:rsidRPr="000E4C0F" w:rsidRDefault="000E4C0F" w:rsidP="000E4C0F">
            <w:pPr>
              <w:jc w:val="center"/>
              <w:rPr>
                <w:color w:val="000000" w:themeColor="text1"/>
              </w:rPr>
            </w:pPr>
            <w:r w:rsidRPr="000E4C0F">
              <w:rPr>
                <w:color w:val="000000" w:themeColor="text1"/>
              </w:rPr>
              <w:t>-</w:t>
            </w:r>
          </w:p>
        </w:tc>
        <w:tc>
          <w:tcPr>
            <w:tcW w:w="1520" w:type="dxa"/>
            <w:tcBorders>
              <w:top w:val="nil"/>
              <w:left w:val="nil"/>
              <w:bottom w:val="single" w:sz="4" w:space="0" w:color="auto"/>
              <w:right w:val="nil"/>
            </w:tcBorders>
            <w:shd w:val="clear" w:color="auto" w:fill="auto"/>
            <w:vAlign w:val="center"/>
            <w:hideMark/>
          </w:tcPr>
          <w:p w14:paraId="3DD527BE" w14:textId="77777777" w:rsidR="000E4C0F" w:rsidRPr="007C115D" w:rsidRDefault="000E4C0F" w:rsidP="000E4C0F">
            <w:pPr>
              <w:jc w:val="center"/>
              <w:rPr>
                <w:color w:val="000000" w:themeColor="text1"/>
              </w:rPr>
            </w:pPr>
            <w:r w:rsidRPr="007C115D">
              <w:rPr>
                <w:color w:val="000000" w:themeColor="text1"/>
              </w:rPr>
              <w:t>5.43</w:t>
            </w:r>
          </w:p>
        </w:tc>
        <w:tc>
          <w:tcPr>
            <w:tcW w:w="1360" w:type="dxa"/>
            <w:tcBorders>
              <w:top w:val="nil"/>
              <w:left w:val="nil"/>
              <w:bottom w:val="single" w:sz="4" w:space="0" w:color="auto"/>
              <w:right w:val="nil"/>
            </w:tcBorders>
            <w:shd w:val="clear" w:color="auto" w:fill="auto"/>
            <w:vAlign w:val="center"/>
            <w:hideMark/>
          </w:tcPr>
          <w:p w14:paraId="356285F5"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67345693" w14:textId="77777777" w:rsidTr="0007491F">
        <w:trPr>
          <w:trHeight w:val="340"/>
          <w:jc w:val="center"/>
        </w:trPr>
        <w:tc>
          <w:tcPr>
            <w:tcW w:w="1300" w:type="dxa"/>
            <w:vMerge/>
            <w:tcBorders>
              <w:top w:val="nil"/>
              <w:left w:val="nil"/>
              <w:bottom w:val="single" w:sz="4" w:space="0" w:color="000000"/>
              <w:right w:val="single" w:sz="4" w:space="0" w:color="auto"/>
            </w:tcBorders>
            <w:vAlign w:val="center"/>
            <w:hideMark/>
          </w:tcPr>
          <w:p w14:paraId="35AD3496"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50C72ED1" w14:textId="77777777" w:rsidR="000E4C0F" w:rsidRPr="000E4C0F" w:rsidRDefault="000E4C0F" w:rsidP="000E4C0F">
            <w:pPr>
              <w:jc w:val="center"/>
              <w:rPr>
                <w:color w:val="000000" w:themeColor="text1"/>
              </w:rPr>
            </w:pPr>
            <w:r w:rsidRPr="000E4C0F">
              <w:rPr>
                <w:color w:val="000000" w:themeColor="text1"/>
              </w:rPr>
              <w:t>P-value</w:t>
            </w:r>
          </w:p>
        </w:tc>
        <w:tc>
          <w:tcPr>
            <w:tcW w:w="1240" w:type="dxa"/>
            <w:tcBorders>
              <w:top w:val="nil"/>
              <w:left w:val="nil"/>
              <w:bottom w:val="single" w:sz="4" w:space="0" w:color="auto"/>
              <w:right w:val="nil"/>
            </w:tcBorders>
            <w:shd w:val="clear" w:color="auto" w:fill="auto"/>
            <w:vAlign w:val="center"/>
            <w:hideMark/>
          </w:tcPr>
          <w:p w14:paraId="045BD6FB" w14:textId="77777777" w:rsidR="000E4C0F" w:rsidRPr="000E4C0F" w:rsidRDefault="000E4C0F" w:rsidP="000E4C0F">
            <w:pPr>
              <w:jc w:val="center"/>
              <w:rPr>
                <w:color w:val="000000" w:themeColor="text1"/>
              </w:rPr>
            </w:pPr>
            <w:r w:rsidRPr="000E4C0F">
              <w:rPr>
                <w:color w:val="000000" w:themeColor="text1"/>
              </w:rPr>
              <w:t>-</w:t>
            </w:r>
          </w:p>
        </w:tc>
        <w:tc>
          <w:tcPr>
            <w:tcW w:w="1640" w:type="dxa"/>
            <w:tcBorders>
              <w:top w:val="nil"/>
              <w:left w:val="nil"/>
              <w:bottom w:val="single" w:sz="4" w:space="0" w:color="auto"/>
              <w:right w:val="nil"/>
            </w:tcBorders>
            <w:shd w:val="clear" w:color="auto" w:fill="auto"/>
            <w:vAlign w:val="center"/>
            <w:hideMark/>
          </w:tcPr>
          <w:p w14:paraId="5253007F" w14:textId="77777777" w:rsidR="000E4C0F" w:rsidRPr="000E4C0F" w:rsidRDefault="000E4C0F" w:rsidP="000E4C0F">
            <w:pPr>
              <w:jc w:val="center"/>
              <w:rPr>
                <w:color w:val="000000" w:themeColor="text1"/>
              </w:rPr>
            </w:pPr>
            <w:r w:rsidRPr="000E4C0F">
              <w:rPr>
                <w:color w:val="000000" w:themeColor="text1"/>
              </w:rPr>
              <w:t>-</w:t>
            </w:r>
          </w:p>
        </w:tc>
        <w:tc>
          <w:tcPr>
            <w:tcW w:w="1520" w:type="dxa"/>
            <w:tcBorders>
              <w:top w:val="nil"/>
              <w:left w:val="nil"/>
              <w:bottom w:val="single" w:sz="4" w:space="0" w:color="auto"/>
              <w:right w:val="nil"/>
            </w:tcBorders>
            <w:shd w:val="clear" w:color="auto" w:fill="auto"/>
            <w:vAlign w:val="center"/>
            <w:hideMark/>
          </w:tcPr>
          <w:p w14:paraId="5546F382" w14:textId="77777777" w:rsidR="000E4C0F" w:rsidRPr="007C115D" w:rsidRDefault="000E4C0F" w:rsidP="000E4C0F">
            <w:pPr>
              <w:jc w:val="center"/>
              <w:rPr>
                <w:color w:val="000000" w:themeColor="text1"/>
              </w:rPr>
            </w:pPr>
            <w:r w:rsidRPr="007C115D">
              <w:rPr>
                <w:color w:val="000000" w:themeColor="text1"/>
              </w:rPr>
              <w:t>0.021</w:t>
            </w:r>
          </w:p>
        </w:tc>
        <w:tc>
          <w:tcPr>
            <w:tcW w:w="1360" w:type="dxa"/>
            <w:tcBorders>
              <w:top w:val="nil"/>
              <w:left w:val="nil"/>
              <w:bottom w:val="single" w:sz="4" w:space="0" w:color="auto"/>
              <w:right w:val="nil"/>
            </w:tcBorders>
            <w:shd w:val="clear" w:color="auto" w:fill="auto"/>
            <w:vAlign w:val="center"/>
            <w:hideMark/>
          </w:tcPr>
          <w:p w14:paraId="1DF8A73B"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1D53E98F" w14:textId="77777777" w:rsidTr="0007491F">
        <w:trPr>
          <w:trHeight w:val="340"/>
          <w:jc w:val="center"/>
        </w:trPr>
        <w:tc>
          <w:tcPr>
            <w:tcW w:w="1300" w:type="dxa"/>
            <w:tcBorders>
              <w:top w:val="nil"/>
              <w:left w:val="nil"/>
              <w:bottom w:val="single" w:sz="4" w:space="0" w:color="auto"/>
              <w:right w:val="single" w:sz="4" w:space="0" w:color="auto"/>
            </w:tcBorders>
            <w:shd w:val="clear" w:color="auto" w:fill="auto"/>
            <w:vAlign w:val="center"/>
            <w:hideMark/>
          </w:tcPr>
          <w:p w14:paraId="5DEA44EE" w14:textId="77777777" w:rsidR="000E4C0F" w:rsidRPr="000E4C0F" w:rsidRDefault="000E4C0F" w:rsidP="000E4C0F">
            <w:pPr>
              <w:jc w:val="center"/>
              <w:rPr>
                <w:color w:val="000000" w:themeColor="text1"/>
              </w:rPr>
            </w:pPr>
            <w:r w:rsidRPr="000E4C0F">
              <w:rPr>
                <w:color w:val="000000" w:themeColor="text1"/>
              </w:rPr>
              <w:t>Depth</w:t>
            </w:r>
          </w:p>
        </w:tc>
        <w:tc>
          <w:tcPr>
            <w:tcW w:w="7060" w:type="dxa"/>
            <w:gridSpan w:val="5"/>
            <w:tcBorders>
              <w:top w:val="nil"/>
              <w:left w:val="nil"/>
              <w:bottom w:val="single" w:sz="4" w:space="0" w:color="auto"/>
              <w:right w:val="nil"/>
            </w:tcBorders>
            <w:shd w:val="clear" w:color="auto" w:fill="auto"/>
            <w:vAlign w:val="center"/>
            <w:hideMark/>
          </w:tcPr>
          <w:p w14:paraId="7F633E24" w14:textId="77777777" w:rsidR="000E4C0F" w:rsidRPr="000E4C0F" w:rsidRDefault="000E4C0F" w:rsidP="000E4C0F">
            <w:pPr>
              <w:jc w:val="center"/>
              <w:rPr>
                <w:color w:val="000000" w:themeColor="text1"/>
              </w:rPr>
            </w:pPr>
            <w:r w:rsidRPr="000E4C0F">
              <w:rPr>
                <w:color w:val="000000" w:themeColor="text1"/>
              </w:rPr>
              <w:t>10-30 cm</w:t>
            </w:r>
          </w:p>
        </w:tc>
      </w:tr>
      <w:tr w:rsidR="000E4C0F" w:rsidRPr="000E4C0F" w14:paraId="15052915" w14:textId="77777777" w:rsidTr="0007491F">
        <w:trPr>
          <w:trHeight w:val="360"/>
          <w:jc w:val="center"/>
        </w:trPr>
        <w:tc>
          <w:tcPr>
            <w:tcW w:w="1300" w:type="dxa"/>
            <w:vMerge w:val="restart"/>
            <w:tcBorders>
              <w:top w:val="nil"/>
              <w:left w:val="nil"/>
              <w:bottom w:val="single" w:sz="4" w:space="0" w:color="000000"/>
              <w:right w:val="nil"/>
            </w:tcBorders>
            <w:shd w:val="clear" w:color="auto" w:fill="auto"/>
            <w:textDirection w:val="btLr"/>
            <w:vAlign w:val="center"/>
            <w:hideMark/>
          </w:tcPr>
          <w:p w14:paraId="3733DDCE" w14:textId="77777777" w:rsidR="000E4C0F" w:rsidRPr="000E4C0F" w:rsidRDefault="000E4C0F" w:rsidP="000E4C0F">
            <w:pPr>
              <w:jc w:val="center"/>
              <w:rPr>
                <w:color w:val="000000" w:themeColor="text1"/>
              </w:rPr>
            </w:pPr>
            <w:r w:rsidRPr="000E4C0F">
              <w:rPr>
                <w:color w:val="000000" w:themeColor="text1"/>
              </w:rPr>
              <w:t>Tillage Treatment</w:t>
            </w:r>
          </w:p>
        </w:tc>
        <w:tc>
          <w:tcPr>
            <w:tcW w:w="1300" w:type="dxa"/>
            <w:tcBorders>
              <w:top w:val="nil"/>
              <w:left w:val="single" w:sz="4" w:space="0" w:color="auto"/>
              <w:bottom w:val="single" w:sz="4" w:space="0" w:color="auto"/>
              <w:right w:val="single" w:sz="4" w:space="0" w:color="auto"/>
            </w:tcBorders>
            <w:shd w:val="clear" w:color="auto" w:fill="auto"/>
            <w:vAlign w:val="center"/>
            <w:hideMark/>
          </w:tcPr>
          <w:p w14:paraId="5BD0ECEB" w14:textId="77777777" w:rsidR="000E4C0F" w:rsidRPr="000E4C0F" w:rsidRDefault="000E4C0F" w:rsidP="000E4C0F">
            <w:pPr>
              <w:jc w:val="center"/>
              <w:rPr>
                <w:color w:val="000000" w:themeColor="text1"/>
              </w:rPr>
            </w:pPr>
            <w:r w:rsidRPr="000E4C0F">
              <w:rPr>
                <w:color w:val="000000" w:themeColor="text1"/>
              </w:rPr>
              <w:t>CT</w:t>
            </w:r>
          </w:p>
        </w:tc>
        <w:tc>
          <w:tcPr>
            <w:tcW w:w="1240" w:type="dxa"/>
            <w:tcBorders>
              <w:top w:val="nil"/>
              <w:left w:val="nil"/>
              <w:bottom w:val="single" w:sz="4" w:space="0" w:color="auto"/>
              <w:right w:val="nil"/>
            </w:tcBorders>
            <w:shd w:val="clear" w:color="auto" w:fill="auto"/>
            <w:vAlign w:val="center"/>
            <w:hideMark/>
          </w:tcPr>
          <w:p w14:paraId="791DDF57" w14:textId="77777777" w:rsidR="000E4C0F" w:rsidRPr="001052E4" w:rsidRDefault="000E4C0F" w:rsidP="000E4C0F">
            <w:pPr>
              <w:jc w:val="center"/>
              <w:rPr>
                <w:color w:val="000000" w:themeColor="text1"/>
              </w:rPr>
            </w:pPr>
            <w:r w:rsidRPr="001052E4">
              <w:rPr>
                <w:color w:val="000000" w:themeColor="text1"/>
              </w:rPr>
              <w:t>3</w:t>
            </w:r>
            <w:r w:rsidR="001052E4" w:rsidRPr="001052E4">
              <w:rPr>
                <w:color w:val="000000" w:themeColor="text1"/>
              </w:rPr>
              <w:t>.0</w:t>
            </w:r>
            <w:r w:rsidRPr="001052E4">
              <w:rPr>
                <w:color w:val="000000" w:themeColor="text1"/>
              </w:rPr>
              <w:t xml:space="preserve"> ± 0</w:t>
            </w:r>
            <w:r w:rsidR="001052E4" w:rsidRPr="001052E4">
              <w:rPr>
                <w:color w:val="000000" w:themeColor="text1"/>
              </w:rPr>
              <w:t>.</w:t>
            </w:r>
            <w:r w:rsidRPr="001052E4">
              <w:rPr>
                <w:color w:val="000000" w:themeColor="text1"/>
              </w:rPr>
              <w:t>7</w:t>
            </w:r>
          </w:p>
        </w:tc>
        <w:tc>
          <w:tcPr>
            <w:tcW w:w="1640" w:type="dxa"/>
            <w:tcBorders>
              <w:top w:val="nil"/>
              <w:left w:val="nil"/>
              <w:bottom w:val="single" w:sz="4" w:space="0" w:color="auto"/>
              <w:right w:val="nil"/>
            </w:tcBorders>
            <w:shd w:val="clear" w:color="auto" w:fill="auto"/>
            <w:vAlign w:val="center"/>
            <w:hideMark/>
          </w:tcPr>
          <w:p w14:paraId="0A0E02FF" w14:textId="77777777" w:rsidR="000E4C0F" w:rsidRPr="001052E4" w:rsidRDefault="000E4C0F" w:rsidP="000E4C0F">
            <w:pPr>
              <w:jc w:val="center"/>
              <w:rPr>
                <w:color w:val="000000" w:themeColor="text1"/>
              </w:rPr>
            </w:pPr>
            <w:r w:rsidRPr="001052E4">
              <w:rPr>
                <w:color w:val="000000" w:themeColor="text1"/>
              </w:rPr>
              <w:t>4</w:t>
            </w:r>
            <w:r w:rsidR="001052E4" w:rsidRPr="001052E4">
              <w:rPr>
                <w:color w:val="000000" w:themeColor="text1"/>
              </w:rPr>
              <w:t>.</w:t>
            </w:r>
            <w:r w:rsidRPr="001052E4">
              <w:rPr>
                <w:color w:val="000000" w:themeColor="text1"/>
              </w:rPr>
              <w:t>2 ± 1</w:t>
            </w:r>
            <w:r w:rsidR="001052E4" w:rsidRPr="001052E4">
              <w:rPr>
                <w:color w:val="000000" w:themeColor="text1"/>
              </w:rPr>
              <w:t>.</w:t>
            </w:r>
            <w:r w:rsidRPr="001052E4">
              <w:rPr>
                <w:color w:val="000000" w:themeColor="text1"/>
              </w:rPr>
              <w:t>0</w:t>
            </w:r>
          </w:p>
        </w:tc>
        <w:tc>
          <w:tcPr>
            <w:tcW w:w="1520" w:type="dxa"/>
            <w:tcBorders>
              <w:top w:val="nil"/>
              <w:left w:val="nil"/>
              <w:bottom w:val="single" w:sz="4" w:space="0" w:color="auto"/>
              <w:right w:val="nil"/>
            </w:tcBorders>
            <w:shd w:val="clear" w:color="auto" w:fill="auto"/>
            <w:vAlign w:val="center"/>
            <w:hideMark/>
          </w:tcPr>
          <w:p w14:paraId="5695A3D0" w14:textId="77777777" w:rsidR="000E4C0F" w:rsidRPr="001052E4" w:rsidRDefault="000E4C0F" w:rsidP="000E4C0F">
            <w:pPr>
              <w:jc w:val="center"/>
              <w:rPr>
                <w:color w:val="000000" w:themeColor="text1"/>
              </w:rPr>
            </w:pPr>
            <w:r w:rsidRPr="001052E4">
              <w:rPr>
                <w:color w:val="000000" w:themeColor="text1"/>
              </w:rPr>
              <w:t>6</w:t>
            </w:r>
            <w:r w:rsidR="001052E4" w:rsidRPr="001052E4">
              <w:rPr>
                <w:color w:val="000000" w:themeColor="text1"/>
              </w:rPr>
              <w:t>.</w:t>
            </w:r>
            <w:r w:rsidRPr="001052E4">
              <w:rPr>
                <w:color w:val="000000" w:themeColor="text1"/>
              </w:rPr>
              <w:t>4 ± 1</w:t>
            </w:r>
            <w:r w:rsidR="001052E4" w:rsidRPr="001052E4">
              <w:rPr>
                <w:color w:val="000000" w:themeColor="text1"/>
              </w:rPr>
              <w:t>.</w:t>
            </w:r>
            <w:r w:rsidRPr="001052E4">
              <w:rPr>
                <w:color w:val="000000" w:themeColor="text1"/>
              </w:rPr>
              <w:t>1</w:t>
            </w:r>
          </w:p>
        </w:tc>
        <w:tc>
          <w:tcPr>
            <w:tcW w:w="1360" w:type="dxa"/>
            <w:tcBorders>
              <w:top w:val="nil"/>
              <w:left w:val="nil"/>
              <w:bottom w:val="single" w:sz="4" w:space="0" w:color="auto"/>
              <w:right w:val="nil"/>
            </w:tcBorders>
            <w:shd w:val="clear" w:color="auto" w:fill="auto"/>
            <w:vAlign w:val="center"/>
            <w:hideMark/>
          </w:tcPr>
          <w:p w14:paraId="45BA3EB9" w14:textId="77777777" w:rsidR="000E4C0F" w:rsidRPr="000E4C0F" w:rsidRDefault="000E4C0F" w:rsidP="000E4C0F">
            <w:pPr>
              <w:jc w:val="center"/>
              <w:rPr>
                <w:color w:val="000000" w:themeColor="text1"/>
              </w:rPr>
            </w:pPr>
            <w:r w:rsidRPr="000E4C0F">
              <w:rPr>
                <w:color w:val="000000" w:themeColor="text1"/>
              </w:rPr>
              <w:t>0.40 ± 0.22</w:t>
            </w:r>
          </w:p>
        </w:tc>
      </w:tr>
      <w:tr w:rsidR="000E4C0F" w:rsidRPr="000E4C0F" w14:paraId="4BB4AB2F" w14:textId="77777777" w:rsidTr="0007491F">
        <w:trPr>
          <w:trHeight w:val="360"/>
          <w:jc w:val="center"/>
        </w:trPr>
        <w:tc>
          <w:tcPr>
            <w:tcW w:w="1300" w:type="dxa"/>
            <w:vMerge/>
            <w:tcBorders>
              <w:top w:val="nil"/>
              <w:left w:val="nil"/>
              <w:bottom w:val="single" w:sz="4" w:space="0" w:color="000000"/>
              <w:right w:val="nil"/>
            </w:tcBorders>
            <w:vAlign w:val="center"/>
            <w:hideMark/>
          </w:tcPr>
          <w:p w14:paraId="0205D75C" w14:textId="77777777" w:rsidR="000E4C0F" w:rsidRPr="000E4C0F" w:rsidRDefault="000E4C0F" w:rsidP="000E4C0F">
            <w:pPr>
              <w:rPr>
                <w:color w:val="000000" w:themeColor="text1"/>
              </w:rPr>
            </w:pPr>
          </w:p>
        </w:tc>
        <w:tc>
          <w:tcPr>
            <w:tcW w:w="1300" w:type="dxa"/>
            <w:tcBorders>
              <w:top w:val="nil"/>
              <w:left w:val="single" w:sz="4" w:space="0" w:color="auto"/>
              <w:bottom w:val="single" w:sz="4" w:space="0" w:color="auto"/>
              <w:right w:val="single" w:sz="4" w:space="0" w:color="auto"/>
            </w:tcBorders>
            <w:shd w:val="clear" w:color="auto" w:fill="auto"/>
            <w:vAlign w:val="center"/>
            <w:hideMark/>
          </w:tcPr>
          <w:p w14:paraId="352397E6" w14:textId="77777777" w:rsidR="000E4C0F" w:rsidRPr="000E4C0F" w:rsidRDefault="000E4C0F" w:rsidP="000E4C0F">
            <w:pPr>
              <w:jc w:val="center"/>
              <w:rPr>
                <w:color w:val="000000" w:themeColor="text1"/>
              </w:rPr>
            </w:pPr>
            <w:r w:rsidRPr="000E4C0F">
              <w:rPr>
                <w:color w:val="000000" w:themeColor="text1"/>
              </w:rPr>
              <w:t>ST</w:t>
            </w:r>
          </w:p>
        </w:tc>
        <w:tc>
          <w:tcPr>
            <w:tcW w:w="1240" w:type="dxa"/>
            <w:tcBorders>
              <w:top w:val="nil"/>
              <w:left w:val="nil"/>
              <w:bottom w:val="single" w:sz="4" w:space="0" w:color="auto"/>
              <w:right w:val="nil"/>
            </w:tcBorders>
            <w:shd w:val="clear" w:color="auto" w:fill="auto"/>
            <w:vAlign w:val="center"/>
            <w:hideMark/>
          </w:tcPr>
          <w:p w14:paraId="3187243B" w14:textId="77777777" w:rsidR="000E4C0F" w:rsidRPr="001052E4" w:rsidRDefault="000E4C0F" w:rsidP="000E4C0F">
            <w:pPr>
              <w:jc w:val="center"/>
              <w:rPr>
                <w:color w:val="000000" w:themeColor="text1"/>
              </w:rPr>
            </w:pPr>
            <w:r w:rsidRPr="001052E4">
              <w:rPr>
                <w:color w:val="000000" w:themeColor="text1"/>
              </w:rPr>
              <w:t>3</w:t>
            </w:r>
            <w:r w:rsidR="001052E4" w:rsidRPr="001052E4">
              <w:rPr>
                <w:color w:val="000000" w:themeColor="text1"/>
              </w:rPr>
              <w:t>.</w:t>
            </w:r>
            <w:r w:rsidRPr="001052E4">
              <w:rPr>
                <w:color w:val="000000" w:themeColor="text1"/>
              </w:rPr>
              <w:t>6 ± 0</w:t>
            </w:r>
            <w:r w:rsidR="001052E4" w:rsidRPr="001052E4">
              <w:rPr>
                <w:color w:val="000000" w:themeColor="text1"/>
              </w:rPr>
              <w:t>.</w:t>
            </w:r>
            <w:r w:rsidRPr="001052E4">
              <w:rPr>
                <w:color w:val="000000" w:themeColor="text1"/>
              </w:rPr>
              <w:t>4</w:t>
            </w:r>
          </w:p>
        </w:tc>
        <w:tc>
          <w:tcPr>
            <w:tcW w:w="1640" w:type="dxa"/>
            <w:tcBorders>
              <w:top w:val="nil"/>
              <w:left w:val="nil"/>
              <w:bottom w:val="single" w:sz="4" w:space="0" w:color="auto"/>
              <w:right w:val="nil"/>
            </w:tcBorders>
            <w:shd w:val="clear" w:color="auto" w:fill="auto"/>
            <w:vAlign w:val="center"/>
            <w:hideMark/>
          </w:tcPr>
          <w:p w14:paraId="2885B577" w14:textId="77777777" w:rsidR="000E4C0F" w:rsidRPr="001052E4" w:rsidRDefault="000E4C0F" w:rsidP="000E4C0F">
            <w:pPr>
              <w:jc w:val="center"/>
              <w:rPr>
                <w:color w:val="000000" w:themeColor="text1"/>
              </w:rPr>
            </w:pPr>
            <w:r w:rsidRPr="001052E4">
              <w:rPr>
                <w:color w:val="000000" w:themeColor="text1"/>
              </w:rPr>
              <w:t>6</w:t>
            </w:r>
            <w:r w:rsidR="001052E4" w:rsidRPr="001052E4">
              <w:rPr>
                <w:color w:val="000000" w:themeColor="text1"/>
              </w:rPr>
              <w:t>.</w:t>
            </w:r>
            <w:r w:rsidRPr="001052E4">
              <w:rPr>
                <w:color w:val="000000" w:themeColor="text1"/>
              </w:rPr>
              <w:t>1 ± 0.9</w:t>
            </w:r>
          </w:p>
        </w:tc>
        <w:tc>
          <w:tcPr>
            <w:tcW w:w="1520" w:type="dxa"/>
            <w:tcBorders>
              <w:top w:val="nil"/>
              <w:left w:val="nil"/>
              <w:bottom w:val="single" w:sz="4" w:space="0" w:color="auto"/>
              <w:right w:val="nil"/>
            </w:tcBorders>
            <w:shd w:val="clear" w:color="auto" w:fill="auto"/>
            <w:vAlign w:val="center"/>
            <w:hideMark/>
          </w:tcPr>
          <w:p w14:paraId="2C8F5B64" w14:textId="77777777" w:rsidR="000E4C0F" w:rsidRPr="001052E4" w:rsidRDefault="000E4C0F" w:rsidP="000E4C0F">
            <w:pPr>
              <w:jc w:val="center"/>
              <w:rPr>
                <w:color w:val="000000" w:themeColor="text1"/>
              </w:rPr>
            </w:pPr>
            <w:r w:rsidRPr="001052E4">
              <w:rPr>
                <w:color w:val="000000" w:themeColor="text1"/>
              </w:rPr>
              <w:t>8</w:t>
            </w:r>
            <w:r w:rsidR="001052E4" w:rsidRPr="001052E4">
              <w:rPr>
                <w:color w:val="000000" w:themeColor="text1"/>
              </w:rPr>
              <w:t>.</w:t>
            </w:r>
            <w:r w:rsidRPr="001052E4">
              <w:rPr>
                <w:color w:val="000000" w:themeColor="text1"/>
              </w:rPr>
              <w:t>3 ± 1</w:t>
            </w:r>
            <w:r w:rsidR="001052E4" w:rsidRPr="001052E4">
              <w:rPr>
                <w:color w:val="000000" w:themeColor="text1"/>
              </w:rPr>
              <w:t>.</w:t>
            </w:r>
            <w:r w:rsidRPr="001052E4">
              <w:rPr>
                <w:color w:val="000000" w:themeColor="text1"/>
              </w:rPr>
              <w:t>6</w:t>
            </w:r>
          </w:p>
        </w:tc>
        <w:tc>
          <w:tcPr>
            <w:tcW w:w="1360" w:type="dxa"/>
            <w:tcBorders>
              <w:top w:val="nil"/>
              <w:left w:val="nil"/>
              <w:bottom w:val="single" w:sz="4" w:space="0" w:color="auto"/>
              <w:right w:val="nil"/>
            </w:tcBorders>
            <w:shd w:val="clear" w:color="auto" w:fill="auto"/>
            <w:vAlign w:val="center"/>
            <w:hideMark/>
          </w:tcPr>
          <w:p w14:paraId="12B1D7E8" w14:textId="77777777" w:rsidR="000E4C0F" w:rsidRPr="000E4C0F" w:rsidRDefault="000E4C0F" w:rsidP="000E4C0F">
            <w:pPr>
              <w:jc w:val="center"/>
              <w:rPr>
                <w:color w:val="000000" w:themeColor="text1"/>
              </w:rPr>
            </w:pPr>
            <w:r w:rsidRPr="000E4C0F">
              <w:rPr>
                <w:color w:val="000000" w:themeColor="text1"/>
              </w:rPr>
              <w:t>0.62 ± 0.28</w:t>
            </w:r>
          </w:p>
        </w:tc>
      </w:tr>
      <w:tr w:rsidR="000E4C0F" w:rsidRPr="000E4C0F" w14:paraId="58A4017D" w14:textId="77777777" w:rsidTr="0007491F">
        <w:trPr>
          <w:trHeight w:val="340"/>
          <w:jc w:val="center"/>
        </w:trPr>
        <w:tc>
          <w:tcPr>
            <w:tcW w:w="1300" w:type="dxa"/>
            <w:vMerge/>
            <w:tcBorders>
              <w:top w:val="nil"/>
              <w:left w:val="nil"/>
              <w:bottom w:val="single" w:sz="4" w:space="0" w:color="000000"/>
              <w:right w:val="nil"/>
            </w:tcBorders>
            <w:vAlign w:val="center"/>
            <w:hideMark/>
          </w:tcPr>
          <w:p w14:paraId="6D1803FC" w14:textId="77777777" w:rsidR="000E4C0F" w:rsidRPr="000E4C0F" w:rsidRDefault="000E4C0F" w:rsidP="000E4C0F">
            <w:pPr>
              <w:rPr>
                <w:color w:val="000000" w:themeColor="text1"/>
              </w:rPr>
            </w:pPr>
          </w:p>
        </w:tc>
        <w:tc>
          <w:tcPr>
            <w:tcW w:w="1300" w:type="dxa"/>
            <w:tcBorders>
              <w:top w:val="nil"/>
              <w:left w:val="single" w:sz="4" w:space="0" w:color="auto"/>
              <w:bottom w:val="single" w:sz="4" w:space="0" w:color="auto"/>
              <w:right w:val="single" w:sz="4" w:space="0" w:color="auto"/>
            </w:tcBorders>
            <w:shd w:val="clear" w:color="auto" w:fill="auto"/>
            <w:vAlign w:val="center"/>
            <w:hideMark/>
          </w:tcPr>
          <w:p w14:paraId="4D5DD98D" w14:textId="77777777" w:rsidR="000E4C0F" w:rsidRPr="000E4C0F" w:rsidRDefault="000E4C0F" w:rsidP="000E4C0F">
            <w:pPr>
              <w:jc w:val="center"/>
              <w:rPr>
                <w:color w:val="000000" w:themeColor="text1"/>
              </w:rPr>
            </w:pPr>
            <w:r w:rsidRPr="000E4C0F">
              <w:rPr>
                <w:color w:val="000000" w:themeColor="text1"/>
              </w:rPr>
              <w:t>MT</w:t>
            </w:r>
          </w:p>
        </w:tc>
        <w:tc>
          <w:tcPr>
            <w:tcW w:w="1240" w:type="dxa"/>
            <w:tcBorders>
              <w:top w:val="nil"/>
              <w:left w:val="nil"/>
              <w:bottom w:val="single" w:sz="4" w:space="0" w:color="auto"/>
              <w:right w:val="nil"/>
            </w:tcBorders>
            <w:shd w:val="clear" w:color="auto" w:fill="auto"/>
            <w:vAlign w:val="center"/>
            <w:hideMark/>
          </w:tcPr>
          <w:p w14:paraId="246FCB91" w14:textId="77777777" w:rsidR="000E4C0F" w:rsidRPr="001052E4" w:rsidRDefault="000E4C0F" w:rsidP="000E4C0F">
            <w:pPr>
              <w:jc w:val="center"/>
              <w:rPr>
                <w:color w:val="000000" w:themeColor="text1"/>
              </w:rPr>
            </w:pPr>
            <w:r w:rsidRPr="001052E4">
              <w:rPr>
                <w:color w:val="000000" w:themeColor="text1"/>
              </w:rPr>
              <w:t>3</w:t>
            </w:r>
            <w:r w:rsidR="001052E4" w:rsidRPr="001052E4">
              <w:rPr>
                <w:color w:val="000000" w:themeColor="text1"/>
              </w:rPr>
              <w:t>.</w:t>
            </w:r>
            <w:r w:rsidRPr="001052E4">
              <w:rPr>
                <w:color w:val="000000" w:themeColor="text1"/>
              </w:rPr>
              <w:t>6 ± 0</w:t>
            </w:r>
            <w:r w:rsidR="001052E4" w:rsidRPr="001052E4">
              <w:rPr>
                <w:color w:val="000000" w:themeColor="text1"/>
              </w:rPr>
              <w:t>.</w:t>
            </w:r>
            <w:r w:rsidRPr="001052E4">
              <w:rPr>
                <w:color w:val="000000" w:themeColor="text1"/>
              </w:rPr>
              <w:t>4</w:t>
            </w:r>
          </w:p>
        </w:tc>
        <w:tc>
          <w:tcPr>
            <w:tcW w:w="1640" w:type="dxa"/>
            <w:tcBorders>
              <w:top w:val="nil"/>
              <w:left w:val="nil"/>
              <w:bottom w:val="single" w:sz="4" w:space="0" w:color="auto"/>
              <w:right w:val="nil"/>
            </w:tcBorders>
            <w:shd w:val="clear" w:color="auto" w:fill="auto"/>
            <w:vAlign w:val="center"/>
            <w:hideMark/>
          </w:tcPr>
          <w:p w14:paraId="6FE14F3E" w14:textId="77777777" w:rsidR="000E4C0F" w:rsidRPr="001052E4" w:rsidRDefault="000E4C0F" w:rsidP="000E4C0F">
            <w:pPr>
              <w:jc w:val="center"/>
              <w:rPr>
                <w:color w:val="000000" w:themeColor="text1"/>
              </w:rPr>
            </w:pPr>
            <w:r w:rsidRPr="001052E4">
              <w:rPr>
                <w:color w:val="000000" w:themeColor="text1"/>
              </w:rPr>
              <w:t>5</w:t>
            </w:r>
            <w:r w:rsidR="001052E4" w:rsidRPr="001052E4">
              <w:rPr>
                <w:color w:val="000000" w:themeColor="text1"/>
              </w:rPr>
              <w:t>.</w:t>
            </w:r>
            <w:r w:rsidRPr="001052E4">
              <w:rPr>
                <w:color w:val="000000" w:themeColor="text1"/>
              </w:rPr>
              <w:t>8 ± 1</w:t>
            </w:r>
            <w:r w:rsidR="001052E4" w:rsidRPr="001052E4">
              <w:rPr>
                <w:color w:val="000000" w:themeColor="text1"/>
              </w:rPr>
              <w:t>.</w:t>
            </w:r>
            <w:r w:rsidRPr="001052E4">
              <w:rPr>
                <w:color w:val="000000" w:themeColor="text1"/>
              </w:rPr>
              <w:t xml:space="preserve">1 </w:t>
            </w:r>
          </w:p>
        </w:tc>
        <w:tc>
          <w:tcPr>
            <w:tcW w:w="1520" w:type="dxa"/>
            <w:tcBorders>
              <w:top w:val="nil"/>
              <w:left w:val="nil"/>
              <w:bottom w:val="single" w:sz="4" w:space="0" w:color="auto"/>
              <w:right w:val="nil"/>
            </w:tcBorders>
            <w:shd w:val="clear" w:color="auto" w:fill="auto"/>
            <w:vAlign w:val="center"/>
            <w:hideMark/>
          </w:tcPr>
          <w:p w14:paraId="31A9E7FF" w14:textId="77777777" w:rsidR="000E4C0F" w:rsidRPr="001052E4" w:rsidRDefault="000E4C0F" w:rsidP="000E4C0F">
            <w:pPr>
              <w:jc w:val="center"/>
              <w:rPr>
                <w:color w:val="000000" w:themeColor="text1"/>
              </w:rPr>
            </w:pPr>
            <w:r w:rsidRPr="001052E4">
              <w:rPr>
                <w:color w:val="000000" w:themeColor="text1"/>
              </w:rPr>
              <w:t>7</w:t>
            </w:r>
            <w:r w:rsidR="001052E4" w:rsidRPr="001052E4">
              <w:rPr>
                <w:color w:val="000000" w:themeColor="text1"/>
              </w:rPr>
              <w:t>.</w:t>
            </w:r>
            <w:r w:rsidRPr="001052E4">
              <w:rPr>
                <w:color w:val="000000" w:themeColor="text1"/>
              </w:rPr>
              <w:t>6 ± 1</w:t>
            </w:r>
            <w:r w:rsidR="001052E4" w:rsidRPr="001052E4">
              <w:rPr>
                <w:color w:val="000000" w:themeColor="text1"/>
              </w:rPr>
              <w:t>.</w:t>
            </w:r>
            <w:r w:rsidRPr="001052E4">
              <w:rPr>
                <w:color w:val="000000" w:themeColor="text1"/>
              </w:rPr>
              <w:t>6</w:t>
            </w:r>
          </w:p>
        </w:tc>
        <w:tc>
          <w:tcPr>
            <w:tcW w:w="1360" w:type="dxa"/>
            <w:tcBorders>
              <w:top w:val="nil"/>
              <w:left w:val="nil"/>
              <w:bottom w:val="single" w:sz="4" w:space="0" w:color="auto"/>
              <w:right w:val="nil"/>
            </w:tcBorders>
            <w:shd w:val="clear" w:color="auto" w:fill="auto"/>
            <w:vAlign w:val="center"/>
            <w:hideMark/>
          </w:tcPr>
          <w:p w14:paraId="5E35FFD2" w14:textId="77777777" w:rsidR="000E4C0F" w:rsidRPr="000E4C0F" w:rsidRDefault="000E4C0F" w:rsidP="000E4C0F">
            <w:pPr>
              <w:jc w:val="center"/>
              <w:rPr>
                <w:color w:val="000000" w:themeColor="text1"/>
              </w:rPr>
            </w:pPr>
            <w:r w:rsidRPr="000E4C0F">
              <w:rPr>
                <w:color w:val="000000" w:themeColor="text1"/>
              </w:rPr>
              <w:t>0.55 ± 0.29</w:t>
            </w:r>
          </w:p>
        </w:tc>
      </w:tr>
      <w:tr w:rsidR="000E4C0F" w:rsidRPr="000E4C0F" w14:paraId="72A2EC92" w14:textId="77777777" w:rsidTr="0007491F">
        <w:trPr>
          <w:trHeight w:val="340"/>
          <w:jc w:val="center"/>
        </w:trPr>
        <w:tc>
          <w:tcPr>
            <w:tcW w:w="1300" w:type="dxa"/>
            <w:vMerge/>
            <w:tcBorders>
              <w:top w:val="nil"/>
              <w:left w:val="nil"/>
              <w:bottom w:val="single" w:sz="4" w:space="0" w:color="000000"/>
              <w:right w:val="nil"/>
            </w:tcBorders>
            <w:vAlign w:val="center"/>
            <w:hideMark/>
          </w:tcPr>
          <w:p w14:paraId="26DA0F53" w14:textId="77777777" w:rsidR="000E4C0F" w:rsidRPr="000E4C0F" w:rsidRDefault="000E4C0F" w:rsidP="000E4C0F">
            <w:pPr>
              <w:rPr>
                <w:color w:val="000000" w:themeColor="text1"/>
              </w:rPr>
            </w:pPr>
          </w:p>
        </w:tc>
        <w:tc>
          <w:tcPr>
            <w:tcW w:w="1300" w:type="dxa"/>
            <w:tcBorders>
              <w:top w:val="nil"/>
              <w:left w:val="single" w:sz="4" w:space="0" w:color="auto"/>
              <w:bottom w:val="single" w:sz="4" w:space="0" w:color="auto"/>
              <w:right w:val="single" w:sz="4" w:space="0" w:color="auto"/>
            </w:tcBorders>
            <w:shd w:val="clear" w:color="auto" w:fill="auto"/>
            <w:vAlign w:val="center"/>
            <w:hideMark/>
          </w:tcPr>
          <w:p w14:paraId="168AA0BF" w14:textId="77777777" w:rsidR="000E4C0F" w:rsidRPr="000E4C0F" w:rsidRDefault="000E4C0F" w:rsidP="000E4C0F">
            <w:pPr>
              <w:jc w:val="center"/>
              <w:rPr>
                <w:color w:val="000000" w:themeColor="text1"/>
              </w:rPr>
            </w:pPr>
            <w:r w:rsidRPr="000E4C0F">
              <w:rPr>
                <w:color w:val="000000" w:themeColor="text1"/>
              </w:rPr>
              <w:t>NT</w:t>
            </w:r>
          </w:p>
        </w:tc>
        <w:tc>
          <w:tcPr>
            <w:tcW w:w="1240" w:type="dxa"/>
            <w:tcBorders>
              <w:top w:val="nil"/>
              <w:left w:val="nil"/>
              <w:bottom w:val="single" w:sz="4" w:space="0" w:color="auto"/>
              <w:right w:val="nil"/>
            </w:tcBorders>
            <w:shd w:val="clear" w:color="auto" w:fill="auto"/>
            <w:vAlign w:val="center"/>
            <w:hideMark/>
          </w:tcPr>
          <w:p w14:paraId="5F457EB3" w14:textId="77777777" w:rsidR="000E4C0F" w:rsidRPr="001052E4" w:rsidRDefault="000E4C0F" w:rsidP="000E4C0F">
            <w:pPr>
              <w:jc w:val="center"/>
              <w:rPr>
                <w:color w:val="000000" w:themeColor="text1"/>
              </w:rPr>
            </w:pPr>
            <w:r w:rsidRPr="001052E4">
              <w:rPr>
                <w:color w:val="000000" w:themeColor="text1"/>
              </w:rPr>
              <w:t>3</w:t>
            </w:r>
            <w:r w:rsidR="001052E4" w:rsidRPr="001052E4">
              <w:rPr>
                <w:color w:val="000000" w:themeColor="text1"/>
              </w:rPr>
              <w:t>.</w:t>
            </w:r>
            <w:r w:rsidRPr="001052E4">
              <w:rPr>
                <w:color w:val="000000" w:themeColor="text1"/>
              </w:rPr>
              <w:t>1 ± 0.5</w:t>
            </w:r>
          </w:p>
        </w:tc>
        <w:tc>
          <w:tcPr>
            <w:tcW w:w="1640" w:type="dxa"/>
            <w:tcBorders>
              <w:top w:val="nil"/>
              <w:left w:val="nil"/>
              <w:bottom w:val="single" w:sz="4" w:space="0" w:color="auto"/>
              <w:right w:val="nil"/>
            </w:tcBorders>
            <w:shd w:val="clear" w:color="auto" w:fill="auto"/>
            <w:vAlign w:val="center"/>
            <w:hideMark/>
          </w:tcPr>
          <w:p w14:paraId="081A8587" w14:textId="77777777" w:rsidR="000E4C0F" w:rsidRPr="001052E4" w:rsidRDefault="000E4C0F" w:rsidP="000E4C0F">
            <w:pPr>
              <w:jc w:val="center"/>
              <w:rPr>
                <w:color w:val="000000" w:themeColor="text1"/>
              </w:rPr>
            </w:pPr>
            <w:r w:rsidRPr="001052E4">
              <w:rPr>
                <w:color w:val="000000" w:themeColor="text1"/>
              </w:rPr>
              <w:t>4</w:t>
            </w:r>
            <w:r w:rsidR="001052E4" w:rsidRPr="001052E4">
              <w:rPr>
                <w:color w:val="000000" w:themeColor="text1"/>
              </w:rPr>
              <w:t>.</w:t>
            </w:r>
            <w:r w:rsidRPr="001052E4">
              <w:rPr>
                <w:color w:val="000000" w:themeColor="text1"/>
              </w:rPr>
              <w:t>7 ± 1</w:t>
            </w:r>
            <w:r w:rsidR="001052E4" w:rsidRPr="001052E4">
              <w:rPr>
                <w:color w:val="000000" w:themeColor="text1"/>
              </w:rPr>
              <w:t>.</w:t>
            </w:r>
            <w:r w:rsidRPr="001052E4">
              <w:rPr>
                <w:color w:val="000000" w:themeColor="text1"/>
              </w:rPr>
              <w:t>1</w:t>
            </w:r>
          </w:p>
        </w:tc>
        <w:tc>
          <w:tcPr>
            <w:tcW w:w="1520" w:type="dxa"/>
            <w:tcBorders>
              <w:top w:val="nil"/>
              <w:left w:val="nil"/>
              <w:bottom w:val="single" w:sz="4" w:space="0" w:color="auto"/>
              <w:right w:val="nil"/>
            </w:tcBorders>
            <w:shd w:val="clear" w:color="auto" w:fill="auto"/>
            <w:vAlign w:val="center"/>
            <w:hideMark/>
          </w:tcPr>
          <w:p w14:paraId="7C81401D" w14:textId="77777777" w:rsidR="000E4C0F" w:rsidRPr="001052E4" w:rsidRDefault="000E4C0F" w:rsidP="000E4C0F">
            <w:pPr>
              <w:jc w:val="center"/>
              <w:rPr>
                <w:color w:val="000000" w:themeColor="text1"/>
              </w:rPr>
            </w:pPr>
            <w:r w:rsidRPr="001052E4">
              <w:rPr>
                <w:color w:val="000000" w:themeColor="text1"/>
              </w:rPr>
              <w:t>5</w:t>
            </w:r>
            <w:r w:rsidR="001052E4" w:rsidRPr="001052E4">
              <w:rPr>
                <w:color w:val="000000" w:themeColor="text1"/>
              </w:rPr>
              <w:t>.</w:t>
            </w:r>
            <w:r w:rsidRPr="001052E4">
              <w:rPr>
                <w:color w:val="000000" w:themeColor="text1"/>
              </w:rPr>
              <w:t>8 ± 1</w:t>
            </w:r>
            <w:r w:rsidR="001052E4" w:rsidRPr="001052E4">
              <w:rPr>
                <w:color w:val="000000" w:themeColor="text1"/>
              </w:rPr>
              <w:t>.</w:t>
            </w:r>
            <w:r w:rsidRPr="001052E4">
              <w:rPr>
                <w:color w:val="000000" w:themeColor="text1"/>
              </w:rPr>
              <w:t>4</w:t>
            </w:r>
          </w:p>
        </w:tc>
        <w:tc>
          <w:tcPr>
            <w:tcW w:w="1360" w:type="dxa"/>
            <w:tcBorders>
              <w:top w:val="nil"/>
              <w:left w:val="nil"/>
              <w:bottom w:val="single" w:sz="4" w:space="0" w:color="auto"/>
              <w:right w:val="nil"/>
            </w:tcBorders>
            <w:shd w:val="clear" w:color="auto" w:fill="auto"/>
            <w:vAlign w:val="center"/>
            <w:hideMark/>
          </w:tcPr>
          <w:p w14:paraId="0585A1F5" w14:textId="77777777" w:rsidR="000E4C0F" w:rsidRPr="000E4C0F" w:rsidRDefault="000E4C0F" w:rsidP="000E4C0F">
            <w:pPr>
              <w:jc w:val="center"/>
              <w:rPr>
                <w:color w:val="000000" w:themeColor="text1"/>
              </w:rPr>
            </w:pPr>
            <w:r w:rsidRPr="000E4C0F">
              <w:rPr>
                <w:color w:val="000000" w:themeColor="text1"/>
              </w:rPr>
              <w:t>0.34 ± 0.25</w:t>
            </w:r>
          </w:p>
        </w:tc>
      </w:tr>
      <w:tr w:rsidR="000E4C0F" w:rsidRPr="000E4C0F" w14:paraId="3D4467E2" w14:textId="77777777" w:rsidTr="0007491F">
        <w:trPr>
          <w:trHeight w:val="340"/>
          <w:jc w:val="center"/>
        </w:trPr>
        <w:tc>
          <w:tcPr>
            <w:tcW w:w="1300" w:type="dxa"/>
            <w:vMerge/>
            <w:tcBorders>
              <w:top w:val="nil"/>
              <w:left w:val="nil"/>
              <w:bottom w:val="single" w:sz="4" w:space="0" w:color="000000"/>
              <w:right w:val="nil"/>
            </w:tcBorders>
            <w:vAlign w:val="center"/>
            <w:hideMark/>
          </w:tcPr>
          <w:p w14:paraId="6F5AA28F"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031B3C2B" w14:textId="77777777" w:rsidR="000E4C0F" w:rsidRPr="000E4C0F" w:rsidRDefault="000E4C0F" w:rsidP="000E4C0F">
            <w:pPr>
              <w:jc w:val="center"/>
              <w:rPr>
                <w:color w:val="000000" w:themeColor="text1"/>
              </w:rPr>
            </w:pPr>
            <w:r w:rsidRPr="000E4C0F">
              <w:rPr>
                <w:color w:val="000000" w:themeColor="text1"/>
              </w:rPr>
              <w:t>F-value</w:t>
            </w:r>
          </w:p>
        </w:tc>
        <w:tc>
          <w:tcPr>
            <w:tcW w:w="1240" w:type="dxa"/>
            <w:tcBorders>
              <w:top w:val="nil"/>
              <w:left w:val="nil"/>
              <w:bottom w:val="single" w:sz="4" w:space="0" w:color="auto"/>
              <w:right w:val="nil"/>
            </w:tcBorders>
            <w:shd w:val="clear" w:color="auto" w:fill="auto"/>
            <w:vAlign w:val="center"/>
            <w:hideMark/>
          </w:tcPr>
          <w:p w14:paraId="46DFE69B" w14:textId="77777777" w:rsidR="000E4C0F" w:rsidRPr="000E4C0F" w:rsidRDefault="000E4C0F" w:rsidP="000E4C0F">
            <w:pPr>
              <w:jc w:val="center"/>
              <w:rPr>
                <w:color w:val="000000" w:themeColor="text1"/>
              </w:rPr>
            </w:pPr>
            <w:r w:rsidRPr="000E4C0F">
              <w:rPr>
                <w:color w:val="000000" w:themeColor="text1"/>
              </w:rPr>
              <w:t>-</w:t>
            </w:r>
          </w:p>
        </w:tc>
        <w:tc>
          <w:tcPr>
            <w:tcW w:w="1640" w:type="dxa"/>
            <w:tcBorders>
              <w:top w:val="nil"/>
              <w:left w:val="nil"/>
              <w:bottom w:val="single" w:sz="4" w:space="0" w:color="auto"/>
              <w:right w:val="nil"/>
            </w:tcBorders>
            <w:shd w:val="clear" w:color="auto" w:fill="auto"/>
            <w:vAlign w:val="center"/>
            <w:hideMark/>
          </w:tcPr>
          <w:p w14:paraId="169EAFDD" w14:textId="77777777" w:rsidR="000E4C0F" w:rsidRPr="000E4C0F" w:rsidRDefault="000E4C0F" w:rsidP="000E4C0F">
            <w:pPr>
              <w:jc w:val="center"/>
              <w:rPr>
                <w:color w:val="000000" w:themeColor="text1"/>
              </w:rPr>
            </w:pPr>
            <w:r w:rsidRPr="000E4C0F">
              <w:rPr>
                <w:color w:val="000000" w:themeColor="text1"/>
              </w:rPr>
              <w:t>-</w:t>
            </w:r>
          </w:p>
        </w:tc>
        <w:tc>
          <w:tcPr>
            <w:tcW w:w="1520" w:type="dxa"/>
            <w:tcBorders>
              <w:top w:val="nil"/>
              <w:left w:val="nil"/>
              <w:bottom w:val="single" w:sz="4" w:space="0" w:color="auto"/>
              <w:right w:val="nil"/>
            </w:tcBorders>
            <w:shd w:val="clear" w:color="auto" w:fill="auto"/>
            <w:vAlign w:val="center"/>
            <w:hideMark/>
          </w:tcPr>
          <w:p w14:paraId="60CD7CD0" w14:textId="77777777" w:rsidR="000E4C0F" w:rsidRPr="000E4C0F" w:rsidRDefault="000E4C0F" w:rsidP="000E4C0F">
            <w:pPr>
              <w:jc w:val="center"/>
              <w:rPr>
                <w:color w:val="000000" w:themeColor="text1"/>
              </w:rPr>
            </w:pPr>
            <w:r w:rsidRPr="000E4C0F">
              <w:rPr>
                <w:color w:val="000000" w:themeColor="text1"/>
              </w:rPr>
              <w:t>-</w:t>
            </w:r>
          </w:p>
        </w:tc>
        <w:tc>
          <w:tcPr>
            <w:tcW w:w="1360" w:type="dxa"/>
            <w:tcBorders>
              <w:top w:val="nil"/>
              <w:left w:val="nil"/>
              <w:bottom w:val="single" w:sz="4" w:space="0" w:color="auto"/>
              <w:right w:val="nil"/>
            </w:tcBorders>
            <w:shd w:val="clear" w:color="auto" w:fill="auto"/>
            <w:vAlign w:val="center"/>
            <w:hideMark/>
          </w:tcPr>
          <w:p w14:paraId="463A14FF" w14:textId="77777777" w:rsidR="000E4C0F" w:rsidRPr="000E4C0F" w:rsidRDefault="000E4C0F" w:rsidP="000E4C0F">
            <w:pPr>
              <w:jc w:val="center"/>
              <w:rPr>
                <w:color w:val="000000" w:themeColor="text1"/>
              </w:rPr>
            </w:pPr>
            <w:r w:rsidRPr="000E4C0F">
              <w:rPr>
                <w:color w:val="000000" w:themeColor="text1"/>
              </w:rPr>
              <w:t>-</w:t>
            </w:r>
          </w:p>
        </w:tc>
      </w:tr>
      <w:tr w:rsidR="000E4C0F" w:rsidRPr="000E4C0F" w14:paraId="2E78B480" w14:textId="77777777" w:rsidTr="0007491F">
        <w:trPr>
          <w:trHeight w:val="340"/>
          <w:jc w:val="center"/>
        </w:trPr>
        <w:tc>
          <w:tcPr>
            <w:tcW w:w="1300" w:type="dxa"/>
            <w:vMerge/>
            <w:tcBorders>
              <w:top w:val="nil"/>
              <w:left w:val="nil"/>
              <w:bottom w:val="single" w:sz="4" w:space="0" w:color="000000"/>
              <w:right w:val="nil"/>
            </w:tcBorders>
            <w:vAlign w:val="center"/>
            <w:hideMark/>
          </w:tcPr>
          <w:p w14:paraId="04521C80" w14:textId="77777777" w:rsidR="000E4C0F" w:rsidRPr="000E4C0F" w:rsidRDefault="000E4C0F" w:rsidP="000E4C0F">
            <w:pPr>
              <w:rPr>
                <w:color w:val="000000" w:themeColor="text1"/>
              </w:rPr>
            </w:pPr>
          </w:p>
        </w:tc>
        <w:tc>
          <w:tcPr>
            <w:tcW w:w="1300" w:type="dxa"/>
            <w:tcBorders>
              <w:top w:val="nil"/>
              <w:left w:val="nil"/>
              <w:bottom w:val="single" w:sz="4" w:space="0" w:color="auto"/>
              <w:right w:val="single" w:sz="4" w:space="0" w:color="auto"/>
            </w:tcBorders>
            <w:shd w:val="clear" w:color="auto" w:fill="auto"/>
            <w:vAlign w:val="center"/>
            <w:hideMark/>
          </w:tcPr>
          <w:p w14:paraId="5D1C1458" w14:textId="77777777" w:rsidR="000E4C0F" w:rsidRPr="000E4C0F" w:rsidRDefault="000E4C0F" w:rsidP="000E4C0F">
            <w:pPr>
              <w:jc w:val="center"/>
              <w:rPr>
                <w:color w:val="000000" w:themeColor="text1"/>
              </w:rPr>
            </w:pPr>
            <w:r w:rsidRPr="000E4C0F">
              <w:rPr>
                <w:color w:val="000000" w:themeColor="text1"/>
              </w:rPr>
              <w:t>P-value</w:t>
            </w:r>
          </w:p>
        </w:tc>
        <w:tc>
          <w:tcPr>
            <w:tcW w:w="1240" w:type="dxa"/>
            <w:tcBorders>
              <w:top w:val="nil"/>
              <w:left w:val="nil"/>
              <w:bottom w:val="single" w:sz="4" w:space="0" w:color="auto"/>
              <w:right w:val="nil"/>
            </w:tcBorders>
            <w:shd w:val="clear" w:color="auto" w:fill="auto"/>
            <w:vAlign w:val="center"/>
            <w:hideMark/>
          </w:tcPr>
          <w:p w14:paraId="19455681" w14:textId="77777777" w:rsidR="000E4C0F" w:rsidRPr="000E4C0F" w:rsidRDefault="000E4C0F" w:rsidP="000E4C0F">
            <w:pPr>
              <w:jc w:val="center"/>
              <w:rPr>
                <w:color w:val="000000" w:themeColor="text1"/>
              </w:rPr>
            </w:pPr>
            <w:r w:rsidRPr="000E4C0F">
              <w:rPr>
                <w:color w:val="000000" w:themeColor="text1"/>
              </w:rPr>
              <w:t>-</w:t>
            </w:r>
          </w:p>
        </w:tc>
        <w:tc>
          <w:tcPr>
            <w:tcW w:w="1640" w:type="dxa"/>
            <w:tcBorders>
              <w:top w:val="nil"/>
              <w:left w:val="nil"/>
              <w:bottom w:val="single" w:sz="4" w:space="0" w:color="auto"/>
              <w:right w:val="nil"/>
            </w:tcBorders>
            <w:shd w:val="clear" w:color="auto" w:fill="auto"/>
            <w:vAlign w:val="center"/>
            <w:hideMark/>
          </w:tcPr>
          <w:p w14:paraId="141440DF" w14:textId="77777777" w:rsidR="000E4C0F" w:rsidRPr="000E4C0F" w:rsidRDefault="000E4C0F" w:rsidP="000E4C0F">
            <w:pPr>
              <w:jc w:val="center"/>
              <w:rPr>
                <w:color w:val="000000" w:themeColor="text1"/>
              </w:rPr>
            </w:pPr>
            <w:r w:rsidRPr="000E4C0F">
              <w:rPr>
                <w:color w:val="000000" w:themeColor="text1"/>
              </w:rPr>
              <w:t>-</w:t>
            </w:r>
          </w:p>
        </w:tc>
        <w:tc>
          <w:tcPr>
            <w:tcW w:w="1520" w:type="dxa"/>
            <w:tcBorders>
              <w:top w:val="nil"/>
              <w:left w:val="nil"/>
              <w:bottom w:val="single" w:sz="4" w:space="0" w:color="auto"/>
              <w:right w:val="nil"/>
            </w:tcBorders>
            <w:shd w:val="clear" w:color="auto" w:fill="auto"/>
            <w:vAlign w:val="center"/>
            <w:hideMark/>
          </w:tcPr>
          <w:p w14:paraId="680972B7" w14:textId="77777777" w:rsidR="000E4C0F" w:rsidRPr="000E4C0F" w:rsidRDefault="000E4C0F" w:rsidP="000E4C0F">
            <w:pPr>
              <w:jc w:val="center"/>
              <w:rPr>
                <w:color w:val="000000" w:themeColor="text1"/>
              </w:rPr>
            </w:pPr>
            <w:r w:rsidRPr="000E4C0F">
              <w:rPr>
                <w:color w:val="000000" w:themeColor="text1"/>
              </w:rPr>
              <w:t>-</w:t>
            </w:r>
          </w:p>
        </w:tc>
        <w:tc>
          <w:tcPr>
            <w:tcW w:w="1360" w:type="dxa"/>
            <w:tcBorders>
              <w:top w:val="nil"/>
              <w:left w:val="nil"/>
              <w:bottom w:val="single" w:sz="4" w:space="0" w:color="auto"/>
              <w:right w:val="nil"/>
            </w:tcBorders>
            <w:shd w:val="clear" w:color="auto" w:fill="auto"/>
            <w:vAlign w:val="center"/>
            <w:hideMark/>
          </w:tcPr>
          <w:p w14:paraId="4D82D02A" w14:textId="77777777" w:rsidR="000E4C0F" w:rsidRPr="000E4C0F" w:rsidRDefault="000E4C0F" w:rsidP="000E4C0F">
            <w:pPr>
              <w:jc w:val="center"/>
              <w:rPr>
                <w:color w:val="000000" w:themeColor="text1"/>
              </w:rPr>
            </w:pPr>
            <w:r w:rsidRPr="000E4C0F">
              <w:rPr>
                <w:color w:val="000000" w:themeColor="text1"/>
              </w:rPr>
              <w:t>-</w:t>
            </w:r>
          </w:p>
        </w:tc>
      </w:tr>
    </w:tbl>
    <w:p w14:paraId="67B152C9" w14:textId="77777777" w:rsidR="000E4C0F" w:rsidRPr="000E4C0F" w:rsidRDefault="000E4C0F" w:rsidP="000E4C0F">
      <w:pPr>
        <w:rPr>
          <w:color w:val="000000" w:themeColor="text1"/>
        </w:rPr>
      </w:pPr>
    </w:p>
    <w:p w14:paraId="18C1E361" w14:textId="77777777" w:rsidR="000E4C0F" w:rsidRPr="000E4C0F" w:rsidRDefault="000E4C0F" w:rsidP="000E4C0F">
      <w:pPr>
        <w:rPr>
          <w:color w:val="000000" w:themeColor="text1"/>
        </w:rPr>
      </w:pPr>
      <w:r w:rsidRPr="000E4C0F">
        <w:rPr>
          <w:color w:val="000000" w:themeColor="text1"/>
        </w:rPr>
        <w:t xml:space="preserve">Table A.3: The mean Total Organic Carbon </w:t>
      </w:r>
      <w:r w:rsidR="001909A5">
        <w:rPr>
          <w:color w:val="000000" w:themeColor="text1"/>
        </w:rPr>
        <w:t>(g kg</w:t>
      </w:r>
      <w:r w:rsidR="001909A5">
        <w:rPr>
          <w:color w:val="000000" w:themeColor="text1"/>
          <w:vertAlign w:val="superscript"/>
        </w:rPr>
        <w:t>-1</w:t>
      </w:r>
      <w:r w:rsidRPr="000E4C0F">
        <w:rPr>
          <w:color w:val="000000" w:themeColor="text1"/>
        </w:rPr>
        <w:t>) values based on tillage for 2018, 2021, and 2022, and the difference between 2022 and 2018 (% change over 4 years) at the a) 0-5 cm, b) 5-10 cm, and c) 10-15 cm depths. Different letters represent significantly different means between treatments for a given year.</w:t>
      </w:r>
    </w:p>
    <w:p w14:paraId="613CCB77" w14:textId="77777777" w:rsidR="000E4C0F" w:rsidRPr="000E4C0F" w:rsidRDefault="000E4C0F" w:rsidP="000E4C0F">
      <w:pPr>
        <w:spacing w:line="480" w:lineRule="auto"/>
        <w:rPr>
          <w:color w:val="000000" w:themeColor="text1"/>
        </w:rPr>
      </w:pPr>
    </w:p>
    <w:p w14:paraId="74567C27" w14:textId="77777777" w:rsidR="000E4C0F" w:rsidRPr="000E4C0F" w:rsidRDefault="000E4C0F" w:rsidP="000E4C0F">
      <w:pPr>
        <w:spacing w:line="480" w:lineRule="auto"/>
        <w:rPr>
          <w:color w:val="000000" w:themeColor="text1"/>
        </w:rPr>
      </w:pPr>
      <w:r w:rsidRPr="000E4C0F">
        <w:rPr>
          <w:color w:val="000000" w:themeColor="text1"/>
        </w:rPr>
        <w:t>Figures</w:t>
      </w:r>
    </w:p>
    <w:p w14:paraId="34E5E1E6" w14:textId="77777777" w:rsidR="000E4C0F" w:rsidRPr="000E4C0F" w:rsidRDefault="000E4C0F" w:rsidP="000E4C0F">
      <w:pPr>
        <w:spacing w:line="480" w:lineRule="auto"/>
        <w:rPr>
          <w:color w:val="000000" w:themeColor="text1"/>
        </w:rPr>
      </w:pPr>
    </w:p>
    <w:p w14:paraId="72180699" w14:textId="77777777" w:rsidR="000E4C0F" w:rsidRPr="000E4C0F" w:rsidRDefault="000E4C0F" w:rsidP="000E4C0F">
      <w:pPr>
        <w:adjustRightInd w:val="0"/>
        <w:snapToGrid w:val="0"/>
        <w:spacing w:line="480" w:lineRule="auto"/>
        <w:jc w:val="center"/>
        <w:rPr>
          <w:color w:val="000000" w:themeColor="text1"/>
        </w:rPr>
      </w:pPr>
      <w:r w:rsidRPr="000E4C0F">
        <w:rPr>
          <w:noProof/>
          <w:color w:val="000000" w:themeColor="text1"/>
        </w:rPr>
        <w:lastRenderedPageBreak/>
        <w:drawing>
          <wp:inline distT="0" distB="0" distL="0" distR="0" wp14:anchorId="0A0F40DA" wp14:editId="0637AC89">
            <wp:extent cx="5957814" cy="2301240"/>
            <wp:effectExtent l="0" t="0" r="0" b="0"/>
            <wp:docPr id="32" name="Picture 32" descr="A close-up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close-up of a char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008863" cy="2320958"/>
                    </a:xfrm>
                    <a:prstGeom prst="rect">
                      <a:avLst/>
                    </a:prstGeom>
                  </pic:spPr>
                </pic:pic>
              </a:graphicData>
            </a:graphic>
          </wp:inline>
        </w:drawing>
      </w:r>
    </w:p>
    <w:p w14:paraId="1EC217D1" w14:textId="77777777" w:rsidR="000E4C0F" w:rsidRPr="000E4C0F" w:rsidRDefault="000E4C0F" w:rsidP="000E4C0F">
      <w:pPr>
        <w:adjustRightInd w:val="0"/>
        <w:snapToGrid w:val="0"/>
        <w:spacing w:line="480" w:lineRule="auto"/>
        <w:rPr>
          <w:color w:val="000000" w:themeColor="text1"/>
        </w:rPr>
      </w:pPr>
      <w:r w:rsidRPr="000E4C0F">
        <w:rPr>
          <w:color w:val="000000" w:themeColor="text1"/>
        </w:rPr>
        <w:t>Figure A.1: Field layout of tillage and winter cover treatments.</w:t>
      </w:r>
    </w:p>
    <w:p w14:paraId="171866B3" w14:textId="7817E703" w:rsidR="000E4C0F" w:rsidRPr="000E4C0F" w:rsidRDefault="003A05E4" w:rsidP="003A05E4">
      <w:pPr>
        <w:spacing w:line="480" w:lineRule="auto"/>
        <w:jc w:val="center"/>
        <w:rPr>
          <w:color w:val="000000" w:themeColor="text1"/>
        </w:rPr>
      </w:pPr>
      <w:r>
        <w:rPr>
          <w:noProof/>
          <w:color w:val="000000" w:themeColor="text1"/>
          <w14:ligatures w14:val="standardContextual"/>
        </w:rPr>
        <w:lastRenderedPageBreak/>
        <w:drawing>
          <wp:inline distT="0" distB="0" distL="0" distR="0" wp14:anchorId="48064F02" wp14:editId="6B89EB69">
            <wp:extent cx="8561898" cy="5029200"/>
            <wp:effectExtent l="953" t="0" r="0" b="0"/>
            <wp:docPr id="76195318" name="Picture 5" descr="A group of colorful rectangular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95318" name="Picture 5" descr="A group of colorful rectangular bars&#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rot="5400000">
                      <a:off x="0" y="0"/>
                      <a:ext cx="8561898" cy="5029200"/>
                    </a:xfrm>
                    <a:prstGeom prst="rect">
                      <a:avLst/>
                    </a:prstGeom>
                  </pic:spPr>
                </pic:pic>
              </a:graphicData>
            </a:graphic>
          </wp:inline>
        </w:drawing>
      </w:r>
    </w:p>
    <w:p w14:paraId="56691771" w14:textId="77777777" w:rsidR="000E4C0F" w:rsidRPr="000E4C0F" w:rsidRDefault="000E4C0F" w:rsidP="008253C0">
      <w:pPr>
        <w:adjustRightInd w:val="0"/>
        <w:snapToGrid w:val="0"/>
        <w:rPr>
          <w:color w:val="000000" w:themeColor="text1"/>
        </w:rPr>
      </w:pPr>
      <w:r w:rsidRPr="000E4C0F">
        <w:rPr>
          <w:color w:val="000000" w:themeColor="text1"/>
        </w:rPr>
        <w:lastRenderedPageBreak/>
        <w:t>Figure A.2: Total Organic Carbon (</w:t>
      </w:r>
      <w:r w:rsidR="008253C0">
        <w:rPr>
          <w:color w:val="000000" w:themeColor="text1"/>
        </w:rPr>
        <w:t>g kg</w:t>
      </w:r>
      <w:r w:rsidR="008253C0">
        <w:rPr>
          <w:color w:val="000000" w:themeColor="text1"/>
          <w:vertAlign w:val="superscript"/>
        </w:rPr>
        <w:t>-1</w:t>
      </w:r>
      <w:r w:rsidRPr="000E4C0F">
        <w:rPr>
          <w:color w:val="000000" w:themeColor="text1"/>
        </w:rPr>
        <w:t xml:space="preserve">) measured in the tillage treatments at the a) 0-5 cm depth, b) 5-10 cm depth, and c) 10-30 cm depth (n = 12). Columns represent the mean of each tillage treatment, error bars represent the standard deviation, and different letters represent significantly different means between treatments for a given year (p </w:t>
      </w:r>
      <w:r w:rsidRPr="000E4C0F">
        <w:rPr>
          <w:color w:val="000000" w:themeColor="text1"/>
        </w:rPr>
        <w:sym w:font="Symbol" w:char="F0A3"/>
      </w:r>
      <w:r w:rsidRPr="000E4C0F">
        <w:rPr>
          <w:color w:val="000000" w:themeColor="text1"/>
        </w:rPr>
        <w:t xml:space="preserve"> 0.05).</w:t>
      </w:r>
    </w:p>
    <w:p w14:paraId="18B51E89" w14:textId="77777777" w:rsidR="000E4C0F" w:rsidRDefault="000E4C0F" w:rsidP="000E4C0F">
      <w:pPr>
        <w:adjustRightInd w:val="0"/>
        <w:snapToGrid w:val="0"/>
        <w:spacing w:line="480" w:lineRule="auto"/>
        <w:rPr>
          <w:color w:val="000000" w:themeColor="text1"/>
        </w:rPr>
      </w:pPr>
    </w:p>
    <w:p w14:paraId="19F62F2A" w14:textId="1090E218" w:rsidR="00D9045A" w:rsidRPr="000E4C0F" w:rsidRDefault="00D9045A" w:rsidP="00D9045A">
      <w:pPr>
        <w:adjustRightInd w:val="0"/>
        <w:snapToGrid w:val="0"/>
        <w:spacing w:line="480" w:lineRule="auto"/>
        <w:jc w:val="center"/>
        <w:rPr>
          <w:color w:val="000000" w:themeColor="text1"/>
        </w:rPr>
      </w:pPr>
      <w:r>
        <w:rPr>
          <w:noProof/>
          <w:color w:val="000000" w:themeColor="text1"/>
          <w14:ligatures w14:val="standardContextual"/>
        </w:rPr>
        <w:lastRenderedPageBreak/>
        <w:drawing>
          <wp:inline distT="0" distB="0" distL="0" distR="0" wp14:anchorId="213E6F7D" wp14:editId="5B884180">
            <wp:extent cx="8551010" cy="5029200"/>
            <wp:effectExtent l="0" t="4445" r="4445" b="4445"/>
            <wp:docPr id="1150544840" name="Picture 6"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544840" name="Picture 6" descr="A screenshot of a graph&#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8551010" cy="5029200"/>
                    </a:xfrm>
                    <a:prstGeom prst="rect">
                      <a:avLst/>
                    </a:prstGeom>
                  </pic:spPr>
                </pic:pic>
              </a:graphicData>
            </a:graphic>
          </wp:inline>
        </w:drawing>
      </w:r>
    </w:p>
    <w:p w14:paraId="124AC971" w14:textId="77BE8CEE" w:rsidR="000E4C0F" w:rsidRPr="000E4C0F" w:rsidRDefault="000E4C0F" w:rsidP="00D9045A">
      <w:pPr>
        <w:jc w:val="both"/>
        <w:rPr>
          <w:color w:val="000000" w:themeColor="text1"/>
        </w:rPr>
      </w:pPr>
      <w:r w:rsidRPr="000E4C0F">
        <w:rPr>
          <w:color w:val="000000" w:themeColor="text1"/>
        </w:rPr>
        <w:lastRenderedPageBreak/>
        <w:t>Figure A.3: Total organic carbon (</w:t>
      </w:r>
      <w:r w:rsidR="008253C0">
        <w:rPr>
          <w:color w:val="000000" w:themeColor="text1"/>
        </w:rPr>
        <w:t xml:space="preserve">g kg </w:t>
      </w:r>
      <w:r w:rsidR="008253C0">
        <w:rPr>
          <w:color w:val="000000" w:themeColor="text1"/>
          <w:vertAlign w:val="superscript"/>
        </w:rPr>
        <w:t>-1</w:t>
      </w:r>
      <w:r w:rsidRPr="000E4C0F">
        <w:rPr>
          <w:color w:val="000000" w:themeColor="text1"/>
        </w:rPr>
        <w:t xml:space="preserve">) based on winter cover treatments at the a) 0-5 cm depth, b) 5-10 cm depth, and c) 10-30 cm depth (n = 16). Columns represent the mean of each winter cover treatment, error bars represent the standard deviation, and different letters represent significantly different means between treatments for a given year (p </w:t>
      </w:r>
      <w:r w:rsidRPr="000E4C0F">
        <w:rPr>
          <w:color w:val="000000" w:themeColor="text1"/>
        </w:rPr>
        <w:sym w:font="Symbol" w:char="F0A3"/>
      </w:r>
      <w:r w:rsidRPr="000E4C0F">
        <w:rPr>
          <w:color w:val="000000" w:themeColor="text1"/>
        </w:rPr>
        <w:t xml:space="preserve"> 0.05).</w:t>
      </w:r>
    </w:p>
    <w:p w14:paraId="5A1EBDDB" w14:textId="77777777" w:rsidR="000E4C0F" w:rsidRPr="000E4C0F" w:rsidRDefault="000E4C0F" w:rsidP="000E4C0F">
      <w:pPr>
        <w:spacing w:line="480" w:lineRule="auto"/>
        <w:rPr>
          <w:color w:val="000000" w:themeColor="text1"/>
        </w:rPr>
      </w:pPr>
    </w:p>
    <w:p w14:paraId="6866512C" w14:textId="77777777" w:rsidR="000E4C0F" w:rsidRPr="000E4C0F" w:rsidRDefault="000E4C0F" w:rsidP="000E4C0F">
      <w:pPr>
        <w:spacing w:line="480" w:lineRule="auto"/>
        <w:jc w:val="center"/>
        <w:rPr>
          <w:color w:val="000000" w:themeColor="text1"/>
        </w:rPr>
      </w:pPr>
      <w:r w:rsidRPr="000E4C0F">
        <w:rPr>
          <w:noProof/>
          <w:color w:val="000000" w:themeColor="text1"/>
        </w:rPr>
        <w:drawing>
          <wp:inline distT="0" distB="0" distL="0" distR="0" wp14:anchorId="20E2C63C" wp14:editId="36DBA3B2">
            <wp:extent cx="4572000" cy="2612571"/>
            <wp:effectExtent l="0" t="0" r="0" b="3810"/>
            <wp:docPr id="461287991" name="Picture 461287991" descr="A picture containing diagram, screenshot, plot,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287991" name="Picture 461287991" descr="A picture containing diagram, screenshot, plot, text&#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572000" cy="2612571"/>
                    </a:xfrm>
                    <a:prstGeom prst="rect">
                      <a:avLst/>
                    </a:prstGeom>
                  </pic:spPr>
                </pic:pic>
              </a:graphicData>
            </a:graphic>
          </wp:inline>
        </w:drawing>
      </w:r>
    </w:p>
    <w:p w14:paraId="3845044A" w14:textId="77777777" w:rsidR="000E4C0F" w:rsidRPr="000E4C0F" w:rsidRDefault="000E4C0F" w:rsidP="00D9045A">
      <w:pPr>
        <w:adjustRightInd w:val="0"/>
        <w:snapToGrid w:val="0"/>
        <w:rPr>
          <w:color w:val="000000" w:themeColor="text1"/>
        </w:rPr>
      </w:pPr>
      <w:r w:rsidRPr="000E4C0F">
        <w:rPr>
          <w:color w:val="000000" w:themeColor="text1"/>
        </w:rPr>
        <w:t xml:space="preserve">Figure A.4: Change in total organic carbon (%) based on tillage treatments at the 0-5 cm, 5-10 cm, and 10-30 cm depths (n = 12). Columns represent the mean of each winter cover treatment, error bars represent the standard deviation, and different letters represent significantly different means between treatments for a given year (p </w:t>
      </w:r>
      <w:r w:rsidRPr="000E4C0F">
        <w:rPr>
          <w:color w:val="000000" w:themeColor="text1"/>
        </w:rPr>
        <w:sym w:font="Symbol" w:char="F0A3"/>
      </w:r>
      <w:r w:rsidRPr="000E4C0F">
        <w:rPr>
          <w:color w:val="000000" w:themeColor="text1"/>
        </w:rPr>
        <w:t xml:space="preserve"> 0.05).</w:t>
      </w:r>
    </w:p>
    <w:p w14:paraId="4AC255A9" w14:textId="77777777" w:rsidR="000E4C0F" w:rsidRPr="000E4C0F" w:rsidRDefault="000E4C0F" w:rsidP="000E4C0F">
      <w:pPr>
        <w:adjustRightInd w:val="0"/>
        <w:snapToGrid w:val="0"/>
        <w:spacing w:line="480" w:lineRule="auto"/>
        <w:rPr>
          <w:color w:val="000000" w:themeColor="text1"/>
        </w:rPr>
      </w:pPr>
    </w:p>
    <w:p w14:paraId="1C5D18E0" w14:textId="77777777" w:rsidR="000E4C0F" w:rsidRPr="000E4C0F" w:rsidRDefault="000E4C0F" w:rsidP="000E4C0F">
      <w:pPr>
        <w:adjustRightInd w:val="0"/>
        <w:snapToGrid w:val="0"/>
        <w:spacing w:line="480" w:lineRule="auto"/>
        <w:ind w:firstLine="720"/>
        <w:rPr>
          <w:color w:val="000000" w:themeColor="text1"/>
        </w:rPr>
      </w:pPr>
      <w:r w:rsidRPr="000E4C0F">
        <w:rPr>
          <w:noProof/>
          <w:color w:val="000000" w:themeColor="text1"/>
        </w:rPr>
        <w:drawing>
          <wp:inline distT="0" distB="0" distL="0" distR="0" wp14:anchorId="2323AA79" wp14:editId="2A4FB063">
            <wp:extent cx="4765197" cy="2985701"/>
            <wp:effectExtent l="0" t="0" r="0" b="0"/>
            <wp:docPr id="1481415038" name="Picture 1481415038" descr="A group of graphs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415038" name="Picture 1481415038" descr="A group of graphs with numbers and text&#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4765197" cy="2985701"/>
                    </a:xfrm>
                    <a:prstGeom prst="rect">
                      <a:avLst/>
                    </a:prstGeom>
                  </pic:spPr>
                </pic:pic>
              </a:graphicData>
            </a:graphic>
          </wp:inline>
        </w:drawing>
      </w:r>
    </w:p>
    <w:p w14:paraId="3A90131B" w14:textId="77777777" w:rsidR="000E4C0F" w:rsidRPr="000E4C0F" w:rsidRDefault="000E4C0F" w:rsidP="000E4C0F">
      <w:r w:rsidRPr="000E4C0F">
        <w:rPr>
          <w:color w:val="000000" w:themeColor="text1"/>
        </w:rPr>
        <w:lastRenderedPageBreak/>
        <w:t>Figure A.5: Summer cash crop yield (</w:t>
      </w:r>
      <w:r w:rsidR="00F0119A" w:rsidRPr="000E4C0F">
        <w:rPr>
          <w:bCs/>
          <w:color w:val="000000" w:themeColor="text1"/>
        </w:rPr>
        <w:t>kg</w:t>
      </w:r>
      <w:r w:rsidR="00F0119A">
        <w:rPr>
          <w:bCs/>
          <w:color w:val="000000" w:themeColor="text1"/>
        </w:rPr>
        <w:t xml:space="preserve"> </w:t>
      </w:r>
      <w:r w:rsidR="00F0119A" w:rsidRPr="000E4C0F">
        <w:rPr>
          <w:bCs/>
          <w:color w:val="000000" w:themeColor="text1"/>
        </w:rPr>
        <w:t>ha</w:t>
      </w:r>
      <w:r w:rsidR="00F0119A">
        <w:rPr>
          <w:bCs/>
          <w:color w:val="000000" w:themeColor="text1"/>
          <w:vertAlign w:val="superscript"/>
        </w:rPr>
        <w:t>-1</w:t>
      </w:r>
      <w:r w:rsidRPr="000E4C0F">
        <w:rPr>
          <w:color w:val="000000" w:themeColor="text1"/>
        </w:rPr>
        <w:t>) from 2017-2022 (n = 4), excluding 2020 due to pandemic-related research restrictions. Columns represent means and error bars represent standard deviatio</w:t>
      </w:r>
      <w:r w:rsidR="008253C0">
        <w:rPr>
          <w:color w:val="000000" w:themeColor="text1"/>
        </w:rPr>
        <w:t xml:space="preserve">n. </w:t>
      </w:r>
    </w:p>
    <w:sectPr w:rsidR="000E4C0F" w:rsidRPr="000E4C0F" w:rsidSect="000E4C0F">
      <w:pgSz w:w="12240" w:h="15840"/>
      <w:pgMar w:top="1440" w:right="1440" w:bottom="1440" w:left="1440" w:header="720" w:footer="720" w:gutter="0"/>
      <w:lnNumType w:countBy="1" w:restart="continuou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AA4EFE"/>
    <w:multiLevelType w:val="hybridMultilevel"/>
    <w:tmpl w:val="372E6F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63E6FA7"/>
    <w:multiLevelType w:val="hybridMultilevel"/>
    <w:tmpl w:val="860CF7F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14309138">
    <w:abstractNumId w:val="0"/>
  </w:num>
  <w:num w:numId="2" w16cid:durableId="15800963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4C0F"/>
    <w:rsid w:val="000541AA"/>
    <w:rsid w:val="00086573"/>
    <w:rsid w:val="000A3604"/>
    <w:rsid w:val="000B2D1E"/>
    <w:rsid w:val="000E4C0F"/>
    <w:rsid w:val="00100443"/>
    <w:rsid w:val="001052E4"/>
    <w:rsid w:val="0011325B"/>
    <w:rsid w:val="001710A2"/>
    <w:rsid w:val="001909A5"/>
    <w:rsid w:val="001A1CD1"/>
    <w:rsid w:val="002130EC"/>
    <w:rsid w:val="00222589"/>
    <w:rsid w:val="00237099"/>
    <w:rsid w:val="00281CAC"/>
    <w:rsid w:val="00325BC7"/>
    <w:rsid w:val="00335B88"/>
    <w:rsid w:val="00381219"/>
    <w:rsid w:val="003A05E4"/>
    <w:rsid w:val="003A6536"/>
    <w:rsid w:val="004310DF"/>
    <w:rsid w:val="004856D1"/>
    <w:rsid w:val="004A73AD"/>
    <w:rsid w:val="004B7EFE"/>
    <w:rsid w:val="004F47E6"/>
    <w:rsid w:val="004F66F0"/>
    <w:rsid w:val="00535FE2"/>
    <w:rsid w:val="0056573E"/>
    <w:rsid w:val="0057613F"/>
    <w:rsid w:val="005E00E4"/>
    <w:rsid w:val="005F1914"/>
    <w:rsid w:val="00614404"/>
    <w:rsid w:val="006B5049"/>
    <w:rsid w:val="006C40DE"/>
    <w:rsid w:val="006D3773"/>
    <w:rsid w:val="00731DF1"/>
    <w:rsid w:val="007643CB"/>
    <w:rsid w:val="007A3644"/>
    <w:rsid w:val="007B3902"/>
    <w:rsid w:val="007C115D"/>
    <w:rsid w:val="008253C0"/>
    <w:rsid w:val="008401F1"/>
    <w:rsid w:val="00894FA2"/>
    <w:rsid w:val="008B29B9"/>
    <w:rsid w:val="008C2474"/>
    <w:rsid w:val="008F0EB5"/>
    <w:rsid w:val="009D5382"/>
    <w:rsid w:val="00A253DA"/>
    <w:rsid w:val="00A54014"/>
    <w:rsid w:val="00A61F3B"/>
    <w:rsid w:val="00A830B2"/>
    <w:rsid w:val="00AB6D4C"/>
    <w:rsid w:val="00AD4EE8"/>
    <w:rsid w:val="00AE4335"/>
    <w:rsid w:val="00B704A7"/>
    <w:rsid w:val="00B71CF3"/>
    <w:rsid w:val="00B74DF5"/>
    <w:rsid w:val="00C178DE"/>
    <w:rsid w:val="00C30A9A"/>
    <w:rsid w:val="00C546F7"/>
    <w:rsid w:val="00C7078F"/>
    <w:rsid w:val="00CA1DD0"/>
    <w:rsid w:val="00CC7B8F"/>
    <w:rsid w:val="00D52A38"/>
    <w:rsid w:val="00D723B6"/>
    <w:rsid w:val="00D9045A"/>
    <w:rsid w:val="00DD4CAC"/>
    <w:rsid w:val="00DE2A07"/>
    <w:rsid w:val="00E02788"/>
    <w:rsid w:val="00E15038"/>
    <w:rsid w:val="00E43346"/>
    <w:rsid w:val="00EA01E6"/>
    <w:rsid w:val="00F0119A"/>
    <w:rsid w:val="00F10303"/>
    <w:rsid w:val="00F50D81"/>
    <w:rsid w:val="00FA24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B3C4B"/>
  <w15:chartTrackingRefBased/>
  <w15:docId w15:val="{7CAC452E-DFB5-4242-93E8-752A34DB3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4C0F"/>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0E4C0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0E4C0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0E4C0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E4C0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E4C0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E4C0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4C0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4C0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4C0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4C0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0E4C0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0E4C0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E4C0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E4C0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E4C0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4C0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4C0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4C0F"/>
    <w:rPr>
      <w:rFonts w:eastAsiaTheme="majorEastAsia" w:cstheme="majorBidi"/>
      <w:color w:val="272727" w:themeColor="text1" w:themeTint="D8"/>
    </w:rPr>
  </w:style>
  <w:style w:type="paragraph" w:styleId="Title">
    <w:name w:val="Title"/>
    <w:basedOn w:val="Normal"/>
    <w:next w:val="Normal"/>
    <w:link w:val="TitleChar"/>
    <w:uiPriority w:val="10"/>
    <w:qFormat/>
    <w:rsid w:val="000E4C0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4C0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4C0F"/>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4C0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4C0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4C0F"/>
    <w:rPr>
      <w:i/>
      <w:iCs/>
      <w:color w:val="404040" w:themeColor="text1" w:themeTint="BF"/>
    </w:rPr>
  </w:style>
  <w:style w:type="paragraph" w:styleId="ListParagraph">
    <w:name w:val="List Paragraph"/>
    <w:basedOn w:val="Normal"/>
    <w:uiPriority w:val="34"/>
    <w:qFormat/>
    <w:rsid w:val="000E4C0F"/>
    <w:pPr>
      <w:ind w:left="720"/>
      <w:contextualSpacing/>
    </w:pPr>
  </w:style>
  <w:style w:type="character" w:styleId="IntenseEmphasis">
    <w:name w:val="Intense Emphasis"/>
    <w:basedOn w:val="DefaultParagraphFont"/>
    <w:uiPriority w:val="21"/>
    <w:qFormat/>
    <w:rsid w:val="000E4C0F"/>
    <w:rPr>
      <w:i/>
      <w:iCs/>
      <w:color w:val="2F5496" w:themeColor="accent1" w:themeShade="BF"/>
    </w:rPr>
  </w:style>
  <w:style w:type="paragraph" w:styleId="IntenseQuote">
    <w:name w:val="Intense Quote"/>
    <w:basedOn w:val="Normal"/>
    <w:next w:val="Normal"/>
    <w:link w:val="IntenseQuoteChar"/>
    <w:uiPriority w:val="30"/>
    <w:qFormat/>
    <w:rsid w:val="000E4C0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E4C0F"/>
    <w:rPr>
      <w:i/>
      <w:iCs/>
      <w:color w:val="2F5496" w:themeColor="accent1" w:themeShade="BF"/>
    </w:rPr>
  </w:style>
  <w:style w:type="character" w:styleId="IntenseReference">
    <w:name w:val="Intense Reference"/>
    <w:basedOn w:val="DefaultParagraphFont"/>
    <w:uiPriority w:val="32"/>
    <w:qFormat/>
    <w:rsid w:val="000E4C0F"/>
    <w:rPr>
      <w:b/>
      <w:bCs/>
      <w:smallCaps/>
      <w:color w:val="2F5496" w:themeColor="accent1" w:themeShade="BF"/>
      <w:spacing w:val="5"/>
    </w:rPr>
  </w:style>
  <w:style w:type="paragraph" w:styleId="Bibliography">
    <w:name w:val="Bibliography"/>
    <w:basedOn w:val="Normal"/>
    <w:next w:val="Normal"/>
    <w:uiPriority w:val="37"/>
    <w:unhideWhenUsed/>
    <w:rsid w:val="000E4C0F"/>
    <w:pPr>
      <w:spacing w:line="480" w:lineRule="auto"/>
      <w:ind w:left="720" w:hanging="720"/>
    </w:pPr>
  </w:style>
  <w:style w:type="character" w:styleId="CommentReference">
    <w:name w:val="annotation reference"/>
    <w:basedOn w:val="DefaultParagraphFont"/>
    <w:uiPriority w:val="99"/>
    <w:semiHidden/>
    <w:unhideWhenUsed/>
    <w:rsid w:val="000E4C0F"/>
    <w:rPr>
      <w:sz w:val="16"/>
      <w:szCs w:val="16"/>
    </w:rPr>
  </w:style>
  <w:style w:type="paragraph" w:styleId="CommentText">
    <w:name w:val="annotation text"/>
    <w:basedOn w:val="Normal"/>
    <w:link w:val="CommentTextChar"/>
    <w:uiPriority w:val="99"/>
    <w:semiHidden/>
    <w:unhideWhenUsed/>
    <w:rsid w:val="000E4C0F"/>
    <w:rPr>
      <w:rFonts w:eastAsiaTheme="minorHAnsi"/>
      <w:sz w:val="20"/>
      <w:szCs w:val="20"/>
    </w:rPr>
  </w:style>
  <w:style w:type="character" w:customStyle="1" w:styleId="CommentTextChar">
    <w:name w:val="Comment Text Char"/>
    <w:basedOn w:val="DefaultParagraphFont"/>
    <w:link w:val="CommentText"/>
    <w:uiPriority w:val="99"/>
    <w:semiHidden/>
    <w:rsid w:val="000E4C0F"/>
    <w:rPr>
      <w:rFonts w:ascii="Times New Roman" w:hAnsi="Times New Roman" w:cs="Times New Roman"/>
      <w:kern w:val="0"/>
      <w:sz w:val="20"/>
      <w:szCs w:val="20"/>
      <w14:ligatures w14:val="none"/>
    </w:rPr>
  </w:style>
  <w:style w:type="character" w:styleId="Hyperlink">
    <w:name w:val="Hyperlink"/>
    <w:basedOn w:val="DefaultParagraphFont"/>
    <w:uiPriority w:val="99"/>
    <w:unhideWhenUsed/>
    <w:rsid w:val="000E4C0F"/>
    <w:rPr>
      <w:color w:val="0000FF"/>
      <w:u w:val="single"/>
    </w:rPr>
  </w:style>
  <w:style w:type="character" w:styleId="LineNumber">
    <w:name w:val="line number"/>
    <w:basedOn w:val="DefaultParagraphFont"/>
    <w:uiPriority w:val="99"/>
    <w:semiHidden/>
    <w:unhideWhenUsed/>
    <w:rsid w:val="000E4C0F"/>
  </w:style>
  <w:style w:type="character" w:customStyle="1" w:styleId="apple-converted-space">
    <w:name w:val="apple-converted-space"/>
    <w:basedOn w:val="DefaultParagraphFont"/>
    <w:rsid w:val="000E4C0F"/>
  </w:style>
  <w:style w:type="table" w:styleId="TableGrid">
    <w:name w:val="Table Grid"/>
    <w:basedOn w:val="TableNormal"/>
    <w:uiPriority w:val="39"/>
    <w:rsid w:val="000E4C0F"/>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0E4C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0E4C0F"/>
    <w:rPr>
      <w:rFonts w:ascii="Courier New" w:eastAsia="Times New Roman" w:hAnsi="Courier New" w:cs="Courier New"/>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E4C0F"/>
    <w:rPr>
      <w:rFonts w:eastAsia="Times New Roman"/>
      <w:b/>
      <w:bCs/>
    </w:rPr>
  </w:style>
  <w:style w:type="character" w:customStyle="1" w:styleId="CommentSubjectChar">
    <w:name w:val="Comment Subject Char"/>
    <w:basedOn w:val="CommentTextChar"/>
    <w:link w:val="CommentSubject"/>
    <w:uiPriority w:val="99"/>
    <w:semiHidden/>
    <w:rsid w:val="000E4C0F"/>
    <w:rPr>
      <w:rFonts w:ascii="Times New Roman" w:eastAsia="Times New Roman" w:hAnsi="Times New Roman" w:cs="Times New Roman"/>
      <w:b/>
      <w:bCs/>
      <w:kern w:val="0"/>
      <w:sz w:val="20"/>
      <w:szCs w:val="20"/>
      <w14:ligatures w14:val="none"/>
    </w:rPr>
  </w:style>
  <w:style w:type="paragraph" w:styleId="BalloonText">
    <w:name w:val="Balloon Text"/>
    <w:basedOn w:val="Normal"/>
    <w:link w:val="BalloonTextChar"/>
    <w:uiPriority w:val="99"/>
    <w:semiHidden/>
    <w:unhideWhenUsed/>
    <w:rsid w:val="000E4C0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4C0F"/>
    <w:rPr>
      <w:rFonts w:ascii="Segoe UI" w:eastAsia="Times New Roman" w:hAnsi="Segoe UI" w:cs="Segoe UI"/>
      <w:kern w:val="0"/>
      <w:sz w:val="18"/>
      <w:szCs w:val="18"/>
      <w14:ligatures w14:val="none"/>
    </w:rPr>
  </w:style>
  <w:style w:type="paragraph" w:styleId="Revision">
    <w:name w:val="Revision"/>
    <w:hidden/>
    <w:uiPriority w:val="99"/>
    <w:semiHidden/>
    <w:rsid w:val="000E4C0F"/>
    <w:rPr>
      <w:rFonts w:ascii="Times New Roman" w:eastAsia="Times New Roman" w:hAnsi="Times New Roman" w:cs="Times New Roman"/>
      <w:kern w:val="0"/>
      <w14:ligatures w14:val="none"/>
    </w:rPr>
  </w:style>
  <w:style w:type="paragraph" w:styleId="Header">
    <w:name w:val="header"/>
    <w:basedOn w:val="Normal"/>
    <w:link w:val="HeaderChar"/>
    <w:uiPriority w:val="99"/>
    <w:unhideWhenUsed/>
    <w:rsid w:val="000E4C0F"/>
    <w:pPr>
      <w:tabs>
        <w:tab w:val="center" w:pos="4680"/>
        <w:tab w:val="right" w:pos="9360"/>
      </w:tabs>
    </w:pPr>
  </w:style>
  <w:style w:type="character" w:customStyle="1" w:styleId="HeaderChar">
    <w:name w:val="Header Char"/>
    <w:basedOn w:val="DefaultParagraphFont"/>
    <w:link w:val="Header"/>
    <w:uiPriority w:val="99"/>
    <w:rsid w:val="000E4C0F"/>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0E4C0F"/>
    <w:pPr>
      <w:tabs>
        <w:tab w:val="center" w:pos="4680"/>
        <w:tab w:val="right" w:pos="9360"/>
      </w:tabs>
    </w:pPr>
  </w:style>
  <w:style w:type="character" w:customStyle="1" w:styleId="FooterChar">
    <w:name w:val="Footer Char"/>
    <w:basedOn w:val="DefaultParagraphFont"/>
    <w:link w:val="Footer"/>
    <w:uiPriority w:val="99"/>
    <w:rsid w:val="000E4C0F"/>
    <w:rPr>
      <w:rFonts w:ascii="Times New Roman" w:eastAsia="Times New Roman" w:hAnsi="Times New Roman" w:cs="Times New Roman"/>
      <w:kern w:val="0"/>
      <w14:ligatures w14:val="none"/>
    </w:rPr>
  </w:style>
  <w:style w:type="character" w:styleId="UnresolvedMention">
    <w:name w:val="Unresolved Mention"/>
    <w:basedOn w:val="DefaultParagraphFont"/>
    <w:uiPriority w:val="99"/>
    <w:semiHidden/>
    <w:unhideWhenUsed/>
    <w:rsid w:val="000E4C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7998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hyperlink" Target="mailto:sophn96@vt.edu" TargetMode="Externa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39</Pages>
  <Words>16754</Words>
  <Characters>95499</Characters>
  <Application>Microsoft Office Word</Application>
  <DocSecurity>0</DocSecurity>
  <Lines>795</Lines>
  <Paragraphs>224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Nicholakos, Sophie</dc:creator>
  <cp:keywords/>
  <dc:description/>
  <cp:lastModifiedBy>Stewart, Ryan</cp:lastModifiedBy>
  <cp:revision>2</cp:revision>
  <dcterms:created xsi:type="dcterms:W3CDTF">2025-01-16T15:51:00Z</dcterms:created>
  <dcterms:modified xsi:type="dcterms:W3CDTF">2025-01-16T15:51:00Z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id="u9x6lyUy"/&gt;&lt;style id="http://www.zotero.org/styles/apa" locale="en-US" hasBibliography="1" bibliographyStyleHasBeenSet="1"/&gt;&lt;prefs&gt;&lt;pref name="fieldType" value="Field"/&gt;&lt;/prefs&gt;&lt;/data&gt;</vt:lpwstr>
  </property>
</Properties>
</file>