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615D31" w14:textId="07AB5AE5" w:rsidR="00350D27" w:rsidRDefault="00350D27" w:rsidP="00350D27">
      <w:pPr>
        <w:pStyle w:val="MStitle"/>
      </w:pPr>
      <w:bookmarkStart w:id="0" w:name="_Hlk125466652"/>
      <w:r>
        <w:t xml:space="preserve">Portable, low-cost samplers for distributed sampling of atmospheric gases </w:t>
      </w:r>
    </w:p>
    <w:bookmarkEnd w:id="0"/>
    <w:p w14:paraId="5D336A09" w14:textId="0999A91F" w:rsidR="00350D27" w:rsidRPr="001B2CDC" w:rsidRDefault="00350D27" w:rsidP="00350D27">
      <w:pPr>
        <w:pStyle w:val="Authors"/>
      </w:pPr>
      <w:r w:rsidRPr="001B2CDC">
        <w:t>James F. Hurley</w:t>
      </w:r>
      <w:r w:rsidRPr="001B2CDC">
        <w:rPr>
          <w:vertAlign w:val="superscript"/>
        </w:rPr>
        <w:t>1</w:t>
      </w:r>
      <w:r w:rsidRPr="001B2CDC">
        <w:t>, Alejandra Caceres</w:t>
      </w:r>
      <w:r>
        <w:rPr>
          <w:vertAlign w:val="superscript"/>
        </w:rPr>
        <w:t>2</w:t>
      </w:r>
      <w:r w:rsidRPr="001B2CDC">
        <w:t xml:space="preserve">, Deborah F. </w:t>
      </w:r>
      <w:r w:rsidRPr="00BF298E">
        <w:t>McGlynn</w:t>
      </w:r>
      <w:r w:rsidRPr="00BF298E">
        <w:rPr>
          <w:vertAlign w:val="superscript"/>
        </w:rPr>
        <w:t>1</w:t>
      </w:r>
      <w:r>
        <w:t>,</w:t>
      </w:r>
      <w:r w:rsidRPr="00C3524D">
        <w:t xml:space="preserve"> </w:t>
      </w:r>
      <w:r>
        <w:t>Mary E. Tovillo</w:t>
      </w:r>
      <w:r>
        <w:rPr>
          <w:vertAlign w:val="superscript"/>
        </w:rPr>
        <w:t>1</w:t>
      </w:r>
      <w:r>
        <w:t xml:space="preserve">, </w:t>
      </w:r>
      <w:r w:rsidRPr="001B2CDC">
        <w:t>Suzanne Pinar</w:t>
      </w:r>
      <w:r>
        <w:rPr>
          <w:vertAlign w:val="superscript"/>
        </w:rPr>
        <w:t>3</w:t>
      </w:r>
      <w:r w:rsidRPr="001B2CDC">
        <w:t>,</w:t>
      </w:r>
      <w:r>
        <w:t xml:space="preserve"> </w:t>
      </w:r>
      <w:r w:rsidRPr="00BF298E">
        <w:t>Roger</w:t>
      </w:r>
      <w:r w:rsidRPr="001B2CDC">
        <w:t xml:space="preserve"> Schürch</w:t>
      </w:r>
      <w:r>
        <w:rPr>
          <w:vertAlign w:val="superscript"/>
        </w:rPr>
        <w:t>3</w:t>
      </w:r>
      <w:r w:rsidRPr="001B2CDC">
        <w:t>, Ksenia Onufrieva</w:t>
      </w:r>
      <w:r>
        <w:rPr>
          <w:vertAlign w:val="superscript"/>
        </w:rPr>
        <w:t>3,4</w:t>
      </w:r>
      <w:r w:rsidRPr="001B2CDC">
        <w:t>, Gabriel Isaacman-VanWertz</w:t>
      </w:r>
      <w:r w:rsidRPr="001B2CDC">
        <w:rPr>
          <w:vertAlign w:val="superscript"/>
        </w:rPr>
        <w:t>1</w:t>
      </w:r>
      <w:r w:rsidRPr="001B2CDC">
        <w:t xml:space="preserve"> </w:t>
      </w:r>
    </w:p>
    <w:p w14:paraId="538659D3" w14:textId="1877D2A2" w:rsidR="00B4015F" w:rsidRPr="00350D27" w:rsidRDefault="00B4015F" w:rsidP="00450DB9">
      <w:pPr>
        <w:pStyle w:val="Authors"/>
      </w:pPr>
    </w:p>
    <w:p w14:paraId="587391D8" w14:textId="77777777" w:rsidR="0054790A" w:rsidRDefault="0054790A" w:rsidP="0054790A">
      <w:pPr>
        <w:pStyle w:val="Affiliation"/>
      </w:pPr>
      <w:r w:rsidRPr="000A1B66">
        <w:rPr>
          <w:vertAlign w:val="superscript"/>
        </w:rPr>
        <w:t>1</w:t>
      </w:r>
      <w:r>
        <w:t>The Charles E. Via, Jr. Department of Civil and Environmental Engineering, Virginia Tech, Blacksburg, VA 24061, USA</w:t>
      </w:r>
    </w:p>
    <w:p w14:paraId="64AEE1B6" w14:textId="77777777" w:rsidR="0054790A" w:rsidRPr="00E96473" w:rsidRDefault="0054790A" w:rsidP="0054790A">
      <w:pPr>
        <w:pStyle w:val="Affiliation"/>
      </w:pPr>
      <w:r>
        <w:rPr>
          <w:vertAlign w:val="superscript"/>
        </w:rPr>
        <w:t>2</w:t>
      </w:r>
      <w:r>
        <w:t>Bradley Department of Electrical and Computer Engineering, Virginia Tech, Blacksburg, VA 24061, USA</w:t>
      </w:r>
    </w:p>
    <w:p w14:paraId="2415DF95" w14:textId="77777777" w:rsidR="0054790A" w:rsidRDefault="0054790A" w:rsidP="0054790A">
      <w:pPr>
        <w:pStyle w:val="Affiliation"/>
      </w:pPr>
      <w:r>
        <w:rPr>
          <w:vertAlign w:val="superscript"/>
        </w:rPr>
        <w:t>3</w:t>
      </w:r>
      <w:r>
        <w:t>Department of Entomology, Virginia Tech, Blacksburg, VA 24061, USA</w:t>
      </w:r>
    </w:p>
    <w:p w14:paraId="3DBE5E2A" w14:textId="7CB3AE4D" w:rsidR="000A1B66" w:rsidRDefault="0054790A" w:rsidP="00450DB9">
      <w:pPr>
        <w:pStyle w:val="Affiliation"/>
      </w:pPr>
      <w:r w:rsidRPr="005D0924">
        <w:rPr>
          <w:vertAlign w:val="superscript"/>
        </w:rPr>
        <w:t>4</w:t>
      </w:r>
      <w:r w:rsidRPr="005D0924">
        <w:rPr>
          <w:lang w:val="en-US"/>
        </w:rPr>
        <w:t>Center for Advanced Innovation in Agriculture</w:t>
      </w:r>
      <w:r>
        <w:rPr>
          <w:lang w:val="en-US"/>
        </w:rPr>
        <w:t>, Virginia Tech, Blacksburg, VA 24061, USA</w:t>
      </w:r>
    </w:p>
    <w:p w14:paraId="4B2F3FC8" w14:textId="011983D6" w:rsidR="000A1B66" w:rsidRDefault="000A1B66" w:rsidP="008E213F">
      <w:pPr>
        <w:pStyle w:val="Correspondence"/>
      </w:pPr>
      <w:r w:rsidRPr="000A1B66">
        <w:rPr>
          <w:i/>
        </w:rPr>
        <w:t>Correspondence to</w:t>
      </w:r>
      <w:r>
        <w:t xml:space="preserve">: </w:t>
      </w:r>
      <w:r w:rsidR="0054790A">
        <w:t>Gabriel Isaacman-</w:t>
      </w:r>
      <w:proofErr w:type="spellStart"/>
      <w:r w:rsidR="0054790A">
        <w:t>VanWertz</w:t>
      </w:r>
      <w:proofErr w:type="spellEnd"/>
      <w:r w:rsidR="0054790A">
        <w:t xml:space="preserve"> (ivw@vt.edu)</w:t>
      </w:r>
    </w:p>
    <w:p w14:paraId="6EAEC348" w14:textId="2FD2E27E" w:rsidR="00C82F79" w:rsidRDefault="000A1B66" w:rsidP="00B4015F">
      <w:r w:rsidRPr="000A1B66">
        <w:rPr>
          <w:b/>
        </w:rPr>
        <w:t>Abstract.</w:t>
      </w:r>
      <w:r>
        <w:t xml:space="preserve"> </w:t>
      </w:r>
      <w:r w:rsidR="00FC7FA7">
        <w:t xml:space="preserve">Volatile organic compounds (VOCs) contribute to air pollution both directly, as hazardous gases, and through their reactions with common atmospheric oxidants to produce ozone, particulate matter, and other hazardous air pollutants.  There are enormous ranges of structures and reaction rates among VOCs, and consequently a need to accurately characterize the spatial and temporal distribution of individual identified compounds. Current VOC measurements are often made with complex, expensive instrumentation that provides high chemical detail, but is limited in its portability and requires high expense (e.g., mobile labs) for spatially resolved measurements. Alternatively, periodic collection of samples on cartridges is inexpensive but demands significant operator interaction that can limit possibilities for time-resolved measurements or distributed measurements across a spatial area. Thus, there is a need for simple, portable devices that can sample with limited operator presence to enable temporally and/or spatially resolved measurements. In this work, we describe new portable and programmable VOC samplers that enable simultaneous collection of samples across a spatially distributed network, validate their reproducibility, and demonstrate their utility. Validation experiments confirmed high precision between samplers as well as the ability of miniature ozone scrubbers to preserve reactive analytes collected on commercially available adsorbent gas sampling cartridges, supporting simultaneous field deployment across multiple locations. In indoor environments, 24-hour integrated samples demonstrate observable day-to-day variability, as well as variability across very short spatial scales (meters). The utility of the samplers was further demonstrated by locating outdoor point sources of analytes through the development of a new mapping approach that employs a group of the portable samplers and back projection techniques to assess a sampling area with higher resolution than stationary sampling. As with all gas sampling, the limits of detection depend on sampling times and the properties of sorbent and analyte. Limit of detection of the analytical system used in this work is on the order of nanograms, corresponding to mixing ratios of 1-10 </w:t>
      </w:r>
      <w:proofErr w:type="spellStart"/>
      <w:r w:rsidR="00FC7FA7">
        <w:t>pptv</w:t>
      </w:r>
      <w:proofErr w:type="spellEnd"/>
      <w:r w:rsidR="00FC7FA7">
        <w:t xml:space="preserve"> after one hour of sampling at the programmable flow rate of 50-250 </w:t>
      </w:r>
      <w:proofErr w:type="spellStart"/>
      <w:r w:rsidR="00FC7FA7">
        <w:t>sccm</w:t>
      </w:r>
      <w:proofErr w:type="spellEnd"/>
      <w:r w:rsidR="00FC7FA7">
        <w:t xml:space="preserve"> enabled by the developed system. The portable VOC samplers described and validated here provide a simple, low-cost sampling solution for spatially and/or temporally variable measurements of any organic gases that are collectable on currently available sampling media.</w:t>
      </w:r>
    </w:p>
    <w:p w14:paraId="41868303" w14:textId="5799273D" w:rsidR="00C82F79" w:rsidRDefault="00C82F79" w:rsidP="00C82F79">
      <w:pPr>
        <w:pStyle w:val="Heading1"/>
      </w:pPr>
      <w:r>
        <w:lastRenderedPageBreak/>
        <w:t xml:space="preserve">1 </w:t>
      </w:r>
      <w:r w:rsidR="00957093">
        <w:t>Introduction</w:t>
      </w:r>
    </w:p>
    <w:p w14:paraId="4BDDB871" w14:textId="46237CE6" w:rsidR="00957093" w:rsidRDefault="00957093" w:rsidP="00957093">
      <w:r w:rsidRPr="0026362D">
        <w:t>Volatile organic compounds (VOCs</w:t>
      </w:r>
      <w:r>
        <w:t xml:space="preserve">) are emitted into the atmosphere from a wide range of sources, with vegetation as the main producer and anthropogenic sources accounting for roughly 10% of the emissions </w:t>
      </w:r>
      <w:r>
        <w:fldChar w:fldCharType="begin" w:fldLock="1"/>
      </w:r>
      <w:r>
        <w:instrText>ADDIN CSL_CITATION {"citationItems":[{"id":"ITEM-1","itemData":{"author":[{"dropping-particle":"","family":"Guenther","given":"Alex","non-dropping-particle":"","parse-names":false,"suffix":""},{"dropping-particle":"","family":"Nicholas","given":"C","non-dropping-particle":"","parse-names":false,"suffix":""},{"dropping-particle":"","family":"Fall","given":"Ray","non-dropping-particle":"","parse-names":false,"suffix":""},{"dropping-particle":"","family":"Klinger","given":"Lee","non-dropping-particle":"","parse-names":false,"suffix":""},{"dropping-particle":"","family":"Mckay","given":"W A","non-dropping-particle":"","parse-names":false,"suffix":""},{"dropping-particle":"","family":"Scholes","given":"Bob","non-dropping-particle":"","parse-names":false,"suffix":""}],"container-title":"J. Geophys. Res.","id":"ITEM-1","issue":"94","issued":{"date-parts":[["1995"]]},"page":"8873-8892","title":"A global model of natural volatile organic compound emissions","type":"article-journal","volume":"100"},"uris":["http://www.mendeley.com/documents/?uuid=17f22bef-60f5-4f9c-b63f-ad805320a3fa"]},{"id":"ITEM-2","itemData":{"DOI":"10.1021/es072476p","ISSN":"0013936X","abstract":"A substantial fraction of both gas-phase and aerosol organic compounds have not been, or have very rarely been, directly measured in the atmosphere. Goldstein and Galbally review current knowledge about atmospheric organic constituents by asking the following questions: What atmospheric organic compounds do we know about and understand? What organic compounds could be present as gases and in aerosols? What evidence exists for additional organic compounds in the atmosphere? How well do we understand the transformations and fate of atmospheric organics? They conclude by suggesting opportunities for future research directions.","author":[{"dropping-particle":"","family":"Goldstein","given":"Allen H.","non-dropping-particle":"","parse-names":false,"suffix":""},{"dropping-particle":"","family":"Galbally","given":"Ian E.","non-dropping-particle":"","parse-names":false,"suffix":""}],"container-title":"Environmental Science and Technology","id":"ITEM-2","issue":"5","issued":{"date-parts":[["2007"]]},"page":"1514-1521","title":"Known and unexplored organic constituents in the earth's atmosphere","type":"article-journal","volume":"41"},"uris":["http://www.mendeley.com/documents/?uuid=7eb4a6a9-c76f-44ab-988d-d3ee356dffb6"]}],"mendeley":{"formattedCitation":"(Goldstein and Galbally, 2007; Guenther et al., 1995)","plainTextFormattedCitation":"(Goldstein and Galbally, 2007; Guenther et al., 1995)","previouslyFormattedCitation":"(Goldstein and Galbally, 2007; Guenther et al., 1995)"},"properties":{"noteIndex":0},"schema":"https://github.com/citation-style-language/schema/raw/master/csl-citation.json"}</w:instrText>
      </w:r>
      <w:r>
        <w:fldChar w:fldCharType="separate"/>
      </w:r>
      <w:r w:rsidRPr="00684609">
        <w:rPr>
          <w:noProof/>
        </w:rPr>
        <w:t>(Goldstein and Galbally, 2007; Guenther et al., 1995)</w:t>
      </w:r>
      <w:r>
        <w:fldChar w:fldCharType="end"/>
      </w:r>
      <w:r>
        <w:t>. VOCs and NO</w:t>
      </w:r>
      <w:r>
        <w:rPr>
          <w:vertAlign w:val="subscript"/>
        </w:rPr>
        <w:t>x</w:t>
      </w:r>
      <w:r>
        <w:t xml:space="preserve"> (NO and NO</w:t>
      </w:r>
      <w:r>
        <w:rPr>
          <w:vertAlign w:val="subscript"/>
        </w:rPr>
        <w:t>2</w:t>
      </w:r>
      <w:r>
        <w:t xml:space="preserve">) react in the presence of sunlight to produce photochemical smog </w:t>
      </w:r>
      <w:r>
        <w:fldChar w:fldCharType="begin" w:fldLock="1"/>
      </w:r>
      <w:r>
        <w:instrText>ADDIN CSL_CITATION {"citationItems":[{"id":"ITEM-1","itemData":{"DOI":"10.1126/sciadv.aay8967","ISSN":"23752548","PMID":"32076652","abstract":"The Earth’s atmosphere contains a multitude of emitted (primary) and chemically formed (secondary) gases and particles that degrade air quality and modulate the climate. Reactive organic carbon (ROC) species are the fuel of the chemistry of the atmosphere, dominating short-lived emissions, reactivity, and the secondary production of key species such as ozone, particulate matter, and carbon dioxide. Despite the central importance of ROC, the diversity and complexity of this class of species has been a longstanding obstacle to developing a comprehensive understanding of how the composition of our atmosphere, and the associated environmental implications, will evolve. Here, we characterize the role of ROC in atmospheric chemistry and the challenges inherent in measuring and modeling ROC, and highlight recent progress toward achieving mass closure for the complete description of atmospheric ROC.","author":[{"dropping-particle":"","family":"Heald","given":"C. L.","non-dropping-particle":"","parse-names":false,"suffix":""},{"dropping-particle":"","family":"Kroll","given":"J. H.","non-dropping-particle":"","parse-names":false,"suffix":""}],"container-title":"Science Advances","id":"ITEM-1","issue":"6","issued":{"date-parts":[["2020"]]},"page":"1-9","title":"The fuel of atmospheric chemistry: Toward a complete description of reactive organic carbon","type":"article-journal","volume":"6"},"uris":["http://www.mendeley.com/documents/?uuid=b98345db-6600-48f4-b24a-87c372259352"]},{"id":"ITEM-2","itemData":{"DOI":"10.1021/ie50510a45","author":[{"dropping-particle":"","family":"Haagen-Smit","given":"A.J.","non-dropping-particle":"","parse-names":false,"suffix":""}],"container-title":"Industrial and Engineering Chemistry","id":"ITEM-2","issue":"6","issued":{"date-parts":[["1950"]]},"page":"1342-1346","title":"Pollution (12)","type":"article-journal","volume":"44"},"uris":["http://www.mendeley.com/documents/?uuid=29495fe3-b2de-4d4c-bbc4-ebc2ff5bf9b3"]}],"mendeley":{"formattedCitation":"(Haagen-Smit, 1950; Heald and Kroll, 2020)","plainTextFormattedCitation":"(Haagen-Smit, 1950; Heald and Kroll, 2020)","previouslyFormattedCitation":"(Haagen-Smit, 1950; Heald and Kroll, 2020)"},"properties":{"noteIndex":0},"schema":"https://github.com/citation-style-language/schema/raw/master/csl-citation.json"}</w:instrText>
      </w:r>
      <w:r>
        <w:fldChar w:fldCharType="separate"/>
      </w:r>
      <w:r w:rsidRPr="00517758">
        <w:rPr>
          <w:noProof/>
        </w:rPr>
        <w:t>(Haagen-Smit, 1950; Heald and Kroll, 2020)</w:t>
      </w:r>
      <w:r>
        <w:fldChar w:fldCharType="end"/>
      </w:r>
      <w:r>
        <w:t>, which is comprised of particulate matter (PM), ozone, and various other compounds detrimental to human health. High particulate levels</w:t>
      </w:r>
      <w:r w:rsidR="00073C8B">
        <w:t xml:space="preserve"> </w:t>
      </w:r>
      <w:r>
        <w:t xml:space="preserve">strongly correlate with mortality and poor cardiovascular and respiratory health </w:t>
      </w:r>
      <w:r>
        <w:fldChar w:fldCharType="begin" w:fldLock="1"/>
      </w:r>
      <w:r>
        <w:instrText>ADDIN CSL_CITATION {"citationItems":[{"id":"ITEM-1","itemData":{"DOI":"101056/NEJM199312093292401","author":[{"dropping-particle":"","family":"Dockery","given":"Douglas W","non-dropping-particle":"","parse-names":false,"suffix":""},{"dropping-particle":"","family":"Pope III","given":"C. Arden","non-dropping-particle":"","parse-names":false,"suffix":""},{"dropping-particle":"","family":"Xu","given":"Xiping","non-dropping-particle":"","parse-names":false,"suffix":""},{"dropping-particle":"","family":"Spengler","given":"John D","non-dropping-particle":"","parse-names":false,"suffix":""},{"dropping-particle":"","family":"Ware","given":"James H","non-dropping-particle":"","parse-names":false,"suffix":""},{"dropping-particle":"","family":"Fay","given":"Martha E","non-dropping-particle":"","parse-names":false,"suffix":""},{"dropping-particle":"","family":"Ferris Jr","given":"Benjamin G","non-dropping-particle":"","parse-names":false,"suffix":""},{"dropping-particle":"","family":"Speizer","given":"Frank E","non-dropping-particle":"","parse-names":false,"suffix":""}],"container-title":"New England Journal of Medicine","id":"ITEM-1","issue":"2","issued":{"date-parts":[["1993"]]},"page":"141","title":"An Association between Air Pollution and Mortality in Six U.S. Cities","type":"article-journal","volume":"330"},"uris":["http://www.mendeley.com/documents/?uuid=a7c98cae-8b80-45b5-bb18-b7c38f2e8e50"]},{"id":"ITEM-2","itemData":{"DOI":"10.1289/ehp.1307049","author":[{"dropping-particle":"","family":"Burnett","given":"Richard T","non-dropping-particle":"","parse-names":false,"suffix":""},{"dropping-particle":"","family":"III","given":"C Arden Pope","non-dropping-particle":"","parse-names":false,"suffix":""},{"dropping-particle":"","family":"Ezzati","given":"Majid","non-dropping-particle":"","parse-names":false,"suffix":""},{"dropping-particle":"","family":"Olives","given":"Casey","non-dropping-particle":"","parse-names":false,"suffix":""},{"dropping-particle":"","family":"Lim","given":"Stephen S","non-dropping-particle":"","parse-names":false,"suffix":""},{"dropping-particle":"","family":"Mehta","given":"Sumi","non-dropping-particle":"","parse-names":false,"suffix":""}],"container-title":"Environmental Health Perspectives","id":"ITEM-2","issue":"4","issued":{"date-parts":[["2014"]]},"page":"397-404","title":"An Integrated Risk Function for Estimating the Global Burden of Disease Attributable to Ambient Fine Particulate Matter Exposure","type":"article-journal","volume":"122"},"uris":["http://www.mendeley.com/documents/?uuid=26a587f0-c9de-40ea-aa1b-8179fd31087c"]}],"mendeley":{"formattedCitation":"(Burnett et al., 2014; Dockery et al., 1993)","plainTextFormattedCitation":"(Burnett et al., 2014; Dockery et al., 1993)","previouslyFormattedCitation":"(Burnett et al., 2014; Dockery et al., 1993)"},"properties":{"noteIndex":0},"schema":"https://github.com/citation-style-language/schema/raw/master/csl-citation.json"}</w:instrText>
      </w:r>
      <w:r>
        <w:fldChar w:fldCharType="separate"/>
      </w:r>
      <w:r w:rsidRPr="007230A4">
        <w:rPr>
          <w:noProof/>
        </w:rPr>
        <w:t>(Burnett et al., 2014; Dockery et al., 1993)</w:t>
      </w:r>
      <w:r>
        <w:fldChar w:fldCharType="end"/>
      </w:r>
      <w:r>
        <w:t xml:space="preserve">, while ozone is a powerful oxidant that adversely affects humans </w:t>
      </w:r>
      <w:r w:rsidR="003246FF">
        <w:t>and does</w:t>
      </w:r>
      <w:r w:rsidR="003A0ABF">
        <w:t xml:space="preserve"> </w:t>
      </w:r>
      <w:r>
        <w:t xml:space="preserve">damage to crops, forests, rubber and other polymers </w:t>
      </w:r>
      <w:r>
        <w:fldChar w:fldCharType="begin" w:fldLock="1"/>
      </w:r>
      <w:r>
        <w:instrText>ADDIN CSL_CITATION {"citationItems":[{"id":"ITEM-1","itemData":{"DOI":"10.1080/08940630.1989.10466554","ISSN":"08940630","PMID":"2659744","abstract":"Health and pollution control professionals and the general public need to develop a more complete understanding of the health effects of ozone (O3) because: 1) we have been unable to significantly reduce ambient O3 levels using current strategies and controls; 2) in areas occupied by more than half of the U.S. population, current peak ambient O3 concentrations are sufficient to elicit measurable transient changes in lung function, respiratory symptoms, and airway inflammation in healthy people engaged in normal outdoor exercise and recreational activities; 3) the effects of O3 on transient functional changes are sometimes greatly potentiated by the presence of other environmental variables; and 4) cumulative structural damage occurs in rats and monkeys exposed repetitively to O3 at levels within currently occurring ambient peaks, and initial evidence from dosimetry models and interspecies comparisons indicate that humans are likely to be more sensitive to O3 than rats. The extent and significance of these effects, and the multibillion dollar costs of ambient O3 controls need to be considered in any future revisions of ambient standards and the Clean Air Act.The transient effects of O3 are more closely related to cumulative daily exposure than to one hour peak concentrations, and future revisions of the ambient standard for O3 should take this into account. The effects of long-term chronic exposure to O3 remain poorly defined, but recent epidemiologic and animal inhalation studies suggest that current ambient levels are sufficient to cause premature aging of the lungs. More research is needed to determine the need for a standard with a seasonal or annual average concentration limit. © 1989 Air &amp; Waste Management Association.","author":[{"dropping-particle":"","family":"Lippmann","given":"Morton","non-dropping-particle":"","parse-names":false,"suffix":""}],"container-title":"Journal of the Air Pollution Control Association","id":"ITEM-1","issue":"5","issued":{"date-parts":[["1989"]]},"page":"672-695","title":"Health Effects Of Ozone A Critical Review","type":"article-journal","volume":"39"},"uris":["http://www.mendeley.com/documents/?uuid=ab40b638-871b-49f7-94e9-5de1a8489ee7"]},{"id":"ITEM-2","itemData":{"DOI":"10.1016/j.crte.2007.08.008","ISSN":"16310713","abstract":"In this review article, we explore how surface-level ozone affects trees and crops with special emphasis on consequences for productivity and carbon sequestration. Vegetation exposure to ozone reduces photosynthesis, growth, and other plant functions. Ozone formation in the atmosphere is a product of NOx, which are also a source of nitrogen deposition. Reduced carbon sequestration of temperate forests resulting from ozone is likely offset by increased carbon sequestration from nitrogen fertilization. However, since fertilized croplands are generally not nitrogen-limited, capping ozone-polluting substances in the USA, Europe, and China can reduce future crop yield loss substantially. © 2007 Académie des sciences.","author":[{"dropping-particle":"","family":"Felzer","given":"Benjamin S.","non-dropping-particle":"","parse-names":false,"suffix":""},{"dropping-particle":"","family":"Cronin","given":"Timothy","non-dropping-particle":"","parse-names":false,"suffix":""},{"dropping-particle":"","family":"Reilly","given":"John M.","non-dropping-particle":"","parse-names":false,"suffix":""},{"dropping-particle":"","family":"Melillo","given":"Jerry M.","non-dropping-particle":"","parse-names":false,"suffix":""},{"dropping-particle":"","family":"Wang","given":"Xiaodong","non-dropping-particle":"","parse-names":false,"suffix":""}],"container-title":"Comptes Rendus - Geoscience","id":"ITEM-2","issue":"11-12","issued":{"date-parts":[["2007"]]},"page":"784-798","title":"Impacts of ozone on trees and crops","type":"article-journal","volume":"339"},"uris":["http://www.mendeley.com/documents/?uuid=190ef515-25d6-48af-8ac8-f1129d2d7cda"]},{"id":"ITEM-3","itemData":{"author":[{"dropping-particle":"","family":"Wark","given":"Kenneth","non-dropping-particle":"","parse-names":false,"suffix":""},{"dropping-particle":"","family":"Warner","given":"Cecil F.","non-dropping-particle":"","parse-names":false,"suffix":""},{"dropping-particle":"","family":"Davis","given":"Wayne T.","non-dropping-particle":"","parse-names":false,"suffix":""}],"edition":"Third","id":"ITEM-3","issued":{"date-parts":[["1998"]]},"number-of-pages":"39-42","publisher":"Addison-Wesley-Longman","title":"Air Pollution","type":"book"},"uris":["http://www.mendeley.com/documents/?uuid=5b49ad12-816a-440c-b5f9-81f5b00bb8db"]}],"mendeley":{"formattedCitation":"(Felzer et al., 2007; Lippmann, 1989; Wark et al., 1998)","plainTextFormattedCitation":"(Felzer et al., 2007; Lippmann, 1989; Wark et al., 1998)","previouslyFormattedCitation":"(Felzer et al., 2007; Lippmann, 1989; Wark et al., 1998)"},"properties":{"noteIndex":0},"schema":"https://github.com/citation-style-language/schema/raw/master/csl-citation.json"}</w:instrText>
      </w:r>
      <w:r>
        <w:fldChar w:fldCharType="separate"/>
      </w:r>
      <w:r w:rsidRPr="007230A4">
        <w:rPr>
          <w:noProof/>
        </w:rPr>
        <w:t>(Felzer et al., 2007; Lippmann, 1989; Wark et al., 1998)</w:t>
      </w:r>
      <w:r>
        <w:fldChar w:fldCharType="end"/>
      </w:r>
      <w:r>
        <w:t xml:space="preserve">. Additionally, although VOCs lead to the production of criteria pollutants (ozone and PM), they are not monitored as regularly and methodically as the criteria pollutants. However, many VOCs, for instance small aromatics and halogenates, are known to be toxic to human health and in some cases are regulated as hazardous air pollutants (HAPs) </w:t>
      </w:r>
      <w:r>
        <w:fldChar w:fldCharType="begin" w:fldLock="1"/>
      </w:r>
      <w:r>
        <w:instrText>ADDIN CSL_CITATION {"citationItems":[{"id":"ITEM-1","itemData":{"DOI":"10.1515/reveh-2018-0046","ISSN":"00487554","PMID":"30854833","abstract":"Indoor air quality (IAQ) standards and guidelines for volatile organic compounds (VOCs) have been stipulated by various national and international agencies. The main purpose of this paper is to establish an overview of indoor VOCs regarding their impacts on human health. Herein, 13 VOCs were designated as indoor air pollutants (IAPs) in the IAQ standards and guidelines. They were further grouped into four types: nonchlorinated aromatic compounds, chlorinated aromatic compounds, chlorinated aliphatic compounds and aldehydes. For this purpose, the present study discusses the criteria for designating VOCs, and summarizes their main sources in indoor environments. Because the occupational exposure limit (OEL) in workplaces has often used as a preliminary basis for establishing acceptable health-based IAQ guidelines in buildings and residences, this paper thus reviews the OEL values, especially in the American Conference of Governmental Industrial Hygienists (ACGIH)-threshold limit value (TLV). In addition, this paper also reviews the information about the classification of carcinogenicity in human by the international agencies for these VOCs. It shows that human tissues, including kidney, liver, leukemia, nasal cavity, paranasal sinus, liver and bile duct, could be more involved in the development of cancers or tumors when people are exposed to these VOCs through inhalation route in buildings over a long period of time.","author":[{"dropping-particle":"","family":"Tsai","given":"Wen Tien","non-dropping-particle":"","parse-names":false,"suffix":""}],"container-title":"Reviews on Environmental Health","id":"ITEM-1","issue":"1","issued":{"date-parts":[["2019"]]},"page":"81-89","title":"An overview of health hazards of volatile organic compounds regulated as indoor air pollutants","type":"article-journal","volume":"34"},"uris":["http://www.mendeley.com/documents/?uuid=0188c509-e43f-4362-ad7d-2b4553ca522d"]},{"id":"ITEM-2","itemData":{"URL":"http://www.epa.gov/haps","accessed":{"date-parts":[["2023","3","24"]]},"author":[{"dropping-particle":"","family":"US Environmental Protection Agency","given":"","non-dropping-particle":"","parse-names":false,"suffix":""}],"id":"ITEM-2","issued":{"date-parts":[["2023"]]},"title":"Hazardous Air Pollutants","type":"webpage"},"uris":["http://www.mendeley.com/documents/?uuid=3f2fea69-14b5-48ba-9d6e-dacc342d2e3f"]},{"id":"ITEM-3","itemData":{"URL":"http://www.epa.gov/iris","accessed":{"date-parts":[["2023","3","24"]]},"author":[{"dropping-particle":"","family":"US Environmental Protection Agency","given":"","non-dropping-particle":"","parse-names":false,"suffix":""}],"id":"ITEM-3","issued":{"date-parts":[["2023"]]},"title":"Integrated Risk Information System","type":"webpage"},"uris":["http://www.mendeley.com/documents/?uuid=d14f458e-4e8c-4c78-97f9-05e8239b9c61"]}],"mendeley":{"formattedCitation":"(Tsai, 2019; US Environmental Protection Agency, 2023a, 2023b)","plainTextFormattedCitation":"(Tsai, 2019; US Environmental Protection Agency, 2023a, 2023b)","previouslyFormattedCitation":"(Tsai, 2019; US Environmental Protection Agency, 2023a, 2023b)"},"properties":{"noteIndex":0},"schema":"https://github.com/citation-style-language/schema/raw/master/csl-citation.json"}</w:instrText>
      </w:r>
      <w:r>
        <w:fldChar w:fldCharType="separate"/>
      </w:r>
      <w:r w:rsidRPr="00064074">
        <w:rPr>
          <w:noProof/>
        </w:rPr>
        <w:t>(Tsai, 2019; US Environmental Protection Agency, 2023a, 2023b)</w:t>
      </w:r>
      <w:r>
        <w:fldChar w:fldCharType="end"/>
      </w:r>
      <w:r>
        <w:t>.</w:t>
      </w:r>
    </w:p>
    <w:p w14:paraId="13F99A00" w14:textId="013B2D3C" w:rsidR="00957093" w:rsidRDefault="00957093" w:rsidP="00957093">
      <w:r>
        <w:t>VOC emissions and concentrations are temporally and spatially diverse. Higher insolation and elevated daytime or seasonal temperatures promote the formation of oxidants (e.g., hydroxyl</w:t>
      </w:r>
      <w:r w:rsidR="003F78A5">
        <w:t xml:space="preserve"> radical</w:t>
      </w:r>
      <w:r>
        <w:t xml:space="preserve">, ozone), the emission of biogenic VOCs, the volatilization of VOCs, and the enhancement of oxidant reaction rates, leading to variation in their sources and sinks on temporal timescales from minutes to seasons and concentration gradients across distances of only meters. These daily, short-term temporal variations occur in concert with shifts in emissions on the timescales of weeks (e.g., weekday-weekend effects in diesel/gasoline emissions) to months (e.g., changes in plant phenology) that yield a dynamic and highly variable mixture of VOCs. Spatial and temporal complexity is compounded by chemical complexity, with the number of biogenic VOC species having been estimated at over 30,000 </w:t>
      </w:r>
      <w:r>
        <w:fldChar w:fldCharType="begin" w:fldLock="1"/>
      </w:r>
      <w:r>
        <w:instrText>ADDIN CSL_CITATION {"citationItems":[{"id":"ITEM-1","itemData":{"DOI":"10.1007/978-94-007-6606-8","ISBN":"978-94-007-6605-1","abstract":"Biogenic volatile organic compounds (BVOCs) produced by trees participate in the formation of air pollutants such as ozone and particulate matter. At the same time, the metabolic processes responsible for these emissions are sensitive to ozone and other air pollutants, as well as the solar radiation flux, which is affected by atmospheric particulate concentration. Recent anthropogenic increases in the atmospheric carbon dioxide concentration are also capable of affecting BVOC emissions, although the mechanisms behind these responses can produce variable effects depending on the plant species. Mechanisms of air pollutant effects on BVOC emissions are reviewed and dose-response relationships across a variety of trees with differing pollutant tolerance and emission capacity are compared. From this broad analysis, generalized response patterns have been developed. This chapter emphasizes the need to consider the interactions between BVOC emissions and ozone to understand plant behaviour in future climates.","author":[{"dropping-particle":"","family":"Trowbridge","given":"A.M.","non-dropping-particle":"","parse-names":false,"suffix":""},{"dropping-particle":"","family":"Stoy","given":"P.C.","non-dropping-particle":"","parse-names":false,"suffix":""},{"dropping-particle":"","family":"Monson","given":"Russell K","non-dropping-particle":"","parse-names":false,"suffix":""},{"dropping-particle":"","family":"Niinemets","given":"Ülo","non-dropping-particle":"","parse-names":false,"suffix":""}],"container-title":"Biology, Controls and Models of Tree Volatile Organic Compound Emissions","id":"ITEM-1","issue":"April","issued":{"date-parts":[["2013"]]},"page":"21-46","title":"Biology, controls and models of tree volatile organic compound emissions","type":"article-journal","volume":"5"},"uris":["http://www.mendeley.com/documents/?uuid=de1ebeb5-c620-4f79-9057-52e65182ee65"]},{"id":"ITEM-2","itemData":{"DOI":"10.3389/fpls.2021.708711","ISSN":"1664462X","abstract":"Volatile organic compounds (VOCs) emitted by plants consist of a broad range of gasses which serve purposes such as protecting against herbivores, communicating with insects and neighboring plants, or increasing the tolerance to environmental stresses. Evidence is accumulating that the composition of VOC blends plays an important role in fulfilling these purposes. Constitutional emissions give insight into species-specific stress tolerance potentials and are an important first step in linking metabolism and function of co-occurring VOCs. Here, we investigate the blend composition and interrelations among co-emitted VOCs in unstressed seedlings of four broad-leaved tree species, Quercus robur, Fagus sylvatica, Betula pendula, and Carpinus betulus. VOCs of Q. robur and F. sylvatica mainly emitted isoprene and monoterpenes, respectively. B. pendula had relatively high sesquiterpene emission; however, it made up only 1.7% of its total emissions while the VOC spectrum was dominated by methanol (</w:instrText>
      </w:r>
      <w:r>
        <w:rPr>
          <w:rFonts w:ascii="Cambria Math" w:hAnsi="Cambria Math" w:cs="Cambria Math"/>
        </w:rPr>
        <w:instrText>∼</w:instrText>
      </w:r>
      <w:r>
        <w:instrText>72%). C. betulus was emitting methanol and monoterpenes in similar amounts compared to other species, casting doubt on its frequent classification as a close-to-zero VOC emitter. Beside these major VOCs, a total of 22 VOCs could be identified, with emission rates and blend compositions varying drastically between species. A principal component analysis among species revealed co-release of multiple compounds. In particular, new links between pathways and catabolites were indicated, e.g., correlated emission rates of methanol, sesquiterpenes (mevalonate pathway), and green leaf volatiles (hexanal, hexenyl acetate, and hexenal; lipoxygenase pathway). Furthermore, acetone emissions correlated with eugenol from the Shikimate pathway, a relationship that has not been described before. Our results thus indicate that certain VOC emissions are highly interrelated, pointing toward the importance to improve our understanding of VOC blends rather than targeting dominant VOCs only.","author":[{"dropping-particle":"","family":"Fitzky","given":"Anne Charlott","non-dropping-particle":"","parse-names":false,"suffix":""},{"dropping-particle":"","family":"Peron","given":"Arianna","non-dropping-particle":"","parse-names":false,"suffix":""},{"dropping-particle":"","family":"Kaser","given":"Lisa","non-dropping-particle":"","parse-names":false,"suffix":""},{"dropping-particle":"","family":"Karl","given":"Thomas","non-dropping-particle":"","parse-names":false,"suffix":""},{"dropping-particle":"","family":"Graus","given":"Martin","non-dropping-particle":"","parse-names":false,"suffix":""},{"dropping-particle":"","family":"Tholen","given":"Danny","non-dropping-particle":"","parse-names":false,"suffix":""},{"dropping-particle":"","family":"Pesendorfer","given":"Mario","non-dropping-particle":"","parse-names":false,"suffix":""},{"dropping-particle":"","family":"Mahmoud","given":"Maha","non-dropping-particle":"","parse-names":false,"suffix":""},{"dropping-particle":"","family":"Sandén","given":"Hans","non-dropping-particle":"","parse-names":false,"suffix":""},{"dropping-particle":"","family":"Rewald","given":"Boris","non-dropping-particle":"","parse-names":false,"suffix":""}],"container-title":"Frontiers in Plant Science","id":"ITEM-2","issue":"September","issued":{"date-parts":[["2021"]]},"page":"1-12","title":"Diversity and Interrelations Among the Constitutive VOC Emission Blends of Four Broad-Leaved Tree Species at Seedling Stage","type":"article-journal","volume":"12"},"uris":["http://www.mendeley.com/documents/?uuid=051bac92-e8e0-4e6b-b8c5-53f618f1a8c4"]}],"mendeley":{"formattedCitation":"(Fitzky et al., 2021; Trowbridge et al., 2013)","plainTextFormattedCitation":"(Fitzky et al., 2021; Trowbridge et al., 2013)","previouslyFormattedCitation":"(Fitzky et al., 2021; Trowbridge et al., 2013)"},"properties":{"noteIndex":0},"schema":"https://github.com/citation-style-language/schema/raw/master/csl-citation.json"}</w:instrText>
      </w:r>
      <w:r>
        <w:fldChar w:fldCharType="separate"/>
      </w:r>
      <w:r w:rsidRPr="00D05595">
        <w:rPr>
          <w:noProof/>
        </w:rPr>
        <w:t>(Fitzky et al., 2021; Trowbridge et al., 2013)</w:t>
      </w:r>
      <w:r>
        <w:fldChar w:fldCharType="end"/>
      </w:r>
      <w:r>
        <w:t xml:space="preserve">, though a small number of terpenoids dominate the mass of emitted carbon. A large fraction of anthropogenic emissions are composed of petroleum mixtures, which are comprised of hundreds or thousands of individual VOC species </w:t>
      </w:r>
      <w:r>
        <w:fldChar w:fldCharType="begin" w:fldLock="1"/>
      </w:r>
      <w:r>
        <w:instrText>ADDIN CSL_CITATION {"citationItems":[{"id":"ITEM-1","itemData":{"DOI":"10.1021/acs.energyfuels.0c02815","ISSN":"15205029","abstract":"Surrogate mixtures are routinely used for understanding gasoline fuel combustion in engine simulations. The general trend in surrogate formulation has been to increase the number of fuel components in a mixture to better emulate real fuel properties. Recently, a new surrogate design strategy based on functional group analysis of real gasolines was proposed using a minimal number of species [minimalist functional group (MFG)-approach]. MFG surrogates (having just one or two components) could experimentally capture the ignition delay time (IDT), threshold sooting index, and smoke point of different gasoline fuels with hundreds of components. However, other combustion characteristics were not explored, and kinetic modeling of MFG surrogates was not reported. These aspects are addressed in this paper, where the combustion behavior of MFG surrogates for various gasolines was assessed by simulating IDT, jet-stirred reactor oxidation, and premixed laminar flame speeds using chemical kinetic modeling. MFG simulations were compared with experimental data of the real gasolines as well as with the more complex multicomponent (five to nine species) surrogates. This study reveals that binary MFG surrogate mixtures are capable of accurately simulating the combustion behavior of more complex gasoline fuels with hundreds of components.","author":[{"dropping-particle":"","family":"Ilieş","given":"Bogdan Dragoş","non-dropping-particle":"","parse-names":false,"suffix":""},{"dropping-particle":"","family":"Khandavilli","given":"Muralikrishna","non-dropping-particle":"","parse-names":false,"suffix":""},{"dropping-particle":"","family":"Li","given":"Yang","non-dropping-particle":"","parse-names":false,"suffix":""},{"dropping-particle":"","family":"Kukkadapu","given":"Goutham","non-dropping-particle":"","parse-names":false,"suffix":""},{"dropping-particle":"","family":"Wagnon","given":"Scott W.","non-dropping-particle":"","parse-names":false,"suffix":""},{"dropping-particle":"","family":"Jameel","given":"Abdul Gani Abdul","non-dropping-particle":"","parse-names":false,"suffix":""},{"dropping-particle":"","family":"Sarathy","given":"S. Mani","non-dropping-particle":"","parse-names":false,"suffix":""}],"container-title":"Energy and Fuels","id":"ITEM-1","issue":"4","issued":{"date-parts":[["2021"]]},"page":"3315-3332","title":"Probing the chemical kinetics of minimalist functional group gasoline surrogates","type":"article-journal","volume":"35"},"uris":["http://www.mendeley.com/documents/?uuid=bb5d44f7-42dd-4b17-8812-1f8c90f60b8f"]},{"id":"ITEM-2","itemData":{"DOI":"10.1021/acs.energyfuels.7b01940","ISSN":"15205029","abstract":"Real diesel fuels are mixtures composed of hundreds to thousands of components; thus, developing surrogate fuels composed of a few representative hydrocarbon components is essential for multidimensional computational fluid dynamics spray combustion simulation purposes. Surrogates that can characterize the thermophysical properties and evaporation processes of real fuel are the \"physical\" surrogates. Surrogates that are able to mimic fuel chemical-kinetics-related properties are viewed as the \"chemical\" surrogate models. For spray combustion modeling, fuels experience thermophysical (heating and evaporation) and chemical kinetics (ignition and combustion) processes. To model the multiphase spray combustion process, a \"unified\" diesel surrogate, which can emulate both the physical and chemical (kinetics) properties of the real diesel fuel, is proposed in this study. A group of hydrocarbon species was selected, using an inversed batch distillation methodology, to match the experimental distillation curve of standard diesel blends. For the chemical kinetics target, a detailed reaction mechanism of 352 species with 13264 reactions was used for gas-phase ignition delay time predictions and a reduced reaction mechanism of 200 species with 6907 reactions was used for laminar flame speed simulations. On the basis of the hydrocarbon class concentrations of typical diesel fuels of normal/isoalkanes, cycloalkanes and aromatics, this study identified the four-componet surrogate fuel for diesel fuel as 1,2,4-trimethylbenzene (C9H12), trans-decalin (C10H18), heptamethylnonane (iC16H34), and n-hexadecane (C16H34) with mole fraction 0.262:0.065:0.365:0.308. Important thermophysical and chemical targets, including molecular weight, lower heating value, cetane number, hydrogen/carbon mass ratio, density, kinematic viscosity, surface tension, and specific heat, are also predicted using this surrogate. In addition, chemical kinetics characteristics, including ignition delay times as well as laminar flame speeds, are used to validate the proposed surrogate fuel.","author":[{"dropping-particle":"","family":"Wang","given":"Qiaoling","non-dropping-particle":"","parse-names":false,"suffix":""},{"dropping-particle":"","family":"Chen","given":"C. P.","non-dropping-particle":"","parse-names":false,"suffix":""}],"container-title":"Energy and Fuels","id":"ITEM-2","issue":"12","issued":{"date-parts":[["2017"]]},"page":"13190-13197","title":"Simulated Kinetics and Chemical and Physical Properties of a Four-Component Diesel Surrogate Fuel","type":"article-journal","volume":"31"},"uris":["http://www.mendeley.com/documents/?uuid=c0d68b60-a16e-4ee4-9d02-29c5ae5664f8"]},{"id":"ITEM-3","itemData":{"DOI":"10.1021/ac2030464","ISSN":"00032700","abstract":"Understanding the composition of complex hydrocarbon mixtures is important for environmental studies in a variety of fields, but many prevalent compounds cannot be confidently identified using traditional gas chromatography/mass spectrometry (GC/MS) techniques. This work uses vacuum-ultraviolet (VUV) ionization to elucidate the structures of a traditionally \"unresolved complex mixture\" by separating components by GC retention time, t R, and mass-to-charge ratio, m/z, which are used to determine carbon number, N C, and the number of rings and double bonds, N DBE. Constitutional isomers are resolved on the basis of t R, enabling the most complete quantitative analysis to date of structural isomers in an environmentally relevant hydrocarbon mixture. Unknown compounds are classified in this work by carbon number, degree of saturation, presence of rings, and degree of branching, providing structural constraints. The capabilities of this analysis are explored using diesel fuel, in which constitutional isomer distribution patterns are shown to be reproducible between carbon numbers and follow predictable rules. Nearly half of the aliphatic hydrocarbon mass is shown to be branched, suggesting branching is more important in diesel fuel than previously shown. The classification of unknown hydrocarbons and the resolution of constitutional isomers significantly improves resolution capabilities for any complex hydrocarbon mixture. © 2012 American Chemical Society.","author":[{"dropping-particle":"","family":"Isaacman","given":"Gabriel","non-dropping-particle":"","parse-names":false,"suffix":""},{"dropping-particle":"","family":"Wilson","given":"Kevin R.","non-dropping-particle":"","parse-names":false,"suffix":""},{"dropping-particle":"","family":"Chan","given":"Arthur W.H.","non-dropping-particle":"","parse-names":false,"suffix":""},{"dropping-particle":"","family":"Worton","given":"David R.","non-dropping-particle":"","parse-names":false,"suffix":""},{"dropping-particle":"","family":"Kimmel","given":"Joel R.","non-dropping-particle":"","parse-names":false,"suffix":""},{"dropping-particle":"","family":"Nah","given":"Theodora","non-dropping-particle":"","parse-names":false,"suffix":""},{"dropping-particle":"","family":"Hohaus","given":"Thorsten","non-dropping-particle":"","parse-names":false,"suffix":""},{"dropping-particle":"","family":"Gonin","given":"Marc","non-dropping-particle":"","parse-names":false,"suffix":""},{"dropping-particle":"","family":"Kroll","given":"Jesse H.","non-dropping-particle":"","parse-names":false,"suffix":""},{"dropping-particle":"","family":"Worsnop","given":"Douglas R.","non-dropping-particle":"","parse-names":false,"suffix":""},{"dropping-particle":"","family":"Goldstein","given":"Allen H.","non-dropping-particle":"","parse-names":false,"suffix":""}],"container-title":"Analytical Chemistry","id":"ITEM-3","issue":"5","issued":{"date-parts":[["2012"]]},"page":"2335-2342","title":"Improved resolution of hydrocarbon structures and constitutional isomers in complex mixtures using gas chromatography-vacuum ultraviolet-mass spectrometry","type":"article-journal","volume":"84"},"uris":["http://www.mendeley.com/documents/?uuid=882dc4f6-1304-4733-b100-9b1a50f53e43"]}],"mendeley":{"formattedCitation":"(Ilieş et al., 2021; Isaacman et al., 2012; Wang and Chen, 2017)","plainTextFormattedCitation":"(Ilieş et al., 2021; Isaacman et al., 2012; Wang and Chen, 2017)","previouslyFormattedCitation":"(Ilieş et al., 2021; Isaacman et al., 2012; Wang and Chen, 2017)"},"properties":{"noteIndex":0},"schema":"https://github.com/citation-style-language/schema/raw/master/csl-citation.json"}</w:instrText>
      </w:r>
      <w:r>
        <w:fldChar w:fldCharType="separate"/>
      </w:r>
      <w:r w:rsidRPr="00B00BF3">
        <w:rPr>
          <w:noProof/>
        </w:rPr>
        <w:t>(Ilieş et al., 2021; Isaacman et al., 2012; Wang and Chen, 2017)</w:t>
      </w:r>
      <w:r>
        <w:fldChar w:fldCharType="end"/>
      </w:r>
      <w:r>
        <w:t xml:space="preserve">, and of hundreds of volatile chemical products </w:t>
      </w:r>
      <w:r>
        <w:fldChar w:fldCharType="begin" w:fldLock="1"/>
      </w:r>
      <w:r>
        <w:instrText>ADDIN CSL_CITATION {"citationItems":[{"id":"ITEM-1","itemData":{"DOI":"10.1007/s11869-015-0327-6","ISSN":"18739326","abstract":"Consumer products emit a range of volatile organic compounds (VOCs) that can affect air quality and health. Risk reduction is hindered because of lack of information about specific product emissions. This study investigates and compares VOCs emitted from 37 common products (air fresheners, laundry products, cleaners, and personal care products), including those with certifications and claims of green and organic. It extends a prior study of 25 consumer products by adding 12 more products, including fragrance-free versions of fragranced products, representing the first such comparison in the scientific literature. This study found 156 different VOCs emitted from the 37 products, with an average of 15 VOCs per product. Of these 156 VOCs, 42 VOCs are classified as toxic or hazardous under US federal laws, and each product emitted at least one of these chemicals. Emissions of carcinogenic hazardous air pollutants (HAPs) from green fragranced products were not significantly different from regular fragranced products. The most common chemicals in fragranced products were terpenes, which were not in fragrance-free versions. Of the volatile ingredients emitted, fewer than 3 % were disclosed on any product label or material safety data sheet (MSDS). Because health effects depend on many factors, not only individual ingredients, this study makes no claims regarding possible risks. However, knowledge of product composition can be an important step to understand, assess, and reduce potential exposures and effects.","author":[{"dropping-particle":"","family":"Steinemann","given":"Anne","non-dropping-particle":"","parse-names":false,"suffix":""}],"container-title":"Air Quality, Atmosphere and Health","id":"ITEM-1","issue":"3","issued":{"date-parts":[["2015"]]},"page":"273-281","title":"Volatile emissions from common consumer products","type":"article-journal","volume":"8"},"uris":["http://www.mendeley.com/documents/?uuid=2bd236d3-a285-4903-9af4-16d913c3193f"]}],"mendeley":{"formattedCitation":"(Steinemann, 2015)","plainTextFormattedCitation":"(Steinemann, 2015)","previouslyFormattedCitation":"(Steinemann, 2015)"},"properties":{"noteIndex":0},"schema":"https://github.com/citation-style-language/schema/raw/master/csl-citation.json"}</w:instrText>
      </w:r>
      <w:r>
        <w:fldChar w:fldCharType="separate"/>
      </w:r>
      <w:r w:rsidRPr="00562C7E">
        <w:rPr>
          <w:noProof/>
        </w:rPr>
        <w:t>(Steinemann, 2015)</w:t>
      </w:r>
      <w:r>
        <w:fldChar w:fldCharType="end"/>
      </w:r>
      <w:r>
        <w:t xml:space="preserve">. Each of these emitted compounds may react to form thousands to millions of products </w:t>
      </w:r>
      <w:r>
        <w:fldChar w:fldCharType="begin" w:fldLock="1"/>
      </w:r>
      <w:r>
        <w:instrText>ADDIN CSL_CITATION {"citationItems":[{"id":"ITEM-1","itemData":{"DOI":"10.5194/acp-5-2497-2005","ISSN":"16807316","abstract":"Organic compounds emitted in the atmosphere are oxidized in complex reaction sequences that produce a myriad of intermediates. Although the cumulative importance of these organic intermediates is widely acknowledged, there is still a critical lack of information concerning the detailed composition of the highly functionalized secondary organics in the gas and condensed phases. The evaluation of their impacts on pollution episodes, climate, and the tropospheric oxidizing capacity requires modelling tools that track the identity and reactivity of organic carbon in the various phases down to the ultimate oxidation products, CO and CO2. However, a fully detailed representation of the atmospheric transformations of organic compounds involves a very large number of intermediate species, far in excess of the number that can be reasonably written manually. This paper describes (1) the development of a data processing tool to generate the explicit gas-phase oxidation schemes of acyclic hydrocarbons and their oxidation products under tropospheric conditions and (2) the protocol used to select the reaction products and the rate constants. Results are presented using the fully explicit oxidation schemes generated for two test species: n-heptane and isoprene. Comparisons with well-established mechanisms were performed to evaluate these generated schemes. Some preliminary results describing the gradual change of organic carbon during the oxidation of a given parent compound are presented. © 2005 Author(s). This work is licensed under a Creative Commons License.","author":[{"dropping-particle":"","family":"Aumont","given":"B.","non-dropping-particle":"","parse-names":false,"suffix":""},{"dropping-particle":"","family":"Szopa","given":"S.","non-dropping-particle":"","parse-names":false,"suffix":""},{"dropping-particle":"","family":"Madronich","given":"S.","non-dropping-particle":"","parse-names":false,"suffix":""}],"container-title":"Atmospheric Chemistry and Physics","id":"ITEM-1","issue":"9","issued":{"date-parts":[["2005"]]},"page":"2497-2517","title":"Modelling the evolution of organic carbon during its gas-phase tropospheric oxidation: Development of an explicit model based on a self generating approach","type":"article-journal","volume":"5"},"uris":["http://www.mendeley.com/documents/?uuid=e7987efe-4a40-4454-84ac-c3de29416bb0"]}],"mendeley":{"formattedCitation":"(Aumont et al., 2005)","plainTextFormattedCitation":"(Aumont et al., 2005)","previouslyFormattedCitation":"(Aumont et al., 2005)"},"properties":{"noteIndex":0},"schema":"https://github.com/citation-style-language/schema/raw/master/csl-citation.json"}</w:instrText>
      </w:r>
      <w:r>
        <w:fldChar w:fldCharType="separate"/>
      </w:r>
      <w:r w:rsidRPr="00517758">
        <w:rPr>
          <w:noProof/>
        </w:rPr>
        <w:t>(Aumont et al., 2005)</w:t>
      </w:r>
      <w:r>
        <w:fldChar w:fldCharType="end"/>
      </w:r>
      <w:r>
        <w:t>, with an estimated 10</w:t>
      </w:r>
      <w:r>
        <w:rPr>
          <w:vertAlign w:val="superscript"/>
        </w:rPr>
        <w:t>4</w:t>
      </w:r>
      <w:r>
        <w:t xml:space="preserve"> to 10</w:t>
      </w:r>
      <w:r>
        <w:rPr>
          <w:vertAlign w:val="superscript"/>
        </w:rPr>
        <w:t>5</w:t>
      </w:r>
      <w:r>
        <w:t xml:space="preserve"> unique species present in the atmosphere at any one time and place </w:t>
      </w:r>
      <w:r>
        <w:fldChar w:fldCharType="begin" w:fldLock="1"/>
      </w:r>
      <w:r>
        <w:instrText>ADDIN CSL_CITATION {"citationItems":[{"id":"ITEM-1","itemData":{"DOI":"10.1021/es072476p","ISSN":"0013936X","abstract":"A substantial fraction of both gas-phase and aerosol organic compounds have not been, or have very rarely been, directly measured in the atmosphere. Goldstein and Galbally review current knowledge about atmospheric organic constituents by asking the following questions: What atmospheric organic compounds do we know about and understand? What organic compounds could be present as gases and in aerosols? What evidence exists for additional organic compounds in the atmosphere? How well do we understand the transformations and fate of atmospheric organics? They conclude by suggesting opportunities for future research directions.","author":[{"dropping-particle":"","family":"Goldstein","given":"Allen H.","non-dropping-particle":"","parse-names":false,"suffix":""},{"dropping-particle":"","family":"Galbally","given":"Ian E.","non-dropping-particle":"","parse-names":false,"suffix":""}],"container-title":"Environmental Science and Technology","id":"ITEM-1","issue":"5","issued":{"date-parts":[["2007"]]},"page":"1514-1521","title":"Known and unexplored organic constituents in the earth's atmosphere","type":"article-journal","volume":"41"},"uris":["http://www.mendeley.com/documents/?uuid=7eb4a6a9-c76f-44ab-988d-d3ee356dffb6"]}],"mendeley":{"formattedCitation":"(Goldstein and Galbally, 2007)","plainTextFormattedCitation":"(Goldstein and Galbally, 2007)","previouslyFormattedCitation":"(Goldstein and Galbally, 2007)"},"properties":{"noteIndex":0},"schema":"https://github.com/citation-style-language/schema/raw/master/csl-citation.json"}</w:instrText>
      </w:r>
      <w:r>
        <w:fldChar w:fldCharType="separate"/>
      </w:r>
      <w:r w:rsidRPr="00450E56">
        <w:rPr>
          <w:noProof/>
        </w:rPr>
        <w:t>(Goldstein and Galbally, 2007)</w:t>
      </w:r>
      <w:r>
        <w:fldChar w:fldCharType="end"/>
      </w:r>
      <w:r>
        <w:t>. To understand the chemistry or toxicity of the atmosphere, it is consequently necessary to measure a specific VOC or subset of VOCs within this dynamic mixture using methods that can capture their temporal and/or spatial variability.</w:t>
      </w:r>
    </w:p>
    <w:p w14:paraId="6995A865" w14:textId="6E95F9AF" w:rsidR="00957093" w:rsidRDefault="00957093" w:rsidP="00957093">
      <w:r>
        <w:t xml:space="preserve">There is a lack of available tools to make measurements or collect samples across an area to understand spatial distributions. Large, fixed, expensive instruments, such as mass spectrometers and gas chromatographs, record temporal variation with high chemical detail </w:t>
      </w:r>
      <w:r>
        <w:fldChar w:fldCharType="begin" w:fldLock="1"/>
      </w:r>
      <w:r>
        <w:instrText>ADDIN CSL_CITATION {"citationItems":[{"id":"ITEM-1","itemData":{"DOI":"10.1093/chromsci/48.4.274","ISSN":"00219665","abstract":"The atmosphere is a highly complex, highly reactive chemical system. There are a huge variety of emission sources of chemical compounds, both natural and man-made, which have a broad range of reactivities and can be oxidized in the atmosphere to form an even more complicated matrix of oxidation products with a multitude of atmospheric lifetimes. These gas phase species may nucleate to form new particles, be taken up by existing particles or atmospheric water, and eventually be deposited to the ground. Comprehensive two-dimensional gas chromatography (GC×GC) is an ideal tool with which to unravel the complex chemical composition of the atmosphere due to high peak capacity and sensitivity obtained and production of structured chromatograms that can increase the number of compounds identified. The high separation power can also reduce time-consuming sample preparation steps, such as extraction and derivatization, which requires conventional methods. This paper reviews the use of GC×GC to study organic compounds found in the atmosphere. Air and aerosol samples from both field work and simulation chambers have been investigated, and this paper discusses the range of modulator and detectors used, which depends on the target analytes and sampling location.","author":[{"dropping-particle":"","family":"Hamilton","given":"Jacqueline F.","non-dropping-particle":"","parse-names":false,"suffix":""}],"container-title":"Journal of Chromatographic Science","id":"ITEM-1","issue":"4","issued":{"date-parts":[["2010"]]},"page":"274-282","title":"Using comprehensive two-dimensional gas chromatography to study the atmosphere","type":"article-journal","volume":"48"},"uris":["http://www.mendeley.com/documents/?uuid=102022a6-e8bf-4615-b16e-61683e0e5664"]},{"id":"ITEM-2","itemData":{"DOI":"10.1021/cr5003485","ISSN":"15206890","PMID":"25647604","author":[{"dropping-particle":"","family":"Nozière","given":"Barbara","non-dropping-particle":"","parse-names":false,"suffix":""},{"dropping-particle":"","family":"Kalberer","given":"Markus","non-dropping-particle":"","parse-names":false,"suffix":""},{"dropping-particle":"","family":"Claeys","given":"Magda","non-dropping-particle":"","parse-names":false,"suffix":""},{"dropping-particle":"","family":"Allan","given":"James","non-dropping-particle":"","parse-names":false,"suffix":""},{"dropping-particle":"","family":"D'Anna","given":"Barbara","non-dropping-particle":"","parse-names":false,"suffix":""},{"dropping-particle":"","family":"Decesari","given":"Stefano","non-dropping-particle":"","parse-names":false,"suffix":""},{"dropping-particle":"","family":"Finessi","given":"Emanuela","non-dropping-particle":"","parse-names":false,"suffix":""},{"dropping-particle":"","family":"Glasius","given":"Marianne","non-dropping-particle":"","parse-names":false,"suffix":""},{"dropping-particle":"","family":"Grgić","given":"Irena","non-dropping-particle":"","parse-names":false,"suffix":""},{"dropping-particle":"","family":"Hamilton","given":"Jacqueline F.","non-dropping-particle":"","parse-names":false,"suffix":""},{"dropping-particle":"","family":"Hoffmann","given":"Thorsten","non-dropping-particle":"","parse-names":false,"suffix":""},{"dropping-particle":"","family":"Iinuma","given":"Yoshiteru","non-dropping-particle":"","parse-names":false,"suffix":""},{"dropping-particle":"","family":"Jaoui","given":"Mohammed","non-dropping-particle":"","parse-names":false,"suffix":""},{"dropping-particle":"","family":"Kahnt","given":"Ariane","non-dropping-particle":"","parse-names":false,"suffix":""},{"dropping-particle":"","family":"Kampf","given":"Christopher J.","non-dropping-particle":"","parse-names":false,"suffix":""},{"dropping-particle":"","family":"Kourtchev","given":"Ivan","non-dropping-particle":"","parse-names":false,"suffix":""},{"dropping-particle":"","family":"Maenhaut","given":"Willy","non-dropping-particle":"","parse-names":false,"suffix":""},{"dropping-particle":"","family":"Marsden","given":"Nicholas","non-dropping-particle":"","parse-names":false,"suffix":""},{"dropping-particle":"","family":"Saarikoski","given":"Sanna","non-dropping-particle":"","parse-names":false,"suffix":""},{"dropping-particle":"","family":"Schnelle-Kreis","given":"Jürgen","non-dropping-particle":"","parse-names":false,"suffix":""},{"dropping-particle":"","family":"Surratt","given":"Jason D.","non-dropping-particle":"","parse-names":false,"suffix":""},{"dropping-particle":"","family":"Szidat","given":"Sönke","non-dropping-particle":"","parse-names":false,"suffix":""},{"dropping-particle":"","family":"Szmigielski","given":"Rafal","non-dropping-particle":"","parse-names":false,"suffix":""},{"dropping-particle":"","family":"Wisthaler","given":"Armin","non-dropping-particle":"","parse-names":false,"suffix":""}],"container-title":"Chemical Reviews","id":"ITEM-2","issue":"10","issued":{"date-parts":[["2015"]]},"page":"3919-3983","title":"The Molecular Identification of Organic Compounds in the Atmosphere: State of the Art and Challenges","type":"article-journal","volume":"115"},"uris":["http://www.mendeley.com/documents/?uuid=ced2fc84-c575-4787-a5b0-11b31fa51721"]},{"id":"ITEM-3","itemData":{"DOI":"10.1021/acs.chemrev.7b00325","ISSN":"15206890","PMID":"28976748","abstract":"Proton-transfer-reaction mass spectrometry (PTR-MS) has been widely used to study the emissions, distributions, and chemical evolution of volatile organic compounds (VOCs) in the atmosphere. The applications of PTR-MS have greatly promoted understanding of VOC sources and their roles in air-quality issues. In the past two decades, many new mass spectrometric techniques have been applied in PTR-MS instruments, and the performance of PTR-MS has improved significantly. This Review summarizes these developments and recent applications of PTR-MS in the atmospheric sciences. We discuss the latest instrument development and characterization work on PTR-MS instruments, including the use of time-of-flight mass analyzers and new types of ion guiding interfaces. Here we review what has been learned about the specificity of different product ion signals for important atmospheric VOCs. We present some of the recent highlights of VOC research using PTR-MS including new observations in urban air, biomass-burning plumes, forested regions, oil and natural gas production regions, agricultural facilities, the marine environment, laboratory studies, and indoor air. Finally, we will summarize some further instrument developments that are aimed at improving the sensitivity and specificity of PTR-MS and extending its use to other applications in atmospheric sciences, e.g., aerosol measurements and OH reactivity measurements.","author":[{"dropping-particle":"","family":"Yuan","given":"Bin","non-dropping-particle":"","parse-names":false,"suffix":""},{"dropping-particle":"","family":"Koss","given":"Abigail R.","non-dropping-particle":"","parse-names":false,"suffix":""},{"dropping-particle":"","family":"Warneke","given":"Carsten","non-dropping-particle":"","parse-names":false,"suffix":""},{"dropping-particle":"","family":"Coggon","given":"Matthew","non-dropping-particle":"","parse-names":false,"suffix":""},{"dropping-particle":"","family":"Sekimoto","given":"Kanako","non-dropping-particle":"","parse-names":false,"suffix":""},{"dropping-particle":"","family":"Gouw","given":"Joost A.","non-dropping-particle":"De","parse-names":false,"suffix":""}],"container-title":"Chemical Reviews","id":"ITEM-3","issue":"21","issued":{"date-parts":[["2017"]]},"page":"13187-13229","title":"Proton-Transfer-Reaction Mass Spectrometry: Applications in Atmospheric Sciences","type":"article-journal","volume":"117"},"uris":["http://www.mendeley.com/documents/?uuid=9368ad25-399f-4ec2-a463-e1d3b192d6ed"]}],"mendeley":{"formattedCitation":"(Hamilton, 2010; Nozière et al., 2015; Yuan et al., 2017)","plainTextFormattedCitation":"(Hamilton, 2010; Nozière et al., 2015; Yuan et al., 2017)","previouslyFormattedCitation":"(Hamilton, 2010; Nozière et al., 2015; Yuan et al., 2017)"},"properties":{"noteIndex":0},"schema":"https://github.com/citation-style-language/schema/raw/master/csl-citation.json"}</w:instrText>
      </w:r>
      <w:r>
        <w:fldChar w:fldCharType="separate"/>
      </w:r>
      <w:r w:rsidRPr="00CB3D5C">
        <w:rPr>
          <w:noProof/>
        </w:rPr>
        <w:t>(Hamilton, 2010; Nozière et al., 2015; Yuan et al., 2017)</w:t>
      </w:r>
      <w:r>
        <w:fldChar w:fldCharType="end"/>
      </w:r>
      <w:r>
        <w:t xml:space="preserve">. These instruments may be put in mobile labs (for example, on an airplane) to get spatial information as well but require highly skilled operators and complex data analysis. In addition, the mobile labs may cover only larger spatial scales and are frequently limited to paved or otherwise constrained paths. In contrast, small handheld devices can capture both spatial and temporal variability, but these typically </w:t>
      </w:r>
      <w:r>
        <w:lastRenderedPageBreak/>
        <w:t xml:space="preserve">lack any significant chemical resolution and in many cases are insufficiently sensitive for most atmospheric species of interest </w:t>
      </w:r>
      <w:r>
        <w:fldChar w:fldCharType="begin" w:fldLock="1"/>
      </w:r>
      <w:r>
        <w:instrText>ADDIN CSL_CITATION {"citationItems":[{"id":"ITEM-1","itemData":{"DOI":"10.3390/s17071520","ISSN":"14248220","PMID":"28657595","abstract":"This article presents a literature review of sensors for the monitoring of benzene in ambient air and other volatile organic compounds. Combined with information provided by stakeholders, manufacturers and literature, the review considers commercially available sensors, including PID-based sensors, semiconductor (resistive gas sensors) and portable on-line measuring devices as for example sensor arrays. The bibliographic collection includes the following topics: sensor description, field of application at fixed sites, indoor and ambient air monitoring, range of concentration levels and limit of detection in air, model descriptions of the phenomena involved in the sensor detection process, gaseous interference selectivity of sensors in complex VOC matrix, validation data in lab experiments and under field conditions.","author":[{"dropping-particle":"","family":"Spinelle","given":"Laurent","non-dropping-particle":"","parse-names":false,"suffix":""},{"dropping-particle":"","family":"Gerboles","given":"Michel","non-dropping-particle":"","parse-names":false,"suffix":""},{"dropping-particle":"","family":"Kok","given":"Gertjan","non-dropping-particle":"","parse-names":false,"suffix":""},{"dropping-particle":"","family":"Persijn","given":"Stefan","non-dropping-particle":"","parse-names":false,"suffix":""},{"dropping-particle":"","family":"Sauerwald","given":"Tilman","non-dropping-particle":"","parse-names":false,"suffix":""}],"container-title":"Sensors (Switzerland)","id":"ITEM-1","issue":"7","issued":{"date-parts":[["2017"]]},"title":"Review of portable and low-cost sensors for the ambient air monitoring of benzene and other volatile organic compounds","type":"article-journal","volume":"17"},"uris":["http://www.mendeley.com/documents/?uuid=53c08875-3b1e-4297-9e5e-20fba9ade4a1"]}],"mendeley":{"formattedCitation":"(Spinelle et al., 2017)","plainTextFormattedCitation":"(Spinelle et al., 2017)","previouslyFormattedCitation":"(Spinelle et al., 2017)"},"properties":{"noteIndex":0},"schema":"https://github.com/citation-style-language/schema/raw/master/csl-citation.json"}</w:instrText>
      </w:r>
      <w:r>
        <w:fldChar w:fldCharType="separate"/>
      </w:r>
      <w:r w:rsidRPr="002C3DC5">
        <w:rPr>
          <w:noProof/>
        </w:rPr>
        <w:t>(Spinelle et al., 2017)</w:t>
      </w:r>
      <w:r>
        <w:fldChar w:fldCharType="end"/>
      </w:r>
      <w:r>
        <w:t xml:space="preserve">. Low-cost, </w:t>
      </w:r>
      <w:proofErr w:type="gramStart"/>
      <w:r>
        <w:t>spatially</w:t>
      </w:r>
      <w:proofErr w:type="gramEnd"/>
      <w:r>
        <w:t xml:space="preserve"> or temporally distributed measurements of VOCs frequently instead rely on collection of samples that are returned to a lab for offsite analysis to </w:t>
      </w:r>
      <w:r w:rsidR="003246FF">
        <w:t>reduce</w:t>
      </w:r>
      <w:r>
        <w:t xml:space="preserve"> the need for complex instrumentation in the field. This approach is low-cost and requires low operator effort but is also typically not autonomous or programmable; sample collection requires the on-site presence of an operator, limiting sample collection to one point in space in time with an operator present at least at the sample start time. Distributed collection of coordinated samples would instead facilitate measurements of spatial gradients that would be useful in detecting leaks, pinpointing sources of hazardous or otherwise undesirable chemical compounds in occupational settings or understanding the spatial heterogeneity of atmospheric sources or sinks of tracer compounds. </w:t>
      </w:r>
    </w:p>
    <w:p w14:paraId="2D6A25F3" w14:textId="44087D20" w:rsidR="00957093" w:rsidRDefault="00957093" w:rsidP="00957093">
      <w:r>
        <w:t xml:space="preserve">Collection of air samples for offsite analysis usually follows one of two approaches. Whole air sampling collects a complete air sample into an inert bag or canister for analysis by a laboratory instrument, while sorbent sampling pulls air across a sampling cartridge containing an adsorbent polymer that </w:t>
      </w:r>
      <w:r w:rsidRPr="000D78F6">
        <w:t>trap</w:t>
      </w:r>
      <w:r>
        <w:t>s</w:t>
      </w:r>
      <w:r w:rsidRPr="000D78F6">
        <w:t xml:space="preserve"> compounds </w:t>
      </w:r>
      <w:r>
        <w:t xml:space="preserve">which then undergo thermal desorption (TD) or chemical extraction for later analysis. In either case, analysis commonly occurs by gas chromatography-mass spectrometry (GC-MS), which offers low limits of detection and high chemical selectivity. </w:t>
      </w:r>
      <w:bookmarkStart w:id="1" w:name="_Hlk138757765"/>
      <w:r>
        <w:t xml:space="preserve">For sorbent sampling, different sorbents may be used to target various VOCs of interest and large volumes of air can be sampled </w:t>
      </w:r>
      <w:r>
        <w:fldChar w:fldCharType="begin" w:fldLock="1"/>
      </w:r>
      <w:r>
        <w:instrText>ADDIN CSL_CITATION {"citationItems":[{"id":"ITEM-1","itemData":{"DOI":"10.1016/0960-1686(90)90126-8","ISSN":"09601686","abstract":"The atmospheric organics in two remote islands and in an inland local city in Japan were measured, and it was found that semi-volatile aldehydes (C5-C11) are present ubiquitously. The mixing ratios of these aldehydes often amounted to a ppb(10-9) level, and nonanal (C9H18O) was always the most abundant of them. These aldehydes were considered to be naturally-derived. © 1990.","author":[{"dropping-particle":"","family":"Yokouchi","given":"Yoko","non-dropping-particle":"","parse-names":false,"suffix":""},{"dropping-particle":"","family":"Mukai","given":"Hitoshi","non-dropping-particle":"","parse-names":false,"suffix":""},{"dropping-particle":"","family":"Nakajima","given":"Kazu","non-dropping-particle":"","parse-names":false,"suffix":""},{"dropping-particle":"","family":"Ambe","given":"Yoshinari","non-dropping-particle":"","parse-names":false,"suffix":""}],"container-title":"Atmospheric Environment Part A, General Topics","id":"ITEM-1","issue":"2","issued":{"date-parts":[["1990"]]},"page":"439-442","title":"Semi-volatile aldehydes as predominant organic gases in remote areas","type":"article-journal","volume":"24"},"uris":["http://www.mendeley.com/documents/?uuid=792d3a97-b931-4273-b520-438421329c87"]},{"id":"ITEM-2","itemData":{"DOI":"10.1002/jhrc.1240150205","ISSN":"15214168","abstract":"A method has been developed for the collection and analysis of polar and non‐polar C4‐C14 hydrocarbons involved in the formation of photochemical smog. Enrichment of hydrocarbons from both polluted and unpolluted areas has been achieved with three‐stage traps packed with carbon adsorbents of different surface area; the use of a home‐made desorption unit employing cryofocusing then enables the determination of the compounds by HRGC‐FID. Two‐stage traps filled with graphitic carbon have been used prior to GC‐MS identification and quantitation of compounds producing overlapping peaks. The methodology has been tested in the urban area of Rome and in a pine forest, and more than 140 different compounds identified and quantitated. Many of the constituents were found to be oxygenated, either formed by photochemical reactions or of anthropogenic origin. Copyright © 1992 Dr. Alfred Huethig Publishers","author":[{"dropping-particle":"","family":"Ciccioli","given":"Paolo","non-dropping-particle":"","parse-names":false,"suffix":""},{"dropping-particle":"","family":"Cecinato","given":"Angelo","non-dropping-particle":"","parse-names":false,"suffix":""},{"dropping-particle":"","family":"Brancaleoni","given":"Enzo","non-dropping-particle":"","parse-names":false,"suffix":""},{"dropping-particle":"","family":"Frattoni","given":"Massimiliano","non-dropping-particle":"","parse-names":false,"suffix":""},{"dropping-particle":"","family":"Liberti","given":"Arnaldo","non-dropping-particle":"","parse-names":false,"suffix":""}],"container-title":"Journal of High Resolution Chromatography","id":"ITEM-2","issue":"2","issued":{"date-parts":[["1992"]]},"page":"75-84","title":"Use of carbon adsorption traps combined with high resolution gas chromatography – mass spectrometry for the analysis of polar and non‐polar C4‐C14 hydrocarbons involved in photochemical smog formation","type":"article-journal","volume":"15"},"uris":["http://www.mendeley.com/documents/?uuid=445414c6-8fbc-4d60-aa31-29c9edc5d5fa"]}],"mendeley":{"formattedCitation":"(Ciccioli et al., 1992; Yokouchi et al., 1990)","plainTextFormattedCitation":"(Ciccioli et al., 1992; Yokouchi et al., 1990)","previouslyFormattedCitation":"(Ciccioli et al., 1992; Yokouchi et al., 1990)"},"properties":{"noteIndex":0},"schema":"https://github.com/citation-style-language/schema/raw/master/csl-citation.json"}</w:instrText>
      </w:r>
      <w:r>
        <w:fldChar w:fldCharType="separate"/>
      </w:r>
      <w:r w:rsidRPr="007230A4">
        <w:rPr>
          <w:noProof/>
        </w:rPr>
        <w:t>(Ciccioli et al., 1992; Yokouchi et al., 1990)</w:t>
      </w:r>
      <w:r>
        <w:fldChar w:fldCharType="end"/>
      </w:r>
      <w:r>
        <w:t xml:space="preserve">. </w:t>
      </w:r>
      <w:bookmarkStart w:id="2" w:name="_Hlk137627516"/>
      <w:r w:rsidR="00874C2A">
        <w:t>Potential users of sorbent tubes should consult the literature and manufacturers to determine the most appropriate sorbent for their needs and target analytes, taking note of the compound</w:t>
      </w:r>
      <w:r w:rsidR="00B57383">
        <w:t xml:space="preserve"> types and</w:t>
      </w:r>
      <w:r w:rsidR="00874C2A">
        <w:t xml:space="preserve"> size ranges adsorbed </w:t>
      </w:r>
      <w:r w:rsidR="00B57383">
        <w:t>as well as</w:t>
      </w:r>
      <w:r w:rsidR="00874C2A">
        <w:t xml:space="preserve"> </w:t>
      </w:r>
      <w:r w:rsidR="00B57383">
        <w:t xml:space="preserve">potential artefacts </w:t>
      </w:r>
      <w:r w:rsidR="00B57383">
        <w:fldChar w:fldCharType="begin" w:fldLock="1"/>
      </w:r>
      <w:r w:rsidR="00AE5F1B">
        <w:instrText>ADDIN CSL_CITATION {"citationItems":[{"id":"ITEM-1","itemData":{"DOI":"10.1016/0957-1272(91)90058-M","ISSN":"09571272","abstract":"Dynamic recovery data with a simple test system show that many volatile organic compounds (VOC) found in trace amounts in air can be determined quantitatively by adsorption on Tenax TA or Carbotrap and thermal desorption. Tenax TA seems to be inert towards the compounds tested as opposed to Carbotrap, on which α-pinene and aldehydes show some reactivity. Compounds with higher boiling points up to 270°C could be quantitatively desorbed from Tenax TA, but not from Carbotrap. For very volatile organic compounds and various polar VOC, substantial losses, most probably due to breakthrough, were observed on both adsorbents. Therefore, for an overview of all VOC in air, additional adsorbents or methods must be considered. © 1991.","author":[{"dropping-particle":"","family":"Rothweiler","given":"Heinz","non-dropping-particle":"","parse-names":false,"suffix":""},{"dropping-particle":"","family":"Wäger","given":"Patrick A.","non-dropping-particle":"","parse-names":false,"suffix":""},{"dropping-particle":"","family":"Schlatter","given":"Christian","non-dropping-particle":"","parse-names":false,"suffix":""}],"container-title":"Atmospheric Environment. Part B, Urban Atmosphere","id":"ITEM-1","issue":"2","issued":{"date-parts":[["1991"]]},"page":"231-235","title":"Comparison of Tenax Ta and Carbotrap for sampling and analysis of volatile organic compounds in air","type":"article-journal","volume":"25"},"uris":["http://www.mendeley.com/documents/?uuid=8ce32480-7f22-4b8b-a84e-2c0566469131"]},{"id":"ITEM-2","itemData":{"DOI":"10.1111/j.1556-4029.2006.00314.x","ISSN":"00221198","abstract":"The aim of research was to compare two adsorbents, Tenax TA® and Carbotrap 300®, to evaluate their usefulness as passive adsorbents of flammable liquids compounds. It was also to determine whether Carbotrap 300® could be used in a passive adsorption mode, contrary to manufacturer recommendations. To compare the adsorption properties and the thermal desorption efficiency for Tenax TA® and Carbotrap, the components of test mixture were adsorbed and then chromatographically analyzed. The analysis was conducted by means of an automated thermal desorber coupled with a gas chromatograph and a mass spectrometer. This research established that although these adsorbents significantly differ from each other in adsorption properties, each of them can be successfully used for passive adsorption of ignitable liquids compounds. Tenax TA® turned out to be more effective for the adsorption of nonpolar, high-boiling compounds, whereas Carbotrap is more effective for polar and volatile compounds. The examined adsorbents differ in their susceptibility to thermal desorption. For Carbotrap 300®, after the analysis an additional treatment is required to remove the remnants of adsorbed compounds. With Tenax TA®, this additional step is not necessary because the thermal desorption is sufficiently effective that this product is immediately ready for re-use. Copyright © 2006 by American Academy of Forensic Sciences.","author":[{"dropping-particle":"","family":"Borusiewicz","given":"Rafał","non-dropping-particle":"","parse-names":false,"suffix":""},{"dropping-particle":"","family":"Ziȩba-Palus","given":"Janina","non-dropping-particle":"","parse-names":false,"suffix":""}],"container-title":"Journal of Forensic Sciences","id":"ITEM-2","issue":"1","issued":{"date-parts":[["2007"]]},"page":"70-74","title":"Comparison of the effectiveness of Tenax TA® and Carbotrap 300® in concentration of flammable liquids compounds","type":"article-journal","volume":"52"},"uris":["http://www.mendeley.com/documents/?uuid=0feff04e-c883-4652-98d7-d4c9cdb755c3"]},{"id":"ITEM-3","itemData":{"DOI":"10.1080/10473289.2006.10464560","ISSN":"21622906","PMID":"17117735","abstract":"Four popular thermally desorbable adsorbents used for air sampling (Tenax TA, Tenax GR, Carbopack B, and Carbopack X) are examined for the potential to form artifacts with ozone (O3) at environmental concentrations. The performance of these adsorbents for the ketone and alde-hyde species identified as O3-adsorbent artifacts was also characterized, including recovery, linearity, and method detection limits (MDLs). Using gas chromatography/mass spectrometry, 13 different artifacts were identified and confirmed for both Tenax TA and Tenax GR, 9 for Carbopack B, but none for Carbopack X. Several O3 artifacts not reported previously were identified, including: pentanal, 3-hexanone, 2-hexanone, hexanal, 3-heptanone, and heptanal with Tenax TA; pentanal, 3-hexanone, 2-hexanone, hexanal, and 3-heptanone on Tenax GR; and 1-octene and 1-nonene with Carbopack B. Levels of straight-chain aldehyde artifacts rapidly diminished after a few cycles of adsorbent conditioning/O3 exposure, and concentrations could be predicted using a first-order model. Phenyl-substituted carbonyl artifacts (benzalde-hyde and acetophenone) persisted on Tenax TA and GR even after 10 O3 exposure-conditioning cycles. O3 breakthrough through the adsorbent bed was most rapid in adsorbents that yielded the highest levels of artifacts. Overall, artifact composition and concentration are shown to depend on O3 concentration and dose, conditioning method, and adsorbent type and age. Calibrations showed good linearity, and most compounds had reasonable recoveries, for example, 90 ±15% for Tenax TA, 97 ±23% for Tenax GR, 101 ±24% for Carbopack B, and 79 ±25% (91 ±9% for n-aldehydes) for Carbopack X. Benzeneacetaldehyde recovery was notably poorer (22–63% across the four adsorbents). MDLs for several compounds were relatively high, up to 5 ng. By accounting for both artifact formation and method performance, this work helps to identify which carbonyl compounds can be measured using thermally desorbable adsorbents and which may be prone to bias because of the formation of O3− adsorbent artifacts. © 2006 Air &amp; Waste Management Association.","author":[{"dropping-particle":"","family":"Hwan Lee","given":"Jae","non-dropping-particle":"","parse-names":false,"suffix":""},{"dropping-particle":"","family":"Batterman","given":"Stuart A.","non-dropping-particle":"","parse-names":false,"suffix":""},{"dropping-particle":"","family":"Jia","given":"Chunrong","non-dropping-particle":"","parse-names":false,"suffix":""},{"dropping-particle":"","family":"Chernyak","given":"Sergei","non-dropping-particle":"","parse-names":false,"suffix":""}],"container-title":"Journal of the Air and Waste Management Association","id":"ITEM-3","issue":"11","issued":{"date-parts":[["2006"]]},"page":"1503-1517","title":"Ozone artifacts and carbonyl measurements using tenax GR, tenax TA, carbopack B, and carbopack X adsorbents","type":"article-journal","volume":"56"},"uris":["http://www.mendeley.com/documents/?uuid=df3b0288-e43e-4196-95dc-b23d5e6cd4fe"]},{"id":"ITEM-4","itemData":{"DOI":"10.1016/0021-9673(94)00908-2","ISSN":"00219673","abstract":"The levels of blank artifacts on four adsorbents commonly used for air sampling (Tenax-TA, Tenax-GR, Carbotrap and Chromosorb 106) were observed to increase during storage. This may determine the detection limits and hence their suitability for the passive sampling of volatile organic compounds in ambient air. Blank build-up on Chromosorb 106 was very high. and this material cannot be used for passive sampling in ambient air. The blank build-up on Carbotrap was also high, especially in the Chromatographic range corresponding to hydrocarbons of ≤C5, but that on Tenax-TA and Tenax-GR was very low. Simultaneous sampling was carried out using different adsorbents, and for compounds that are the main artifacts on adsorbents (e.g., benzene on Tenax, benzene and toluene on Carbotrap) the results from Carbotrap are much higher than those from Tenax-TA and Tenax-GR, and the results from Tenax-TA and Tenax-GR also vary. © 1994.","author":[{"dropping-particle":"","family":"Cao","given":"Xu Liang","non-dropping-particle":"","parse-names":false,"suffix":""},{"dropping-particle":"","family":"Nicholas Hewitt","given":"C.","non-dropping-particle":"","parse-names":false,"suffix":""}],"container-title":"Journal of Chromatography A","id":"ITEM-4","issue":"1-2","issued":{"date-parts":[["1994"]]},"page":"368-374","title":"Build-up of artifacts on adsorbents during storage and its effect on passive sampling and gas chromatography-flame ionization detection of low concentrations of volatile organic compounds in air","type":"article-journal","volume":"688"},"uris":["http://www.mendeley.com/documents/?uuid=6956ead2-064c-4ae2-811c-7206bc86ebf0"]},{"id":"ITEM-5","itemData":{"DOI":"10.1021/es025680f","ISSN":"0013936X","PMID":"12380084","abstract":"The degradation of the adsorbent Tenax TA was studied qualitatively by sampling oxidants common in indoor air followed by thermal desorption and gas chromatography. A total of 25 degradation products were identified. Several degradation products not reported previously were identified: 9 for nitrogen dioxide; 11 for ozone; 2 for hydrogen peroxide; 12 for hydroxyl radical; 1 for ozonelimonene mixtures, but none for nitrogen oxide. Whereas ozone shows a complex degradation of the adsorbent, hydrogen peroxide and limonene-ozone mixtures show few products. Nitrogen dioxide and the hydroxyl radical behave almost identically and produce 2,6-diphenyl-p-benzoquinone as the major degradation product. Reactant specific degradation products were identified for ozone (11) and nitrogen dioxide (1).","author":[{"dropping-particle":"","family":"Klenø","given":"Jacob G.","non-dropping-particle":"","parse-names":false,"suffix":""},{"dropping-particle":"","family":"Wolkoff","given":"Peder","non-dropping-particle":"","parse-names":false,"suffix":""},{"dropping-particle":"","family":"Clausen","given":"Per A.","non-dropping-particle":"","parse-names":false,"suffix":""},{"dropping-particle":"","family":"Wilkins","given":"Cornelius K.","non-dropping-particle":"","parse-names":false,"suffix":""},{"dropping-particle":"","family":"Pedersen","given":"Thorvald","non-dropping-particle":"","parse-names":false,"suffix":""}],"container-title":"Environmental Science and Technology","id":"ITEM-5","issue":"19","issued":{"date-parts":[["2002"]]},"page":"4121-4126","title":"Degradation of the adsorbent tenax TA by nitrogen oxides, ozone, hydrogen peroxide, OH radical, and limonene oxidation products","type":"article-journal","volume":"36"},"uris":["http://www.mendeley.com/documents/?uuid=ed8198de-e614-499b-b212-a3fe4ed7a7c5"]}],"mendeley":{"formattedCitation":"(Borusiewicz and Ziȩba-Palus, 2007; Cao and Nicholas Hewitt, 1994; Hwan Lee et al., 2006; Klenø et al., 2002; Rothweiler et al., 1991)","plainTextFormattedCitation":"(Borusiewicz and Ziȩba-Palus, 2007; Cao and Nicholas Hewitt, 1994; Hwan Lee et al., 2006; Klenø et al., 2002; Rothweiler et al., 1991)","previouslyFormattedCitation":"(Borusiewicz and Ziȩba-Palus, 2007; Cao and Nicholas Hewitt, 1994; Hwan Lee et al., 2006; Klenø et al., 2002; Rothweiler et al., 1991)"},"properties":{"noteIndex":0},"schema":"https://github.com/citation-style-language/schema/raw/master/csl-citation.json"}</w:instrText>
      </w:r>
      <w:r w:rsidR="00B57383">
        <w:fldChar w:fldCharType="separate"/>
      </w:r>
      <w:r w:rsidR="00B57383" w:rsidRPr="00B57383">
        <w:rPr>
          <w:noProof/>
        </w:rPr>
        <w:t>(Borusiewicz and Ziȩba-Palus, 2007; Cao and Nicholas Hewitt, 1994; Hwan Lee et al., 2006; Klenø et al., 2002; Rothweiler et al., 1991)</w:t>
      </w:r>
      <w:r w:rsidR="00B57383">
        <w:fldChar w:fldCharType="end"/>
      </w:r>
      <w:r w:rsidR="00B57383">
        <w:t>.</w:t>
      </w:r>
      <w:r w:rsidR="00073C8B">
        <w:t xml:space="preserve"> </w:t>
      </w:r>
      <w:r>
        <w:t xml:space="preserve">Advantages of sorbent tubes and TD over whole air samplers are </w:t>
      </w:r>
      <w:bookmarkEnd w:id="1"/>
      <w:r>
        <w:t>the tubes’ small size and portability, lower cost, increased ability to transfer less volatile (C</w:t>
      </w:r>
      <w:r w:rsidRPr="00013D2C">
        <w:rPr>
          <w:vertAlign w:val="subscript"/>
        </w:rPr>
        <w:t>10</w:t>
      </w:r>
      <w:r>
        <w:t xml:space="preserve"> and greater) and polar compounds, and </w:t>
      </w:r>
      <w:r w:rsidR="00C914A3">
        <w:t>greater ease of cleaning</w:t>
      </w:r>
      <w:bookmarkEnd w:id="2"/>
      <w:r>
        <w:t xml:space="preserve"> </w:t>
      </w:r>
      <w:r>
        <w:fldChar w:fldCharType="begin" w:fldLock="1"/>
      </w:r>
      <w:r w:rsidR="00990331">
        <w:instrText>ADDIN CSL_CITATION {"citationItems":[{"id":"ITEM-1","itemData":{"DOI":"10.1080/10473289.1997.10464411","ISSN":"21622906","abstract":"This paper presents a review of current practice and recent research into the use of sorbent tubes for monitoring VOCs in ambient air. Data are presented that demonstrate the viability of sorbent tubes with regard to artifact formation, analyte range, storage stability, concentration range, and recovery; the implications of this data are discussed in terms of detection limits, method validity, and method limitations. Guidance is also presented on the practical application of sorbent tube sampling derived from this information—for example, sorbent selection, pump flow rates, safe sample volumes, storage conditions, etc. Techniques and practical considerations for the thermal desorption-capillary GC analysis of sorbent tubes—such as calibration methods, moisture management, method validation procedures, and typical analytical conditions—are also reviewed and discussed. Expected analytical performance is presented in terms of precision and detection limits. © 1997 Air &amp; Waste Management Association.","author":[{"dropping-particle":"","family":"Woolfenden","given":"Elizabeth","non-dropping-particle":"","parse-names":false,"suffix":""}],"container-title":"Journal of the Air and Waste Management Association","id":"ITEM-1","issue":"1","issued":{"date-parts":[["1997"]]},"page":"20-36","title":"Monitoring vocs in air using sorbent tubes followed by thermal desorption-capillary gc analysis: Summary of data and practical guidelines","type":"article-journal","volume":"47"},"uris":["http://www.mendeley.com/documents/?uuid=aa1cf2cf-09f4-437e-8b94-495d5282a758"]},{"id":"ITEM-2","itemData":{"DOI":"10.1016/0021-9673(93)80536-H","ISSN":"00219673","abstract":"The spatial and temporal distribution of volatile organic compounds (VOCs) in air samples taken beside a semi-industrialised estuary was intensively studied over a two-year period. Samples were collected by trapping VOCs onto multi-bed traps packed with graphitised carbon black sorbents capable of selectively trapping a wide range of volatile substances. Samples were then analysed using an automated thermal desorption technique followed by capillary column gas chromatography with simultaneous detection of volatile eluates using flame ionisation and ion trap detectors. The lower limit of detection was circa 0.5 ng m-3 for most compounds. The major groups of organic compounds collected were C1-C4 alkylbenzenes, alkanes and alkenes, and chlorinated solvents. Terpenes were also found in high concentrations in forested areas which fringe the estuary. Significant seasonal differences in the distribution and concentration of VOCs occur between summer and winter. A case study from the VOCs research in and around the Southampton Water estuary on the central southern coastline of England is presented as an example of the method application. © 1993.","author":[{"dropping-particle":"","family":"Bianchi","given":"Alexander P.","non-dropping-particle":"","parse-names":false,"suffix":""},{"dropping-particle":"","family":"Varney","given":"Mark S.","non-dropping-particle":"","parse-names":false,"suffix":""}],"container-title":"Journal of Chromatography A","id":"ITEM-2","issue":"1-2","issued":{"date-parts":[["1993"]]},"page":"11-23","title":"Sampling and analysis of volatile organic compounds in estuarine air by gas chromatography and mass spectrometry","type":"article-journal","volume":"643"},"uris":["http://www.mendeley.com/documents/?uuid=d233077b-9664-4883-b6af-e96d8e5ba0c0"]},{"id":"ITEM-3","itemData":{"DOI":"10.1002/jhrc.1240150205","ISSN":"15214168","abstract":"A method has been developed for the collection and analysis of polar and non‐polar C4‐C14 hydrocarbons involved in the formation of photochemical smog. Enrichment of hydrocarbons from both polluted and unpolluted areas has been achieved with three‐stage traps packed with carbon adsorbents of different surface area; the use of a home‐made desorption unit employing cryofocusing then enables the determination of the compounds by HRGC‐FID. Two‐stage traps filled with graphitic carbon have been used prior to GC‐MS identification and quantitation of compounds producing overlapping peaks. The methodology has been tested in the urban area of Rome and in a pine forest, and more than 140 different compounds identified and quantitated. Many of the constituents were found to be oxygenated, either formed by photochemical reactions or of anthropogenic origin. Copyright © 1992 Dr. Alfred Huethig Publishers","author":[{"dropping-particle":"","family":"Ciccioli","given":"Paolo","non-dropping-particle":"","parse-names":false,"suffix":""},{"dropping-particle":"","family":"Cecinato","given":"Angelo","non-dropping-particle":"","parse-names":false,"suffix":""},{"dropping-particle":"","family":"Brancaleoni","given":"Enzo","non-dropping-particle":"","parse-names":false,"suffix":""},{"dropping-particle":"","family":"Frattoni","given":"Massimiliano","non-dropping-particle":"","parse-names":false,"suffix":""},{"dropping-particle":"","family":"Liberti","given":"Arnaldo","non-dropping-particle":"","parse-names":false,"suffix":""}],"container-title":"Journal of High Resolution Chromatography","id":"ITEM-3","issue":"2","issued":{"date-parts":[["1992"]]},"page":"75-84","title":"Use of carbon adsorption traps combined with high resolution gas chromatography – mass spectrometry for the analysis of polar and non‐polar C4‐C14 hydrocarbons involved in photochemical smog formation","type":"article-journal","volume":"15"},"uris":["http://www.mendeley.com/documents/?uuid=445414c6-8fbc-4d60-aa31-29c9edc5d5fa"]},{"id":"ITEM-4","itemData":{"PMID":"611","abstract":"This document describes a sorbent tube/thermal desorption/gas chromatographic-based monitoring method for volatile organic compounds (VOCs) in ambient air at 0.5 to 25 parts per billion (ppbv) concentration levels. Performance criteria are provided as part of the method in Section 14. EPA has previously published Compendium Method TO-1 describing the use of the porous polymer Tenax® GC for sampling nonpolar VOCs and Compendium Method TO-2 describing the use of carbon molecular sieve for highly volatile, nonpolar organics (1). Since these methods were developed, a new generation of thermal desorption systems as well as new types of solid adsorbents have become available commercially. These sorbents are used singly or in multisorbent packings. Tubes with more than one sorbent, packed in order of increasing sorbent strength are used to facilitate quantitative retention and desorption of VOCs over a wide volatility range. The higher molecular weight compounds are retained on the front, least retentive sorbent; the more volatile compounds are retained farther into the packing on a stronger adsorbent. The higher molecular weight compounds never encounter the stronger adsorbents, thereby improving the efficiency of the thermal desorption process.","author":[{"dropping-particle":"","family":"U.S. Environmental Protection Agency (EPA)","given":"","non-dropping-particle":"","parse-names":false,"suffix":""}],"container-title":"Compendium of Methods for the Determination of Toxic Organic Compounds in Ambient Air","id":"ITEM-4","issue":"January","issued":{"date-parts":[["1999"]]},"page":"1-53","title":"Compendium Method TO-17: Determination of Volatile Organic Compounds in Ambient Air Using Active Sampling Onto Sorbent Tubes","type":"article-journal"},"uris":["http://www.mendeley.com/documents/?uuid=f2668b90-9b69-4cf7-8320-63d7c774e326"]}],"mendeley":{"formattedCitation":"(Bianchi and Varney, 1993; Ciccioli et al., 1992; U.S. Environmental Protection Agency (EPA), 1999; Woolfenden, 1997)","plainTextFormattedCitation":"(Bianchi and Varney, 1993; Ciccioli et al., 1992; U.S. Environmental Protection Agency (EPA), 1999; Woolfenden, 1997)","previouslyFormattedCitation":"(Bianchi and Varney, 1993; Ciccioli et al., 1992; U.S. Environmental Protection Agency (EPA), 1999; Woolfenden, 1997)"},"properties":{"noteIndex":0},"schema":"https://github.com/citation-style-language/schema/raw/master/csl-citation.json"}</w:instrText>
      </w:r>
      <w:r>
        <w:fldChar w:fldCharType="separate"/>
      </w:r>
      <w:r w:rsidR="00CB498A" w:rsidRPr="00CB498A">
        <w:rPr>
          <w:noProof/>
        </w:rPr>
        <w:t>(Bianchi and Varney, 1993; Ciccioli et al., 1992; U.S. Environmental Protection Agency (EPA), 1999; Woolfenden, 1997)</w:t>
      </w:r>
      <w:r>
        <w:fldChar w:fldCharType="end"/>
      </w:r>
      <w:r>
        <w:t xml:space="preserve">. </w:t>
      </w:r>
      <w:bookmarkStart w:id="3" w:name="_Hlk138777463"/>
      <w:r>
        <w:t>Drawbacks of the tubes are the limited ability to sample the most volatile compounds (&lt;C</w:t>
      </w:r>
      <w:r w:rsidRPr="0083084E">
        <w:rPr>
          <w:vertAlign w:val="subscript"/>
        </w:rPr>
        <w:t>4</w:t>
      </w:r>
      <w:r>
        <w:t xml:space="preserve">), the presence of artefacts, the need to refrigerate unanalysed samples, and the requirement for a sampling pump </w:t>
      </w:r>
      <w:r>
        <w:fldChar w:fldCharType="begin" w:fldLock="1"/>
      </w:r>
      <w:r>
        <w:instrText>ADDIN CSL_CITATION {"citationItems":[{"id":"ITEM-1","itemData":{"DOI":"10.1080/10473289.1997.10464411","ISSN":"21622906","abstract":"This paper presents a review of current practice and recent research into the use of sorbent tubes for monitoring VOCs in ambient air. Data are presented that demonstrate the viability of sorbent tubes with regard to artifact formation, analyte range, storage stability, concentration range, and recovery; the implications of this data are discussed in terms of detection limits, method validity, and method limitations. Guidance is also presented on the practical application of sorbent tube sampling derived from this information—for example, sorbent selection, pump flow rates, safe sample volumes, storage conditions, etc. Techniques and practical considerations for the thermal desorption-capillary GC analysis of sorbent tubes—such as calibration methods, moisture management, method validation procedures, and typical analytical conditions—are also reviewed and discussed. Expected analytical performance is presented in terms of precision and detection limits. © 1997 Air &amp; Waste Management Association.","author":[{"dropping-particle":"","family":"Woolfenden","given":"Elizabeth","non-dropping-particle":"","parse-names":false,"suffix":""}],"container-title":"Journal of the Air and Waste Management Association","id":"ITEM-1","issue":"1","issued":{"date-parts":[["1997"]]},"page":"20-36","title":"Monitoring vocs in air using sorbent tubes followed by thermal desorption-capillary gc analysis: Summary of data and practical guidelines","type":"article-journal","volume":"47"},"uris":["http://www.mendeley.com/documents/?uuid=aa1cf2cf-09f4-437e-8b94-495d5282a758"]},{"id":"ITEM-2","itemData":{"DOI":"10.1002/jhrc.1240150205","ISSN":"15214168","abstract":"A method has been developed for the collection and analysis of polar and non‐polar C4‐C14 hydrocarbons involved in the formation of photochemical smog. Enrichment of hydrocarbons from both polluted and unpolluted areas has been achieved with three‐stage traps packed with carbon adsorbents of different surface area; the use of a home‐made desorption unit employing cryofocusing then enables the determination of the compounds by HRGC‐FID. Two‐stage traps filled with graphitic carbon have been used prior to GC‐MS identification and quantitation of compounds producing overlapping peaks. The methodology has been tested in the urban area of Rome and in a pine forest, and more than 140 different compounds identified and quantitated. Many of the constituents were found to be oxygenated, either formed by photochemical reactions or of anthropogenic origin. Copyright © 1992 Dr. Alfred Huethig Publishers","author":[{"dropping-particle":"","family":"Ciccioli","given":"Paolo","non-dropping-particle":"","parse-names":false,"suffix":""},{"dropping-particle":"","family":"Cecinato","given":"Angelo","non-dropping-particle":"","parse-names":false,"suffix":""},{"dropping-particle":"","family":"Brancaleoni","given":"Enzo","non-dropping-particle":"","parse-names":false,"suffix":""},{"dropping-particle":"","family":"Frattoni","given":"Massimiliano","non-dropping-particle":"","parse-names":false,"suffix":""},{"dropping-particle":"","family":"Liberti","given":"Arnaldo","non-dropping-particle":"","parse-names":false,"suffix":""}],"container-title":"Journal of High Resolution Chromatography","id":"ITEM-2","issue":"2","issued":{"date-parts":[["1992"]]},"page":"75-84","title":"Use of carbon adsorption traps combined with high resolution gas chromatography – mass spectrometry for the analysis of polar and non‐polar C4‐C14 hydrocarbons involved in photochemical smog formation","type":"article-journal","volume":"15"},"uris":["http://www.mendeley.com/documents/?uuid=445414c6-8fbc-4d60-aa31-29c9edc5d5fa"]},{"id":"ITEM-3","itemData":{"DOI":"10.1351/pac198961112047","ISSN":"0033-4545","author":[{"dropping-particle":"","family":"Betz","given":"W. R.","non-dropping-particle":"","parse-names":false,"suffix":""},{"dropping-particle":"","family":"Supina","given":"W. R.","non-dropping-particle":"","parse-names":false,"suffix":""}],"container-title":"Pure and Applied Chemistry","id":"ITEM-3","issue":"11","issued":{"date-parts":[["1989"]]},"page":"2047-2050","title":"Use of thermally modified carbon black and carbon molecular sieve adsorbents in sampling air contaminants","type":"article-journal","volume":"61"},"uris":["http://www.mendeley.com/documents/?uuid=2339c213-0ae4-49f6-8361-0e1f0edca966"]},{"id":"ITEM-4","itemData":{"DOI":"10.1016/0021-9673(93)80536-H","ISSN":"00219673","abstract":"The spatial and temporal distribution of volatile organic compounds (VOCs) in air samples taken beside a semi-industrialised estuary was intensively studied over a two-year period. Samples were collected by trapping VOCs onto multi-bed traps packed with graphitised carbon black sorbents capable of selectively trapping a wide range of volatile substances. Samples were then analysed using an automated thermal desorption technique followed by capillary column gas chromatography with simultaneous detection of volatile eluates using flame ionisation and ion trap detectors. The lower limit of detection was circa 0.5 ng m-3 for most compounds. The major groups of organic compounds collected were C1-C4 alkylbenzenes, alkanes and alkenes, and chlorinated solvents. Terpenes were also found in high concentrations in forested areas which fringe the estuary. Significant seasonal differences in the distribution and concentration of VOCs occur between summer and winter. A case study from the VOCs research in and around the Southampton Water estuary on the central southern coastline of England is presented as an example of the method application. © 1993.","author":[{"dropping-particle":"","family":"Bianchi","given":"Alexander P.","non-dropping-particle":"","parse-names":false,"suffix":""},{"dropping-particle":"","family":"Varney","given":"Mark S.","non-dropping-particle":"","parse-names":false,"suffix":""}],"container-title":"Journal of Chromatography A","id":"ITEM-4","issue":"1-2","issued":{"date-parts":[["1993"]]},"page":"11-23","title":"Sampling and analysis of volatile organic compounds in estuarine air by gas chromatography and mass spectrometry","type":"article-journal","volume":"643"},"uris":["http://www.mendeley.com/documents/?uuid=d233077b-9664-4883-b6af-e96d8e5ba0c0"]}],"mendeley":{"formattedCitation":"(Betz and Supina, 1989; Bianchi and Varney, 1993; Ciccioli et al., 1992; Woolfenden, 1997)","plainTextFormattedCitation":"(Betz and Supina, 1989; Bianchi and Varney, 1993; Ciccioli et al., 1992; Woolfenden, 1997)","previouslyFormattedCitation":"(Betz and Supina, 1989; Bianchi and Varney, 1993; Ciccioli et al., 1992; Woolfenden, 1997)"},"properties":{"noteIndex":0},"schema":"https://github.com/citation-style-language/schema/raw/master/csl-citation.json"}</w:instrText>
      </w:r>
      <w:r>
        <w:fldChar w:fldCharType="separate"/>
      </w:r>
      <w:r w:rsidRPr="007230A4">
        <w:rPr>
          <w:noProof/>
        </w:rPr>
        <w:t>(Betz and Supina, 1989; Bianchi and Varney, 1993; Ciccioli et al., 1992; Woolfenden, 1997)</w:t>
      </w:r>
      <w:r>
        <w:fldChar w:fldCharType="end"/>
      </w:r>
      <w:r>
        <w:t xml:space="preserve">. </w:t>
      </w:r>
      <w:bookmarkStart w:id="4" w:name="_Hlk137628310"/>
      <w:r w:rsidR="005958FE">
        <w:t>Furthermore, accurate measurements of absolute analyte concentrations require knowledge of breakthrough volumes, i.e.</w:t>
      </w:r>
      <w:r w:rsidR="004D5139">
        <w:t>,</w:t>
      </w:r>
      <w:r w:rsidR="005958FE">
        <w:t xml:space="preserve"> the volume of sampled air that would completely elute the analyte through the sorbent and lead to underestimates</w:t>
      </w:r>
      <w:r w:rsidR="00FC6FB4">
        <w:t xml:space="preserve"> </w:t>
      </w:r>
      <w:r w:rsidR="00FC6FB4">
        <w:fldChar w:fldCharType="begin" w:fldLock="1"/>
      </w:r>
      <w:r w:rsidR="00527B30">
        <w:instrText>ADDIN CSL_CITATION {"citationItems":[{"id":"ITEM-1","itemData":{"DOI":"10.1093/annhyg/37.1.65","ISSN":"00034878","abstract":"Organic vapours in air can be sampled by concentration on a solid sorbent. A known quantity of air is passed through a tube containing the sorbent, and the adsorbed vapours can subsequently be desorbed and analysed. To match sorbent and sorbate correctly, the maximum volume of air that can be sampled without significant breakthrough of the sorbate into the effluent stream must be known. Many factors might influence the course of breakthrough, including vapour concentration, temperature, humidity, interferences, flow-rate and sorbent bed geometry. A thorough investigation of the effects of these factors on the breakthrough of organic vapours on two porous polymers is presented. The dependence of breakthrough volume on concentration that is predicted by existing theories of frontal (gas-solid) chromatography is confirmed, and the relationship is shown to be closely linked to the shape of the adsorption isotherm. The results were checked using sample tubes with back-up sections to detect breakthrough. Sample rates as low as 20 ml min-1 confirmed predicted breakthrough volumes. Breakthrough volumes determined using the technique of continuous vapour assault under carefully controlled 'worst-case' conditions (the 'direct' method) can be used to predict safe sample volumes, according to NIOSH and OSHA protocols. Safe sample volumes derived from breakthrough volumes determined using a technique based on chromatographic retention volumes (the 'indirect' method) are not comparable. To avoid confusion when referring to values obtained by the indirect technique the term 'safe sample volume' should not be used. Where sample tubes without back-up sections are employed, so that breakthrough cannot be detected, there must be confidence that sample loss has not occurred. © 1993, British Occupational Hygiene Society.","author":[{"dropping-particle":"","family":"Harper","given":"Martin","non-dropping-particle":"","parse-names":false,"suffix":""}],"container-title":"Annals of Occupational Hygiene","id":"ITEM-1","issue":"1","issued":{"date-parts":[["1993"]]},"page":"65-88","title":"Evaluation of solid sorbent sampling methods by breakthrough volume studies","type":"article-journal","volume":"37"},"uris":["http://www.mendeley.com/documents/?uuid=e8dc724f-85c6-4bda-9c7e-46ecaa23bdf4"]}],"mendeley":{"formattedCitation":"(Harper, 1993)","plainTextFormattedCitation":"(Harper, 1993)","previouslyFormattedCitation":"(Harper, 1993)"},"properties":{"noteIndex":0},"schema":"https://github.com/citation-style-language/schema/raw/master/csl-citation.json"}</w:instrText>
      </w:r>
      <w:r w:rsidR="00FC6FB4">
        <w:fldChar w:fldCharType="separate"/>
      </w:r>
      <w:r w:rsidR="00FC6FB4" w:rsidRPr="00FC6FB4">
        <w:rPr>
          <w:noProof/>
        </w:rPr>
        <w:t>(Harper, 1993)</w:t>
      </w:r>
      <w:r w:rsidR="00FC6FB4">
        <w:fldChar w:fldCharType="end"/>
      </w:r>
      <w:r w:rsidR="005958FE">
        <w:t>.</w:t>
      </w:r>
      <w:r w:rsidR="00FC6FB4">
        <w:t xml:space="preserve"> </w:t>
      </w:r>
      <w:bookmarkEnd w:id="3"/>
      <w:r>
        <w:t>Due to their reusability, stability, and small size, sorbent tube sampling (sometimes referred to as “gas sampling cartridges”) provides an attractive method for low-cost, portable sample collection. However, most current sorbent tube sampling technologies lack programmability, autonomy, portability, and/or computerized standardization (e.g., controlled flow rates) that would enable coordinated distributed sample collection.</w:t>
      </w:r>
    </w:p>
    <w:p w14:paraId="5C3EAD66" w14:textId="5265D68F" w:rsidR="00957093" w:rsidRDefault="00957093" w:rsidP="00957093">
      <w:bookmarkStart w:id="5" w:name="_Hlk138576771"/>
      <w:bookmarkEnd w:id="4"/>
      <w:r>
        <w:t xml:space="preserve">We present here a versatile, lightweight, battery- and solar-powered sampler capable of collecting atmospheric VOCs on sorbent tubes for GC-MS analysis, with simultaneous sampling across a network of samplers enabled by programmable sampling and weatherproof design. </w:t>
      </w:r>
      <w:bookmarkStart w:id="6" w:name="_Hlk137635098"/>
      <w:r>
        <w:t>By enabling coordinated and self-powered sampling across multiple locations, these samplers fill a current gap in the need for affordable, lightweight devices capable of capturing</w:t>
      </w:r>
      <w:r w:rsidR="00F93A79">
        <w:t xml:space="preserve"> </w:t>
      </w:r>
      <w:r>
        <w:t>spatial and</w:t>
      </w:r>
      <w:r w:rsidR="00576DEC">
        <w:t xml:space="preserve"> </w:t>
      </w:r>
      <w:r>
        <w:t xml:space="preserve">temporal </w:t>
      </w:r>
      <w:r>
        <w:lastRenderedPageBreak/>
        <w:t>variabilities</w:t>
      </w:r>
      <w:r w:rsidR="00B65978">
        <w:t xml:space="preserve"> </w:t>
      </w:r>
      <w:r w:rsidR="00B65978" w:rsidRPr="00981061">
        <w:rPr>
          <w:rFonts w:asciiTheme="minorHAnsi" w:hAnsiTheme="minorHAnsi" w:cstheme="minorHAnsi"/>
          <w:szCs w:val="20"/>
        </w:rPr>
        <w:t>(on scales as small as meters and as fast as ~hours)</w:t>
      </w:r>
      <w:r>
        <w:t xml:space="preserve"> of analytes of interest in diverse settings</w:t>
      </w:r>
      <w:r w:rsidRPr="00B65978">
        <w:rPr>
          <w:szCs w:val="20"/>
        </w:rPr>
        <w:t>.</w:t>
      </w:r>
      <w:bookmarkEnd w:id="6"/>
      <w:r w:rsidR="00B65978" w:rsidRPr="00B65978">
        <w:rPr>
          <w:szCs w:val="20"/>
        </w:rPr>
        <w:t xml:space="preserve"> </w:t>
      </w:r>
      <w:bookmarkStart w:id="7" w:name="_Hlk138577827"/>
      <w:r w:rsidR="00B65978" w:rsidRPr="00981061">
        <w:rPr>
          <w:rFonts w:asciiTheme="minorHAnsi" w:hAnsiTheme="minorHAnsi" w:cstheme="minorHAnsi"/>
          <w:szCs w:val="20"/>
        </w:rPr>
        <w:t>As will all analyses relying on sorbent cartridges or chromatography, sample analysis does require skilled personnel to operate the instrumentation and process the data, though the lower costs and mobility of the samplers should offer researchers much more latitude in sampling protocols</w:t>
      </w:r>
      <w:bookmarkEnd w:id="7"/>
      <w:r w:rsidR="00B65978" w:rsidRPr="00981061">
        <w:rPr>
          <w:rFonts w:asciiTheme="minorHAnsi" w:hAnsiTheme="minorHAnsi" w:cstheme="minorHAnsi"/>
          <w:szCs w:val="20"/>
        </w:rPr>
        <w:t>.</w:t>
      </w:r>
      <w:r w:rsidRPr="00B65978">
        <w:rPr>
          <w:szCs w:val="20"/>
        </w:rPr>
        <w:t xml:space="preserve"> </w:t>
      </w:r>
      <w:r>
        <w:t>In this work, we describe the design of the sampler, demonstrate the reproducibility of sampling, and demonstrate the utility of a simultaneous network of multiple samplers, including a unique approach to pinpointing an emission source across a spatially heterogeneous area</w:t>
      </w:r>
      <w:bookmarkEnd w:id="5"/>
      <w:r>
        <w:t>.</w:t>
      </w:r>
    </w:p>
    <w:p w14:paraId="1899BF57" w14:textId="77777777" w:rsidR="00957093" w:rsidRDefault="00957093" w:rsidP="00957093"/>
    <w:p w14:paraId="66FDF03C" w14:textId="5A2478F1" w:rsidR="00957093" w:rsidRDefault="00957093" w:rsidP="00957093">
      <w:pPr>
        <w:pStyle w:val="Heading1"/>
      </w:pPr>
      <w:r>
        <w:t>2 Materials and Methods</w:t>
      </w:r>
    </w:p>
    <w:p w14:paraId="7BFA9ECC" w14:textId="5FA25DCA" w:rsidR="00957093" w:rsidRDefault="00957093" w:rsidP="00957093">
      <w:pPr>
        <w:pStyle w:val="Heading2"/>
      </w:pPr>
      <w:r>
        <w:t>2.1 Design and features of sampling boxes</w:t>
      </w:r>
    </w:p>
    <w:p w14:paraId="12835F04" w14:textId="2CF4828A" w:rsidR="00F32440" w:rsidRPr="00981061" w:rsidRDefault="00F32440" w:rsidP="00981061">
      <w:pPr>
        <w:pStyle w:val="NormalWeb"/>
        <w:spacing w:before="0" w:beforeAutospacing="0" w:line="360" w:lineRule="auto"/>
        <w:rPr>
          <w:rFonts w:asciiTheme="minorHAnsi" w:hAnsiTheme="minorHAnsi" w:cstheme="minorHAnsi"/>
          <w:color w:val="000000" w:themeColor="text1"/>
          <w:szCs w:val="20"/>
        </w:rPr>
      </w:pPr>
      <w:r w:rsidRPr="00981061">
        <w:rPr>
          <w:sz w:val="20"/>
          <w:szCs w:val="20"/>
        </w:rPr>
        <w:t>Sampler boxes consist of a water- and air-tight polycarbonate case with a transparent lid, a visible LCD, and hidden electronics (Fig.</w:t>
      </w:r>
      <w:r w:rsidR="00FC016A" w:rsidRPr="00981061">
        <w:rPr>
          <w:sz w:val="20"/>
          <w:szCs w:val="20"/>
        </w:rPr>
        <w:t xml:space="preserve"> </w:t>
      </w:r>
      <w:r w:rsidRPr="00981061">
        <w:rPr>
          <w:sz w:val="20"/>
          <w:szCs w:val="20"/>
        </w:rPr>
        <w:t>1). Air is sampled through Teflon™ tubing connected to a metal adsorbent gas cartridge (3.5 in. × ¼ in. diameter) housed within the case. Sampled air is pulled by a variable-speed miniature diaphragm pump (</w:t>
      </w:r>
      <w:proofErr w:type="spellStart"/>
      <w:r w:rsidRPr="00981061">
        <w:rPr>
          <w:sz w:val="20"/>
          <w:szCs w:val="20"/>
        </w:rPr>
        <w:t>Xavitech</w:t>
      </w:r>
      <w:proofErr w:type="spellEnd"/>
      <w:r w:rsidRPr="00981061">
        <w:rPr>
          <w:sz w:val="20"/>
          <w:szCs w:val="20"/>
        </w:rPr>
        <w:t xml:space="preserve"> V200) and measured by a flowmeter (Honeywell Zephyr HAFBLF0200CAAX5) between the tube and pump; air is exhausted into the case, with a pressure relief valve to avoid </w:t>
      </w:r>
      <w:proofErr w:type="spellStart"/>
      <w:r w:rsidRPr="00981061">
        <w:rPr>
          <w:sz w:val="20"/>
          <w:szCs w:val="20"/>
        </w:rPr>
        <w:t>overpressurization</w:t>
      </w:r>
      <w:proofErr w:type="spellEnd"/>
      <w:r w:rsidRPr="00981061">
        <w:rPr>
          <w:sz w:val="20"/>
          <w:szCs w:val="20"/>
        </w:rPr>
        <w:t>. A microcontroller with a real-time clock (PJRC Teensy</w:t>
      </w:r>
      <w:r w:rsidRPr="00981061">
        <w:rPr>
          <w:sz w:val="20"/>
          <w:szCs w:val="20"/>
          <w:vertAlign w:val="superscript"/>
        </w:rPr>
        <w:t>®</w:t>
      </w:r>
      <w:r w:rsidRPr="00981061">
        <w:rPr>
          <w:sz w:val="20"/>
          <w:szCs w:val="20"/>
        </w:rPr>
        <w:t xml:space="preserve"> 3.5) receives flow measurements and provides a variable voltage to the pump to maintain a constant user-specified flow (50 to 300 </w:t>
      </w:r>
      <w:proofErr w:type="spellStart"/>
      <w:r w:rsidRPr="00981061">
        <w:rPr>
          <w:sz w:val="20"/>
          <w:szCs w:val="20"/>
        </w:rPr>
        <w:t>ccm</w:t>
      </w:r>
      <w:proofErr w:type="spellEnd"/>
      <w:r w:rsidRPr="00981061">
        <w:rPr>
          <w:sz w:val="20"/>
          <w:szCs w:val="20"/>
        </w:rPr>
        <w:t>). Measured flow rate, case temperature, time until sample start, and elapsed sample time are stored on an on-board SD card and displayed to the user on a two-line LCD alongside a physical button for limited user interaction; the backlight on the LCD can be turned off during operation to conserve power.</w:t>
      </w:r>
      <w:r>
        <w:t xml:space="preserve"> </w:t>
      </w:r>
      <w:r w:rsidR="00095203" w:rsidRPr="00981061">
        <w:rPr>
          <w:rFonts w:asciiTheme="minorHAnsi" w:hAnsiTheme="minorHAnsi" w:cstheme="minorHAnsi"/>
          <w:color w:val="000000" w:themeColor="text1"/>
          <w:sz w:val="20"/>
          <w:szCs w:val="20"/>
        </w:rPr>
        <w:t xml:space="preserve">Communication between the pump, flowmeter, and microcontroller is managed by a custom circuit board with an onboard temperature sensor (Microchip MCP9700), with firmware written in the Arduino IDE. </w:t>
      </w:r>
      <w:r w:rsidRPr="00981061">
        <w:rPr>
          <w:sz w:val="20"/>
          <w:szCs w:val="20"/>
        </w:rPr>
        <w:t xml:space="preserve">Easy physical access to communicate with the microcontroller is provided by a </w:t>
      </w:r>
      <w:proofErr w:type="spellStart"/>
      <w:r w:rsidRPr="00981061">
        <w:rPr>
          <w:sz w:val="20"/>
          <w:szCs w:val="20"/>
        </w:rPr>
        <w:t>microUSB</w:t>
      </w:r>
      <w:proofErr w:type="spellEnd"/>
      <w:r w:rsidRPr="00981061">
        <w:rPr>
          <w:sz w:val="20"/>
          <w:szCs w:val="20"/>
        </w:rPr>
        <w:t xml:space="preserve"> port next to the LCD to easily update the firmware. Changes to flow rate and synchronization between samplers can be achieved through minor firmware updates, with readily available modes for: immediate start, start after a user-specified elapsed time, start at a specific time of day, or start at a specific date and time.</w:t>
      </w:r>
    </w:p>
    <w:p w14:paraId="54E0DA45" w14:textId="0A8BE3A9" w:rsidR="00F32440" w:rsidRPr="00981061" w:rsidRDefault="00F32440" w:rsidP="00981061">
      <w:pPr>
        <w:pStyle w:val="NormalWeb"/>
        <w:spacing w:before="0" w:beforeAutospacing="0" w:line="360" w:lineRule="auto"/>
        <w:rPr>
          <w:rFonts w:asciiTheme="minorHAnsi" w:hAnsiTheme="minorHAnsi" w:cstheme="minorHAnsi"/>
          <w:color w:val="000000" w:themeColor="text1"/>
          <w:szCs w:val="20"/>
        </w:rPr>
      </w:pPr>
      <w:bookmarkStart w:id="8" w:name="_Hlk138666845"/>
      <w:r w:rsidRPr="00981061">
        <w:rPr>
          <w:sz w:val="20"/>
          <w:szCs w:val="20"/>
        </w:rPr>
        <w:t xml:space="preserve">Power is supplied by a rechargeable 5V 12,800 </w:t>
      </w:r>
      <w:proofErr w:type="spellStart"/>
      <w:r w:rsidRPr="00981061">
        <w:rPr>
          <w:sz w:val="20"/>
          <w:szCs w:val="20"/>
        </w:rPr>
        <w:t>mAh</w:t>
      </w:r>
      <w:proofErr w:type="spellEnd"/>
      <w:r w:rsidRPr="00981061">
        <w:rPr>
          <w:sz w:val="20"/>
          <w:szCs w:val="20"/>
        </w:rPr>
        <w:t xml:space="preserve"> battery (i.e., USB power pack, Voltaic Systems V50) that powers the sampler for 49 hours at a higher sample flow (250 </w:t>
      </w:r>
      <w:proofErr w:type="spellStart"/>
      <w:r w:rsidRPr="00981061">
        <w:rPr>
          <w:sz w:val="20"/>
          <w:szCs w:val="20"/>
        </w:rPr>
        <w:t>ccm</w:t>
      </w:r>
      <w:proofErr w:type="spellEnd"/>
      <w:r w:rsidRPr="00981061">
        <w:rPr>
          <w:sz w:val="20"/>
          <w:szCs w:val="20"/>
        </w:rPr>
        <w:t xml:space="preserve">) or for 65 hours at low sample flow (50 </w:t>
      </w:r>
      <w:proofErr w:type="spellStart"/>
      <w:r w:rsidRPr="00981061">
        <w:rPr>
          <w:sz w:val="20"/>
          <w:szCs w:val="20"/>
        </w:rPr>
        <w:t>ccm</w:t>
      </w:r>
      <w:proofErr w:type="spellEnd"/>
      <w:r w:rsidRPr="00981061">
        <w:rPr>
          <w:sz w:val="20"/>
          <w:szCs w:val="20"/>
        </w:rPr>
        <w:t xml:space="preserve">). The battery is designed to be charged by solar panels while in use to extend sampling (potentially indefinitely). </w:t>
      </w:r>
      <w:bookmarkStart w:id="9" w:name="_Hlk138687951"/>
      <w:r w:rsidR="00095203" w:rsidRPr="00981061">
        <w:rPr>
          <w:rFonts w:asciiTheme="minorHAnsi" w:hAnsiTheme="minorHAnsi" w:cstheme="minorHAnsi"/>
          <w:sz w:val="20"/>
          <w:szCs w:val="20"/>
        </w:rPr>
        <w:t>The case and external components are all at least IP66-rated, ensuring the samplers are rugged and weatherproof; successful deployment in this work occurred under both wet and freezing cold conditions. Because sampled air is exhausted into the box and out through the pressure release valve (Fig. 1), residence time of air in the box is only a few minutes and the internal box temperature is maintained near ambient temperatures.</w:t>
      </w:r>
      <w:bookmarkEnd w:id="9"/>
      <w:r w:rsidR="00095203">
        <w:rPr>
          <w:rFonts w:asciiTheme="minorHAnsi" w:hAnsiTheme="minorHAnsi" w:cstheme="minorHAnsi"/>
          <w:sz w:val="20"/>
          <w:szCs w:val="20"/>
        </w:rPr>
        <w:t xml:space="preserve"> </w:t>
      </w:r>
      <w:r w:rsidR="001B4846" w:rsidRPr="00981061">
        <w:rPr>
          <w:sz w:val="20"/>
          <w:szCs w:val="20"/>
        </w:rPr>
        <w:t xml:space="preserve">The sampler dimensions are approximately 14 cm x 22 cm x 10 cm and weigh 1 kg. Most of the size and weight of the sampler is due to the ruggedized box and high-capacity battery; the electronic components are all </w:t>
      </w:r>
      <w:r w:rsidR="001B4846" w:rsidRPr="00981061">
        <w:rPr>
          <w:sz w:val="20"/>
          <w:szCs w:val="20"/>
        </w:rPr>
        <w:lastRenderedPageBreak/>
        <w:t xml:space="preserve">mounted on a panel within the case that can be removed to create a </w:t>
      </w:r>
      <w:r w:rsidR="00E27DEB">
        <w:rPr>
          <w:sz w:val="20"/>
          <w:szCs w:val="20"/>
        </w:rPr>
        <w:t xml:space="preserve">serviceable </w:t>
      </w:r>
      <w:r w:rsidR="001B4846" w:rsidRPr="00981061">
        <w:rPr>
          <w:sz w:val="20"/>
          <w:szCs w:val="20"/>
        </w:rPr>
        <w:t>250 g version that has been tested for short-term deployment on small mobile platforms such as drones. In addition, many of the components used in this work are suitable for the development of a multi-channel sampler prototype, which was built and tested to allow sequential sampling but is outside the scope of this manuscript, which focuses on distributed and portable sampling.</w:t>
      </w:r>
    </w:p>
    <w:bookmarkEnd w:id="8"/>
    <w:p w14:paraId="28D24BE5" w14:textId="709D52E9" w:rsidR="00F32440" w:rsidRDefault="00F32440" w:rsidP="00F32440">
      <w:pPr>
        <w:pStyle w:val="Heading2"/>
      </w:pPr>
      <w:r>
        <w:t>2.2 Analysis of samples</w:t>
      </w:r>
    </w:p>
    <w:p w14:paraId="6F1F5FFF" w14:textId="4BE634B4" w:rsidR="00F32440" w:rsidRPr="00981061" w:rsidRDefault="00F32440" w:rsidP="00F32440">
      <w:pPr>
        <w:rPr>
          <w:rFonts w:cstheme="minorHAnsi"/>
          <w:color w:val="000000" w:themeColor="text1"/>
        </w:rPr>
      </w:pPr>
      <w:r>
        <w:t xml:space="preserve">Gas sampling cartridges consist of commercially available stainless-steel </w:t>
      </w:r>
      <w:r w:rsidRPr="006E2445">
        <w:rPr>
          <w:szCs w:val="20"/>
        </w:rPr>
        <w:t>tubes packed with one or more adsorbing polymer</w:t>
      </w:r>
      <w:r w:rsidR="00E27DEB">
        <w:rPr>
          <w:szCs w:val="20"/>
        </w:rPr>
        <w:t>s</w:t>
      </w:r>
      <w:r w:rsidRPr="006E2445">
        <w:rPr>
          <w:szCs w:val="20"/>
        </w:rPr>
        <w:t xml:space="preserve"> (</w:t>
      </w:r>
      <w:proofErr w:type="spellStart"/>
      <w:r w:rsidRPr="006E2445">
        <w:rPr>
          <w:szCs w:val="20"/>
        </w:rPr>
        <w:t>Tenax</w:t>
      </w:r>
      <w:proofErr w:type="spellEnd"/>
      <w:r w:rsidRPr="006E2445">
        <w:rPr>
          <w:szCs w:val="20"/>
          <w:vertAlign w:val="superscript"/>
        </w:rPr>
        <w:t>®</w:t>
      </w:r>
      <w:r w:rsidRPr="006E2445">
        <w:rPr>
          <w:szCs w:val="20"/>
        </w:rPr>
        <w:t xml:space="preserve"> TA, </w:t>
      </w:r>
      <w:proofErr w:type="spellStart"/>
      <w:r w:rsidRPr="006E2445">
        <w:rPr>
          <w:szCs w:val="20"/>
        </w:rPr>
        <w:t>Tenax</w:t>
      </w:r>
      <w:proofErr w:type="spellEnd"/>
      <w:r w:rsidRPr="006E2445">
        <w:rPr>
          <w:szCs w:val="20"/>
          <w:vertAlign w:val="superscript"/>
        </w:rPr>
        <w:t>®</w:t>
      </w:r>
      <w:r w:rsidRPr="006E2445">
        <w:rPr>
          <w:szCs w:val="20"/>
        </w:rPr>
        <w:t xml:space="preserve"> GR, </w:t>
      </w:r>
      <w:proofErr w:type="spellStart"/>
      <w:r w:rsidRPr="006E2445">
        <w:rPr>
          <w:szCs w:val="20"/>
        </w:rPr>
        <w:t>Carbotrap</w:t>
      </w:r>
      <w:proofErr w:type="spellEnd"/>
      <w:r w:rsidRPr="006E2445">
        <w:rPr>
          <w:szCs w:val="20"/>
          <w:vertAlign w:val="superscript"/>
        </w:rPr>
        <w:t>®</w:t>
      </w:r>
      <w:r w:rsidRPr="006E2445">
        <w:rPr>
          <w:szCs w:val="20"/>
        </w:rPr>
        <w:t xml:space="preserve"> 202, obtained from Sigma-Aldrich). </w:t>
      </w:r>
      <w:bookmarkStart w:id="10" w:name="_Hlk139496474"/>
      <w:r w:rsidR="006E2445" w:rsidRPr="00981061">
        <w:rPr>
          <w:rFonts w:asciiTheme="minorHAnsi" w:eastAsiaTheme="minorHAnsi" w:hAnsiTheme="minorHAnsi" w:cstheme="minorBidi"/>
          <w:szCs w:val="20"/>
        </w:rPr>
        <w:t xml:space="preserve">These sorbents target broad ranges of mid- and lower-volatility gases </w:t>
      </w:r>
      <w:r w:rsidR="00E27DEB">
        <w:rPr>
          <w:rFonts w:asciiTheme="minorHAnsi" w:eastAsiaTheme="minorHAnsi" w:hAnsiTheme="minorHAnsi" w:cstheme="minorBidi"/>
          <w:szCs w:val="20"/>
        </w:rPr>
        <w:t>and</w:t>
      </w:r>
      <w:r w:rsidR="006E2445" w:rsidRPr="00981061">
        <w:rPr>
          <w:rFonts w:asciiTheme="minorHAnsi" w:eastAsiaTheme="minorHAnsi" w:hAnsiTheme="minorHAnsi" w:cstheme="minorBidi"/>
          <w:szCs w:val="20"/>
        </w:rPr>
        <w:t xml:space="preserve"> </w:t>
      </w:r>
      <w:r w:rsidR="00E27DEB">
        <w:rPr>
          <w:rFonts w:asciiTheme="minorHAnsi" w:eastAsiaTheme="minorHAnsi" w:hAnsiTheme="minorHAnsi" w:cstheme="minorBidi"/>
          <w:szCs w:val="20"/>
        </w:rPr>
        <w:t>can be</w:t>
      </w:r>
      <w:r w:rsidR="006E2445" w:rsidRPr="00981061">
        <w:rPr>
          <w:rFonts w:asciiTheme="minorHAnsi" w:eastAsiaTheme="minorHAnsi" w:hAnsiTheme="minorHAnsi" w:cstheme="minorBidi"/>
          <w:szCs w:val="20"/>
        </w:rPr>
        <w:t xml:space="preserve"> used to validate the samplers across a wide range </w:t>
      </w:r>
      <w:r w:rsidR="006E2445" w:rsidRPr="00981061">
        <w:rPr>
          <w:szCs w:val="20"/>
        </w:rPr>
        <w:t xml:space="preserve">of </w:t>
      </w:r>
      <w:r w:rsidR="006E2445" w:rsidRPr="00981061">
        <w:rPr>
          <w:rFonts w:asciiTheme="minorHAnsi" w:eastAsiaTheme="minorHAnsi" w:hAnsiTheme="minorHAnsi" w:cstheme="minorBidi"/>
          <w:szCs w:val="20"/>
        </w:rPr>
        <w:t xml:space="preserve">gases, including the more moderate-volatility gases that are more likely to suffer sampling losses on </w:t>
      </w:r>
      <w:r w:rsidR="006E2445" w:rsidRPr="006E2445">
        <w:rPr>
          <w:rFonts w:asciiTheme="minorHAnsi" w:eastAsiaTheme="minorHAnsi" w:hAnsiTheme="minorHAnsi" w:cstheme="minorBidi"/>
          <w:szCs w:val="20"/>
        </w:rPr>
        <w:t>surfaces</w:t>
      </w:r>
      <w:r w:rsidR="006E2445" w:rsidRPr="006E2445">
        <w:rPr>
          <w:szCs w:val="20"/>
        </w:rPr>
        <w:t>.</w:t>
      </w:r>
      <w:r w:rsidR="006E2445" w:rsidRPr="006E2445">
        <w:rPr>
          <w:rFonts w:cstheme="minorHAnsi"/>
          <w:color w:val="000000" w:themeColor="text1"/>
        </w:rPr>
        <w:t xml:space="preserve"> </w:t>
      </w:r>
      <w:r>
        <w:t xml:space="preserve">Cartridges were thermally desorbed for analysis (TD-100-xr, Markes International) by gas chromatography and mass spectrometry (GC/MS; Focus GC/DSQ II MS, </w:t>
      </w:r>
      <w:proofErr w:type="spellStart"/>
      <w:r>
        <w:t>Thermo</w:t>
      </w:r>
      <w:proofErr w:type="spellEnd"/>
      <w:r>
        <w:t xml:space="preserve"> Scientific). Tubes were thermally desorbed at 250</w:t>
      </w:r>
      <w:r w:rsidRPr="005F3FE9">
        <w:rPr>
          <w:rFonts w:cs="Calibri"/>
        </w:rPr>
        <w:t>°C for 8 minutes, with a desorption flow of 50 mL/min</w:t>
      </w:r>
      <w:r>
        <w:rPr>
          <w:rFonts w:cs="Calibri"/>
        </w:rPr>
        <w:t xml:space="preserve"> and </w:t>
      </w:r>
      <w:r w:rsidRPr="005F3FE9">
        <w:rPr>
          <w:rFonts w:cs="Calibri"/>
        </w:rPr>
        <w:t>a flow path temperature of 190°C</w:t>
      </w:r>
      <w:r>
        <w:rPr>
          <w:rFonts w:cs="Calibri"/>
        </w:rPr>
        <w:t>.</w:t>
      </w:r>
      <w:r w:rsidR="00E9116C">
        <w:rPr>
          <w:rFonts w:cs="Calibri"/>
        </w:rPr>
        <w:t xml:space="preserve"> Due to nearly constant use of the sorbent cartridges, it was determined that analysis of the tubes was equivalent to a cleaning step; however, tubes that had not been analysed for more than a few days were conditioned before use.</w:t>
      </w:r>
      <w:r>
        <w:rPr>
          <w:rFonts w:cs="Calibri"/>
        </w:rPr>
        <w:t xml:space="preserve"> </w:t>
      </w:r>
      <w:bookmarkEnd w:id="10"/>
      <w:r>
        <w:rPr>
          <w:rFonts w:cs="Calibri"/>
        </w:rPr>
        <w:t xml:space="preserve">Analytes were refocused on a </w:t>
      </w:r>
      <w:r w:rsidRPr="005F3FE9">
        <w:rPr>
          <w:rFonts w:cs="Calibri"/>
        </w:rPr>
        <w:t xml:space="preserve">cold trap </w:t>
      </w:r>
      <w:r>
        <w:rPr>
          <w:rFonts w:cs="Calibri"/>
        </w:rPr>
        <w:t xml:space="preserve">at </w:t>
      </w:r>
      <w:r w:rsidRPr="005F3FE9">
        <w:rPr>
          <w:rFonts w:cs="Calibri"/>
        </w:rPr>
        <w:t>-30°C</w:t>
      </w:r>
      <w:r>
        <w:rPr>
          <w:rFonts w:cs="Calibri"/>
        </w:rPr>
        <w:t xml:space="preserve"> before subsequent re-desorption </w:t>
      </w:r>
      <w:r w:rsidRPr="005F3FE9">
        <w:rPr>
          <w:rFonts w:cs="Calibri"/>
        </w:rPr>
        <w:t>at a temperature of 320°C for 4 minutes</w:t>
      </w:r>
      <w:r>
        <w:rPr>
          <w:rFonts w:cs="Calibri"/>
        </w:rPr>
        <w:t xml:space="preserve"> to the GC. </w:t>
      </w:r>
      <w:r>
        <w:t>Separation was achieved using a nonpolar column (DB-5 phase, 30m x 0.25mm x 0.25</w:t>
      </w:r>
      <w:r w:rsidRPr="005F3FE9">
        <w:rPr>
          <w:rFonts w:cs="Calibri"/>
        </w:rPr>
        <w:t>µ</w:t>
      </w:r>
      <w:r>
        <w:t>m) followed by detection by a unit-mass resolution quadrupole mass spectrometer (scan rate = 5 Hz, mass range = 33 – 350 amu). The GC temperature program was held at 40</w:t>
      </w:r>
      <w:r w:rsidRPr="005F3FE9">
        <w:rPr>
          <w:rFonts w:cs="Calibri"/>
        </w:rPr>
        <w:t xml:space="preserve">°C for 4 minutes, ramped at 15°C/min to 300°C, then held at 300°C for 5 minutes for a total run time of 26.3 minutes. For </w:t>
      </w:r>
      <w:r>
        <w:rPr>
          <w:rFonts w:cs="Calibri"/>
        </w:rPr>
        <w:t xml:space="preserve">analysis of liquid </w:t>
      </w:r>
      <w:r w:rsidRPr="005F3FE9">
        <w:rPr>
          <w:rFonts w:cs="Calibri"/>
        </w:rPr>
        <w:t>standard</w:t>
      </w:r>
      <w:r>
        <w:rPr>
          <w:rFonts w:cs="Calibri"/>
        </w:rPr>
        <w:t xml:space="preserve"> mixtures</w:t>
      </w:r>
      <w:r w:rsidRPr="005F3FE9">
        <w:rPr>
          <w:rFonts w:cs="Calibri"/>
        </w:rPr>
        <w:t>,</w:t>
      </w:r>
      <w:r>
        <w:rPr>
          <w:rFonts w:cs="Calibri"/>
        </w:rPr>
        <w:t xml:space="preserve"> dichloromethane (DCM) or n-hexane served as solvents and</w:t>
      </w:r>
      <w:r w:rsidRPr="005F3FE9">
        <w:rPr>
          <w:rFonts w:cs="Calibri"/>
        </w:rPr>
        <w:t xml:space="preserve"> a 2.5-minute solvent delay was </w:t>
      </w:r>
      <w:r>
        <w:rPr>
          <w:rFonts w:cs="Calibri"/>
        </w:rPr>
        <w:t xml:space="preserve">used to avoid detector saturation. </w:t>
      </w:r>
      <w:r w:rsidRPr="005F3FE9">
        <w:rPr>
          <w:rFonts w:cs="Calibri"/>
        </w:rPr>
        <w:t>Mass spectra of the eluting peaks were identified by comparison with the NIST mass spectral library</w:t>
      </w:r>
      <w:r>
        <w:rPr>
          <w:rFonts w:cs="Calibri"/>
        </w:rPr>
        <w:t xml:space="preserve"> </w:t>
      </w:r>
      <w:r w:rsidRPr="005F3FE9">
        <w:rPr>
          <w:rFonts w:cs="Calibri"/>
        </w:rPr>
        <w:fldChar w:fldCharType="begin" w:fldLock="1"/>
      </w:r>
      <w:r>
        <w:rPr>
          <w:rFonts w:cs="Calibri"/>
        </w:rPr>
        <w:instrText>ADDIN CSL_CITATION {"citationItems":[{"id":"ITEM-1","itemData":{"DOI":"10.18434/T4D303","author":[{"dropping-particle":"","family":"Wallace","given":"William E.","non-dropping-particle":"","parse-names":false,"suffix":""}],"container-title":"NIST Chemistry WebBook, NIST Standard Reference Database, Number 69","editor":[{"dropping-particle":"","family":"Linstrom","given":"P.J.","non-dropping-particle":"","parse-names":false,"suffix":""},{"dropping-particle":"","family":"Mallard","given":"W.G.","non-dropping-particle":"","parse-names":false,"suffix":""}],"id":"ITEM-1","issued":{"date-parts":[["2019"]]},"publisher":"National Institute of Standards and Technology","publisher-place":"Gaithersburg, MD 20899","title":"Mass Spectra","type":"chapter"},"uris":["http://www.mendeley.com/documents/?uuid=5573cdf7-9b5b-4f31-bae7-2d0faf23bd4b"]}],"mendeley":{"formattedCitation":"(Wallace, 2019)","plainTextFormattedCitation":"(Wallace, 2019)","previouslyFormattedCitation":"(Wallace, 2019)"},"properties":{"noteIndex":0},"schema":"https://github.com/citation-style-language/schema/raw/master/csl-citation.json"}</w:instrText>
      </w:r>
      <w:r w:rsidRPr="005F3FE9">
        <w:rPr>
          <w:rFonts w:cs="Calibri"/>
        </w:rPr>
        <w:fldChar w:fldCharType="separate"/>
      </w:r>
      <w:r w:rsidRPr="00E54523">
        <w:rPr>
          <w:rFonts w:cs="Calibri"/>
          <w:noProof/>
        </w:rPr>
        <w:t>(Wallace, 2019)</w:t>
      </w:r>
      <w:r w:rsidRPr="005F3FE9">
        <w:rPr>
          <w:rFonts w:cs="Calibri"/>
        </w:rPr>
        <w:fldChar w:fldCharType="end"/>
      </w:r>
      <w:r w:rsidRPr="005F3FE9">
        <w:rPr>
          <w:rFonts w:cs="Calibri"/>
        </w:rPr>
        <w:t xml:space="preserve"> and further corroborated by their retention times against an alkane standard (</w:t>
      </w:r>
      <w:proofErr w:type="spellStart"/>
      <w:r w:rsidRPr="005F3FE9">
        <w:rPr>
          <w:rFonts w:cs="Calibri"/>
        </w:rPr>
        <w:t>Supelco</w:t>
      </w:r>
      <w:proofErr w:type="spellEnd"/>
      <w:r w:rsidRPr="005F3FE9">
        <w:rPr>
          <w:rFonts w:cs="Calibri"/>
        </w:rPr>
        <w:t xml:space="preserve"> Product # 04070).</w:t>
      </w:r>
    </w:p>
    <w:p w14:paraId="21B2AFA7" w14:textId="77777777" w:rsidR="00F32440" w:rsidRDefault="00F32440" w:rsidP="00F32440">
      <w:pPr>
        <w:ind w:firstLine="640"/>
        <w:rPr>
          <w:rFonts w:cs="Calibri"/>
        </w:rPr>
      </w:pPr>
      <w:r>
        <w:rPr>
          <w:rFonts w:cs="Calibri"/>
        </w:rPr>
        <w:t xml:space="preserve">Reproducibility and variability of sampled analytes can be measured based on integrated chromatographic peak area assuming linear response of the MS, so calibration of relative signal to yield quantitative ambient concentrations is not a focus of this work. However, calibrated ambient concentrations are reported for the spatial variability experiment (see </w:t>
      </w:r>
      <w:r w:rsidRPr="00346B16">
        <w:rPr>
          <w:rFonts w:cs="Calibri"/>
        </w:rPr>
        <w:t>Section 2.4.2</w:t>
      </w:r>
      <w:r>
        <w:rPr>
          <w:rFonts w:cs="Calibri"/>
        </w:rPr>
        <w:t>) to demonstrate that introduced emissions sources would be generating atmospherically relevant concentrations for measurement. In all analyses, a</w:t>
      </w:r>
      <w:r w:rsidRPr="005F3FE9">
        <w:rPr>
          <w:rFonts w:cs="Calibri"/>
        </w:rPr>
        <w:t xml:space="preserve"> blank </w:t>
      </w:r>
      <w:r>
        <w:rPr>
          <w:rFonts w:cs="Calibri"/>
        </w:rPr>
        <w:t xml:space="preserve">sample </w:t>
      </w:r>
      <w:r w:rsidRPr="005F3FE9">
        <w:rPr>
          <w:rFonts w:cs="Calibri"/>
        </w:rPr>
        <w:t xml:space="preserve">was </w:t>
      </w:r>
      <w:r>
        <w:rPr>
          <w:rFonts w:cs="Calibri"/>
        </w:rPr>
        <w:t>analysed consisting of a cartridge on which no sample was collected</w:t>
      </w:r>
      <w:r w:rsidRPr="005F3FE9">
        <w:rPr>
          <w:rFonts w:cs="Calibri"/>
        </w:rPr>
        <w:t>, and the analyte peak areas from the sample tubes were corrected by subtracting the peak areas (if any) observed in the blank. Compounds known to be commonly occurring art</w:t>
      </w:r>
      <w:r>
        <w:rPr>
          <w:rFonts w:cs="Calibri"/>
        </w:rPr>
        <w:t>e</w:t>
      </w:r>
      <w:r w:rsidRPr="005F3FE9">
        <w:rPr>
          <w:rFonts w:cs="Calibri"/>
        </w:rPr>
        <w:t xml:space="preserve">facts of </w:t>
      </w:r>
      <w:r>
        <w:rPr>
          <w:rFonts w:cs="Calibri"/>
        </w:rPr>
        <w:t>the used sorbent</w:t>
      </w:r>
      <w:r w:rsidRPr="005F3FE9">
        <w:rPr>
          <w:rFonts w:cs="Calibri"/>
        </w:rPr>
        <w:t xml:space="preserve">, such as straight-chain aldehydes and phenyl-substituted carbonyls </w:t>
      </w:r>
      <w:r w:rsidRPr="005F3FE9">
        <w:rPr>
          <w:rFonts w:cs="Calibri"/>
        </w:rPr>
        <w:fldChar w:fldCharType="begin" w:fldLock="1"/>
      </w:r>
      <w:r>
        <w:rPr>
          <w:rFonts w:cs="Calibri"/>
        </w:rPr>
        <w:instrText>ADDIN CSL_CITATION {"citationItems":[{"id":"ITEM-1","itemData":{"DOI":"10.1021/es025680f","ISSN":"0013936X","PMID":"12380084","abstract":"The degradation of the adsorbent Tenax TA was studied qualitatively by sampling oxidants common in indoor air followed by thermal desorption and gas chromatography. A total of 25 degradation products were identified. Several degradation products not reported previously were identified: 9 for nitrogen dioxide; 11 for ozone; 2 for hydrogen peroxide; 12 for hydroxyl radical; 1 for ozonelimonene mixtures, but none for nitrogen oxide. Whereas ozone shows a complex degradation of the adsorbent, hydrogen peroxide and limonene-ozone mixtures show few products. Nitrogen dioxide and the hydroxyl radical behave almost identically and produce 2,6-diphenyl-p-benzoquinone as the major degradation product. Reactant specific degradation products were identified for ozone (11) and nitrogen dioxide (1).","author":[{"dropping-particle":"","family":"Klenø","given":"Jacob G.","non-dropping-particle":"","parse-names":false,"suffix":""},{"dropping-particle":"","family":"Wolkoff","given":"Peder","non-dropping-particle":"","parse-names":false,"suffix":""},{"dropping-particle":"","family":"Clausen","given":"Per A.","non-dropping-particle":"","parse-names":false,"suffix":""},{"dropping-particle":"","family":"Wilkins","given":"Cornelius K.","non-dropping-particle":"","parse-names":false,"suffix":""},{"dropping-particle":"","family":"Pedersen","given":"Thorvald","non-dropping-particle":"","parse-names":false,"suffix":""}],"container-title":"Environmental Science and Technology","id":"ITEM-1","issue":"19","issued":{"date-parts":[["2002"]]},"page":"4121-4126","title":"Degradation of the adsorbent tenax TA by nitrogen oxides, ozone, hydrogen peroxide, OH radical, and limonene oxidation products","type":"article-journal","volume":"36"},"uris":["http://www.mendeley.com/documents/?uuid=ed8198de-e614-499b-b212-a3fe4ed7a7c5"]},{"id":"ITEM-2","itemData":{"DOI":"10.1080/10473289.2006.10464560","ISSN":"21622906","PMID":"17117735","abstract":"Four popular thermally desorbable adsorbents used for air sampling (Tenax TA, Tenax GR, Carbopack B, and Carbopack X) are examined for the potential to form artifacts with ozone (O3) at environmental concentrations. The performance of these adsorbents for the ketone and alde-hyde species identified as O3-adsorbent artifacts was also characterized, including recovery, linearity, and method detection limits (MDLs). Using gas chromatography/mass spectrometry, 13 different artifacts were identified and confirmed for both Tenax TA and Tenax GR, 9 for Carbopack B, but none for Carbopack X. Several O3 artifacts not reported previously were identified, including: pentanal, 3-hexanone, 2-hexanone, hexanal, 3-heptanone, and heptanal with Tenax TA; pentanal, 3-hexanone, 2-hexanone, hexanal, and 3-heptanone on Tenax GR; and 1-octene and 1-nonene with Carbopack B. Levels of straight-chain aldehyde artifacts rapidly diminished after a few cycles of adsorbent conditioning/O3 exposure, and concentrations could be predicted using a first-order model. Phenyl-substituted carbonyl artifacts (benzalde-hyde and acetophenone) persisted on Tenax TA and GR even after 10 O3 exposure-conditioning cycles. O3 breakthrough through the adsorbent bed was most rapid in adsorbents that yielded the highest levels of artifacts. Overall, artifact composition and concentration are shown to depend on O3 concentration and dose, conditioning method, and adsorbent type and age. Calibrations showed good linearity, and most compounds had reasonable recoveries, for example, 90 ±15% for Tenax TA, 97 ±23% for Tenax GR, 101 ±24% for Carbopack B, and 79 ±25% (91 ±9% for n-aldehydes) for Carbopack X. Benzeneacetaldehyde recovery was notably poorer (22–63% across the four adsorbents). MDLs for several compounds were relatively high, up to 5 ng. By accounting for both artifact formation and method performance, this work helps to identify which carbonyl compounds can be measured using thermally desorbable adsorbents and which may be prone to bias because of the formation of O3− adsorbent artifacts. © 2006 Air &amp; Waste Management Association.","author":[{"dropping-particle":"","family":"Hwan Lee","given":"Jae","non-dropping-particle":"","parse-names":false,"suffix":""},{"dropping-particle":"","family":"Batterman","given":"Stuart A.","non-dropping-particle":"","parse-names":false,"suffix":""},{"dropping-particle":"","family":"Jia","given":"Chunrong","non-dropping-particle":"","parse-names":false,"suffix":""},{"dropping-particle":"","family":"Chernyak","given":"Sergei","non-dropping-particle":"","parse-names":false,"suffix":""}],"container-title":"Journal of the Air and Waste Management Association","id":"ITEM-2","issue":"11","issued":{"date-parts":[["2006"]]},"page":"1503-1517","title":"Ozone artifacts and carbonyl measurements using tenax GR, tenax TA, carbopack B, and carbopack X adsorbents","type":"article-journal","volume":"56"},"uris":["http://www.mendeley.com/documents/?uuid=df3b0288-e43e-4196-95dc-b23d5e6cd4fe"]}],"mendeley":{"formattedCitation":"(Hwan Lee et al., 2006; Klenø et al., 2002)","plainTextFormattedCitation":"(Hwan Lee et al., 2006; Klenø et al., 2002)","previouslyFormattedCitation":"(Hwan Lee et al., 2006; Klenø et al., 2002)"},"properties":{"noteIndex":0},"schema":"https://github.com/citation-style-language/schema/raw/master/csl-citation.json"}</w:instrText>
      </w:r>
      <w:r w:rsidRPr="005F3FE9">
        <w:rPr>
          <w:rFonts w:cs="Calibri"/>
        </w:rPr>
        <w:fldChar w:fldCharType="separate"/>
      </w:r>
      <w:r w:rsidRPr="007230A4">
        <w:rPr>
          <w:rFonts w:cs="Calibri"/>
          <w:noProof/>
        </w:rPr>
        <w:t>(Hwan Lee et al., 2006; Klenø et al., 2002)</w:t>
      </w:r>
      <w:r w:rsidRPr="005F3FE9">
        <w:rPr>
          <w:rFonts w:cs="Calibri"/>
        </w:rPr>
        <w:fldChar w:fldCharType="end"/>
      </w:r>
      <w:r w:rsidRPr="005F3FE9">
        <w:rPr>
          <w:rFonts w:cs="Calibri"/>
        </w:rPr>
        <w:t>, were not included</w:t>
      </w:r>
      <w:r>
        <w:rPr>
          <w:rFonts w:cs="Calibri"/>
        </w:rPr>
        <w:t xml:space="preserve"> in any analyses</w:t>
      </w:r>
      <w:r w:rsidRPr="005F3FE9">
        <w:rPr>
          <w:rFonts w:cs="Calibri"/>
        </w:rPr>
        <w:t>.</w:t>
      </w:r>
    </w:p>
    <w:p w14:paraId="035ADA40" w14:textId="191E9A6B" w:rsidR="00F32440" w:rsidRDefault="00F32440" w:rsidP="00F32440">
      <w:pPr>
        <w:pStyle w:val="Heading2"/>
      </w:pPr>
      <w:r>
        <w:t>2.3 Sampler validation</w:t>
      </w:r>
    </w:p>
    <w:p w14:paraId="3881DD6C" w14:textId="1B3473EA" w:rsidR="00F32440" w:rsidRPr="00F32440" w:rsidRDefault="00F32440" w:rsidP="00F32440">
      <w:pPr>
        <w:rPr>
          <w:rFonts w:cs="Calibri"/>
        </w:rPr>
      </w:pPr>
      <w:r>
        <w:rPr>
          <w:rFonts w:cs="Calibri"/>
        </w:rPr>
        <w:t xml:space="preserve">Samplers were examined to quantify the reproducibility of samples (i.e., the extent to which samples collected on different samplers are comparable) and evaluate the efficacy of pre-sampling treatment for ozone removal. The latter has been </w:t>
      </w:r>
      <w:r>
        <w:rPr>
          <w:rFonts w:cs="Calibri"/>
        </w:rPr>
        <w:lastRenderedPageBreak/>
        <w:t>previously shown to be necessary for sampling of reactive organic gases, so here we examine the feasibility of doing so using components similar in scale and cost as the rest of the sampler.</w:t>
      </w:r>
    </w:p>
    <w:p w14:paraId="6E22E9E6" w14:textId="3F7E3970" w:rsidR="00F32440" w:rsidRDefault="00F32440" w:rsidP="00F32440">
      <w:pPr>
        <w:pStyle w:val="Heading3"/>
      </w:pPr>
      <w:r>
        <w:t>2.3.1 Sample reproducibility</w:t>
      </w:r>
    </w:p>
    <w:p w14:paraId="103303D6" w14:textId="77777777" w:rsidR="00F32440" w:rsidRPr="000E5EA3" w:rsidRDefault="00F32440" w:rsidP="00F32440">
      <w:pPr>
        <w:rPr>
          <w:rFonts w:cs="Calibri"/>
        </w:rPr>
      </w:pPr>
      <w:r>
        <w:rPr>
          <w:rFonts w:cs="Calibri"/>
        </w:rPr>
        <w:t xml:space="preserve">Reproducibility between samplers was quantified as the relative standard deviation (% RSD = 100 </w:t>
      </w:r>
      <w:r>
        <w:t>×</w:t>
      </w:r>
      <w:r>
        <w:rPr>
          <w:rFonts w:cs="Calibri"/>
        </w:rPr>
        <w:t xml:space="preserve"> SD/mean) of ambient analyte signal sampled by a set of co-located samplers. Twelve samples were simultaneously collected on </w:t>
      </w:r>
      <w:proofErr w:type="spellStart"/>
      <w:r>
        <w:rPr>
          <w:rFonts w:cs="Calibri"/>
        </w:rPr>
        <w:t>Tenax</w:t>
      </w:r>
      <w:proofErr w:type="spellEnd"/>
      <w:r w:rsidRPr="0012454B">
        <w:rPr>
          <w:rFonts w:cs="Calibri"/>
          <w:vertAlign w:val="superscript"/>
        </w:rPr>
        <w:t>®</w:t>
      </w:r>
      <w:r>
        <w:rPr>
          <w:rFonts w:cs="Calibri"/>
        </w:rPr>
        <w:t xml:space="preserve"> GR cartridges in the same indoor environment, separated into two clusters (n=5 and n=7) located approximately 2 meters apart. Samples were collected</w:t>
      </w:r>
      <w:r w:rsidRPr="00A351AE">
        <w:rPr>
          <w:rFonts w:cs="Calibri"/>
        </w:rPr>
        <w:t xml:space="preserve"> </w:t>
      </w:r>
      <w:r w:rsidRPr="005F3FE9">
        <w:rPr>
          <w:rFonts w:cs="Calibri"/>
        </w:rPr>
        <w:t xml:space="preserve">at 250 </w:t>
      </w:r>
      <w:proofErr w:type="spellStart"/>
      <w:r w:rsidRPr="005F3FE9">
        <w:rPr>
          <w:rFonts w:cs="Calibri"/>
        </w:rPr>
        <w:t>ccm</w:t>
      </w:r>
      <w:proofErr w:type="spellEnd"/>
      <w:r w:rsidRPr="005F3FE9">
        <w:rPr>
          <w:rFonts w:cs="Calibri"/>
        </w:rPr>
        <w:t xml:space="preserve"> for 7.5 hours</w:t>
      </w:r>
      <w:r>
        <w:rPr>
          <w:rFonts w:cs="Calibri"/>
        </w:rPr>
        <w:t xml:space="preserve"> </w:t>
      </w:r>
      <w:r w:rsidRPr="005F3FE9">
        <w:rPr>
          <w:rFonts w:cs="Calibri"/>
        </w:rPr>
        <w:t xml:space="preserve">in an </w:t>
      </w:r>
      <w:r>
        <w:rPr>
          <w:rFonts w:cs="Calibri"/>
        </w:rPr>
        <w:t>active research</w:t>
      </w:r>
      <w:r w:rsidRPr="005F3FE9">
        <w:rPr>
          <w:rFonts w:cs="Calibri"/>
        </w:rPr>
        <w:t xml:space="preserve"> lab with all windows closed. </w:t>
      </w:r>
      <w:r>
        <w:rPr>
          <w:rFonts w:cs="Calibri"/>
        </w:rPr>
        <w:t xml:space="preserve">Reproducibility between samplers was quantified as % RSD within each set. </w:t>
      </w:r>
    </w:p>
    <w:p w14:paraId="7CB36467" w14:textId="0FA96BD7" w:rsidR="00F32440" w:rsidRDefault="00F32440" w:rsidP="00F32440">
      <w:pPr>
        <w:pStyle w:val="Heading3"/>
      </w:pPr>
      <w:r>
        <w:t>2.3.2 Ozone removal</w:t>
      </w:r>
    </w:p>
    <w:p w14:paraId="3B1DC8AC" w14:textId="52739FA5" w:rsidR="00F32440" w:rsidRPr="005F3FE9" w:rsidRDefault="00F32440" w:rsidP="00F32440">
      <w:pPr>
        <w:rPr>
          <w:rFonts w:cs="Calibri"/>
        </w:rPr>
      </w:pPr>
      <w:r>
        <w:rPr>
          <w:rFonts w:cs="Calibri"/>
        </w:rPr>
        <w:t>E</w:t>
      </w:r>
      <w:r w:rsidRPr="005F3FE9">
        <w:rPr>
          <w:rFonts w:cs="Calibri"/>
        </w:rPr>
        <w:t xml:space="preserve">xperiments were </w:t>
      </w:r>
      <w:r>
        <w:rPr>
          <w:rFonts w:cs="Calibri"/>
        </w:rPr>
        <w:t xml:space="preserve">conducted </w:t>
      </w:r>
      <w:r w:rsidRPr="005F3FE9">
        <w:rPr>
          <w:rFonts w:cs="Calibri"/>
        </w:rPr>
        <w:t xml:space="preserve">to </w:t>
      </w:r>
      <w:r>
        <w:rPr>
          <w:rFonts w:cs="Calibri"/>
        </w:rPr>
        <w:t xml:space="preserve">assess </w:t>
      </w:r>
      <w:r w:rsidRPr="005F3FE9">
        <w:rPr>
          <w:rFonts w:cs="Calibri"/>
        </w:rPr>
        <w:t>the eff</w:t>
      </w:r>
      <w:r>
        <w:rPr>
          <w:rFonts w:cs="Calibri"/>
        </w:rPr>
        <w:t>ectiveness</w:t>
      </w:r>
      <w:r w:rsidRPr="005F3FE9">
        <w:rPr>
          <w:rFonts w:cs="Calibri"/>
        </w:rPr>
        <w:t xml:space="preserve"> of ozone scrubbers</w:t>
      </w:r>
      <w:r>
        <w:rPr>
          <w:rFonts w:cs="Calibri"/>
        </w:rPr>
        <w:t>,</w:t>
      </w:r>
      <w:r w:rsidRPr="005F3FE9">
        <w:rPr>
          <w:rFonts w:cs="Calibri"/>
        </w:rPr>
        <w:t xml:space="preserve"> which preserve analytes susceptible to ozonolysis (e.g.</w:t>
      </w:r>
      <w:r>
        <w:rPr>
          <w:rFonts w:cs="Calibri"/>
        </w:rPr>
        <w:t>,</w:t>
      </w:r>
      <w:r w:rsidRPr="005F3FE9">
        <w:rPr>
          <w:rFonts w:cs="Calibri"/>
        </w:rPr>
        <w:t xml:space="preserve"> alkenes). </w:t>
      </w:r>
      <w:r>
        <w:rPr>
          <w:rFonts w:cs="Calibri"/>
        </w:rPr>
        <w:t xml:space="preserve">Ozone </w:t>
      </w:r>
      <w:r w:rsidRPr="005F3FE9">
        <w:rPr>
          <w:rFonts w:cs="Calibri"/>
        </w:rPr>
        <w:t>scrubbers</w:t>
      </w:r>
      <w:r>
        <w:rPr>
          <w:rFonts w:cs="Calibri"/>
        </w:rPr>
        <w:t xml:space="preserve"> were</w:t>
      </w:r>
      <w:r w:rsidRPr="005F3FE9">
        <w:rPr>
          <w:rFonts w:cs="Calibri"/>
        </w:rPr>
        <w:t xml:space="preserve"> </w:t>
      </w:r>
      <w:r>
        <w:rPr>
          <w:rFonts w:cs="Calibri"/>
        </w:rPr>
        <w:t>affixed to the inlet port of each box, comprised of filters saturated with sodium thiosul</w:t>
      </w:r>
      <w:r w:rsidR="00E51591">
        <w:rPr>
          <w:rFonts w:cs="Calibri"/>
        </w:rPr>
        <w:t>ph</w:t>
      </w:r>
      <w:r>
        <w:rPr>
          <w:rFonts w:cs="Calibri"/>
        </w:rPr>
        <w:t xml:space="preserve">ate </w:t>
      </w:r>
      <w:r w:rsidRPr="005F3FE9">
        <w:rPr>
          <w:rFonts w:cs="Calibri"/>
        </w:rPr>
        <w:fldChar w:fldCharType="begin" w:fldLock="1"/>
      </w:r>
      <w:r>
        <w:rPr>
          <w:rFonts w:cs="Calibri"/>
        </w:rPr>
        <w:instrText xml:space="preserve">ADDIN CSL_CITATION {"citationItems":[{"id":"ITEM-1","itemData":{"DOI":"10.1021/es050440w","ISSN":"0013936X","PMID":"16475343","abstract":"Atmospheric standards containing parts-per-billion levels of 14 semivolatile hydrocarbon compounds, including eight sesquiterpenes (SQTs) (longipinene, α-copaene, isolongifolene, α-cedrene, trans-caryophyllene, aromadendrene, α-humulene, δ-cadinene), two oxidized sesquiterpenoids (cis-nerolidol, trans-nerolidol), one biogenic ketone (geranylacetone) and three aromatic compounds (1,3,5-triisopropylbenzene, diphenylmethane, nonylbenzene), were collected onto four solid adsorbent materials at increasing ozone mixing ratios (0-100 ppbv O3) for analysis by thermodesorption-gas chromatography. Substantial sampling losses of up to &gt;90% were found for the most reactive SQT, even at the lowest ozone level investigated of 20 ppbv. Loss rates from the ozone-SQT reaction were used to derive estimates of gas-phase ozone reaction rate constants for longipinene, α-copaene, isolongifolene, geranylacetone, aromadendrene, δ-cadinene, cis-nerolidol, and trans-nerolidol. Three different ozone mitigation techniques were investigated to prevent these sampling losses. These strategies included (a) placing glass fiberfilters impregnated with sodium thiosulfate (Na2S2O3) into the sampling line, (b) titration of ozone in the sampling stream with nitric oxide (NO), and (c) catalytically removing ozone with a commercially available manganese dioxide (MnO2) catalyst. All three techniques reduced ozone-mixing ratios from 100 ppbv to &lt;0.6 ppbv at sampling flow rates of 1 L min-1. When the Na2S2O3 filters and the NO-titration techniques were applied, SQT loss rates decreased from 25-60% to 0-5% for most SQT compounds and from &gt;90% to </w:instrText>
      </w:r>
      <w:r>
        <w:rPr>
          <w:rFonts w:ascii="Cambria Math" w:hAnsi="Cambria Math" w:cs="Cambria Math"/>
        </w:rPr>
        <w:instrText>∼</w:instrText>
      </w:r>
      <w:r>
        <w:rPr>
          <w:rFonts w:cs="Calibri"/>
        </w:rPr>
        <w:instrText>10-50% for the two most reactive compounds at ozone mixing ratios of up to 100 ppbv. The commercial manganese dioxide scrubber, however, caused complete analyte losses (&gt;98%) even at 0 ppbv ozone. These results underline the need and present applicable techniques for removal of ozone in air samples for SQT analysis by solid adsorption techniques. © 2005 American Chemical Society.","author":[{"dropping-particle":"","family":"Pollmann","given":"Jan","non-dropping-particle":"","parse-names":false,"suffix":""},{"dropping-particle":"","family":"Ortega","given":"John","non-dropping-particle":"","parse-names":false,"suffix":""},{"dropping-particle":"","family":"Helmig","given":"Detlev","non-dropping-particle":"","parse-names":false,"suffix":""}],"container-title":"Environmental Science and Technology","id":"ITEM-1","issue":"24","issued":{"date-parts":[["2005"]]},"page":"9620-9629","title":"Analysis of atmospheric sesquiterpenes: Sampling losses and mitigation of ozone interferences","type":"article-journal","volume":"39"},"uris":["http://www.mendeley.com/documents/?uuid=2d9db5e5-bffd-42f0-85fc-5f404e00c7cc"]}],"mendeley":{"formattedCitation":"(Pollmann et al., 2005)","plainTextFormattedCitation":"(Pollmann et al., 2005)","previouslyFormattedCitation":"(Pollmann et al., 2005)"},"properties":{"noteIndex":0},"schema":"https://github.com/citation-style-language/schema/raw/master/csl-citation.json"}</w:instrText>
      </w:r>
      <w:r w:rsidRPr="005F3FE9">
        <w:rPr>
          <w:rFonts w:cs="Calibri"/>
        </w:rPr>
        <w:fldChar w:fldCharType="separate"/>
      </w:r>
      <w:r w:rsidRPr="007230A4">
        <w:rPr>
          <w:rFonts w:cs="Calibri"/>
          <w:noProof/>
        </w:rPr>
        <w:t>(Pollmann et al., 2005)</w:t>
      </w:r>
      <w:r w:rsidRPr="005F3FE9">
        <w:rPr>
          <w:rFonts w:cs="Calibri"/>
        </w:rPr>
        <w:fldChar w:fldCharType="end"/>
      </w:r>
      <w:r>
        <w:rPr>
          <w:rFonts w:cs="Calibri"/>
        </w:rPr>
        <w:t xml:space="preserve">. </w:t>
      </w:r>
      <w:r w:rsidRPr="005F3FE9">
        <w:rPr>
          <w:rFonts w:cs="Calibri"/>
        </w:rPr>
        <w:t>Approximately 5.1 g of sodium thiosul</w:t>
      </w:r>
      <w:r w:rsidR="00E51591">
        <w:rPr>
          <w:rFonts w:cs="Calibri"/>
        </w:rPr>
        <w:t>ph</w:t>
      </w:r>
      <w:r w:rsidRPr="005F3FE9">
        <w:rPr>
          <w:rFonts w:cs="Calibri"/>
        </w:rPr>
        <w:t>ate (Na</w:t>
      </w:r>
      <w:r w:rsidRPr="005F3FE9">
        <w:rPr>
          <w:rFonts w:cs="Calibri"/>
          <w:vertAlign w:val="subscript"/>
        </w:rPr>
        <w:t>2</w:t>
      </w:r>
      <w:r w:rsidRPr="005F3FE9">
        <w:rPr>
          <w:rFonts w:cs="Calibri"/>
        </w:rPr>
        <w:t>S</w:t>
      </w:r>
      <w:r w:rsidRPr="005F3FE9">
        <w:rPr>
          <w:rFonts w:cs="Calibri"/>
          <w:vertAlign w:val="subscript"/>
        </w:rPr>
        <w:t>2</w:t>
      </w:r>
      <w:r w:rsidRPr="005F3FE9">
        <w:rPr>
          <w:rFonts w:cs="Calibri"/>
        </w:rPr>
        <w:t>O</w:t>
      </w:r>
      <w:r w:rsidRPr="005F3FE9">
        <w:rPr>
          <w:rFonts w:cs="Calibri"/>
          <w:vertAlign w:val="subscript"/>
        </w:rPr>
        <w:t>3</w:t>
      </w:r>
      <w:r w:rsidRPr="005F3FE9">
        <w:rPr>
          <w:rFonts w:cs="Calibri"/>
        </w:rPr>
        <w:t xml:space="preserve">) was added to </w:t>
      </w:r>
      <w:proofErr w:type="spellStart"/>
      <w:r w:rsidRPr="005F3FE9">
        <w:rPr>
          <w:rFonts w:cs="Calibri"/>
        </w:rPr>
        <w:t>nanopure</w:t>
      </w:r>
      <w:proofErr w:type="spellEnd"/>
      <w:r w:rsidRPr="005F3FE9">
        <w:rPr>
          <w:rFonts w:cs="Calibri"/>
        </w:rPr>
        <w:t xml:space="preserve"> water for a 9.3 % (w/w) solution. With a Luer Lock syringe (Hamilton), 7 mL of the solution was pushed through a 25 mm diameter glass fibre filter with 1µm sized pores</w:t>
      </w:r>
      <w:r>
        <w:rPr>
          <w:rFonts w:cs="Calibri"/>
        </w:rPr>
        <w:t xml:space="preserve"> in a polypropylene housing (</w:t>
      </w:r>
      <w:proofErr w:type="spellStart"/>
      <w:r w:rsidRPr="00540952">
        <w:rPr>
          <w:rFonts w:cs="Calibri"/>
        </w:rPr>
        <w:t>Acrodisc</w:t>
      </w:r>
      <w:proofErr w:type="spellEnd"/>
      <w:r w:rsidRPr="00540952">
        <w:rPr>
          <w:rFonts w:cs="Calibri"/>
        </w:rPr>
        <w:t>® Syringe Filter</w:t>
      </w:r>
      <w:r>
        <w:rPr>
          <w:rFonts w:cs="Calibri"/>
        </w:rPr>
        <w:t>)</w:t>
      </w:r>
      <w:r w:rsidRPr="005F3FE9">
        <w:rPr>
          <w:rFonts w:cs="Calibri"/>
        </w:rPr>
        <w:t>. The wetted filters were dried by placing them in an oven a</w:t>
      </w:r>
      <w:r w:rsidR="007C4DE1">
        <w:rPr>
          <w:rFonts w:cs="Calibri"/>
        </w:rPr>
        <w:t>t</w:t>
      </w:r>
      <w:r w:rsidRPr="005F3FE9">
        <w:rPr>
          <w:rFonts w:cs="Calibri"/>
        </w:rPr>
        <w:t xml:space="preserve"> 50°C and flowing 100 </w:t>
      </w:r>
      <w:proofErr w:type="spellStart"/>
      <w:r w:rsidRPr="005F3FE9">
        <w:rPr>
          <w:rFonts w:cs="Calibri"/>
        </w:rPr>
        <w:t>ccm</w:t>
      </w:r>
      <w:proofErr w:type="spellEnd"/>
      <w:r w:rsidRPr="005F3FE9">
        <w:rPr>
          <w:rFonts w:cs="Calibri"/>
        </w:rPr>
        <w:t xml:space="preserve"> nitrogen through them for 4 hours.</w:t>
      </w:r>
    </w:p>
    <w:p w14:paraId="00A8513E" w14:textId="77777777" w:rsidR="00F32440" w:rsidRPr="005F3FE9" w:rsidRDefault="00F32440" w:rsidP="00F32440">
      <w:pPr>
        <w:rPr>
          <w:rFonts w:cs="Calibri"/>
        </w:rPr>
      </w:pPr>
      <w:r w:rsidRPr="00BD1701">
        <w:rPr>
          <w:rFonts w:cs="Calibri"/>
        </w:rPr>
        <w:t>Two sets of sample</w:t>
      </w:r>
      <w:r>
        <w:rPr>
          <w:rFonts w:cs="Calibri"/>
        </w:rPr>
        <w:t xml:space="preserve">s </w:t>
      </w:r>
      <w:r w:rsidRPr="005F3FE9">
        <w:rPr>
          <w:rFonts w:cs="Calibri"/>
        </w:rPr>
        <w:t xml:space="preserve">were </w:t>
      </w:r>
      <w:r>
        <w:rPr>
          <w:rFonts w:cs="Calibri"/>
        </w:rPr>
        <w:t xml:space="preserve">collected to examine conditions representative of ambient </w:t>
      </w:r>
      <w:r w:rsidRPr="005F3FE9">
        <w:rPr>
          <w:rFonts w:cs="Calibri"/>
        </w:rPr>
        <w:t>outdoor and indoor</w:t>
      </w:r>
      <w:r>
        <w:rPr>
          <w:rFonts w:cs="Calibri"/>
        </w:rPr>
        <w:t xml:space="preserve"> atmospheres</w:t>
      </w:r>
      <w:r w:rsidRPr="005F3FE9">
        <w:rPr>
          <w:rFonts w:cs="Calibri"/>
        </w:rPr>
        <w:t xml:space="preserve">. </w:t>
      </w:r>
      <w:r>
        <w:rPr>
          <w:rFonts w:cs="Calibri"/>
        </w:rPr>
        <w:t>In the o</w:t>
      </w:r>
      <w:r w:rsidRPr="005F3FE9">
        <w:rPr>
          <w:rFonts w:cs="Calibri"/>
        </w:rPr>
        <w:t>utdoors</w:t>
      </w:r>
      <w:r>
        <w:rPr>
          <w:rFonts w:cs="Calibri"/>
        </w:rPr>
        <w:t xml:space="preserve"> experiment</w:t>
      </w:r>
      <w:r w:rsidRPr="005F3FE9">
        <w:rPr>
          <w:rFonts w:cs="Calibri"/>
        </w:rPr>
        <w:t>, 10 sample</w:t>
      </w:r>
      <w:r>
        <w:rPr>
          <w:rFonts w:cs="Calibri"/>
        </w:rPr>
        <w:t xml:space="preserve">s were collected </w:t>
      </w:r>
      <w:r w:rsidRPr="005F3FE9">
        <w:rPr>
          <w:rFonts w:cs="Calibri"/>
        </w:rPr>
        <w:t xml:space="preserve">in front of open </w:t>
      </w:r>
      <w:r>
        <w:rPr>
          <w:rFonts w:cs="Calibri"/>
        </w:rPr>
        <w:t xml:space="preserve">laboratory </w:t>
      </w:r>
      <w:r w:rsidRPr="005F3FE9">
        <w:rPr>
          <w:rFonts w:cs="Calibri"/>
        </w:rPr>
        <w:t xml:space="preserve">windows in </w:t>
      </w:r>
      <w:r>
        <w:rPr>
          <w:rFonts w:cs="Calibri"/>
        </w:rPr>
        <w:t xml:space="preserve">Blacksburg, VA, with half the samplers using an ozone scrubber. Samples were collected </w:t>
      </w:r>
      <w:r w:rsidRPr="005F3FE9">
        <w:rPr>
          <w:rFonts w:cs="Calibri"/>
        </w:rPr>
        <w:t xml:space="preserve">for 8.7 hours at a sampling rate of 300 </w:t>
      </w:r>
      <w:proofErr w:type="spellStart"/>
      <w:r w:rsidRPr="005F3FE9">
        <w:rPr>
          <w:rFonts w:cs="Calibri"/>
        </w:rPr>
        <w:t>ccm</w:t>
      </w:r>
      <w:proofErr w:type="spellEnd"/>
      <w:r w:rsidRPr="005F3FE9">
        <w:rPr>
          <w:rFonts w:cs="Calibri"/>
        </w:rPr>
        <w:t xml:space="preserve">. </w:t>
      </w:r>
      <w:r>
        <w:rPr>
          <w:rFonts w:cs="Calibri"/>
        </w:rPr>
        <w:t xml:space="preserve">Indoor samples were collected following </w:t>
      </w:r>
      <w:r w:rsidRPr="005F3FE9">
        <w:rPr>
          <w:rFonts w:cs="Calibri"/>
        </w:rPr>
        <w:t>the same procedure</w:t>
      </w:r>
      <w:r>
        <w:rPr>
          <w:rFonts w:cs="Calibri"/>
        </w:rPr>
        <w:t xml:space="preserve">, with all samplers in an </w:t>
      </w:r>
      <w:r w:rsidRPr="005F3FE9">
        <w:rPr>
          <w:rFonts w:cs="Calibri"/>
        </w:rPr>
        <w:t>interior</w:t>
      </w:r>
      <w:r>
        <w:rPr>
          <w:rFonts w:cs="Calibri"/>
        </w:rPr>
        <w:t xml:space="preserve"> (i.e., no windows)</w:t>
      </w:r>
      <w:r w:rsidRPr="005F3FE9">
        <w:rPr>
          <w:rFonts w:cs="Calibri"/>
        </w:rPr>
        <w:t xml:space="preserve"> </w:t>
      </w:r>
      <w:r>
        <w:rPr>
          <w:rFonts w:cs="Calibri"/>
        </w:rPr>
        <w:t xml:space="preserve">climate-controlled </w:t>
      </w:r>
      <w:r w:rsidRPr="005F3FE9">
        <w:rPr>
          <w:rFonts w:cs="Calibri"/>
        </w:rPr>
        <w:t xml:space="preserve">room. </w:t>
      </w:r>
      <w:r>
        <w:rPr>
          <w:rFonts w:cs="Calibri"/>
        </w:rPr>
        <w:t>Indoor s</w:t>
      </w:r>
      <w:r w:rsidRPr="005F3FE9">
        <w:rPr>
          <w:rFonts w:cs="Calibri"/>
        </w:rPr>
        <w:t xml:space="preserve">amples were </w:t>
      </w:r>
      <w:r>
        <w:rPr>
          <w:rFonts w:cs="Calibri"/>
        </w:rPr>
        <w:t xml:space="preserve">collected </w:t>
      </w:r>
      <w:r w:rsidRPr="005F3FE9">
        <w:rPr>
          <w:rFonts w:cs="Calibri"/>
        </w:rPr>
        <w:t>for 13.5 hours at a sampling rate of 300</w:t>
      </w:r>
      <w:r>
        <w:rPr>
          <w:rFonts w:cs="Calibri"/>
        </w:rPr>
        <w:t xml:space="preserve"> </w:t>
      </w:r>
      <w:proofErr w:type="spellStart"/>
      <w:r w:rsidRPr="005F3FE9">
        <w:rPr>
          <w:rFonts w:cs="Calibri"/>
        </w:rPr>
        <w:t>ccm</w:t>
      </w:r>
      <w:proofErr w:type="spellEnd"/>
      <w:r w:rsidRPr="005F3FE9">
        <w:rPr>
          <w:rFonts w:cs="Calibri"/>
        </w:rPr>
        <w:t>. All sample</w:t>
      </w:r>
      <w:r>
        <w:rPr>
          <w:rFonts w:cs="Calibri"/>
        </w:rPr>
        <w:t>s</w:t>
      </w:r>
      <w:r w:rsidRPr="005F3FE9">
        <w:rPr>
          <w:rFonts w:cs="Calibri"/>
        </w:rPr>
        <w:t xml:space="preserve"> </w:t>
      </w:r>
      <w:r>
        <w:rPr>
          <w:rFonts w:cs="Calibri"/>
        </w:rPr>
        <w:t xml:space="preserve">were collected on </w:t>
      </w:r>
      <w:proofErr w:type="spellStart"/>
      <w:r w:rsidRPr="005F3FE9">
        <w:rPr>
          <w:rFonts w:cs="Calibri"/>
        </w:rPr>
        <w:t>Carbotrap</w:t>
      </w:r>
      <w:proofErr w:type="spellEnd"/>
      <w:r w:rsidRPr="0012454B">
        <w:rPr>
          <w:rFonts w:cs="Calibri"/>
          <w:vertAlign w:val="superscript"/>
        </w:rPr>
        <w:t>®</w:t>
      </w:r>
      <w:r w:rsidRPr="005F3FE9">
        <w:rPr>
          <w:rFonts w:cs="Calibri"/>
        </w:rPr>
        <w:t xml:space="preserve"> 202 </w:t>
      </w:r>
      <w:r>
        <w:rPr>
          <w:rFonts w:cs="Calibri"/>
        </w:rPr>
        <w:t>cartridges</w:t>
      </w:r>
      <w:r w:rsidRPr="005F3FE9">
        <w:rPr>
          <w:rFonts w:cs="Calibri"/>
        </w:rPr>
        <w:t>.</w:t>
      </w:r>
    </w:p>
    <w:p w14:paraId="54417A6F" w14:textId="77777777" w:rsidR="00F32440" w:rsidRPr="005F3FE9" w:rsidRDefault="00F32440" w:rsidP="00F32440">
      <w:pPr>
        <w:rPr>
          <w:rFonts w:cs="Calibri"/>
        </w:rPr>
      </w:pPr>
      <w:r w:rsidRPr="005F3FE9">
        <w:rPr>
          <w:rFonts w:cs="Calibri"/>
        </w:rPr>
        <w:t>Two families of compounds were analyse</w:t>
      </w:r>
      <w:r>
        <w:rPr>
          <w:rFonts w:cs="Calibri"/>
        </w:rPr>
        <w:t>d:</w:t>
      </w:r>
      <w:r w:rsidRPr="005F3FE9">
        <w:rPr>
          <w:rFonts w:cs="Calibri"/>
        </w:rPr>
        <w:t xml:space="preserve"> BTEX (benzene, toluene, ethylbenzene, and three xylene isomers) and monoterpenes (α-pinene, camphene, β-pinene, 3-carene, and limonene</w:t>
      </w:r>
      <w:r>
        <w:rPr>
          <w:rFonts w:cs="Calibri"/>
        </w:rPr>
        <w:t xml:space="preserve">, with the unsaturated ketone </w:t>
      </w:r>
      <w:proofErr w:type="spellStart"/>
      <w:r>
        <w:rPr>
          <w:rFonts w:cs="Calibri"/>
        </w:rPr>
        <w:t>sulcatone</w:t>
      </w:r>
      <w:proofErr w:type="spellEnd"/>
      <w:r>
        <w:rPr>
          <w:rFonts w:cs="Calibri"/>
        </w:rPr>
        <w:t xml:space="preserve"> also included in the outdoor dataset</w:t>
      </w:r>
      <w:r w:rsidRPr="005F3FE9">
        <w:rPr>
          <w:rFonts w:cs="Calibri"/>
        </w:rPr>
        <w:t xml:space="preserve">) respectively represent low and high reactivity with ozone. </w:t>
      </w:r>
      <w:r>
        <w:rPr>
          <w:rFonts w:cs="Calibri"/>
        </w:rPr>
        <w:t>After a Jarque-Bera Test to ensure normality, a</w:t>
      </w:r>
      <w:r w:rsidRPr="005F3FE9">
        <w:rPr>
          <w:rFonts w:cs="Calibri"/>
        </w:rPr>
        <w:t xml:space="preserve">nalyte peak areas between scrubbed and </w:t>
      </w:r>
      <w:proofErr w:type="spellStart"/>
      <w:r w:rsidRPr="005F3FE9">
        <w:rPr>
          <w:rFonts w:cs="Calibri"/>
        </w:rPr>
        <w:t>unscrubbed</w:t>
      </w:r>
      <w:proofErr w:type="spellEnd"/>
      <w:r w:rsidRPr="005F3FE9">
        <w:rPr>
          <w:rFonts w:cs="Calibri"/>
        </w:rPr>
        <w:t xml:space="preserve"> samples were subject to a t-test</w:t>
      </w:r>
      <w:r>
        <w:rPr>
          <w:rFonts w:cs="Calibri"/>
        </w:rPr>
        <w:t xml:space="preserve"> </w:t>
      </w:r>
      <w:r w:rsidRPr="005F3FE9">
        <w:rPr>
          <w:rFonts w:cs="Calibri"/>
        </w:rPr>
        <w:t xml:space="preserve">(95% Confidence, two-tailed, homoscedastic) to detect </w:t>
      </w:r>
      <w:r>
        <w:rPr>
          <w:rFonts w:cs="Calibri"/>
        </w:rPr>
        <w:t>statistical significance</w:t>
      </w:r>
      <w:r w:rsidRPr="005F3FE9">
        <w:rPr>
          <w:rFonts w:cs="Calibri"/>
        </w:rPr>
        <w:t xml:space="preserve">. Fractional analyte losses in </w:t>
      </w:r>
      <w:proofErr w:type="spellStart"/>
      <w:r w:rsidRPr="005F3FE9">
        <w:rPr>
          <w:rFonts w:cs="Calibri"/>
        </w:rPr>
        <w:t>unscrubbed</w:t>
      </w:r>
      <w:proofErr w:type="spellEnd"/>
      <w:r w:rsidRPr="005F3FE9">
        <w:rPr>
          <w:rFonts w:cs="Calibri"/>
        </w:rPr>
        <w:t xml:space="preserve"> samples were compared to ozone reaction rate constants (k</w:t>
      </w:r>
      <w:r w:rsidRPr="005F3FE9">
        <w:rPr>
          <w:rFonts w:cs="Calibri"/>
          <w:vertAlign w:val="subscript"/>
        </w:rPr>
        <w:t>O3</w:t>
      </w:r>
      <w:r w:rsidRPr="005F3FE9">
        <w:rPr>
          <w:rFonts w:cs="Calibri"/>
        </w:rPr>
        <w:t xml:space="preserve">) on the NIST Chemical Kinetics Database, </w:t>
      </w:r>
      <w:r>
        <w:rPr>
          <w:rFonts w:cs="Calibri"/>
        </w:rPr>
        <w:t>choosing</w:t>
      </w:r>
      <w:r w:rsidRPr="005F3FE9">
        <w:rPr>
          <w:rFonts w:cs="Calibri"/>
        </w:rPr>
        <w:t xml:space="preserve"> </w:t>
      </w:r>
      <w:r>
        <w:rPr>
          <w:rFonts w:cs="Calibri"/>
        </w:rPr>
        <w:t>more</w:t>
      </w:r>
      <w:r w:rsidRPr="005F3FE9">
        <w:rPr>
          <w:rFonts w:cs="Calibri"/>
        </w:rPr>
        <w:t xml:space="preserve"> recently published experimental values</w:t>
      </w:r>
      <w:r>
        <w:rPr>
          <w:rFonts w:cs="Calibri"/>
        </w:rPr>
        <w:t xml:space="preserve"> </w:t>
      </w:r>
      <w:r w:rsidRPr="005F3FE9">
        <w:rPr>
          <w:rFonts w:cs="Calibri"/>
        </w:rPr>
        <w:fldChar w:fldCharType="begin" w:fldLock="1"/>
      </w:r>
      <w:r>
        <w:rPr>
          <w:rFonts w:cs="Calibri"/>
        </w:rPr>
        <w:instrText>ADDIN CSL_CITATION {"citationItems":[{"id":"ITEM-1","itemData":{"URL":"http://kinetics.nist.gov/","author":[{"dropping-particle":"","family":"Manion","given":"J A","non-dropping-particle":"","parse-names":false,"suffix":""},{"dropping-particle":"","family":"Huie","given":"R E","non-dropping-particle":"","parse-names":false,"suffix":""},{"dropping-particle":"","family":"Levin","given":"R D","non-dropping-particle":"","parse-names":false,"suffix":""},{"dropping-particle":"","family":"Burgess Jr.","given":"D R","non-dropping-particle":"","parse-names":false,"suffix":""},{"dropping-particle":"","family":"Orkin","given":"V L","non-dropping-particle":"","parse-names":false,"suffix":""},{"dropping-particle":"","family":"Tsang","given":"W","non-dropping-particle":"","parse-names":false,"suffix":""},{"dropping-particle":"","family":"McGivern","given":"W S","non-dropping-particle":"","parse-names":false,"suffix":""},{"dropping-particle":"","family":"Hudgens","given":"J W","non-dropping-particle":"","parse-names":false,"suffix":""},{"dropping-particle":"","family":"Knyazev","given":"V D","non-dropping-particle":"","parse-names":false,"suffix":""},{"dropping-particle":"","family":"Atkinson","given":"D B","non-dropping-particle":"","parse-names":false,"suffix":""},{"dropping-particle":"","family":"Chai","given":"E","non-dropping-particle":"","parse-names":false,"suffix":""},{"dropping-particle":"","family":"Tereza","given":"A M","non-dropping-particle":"","parse-names":false,"suffix":""},{"dropping-particle":"","family":"Lin","given":"C.-Y.","non-dropping-particle":"","parse-names":false,"suffix":""},{"dropping-particle":"","family":"Allison","given":"T C","non-dropping-particle":"","parse-names":false,"suffix":""},{"dropping-particle":"","family":"Mallard","given":"W G","non-dropping-particle":"","parse-names":false,"suffix":""},{"dropping-particle":"","family":"Westley","given":"F","non-dropping-particle":"","parse-names":false,"suffix":""},{"dropping-particle":"","family":"Herron","given":"J T","non-dropping-particle":"","parse-names":false,"suffix":""},{"dropping-particle":"","family":"Hampson","given":"R F","non-dropping-particle":"","parse-names":false,"suffix":""},{"dropping-particle":"","family":"Frizzell","given":"D H","non-dropping-particle":"","parse-names":false,"suffix":""}],"container-title":"National Institute of Standards and Technology, Gaithersburg, Maryland","id":"ITEM-1","issued":{"date-parts":[["2015"]]},"title":"NIST Chemical Kinetics Database (Web Version)","type":"webpage"},"uris":["http://www.mendeley.com/documents/?uuid=6f0fa8fd-61ee-421b-952a-0e260acffd9b"]}],"mendeley":{"formattedCitation":"(Manion et al., 2015)","plainTextFormattedCitation":"(Manion et al., 2015)","previouslyFormattedCitation":"(Manion et al., 2015)"},"properties":{"noteIndex":0},"schema":"https://github.com/citation-style-language/schema/raw/master/csl-citation.json"}</w:instrText>
      </w:r>
      <w:r w:rsidRPr="005F3FE9">
        <w:rPr>
          <w:rFonts w:cs="Calibri"/>
        </w:rPr>
        <w:fldChar w:fldCharType="separate"/>
      </w:r>
      <w:r w:rsidRPr="007230A4">
        <w:rPr>
          <w:rFonts w:cs="Calibri"/>
          <w:noProof/>
        </w:rPr>
        <w:t>(Manion et al., 2015)</w:t>
      </w:r>
      <w:r w:rsidRPr="005F3FE9">
        <w:rPr>
          <w:rFonts w:cs="Calibri"/>
        </w:rPr>
        <w:fldChar w:fldCharType="end"/>
      </w:r>
      <w:r>
        <w:rPr>
          <w:rFonts w:cs="Calibri"/>
        </w:rPr>
        <w:t>.</w:t>
      </w:r>
    </w:p>
    <w:p w14:paraId="1C2E4978" w14:textId="60D7480D" w:rsidR="00F32440" w:rsidRDefault="00554CCF" w:rsidP="00554CCF">
      <w:pPr>
        <w:pStyle w:val="Heading2"/>
      </w:pPr>
      <w:r>
        <w:lastRenderedPageBreak/>
        <w:t>2.4 Demonstration of sample collection</w:t>
      </w:r>
    </w:p>
    <w:p w14:paraId="6649288D" w14:textId="152F0D36" w:rsidR="00554CCF" w:rsidRDefault="00554CCF" w:rsidP="00554CCF">
      <w:pPr>
        <w:pStyle w:val="Heading3"/>
      </w:pPr>
      <w:r>
        <w:t>2.4.1 Long-term temporal variability</w:t>
      </w:r>
    </w:p>
    <w:p w14:paraId="32D7E5B4" w14:textId="77777777" w:rsidR="00554CCF" w:rsidRDefault="00554CCF" w:rsidP="00554CCF">
      <w:pPr>
        <w:rPr>
          <w:rFonts w:cs="Calibri"/>
        </w:rPr>
      </w:pPr>
      <w:r>
        <w:rPr>
          <w:rFonts w:cs="Calibri"/>
        </w:rPr>
        <w:t xml:space="preserve">Samplers were deployed </w:t>
      </w:r>
      <w:r w:rsidRPr="005F3FE9">
        <w:rPr>
          <w:rFonts w:cs="Calibri"/>
        </w:rPr>
        <w:t xml:space="preserve">to </w:t>
      </w:r>
      <w:r>
        <w:rPr>
          <w:rFonts w:cs="Calibri"/>
        </w:rPr>
        <w:t xml:space="preserve">determine </w:t>
      </w:r>
      <w:r w:rsidRPr="005F3FE9">
        <w:rPr>
          <w:rFonts w:cs="Calibri"/>
        </w:rPr>
        <w:t xml:space="preserve">the ability to measure day-to-day </w:t>
      </w:r>
      <w:r>
        <w:rPr>
          <w:rFonts w:cs="Calibri"/>
        </w:rPr>
        <w:t xml:space="preserve">variability </w:t>
      </w:r>
      <w:r w:rsidRPr="005F3FE9">
        <w:rPr>
          <w:rFonts w:cs="Calibri"/>
        </w:rPr>
        <w:t>of commonly occurring VOCs</w:t>
      </w:r>
      <w:r>
        <w:rPr>
          <w:rFonts w:cs="Calibri"/>
        </w:rPr>
        <w:t>, tested in an indoor setting</w:t>
      </w:r>
      <w:r w:rsidRPr="005F3FE9">
        <w:rPr>
          <w:rFonts w:cs="Calibri"/>
        </w:rPr>
        <w:t>.</w:t>
      </w:r>
      <w:r>
        <w:rPr>
          <w:rFonts w:cs="Calibri"/>
        </w:rPr>
        <w:t xml:space="preserve"> The goal of these experiments is to evaluate the reproducibility of samples (i.e., sampler-to-sampler variability) in the context of real-world temporal variability (i.e., time-to-time variability). A reasonably small % RSD between samplers compared to real-world variability would be necessary to discern statistically significant temporal variability.</w:t>
      </w:r>
    </w:p>
    <w:p w14:paraId="1F940595" w14:textId="77777777" w:rsidR="00554CCF" w:rsidRPr="007B0441" w:rsidRDefault="00554CCF" w:rsidP="00554CCF">
      <w:pPr>
        <w:rPr>
          <w:rFonts w:cs="Calibri"/>
        </w:rPr>
      </w:pPr>
      <w:r>
        <w:rPr>
          <w:rFonts w:cs="Calibri"/>
        </w:rPr>
        <w:t xml:space="preserve">Samples were collected on a tabletop in an </w:t>
      </w:r>
      <w:r w:rsidRPr="005F3FE9">
        <w:rPr>
          <w:rFonts w:cs="Calibri"/>
        </w:rPr>
        <w:t xml:space="preserve">infrequently </w:t>
      </w:r>
      <w:r>
        <w:rPr>
          <w:rFonts w:cs="Calibri"/>
        </w:rPr>
        <w:t>used office</w:t>
      </w:r>
      <w:r w:rsidRPr="005F3FE9">
        <w:rPr>
          <w:rFonts w:cs="Calibri"/>
        </w:rPr>
        <w:t xml:space="preserve"> over a three-week period in March-April 2022</w:t>
      </w:r>
      <w:r>
        <w:rPr>
          <w:rFonts w:cs="Calibri"/>
        </w:rPr>
        <w:t>,</w:t>
      </w:r>
      <w:r w:rsidRPr="005F3FE9">
        <w:rPr>
          <w:rFonts w:cs="Calibri"/>
        </w:rPr>
        <w:t xml:space="preserve"> thrice a week for 9 sets of measurements. </w:t>
      </w:r>
      <w:r>
        <w:rPr>
          <w:rFonts w:cs="Calibri"/>
        </w:rPr>
        <w:t>For each set, t</w:t>
      </w:r>
      <w:r w:rsidRPr="005F3FE9">
        <w:rPr>
          <w:rFonts w:cs="Calibri"/>
        </w:rPr>
        <w:t xml:space="preserve">hree samples </w:t>
      </w:r>
      <w:r>
        <w:rPr>
          <w:rFonts w:cs="Calibri"/>
        </w:rPr>
        <w:t>and</w:t>
      </w:r>
      <w:r w:rsidRPr="005F3FE9">
        <w:rPr>
          <w:rFonts w:cs="Calibri"/>
        </w:rPr>
        <w:t xml:space="preserve"> a field blank</w:t>
      </w:r>
      <w:r>
        <w:rPr>
          <w:rFonts w:cs="Calibri"/>
        </w:rPr>
        <w:t xml:space="preserve"> were collected on </w:t>
      </w:r>
      <w:proofErr w:type="spellStart"/>
      <w:r w:rsidRPr="005F3FE9">
        <w:rPr>
          <w:rFonts w:cs="Calibri"/>
        </w:rPr>
        <w:t>Tenax</w:t>
      </w:r>
      <w:proofErr w:type="spellEnd"/>
      <w:r w:rsidRPr="0012454B">
        <w:rPr>
          <w:rFonts w:cs="Calibri"/>
          <w:vertAlign w:val="superscript"/>
        </w:rPr>
        <w:t>®</w:t>
      </w:r>
      <w:r w:rsidRPr="005F3FE9">
        <w:rPr>
          <w:rFonts w:cs="Calibri"/>
        </w:rPr>
        <w:t xml:space="preserve"> GR </w:t>
      </w:r>
      <w:r>
        <w:rPr>
          <w:rFonts w:cs="Calibri"/>
        </w:rPr>
        <w:t xml:space="preserve">cartridges </w:t>
      </w:r>
      <w:r w:rsidRPr="005F3FE9">
        <w:rPr>
          <w:rFonts w:cs="Calibri"/>
        </w:rPr>
        <w:t xml:space="preserve">at a flow rate of 250 </w:t>
      </w:r>
      <w:proofErr w:type="spellStart"/>
      <w:r w:rsidRPr="005F3FE9">
        <w:rPr>
          <w:rFonts w:cs="Calibri"/>
        </w:rPr>
        <w:t>ccm</w:t>
      </w:r>
      <w:proofErr w:type="spellEnd"/>
      <w:r w:rsidRPr="005F3FE9">
        <w:rPr>
          <w:rFonts w:cs="Calibri"/>
        </w:rPr>
        <w:t xml:space="preserve"> for roughly a full day (1440 minutes).</w:t>
      </w:r>
      <w:r>
        <w:rPr>
          <w:rFonts w:cs="Calibri"/>
        </w:rPr>
        <w:t xml:space="preserve"> Day-to-day variability was quantified for various a</w:t>
      </w:r>
      <w:r w:rsidRPr="005F3FE9">
        <w:rPr>
          <w:rFonts w:cs="Calibri"/>
        </w:rPr>
        <w:t xml:space="preserve">nalytes of </w:t>
      </w:r>
      <w:r>
        <w:rPr>
          <w:rFonts w:cs="Calibri"/>
        </w:rPr>
        <w:t xml:space="preserve">known </w:t>
      </w:r>
      <w:r w:rsidRPr="005F3FE9">
        <w:rPr>
          <w:rFonts w:cs="Calibri"/>
        </w:rPr>
        <w:t>environmental significance (e.g., BTEX, monoterpenes) and</w:t>
      </w:r>
      <w:r>
        <w:rPr>
          <w:rFonts w:cs="Calibri"/>
        </w:rPr>
        <w:t xml:space="preserve"> </w:t>
      </w:r>
      <w:r w:rsidRPr="005F3FE9">
        <w:rPr>
          <w:rFonts w:cs="Calibri"/>
        </w:rPr>
        <w:t>not known to be art</w:t>
      </w:r>
      <w:r>
        <w:rPr>
          <w:rFonts w:cs="Calibri"/>
        </w:rPr>
        <w:t>e</w:t>
      </w:r>
      <w:r w:rsidRPr="005F3FE9">
        <w:rPr>
          <w:rFonts w:cs="Calibri"/>
        </w:rPr>
        <w:t xml:space="preserve">facts from sorbent decomposition. Analyte peak areas were corrected by subtracting the blank </w:t>
      </w:r>
      <w:r>
        <w:rPr>
          <w:rFonts w:cs="Calibri"/>
        </w:rPr>
        <w:t xml:space="preserve">analyte </w:t>
      </w:r>
      <w:r w:rsidRPr="005F3FE9">
        <w:rPr>
          <w:rFonts w:cs="Calibri"/>
        </w:rPr>
        <w:t>peak area</w:t>
      </w:r>
      <w:r>
        <w:rPr>
          <w:rFonts w:cs="Calibri"/>
        </w:rPr>
        <w:t xml:space="preserve"> (if any) and normalized to sampling time (which was not identical for each set)</w:t>
      </w:r>
      <w:r w:rsidRPr="005F3FE9">
        <w:rPr>
          <w:rFonts w:cs="Calibri"/>
        </w:rPr>
        <w:t xml:space="preserve">. </w:t>
      </w:r>
    </w:p>
    <w:p w14:paraId="655AFA06" w14:textId="01B2BBE0" w:rsidR="00554CCF" w:rsidRDefault="00554CCF" w:rsidP="00554CCF">
      <w:pPr>
        <w:pStyle w:val="Heading3"/>
      </w:pPr>
      <w:r>
        <w:t>2.4.2 Spatial variability</w:t>
      </w:r>
    </w:p>
    <w:p w14:paraId="43B5B303" w14:textId="2191F597" w:rsidR="003A0D2E" w:rsidRDefault="00554CCF" w:rsidP="00554CCF">
      <w:pPr>
        <w:rPr>
          <w:rFonts w:cs="Calibri"/>
        </w:rPr>
      </w:pPr>
      <w:r>
        <w:rPr>
          <w:rFonts w:cs="Calibri"/>
        </w:rPr>
        <w:t>To validate samplers’ ability to record spatial heterogeneity in ambient concentrations at multiple spatial scales, two deployments were conducted. To investigate fine scale spatial difference</w:t>
      </w:r>
      <w:r w:rsidR="007C4DE1">
        <w:rPr>
          <w:rFonts w:cs="Calibri"/>
        </w:rPr>
        <w:t>s</w:t>
      </w:r>
      <w:r>
        <w:rPr>
          <w:rFonts w:cs="Calibri"/>
        </w:rPr>
        <w:t xml:space="preserve">, the samples collected for reproducibility tests (Section 2.3.1) were also examined for </w:t>
      </w:r>
      <w:r w:rsidRPr="005F3FE9">
        <w:rPr>
          <w:rFonts w:cs="Calibri"/>
        </w:rPr>
        <w:t>statistically significant differences</w:t>
      </w:r>
      <w:r>
        <w:rPr>
          <w:rFonts w:cs="Calibri"/>
        </w:rPr>
        <w:t xml:space="preserve"> (two-tailed </w:t>
      </w:r>
      <w:r w:rsidRPr="005F3FE9">
        <w:rPr>
          <w:rFonts w:cs="Calibri"/>
        </w:rPr>
        <w:t>t-test)</w:t>
      </w:r>
      <w:r>
        <w:rPr>
          <w:rFonts w:cs="Calibri"/>
        </w:rPr>
        <w:t xml:space="preserve"> between the two sets of samplers separated by ~2 meters in an indoor environment. Larger-scale heterogeneity was investigated by collecting samples within a 400 m</w:t>
      </w:r>
      <w:r w:rsidRPr="005500F1">
        <w:rPr>
          <w:rFonts w:cs="Calibri"/>
          <w:vertAlign w:val="superscript"/>
        </w:rPr>
        <w:t>2</w:t>
      </w:r>
      <w:r>
        <w:rPr>
          <w:rFonts w:cs="Calibri"/>
        </w:rPr>
        <w:t xml:space="preserve"> area to which known emission sources were introduced. We also develop here a novel approach to use back projection of sampled transects using mobile sampling devices to locate emissions sources within a gridded region with higher resolution than can be achieved by stationary devices. </w:t>
      </w:r>
    </w:p>
    <w:p w14:paraId="5FD05519" w14:textId="5254AD85" w:rsidR="003A0D2E" w:rsidRPr="00981061" w:rsidRDefault="00554CCF" w:rsidP="003A0D2E">
      <w:pPr>
        <w:rPr>
          <w:rFonts w:cstheme="minorHAnsi"/>
        </w:rPr>
      </w:pPr>
      <w:bookmarkStart w:id="11" w:name="_Hlk139483750"/>
      <w:r>
        <w:rPr>
          <w:rFonts w:cs="Calibri"/>
        </w:rPr>
        <w:t xml:space="preserve">To examine the utility of distributed sampling to locate emissions sources, the target area was split into a grid of </w:t>
      </w:r>
      <w:r w:rsidRPr="00920980">
        <w:rPr>
          <w:rFonts w:cs="Calibri"/>
          <w:i/>
          <w:iCs/>
        </w:rPr>
        <w:t>n</w:t>
      </w:r>
      <w:r>
        <w:rPr>
          <w:rFonts w:cs="Calibri"/>
        </w:rPr>
        <w:t xml:space="preserve"> x </w:t>
      </w:r>
      <w:r w:rsidRPr="00920980">
        <w:rPr>
          <w:rFonts w:cs="Calibri"/>
          <w:i/>
          <w:iCs/>
        </w:rPr>
        <w:t>n</w:t>
      </w:r>
      <w:r>
        <w:rPr>
          <w:rFonts w:cs="Calibri"/>
        </w:rPr>
        <w:t xml:space="preserve"> cells</w:t>
      </w:r>
      <w:r w:rsidR="003A0D2E">
        <w:rPr>
          <w:rFonts w:cs="Calibri"/>
        </w:rPr>
        <w:t>.</w:t>
      </w:r>
      <w:r w:rsidR="003A0D2E">
        <w:rPr>
          <w:rFonts w:cstheme="minorHAnsi"/>
        </w:rPr>
        <w:t xml:space="preserve"> </w:t>
      </w:r>
      <w:bookmarkEnd w:id="11"/>
      <w:r w:rsidR="003A0D2E" w:rsidRPr="002817E3">
        <w:rPr>
          <w:rFonts w:cstheme="minorHAnsi"/>
        </w:rPr>
        <w:t>Fig</w:t>
      </w:r>
      <w:r w:rsidR="00D03355">
        <w:rPr>
          <w:rFonts w:cstheme="minorHAnsi"/>
        </w:rPr>
        <w:t>.</w:t>
      </w:r>
      <w:r w:rsidR="003A0D2E" w:rsidRPr="002817E3">
        <w:rPr>
          <w:rFonts w:cstheme="minorHAnsi"/>
        </w:rPr>
        <w:t xml:space="preserve"> 5 shows a generalized n x n sampling grid with the cardinal directions forming the two sampling angles of 0° and 90°. A three-angle grid would have sampling angles of 0°, 60°, and 120°; a four-angle grid would have angles of 0°, 45°, 90°, 135°, and so on. See Supplemental Section S4 for further discussion of the number of angles and optimization of the transect mapping approach.</w:t>
      </w:r>
    </w:p>
    <w:p w14:paraId="0070509E" w14:textId="565D76A0" w:rsidR="00554CCF" w:rsidRPr="00A84599" w:rsidRDefault="00554CCF" w:rsidP="00554CCF">
      <w:pPr>
        <w:rPr>
          <w:rFonts w:cs="Calibri"/>
        </w:rPr>
      </w:pPr>
      <w:r>
        <w:rPr>
          <w:rFonts w:cs="Calibri"/>
        </w:rPr>
        <w:t xml:space="preserve"> Each cell can be probed by placing a sampler within the cell, requiring the collection of n</w:t>
      </w:r>
      <w:r w:rsidRPr="00C16195">
        <w:rPr>
          <w:rFonts w:cs="Calibri"/>
          <w:vertAlign w:val="superscript"/>
        </w:rPr>
        <w:t>2</w:t>
      </w:r>
      <w:r>
        <w:rPr>
          <w:rFonts w:cs="Calibri"/>
        </w:rPr>
        <w:t xml:space="preserve"> samples. To reduce the number of needed samples, however, </w:t>
      </w:r>
      <w:proofErr w:type="gramStart"/>
      <w:r>
        <w:rPr>
          <w:rFonts w:cs="Calibri"/>
        </w:rPr>
        <w:t>spatially</w:t>
      </w:r>
      <w:proofErr w:type="gramEnd"/>
      <w:r>
        <w:rPr>
          <w:rFonts w:cs="Calibri"/>
        </w:rPr>
        <w:t xml:space="preserve"> and temporally integrated samples can be collected in transects across the sample area. By collecting </w:t>
      </w:r>
      <w:r w:rsidRPr="00C16195">
        <w:rPr>
          <w:rFonts w:cs="Calibri"/>
          <w:i/>
          <w:iCs/>
        </w:rPr>
        <w:t>n</w:t>
      </w:r>
      <w:r>
        <w:rPr>
          <w:rFonts w:cs="Calibri"/>
        </w:rPr>
        <w:t xml:space="preserve"> transect samples in two orthogonal directions, a pair of integrated concentrations is measured at the junction of each transect, providing </w:t>
      </w:r>
      <w:r w:rsidRPr="00C16195">
        <w:rPr>
          <w:rFonts w:cs="Calibri"/>
          <w:i/>
          <w:iCs/>
        </w:rPr>
        <w:t>n</w:t>
      </w:r>
      <w:r w:rsidRPr="00C16195">
        <w:rPr>
          <w:rFonts w:cs="Calibri"/>
          <w:vertAlign w:val="superscript"/>
        </w:rPr>
        <w:t>2</w:t>
      </w:r>
      <w:r>
        <w:rPr>
          <w:rFonts w:cs="Calibri"/>
        </w:rPr>
        <w:t xml:space="preserve"> unique datapoints describing the grid while collecting only 2</w:t>
      </w:r>
      <w:r w:rsidRPr="00C16195">
        <w:rPr>
          <w:rFonts w:cs="Calibri"/>
          <w:i/>
          <w:iCs/>
        </w:rPr>
        <w:t>n</w:t>
      </w:r>
      <w:r>
        <w:rPr>
          <w:rFonts w:cs="Calibri"/>
        </w:rPr>
        <w:t xml:space="preserve"> samples. Back projection enables these spatially integrated data to be allocated within the </w:t>
      </w:r>
      <w:proofErr w:type="spellStart"/>
      <w:r>
        <w:rPr>
          <w:rFonts w:cs="Calibri"/>
        </w:rPr>
        <w:t>transected</w:t>
      </w:r>
      <w:proofErr w:type="spellEnd"/>
      <w:r>
        <w:rPr>
          <w:rFonts w:cs="Calibri"/>
        </w:rPr>
        <w:t xml:space="preserve"> area. Here we apply this concept to identify the highest concentrations and thus the most likely point source location, an approach we describe here as “transect mapping” to </w:t>
      </w:r>
      <w:r>
        <w:rPr>
          <w:rFonts w:cs="Calibri"/>
        </w:rPr>
        <w:lastRenderedPageBreak/>
        <w:t xml:space="preserve">examine its utility and limitations. Larger numbers of transect angles can improve accuracy and reduce artefacts with this approach, a common approach in medical tomography </w:t>
      </w:r>
      <w:r>
        <w:rPr>
          <w:rFonts w:cs="Calibri"/>
        </w:rPr>
        <w:fldChar w:fldCharType="begin" w:fldLock="1"/>
      </w:r>
      <w:r>
        <w:rPr>
          <w:rFonts w:cs="Calibri"/>
        </w:rPr>
        <w:instrText>ADDIN CSL_CITATION {"citationItems":[{"id":"ITEM-1","itemData":{"DOI":"10.1007/978-3-642-05368-9","ISBN":"9783642053672","abstract":"'Medical Image Reconstruction' introduces the classical and modern image reconstruction technologies, such as two-dimensional (2D) parallel-beam and fan-beam imaging, three-dimensional (3D) parallel ray, parallel plane, and cone-beam imaging. © Higher Education Press, Beijing and Springer-Verlag Berlin Heidelberg 2010. All rights are reserved.","author":[{"dropping-particle":"","family":"Zeng","given":"Gengsheng Lawrence","non-dropping-particle":"","parse-names":false,"suffix":""}],"container-title":"Medical Image Reconstruction: A Conceptual Tutorial","id":"ITEM-1","issued":{"date-parts":[["2010"]]},"number-of-pages":"1-198","title":"Medical image reconstruction: A conceptual tutorial","type":"book"},"uris":["http://www.mendeley.com/documents/?uuid=40c59255-9e4b-41e9-8b8d-5bbe9cff3e9a"]}],"mendeley":{"formattedCitation":"(Zeng, 2010)","plainTextFormattedCitation":"(Zeng, 2010)","previouslyFormattedCitation":"(Zeng, 2010)"},"properties":{"noteIndex":0},"schema":"https://github.com/citation-style-language/schema/raw/master/csl-citation.json"}</w:instrText>
      </w:r>
      <w:r>
        <w:rPr>
          <w:rFonts w:cs="Calibri"/>
        </w:rPr>
        <w:fldChar w:fldCharType="separate"/>
      </w:r>
      <w:r w:rsidRPr="007C4352">
        <w:rPr>
          <w:rFonts w:cs="Calibri"/>
          <w:noProof/>
        </w:rPr>
        <w:t>(Zeng, 2010)</w:t>
      </w:r>
      <w:r>
        <w:rPr>
          <w:rFonts w:cs="Calibri"/>
        </w:rPr>
        <w:fldChar w:fldCharType="end"/>
      </w:r>
      <w:r>
        <w:rPr>
          <w:rFonts w:cs="Calibri"/>
        </w:rPr>
        <w:t>, but increases the number of samples collected.</w:t>
      </w:r>
    </w:p>
    <w:p w14:paraId="6FD167E1" w14:textId="27B979E3" w:rsidR="00554CCF" w:rsidRDefault="00554CCF" w:rsidP="00554CCF">
      <w:pPr>
        <w:rPr>
          <w:rFonts w:cs="Calibri"/>
        </w:rPr>
      </w:pPr>
      <w:r>
        <w:rPr>
          <w:rFonts w:cs="Calibri"/>
        </w:rPr>
        <w:t>In</w:t>
      </w:r>
      <w:r w:rsidRPr="005F3FE9">
        <w:rPr>
          <w:rFonts w:cs="Calibri"/>
        </w:rPr>
        <w:t xml:space="preserve"> November</w:t>
      </w:r>
      <w:r>
        <w:rPr>
          <w:rFonts w:cs="Calibri"/>
        </w:rPr>
        <w:t xml:space="preserve"> </w:t>
      </w:r>
      <w:r w:rsidRPr="005F3FE9">
        <w:rPr>
          <w:rFonts w:cs="Calibri"/>
        </w:rPr>
        <w:t>2021, a 20m x 20m grid, subdivided into 25 4m x 4m cells and oriented in the cardinal directions, was established in a flat, open lawn (Virginia Tech</w:t>
      </w:r>
      <w:r w:rsidR="00FC016A" w:rsidRPr="00FC016A">
        <w:rPr>
          <w:rFonts w:cs="Calibri"/>
        </w:rPr>
        <w:t xml:space="preserve"> </w:t>
      </w:r>
      <w:proofErr w:type="spellStart"/>
      <w:r w:rsidR="00FC016A" w:rsidRPr="005F3FE9">
        <w:rPr>
          <w:rFonts w:cs="Calibri"/>
        </w:rPr>
        <w:t>Drillfield</w:t>
      </w:r>
      <w:proofErr w:type="spellEnd"/>
      <w:r w:rsidRPr="005F3FE9">
        <w:rPr>
          <w:rFonts w:cs="Calibri"/>
        </w:rPr>
        <w:t>). Aliquots of five compounds (</w:t>
      </w:r>
      <w:r>
        <w:t>α</w:t>
      </w:r>
      <w:r w:rsidRPr="005F3FE9">
        <w:rPr>
          <w:rFonts w:cs="Calibri"/>
        </w:rPr>
        <w:t xml:space="preserve">-pinene, adamantane, </w:t>
      </w:r>
      <w:proofErr w:type="spellStart"/>
      <w:r w:rsidRPr="005F3FE9">
        <w:rPr>
          <w:rFonts w:cs="Calibri"/>
        </w:rPr>
        <w:t>isoborneol</w:t>
      </w:r>
      <w:proofErr w:type="spellEnd"/>
      <w:r w:rsidRPr="005F3FE9">
        <w:rPr>
          <w:rFonts w:cs="Calibri"/>
        </w:rPr>
        <w:t xml:space="preserve">, </w:t>
      </w:r>
      <w:proofErr w:type="spellStart"/>
      <w:r w:rsidRPr="005F3FE9">
        <w:rPr>
          <w:rFonts w:cs="Calibri"/>
        </w:rPr>
        <w:t>decane</w:t>
      </w:r>
      <w:proofErr w:type="spellEnd"/>
      <w:r w:rsidRPr="005F3FE9">
        <w:rPr>
          <w:rFonts w:cs="Calibri"/>
        </w:rPr>
        <w:t xml:space="preserve">, and dodecane) were placed in watch glasses and distributed randomly in the grid, with each sample’s coordinates noted. </w:t>
      </w:r>
      <w:r>
        <w:rPr>
          <w:rFonts w:cs="Calibri"/>
        </w:rPr>
        <w:t>Ten</w:t>
      </w:r>
      <w:r w:rsidRPr="005F3FE9">
        <w:rPr>
          <w:rFonts w:cs="Calibri"/>
        </w:rPr>
        <w:t xml:space="preserve"> samplers were placed at the southern and eastern edges of the grid (</w:t>
      </w:r>
      <w:r w:rsidR="00E51591">
        <w:rPr>
          <w:rFonts w:cs="Calibri"/>
        </w:rPr>
        <w:t>five</w:t>
      </w:r>
      <w:r w:rsidRPr="005F3FE9">
        <w:rPr>
          <w:rFonts w:cs="Calibri"/>
        </w:rPr>
        <w:t xml:space="preserve"> per edge), centred in each 4m x 4m cell. A control was placed outside of the grid, 7m due north from the grid’s NE corner. </w:t>
      </w:r>
      <w:r>
        <w:rPr>
          <w:rFonts w:cs="Calibri"/>
        </w:rPr>
        <w:t xml:space="preserve">The transects covered two angles, both in cardinal directions. </w:t>
      </w:r>
      <w:r w:rsidRPr="005F3FE9">
        <w:rPr>
          <w:rFonts w:cs="Calibri"/>
        </w:rPr>
        <w:t xml:space="preserve">The samplers were </w:t>
      </w:r>
      <w:r>
        <w:rPr>
          <w:rFonts w:cs="Calibri"/>
        </w:rPr>
        <w:t>manually</w:t>
      </w:r>
      <w:r w:rsidRPr="005F3FE9">
        <w:rPr>
          <w:rFonts w:cs="Calibri"/>
        </w:rPr>
        <w:t xml:space="preserve"> moved S to N and E to W at a rate of 1m every </w:t>
      </w:r>
      <w:r>
        <w:rPr>
          <w:rFonts w:cs="Calibri"/>
        </w:rPr>
        <w:t>eight</w:t>
      </w:r>
      <w:r w:rsidRPr="005F3FE9">
        <w:rPr>
          <w:rFonts w:cs="Calibri"/>
        </w:rPr>
        <w:t xml:space="preserve"> minutes. When the entire grid was traversed, the directions were reversed, and the grid recrossed at a faster rate of 1m every </w:t>
      </w:r>
      <w:r>
        <w:rPr>
          <w:rFonts w:cs="Calibri"/>
        </w:rPr>
        <w:t>four</w:t>
      </w:r>
      <w:r w:rsidRPr="005F3FE9">
        <w:rPr>
          <w:rFonts w:cs="Calibri"/>
        </w:rPr>
        <w:t xml:space="preserve"> minutes. The total sampling time was a</w:t>
      </w:r>
      <w:r>
        <w:rPr>
          <w:rFonts w:cs="Calibri"/>
        </w:rPr>
        <w:t>bout four</w:t>
      </w:r>
      <w:r w:rsidRPr="005F3FE9">
        <w:rPr>
          <w:rFonts w:cs="Calibri"/>
        </w:rPr>
        <w:t xml:space="preserve"> hours</w:t>
      </w:r>
      <w:r>
        <w:rPr>
          <w:rFonts w:cs="Calibri"/>
        </w:rPr>
        <w:t xml:space="preserve"> (233 minutes)</w:t>
      </w:r>
      <w:r w:rsidRPr="005F3FE9">
        <w:rPr>
          <w:rFonts w:cs="Calibri"/>
        </w:rPr>
        <w:t xml:space="preserve">. The samplers used </w:t>
      </w:r>
      <w:proofErr w:type="spellStart"/>
      <w:r w:rsidRPr="005F3FE9">
        <w:rPr>
          <w:rFonts w:cs="Calibri"/>
        </w:rPr>
        <w:t>Tenax</w:t>
      </w:r>
      <w:proofErr w:type="spellEnd"/>
      <w:r>
        <w:rPr>
          <w:rFonts w:cs="Calibri"/>
        </w:rPr>
        <w:t>®</w:t>
      </w:r>
      <w:r w:rsidRPr="005F3FE9">
        <w:rPr>
          <w:rFonts w:cs="Calibri"/>
        </w:rPr>
        <w:t xml:space="preserve"> TA </w:t>
      </w:r>
      <w:r>
        <w:rPr>
          <w:rFonts w:cs="Calibri"/>
        </w:rPr>
        <w:t>cartridges</w:t>
      </w:r>
      <w:r w:rsidRPr="005F3FE9">
        <w:rPr>
          <w:rFonts w:cs="Calibri"/>
        </w:rPr>
        <w:t xml:space="preserve"> and had flow rates of 250 </w:t>
      </w:r>
      <w:proofErr w:type="spellStart"/>
      <w:r w:rsidRPr="005F3FE9">
        <w:rPr>
          <w:rFonts w:cs="Calibri"/>
        </w:rPr>
        <w:t>ccm</w:t>
      </w:r>
      <w:proofErr w:type="spellEnd"/>
      <w:r w:rsidRPr="005F3FE9">
        <w:rPr>
          <w:rFonts w:cs="Calibri"/>
        </w:rPr>
        <w:t xml:space="preserve">. A portable weather station </w:t>
      </w:r>
      <w:r>
        <w:rPr>
          <w:rFonts w:cs="Calibri"/>
        </w:rPr>
        <w:t xml:space="preserve">(Ambient Weather WS-2000) </w:t>
      </w:r>
      <w:r w:rsidRPr="005F3FE9">
        <w:rPr>
          <w:rFonts w:cs="Calibri"/>
        </w:rPr>
        <w:t xml:space="preserve">recorded </w:t>
      </w:r>
      <w:r>
        <w:rPr>
          <w:rFonts w:cs="Calibri"/>
        </w:rPr>
        <w:t>wind direction and wind speed with 5-minute time resolution</w:t>
      </w:r>
      <w:r w:rsidRPr="005F3FE9">
        <w:rPr>
          <w:rFonts w:cs="Calibri"/>
        </w:rPr>
        <w:t>.</w:t>
      </w:r>
      <w:r>
        <w:rPr>
          <w:rFonts w:cs="Calibri"/>
        </w:rPr>
        <w:t xml:space="preserve"> </w:t>
      </w:r>
      <w:r w:rsidRPr="005F3FE9">
        <w:rPr>
          <w:rFonts w:cs="Calibri"/>
        </w:rPr>
        <w:t>Since the control turned out to be downwind of the sampling grid, no correction was made to the cells’ values.</w:t>
      </w:r>
      <w:r>
        <w:rPr>
          <w:rFonts w:cs="Calibri"/>
        </w:rPr>
        <w:t xml:space="preserve"> </w:t>
      </w:r>
    </w:p>
    <w:p w14:paraId="27CB601F" w14:textId="3F414D3F" w:rsidR="00554CCF" w:rsidRDefault="006179C6" w:rsidP="006179C6">
      <w:pPr>
        <w:pStyle w:val="Heading1"/>
      </w:pPr>
      <w:r>
        <w:t>3 Results and Discussion</w:t>
      </w:r>
    </w:p>
    <w:p w14:paraId="455319FB" w14:textId="54F4EDEA" w:rsidR="006179C6" w:rsidRDefault="006179C6" w:rsidP="006179C6">
      <w:pPr>
        <w:pStyle w:val="Heading2"/>
      </w:pPr>
      <w:r>
        <w:t>3.1 Sampler reproducibility</w:t>
      </w:r>
    </w:p>
    <w:p w14:paraId="4A98E739" w14:textId="77777777" w:rsidR="006179C6" w:rsidRDefault="006179C6" w:rsidP="006179C6">
      <w:r>
        <w:rPr>
          <w:rFonts w:cs="Calibri"/>
        </w:rPr>
        <w:t>During sampler reproducibility tests, two sets of samples were collected in an indoor environment. Thirty-one compounds were detected by both sets of samplers and quantified to ensure reproducibility and detect any differences in concentration (</w:t>
      </w:r>
      <w:r w:rsidRPr="007147AB">
        <w:rPr>
          <w:rFonts w:cs="Calibri"/>
        </w:rPr>
        <w:t>Fig</w:t>
      </w:r>
      <w:r>
        <w:rPr>
          <w:rFonts w:cs="Calibri"/>
        </w:rPr>
        <w:t>.</w:t>
      </w:r>
      <w:r w:rsidRPr="007147AB">
        <w:rPr>
          <w:rFonts w:cs="Calibri"/>
        </w:rPr>
        <w:t xml:space="preserve"> 2</w:t>
      </w:r>
      <w:r w:rsidRPr="00C16195">
        <w:rPr>
          <w:rFonts w:cs="Calibri"/>
        </w:rPr>
        <w:t>).</w:t>
      </w:r>
      <w:r>
        <w:rPr>
          <w:rFonts w:cs="Calibri"/>
        </w:rPr>
        <w:t xml:space="preserve"> Within each set of samplers, more than 85% of the quantified analytes agree to within 10% between samplers and almost all other analytes agree within 20% (</w:t>
      </w:r>
      <w:r w:rsidRPr="007147AB">
        <w:rPr>
          <w:rFonts w:cs="Calibri"/>
        </w:rPr>
        <w:t>Fig</w:t>
      </w:r>
      <w:r>
        <w:rPr>
          <w:rFonts w:cs="Calibri"/>
        </w:rPr>
        <w:t>.</w:t>
      </w:r>
      <w:r w:rsidRPr="007147AB">
        <w:rPr>
          <w:rFonts w:cs="Calibri"/>
        </w:rPr>
        <w:t xml:space="preserve"> 2</w:t>
      </w:r>
      <w:r>
        <w:rPr>
          <w:rFonts w:cs="Calibri"/>
        </w:rPr>
        <w:t xml:space="preserve"> inset histograms). This level of variability between samples is estimated as the approximate precision of chromatographic integration </w:t>
      </w:r>
      <w:r>
        <w:rPr>
          <w:rFonts w:cs="Calibri"/>
        </w:rPr>
        <w:fldChar w:fldCharType="begin" w:fldLock="1"/>
      </w:r>
      <w:r>
        <w:rPr>
          <w:rFonts w:cs="Calibri"/>
        </w:rPr>
        <w:instrText>ADDIN CSL_CITATION {"citationItems":[{"id":"ITEM-1","itemData":{"DOI":"10.1016/j.chroma.2017.11.005","ISSN":"18733778","abstract":"Chromatography provides important detail on the composition of environmental samples and their chemical processing. However, the complexity of these samples and their tendency to contain many structurally and chemically similar compounds frequently results in convoluted or poorly resolved data. Data reduction from raw chromatograms of complex environmental data into integrated peak areas consequently often requires substantial operator interaction. This difficulty has led to a bottleneck in analysis that increases analysis time, decreases data quality, and will worsen as advances in field-based instrumentation multiply the quantity and informational density of data produced. In this work, we develop and validate an automated approach to fitting chromatographic data within a target retention time window with a combination of multiple idealized peaks (Gaussian peaks either with or without an exponential decay component). We compare this single-ion peak fitting approach to drawn baseline integration methods of more than 70,000 peaks collected by field-based chromatographs spanning across a wide range of volatilities and functionalities. Accuracy of peak fitting under real-world conditions is found to be within 10%. The quantitative parameters describing the fit (e.g. coefficients, fit residuals, etc.) are found to provide valuable information to increase the efficiency of quality control and provide constraints to accurately integrate peaks that are significantly convoluted with neighboring peaks. Implementation of the peak fitting method is shown to yield accurate integration of peaks otherwise too poorly resolved to separate into individual compounds and improved quantitative metrics to determine the fidelity of the data reduction process, while substantially decreasing the time spent by operators on data reduction.","author":[{"dropping-particle":"","family":"Isaacman-VanWertz","given":"Gabriel","non-dropping-particle":"","parse-names":false,"suffix":""},{"dropping-particle":"","family":"Sueper","given":"Donna T.","non-dropping-particle":"","parse-names":false,"suffix":""},{"dropping-particle":"","family":"Aikin","given":"Kenneth C.","non-dropping-particle":"","parse-names":false,"suffix":""},{"dropping-particle":"","family":"Lerner","given":"Brian M.","non-dropping-particle":"","parse-names":false,"suffix":""},{"dropping-particle":"","family":"Gilman","given":"Jessica B.","non-dropping-particle":"","parse-names":false,"suffix":""},{"dropping-particle":"","family":"Gouw","given":"Joost A.","non-dropping-particle":"de","parse-names":false,"suffix":""},{"dropping-particle":"","family":"Worsnop","given":"Douglas R.","non-dropping-particle":"","parse-names":false,"suffix":""},{"dropping-particle":"","family":"Goldstein","given":"Allen H.","non-dropping-particle":"","parse-names":false,"suffix":""}],"container-title":"Journal of Chromatography A","id":"ITEM-1","issued":{"date-parts":[["2017"]]},"page":"81-92","publisher":"Elsevier B.V.","title":"Automated single-ion peak fitting as an efficient approach for analyzing complex chromatographic data","type":"article-journal","volume":"1529"},"uris":["http://www.mendeley.com/documents/?uuid=df845c5e-b745-4a40-ac5c-1e57c86f0b86"]}],"mendeley":{"formattedCitation":"(Isaacman-VanWertz et al., 2017)","plainTextFormattedCitation":"(Isaacman-VanWertz et al., 2017)","previouslyFormattedCitation":"(Isaacman-VanWertz et al., 2017)"},"properties":{"noteIndex":0},"schema":"https://github.com/citation-style-language/schema/raw/master/csl-citation.json"}</w:instrText>
      </w:r>
      <w:r>
        <w:rPr>
          <w:rFonts w:cs="Calibri"/>
        </w:rPr>
        <w:fldChar w:fldCharType="separate"/>
      </w:r>
      <w:r w:rsidRPr="0045096E">
        <w:rPr>
          <w:rFonts w:cs="Calibri"/>
          <w:noProof/>
        </w:rPr>
        <w:t>(Isaacman-VanWertz et al., 2017)</w:t>
      </w:r>
      <w:r>
        <w:rPr>
          <w:rFonts w:cs="Calibri"/>
        </w:rPr>
        <w:fldChar w:fldCharType="end"/>
      </w:r>
      <w:r>
        <w:rPr>
          <w:rFonts w:cs="Calibri"/>
        </w:rPr>
        <w:t>, suggesting samplers agree to within other measurement errors and produce highly reproducible samples</w:t>
      </w:r>
      <w:r>
        <w:t>.</w:t>
      </w:r>
    </w:p>
    <w:p w14:paraId="66EB62E0" w14:textId="1185AF0B" w:rsidR="006179C6" w:rsidRPr="003F355D" w:rsidRDefault="006179C6" w:rsidP="006179C6">
      <w:pPr>
        <w:rPr>
          <w:rFonts w:cs="Calibri"/>
        </w:rPr>
      </w:pPr>
      <w:r>
        <w:t xml:space="preserve">Interestingly, although the two sets were only separated by about </w:t>
      </w:r>
      <w:r w:rsidR="00E51591">
        <w:t>two</w:t>
      </w:r>
      <w:r>
        <w:t xml:space="preserve"> meters, many of the analytes differ in their observed signal between the two sampler sets. In many cases, differences between sets are greater than the 10-20% difference between samplers, suggesting a true difference in concentration. A two-tailed t-test at 95% confidence found that approximately two-thirds (20 of the 31 compounds) had statistically different concentrations between the sets (</w:t>
      </w:r>
      <w:r w:rsidRPr="007147AB">
        <w:t>Table S1)</w:t>
      </w:r>
      <w:r w:rsidRPr="00C16195">
        <w:t>,</w:t>
      </w:r>
      <w:r>
        <w:t xml:space="preserve"> demonstrating that fine-scale spatial differences exist and can be observed within the indoor environment. These differences are likely due to variability in proximity of emissions sources or perhaps small-scale discrepancies in air circulation. For example, Set A was located on the lab bench located closer to a Scanning Mobility Particle Sizer that uses 1-butanol, and it showed over 50% higher levels of this compound relative to Set B. These data suggest that thoughtful placement of the sampling boxes can detect analyte concentration differences over small spatial distances and may be useful in locating point sources. Given that intragroup differences between samplers are reliably &lt;15% (usually &lt;10%), even small differences in concentrations can be measured. </w:t>
      </w:r>
    </w:p>
    <w:p w14:paraId="510634A8" w14:textId="6EC4C794" w:rsidR="006179C6" w:rsidRDefault="006179C6" w:rsidP="006179C6">
      <w:pPr>
        <w:pStyle w:val="Heading2"/>
      </w:pPr>
      <w:r>
        <w:lastRenderedPageBreak/>
        <w:t>3.2 Efficacy of ozone removal</w:t>
      </w:r>
    </w:p>
    <w:p w14:paraId="3C9AF88B" w14:textId="77777777" w:rsidR="001050F5" w:rsidRDefault="006179C6" w:rsidP="00B146AE">
      <w:pPr>
        <w:rPr>
          <w:rFonts w:asciiTheme="majorHAnsi" w:hAnsiTheme="majorHAnsi" w:cstheme="majorHAnsi"/>
        </w:rPr>
      </w:pPr>
      <w:r>
        <w:t xml:space="preserve">Ozone removal was tested when sampling both indoor and outdoor air by comparing concentrations of reactive analytes both with and without ozone scrubbing. The ratio of analyte signal in the </w:t>
      </w:r>
      <w:proofErr w:type="spellStart"/>
      <w:r>
        <w:t>unscrubbed</w:t>
      </w:r>
      <w:proofErr w:type="spellEnd"/>
      <w:r>
        <w:t xml:space="preserve"> (i.e., ozone-exposed) sample to the scrubbed sample is interpreted as the reacted fraction of analyte upon exposure to the ozone in the sample flow. Higher reacted fractions are </w:t>
      </w:r>
      <w:r w:rsidRPr="00763947">
        <w:t xml:space="preserve">observed </w:t>
      </w:r>
      <w:r>
        <w:t xml:space="preserve">between the scrubbed and </w:t>
      </w:r>
      <w:proofErr w:type="spellStart"/>
      <w:r>
        <w:t>unscrubbed</w:t>
      </w:r>
      <w:proofErr w:type="spellEnd"/>
      <w:r>
        <w:t xml:space="preserve"> in the case of outdoor air due to higher expected ozone levels relative to the unoccupied and dark indoor environment </w:t>
      </w:r>
      <w:r w:rsidR="00C12485">
        <w:t>(Fig</w:t>
      </w:r>
      <w:r w:rsidR="001B77B3">
        <w:t>.</w:t>
      </w:r>
      <w:r w:rsidR="00C12485">
        <w:t>3).</w:t>
      </w:r>
      <w:r>
        <w:t xml:space="preserve"> Reacted fraction of each analyte is observed to correlate with ozone reactivity. For the monoterpene analytes, the reacted fraction for outdoor air was significantly lower than for indoor air in all cases, though </w:t>
      </w:r>
      <w:proofErr w:type="spellStart"/>
      <w:r>
        <w:t>sulcatone</w:t>
      </w:r>
      <w:proofErr w:type="spellEnd"/>
      <w:r>
        <w:t xml:space="preserve"> (</w:t>
      </w:r>
      <w:r w:rsidRPr="001F760C">
        <w:t>k</w:t>
      </w:r>
      <w:r w:rsidRPr="001F760C">
        <w:rPr>
          <w:vertAlign w:val="subscript"/>
        </w:rPr>
        <w:t>O3</w:t>
      </w:r>
      <w:r w:rsidRPr="001F760C">
        <w:t xml:space="preserve"> = 2.6×10</w:t>
      </w:r>
      <w:r w:rsidRPr="001F760C">
        <w:rPr>
          <w:vertAlign w:val="superscript"/>
        </w:rPr>
        <w:t>-16</w:t>
      </w:r>
      <w:r>
        <w:t xml:space="preserve"> cm</w:t>
      </w:r>
      <w:r>
        <w:rPr>
          <w:vertAlign w:val="superscript"/>
        </w:rPr>
        <w:t>3</w:t>
      </w:r>
      <w:r>
        <w:t xml:space="preserve"> molecule</w:t>
      </w:r>
      <w:r w:rsidRPr="00603C88">
        <w:rPr>
          <w:vertAlign w:val="superscript"/>
        </w:rPr>
        <w:t>-1</w:t>
      </w:r>
      <w:r>
        <w:t xml:space="preserve"> s</w:t>
      </w:r>
      <w:r w:rsidRPr="00603C88">
        <w:rPr>
          <w:vertAlign w:val="superscript"/>
        </w:rPr>
        <w:t>-1</w:t>
      </w:r>
      <w:r>
        <w:t>) was not observed in the indoor samples. BTEX compounds have comparatively negligible reactivity with ozone and show no significant differences with and without the ozone scrubber, demonstrating that analyte loss is not due to s</w:t>
      </w:r>
      <w:r w:rsidR="00017393">
        <w:t>o</w:t>
      </w:r>
      <w:r>
        <w:t xml:space="preserve">me confounding loss process (e.g., adsorption to the filter). Reacted fraction is approximately consistent with expected analyte loss as a function of reaction rate, assuming exposure throughout the sampling time (8.7 hours for outdoor and 13.5 hours for indoor) to constant representative ozone concentrations. For this model, indoor conditions were assumed to be 5 </w:t>
      </w:r>
      <w:proofErr w:type="spellStart"/>
      <w:r>
        <w:t>ppbv</w:t>
      </w:r>
      <w:proofErr w:type="spellEnd"/>
      <w:r>
        <w:t xml:space="preserve">  </w:t>
      </w:r>
      <w:r>
        <w:fldChar w:fldCharType="begin" w:fldLock="1"/>
      </w:r>
      <w:r>
        <w:instrText>ADDIN CSL_CITATION {"citationItems":[{"id":"ITEM-1","itemData":{"DOI":"10.1111/ina.12942","ISSN":"16000668","PMID":"34609012","abstract":"Because people spend most of their time indoors, much of their exposure to ozone occurs in buildings, which are partially protective against outdoor ozone. Measurements in approximately 2000 indoor environments (residences, schools, and offices) show a central tendency for average indoor ozone concentration of 4–6 ppb and an indoor to outdoor concentration ratio of about 25%. Considerable variability in this ratio exists among buildings, as influenced by seven building-associated factors: ozone removal in mechanical ventilation systems, ozone penetration through the building envelope, air-change rates, ozone loss rate on fixed indoor surfaces, ozone loss rate on human occupants, ozone loss by homogeneous reaction with nitrogen oxides, and ozone loss by reaction with gas-phase organics. Among these, the most important are air-change rates, ozone loss rate on fixed indoor surfaces, and, in densely occupied spaces, ozone loss rate on human occupants. Although most indoor ozone originates outdoors and enters with ventilation air, indoor emission sources can materially increase indoor ozone concentrations. Mitigation technologies to reduce indoor ozone concentrations are available or are being investigated. The most mature of these technologies, activated carbon filtration of mechanical ventilation supply air, shows a high modeled health-benefit to cost ratio when applied in densely occupied spaces.","author":[{"dropping-particle":"","family":"Nazaroff","given":"William W.","non-dropping-particle":"","parse-names":false,"suffix":""},{"dropping-particle":"","family":"Weschler","given":"Charles J.","non-dropping-particle":"","parse-names":false,"suffix":""}],"container-title":"Indoor Air","id":"ITEM-1","issue":"1","issued":{"date-parts":[["2022"]]},"page":"1-21","title":"Indoor ozone: Concentrations and influencing factors","type":"article-journal","volume":"32"},"uris":["http://www.mendeley.com/documents/?uuid=adca2b5f-5525-4427-b953-2a744f5718b9"]}],"mendeley":{"formattedCitation":"(Nazaroff and Weschler, 2022)","plainTextFormattedCitation":"(Nazaroff and Weschler, 2022)","previouslyFormattedCitation":"(Nazaroff and Weschler, 2022)"},"properties":{"noteIndex":0},"schema":"https://github.com/citation-style-language/schema/raw/master/csl-citation.json"}</w:instrText>
      </w:r>
      <w:r>
        <w:fldChar w:fldCharType="separate"/>
      </w:r>
      <w:r w:rsidRPr="005E7CEE">
        <w:rPr>
          <w:noProof/>
        </w:rPr>
        <w:t>(Nazaroff and Weschler, 2022)</w:t>
      </w:r>
      <w:r>
        <w:fldChar w:fldCharType="end"/>
      </w:r>
      <w:r>
        <w:t xml:space="preserve"> and outdoor conditions assumed 40 </w:t>
      </w:r>
      <w:proofErr w:type="spellStart"/>
      <w:r>
        <w:t>ppbv</w:t>
      </w:r>
      <w:proofErr w:type="spellEnd"/>
      <w:r>
        <w:t>, the approximate observed daily outdoor average during the sampling period</w:t>
      </w:r>
      <w:r w:rsidRPr="00981061">
        <w:rPr>
          <w:i/>
          <w:iCs/>
        </w:rPr>
        <w:t xml:space="preserve">. </w:t>
      </w:r>
      <w:bookmarkStart w:id="12" w:name="_Hlk138751361"/>
      <w:r w:rsidR="00B146AE" w:rsidRPr="00981061">
        <w:rPr>
          <w:rFonts w:asciiTheme="majorHAnsi" w:hAnsiTheme="majorHAnsi" w:cstheme="majorHAnsi"/>
        </w:rPr>
        <w:t xml:space="preserve">More information and statistical data on the selected analytes are given in Tables S2 and S3. </w:t>
      </w:r>
    </w:p>
    <w:p w14:paraId="743FA2FF" w14:textId="529407EA" w:rsidR="00A77E1E" w:rsidRPr="00A77E1E" w:rsidRDefault="00B146AE" w:rsidP="00B146AE">
      <w:pPr>
        <w:rPr>
          <w:rFonts w:asciiTheme="majorHAnsi" w:hAnsiTheme="majorHAnsi" w:cstheme="majorHAnsi"/>
          <w:szCs w:val="20"/>
        </w:rPr>
      </w:pPr>
      <w:r w:rsidRPr="00981061">
        <w:rPr>
          <w:rFonts w:asciiTheme="majorHAnsi" w:hAnsiTheme="majorHAnsi" w:cstheme="majorHAnsi"/>
          <w:szCs w:val="20"/>
        </w:rPr>
        <w:t xml:space="preserve">This ozone removal approach has the additional benefit of removal particle-phase compounds that may not be removed by the analytical system and could decrease the lifetime of the sampling cartridge. However, it has also been shown to have the downside of potentially removing some oxygenated gases, particularly those with lower volatility </w:t>
      </w:r>
      <w:r w:rsidRPr="00981061">
        <w:rPr>
          <w:rFonts w:asciiTheme="majorHAnsi" w:hAnsiTheme="majorHAnsi" w:cstheme="majorHAnsi"/>
          <w:szCs w:val="20"/>
        </w:rPr>
        <w:fldChar w:fldCharType="begin" w:fldLock="1"/>
      </w:r>
      <w:r w:rsidRPr="00981061">
        <w:rPr>
          <w:rFonts w:asciiTheme="majorHAnsi" w:hAnsiTheme="majorHAnsi" w:cstheme="majorHAnsi"/>
          <w:szCs w:val="20"/>
        </w:rPr>
        <w:instrText xml:space="preserve">ADDIN CSL_CITATION {"citationItems":[{"id":"ITEM-1","itemData":{"DOI":"10.1021/es050440w","ISSN":"0013936X","PMID":"16475343","abstract":"Atmospheric standards containing parts-per-billion levels of 14 semivolatile hydrocarbon compounds, including eight sesquiterpenes (SQTs) (longipinene, α-copaene, isolongifolene, α-cedrene, trans-caryophyllene, aromadendrene, α-humulene, δ-cadinene), two oxidized sesquiterpenoids (cis-nerolidol, trans-nerolidol), one biogenic ketone (geranylacetone) and three aromatic compounds (1,3,5-triisopropylbenzene, diphenylmethane, nonylbenzene), were collected onto four solid adsorbent materials at increasing ozone mixing ratios (0-100 ppbv O3) for analysis by thermodesorption-gas chromatography. Substantial sampling losses of up to &gt;90% were found for the most reactive SQT, even at the lowest ozone level investigated of 20 ppbv. Loss rates from the ozone-SQT reaction were used to derive estimates of gas-phase ozone reaction rate constants for longipinene, α-copaene, isolongifolene, geranylacetone, aromadendrene, δ-cadinene, cis-nerolidol, and trans-nerolidol. Three different ozone mitigation techniques were investigated to prevent these sampling losses. These strategies included (a) placing glass fiberfilters impregnated with sodium thiosulfate (Na2S2O3) into the sampling line, (b) titration of ozone in the sampling stream with nitric oxide (NO), and (c) catalytically removing ozone with a commercially available manganese dioxide (MnO2) catalyst. All three techniques reduced ozone-mixing ratios from 100 ppbv to &lt;0.6 ppbv at sampling flow rates of 1 L min-1. When the Na2S2O3 filters and the NO-titration techniques were applied, SQT loss rates decreased from 25-60% to 0-5% for most SQT compounds and from &gt;90% to </w:instrText>
      </w:r>
      <w:r w:rsidRPr="00981061">
        <w:rPr>
          <w:rFonts w:ascii="Cambria Math" w:hAnsi="Cambria Math" w:cs="Cambria Math"/>
          <w:szCs w:val="20"/>
        </w:rPr>
        <w:instrText>∼</w:instrText>
      </w:r>
      <w:r w:rsidRPr="00981061">
        <w:rPr>
          <w:rFonts w:asciiTheme="majorHAnsi" w:hAnsiTheme="majorHAnsi" w:cstheme="majorHAnsi"/>
          <w:szCs w:val="20"/>
        </w:rPr>
        <w:instrText>10-50% for the two most reactive compounds at ozone mixing ratios of up to 100 ppbv. The commercial manganese dioxide scrubber, however, caused complete analyte losses (&gt;98%) even at 0 ppbv ozone. These results underline the need and present applicable techniques for removal of ozone in air samples for SQT analysis by solid adsorption techniques. © 2005 American Chemical Society.","author":[{"dropping-particle":"","family":"Pollmann","given":"Jan","non-dropping-particle":"","parse-names":false,"suffix":""},{"dropping-particle":"","family":"Ortega","given":"John","non-dropping-particle":"","parse-names":false,"suffix":""},{"dropping-particle":"","family":"Helmig","given":"Detlev","non-dropping-particle":"","parse-names":false,"suffix":""}],"container-title":"Environmental Science and Technology","id":"ITEM-1","issue":"24","issued":{"date-parts":[["2005"]]},"page":"9620-9629","title":"Analysis of atmospheric sesquiterpenes: Sampling losses and mitigation of ozone interferences","type":"article-journal","volume":"39"},"uris":["http://www.mendeley.com/documents/?uuid=2d9db5e5-bffd-42f0-85fc-5f404e00c7cc"]},{"id":"ITEM-2","itemData":{"DOI":"10.1038/s41529-019-0105-2","ISSN":"23972106","abstract":"Hydrogen bonding interactions play an important role in many chemical and physical processes occurring in bulk liquids and at interfaces. In this study, hydrous species (H2O and Si-OH) on nano-porous alteration layers (gels) formed on a boroaluminosilicate glass called International Simple Glass corroded in aqueous solutions at pH 7 and pH 9, and initially saturated with soluble silicon-containing species were analyzed using linear and non-linear vibrational spectroscopy in combination with molecular dynamics simulations. The simulation results revealed various possible types of hydrogen bonds among these hydrous species in nanoconfinement environments with their populations depending on pore-size distribution. The nano-porous gels formed on corroded glass surfaces enhance hydrogen bond strength between hydrous species as revealed by attenuated total reflectance infrared spectroscopy. Sum frequency generation spectroscopy showed some significant differences in hydrogen bonding interactions on alteration layers formed at pH 7 and pH 9. The glass dissolution under the leaching conditions used in this study has been known to be ten times faster at pH 7 in comparison to that at pH 9 due to unknown reasons. The simulation and experimental results obtained in this study indicate that the water mobility in the gel formed at pH 9 could be slower than that in the gel formed at pH 7, and as a result, the leaching rate at pH 9 is slower than that at pH 7.","author":[{"dropping-particle":"","family":"Ngo","given":"Dien","non-dropping-particle":"","parse-names":false,"suffix":""},{"dropping-particle":"","family":"Liu","given":"Hongshen","non-dropping-particle":"","parse-names":false,"suffix":""},{"dropping-particle":"","family":"Chen","given":"Zhe","non-dropping-particle":"","parse-names":false,"suffix":""},{"dropping-particle":"","family":"Kaya","given":"Huseyin","non-dropping-particle":"","parse-names":false,"suffix":""},{"dropping-particle":"","family":"Zimudzi","given":"Tawanda J.","non-dropping-particle":"","parse-names":false,"suffix":""},{"dropping-particle":"","family":"Gin","given":"Stéphane","non-dropping-particle":"","parse-names":false,"suffix":""},{"dropping-particle":"","family":"Mahadevan","given":"Thiruvillamalai","non-dropping-particle":"","parse-names":false,"suffix":""},{"dropping-particle":"","family":"Du","given":"Jincheng","non-dropping-particle":"","parse-names":false,"suffix":""},{"dropping-particle":"","family":"Kim","given":"Seong H.","non-dropping-particle":"","parse-names":false,"suffix":""}],"container-title":"npj Materials Degradation","id":"ITEM-2","issue":"1","issued":{"date-parts":[["2020"]]},"page":"1-14","publisher":"Springer US","title":"Hydrogen bonding interactions of H2O and SiOH on a boroaluminosilicate glass corroded in aqueous solution","type":"article-journal","volume":"4"},"uris":["http://www.mendeley.com/documents/?uuid=8285741f-04ce-46f3-99f1-db30d9278fad"]}],"mendeley":{"formattedCitation":"(Ngo et al., 2020; Pollmann et al., 2005)","plainTextFormattedCitation":"(Ngo et al., 2020; Pollmann et al., 2005)","previouslyFormattedCitation":"(Ngo et al., 2020; Pollmann et al., 2005)"},"properties":{"noteIndex":0},"schema":"https://github.com/citation-style-language/schema/raw/master/csl-citation.json"}</w:instrText>
      </w:r>
      <w:r w:rsidRPr="00981061">
        <w:rPr>
          <w:rFonts w:asciiTheme="majorHAnsi" w:hAnsiTheme="majorHAnsi" w:cstheme="majorHAnsi"/>
          <w:szCs w:val="20"/>
        </w:rPr>
        <w:fldChar w:fldCharType="separate"/>
      </w:r>
      <w:r w:rsidRPr="00981061">
        <w:rPr>
          <w:rFonts w:asciiTheme="majorHAnsi" w:hAnsiTheme="majorHAnsi" w:cstheme="majorHAnsi"/>
          <w:noProof/>
          <w:szCs w:val="20"/>
        </w:rPr>
        <w:t>(Ngo et al., 2020; Pollmann et al., 2005)</w:t>
      </w:r>
      <w:r w:rsidRPr="00981061">
        <w:rPr>
          <w:rFonts w:asciiTheme="majorHAnsi" w:hAnsiTheme="majorHAnsi" w:cstheme="majorHAnsi"/>
          <w:szCs w:val="20"/>
        </w:rPr>
        <w:fldChar w:fldCharType="end"/>
      </w:r>
      <w:r w:rsidRPr="00981061">
        <w:rPr>
          <w:rFonts w:asciiTheme="majorHAnsi" w:hAnsiTheme="majorHAnsi" w:cstheme="majorHAnsi"/>
          <w:szCs w:val="20"/>
        </w:rPr>
        <w:t xml:space="preserve">. Estimates of thiosulphate scrubber lifetimes have been made and effects of humidity also have been studied; these studies observed lifetimes of 14 days at moderate flow rates (200 </w:t>
      </w:r>
      <w:proofErr w:type="spellStart"/>
      <w:r w:rsidRPr="00981061">
        <w:rPr>
          <w:rFonts w:asciiTheme="majorHAnsi" w:hAnsiTheme="majorHAnsi" w:cstheme="majorHAnsi"/>
          <w:szCs w:val="20"/>
        </w:rPr>
        <w:t>ccm</w:t>
      </w:r>
      <w:proofErr w:type="spellEnd"/>
      <w:r w:rsidRPr="00981061">
        <w:rPr>
          <w:rFonts w:asciiTheme="majorHAnsi" w:hAnsiTheme="majorHAnsi" w:cstheme="majorHAnsi"/>
          <w:szCs w:val="20"/>
        </w:rPr>
        <w:t xml:space="preserve">) and ozone levels (50 </w:t>
      </w:r>
      <w:proofErr w:type="spellStart"/>
      <w:r w:rsidRPr="00981061">
        <w:rPr>
          <w:rFonts w:asciiTheme="majorHAnsi" w:hAnsiTheme="majorHAnsi" w:cstheme="majorHAnsi"/>
          <w:szCs w:val="20"/>
        </w:rPr>
        <w:t>ppbv</w:t>
      </w:r>
      <w:proofErr w:type="spellEnd"/>
      <w:r w:rsidRPr="00981061">
        <w:rPr>
          <w:rFonts w:asciiTheme="majorHAnsi" w:hAnsiTheme="majorHAnsi" w:cstheme="majorHAnsi"/>
          <w:szCs w:val="20"/>
        </w:rPr>
        <w:t xml:space="preserve">),with longer lifetimes and more efficient scrubbing occurring at higher humidity (80% RH) </w:t>
      </w:r>
      <w:r w:rsidRPr="00981061">
        <w:rPr>
          <w:rFonts w:asciiTheme="majorHAnsi" w:hAnsiTheme="majorHAnsi" w:cstheme="majorHAnsi"/>
          <w:szCs w:val="20"/>
        </w:rPr>
        <w:fldChar w:fldCharType="begin" w:fldLock="1"/>
      </w:r>
      <w:r w:rsidRPr="00981061">
        <w:rPr>
          <w:rFonts w:asciiTheme="majorHAnsi" w:hAnsiTheme="majorHAnsi" w:cstheme="majorHAnsi"/>
          <w:szCs w:val="20"/>
        </w:rPr>
        <w:instrText>ADDIN CSL_CITATION {"citationItems":[{"id":"ITEM-1","itemData":{"author":[{"dropping-particle":"","family":"Ernle","given":"Lisa","non-dropping-particle":"","parse-names":false,"suffix":""},{"dropping-particle":"","family":"Ringsdorf","given":"Akima","non-dropping-particle":"","parse-names":false,"suffix":""},{"dropping-particle":"","family":"Williams","given":"Jonathan","non-dropping-particle":"","parse-names":false,"suffix":""}],"container-title":"Atmospheric Measurement Techniques","id":"ITEM-1","issued":{"date-parts":[["2023"]]},"page":"1179-1194","title":"Influence of ozone and humidity on PTR-MS and GC-MS VOC measurements with and without an ozone scrubber","type":"article-journal","volume":"16"},"uris":["http://www.mendeley.com/documents/?uuid=02ba8463-d294-4f31-8048-d7620038246d"]}],"mendeley":{"formattedCitation":"(Ernle et al., 2023)","plainTextFormattedCitation":"(Ernle et al., 2023)","previouslyFormattedCitation":"(Ernle et al., 2023)"},"properties":{"noteIndex":0},"schema":"https://github.com/citation-style-language/schema/raw/master/csl-citation.json"}</w:instrText>
      </w:r>
      <w:r w:rsidRPr="00981061">
        <w:rPr>
          <w:rFonts w:asciiTheme="majorHAnsi" w:hAnsiTheme="majorHAnsi" w:cstheme="majorHAnsi"/>
          <w:szCs w:val="20"/>
        </w:rPr>
        <w:fldChar w:fldCharType="separate"/>
      </w:r>
      <w:r w:rsidRPr="00981061">
        <w:rPr>
          <w:rFonts w:asciiTheme="majorHAnsi" w:hAnsiTheme="majorHAnsi" w:cstheme="majorHAnsi"/>
          <w:noProof/>
          <w:szCs w:val="20"/>
        </w:rPr>
        <w:t>(Ernle et al., 2023)</w:t>
      </w:r>
      <w:r w:rsidRPr="00981061">
        <w:rPr>
          <w:rFonts w:asciiTheme="majorHAnsi" w:hAnsiTheme="majorHAnsi" w:cstheme="majorHAnsi"/>
          <w:szCs w:val="20"/>
        </w:rPr>
        <w:fldChar w:fldCharType="end"/>
      </w:r>
      <w:r w:rsidRPr="00981061">
        <w:rPr>
          <w:rFonts w:asciiTheme="majorHAnsi" w:hAnsiTheme="majorHAnsi" w:cstheme="majorHAnsi"/>
          <w:szCs w:val="20"/>
        </w:rPr>
        <w:t xml:space="preserve">. </w:t>
      </w:r>
      <w:r w:rsidR="00A77E1E">
        <w:rPr>
          <w:rFonts w:asciiTheme="minorHAnsi" w:hAnsiTheme="minorHAnsi" w:cstheme="minorHAnsi"/>
          <w:szCs w:val="20"/>
        </w:rPr>
        <w:t>It should be noted, f</w:t>
      </w:r>
      <w:r w:rsidR="00A77E1E" w:rsidRPr="00981061">
        <w:rPr>
          <w:rFonts w:asciiTheme="minorHAnsi" w:hAnsiTheme="minorHAnsi" w:cstheme="minorHAnsi"/>
          <w:szCs w:val="20"/>
        </w:rPr>
        <w:t>or this and all other sampler validation and field tests, longer sampling times and higher flow rates were chosen to stress test the components, but experimenters should be aware that such conditions may lead to breakthrough of the most volatile compounds; such breakthrough may explain the large error bars on benzene, the most volatile BTEX compound, in Fig.3. Nevertheless, possible breakthroughs would not affect the overall conclusions of this work</w:t>
      </w:r>
      <w:r w:rsidR="00A77E1E">
        <w:rPr>
          <w:rFonts w:asciiTheme="minorHAnsi" w:hAnsiTheme="minorHAnsi" w:cstheme="minorHAnsi"/>
          <w:szCs w:val="20"/>
        </w:rPr>
        <w:t>.</w:t>
      </w:r>
    </w:p>
    <w:p w14:paraId="1498ADFE" w14:textId="10171768" w:rsidR="00B146AE" w:rsidRPr="001050F5" w:rsidRDefault="00B146AE" w:rsidP="00B146AE">
      <w:pPr>
        <w:rPr>
          <w:szCs w:val="20"/>
        </w:rPr>
      </w:pPr>
      <w:r w:rsidRPr="00981061">
        <w:rPr>
          <w:rFonts w:asciiTheme="majorHAnsi" w:hAnsiTheme="majorHAnsi" w:cstheme="majorHAnsi"/>
          <w:szCs w:val="20"/>
        </w:rPr>
        <w:t>The qualitative agreement between this simplified model for analyte loss and observations supports the conclusions that observed differences with and without the scrubber are attributable to removal of ozone, that the simple ozone scrubber employed is effective, and that a functioning ozone scrubber is necessary.</w:t>
      </w:r>
      <w:r w:rsidRPr="00981061">
        <w:rPr>
          <w:rFonts w:asciiTheme="majorHAnsi" w:hAnsiTheme="majorHAnsi" w:cstheme="majorHAnsi"/>
          <w:b/>
          <w:bCs/>
          <w:szCs w:val="20"/>
        </w:rPr>
        <w:t xml:space="preserve"> </w:t>
      </w:r>
      <w:r w:rsidRPr="00981061">
        <w:rPr>
          <w:szCs w:val="20"/>
        </w:rPr>
        <w:t>Overall, the addition of a chemically reactive filter upstream such as the ozone scrubber here introduces the possibility of negative artifacts (removal of oxygenates) or positive artifacts (volatilization of particle-phase compounds), but as demonstrated by Fi</w:t>
      </w:r>
      <w:r w:rsidR="00527B30">
        <w:rPr>
          <w:szCs w:val="20"/>
        </w:rPr>
        <w:t>g.</w:t>
      </w:r>
      <w:r w:rsidRPr="00981061">
        <w:rPr>
          <w:szCs w:val="20"/>
        </w:rPr>
        <w:t>3 is a necessary component to avoid removal of reactive gases.</w:t>
      </w:r>
      <w:r w:rsidRPr="001050F5">
        <w:rPr>
          <w:szCs w:val="20"/>
        </w:rPr>
        <w:t xml:space="preserve"> </w:t>
      </w:r>
      <w:r w:rsidRPr="00981061">
        <w:rPr>
          <w:szCs w:val="20"/>
        </w:rPr>
        <w:t xml:space="preserve">Previous work has explored other ozone removal approaches, but each comes with its own </w:t>
      </w:r>
      <w:r w:rsidR="001050F5" w:rsidRPr="001050F5">
        <w:rPr>
          <w:szCs w:val="20"/>
        </w:rPr>
        <w:t>trade-offs</w:t>
      </w:r>
      <w:r w:rsidR="00731217">
        <w:rPr>
          <w:szCs w:val="20"/>
        </w:rPr>
        <w:t xml:space="preserve"> </w:t>
      </w:r>
      <w:r w:rsidR="00731217">
        <w:rPr>
          <w:szCs w:val="20"/>
        </w:rPr>
        <w:fldChar w:fldCharType="begin" w:fldLock="1"/>
      </w:r>
      <w:r w:rsidR="00731217">
        <w:rPr>
          <w:szCs w:val="20"/>
        </w:rPr>
        <w:instrText>ADDIN CSL_CITATION {"citationItems":[{"id":"ITEM-1","itemData":{"author":[{"dropping-particle":"","family":"World Meteorological Organization","given":"","non-dropping-particle":"","parse-names":false,"suffix":""}],"container-title":"GAW Report No. 281","id":"ITEM-1","issued":{"date-parts":[["2023"]]},"title":"Guidelines for Measurements of Non-Methane Hydrocarbons in the Troposphere","type":"paper-conference"},"uris":["http://www.mendeley.com/documents/?uuid=041f9c29-5ed0-458b-bd34-3936cb1559ea"]}],"mendeley":{"formattedCitation":"(World Meteorological Organization, 2023)","plainTextFormattedCitation":"(World Meteorological Organization, 2023)"},"properties":{"noteIndex":0},"schema":"https://github.com/citation-style-language/schema/raw/master/csl-citation.json"}</w:instrText>
      </w:r>
      <w:r w:rsidR="00731217">
        <w:rPr>
          <w:szCs w:val="20"/>
        </w:rPr>
        <w:fldChar w:fldCharType="separate"/>
      </w:r>
      <w:r w:rsidR="00731217" w:rsidRPr="00731217">
        <w:rPr>
          <w:noProof/>
          <w:szCs w:val="20"/>
        </w:rPr>
        <w:t>(World Meteorological Organization, 2023)</w:t>
      </w:r>
      <w:r w:rsidR="00731217">
        <w:rPr>
          <w:szCs w:val="20"/>
        </w:rPr>
        <w:fldChar w:fldCharType="end"/>
      </w:r>
      <w:r w:rsidRPr="00981061">
        <w:rPr>
          <w:szCs w:val="20"/>
        </w:rPr>
        <w:t>. Balancing the need for ozone removal with its disadvantages is a necessary aspect of sampling for reactive gases and should be considered in any interpretation of data from a given sample collection</w:t>
      </w:r>
      <w:r w:rsidRPr="001050F5">
        <w:rPr>
          <w:szCs w:val="20"/>
        </w:rPr>
        <w:t>.</w:t>
      </w:r>
    </w:p>
    <w:p w14:paraId="10753EC0" w14:textId="4057A6A4" w:rsidR="00B146AE" w:rsidRPr="00981061" w:rsidRDefault="00B146AE" w:rsidP="00B146AE">
      <w:pPr>
        <w:rPr>
          <w:rFonts w:asciiTheme="majorHAnsi" w:hAnsiTheme="majorHAnsi" w:cstheme="majorHAnsi"/>
          <w:b/>
          <w:bCs/>
          <w:szCs w:val="28"/>
        </w:rPr>
      </w:pPr>
    </w:p>
    <w:bookmarkEnd w:id="12"/>
    <w:p w14:paraId="0EF8E84B" w14:textId="78E88546" w:rsidR="006179C6" w:rsidRDefault="006179C6" w:rsidP="006179C6">
      <w:pPr>
        <w:pStyle w:val="Heading2"/>
      </w:pPr>
      <w:r>
        <w:t>3.3 Measurements of temporal variability</w:t>
      </w:r>
    </w:p>
    <w:p w14:paraId="59AF62C7" w14:textId="1BD9007C" w:rsidR="006179C6" w:rsidRPr="003825E6" w:rsidRDefault="006179C6" w:rsidP="006179C6">
      <w:r>
        <w:t xml:space="preserve">Given the high precision observed in </w:t>
      </w:r>
      <w:r w:rsidRPr="00603C88">
        <w:t>samples (Section 3.1),</w:t>
      </w:r>
      <w:r>
        <w:t xml:space="preserve"> temporal variability in real ambient concentrations is theoretically measurable with these samplers, which we demonstrate in practice here. Concentrations of a set of 13 analytes commonly observed in indoor environments were monitored by a set of </w:t>
      </w:r>
      <w:r w:rsidR="00E51591">
        <w:t>three</w:t>
      </w:r>
      <w:r>
        <w:t xml:space="preserve"> samplers in an indoor atmosphere over 3 weeks, with </w:t>
      </w:r>
      <w:r w:rsidR="00E51591">
        <w:t>five</w:t>
      </w:r>
      <w:r>
        <w:t xml:space="preserve"> representative compounds shown </w:t>
      </w:r>
      <w:r w:rsidRPr="00603C88">
        <w:t>in</w:t>
      </w:r>
      <w:r w:rsidR="006861E5">
        <w:t xml:space="preserve"> Fig. 4</w:t>
      </w:r>
      <w:r w:rsidRPr="00C00C58">
        <w:t>.</w:t>
      </w:r>
      <w:r>
        <w:t xml:space="preserve"> For most analytes, compounds are observed to vary by approximately a factor of three around the mean, significantly larger than uncertainty in the measurement (estimated as the standard deviation of the </w:t>
      </w:r>
      <w:r w:rsidR="00E51591">
        <w:t>three</w:t>
      </w:r>
      <w:r>
        <w:t xml:space="preserve"> samples in each set). This variation is likely due to variation in the operation of the building’s HVAC system, periodic cleaning of the unoccupied room by the housekeeping staff, and the occupancy and use of adjacent rooms. Additional analytes not included in the plot showed similar trends with respect to day-to-day variability and error </w:t>
      </w:r>
      <w:r w:rsidRPr="00603C88">
        <w:t>(Table S4).</w:t>
      </w:r>
      <w:r>
        <w:t xml:space="preserve"> Overall, average variability between samplers is less than 10%, while measured concentrations have a standard deviation of 50%. Day-to-day differences also suggest that some compounds that have previously been observed as artefacts from sorbent decomposition (e.g., toluene </w:t>
      </w:r>
      <w:r>
        <w:fldChar w:fldCharType="begin" w:fldLock="1"/>
      </w:r>
      <w:r>
        <w:instrText>ADDIN CSL_CITATION {"citationItems":[{"id":"ITEM-1","itemData":{"DOI":"10.1016/0021-9673(94)00908-2","ISSN":"00219673","abstract":"The levels of blank artifacts on four adsorbents commonly used for air sampling (Tenax-TA, Tenax-GR, Carbotrap and Chromosorb 106) were observed to increase during storage. This may determine the detection limits and hence their suitability for the passive sampling of volatile organic compounds in ambient air. Blank build-up on Chromosorb 106 was very high. and this material cannot be used for passive sampling in ambient air. The blank build-up on Carbotrap was also high, especially in the Chromatographic range corresponding to hydrocarbons of ≤C5, but that on Tenax-TA and Tenax-GR was very low. Simultaneous sampling was carried out using different adsorbents, and for compounds that are the main artifacts on adsorbents (e.g., benzene on Tenax, benzene and toluene on Carbotrap) the results from Carbotrap are much higher than those from Tenax-TA and Tenax-GR, and the results from Tenax-TA and Tenax-GR also vary. © 1994.","author":[{"dropping-particle":"","family":"Cao","given":"Xu Liang","non-dropping-particle":"","parse-names":false,"suffix":""},{"dropping-particle":"","family":"Nicholas Hewitt","given":"C.","non-dropping-particle":"","parse-names":false,"suffix":""}],"container-title":"Journal of Chromatography A","id":"ITEM-1","issue":"1-2","issued":{"date-parts":[["1994"]]},"page":"368-374","title":"Build-up of artifacts on adsorbents during storage and its effect on passive sampling and gas chromatography-flame ionization detection of low concentrations of volatile organic compounds in air","type":"article-journal","volume":"688"},"uris":["http://www.mendeley.com/documents/?uuid=6956ead2-064c-4ae2-811c-7206bc86ebf0"]},{"id":"ITEM-2","itemData":{"DOI":"10.1016/S0021-9673(01)97343-1","ISSN":"00219673","abstract":"The artefact background on thermal desorption of pre-conditioned Tenax GC and Tenax TA is compared. Superior blank gas chromatograms were obtained from Tenax TA, and an efficient pre-conditioning procedure to minimise background on heat desorption is proposed. The pooling technique described is suitable for the analysis of trace components of food aromas, especially relatively high-boiling components. The majority of the volatiles identified by combined gas chromatography-mass spectrometry analysis of pooled blank tubes were aliphatic, alicyclic and aromatic hydrocarbons. Many are common food aroma components, and their existence in blank experiments must be monitored carefully. © 1986.","author":[{"dropping-particle":"","family":"MacLeod","given":"Glesni","non-dropping-particle":"","parse-names":false,"suffix":""},{"dropping-particle":"","family":"Ames","given":"Jennifer M.","non-dropping-particle":"","parse-names":false,"suffix":""}],"container-title":"Journal of Chromatography A","id":"ITEM-2","issue":"C","issued":{"date-parts":[["1986"]]},"page":"393-398","title":"Comparative assessment of the artefact background on thermal desorption of tenax GC and tenax TA","type":"article-journal","volume":"355"},"uris":["http://www.mendeley.com/documents/?uuid=f19b3e08-d81a-44a4-a061-330acab40efd"]}],"mendeley":{"formattedCitation":"(Cao and Nicholas Hewitt, 1994; MacLeod and Ames, 1986)","plainTextFormattedCitation":"(Cao and Nicholas Hewitt, 1994; MacLeod and Ames, 1986)","previouslyFormattedCitation":"(Cao and Nicholas Hewitt, 1994; MacLeod and Ames, 1986)"},"properties":{"noteIndex":0},"schema":"https://github.com/citation-style-language/schema/raw/master/csl-citation.json"}</w:instrText>
      </w:r>
      <w:r>
        <w:fldChar w:fldCharType="separate"/>
      </w:r>
      <w:r w:rsidRPr="00B43CF3">
        <w:rPr>
          <w:noProof/>
        </w:rPr>
        <w:t>(Cao and Nicholas Hewitt, 1994; MacLeod and Ames, 1986)</w:t>
      </w:r>
      <w:r>
        <w:fldChar w:fldCharType="end"/>
      </w:r>
      <w:r>
        <w:t xml:space="preserve">) likely represent real ambient components in this environment; artefacts would be expected to have higher variability between samplers. </w:t>
      </w:r>
      <w:bookmarkStart w:id="13" w:name="_Hlk137635338"/>
      <w:r>
        <w:t xml:space="preserve">These data demonstrate that </w:t>
      </w:r>
      <w:r w:rsidRPr="00AA2640">
        <w:rPr>
          <w:szCs w:val="20"/>
        </w:rPr>
        <w:t xml:space="preserve">sampler </w:t>
      </w:r>
      <w:r>
        <w:rPr>
          <w:szCs w:val="20"/>
        </w:rPr>
        <w:t xml:space="preserve">precision </w:t>
      </w:r>
      <w:r w:rsidRPr="00AA2640">
        <w:rPr>
          <w:szCs w:val="20"/>
        </w:rPr>
        <w:t xml:space="preserve">remains high when a lower number of </w:t>
      </w:r>
      <w:r>
        <w:rPr>
          <w:szCs w:val="20"/>
        </w:rPr>
        <w:t>re</w:t>
      </w:r>
      <w:r w:rsidRPr="00AA2640">
        <w:rPr>
          <w:szCs w:val="20"/>
        </w:rPr>
        <w:t xml:space="preserve">plicates is </w:t>
      </w:r>
      <w:r>
        <w:rPr>
          <w:szCs w:val="20"/>
        </w:rPr>
        <w:t xml:space="preserve">used, allowing these systems to capture real </w:t>
      </w:r>
      <w:r w:rsidRPr="00AA2640">
        <w:rPr>
          <w:szCs w:val="20"/>
        </w:rPr>
        <w:t>temporal variability</w:t>
      </w:r>
      <w:r w:rsidR="00576DEC">
        <w:rPr>
          <w:szCs w:val="20"/>
        </w:rPr>
        <w:t xml:space="preserve"> on a scale of </w:t>
      </w:r>
      <w:r w:rsidR="00B65978">
        <w:rPr>
          <w:szCs w:val="20"/>
        </w:rPr>
        <w:t xml:space="preserve">hours or </w:t>
      </w:r>
      <w:r w:rsidR="00576DEC">
        <w:rPr>
          <w:szCs w:val="20"/>
        </w:rPr>
        <w:t>days</w:t>
      </w:r>
      <w:r w:rsidRPr="00AA2640">
        <w:rPr>
          <w:szCs w:val="20"/>
        </w:rPr>
        <w:t xml:space="preserve">. </w:t>
      </w:r>
      <w:bookmarkEnd w:id="13"/>
      <w:r w:rsidR="001A2475">
        <w:rPr>
          <w:szCs w:val="20"/>
        </w:rPr>
        <w:t xml:space="preserve">An alternative approach to detecting temporal variability requiring less operator interaction would </w:t>
      </w:r>
      <w:r w:rsidR="00F310E4">
        <w:rPr>
          <w:szCs w:val="20"/>
        </w:rPr>
        <w:t xml:space="preserve">deploy </w:t>
      </w:r>
      <w:r w:rsidR="001A2475">
        <w:rPr>
          <w:szCs w:val="20"/>
        </w:rPr>
        <w:t>multiple samplers at one location programmed for sequential sampling using staggered start times.</w:t>
      </w:r>
    </w:p>
    <w:p w14:paraId="01E17805" w14:textId="77752B3E" w:rsidR="006179C6" w:rsidRDefault="006179C6" w:rsidP="006179C6">
      <w:pPr>
        <w:pStyle w:val="Heading2"/>
      </w:pPr>
      <w:r>
        <w:t>3.4 Mapping spatial variability</w:t>
      </w:r>
    </w:p>
    <w:p w14:paraId="20EA5E9C" w14:textId="517CA606" w:rsidR="00AC768C" w:rsidRDefault="00AC768C" w:rsidP="00AC768C">
      <w:r>
        <w:t xml:space="preserve">A major improvement of programmable, low-cost, portable samplers over other sampling tools is the possibility of a distributed simultaneous collection network of multiple samples to generate a map of analytes of interest. To demonstrate and evaluate this capability, known emissions sources were dispersed throughout a field and sampled. As described in </w:t>
      </w:r>
      <w:r w:rsidRPr="007147AB">
        <w:t>Section 2.4.2</w:t>
      </w:r>
      <w:r w:rsidRPr="00CA0936">
        <w:t>,</w:t>
      </w:r>
      <w:r>
        <w:t xml:space="preserve"> sampling was not conducted by placing each sampler in evenly spaced grid cells, but rather using orthogonal transects across a region of interest in which emissions sources were placed </w:t>
      </w:r>
      <w:r w:rsidRPr="00CA0936">
        <w:t>(</w:t>
      </w:r>
      <w:r w:rsidRPr="007147AB">
        <w:t>Fig</w:t>
      </w:r>
      <w:r>
        <w:t>.</w:t>
      </w:r>
      <w:r w:rsidRPr="007147AB">
        <w:t xml:space="preserve"> </w:t>
      </w:r>
      <w:r w:rsidR="003058E4">
        <w:t>6</w:t>
      </w:r>
      <w:r w:rsidRPr="00CA0936">
        <w:t>a</w:t>
      </w:r>
      <w:r>
        <w:t xml:space="preserve">). This novel “transect mapping” approach enables higher resolution than the number of samplers. Since the goal is to identify emissions sources, concentrations in each cell are estimated as the minimum concentration of the two transects that cross each grid cell. This approach does not necessarily capture fine concentration gradients, but rather identifies hotspots of concentration, which are expected to have high concentrations in both transecting samples and thus a high minimum concentration. Estimated concentrations in each grid cell </w:t>
      </w:r>
      <w:r w:rsidR="00DB08B2">
        <w:t>are</w:t>
      </w:r>
      <w:r>
        <w:t xml:space="preserve"> indeed found to be highest near the known emissions sources (</w:t>
      </w:r>
      <w:r w:rsidRPr="007147AB">
        <w:t>Fig</w:t>
      </w:r>
      <w:r>
        <w:t>.</w:t>
      </w:r>
      <w:r w:rsidRPr="007147AB">
        <w:t xml:space="preserve"> </w:t>
      </w:r>
      <w:r w:rsidR="003058E4">
        <w:t>6</w:t>
      </w:r>
      <w:r w:rsidRPr="007147AB">
        <w:t>c-g</w:t>
      </w:r>
      <w:r>
        <w:t xml:space="preserve">). The maximum transect-averaged concentrations of analytes ranged from 2 </w:t>
      </w:r>
      <w:proofErr w:type="spellStart"/>
      <w:r>
        <w:t>pptv</w:t>
      </w:r>
      <w:proofErr w:type="spellEnd"/>
      <w:r>
        <w:t xml:space="preserve"> (</w:t>
      </w:r>
      <w:proofErr w:type="spellStart"/>
      <w:r>
        <w:t>isoborneol</w:t>
      </w:r>
      <w:proofErr w:type="spellEnd"/>
      <w:r>
        <w:t xml:space="preserve">) and 2,600 </w:t>
      </w:r>
      <w:proofErr w:type="spellStart"/>
      <w:r>
        <w:t>pptv</w:t>
      </w:r>
      <w:proofErr w:type="spellEnd"/>
      <w:r>
        <w:t xml:space="preserve"> (</w:t>
      </w:r>
      <w:proofErr w:type="spellStart"/>
      <w:r>
        <w:t>decane</w:t>
      </w:r>
      <w:proofErr w:type="spellEnd"/>
      <w:r>
        <w:t xml:space="preserve">). </w:t>
      </w:r>
    </w:p>
    <w:p w14:paraId="5A3C46BC" w14:textId="297CA325" w:rsidR="00AC768C" w:rsidRDefault="00AC768C" w:rsidP="00AC768C">
      <w:r>
        <w:t xml:space="preserve">Concentrations of the </w:t>
      </w:r>
      <w:r w:rsidRPr="003C0224">
        <w:t xml:space="preserve">three analytes </w:t>
      </w:r>
      <w:r>
        <w:t xml:space="preserve">with only a single emissions source </w:t>
      </w:r>
      <w:r w:rsidRPr="003C0224">
        <w:t>(</w:t>
      </w:r>
      <w:r>
        <w:t>α</w:t>
      </w:r>
      <w:r w:rsidRPr="003C0224">
        <w:t xml:space="preserve">-pinene, adamantane, and </w:t>
      </w:r>
      <w:proofErr w:type="spellStart"/>
      <w:r w:rsidRPr="003C0224">
        <w:t>isoborneol</w:t>
      </w:r>
      <w:proofErr w:type="spellEnd"/>
      <w:r>
        <w:t xml:space="preserve">, Fig. </w:t>
      </w:r>
      <w:r w:rsidR="003058E4">
        <w:t>6</w:t>
      </w:r>
      <w:r>
        <w:t>e-g</w:t>
      </w:r>
      <w:r w:rsidRPr="003C0224">
        <w:t>)</w:t>
      </w:r>
      <w:r>
        <w:t xml:space="preserve"> are highest just northeast of where the aliquot was placed. This effect is expected given the prevailing moderate </w:t>
      </w:r>
      <w:proofErr w:type="spellStart"/>
      <w:r>
        <w:lastRenderedPageBreak/>
        <w:t>southwesterly</w:t>
      </w:r>
      <w:proofErr w:type="spellEnd"/>
      <w:r>
        <w:t xml:space="preserve"> winds during the sampling period (</w:t>
      </w:r>
      <w:r w:rsidRPr="007147AB">
        <w:t>Fig</w:t>
      </w:r>
      <w:r>
        <w:t>.</w:t>
      </w:r>
      <w:r w:rsidR="00FC016A">
        <w:t xml:space="preserve"> </w:t>
      </w:r>
      <w:r w:rsidR="00DB08B2">
        <w:t>6</w:t>
      </w:r>
      <w:r w:rsidRPr="007147AB">
        <w:t>b</w:t>
      </w:r>
      <w:r>
        <w:t xml:space="preserve">). All grid cells were observed to have some α-pinene, likely due to its presence as a ubiquitous ambient gas, but estimated concentration was substantially greater downwind of the emission source. In contrast, adamantane and </w:t>
      </w:r>
      <w:proofErr w:type="spellStart"/>
      <w:r>
        <w:t>isoborneol</w:t>
      </w:r>
      <w:proofErr w:type="spellEnd"/>
      <w:r>
        <w:t xml:space="preserve"> are not expected to be present in high concentrations under ambient conditions and </w:t>
      </w:r>
      <w:r w:rsidR="003058E4">
        <w:t>neither</w:t>
      </w:r>
      <w:r>
        <w:t xml:space="preserve"> are observed in </w:t>
      </w:r>
      <w:proofErr w:type="gramStart"/>
      <w:r>
        <w:t>the majority of</w:t>
      </w:r>
      <w:proofErr w:type="gramEnd"/>
      <w:r>
        <w:t xml:space="preserve"> upwind grid cells. Adamantane and </w:t>
      </w:r>
      <w:proofErr w:type="spellStart"/>
      <w:r>
        <w:t>isoborneol</w:t>
      </w:r>
      <w:proofErr w:type="spellEnd"/>
      <w:r>
        <w:t xml:space="preserve"> also have far lower vapor pressures (2.99 Pa and 0.06 Pa, respectively) compared to the other analytes, leading to low emissions and low concentrations (</w:t>
      </w:r>
      <w:proofErr w:type="spellStart"/>
      <w:r>
        <w:t>pptv</w:t>
      </w:r>
      <w:proofErr w:type="spellEnd"/>
      <w:r>
        <w:t>-level) that are more likely to fall below limits of detection in cells not influenced by emissions.</w:t>
      </w:r>
    </w:p>
    <w:p w14:paraId="55727FC0" w14:textId="7E3A8637" w:rsidR="00AC768C" w:rsidRDefault="00AC768C" w:rsidP="00AC768C">
      <w:r>
        <w:t>For analytes with two emissions sources (</w:t>
      </w:r>
      <w:proofErr w:type="spellStart"/>
      <w:r>
        <w:t>decane</w:t>
      </w:r>
      <w:proofErr w:type="spellEnd"/>
      <w:r>
        <w:t xml:space="preserve"> and dodecane, Fig.</w:t>
      </w:r>
      <w:r w:rsidR="00FC016A">
        <w:t xml:space="preserve"> </w:t>
      </w:r>
      <w:r w:rsidR="00DB08B2">
        <w:t>6</w:t>
      </w:r>
      <w:r>
        <w:t xml:space="preserve">c-d), the results are a bit more complicated and taking the minimum value for the two crossing samplers generates some artefacts. For example, the southern emission source of </w:t>
      </w:r>
      <w:proofErr w:type="spellStart"/>
      <w:r>
        <w:t>decane</w:t>
      </w:r>
      <w:proofErr w:type="spellEnd"/>
      <w:r>
        <w:t xml:space="preserve"> appears to have some concentration in the cell due west of the source, though this is unlikely as it is upwind of both emission sources. That cell is a crossing point of two transects containing sources, so taking the minimum still gives a likely overestimate, demonstrating a </w:t>
      </w:r>
      <w:r w:rsidR="00FC016A">
        <w:t xml:space="preserve">phantom image </w:t>
      </w:r>
      <w:r>
        <w:t xml:space="preserve">effect that can be caused by back projection with only two orthogonal angles </w:t>
      </w:r>
      <w:r>
        <w:fldChar w:fldCharType="begin" w:fldLock="1"/>
      </w:r>
      <w:r>
        <w:instrText>ADDIN CSL_CITATION {"citationItems":[{"id":"ITEM-1","itemData":{"DOI":"10.1007/978-3-642-05368-9","ISBN":"9783642053672","abstract":"'Medical Image Reconstruction' introduces the classical and modern image reconstruction technologies, such as two-dimensional (2D) parallel-beam and fan-beam imaging, three-dimensional (3D) parallel ray, parallel plane, and cone-beam imaging. © Higher Education Press, Beijing and Springer-Verlag Berlin Heidelberg 2010. All rights are reserved.","author":[{"dropping-particle":"","family":"Zeng","given":"Gengsheng Lawrence","non-dropping-particle":"","parse-names":false,"suffix":""}],"container-title":"Medical Image Reconstruction: A Conceptual Tutorial","id":"ITEM-1","issued":{"date-parts":[["2010"]]},"number-of-pages":"1-198","title":"Medical image reconstruction: A conceptual tutorial","type":"book"},"uris":["http://www.mendeley.com/documents/?uuid=40c59255-9e4b-41e9-8b8d-5bbe9cff3e9a"]}],"mendeley":{"formattedCitation":"(Zeng, 2010)","plainTextFormattedCitation":"(Zeng, 2010)","previouslyFormattedCitation":"(Zeng, 2010)"},"properties":{"noteIndex":0},"schema":"https://github.com/citation-style-language/schema/raw/master/csl-citation.json"}</w:instrText>
      </w:r>
      <w:r>
        <w:fldChar w:fldCharType="separate"/>
      </w:r>
      <w:r w:rsidRPr="001F1CA3">
        <w:rPr>
          <w:noProof/>
        </w:rPr>
        <w:t>(Zeng, 2010)</w:t>
      </w:r>
      <w:r>
        <w:fldChar w:fldCharType="end"/>
      </w:r>
      <w:r>
        <w:t xml:space="preserve">. Despite </w:t>
      </w:r>
      <w:r w:rsidR="00FC016A">
        <w:t>the phantom images</w:t>
      </w:r>
      <w:r>
        <w:t xml:space="preserve">, the low concentration expected in the southwestern corner and western edge of the grid is observed. Some artefacts are consequently possible when multiple sources are present, yet this approach nevertheless reasonably narrows the location of emission sources even in complex cases in addition to performing well in single-source cases. </w:t>
      </w:r>
    </w:p>
    <w:p w14:paraId="062EB069" w14:textId="7E860469" w:rsidR="00AC768C" w:rsidRDefault="00AC768C" w:rsidP="00AC768C">
      <w:pPr>
        <w:rPr>
          <w:rFonts w:cs="Calibri"/>
        </w:rPr>
      </w:pPr>
      <w:r>
        <w:rPr>
          <w:rFonts w:cs="Calibri"/>
        </w:rPr>
        <w:t xml:space="preserve">Transect mapping provides a novel approach to industrial or field applications in which a point source needs to be located, as it provides an approximate source location with higher resolution than can be achieved by the same number of samples in a stationary grid. </w:t>
      </w:r>
      <w:r w:rsidR="00FC016A">
        <w:rPr>
          <w:rFonts w:cs="Calibri"/>
        </w:rPr>
        <w:t xml:space="preserve">While stationary sampling across a grid of </w:t>
      </w:r>
      <w:r w:rsidR="00FC016A">
        <w:rPr>
          <w:rFonts w:cs="Calibri"/>
          <w:i/>
          <w:iCs/>
        </w:rPr>
        <w:t xml:space="preserve">n </w:t>
      </w:r>
      <w:r w:rsidR="00FC016A">
        <w:rPr>
          <w:rFonts w:cs="Calibri"/>
        </w:rPr>
        <w:t xml:space="preserve">cells would require </w:t>
      </w:r>
      <w:r w:rsidR="00FC016A" w:rsidRPr="00FC016A">
        <w:rPr>
          <w:rFonts w:cs="Calibri"/>
          <w:i/>
          <w:iCs/>
        </w:rPr>
        <w:t>n</w:t>
      </w:r>
      <w:r w:rsidR="00FC016A">
        <w:rPr>
          <w:rFonts w:cs="Calibri"/>
          <w:i/>
          <w:iCs/>
        </w:rPr>
        <w:t xml:space="preserve"> </w:t>
      </w:r>
      <w:r w:rsidR="00FC016A">
        <w:rPr>
          <w:rFonts w:cs="Calibri"/>
        </w:rPr>
        <w:t xml:space="preserve">samples, transect mapping with the same number of samples using a square grid can generate a grid with </w:t>
      </w:r>
      <m:oMath>
        <m:f>
          <m:fPr>
            <m:ctrlPr>
              <w:rPr>
                <w:rFonts w:ascii="Cambria Math" w:hAnsi="Cambria Math" w:cs="Calibri"/>
                <w:i/>
              </w:rPr>
            </m:ctrlPr>
          </m:fPr>
          <m:num>
            <m:r>
              <w:rPr>
                <w:rFonts w:ascii="Cambria Math" w:hAnsi="Cambria Math" w:cs="Calibri"/>
              </w:rPr>
              <m:t>1</m:t>
            </m:r>
          </m:num>
          <m:den>
            <m:r>
              <w:rPr>
                <w:rFonts w:ascii="Cambria Math" w:hAnsi="Cambria Math" w:cs="Calibri"/>
              </w:rPr>
              <m:t>4</m:t>
            </m:r>
          </m:den>
        </m:f>
        <m:sSup>
          <m:sSupPr>
            <m:ctrlPr>
              <w:rPr>
                <w:rFonts w:ascii="Cambria Math" w:hAnsi="Cambria Math" w:cs="Calibri"/>
                <w:i/>
              </w:rPr>
            </m:ctrlPr>
          </m:sSupPr>
          <m:e>
            <m:r>
              <w:rPr>
                <w:rFonts w:ascii="Cambria Math" w:hAnsi="Cambria Math" w:cs="Calibri"/>
              </w:rPr>
              <m:t>n</m:t>
            </m:r>
          </m:e>
          <m:sup>
            <m:r>
              <w:rPr>
                <w:rFonts w:ascii="Cambria Math" w:hAnsi="Cambria Math" w:cs="Calibri"/>
              </w:rPr>
              <m:t>2</m:t>
            </m:r>
          </m:sup>
        </m:sSup>
      </m:oMath>
      <w:r w:rsidR="00FC016A">
        <w:rPr>
          <w:rFonts w:cs="Calibri"/>
        </w:rPr>
        <w:t xml:space="preserve"> equally sized square grid cells. F</w:t>
      </w:r>
      <w:r>
        <w:rPr>
          <w:rFonts w:cs="Calibri"/>
        </w:rPr>
        <w:t>or</w:t>
      </w:r>
      <w:r w:rsidR="00F924E5">
        <w:rPr>
          <w:rFonts w:cs="Calibri"/>
        </w:rPr>
        <w:t xml:space="preserve"> </w:t>
      </w:r>
      <w:r w:rsidR="00FC016A">
        <w:rPr>
          <w:rFonts w:cs="Calibri"/>
        </w:rPr>
        <w:t xml:space="preserve">example, in the </w:t>
      </w:r>
      <w:r>
        <w:rPr>
          <w:rFonts w:cs="Calibri"/>
        </w:rPr>
        <w:t>experimental grid</w:t>
      </w:r>
      <w:r w:rsidR="00FC016A">
        <w:rPr>
          <w:rFonts w:cs="Calibri"/>
        </w:rPr>
        <w:t xml:space="preserve"> shown in Fig. </w:t>
      </w:r>
      <w:r w:rsidR="00DB08B2">
        <w:rPr>
          <w:rFonts w:cs="Calibri"/>
        </w:rPr>
        <w:t>6</w:t>
      </w:r>
      <w:r>
        <w:rPr>
          <w:rFonts w:cs="Calibri"/>
        </w:rPr>
        <w:t xml:space="preserve">, </w:t>
      </w:r>
      <w:r w:rsidR="00FC016A">
        <w:rPr>
          <w:rFonts w:cs="Calibri"/>
        </w:rPr>
        <w:t xml:space="preserve">with </w:t>
      </w:r>
      <w:r w:rsidR="003058E4">
        <w:rPr>
          <w:rFonts w:cs="Calibri"/>
        </w:rPr>
        <w:t>five</w:t>
      </w:r>
      <w:r w:rsidR="00FC016A">
        <w:rPr>
          <w:rFonts w:cs="Calibri"/>
        </w:rPr>
        <w:t xml:space="preserve"> transects in each direction, 10 samples were collected to yield a grid of 25 grid cells.</w:t>
      </w:r>
      <w:r>
        <w:rPr>
          <w:rFonts w:cs="Calibri"/>
        </w:rPr>
        <w:t xml:space="preserve"> The advantages of the transect mapping approach increase with larger sampling areas. Because the area of the sampling grid increases as the square of a side length, for stationary sampling, doubling a side length requires a fourfold increase in the number of samples</w:t>
      </w:r>
      <w:r w:rsidR="00FC016A">
        <w:rPr>
          <w:rFonts w:cs="Calibri"/>
        </w:rPr>
        <w:t xml:space="preserve"> achieve grid cells of the same size</w:t>
      </w:r>
      <w:r>
        <w:rPr>
          <w:rFonts w:cs="Calibri"/>
        </w:rPr>
        <w:t xml:space="preserve">. In contrast, in the transect mapping approach, doubling the side length requires </w:t>
      </w:r>
      <w:r w:rsidR="00FC016A">
        <w:rPr>
          <w:rFonts w:cs="Calibri"/>
        </w:rPr>
        <w:t xml:space="preserve">only </w:t>
      </w:r>
      <w:r>
        <w:rPr>
          <w:rFonts w:cs="Calibri"/>
        </w:rPr>
        <w:t xml:space="preserve">a doubling of sample number. </w:t>
      </w:r>
      <w:r w:rsidR="00FC016A">
        <w:rPr>
          <w:rFonts w:cs="Calibri"/>
        </w:rPr>
        <w:t>T</w:t>
      </w:r>
      <w:r>
        <w:rPr>
          <w:rFonts w:cs="Calibri"/>
        </w:rPr>
        <w:t xml:space="preserve">here is </w:t>
      </w:r>
      <w:r w:rsidR="00FC016A">
        <w:rPr>
          <w:rFonts w:cs="Calibri"/>
        </w:rPr>
        <w:t xml:space="preserve">also substantial opportunity for </w:t>
      </w:r>
      <w:r>
        <w:rPr>
          <w:rFonts w:cs="Calibri"/>
        </w:rPr>
        <w:t>potential optimiz</w:t>
      </w:r>
      <w:r w:rsidR="00FC016A">
        <w:rPr>
          <w:rFonts w:cs="Calibri"/>
        </w:rPr>
        <w:t>ation of</w:t>
      </w:r>
      <w:r>
        <w:rPr>
          <w:rFonts w:cs="Calibri"/>
        </w:rPr>
        <w:t xml:space="preserve"> the transect mapping approach. </w:t>
      </w:r>
      <w:r w:rsidR="00663483">
        <w:rPr>
          <w:rFonts w:cs="Calibri"/>
        </w:rPr>
        <w:t>A</w:t>
      </w:r>
      <w:r>
        <w:rPr>
          <w:rFonts w:cs="Calibri"/>
        </w:rPr>
        <w:t xml:space="preserve">dding </w:t>
      </w:r>
      <w:r w:rsidR="00663483">
        <w:rPr>
          <w:rFonts w:cs="Calibri"/>
        </w:rPr>
        <w:t xml:space="preserve">additional angles </w:t>
      </w:r>
      <w:r>
        <w:rPr>
          <w:rFonts w:cs="Calibri"/>
        </w:rPr>
        <w:t>would reduce artefact</w:t>
      </w:r>
      <w:r w:rsidR="00FC016A">
        <w:rPr>
          <w:rFonts w:cs="Calibri"/>
        </w:rPr>
        <w:t>s and phantom images due to multiple sources</w:t>
      </w:r>
      <w:r>
        <w:rPr>
          <w:rFonts w:cs="Calibri"/>
        </w:rPr>
        <w:t>,</w:t>
      </w:r>
      <w:r w:rsidR="00FC016A">
        <w:rPr>
          <w:rFonts w:cs="Calibri"/>
        </w:rPr>
        <w:t xml:space="preserve"> but at </w:t>
      </w:r>
      <w:r>
        <w:rPr>
          <w:rFonts w:cs="Calibri"/>
        </w:rPr>
        <w:t xml:space="preserve">the cost </w:t>
      </w:r>
      <w:r w:rsidR="00FC016A">
        <w:rPr>
          <w:rFonts w:cs="Calibri"/>
        </w:rPr>
        <w:t xml:space="preserve">of more samples to achieve the same resolution. For example, </w:t>
      </w:r>
      <w:r w:rsidR="00663483">
        <w:rPr>
          <w:rFonts w:cs="Calibri"/>
        </w:rPr>
        <w:t xml:space="preserve">transects in three evenly spaced angles generates </w:t>
      </w:r>
      <w:r w:rsidR="00FC016A">
        <w:rPr>
          <w:rFonts w:cs="Calibri"/>
        </w:rPr>
        <w:t>a</w:t>
      </w:r>
      <w:r w:rsidR="00663483">
        <w:rPr>
          <w:rFonts w:cs="Calibri"/>
        </w:rPr>
        <w:t xml:space="preserve"> hexagonal grid of approximately </w:t>
      </w:r>
      <m:oMath>
        <m:f>
          <m:fPr>
            <m:ctrlPr>
              <w:rPr>
                <w:rFonts w:ascii="Cambria Math" w:hAnsi="Cambria Math" w:cs="Calibri"/>
                <w:i/>
              </w:rPr>
            </m:ctrlPr>
          </m:fPr>
          <m:num>
            <m:r>
              <w:rPr>
                <w:rFonts w:ascii="Cambria Math" w:hAnsi="Cambria Math" w:cs="Calibri"/>
              </w:rPr>
              <m:t>1</m:t>
            </m:r>
          </m:num>
          <m:den>
            <m:r>
              <w:rPr>
                <w:rFonts w:ascii="Cambria Math" w:hAnsi="Cambria Math" w:cs="Calibri"/>
              </w:rPr>
              <m:t>6</m:t>
            </m:r>
          </m:den>
        </m:f>
        <m:sSup>
          <m:sSupPr>
            <m:ctrlPr>
              <w:rPr>
                <w:rFonts w:ascii="Cambria Math" w:hAnsi="Cambria Math" w:cs="Calibri"/>
                <w:i/>
              </w:rPr>
            </m:ctrlPr>
          </m:sSupPr>
          <m:e>
            <m:r>
              <w:rPr>
                <w:rFonts w:ascii="Cambria Math" w:hAnsi="Cambria Math" w:cs="Calibri"/>
              </w:rPr>
              <m:t>n</m:t>
            </m:r>
          </m:e>
          <m:sup>
            <m:r>
              <w:rPr>
                <w:rFonts w:ascii="Cambria Math" w:hAnsi="Cambria Math" w:cs="Calibri"/>
              </w:rPr>
              <m:t>2</m:t>
            </m:r>
          </m:sup>
        </m:sSup>
      </m:oMath>
      <w:r w:rsidR="00663483">
        <w:rPr>
          <w:rFonts w:cs="Calibri"/>
        </w:rPr>
        <w:t xml:space="preserve"> equally sized triangular grid cells; achieving a resolution </w:t>
      </w:r>
      <w:proofErr w:type="gramStart"/>
      <w:r w:rsidR="00663483">
        <w:rPr>
          <w:rFonts w:cs="Calibri"/>
        </w:rPr>
        <w:t>similar to</w:t>
      </w:r>
      <w:proofErr w:type="gramEnd"/>
      <w:r w:rsidR="00663483">
        <w:rPr>
          <w:rFonts w:cs="Calibri"/>
        </w:rPr>
        <w:t xml:space="preserve"> that shown in Fig. 5 requires 12 samples (</w:t>
      </w:r>
      <w:r w:rsidR="003058E4">
        <w:rPr>
          <w:rFonts w:cs="Calibri"/>
        </w:rPr>
        <w:t>four</w:t>
      </w:r>
      <w:r w:rsidR="00F924E5">
        <w:rPr>
          <w:rFonts w:cs="Calibri"/>
        </w:rPr>
        <w:t xml:space="preserve"> </w:t>
      </w:r>
      <w:r w:rsidR="00663483">
        <w:rPr>
          <w:rFonts w:cs="Calibri"/>
        </w:rPr>
        <w:t xml:space="preserve">transects in each of </w:t>
      </w:r>
      <w:r w:rsidR="003058E4">
        <w:rPr>
          <w:rFonts w:cs="Calibri"/>
        </w:rPr>
        <w:t>three</w:t>
      </w:r>
      <w:r w:rsidR="00663483">
        <w:rPr>
          <w:rFonts w:cs="Calibri"/>
        </w:rPr>
        <w:t xml:space="preserve"> directions, 24 grid cells; Fig. </w:t>
      </w:r>
      <w:r w:rsidR="00210C80">
        <w:rPr>
          <w:rFonts w:cs="Calibri"/>
        </w:rPr>
        <w:t>S1</w:t>
      </w:r>
      <w:r w:rsidR="00663483">
        <w:rPr>
          <w:rFonts w:cs="Calibri"/>
        </w:rPr>
        <w:t>), but would not generate phantom images in the case of multiple emissions sources.</w:t>
      </w:r>
      <w:r w:rsidR="00210C80">
        <w:rPr>
          <w:rFonts w:cs="Calibri"/>
        </w:rPr>
        <w:t xml:space="preserve"> A detailed discussion is included in Section </w:t>
      </w:r>
      <w:proofErr w:type="gramStart"/>
      <w:r w:rsidR="00210C80">
        <w:rPr>
          <w:rFonts w:cs="Calibri"/>
        </w:rPr>
        <w:t>S4</w:t>
      </w:r>
      <w:proofErr w:type="gramEnd"/>
      <w:r w:rsidR="00210C80">
        <w:rPr>
          <w:rFonts w:cs="Calibri"/>
        </w:rPr>
        <w:t xml:space="preserve"> and</w:t>
      </w:r>
      <w:r w:rsidR="00663483">
        <w:rPr>
          <w:rFonts w:cs="Calibri"/>
        </w:rPr>
        <w:t xml:space="preserve"> </w:t>
      </w:r>
      <w:r w:rsidR="00210C80">
        <w:rPr>
          <w:rFonts w:cs="Calibri"/>
        </w:rPr>
        <w:t>i</w:t>
      </w:r>
      <w:r>
        <w:rPr>
          <w:rFonts w:cs="Calibri"/>
        </w:rPr>
        <w:t>nvestigators will need to consider these trade-offs in the experimental protocols</w:t>
      </w:r>
      <w:r w:rsidR="00210C80">
        <w:rPr>
          <w:rFonts w:cs="Calibri"/>
        </w:rPr>
        <w:t>.</w:t>
      </w:r>
      <w:r>
        <w:rPr>
          <w:rFonts w:cs="Calibri"/>
        </w:rPr>
        <w:t xml:space="preserve"> </w:t>
      </w:r>
    </w:p>
    <w:p w14:paraId="0650BE84" w14:textId="3CD0FE43" w:rsidR="00893511" w:rsidRDefault="00893511" w:rsidP="00893511">
      <w:pPr>
        <w:pStyle w:val="Heading2"/>
      </w:pPr>
      <w:r>
        <w:lastRenderedPageBreak/>
        <w:t>3.5 Limits of detection (LOD)</w:t>
      </w:r>
    </w:p>
    <w:p w14:paraId="660AD274" w14:textId="77777777" w:rsidR="00893511" w:rsidRDefault="00893511" w:rsidP="00893511">
      <w:r>
        <w:t xml:space="preserve">Limits of detection (LODs) for the samplers follow typical patterns of gas sampling cartridges, depending almost entirely on the levels of artefacts from sorbent decomposition, the sensitivity of the detector, and the sampling duration. In theory, the investigator could measure a very low-abundance (e.g., </w:t>
      </w:r>
      <w:proofErr w:type="spellStart"/>
      <w:r>
        <w:t>ppqv</w:t>
      </w:r>
      <w:proofErr w:type="spellEnd"/>
      <w:r>
        <w:t xml:space="preserve">) analyte of interest simply by running the samplers for long periods. In practice, the sorbent binding sites may become saturated with other, more abundant, species before the desired compound can be collected in sufficient quantity, and/or higher volatility analytes may break through the sampling cartridge. </w:t>
      </w:r>
    </w:p>
    <w:p w14:paraId="48389005" w14:textId="77777777" w:rsidR="00893511" w:rsidRDefault="00893511" w:rsidP="00893511">
      <w:r>
        <w:t xml:space="preserve">We estimate an LOD for the specific sampling and analytical system used here, using commercially prepared cartridges analysed by GC/MS. We consider two very different analytes, </w:t>
      </w:r>
      <w:proofErr w:type="spellStart"/>
      <w:r>
        <w:t>disparlure</w:t>
      </w:r>
      <w:proofErr w:type="spellEnd"/>
      <w:r>
        <w:t xml:space="preserve"> and α-pinene. </w:t>
      </w:r>
      <w:proofErr w:type="spellStart"/>
      <w:r>
        <w:t>Disparlure</w:t>
      </w:r>
      <w:proofErr w:type="spellEnd"/>
      <w:r>
        <w:t>, a 19-carbon epoxide, is a spongy moth (</w:t>
      </w:r>
      <w:r w:rsidRPr="005D0924">
        <w:rPr>
          <w:i/>
          <w:iCs/>
        </w:rPr>
        <w:t xml:space="preserve">Lymantria </w:t>
      </w:r>
      <w:proofErr w:type="spellStart"/>
      <w:r w:rsidRPr="005D0924">
        <w:rPr>
          <w:i/>
          <w:iCs/>
        </w:rPr>
        <w:t>dispar</w:t>
      </w:r>
      <w:proofErr w:type="spellEnd"/>
      <w:r>
        <w:t xml:space="preserve"> (L.)) sex pheromone occurring in very low concentrations, whilst α-pinene, a 10-carbon hydrocarbon, is an abundant monoterpene commonly emitted from conifers and often present in fragranced consumer products. For </w:t>
      </w:r>
      <w:proofErr w:type="spellStart"/>
      <w:r>
        <w:t>disparlure</w:t>
      </w:r>
      <w:proofErr w:type="spellEnd"/>
      <w:r>
        <w:t xml:space="preserve">, 0.76 ng of analyte “on column” (the mass on the sorbent tube, either from sampled air or injected as a standard onto the sorbent and thermally desorbed into the GC-MS) was found to provide a signal-to-noise ratio, S/N = 3. In contrast, α-pinene, a less polar compound and thus more conducive to GC analysis, yielded S/N=3 with approximately 0.1 ng on-column. Assuming only one hour of sampling at the approximate maximum flow rate of 250 </w:t>
      </w:r>
      <w:proofErr w:type="spellStart"/>
      <w:r>
        <w:t>ccm</w:t>
      </w:r>
      <w:proofErr w:type="spellEnd"/>
      <w:r>
        <w:t xml:space="preserve"> (250 </w:t>
      </w:r>
      <w:proofErr w:type="spellStart"/>
      <w:r>
        <w:t>ccm</w:t>
      </w:r>
      <w:proofErr w:type="spellEnd"/>
      <w:r>
        <w:t xml:space="preserve"> was consistently attainable by all samplers in all experiments), limits of detection are roughly 6 </w:t>
      </w:r>
      <w:proofErr w:type="spellStart"/>
      <w:r>
        <w:t>pptv</w:t>
      </w:r>
      <w:proofErr w:type="spellEnd"/>
      <w:r>
        <w:t xml:space="preserve"> and 1 </w:t>
      </w:r>
      <w:proofErr w:type="spellStart"/>
      <w:r>
        <w:t>pptv</w:t>
      </w:r>
      <w:proofErr w:type="spellEnd"/>
      <w:r>
        <w:t xml:space="preserve"> for </w:t>
      </w:r>
      <w:proofErr w:type="spellStart"/>
      <w:r>
        <w:t>disparlure</w:t>
      </w:r>
      <w:proofErr w:type="spellEnd"/>
      <w:r>
        <w:t xml:space="preserve"> and α-pinene respectively. These estimates are comparable to those of other researchers for commercially prepared cartridges, though</w:t>
      </w:r>
      <w:r w:rsidRPr="00304F44">
        <w:t xml:space="preserve"> </w:t>
      </w:r>
      <w:r>
        <w:t xml:space="preserve">other work has found that custom-prepared cartridges can significantly improve backgrounds and lower LOD </w:t>
      </w:r>
      <w:r>
        <w:fldChar w:fldCharType="begin" w:fldLock="1"/>
      </w:r>
      <w:r>
        <w:instrText>ADDIN CSL_CITATION {"citationItems":[{"id":"ITEM-1","itemData":{"DOI":"10.1016/j.chroma.2018.09.014","ISSN":"18733778","PMID":"30292521","abstract":"Gas-phase organic compounds across a range of volatilities, including volatile organic compounds (VOCs), are key components of outdoor air, indoor spaces, and a variety of other anthropogenic and biogenic systems. The collection of offline samples on adsorbent-packed tubes for analysis on laboratory instrumentation has been in use for decades, but with limited sensitivities and compound coverage. We present and evaluate our integrated sampling-to-analysis system that enables offline detailed chemical characterization of multi-faceted organic mixtures at trace concentrations. Its capabilities extend across a diverse variety of VOCs with different molecular features, as well as intermediate and semivolatile organic compounds (I/SVOCs). Samples can be collected manually or via automated devices that have been applied in chamber, field, and aircraft platforms. The laboratory instrumentation can be coupled to both a high resolution mass spectrometer (MS) and a traditional quadrupole MS, though performance metrics presented in this study are determined via the traditional MS. We demonstrate capabilities for detailed chemical characterization and routine performance for a wide range of compound functionalities at sub-part per trillion (ppt) concentrations, and as low as &lt;100 parts per quadrillion (ppq), yielding 3300 observed unique compound peaks in a single indoor air sample. These limits of detection and compound coverage were accomplished through a holistic optimization of the entire system and lifecycle of adsorbent tubes. We present our best practices for all aspects of tube production, handling, sampling, and analysis, and an examination of commercially-available materials and our custom adsorbent tubes using a diverse mix of VOC, IVOC, and SVOC standards, including difficult to measure analytes across a range of polarities and functionalities. In many aspects, the commercially-available materials and tube conditioners tested were insufficient for achieving low-ppt measurements.","author":[{"dropping-particle":"","family":"Sheu","given":"Roger","non-dropping-particle":"","parse-names":false,"suffix":""},{"dropping-particle":"","family":"Marcotte","given":"Aurelie","non-dropping-particle":"","parse-names":false,"suffix":""},{"dropping-particle":"","family":"Khare","given":"Peeyush","non-dropping-particle":"","parse-names":false,"suffix":""},{"dropping-particle":"","family":"Charan","given":"Sophia","non-dropping-particle":"","parse-names":false,"suffix":""},{"dropping-particle":"","family":"Ditto","given":"Jenna C.","non-dropping-particle":"","parse-names":false,"suffix":""},{"dropping-particle":"","family":"Gentner","given":"Drew R.","non-dropping-particle":"","parse-names":false,"suffix":""}],"container-title":"Journal of Chromatography A","id":"ITEM-1","issued":{"date-parts":[["2018"]]},"page":"80-90","publisher":"Elsevier B.V.","title":"Advances in offline approaches for chemically speciated measurements of trace gas-phase organic compounds via adsorbent tubes in an integrated sampling-to-analysis system","type":"article-journal","volume":"1575"},"uris":["http://www.mendeley.com/documents/?uuid=567df3dd-add3-4a23-b1ba-ec71f16e0893"]}],"mendeley":{"formattedCitation":"(Sheu et al., 2018)","plainTextFormattedCitation":"(Sheu et al., 2018)","previouslyFormattedCitation":"(Sheu et al., 2018)"},"properties":{"noteIndex":0},"schema":"https://github.com/citation-style-language/schema/raw/master/csl-citation.json"}</w:instrText>
      </w:r>
      <w:r>
        <w:fldChar w:fldCharType="separate"/>
      </w:r>
      <w:r w:rsidRPr="00EE4F0C">
        <w:rPr>
          <w:noProof/>
        </w:rPr>
        <w:t>(Sheu et al., 2018)</w:t>
      </w:r>
      <w:r>
        <w:fldChar w:fldCharType="end"/>
      </w:r>
      <w:r>
        <w:t>. LOD may be higher for compounds that exhibit significant background contamination or artefacts from a given sorbent.</w:t>
      </w:r>
    </w:p>
    <w:p w14:paraId="64FCA257" w14:textId="5492E450" w:rsidR="00893511" w:rsidRDefault="00893511" w:rsidP="00893511">
      <w:pPr>
        <w:pStyle w:val="Heading1"/>
      </w:pPr>
      <w:r>
        <w:t>4 Conclusions and Applications</w:t>
      </w:r>
    </w:p>
    <w:p w14:paraId="2B31BA68" w14:textId="77777777" w:rsidR="00893511" w:rsidRDefault="00893511" w:rsidP="00893511">
      <w:r w:rsidRPr="009642B9">
        <w:t>The portable VOC samplers described i</w:t>
      </w:r>
      <w:r>
        <w:t>n this work offer the researcher great flexibility since the samplers are portable, robust, and straightforward to operate. We have demonstrated high levels of precision between samplers, while at the same time showing that the samplers can record significant differences in analyte concentration over small spatial scales. The samplers can be fitted with ozone scrubbers to preclude loss of vulnerable compounds to ozonolysis, while at the same time leaving unsusceptible analytes unaffected. A time series was performed with a small number of the samplers and showed the ability to distinguish temporal (day-to-day) variation in analyte levels while maintaining small standard deviations for a given day. The transect mapping exercise was promising for determining source allocation, though sampling grids containing analytes with more than one point source may require transects at three or more angles and/or a more sophisticated way of estimating compound concentrations. These results suggest that our VOC samplers can fill a niche in measurements of atmospheric organics and may be ideal for biologists doing field studies in remote locations or monitoring pollutants of interest in industrial settings.</w:t>
      </w:r>
    </w:p>
    <w:p w14:paraId="2DC8F017" w14:textId="77777777" w:rsidR="00893511" w:rsidRPr="00F27F59" w:rsidRDefault="00893511" w:rsidP="00893511"/>
    <w:p w14:paraId="10AF6F16" w14:textId="77777777" w:rsidR="00893511" w:rsidRPr="00F27F59" w:rsidRDefault="00893511" w:rsidP="00893511"/>
    <w:p w14:paraId="35455278" w14:textId="77777777" w:rsidR="00893511" w:rsidRDefault="00893511" w:rsidP="00893511"/>
    <w:p w14:paraId="3F799744" w14:textId="75B4B5AC" w:rsidR="00893511" w:rsidRDefault="00893511" w:rsidP="00893511">
      <w:pPr>
        <w:rPr>
          <w:sz w:val="18"/>
          <w:szCs w:val="18"/>
          <w:lang w:val="en-US"/>
        </w:rPr>
      </w:pPr>
      <w:r w:rsidRPr="005D0924">
        <w:rPr>
          <w:i/>
          <w:iCs/>
          <w:sz w:val="18"/>
          <w:szCs w:val="18"/>
          <w:lang w:val="en-US"/>
        </w:rPr>
        <w:t>Author Contributions.</w:t>
      </w:r>
      <w:r w:rsidRPr="005D0924">
        <w:rPr>
          <w:sz w:val="18"/>
          <w:szCs w:val="18"/>
          <w:lang w:val="en-US"/>
        </w:rPr>
        <w:t xml:space="preserve"> </w:t>
      </w:r>
      <w:r w:rsidRPr="00A73D36">
        <w:rPr>
          <w:b/>
          <w:bCs/>
          <w:sz w:val="18"/>
          <w:szCs w:val="18"/>
          <w:lang w:val="en-US"/>
        </w:rPr>
        <w:t>James Hurley</w:t>
      </w:r>
      <w:r w:rsidRPr="00794782">
        <w:rPr>
          <w:sz w:val="18"/>
          <w:szCs w:val="18"/>
          <w:lang w:val="en-US"/>
        </w:rPr>
        <w:t xml:space="preserve">: Validation, Investigation, Data </w:t>
      </w:r>
      <w:r>
        <w:rPr>
          <w:sz w:val="18"/>
          <w:szCs w:val="18"/>
          <w:lang w:val="en-US"/>
        </w:rPr>
        <w:t>a</w:t>
      </w:r>
      <w:r w:rsidRPr="00794782">
        <w:rPr>
          <w:sz w:val="18"/>
          <w:szCs w:val="18"/>
          <w:lang w:val="en-US"/>
        </w:rPr>
        <w:t xml:space="preserve">nalysis and </w:t>
      </w:r>
      <w:r>
        <w:rPr>
          <w:sz w:val="18"/>
          <w:szCs w:val="18"/>
          <w:lang w:val="en-US"/>
        </w:rPr>
        <w:t xml:space="preserve">Writing. </w:t>
      </w:r>
      <w:r w:rsidRPr="00A73D36">
        <w:rPr>
          <w:b/>
          <w:bCs/>
          <w:sz w:val="18"/>
          <w:szCs w:val="18"/>
          <w:lang w:val="en-US"/>
        </w:rPr>
        <w:t>Alejandra Caceres</w:t>
      </w:r>
      <w:r>
        <w:rPr>
          <w:sz w:val="18"/>
          <w:szCs w:val="18"/>
          <w:lang w:val="en-US"/>
        </w:rPr>
        <w:t xml:space="preserve">: Methodology (development of portable sampler prototype and construction/maintenance of the samplers). </w:t>
      </w:r>
      <w:r w:rsidRPr="00A73D36">
        <w:rPr>
          <w:b/>
          <w:bCs/>
          <w:sz w:val="18"/>
          <w:szCs w:val="18"/>
          <w:lang w:val="en-US"/>
        </w:rPr>
        <w:t>Deborah McGlynn</w:t>
      </w:r>
      <w:r>
        <w:rPr>
          <w:sz w:val="18"/>
          <w:szCs w:val="18"/>
          <w:lang w:val="en-US"/>
        </w:rPr>
        <w:t>: Methodology (development of the portable sampler prototype).</w:t>
      </w:r>
      <w:r w:rsidRPr="00EA6AB1">
        <w:rPr>
          <w:b/>
          <w:bCs/>
          <w:sz w:val="18"/>
          <w:szCs w:val="18"/>
          <w:lang w:val="en-US"/>
        </w:rPr>
        <w:t xml:space="preserve"> </w:t>
      </w:r>
      <w:r>
        <w:rPr>
          <w:b/>
          <w:bCs/>
          <w:sz w:val="18"/>
          <w:szCs w:val="18"/>
          <w:lang w:val="en-US"/>
        </w:rPr>
        <w:t xml:space="preserve">Mary </w:t>
      </w:r>
      <w:proofErr w:type="spellStart"/>
      <w:r>
        <w:rPr>
          <w:b/>
          <w:bCs/>
          <w:sz w:val="18"/>
          <w:szCs w:val="18"/>
          <w:lang w:val="en-US"/>
        </w:rPr>
        <w:t>Tovillo</w:t>
      </w:r>
      <w:proofErr w:type="spellEnd"/>
      <w:r>
        <w:rPr>
          <w:sz w:val="18"/>
          <w:szCs w:val="18"/>
          <w:lang w:val="en-US"/>
        </w:rPr>
        <w:t xml:space="preserve">: Methodology (development of the portable sampler prototype). </w:t>
      </w:r>
      <w:r w:rsidRPr="00A73D36">
        <w:rPr>
          <w:b/>
          <w:bCs/>
          <w:sz w:val="18"/>
          <w:szCs w:val="18"/>
          <w:lang w:val="en-US"/>
        </w:rPr>
        <w:t>Suzanne Pinar</w:t>
      </w:r>
      <w:r>
        <w:rPr>
          <w:sz w:val="18"/>
          <w:szCs w:val="18"/>
          <w:lang w:val="en-US"/>
        </w:rPr>
        <w:t xml:space="preserve">: Investigation and Data analysis (transect mapping concept). </w:t>
      </w:r>
      <w:r w:rsidRPr="00A73D36">
        <w:rPr>
          <w:b/>
          <w:bCs/>
          <w:sz w:val="18"/>
          <w:szCs w:val="18"/>
          <w:lang w:val="en-US"/>
        </w:rPr>
        <w:t xml:space="preserve">Roger </w:t>
      </w:r>
      <w:proofErr w:type="spellStart"/>
      <w:r w:rsidRPr="00A73D36">
        <w:rPr>
          <w:b/>
          <w:bCs/>
          <w:sz w:val="18"/>
          <w:szCs w:val="18"/>
          <w:lang w:val="en-US"/>
        </w:rPr>
        <w:t>Schürch</w:t>
      </w:r>
      <w:proofErr w:type="spellEnd"/>
      <w:r>
        <w:rPr>
          <w:sz w:val="18"/>
          <w:szCs w:val="18"/>
          <w:lang w:val="en-US"/>
        </w:rPr>
        <w:t xml:space="preserve">: Conceptualization and Methodology (transect mapping concept). </w:t>
      </w:r>
      <w:r w:rsidRPr="00A73D36">
        <w:rPr>
          <w:b/>
          <w:bCs/>
          <w:sz w:val="18"/>
          <w:szCs w:val="18"/>
          <w:lang w:val="en-US"/>
        </w:rPr>
        <w:t xml:space="preserve">Ksenia </w:t>
      </w:r>
      <w:proofErr w:type="spellStart"/>
      <w:r w:rsidRPr="00A73D36">
        <w:rPr>
          <w:b/>
          <w:bCs/>
          <w:sz w:val="18"/>
          <w:szCs w:val="18"/>
          <w:lang w:val="en-US"/>
        </w:rPr>
        <w:t>Onufrieva</w:t>
      </w:r>
      <w:proofErr w:type="spellEnd"/>
      <w:r>
        <w:rPr>
          <w:sz w:val="18"/>
          <w:szCs w:val="18"/>
          <w:lang w:val="en-US"/>
        </w:rPr>
        <w:t xml:space="preserve">: Conceptualization, Methodology, Funding acquisition, Investigation. </w:t>
      </w:r>
      <w:r w:rsidRPr="00A73D36">
        <w:rPr>
          <w:b/>
          <w:bCs/>
          <w:sz w:val="18"/>
          <w:szCs w:val="18"/>
          <w:lang w:val="en-US"/>
        </w:rPr>
        <w:t>Gabriel Isaacman-Van Wertz</w:t>
      </w:r>
      <w:r>
        <w:rPr>
          <w:sz w:val="18"/>
          <w:szCs w:val="18"/>
          <w:lang w:val="en-US"/>
        </w:rPr>
        <w:t>: Supervision, Conceptualization, Methodology, Writing-Review and Editing.</w:t>
      </w:r>
    </w:p>
    <w:p w14:paraId="7AFC5317" w14:textId="77777777" w:rsidR="00893511" w:rsidRPr="00794782" w:rsidRDefault="00893511" w:rsidP="00893511">
      <w:pPr>
        <w:rPr>
          <w:sz w:val="18"/>
          <w:szCs w:val="18"/>
          <w:lang w:val="en-US"/>
        </w:rPr>
      </w:pPr>
    </w:p>
    <w:p w14:paraId="3F5EA118" w14:textId="77B86F5C" w:rsidR="00893511" w:rsidRDefault="00893511" w:rsidP="00893511">
      <w:pPr>
        <w:rPr>
          <w:sz w:val="18"/>
          <w:szCs w:val="18"/>
        </w:rPr>
      </w:pPr>
      <w:r w:rsidRPr="007D7A7F">
        <w:rPr>
          <w:i/>
          <w:iCs/>
          <w:sz w:val="18"/>
          <w:szCs w:val="18"/>
        </w:rPr>
        <w:t xml:space="preserve">Competing Interests. </w:t>
      </w:r>
      <w:r>
        <w:rPr>
          <w:sz w:val="18"/>
          <w:szCs w:val="18"/>
        </w:rPr>
        <w:t>The authors declare that they have no conflicts of interest.</w:t>
      </w:r>
      <w:r>
        <w:t xml:space="preserve"> </w:t>
      </w:r>
    </w:p>
    <w:p w14:paraId="551A8367" w14:textId="77777777" w:rsidR="00893511" w:rsidRDefault="00893511" w:rsidP="00893511">
      <w:pPr>
        <w:rPr>
          <w:sz w:val="18"/>
          <w:szCs w:val="18"/>
        </w:rPr>
      </w:pPr>
    </w:p>
    <w:p w14:paraId="29A0FB38" w14:textId="67726390" w:rsidR="00893511" w:rsidRDefault="00893511" w:rsidP="00893511">
      <w:pPr>
        <w:rPr>
          <w:sz w:val="18"/>
          <w:szCs w:val="18"/>
        </w:rPr>
      </w:pPr>
      <w:r w:rsidRPr="007D7A7F">
        <w:rPr>
          <w:i/>
          <w:iCs/>
          <w:sz w:val="18"/>
          <w:szCs w:val="18"/>
        </w:rPr>
        <w:t>Acknowledgements/Financial Support.</w:t>
      </w:r>
      <w:r w:rsidRPr="00016F96">
        <w:t xml:space="preserve"> </w:t>
      </w:r>
      <w:bookmarkStart w:id="14" w:name="_Hlk133051949"/>
      <w:r w:rsidRPr="007147AB">
        <w:t>T</w:t>
      </w:r>
      <w:r w:rsidRPr="007147AB">
        <w:rPr>
          <w:sz w:val="18"/>
          <w:szCs w:val="18"/>
        </w:rPr>
        <w:t xml:space="preserve">his research was </w:t>
      </w:r>
      <w:r>
        <w:rPr>
          <w:sz w:val="18"/>
          <w:szCs w:val="18"/>
        </w:rPr>
        <w:t>supported in part</w:t>
      </w:r>
      <w:r w:rsidRPr="007147AB">
        <w:rPr>
          <w:sz w:val="18"/>
          <w:szCs w:val="18"/>
        </w:rPr>
        <w:t xml:space="preserve"> by the National Science Foundation (AGS 1837882 and AGS </w:t>
      </w:r>
      <w:r w:rsidR="00663483">
        <w:rPr>
          <w:sz w:val="18"/>
          <w:szCs w:val="18"/>
        </w:rPr>
        <w:t>2046367</w:t>
      </w:r>
      <w:r w:rsidRPr="007147AB">
        <w:rPr>
          <w:sz w:val="18"/>
          <w:szCs w:val="18"/>
        </w:rPr>
        <w:t>)</w:t>
      </w:r>
      <w:r>
        <w:rPr>
          <w:sz w:val="18"/>
          <w:szCs w:val="18"/>
        </w:rPr>
        <w:t xml:space="preserve"> and the Virginia Tech </w:t>
      </w:r>
      <w:r w:rsidRPr="00016F96">
        <w:rPr>
          <w:sz w:val="18"/>
          <w:szCs w:val="18"/>
        </w:rPr>
        <w:t>CALS Strategic Plan Advancement</w:t>
      </w:r>
      <w:r>
        <w:rPr>
          <w:sz w:val="18"/>
          <w:szCs w:val="18"/>
        </w:rPr>
        <w:t xml:space="preserve"> program. Alejandra Caceres </w:t>
      </w:r>
      <w:r w:rsidR="00663483">
        <w:rPr>
          <w:sz w:val="18"/>
          <w:szCs w:val="18"/>
        </w:rPr>
        <w:t xml:space="preserve">and Mary </w:t>
      </w:r>
      <w:proofErr w:type="spellStart"/>
      <w:r w:rsidR="00663483">
        <w:rPr>
          <w:sz w:val="18"/>
          <w:szCs w:val="18"/>
        </w:rPr>
        <w:t>Tovillo</w:t>
      </w:r>
      <w:proofErr w:type="spellEnd"/>
      <w:r w:rsidR="00663483">
        <w:rPr>
          <w:sz w:val="18"/>
          <w:szCs w:val="18"/>
        </w:rPr>
        <w:t xml:space="preserve"> were</w:t>
      </w:r>
      <w:r>
        <w:rPr>
          <w:sz w:val="18"/>
          <w:szCs w:val="18"/>
        </w:rPr>
        <w:t xml:space="preserve"> supported in part by the Virginia Tech Multicultural Academic Opportunities Program. Roger </w:t>
      </w:r>
      <w:proofErr w:type="spellStart"/>
      <w:r>
        <w:rPr>
          <w:sz w:val="18"/>
          <w:szCs w:val="18"/>
        </w:rPr>
        <w:t>Schürch</w:t>
      </w:r>
      <w:proofErr w:type="spellEnd"/>
      <w:r>
        <w:rPr>
          <w:sz w:val="18"/>
          <w:szCs w:val="18"/>
        </w:rPr>
        <w:t xml:space="preserve"> was supported by the USDA National Institute of Food and Agriculture, Hatch Project VA-160129.</w:t>
      </w:r>
      <w:r w:rsidR="00506379">
        <w:rPr>
          <w:sz w:val="18"/>
          <w:szCs w:val="18"/>
        </w:rPr>
        <w:t xml:space="preserve"> Thanks to Alice Isaacman for assistance in determining the relationship between number of samples and resolution in the case of triangular grid cells.</w:t>
      </w:r>
    </w:p>
    <w:bookmarkEnd w:id="14"/>
    <w:p w14:paraId="69CA4B7D" w14:textId="77777777" w:rsidR="00AC768C" w:rsidRPr="00AC768C" w:rsidRDefault="00AC768C" w:rsidP="00AC768C"/>
    <w:p w14:paraId="511447A5" w14:textId="77777777" w:rsidR="00F32440" w:rsidRPr="00F32440" w:rsidRDefault="00F32440" w:rsidP="00F32440"/>
    <w:p w14:paraId="5300A154" w14:textId="77777777" w:rsidR="00C26311" w:rsidRDefault="00F5258E" w:rsidP="00F5258E">
      <w:pPr>
        <w:pStyle w:val="Heading1"/>
        <w:rPr>
          <w:lang w:val="en-US"/>
        </w:rPr>
      </w:pPr>
      <w:r w:rsidRPr="00957093">
        <w:rPr>
          <w:lang w:val="en-US"/>
        </w:rPr>
        <w:t>References</w:t>
      </w:r>
    </w:p>
    <w:p w14:paraId="196E2415" w14:textId="13A0555A" w:rsidR="00731217" w:rsidRPr="00731217" w:rsidRDefault="00957093" w:rsidP="00731217">
      <w:pPr>
        <w:widowControl w:val="0"/>
        <w:autoSpaceDE w:val="0"/>
        <w:autoSpaceDN w:val="0"/>
        <w:adjustRightInd w:val="0"/>
        <w:rPr>
          <w:noProof/>
        </w:rPr>
      </w:pPr>
      <w:r>
        <w:rPr>
          <w:lang w:val="en-US"/>
        </w:rPr>
        <w:fldChar w:fldCharType="begin" w:fldLock="1"/>
      </w:r>
      <w:r>
        <w:rPr>
          <w:lang w:val="en-US"/>
        </w:rPr>
        <w:instrText xml:space="preserve">ADDIN Mendeley Bibliography CSL_BIBLIOGRAPHY </w:instrText>
      </w:r>
      <w:r>
        <w:rPr>
          <w:lang w:val="en-US"/>
        </w:rPr>
        <w:fldChar w:fldCharType="separate"/>
      </w:r>
      <w:r w:rsidR="00731217" w:rsidRPr="00731217">
        <w:rPr>
          <w:noProof/>
        </w:rPr>
        <w:t>Aumont, B., Szopa, S. and Madronich, S.: Modelling the evolution of organic carbon during its gas-phase tropospheric oxidation: Development of an explicit model based on a self generating approach, Atmos. Chem. Phys., 5(9), 2497–2517, doi:10.5194/acp-5-2497-2005, 2005.</w:t>
      </w:r>
    </w:p>
    <w:p w14:paraId="316B096E" w14:textId="77777777" w:rsidR="00731217" w:rsidRPr="00731217" w:rsidRDefault="00731217" w:rsidP="00731217">
      <w:pPr>
        <w:widowControl w:val="0"/>
        <w:autoSpaceDE w:val="0"/>
        <w:autoSpaceDN w:val="0"/>
        <w:adjustRightInd w:val="0"/>
        <w:rPr>
          <w:noProof/>
        </w:rPr>
      </w:pPr>
      <w:r w:rsidRPr="00731217">
        <w:rPr>
          <w:noProof/>
        </w:rPr>
        <w:t>Betz, W. R. and Supina, W. R.: Use of thermally modified carbon black and carbon molecular sieve adsorbents in sampling air contaminants, Pure Appl. Chem., 61(11), 2047–2050, doi:10.1351/pac198961112047, 1989.</w:t>
      </w:r>
    </w:p>
    <w:p w14:paraId="72558598" w14:textId="77777777" w:rsidR="00731217" w:rsidRPr="00731217" w:rsidRDefault="00731217" w:rsidP="00731217">
      <w:pPr>
        <w:widowControl w:val="0"/>
        <w:autoSpaceDE w:val="0"/>
        <w:autoSpaceDN w:val="0"/>
        <w:adjustRightInd w:val="0"/>
        <w:rPr>
          <w:noProof/>
        </w:rPr>
      </w:pPr>
      <w:r w:rsidRPr="00731217">
        <w:rPr>
          <w:noProof/>
        </w:rPr>
        <w:t>Bianchi, A. P. and Varney, M. S.: Sampling and analysis of volatile organic compounds in estuarine air by gas chromatography and mass spectrometry, J. Chromatogr. A, 643(1–2), 11–23, doi:10.1016/0021-9673(93)80536-H, 1993.</w:t>
      </w:r>
    </w:p>
    <w:p w14:paraId="55F300BE" w14:textId="77777777" w:rsidR="00731217" w:rsidRPr="00731217" w:rsidRDefault="00731217" w:rsidP="00731217">
      <w:pPr>
        <w:widowControl w:val="0"/>
        <w:autoSpaceDE w:val="0"/>
        <w:autoSpaceDN w:val="0"/>
        <w:adjustRightInd w:val="0"/>
        <w:rPr>
          <w:noProof/>
        </w:rPr>
      </w:pPr>
      <w:r w:rsidRPr="00731217">
        <w:rPr>
          <w:noProof/>
        </w:rPr>
        <w:t>Borusiewicz, R. and Ziȩba-Palus, J.: Comparison of the effectiveness of Tenax TA® and Carbotrap 300® in concentration of flammable liquids compounds, J. Forensic Sci., 52(1), 70–74, doi:10.1111/j.1556-4029.2006.00314.x, 2007.</w:t>
      </w:r>
    </w:p>
    <w:p w14:paraId="667061D9" w14:textId="77777777" w:rsidR="00731217" w:rsidRPr="00731217" w:rsidRDefault="00731217" w:rsidP="00731217">
      <w:pPr>
        <w:widowControl w:val="0"/>
        <w:autoSpaceDE w:val="0"/>
        <w:autoSpaceDN w:val="0"/>
        <w:adjustRightInd w:val="0"/>
        <w:rPr>
          <w:noProof/>
        </w:rPr>
      </w:pPr>
      <w:r w:rsidRPr="00731217">
        <w:rPr>
          <w:noProof/>
        </w:rPr>
        <w:t>Burnett, R. T., III, C. A. P., Ezzati, M., Olives, C., Lim, S. S. and Mehta, S.: An Integrated Risk Function for Estimating the Global Burden of Disease Attributable to Ambient Fine Particulate Matter Exposure, Environ. Health Perspect., 122(4), 397–404, doi:10.1289/ehp.1307049, 2014.</w:t>
      </w:r>
    </w:p>
    <w:p w14:paraId="0066A019" w14:textId="77777777" w:rsidR="00731217" w:rsidRPr="00731217" w:rsidRDefault="00731217" w:rsidP="00731217">
      <w:pPr>
        <w:widowControl w:val="0"/>
        <w:autoSpaceDE w:val="0"/>
        <w:autoSpaceDN w:val="0"/>
        <w:adjustRightInd w:val="0"/>
        <w:rPr>
          <w:noProof/>
        </w:rPr>
      </w:pPr>
      <w:r w:rsidRPr="00731217">
        <w:rPr>
          <w:noProof/>
        </w:rPr>
        <w:t xml:space="preserve">Cao, X. L. and Nicholas Hewitt, C.: Build-up of artifacts on adsorbents during storage and its effect on passive sampling and gas chromatography-flame ionization detection of low concentrations of volatile organic compounds in air, J. Chromatogr. </w:t>
      </w:r>
      <w:r w:rsidRPr="00731217">
        <w:rPr>
          <w:noProof/>
        </w:rPr>
        <w:lastRenderedPageBreak/>
        <w:t>A, 688(1–2), 368–374, doi:10.1016/0021-9673(94)00908-2, 1994.</w:t>
      </w:r>
    </w:p>
    <w:p w14:paraId="7C187F86" w14:textId="77777777" w:rsidR="00731217" w:rsidRPr="00731217" w:rsidRDefault="00731217" w:rsidP="00731217">
      <w:pPr>
        <w:widowControl w:val="0"/>
        <w:autoSpaceDE w:val="0"/>
        <w:autoSpaceDN w:val="0"/>
        <w:adjustRightInd w:val="0"/>
        <w:rPr>
          <w:noProof/>
        </w:rPr>
      </w:pPr>
      <w:r w:rsidRPr="00731217">
        <w:rPr>
          <w:noProof/>
        </w:rPr>
        <w:t>Ciccioli, P., Cecinato, A., Brancaleoni, E., Frattoni, M. and Liberti, A.: Use of carbon adsorption traps combined with high resolution gas chromatography – mass spectrometry for the analysis of polar and non‐polar C4‐C14 hydrocarbons involved in photochemical smog formation, J. High Resolut. Chromatogr., 15(2), 75–84, doi:10.1002/jhrc.1240150205, 1992.</w:t>
      </w:r>
    </w:p>
    <w:p w14:paraId="52E12A78" w14:textId="77777777" w:rsidR="00731217" w:rsidRPr="00731217" w:rsidRDefault="00731217" w:rsidP="00731217">
      <w:pPr>
        <w:widowControl w:val="0"/>
        <w:autoSpaceDE w:val="0"/>
        <w:autoSpaceDN w:val="0"/>
        <w:adjustRightInd w:val="0"/>
        <w:rPr>
          <w:noProof/>
        </w:rPr>
      </w:pPr>
      <w:r w:rsidRPr="00731217">
        <w:rPr>
          <w:noProof/>
        </w:rPr>
        <w:t>Dockery, D. W., Pope III, C. A., Xu, X., Spengler, J. D., Ware, J. H., Fay, M. E., Ferris Jr, B. G. and Speizer, F. E.: An Association between Air Pollution and Mortality in Six U.S. Cities, N. Engl. J. Med., 330(2), 141, doi:101056/NEJM199312093292401, 1993.</w:t>
      </w:r>
    </w:p>
    <w:p w14:paraId="23273050" w14:textId="77777777" w:rsidR="00731217" w:rsidRPr="00731217" w:rsidRDefault="00731217" w:rsidP="00731217">
      <w:pPr>
        <w:widowControl w:val="0"/>
        <w:autoSpaceDE w:val="0"/>
        <w:autoSpaceDN w:val="0"/>
        <w:adjustRightInd w:val="0"/>
        <w:rPr>
          <w:noProof/>
        </w:rPr>
      </w:pPr>
      <w:r w:rsidRPr="00731217">
        <w:rPr>
          <w:noProof/>
        </w:rPr>
        <w:t>Ernle, L., Ringsdorf, A. and Williams, J.: Influence of ozone and humidity on PTR-MS and GC-MS VOC measurements with and without an ozone scrubber, Atmos. Meas. Tech., 16, 1179–1194 [online] Available from: https://doi.org/10.5194/amt-16-1179-2023, 2023.</w:t>
      </w:r>
    </w:p>
    <w:p w14:paraId="31752410" w14:textId="77777777" w:rsidR="00731217" w:rsidRPr="00731217" w:rsidRDefault="00731217" w:rsidP="00731217">
      <w:pPr>
        <w:widowControl w:val="0"/>
        <w:autoSpaceDE w:val="0"/>
        <w:autoSpaceDN w:val="0"/>
        <w:adjustRightInd w:val="0"/>
        <w:rPr>
          <w:noProof/>
        </w:rPr>
      </w:pPr>
      <w:r w:rsidRPr="00731217">
        <w:rPr>
          <w:noProof/>
        </w:rPr>
        <w:t>Felzer, B. S., Cronin, T., Reilly, J. M., Melillo, J. M. and Wang, X.: Impacts of ozone on trees and crops, Comptes Rendus - Geosci., 339(11–12), 784–798, doi:10.1016/j.crte.2007.08.008, 2007.</w:t>
      </w:r>
    </w:p>
    <w:p w14:paraId="75F539B9" w14:textId="77777777" w:rsidR="00731217" w:rsidRPr="00731217" w:rsidRDefault="00731217" w:rsidP="00731217">
      <w:pPr>
        <w:widowControl w:val="0"/>
        <w:autoSpaceDE w:val="0"/>
        <w:autoSpaceDN w:val="0"/>
        <w:adjustRightInd w:val="0"/>
        <w:rPr>
          <w:noProof/>
        </w:rPr>
      </w:pPr>
      <w:r w:rsidRPr="00731217">
        <w:rPr>
          <w:noProof/>
        </w:rPr>
        <w:t>Fitzky, A. C., Peron, A., Kaser, L., Karl, T., Graus, M., Tholen, D., Pesendorfer, M., Mahmoud, M., Sandén, H. and Rewald, B.: Diversity and Interrelations Among the Constitutive VOC Emission Blends of Four Broad-Leaved Tree Species at Seedling Stage, Front. Plant Sci., 12(September), 1–12, doi:10.3389/fpls.2021.708711, 2021.</w:t>
      </w:r>
    </w:p>
    <w:p w14:paraId="5BB46C16" w14:textId="77777777" w:rsidR="00731217" w:rsidRPr="00731217" w:rsidRDefault="00731217" w:rsidP="00731217">
      <w:pPr>
        <w:widowControl w:val="0"/>
        <w:autoSpaceDE w:val="0"/>
        <w:autoSpaceDN w:val="0"/>
        <w:adjustRightInd w:val="0"/>
        <w:rPr>
          <w:noProof/>
        </w:rPr>
      </w:pPr>
      <w:r w:rsidRPr="00731217">
        <w:rPr>
          <w:noProof/>
        </w:rPr>
        <w:t>Goldstein, A. H. and Galbally, I. E.: Known and unexplored organic constituents in the earth’s atmosphere, Environ. Sci. Technol., 41(5), 1514–1521, doi:10.1021/es072476p, 2007.</w:t>
      </w:r>
    </w:p>
    <w:p w14:paraId="33A367D4" w14:textId="77777777" w:rsidR="00731217" w:rsidRPr="00731217" w:rsidRDefault="00731217" w:rsidP="00731217">
      <w:pPr>
        <w:widowControl w:val="0"/>
        <w:autoSpaceDE w:val="0"/>
        <w:autoSpaceDN w:val="0"/>
        <w:adjustRightInd w:val="0"/>
        <w:rPr>
          <w:noProof/>
        </w:rPr>
      </w:pPr>
      <w:r w:rsidRPr="00731217">
        <w:rPr>
          <w:noProof/>
        </w:rPr>
        <w:t>Guenther, A., Nicholas, C., Fall, R., Klinger, L., Mckay, W. A. and Scholes, B.: A global model of natural volatile organic compound emissions, J. Geophys. Res., 100(94), 8873–8892 [online] Available from: doi.org/10.1029/94JD02950, 1995.</w:t>
      </w:r>
    </w:p>
    <w:p w14:paraId="1ED2EFB5" w14:textId="77777777" w:rsidR="00731217" w:rsidRPr="00731217" w:rsidRDefault="00731217" w:rsidP="00731217">
      <w:pPr>
        <w:widowControl w:val="0"/>
        <w:autoSpaceDE w:val="0"/>
        <w:autoSpaceDN w:val="0"/>
        <w:adjustRightInd w:val="0"/>
        <w:rPr>
          <w:noProof/>
        </w:rPr>
      </w:pPr>
      <w:r w:rsidRPr="00731217">
        <w:rPr>
          <w:noProof/>
        </w:rPr>
        <w:t>Haagen-Smit, A. J.: Pollution (12), Ind. Eng. Chem., 44(6), 1342–1346, doi:10.1021/ie50510a45, 1950.</w:t>
      </w:r>
    </w:p>
    <w:p w14:paraId="1D42B55E" w14:textId="77777777" w:rsidR="00731217" w:rsidRPr="00731217" w:rsidRDefault="00731217" w:rsidP="00731217">
      <w:pPr>
        <w:widowControl w:val="0"/>
        <w:autoSpaceDE w:val="0"/>
        <w:autoSpaceDN w:val="0"/>
        <w:adjustRightInd w:val="0"/>
        <w:rPr>
          <w:noProof/>
        </w:rPr>
      </w:pPr>
      <w:r w:rsidRPr="00731217">
        <w:rPr>
          <w:noProof/>
        </w:rPr>
        <w:t>Hamilton, J. F.: Using comprehensive two-dimensional gas chromatography to study the atmosphere, J. Chromatogr. Sci., 48(4), 274–282, doi:10.1093/chromsci/48.4.274, 2010.</w:t>
      </w:r>
    </w:p>
    <w:p w14:paraId="23349CFC" w14:textId="77777777" w:rsidR="00731217" w:rsidRPr="00731217" w:rsidRDefault="00731217" w:rsidP="00731217">
      <w:pPr>
        <w:widowControl w:val="0"/>
        <w:autoSpaceDE w:val="0"/>
        <w:autoSpaceDN w:val="0"/>
        <w:adjustRightInd w:val="0"/>
        <w:rPr>
          <w:noProof/>
        </w:rPr>
      </w:pPr>
      <w:r w:rsidRPr="00731217">
        <w:rPr>
          <w:noProof/>
        </w:rPr>
        <w:t>Harper, M.: Evaluation of solid sorbent sampling methods by breakthrough volume studies, Ann. Occup. Hyg., 37(1), 65–88, doi:10.1093/annhyg/37.1.65, 1993.</w:t>
      </w:r>
    </w:p>
    <w:p w14:paraId="34772E1D" w14:textId="77777777" w:rsidR="00731217" w:rsidRPr="00731217" w:rsidRDefault="00731217" w:rsidP="00731217">
      <w:pPr>
        <w:widowControl w:val="0"/>
        <w:autoSpaceDE w:val="0"/>
        <w:autoSpaceDN w:val="0"/>
        <w:adjustRightInd w:val="0"/>
        <w:rPr>
          <w:noProof/>
        </w:rPr>
      </w:pPr>
      <w:r w:rsidRPr="00731217">
        <w:rPr>
          <w:noProof/>
        </w:rPr>
        <w:t>Heald, C. L. and Kroll, J. H.: The fuel of atmospheric chemistry: Toward a complete description of reactive organic carbon, Sci. Adv., 6(6), 1–9, doi:10.1126/sciadv.aay8967, 2020.</w:t>
      </w:r>
    </w:p>
    <w:p w14:paraId="5B30DBB6" w14:textId="77777777" w:rsidR="00731217" w:rsidRPr="00731217" w:rsidRDefault="00731217" w:rsidP="00731217">
      <w:pPr>
        <w:widowControl w:val="0"/>
        <w:autoSpaceDE w:val="0"/>
        <w:autoSpaceDN w:val="0"/>
        <w:adjustRightInd w:val="0"/>
        <w:rPr>
          <w:noProof/>
        </w:rPr>
      </w:pPr>
      <w:r w:rsidRPr="00731217">
        <w:rPr>
          <w:noProof/>
        </w:rPr>
        <w:t>Hwan Lee, J., Batterman, S. A., Jia, C. and Chernyak, S.: Ozone artifacts and carbonyl measurements using tenax GR, tenax TA, carbopack B, and carbopack X adsorbents, J. Air Waste Manag. Assoc., 56(11), 1503–1517, doi:10.1080/10473289.2006.10464560, 2006.</w:t>
      </w:r>
    </w:p>
    <w:p w14:paraId="7C69B266" w14:textId="77777777" w:rsidR="00731217" w:rsidRPr="00731217" w:rsidRDefault="00731217" w:rsidP="00731217">
      <w:pPr>
        <w:widowControl w:val="0"/>
        <w:autoSpaceDE w:val="0"/>
        <w:autoSpaceDN w:val="0"/>
        <w:adjustRightInd w:val="0"/>
        <w:rPr>
          <w:noProof/>
        </w:rPr>
      </w:pPr>
      <w:r w:rsidRPr="00731217">
        <w:rPr>
          <w:noProof/>
        </w:rPr>
        <w:t>Ilieş, B. D., Khandavilli, M., Li, Y., Kukkadapu, G., Wagnon, S. W., Jameel, A. G. A. and Sarathy, S. M.: Probing the chemical kinetics of minimalist functional group gasoline surrogates, Energy and Fuels, 35(4), 3315–3332, doi:10.1021/acs.energyfuels.0c02815, 2021.</w:t>
      </w:r>
    </w:p>
    <w:p w14:paraId="7DEDF8B9" w14:textId="77777777" w:rsidR="00731217" w:rsidRPr="00731217" w:rsidRDefault="00731217" w:rsidP="00731217">
      <w:pPr>
        <w:widowControl w:val="0"/>
        <w:autoSpaceDE w:val="0"/>
        <w:autoSpaceDN w:val="0"/>
        <w:adjustRightInd w:val="0"/>
        <w:rPr>
          <w:noProof/>
        </w:rPr>
      </w:pPr>
      <w:r w:rsidRPr="00731217">
        <w:rPr>
          <w:noProof/>
        </w:rPr>
        <w:t xml:space="preserve">Isaacman-VanWertz, G., Sueper, D. T., Aikin, K. C., Lerner, B. M., Gilman, J. B., de Gouw, J. A., Worsnop, D. R. and Goldstein, A. H.: Automated single-ion peak fitting as an efficient approach for analyzing complex chromatographic data, J. </w:t>
      </w:r>
      <w:r w:rsidRPr="00731217">
        <w:rPr>
          <w:noProof/>
        </w:rPr>
        <w:lastRenderedPageBreak/>
        <w:t>Chromatogr. A, 1529, 81–92, doi:10.1016/j.chroma.2017.11.005, 2017.</w:t>
      </w:r>
    </w:p>
    <w:p w14:paraId="2D6BD336" w14:textId="77777777" w:rsidR="00731217" w:rsidRPr="00731217" w:rsidRDefault="00731217" w:rsidP="00731217">
      <w:pPr>
        <w:widowControl w:val="0"/>
        <w:autoSpaceDE w:val="0"/>
        <w:autoSpaceDN w:val="0"/>
        <w:adjustRightInd w:val="0"/>
        <w:rPr>
          <w:noProof/>
        </w:rPr>
      </w:pPr>
      <w:r w:rsidRPr="00731217">
        <w:rPr>
          <w:noProof/>
        </w:rPr>
        <w:t>Isaacman, G., Wilson, K. R., Chan, A. W. H., Worton, D. R., Kimmel, J. R., Nah, T., Hohaus, T., Gonin, M., Kroll, J. H., Worsnop, D. R. and Goldstein, A. H.: Improved resolution of hydrocarbon structures and constitutional isomers in complex mixtures using gas chromatography-vacuum ultraviolet-mass spectrometry, Anal. Chem., 84(5), 2335–2342, doi:10.1021/ac2030464, 2012.</w:t>
      </w:r>
    </w:p>
    <w:p w14:paraId="1C9277CA" w14:textId="77777777" w:rsidR="00731217" w:rsidRPr="00731217" w:rsidRDefault="00731217" w:rsidP="00731217">
      <w:pPr>
        <w:widowControl w:val="0"/>
        <w:autoSpaceDE w:val="0"/>
        <w:autoSpaceDN w:val="0"/>
        <w:adjustRightInd w:val="0"/>
        <w:rPr>
          <w:noProof/>
        </w:rPr>
      </w:pPr>
      <w:r w:rsidRPr="00731217">
        <w:rPr>
          <w:noProof/>
        </w:rPr>
        <w:t>Klenø, J. G., Wolkoff, P., Clausen, P. A., Wilkins, C. K. and Pedersen, T.: Degradation of the adsorbent tenax TA by nitrogen oxides, ozone, hydrogen peroxide, OH radical, and limonene oxidation products, Environ. Sci. Technol., 36(19), 4121–4126, doi:10.1021/es025680f, 2002.</w:t>
      </w:r>
    </w:p>
    <w:p w14:paraId="3A0A4A90" w14:textId="77777777" w:rsidR="00731217" w:rsidRPr="00731217" w:rsidRDefault="00731217" w:rsidP="00731217">
      <w:pPr>
        <w:widowControl w:val="0"/>
        <w:autoSpaceDE w:val="0"/>
        <w:autoSpaceDN w:val="0"/>
        <w:adjustRightInd w:val="0"/>
        <w:rPr>
          <w:noProof/>
        </w:rPr>
      </w:pPr>
      <w:r w:rsidRPr="00731217">
        <w:rPr>
          <w:noProof/>
        </w:rPr>
        <w:t>Lippmann, M.: Health Effects Of Ozone A Critical Review, J. Air Pollut. Control Assoc., 39(5), 672–695, doi:10.1080/08940630.1989.10466554, 1989.</w:t>
      </w:r>
    </w:p>
    <w:p w14:paraId="37DB4969" w14:textId="77777777" w:rsidR="00731217" w:rsidRPr="00731217" w:rsidRDefault="00731217" w:rsidP="00731217">
      <w:pPr>
        <w:widowControl w:val="0"/>
        <w:autoSpaceDE w:val="0"/>
        <w:autoSpaceDN w:val="0"/>
        <w:adjustRightInd w:val="0"/>
        <w:rPr>
          <w:noProof/>
        </w:rPr>
      </w:pPr>
      <w:r w:rsidRPr="00731217">
        <w:rPr>
          <w:noProof/>
        </w:rPr>
        <w:t>MacLeod, G. and Ames, J. M.: Comparative assessment of the artefact background on thermal desorption of tenax GC and tenax TA, J. Chromatogr. A, 355(C), 393–398, doi:10.1016/S0021-9673(01)97343-1, 1986.</w:t>
      </w:r>
    </w:p>
    <w:p w14:paraId="729C057A" w14:textId="77777777" w:rsidR="00731217" w:rsidRPr="00731217" w:rsidRDefault="00731217" w:rsidP="00731217">
      <w:pPr>
        <w:widowControl w:val="0"/>
        <w:autoSpaceDE w:val="0"/>
        <w:autoSpaceDN w:val="0"/>
        <w:adjustRightInd w:val="0"/>
        <w:rPr>
          <w:noProof/>
        </w:rPr>
      </w:pPr>
      <w:r w:rsidRPr="00731217">
        <w:rPr>
          <w:noProof/>
        </w:rPr>
        <w:t>Manion, J. A., Huie, R. E., Levin, R. D., Burgess Jr., D. R., Orkin, V. L., Tsang, W., McGivern, W. S., Hudgens, J. W., Knyazev, V. D., Atkinson, D. B., Chai, E., Tereza, A. M., Lin, C.-Y., Allison, T. C., Mallard, W. G., Westley, F., Herron, J. T., Hampson, R. F. and Frizzell, D. H.: NIST Chemical Kinetics Database (Web Version), Natl. Inst. Stand. Technol. Gaithersburg, Maryl. [online] Available from: http://kinetics.nist.gov/, 2015.</w:t>
      </w:r>
    </w:p>
    <w:p w14:paraId="668B0C55" w14:textId="77777777" w:rsidR="00731217" w:rsidRPr="00731217" w:rsidRDefault="00731217" w:rsidP="00731217">
      <w:pPr>
        <w:widowControl w:val="0"/>
        <w:autoSpaceDE w:val="0"/>
        <w:autoSpaceDN w:val="0"/>
        <w:adjustRightInd w:val="0"/>
        <w:rPr>
          <w:noProof/>
        </w:rPr>
      </w:pPr>
      <w:r w:rsidRPr="00731217">
        <w:rPr>
          <w:noProof/>
        </w:rPr>
        <w:t>Nazaroff, W. W. and Weschler, C. J.: Indoor ozone: Concentrations and influencing factors, Indoor Air, 32(1), 1–21, doi:10.1111/ina.12942, 2022.</w:t>
      </w:r>
    </w:p>
    <w:p w14:paraId="7F65122F" w14:textId="77777777" w:rsidR="00731217" w:rsidRPr="00731217" w:rsidRDefault="00731217" w:rsidP="00731217">
      <w:pPr>
        <w:widowControl w:val="0"/>
        <w:autoSpaceDE w:val="0"/>
        <w:autoSpaceDN w:val="0"/>
        <w:adjustRightInd w:val="0"/>
        <w:rPr>
          <w:noProof/>
        </w:rPr>
      </w:pPr>
      <w:r w:rsidRPr="00731217">
        <w:rPr>
          <w:noProof/>
        </w:rPr>
        <w:t>Ngo, D., Liu, H., Chen, Z., Kaya, H., Zimudzi, T. J., Gin, S., Mahadevan, T., Du, J. and Kim, S. H.: Hydrogen bonding interactions of H2O and SiOH on a boroaluminosilicate glass corroded in aqueous solution, npj Mater. Degrad., 4(1), 1–14, doi:10.1038/s41529-019-0105-2, 2020.</w:t>
      </w:r>
    </w:p>
    <w:p w14:paraId="63779832" w14:textId="77777777" w:rsidR="00731217" w:rsidRPr="00731217" w:rsidRDefault="00731217" w:rsidP="00731217">
      <w:pPr>
        <w:widowControl w:val="0"/>
        <w:autoSpaceDE w:val="0"/>
        <w:autoSpaceDN w:val="0"/>
        <w:adjustRightInd w:val="0"/>
        <w:rPr>
          <w:noProof/>
        </w:rPr>
      </w:pPr>
      <w:r w:rsidRPr="00731217">
        <w:rPr>
          <w:noProof/>
        </w:rPr>
        <w:t>Nozière, B., Kalberer, M., Claeys, M., Allan, J., D’Anna, B., Decesari, S., Finessi, E., Glasius, M., Grgić, I., Hamilton, J. F., Hoffmann, T., Iinuma, Y., Jaoui, M., Kahnt, A., Kampf, C. J., Kourtchev, I., Maenhaut, W., Marsden, N., Saarikoski, S., Schnelle-Kreis, J., Surratt, J. D., Szidat, S., Szmigielski, R. and Wisthaler, A.: The Molecular Identification of Organic Compounds in the Atmosphere: State of the Art and Challenges, Chem. Rev., 115(10), 3919–3983, doi:10.1021/cr5003485, 2015.</w:t>
      </w:r>
    </w:p>
    <w:p w14:paraId="7E16B191" w14:textId="77777777" w:rsidR="00731217" w:rsidRPr="00731217" w:rsidRDefault="00731217" w:rsidP="00731217">
      <w:pPr>
        <w:widowControl w:val="0"/>
        <w:autoSpaceDE w:val="0"/>
        <w:autoSpaceDN w:val="0"/>
        <w:adjustRightInd w:val="0"/>
        <w:rPr>
          <w:noProof/>
        </w:rPr>
      </w:pPr>
      <w:r w:rsidRPr="00731217">
        <w:rPr>
          <w:noProof/>
        </w:rPr>
        <w:t>Pollmann, J., Ortega, J. and Helmig, D.: Analysis of atmospheric sesquiterpenes: Sampling losses and mitigation of ozone interferences, Environ. Sci. Technol., 39(24), 9620–9629, doi:10.1021/es050440w, 2005.</w:t>
      </w:r>
    </w:p>
    <w:p w14:paraId="47A70E19" w14:textId="77777777" w:rsidR="00731217" w:rsidRPr="00731217" w:rsidRDefault="00731217" w:rsidP="00731217">
      <w:pPr>
        <w:widowControl w:val="0"/>
        <w:autoSpaceDE w:val="0"/>
        <w:autoSpaceDN w:val="0"/>
        <w:adjustRightInd w:val="0"/>
        <w:rPr>
          <w:noProof/>
        </w:rPr>
      </w:pPr>
      <w:r w:rsidRPr="00731217">
        <w:rPr>
          <w:noProof/>
        </w:rPr>
        <w:t>Rothweiler, H., Wäger, P. A. and Schlatter, C.: Comparison of Tenax Ta and Carbotrap for sampling and analysis of volatile organic compounds in air, Atmos. Environ. Part B, Urban Atmos., 25(2), 231–235, doi:10.1016/0957-1272(91)90058-M, 1991.</w:t>
      </w:r>
    </w:p>
    <w:p w14:paraId="6ED4A9D3" w14:textId="77777777" w:rsidR="00731217" w:rsidRPr="00731217" w:rsidRDefault="00731217" w:rsidP="00731217">
      <w:pPr>
        <w:widowControl w:val="0"/>
        <w:autoSpaceDE w:val="0"/>
        <w:autoSpaceDN w:val="0"/>
        <w:adjustRightInd w:val="0"/>
        <w:rPr>
          <w:noProof/>
        </w:rPr>
      </w:pPr>
      <w:r w:rsidRPr="00731217">
        <w:rPr>
          <w:noProof/>
        </w:rPr>
        <w:t>Sheu, R., Marcotte, A., Khare, P., Charan, S., Ditto, J. C. and Gentner, D. R.: Advances in offline approaches for chemically speciated measurements of trace gas-phase organic compounds via adsorbent tubes in an integrated sampling-to-analysis system, J. Chromatogr. A, 1575, 80–90, doi:10.1016/j.chroma.2018.09.014, 2018.</w:t>
      </w:r>
    </w:p>
    <w:p w14:paraId="6F83EE33" w14:textId="77777777" w:rsidR="00731217" w:rsidRPr="00731217" w:rsidRDefault="00731217" w:rsidP="00731217">
      <w:pPr>
        <w:widowControl w:val="0"/>
        <w:autoSpaceDE w:val="0"/>
        <w:autoSpaceDN w:val="0"/>
        <w:adjustRightInd w:val="0"/>
        <w:rPr>
          <w:noProof/>
        </w:rPr>
      </w:pPr>
      <w:r w:rsidRPr="00731217">
        <w:rPr>
          <w:noProof/>
        </w:rPr>
        <w:lastRenderedPageBreak/>
        <w:t>Spinelle, L., Gerboles, M., Kok, G., Persijn, S. and Sauerwald, T.: Review of portable and low-cost sensors for the ambient air monitoring of benzene and other volatile organic compounds, Sensors (Switzerland), 17(7), doi:10.3390/s17071520, 2017.</w:t>
      </w:r>
    </w:p>
    <w:p w14:paraId="3355FFC2" w14:textId="77777777" w:rsidR="00731217" w:rsidRPr="00731217" w:rsidRDefault="00731217" w:rsidP="00731217">
      <w:pPr>
        <w:widowControl w:val="0"/>
        <w:autoSpaceDE w:val="0"/>
        <w:autoSpaceDN w:val="0"/>
        <w:adjustRightInd w:val="0"/>
        <w:rPr>
          <w:noProof/>
        </w:rPr>
      </w:pPr>
      <w:r w:rsidRPr="00731217">
        <w:rPr>
          <w:noProof/>
        </w:rPr>
        <w:t>Steinemann, A.: Volatile emissions from common consumer products, Air Qual. Atmos. Heal., 8(3), 273–281, doi:10.1007/s11869-015-0327-6, 2015.</w:t>
      </w:r>
    </w:p>
    <w:p w14:paraId="0541783E" w14:textId="77777777" w:rsidR="00731217" w:rsidRPr="00731217" w:rsidRDefault="00731217" w:rsidP="00731217">
      <w:pPr>
        <w:widowControl w:val="0"/>
        <w:autoSpaceDE w:val="0"/>
        <w:autoSpaceDN w:val="0"/>
        <w:adjustRightInd w:val="0"/>
        <w:rPr>
          <w:noProof/>
        </w:rPr>
      </w:pPr>
      <w:r w:rsidRPr="00731217">
        <w:rPr>
          <w:noProof/>
        </w:rPr>
        <w:t>Trowbridge, A. M., Stoy, P. C., Monson, R. K. and Niinemets, Ü.: Biology, controls and models of tree volatile organic compound emissions, Biol. Control. Model. Tree Volatile Org. Compd. Emiss., 5(April), 21–46, doi:10.1007/978-94-007-6606-8, 2013.</w:t>
      </w:r>
    </w:p>
    <w:p w14:paraId="3BAE8FEE" w14:textId="77777777" w:rsidR="00731217" w:rsidRPr="00731217" w:rsidRDefault="00731217" w:rsidP="00731217">
      <w:pPr>
        <w:widowControl w:val="0"/>
        <w:autoSpaceDE w:val="0"/>
        <w:autoSpaceDN w:val="0"/>
        <w:adjustRightInd w:val="0"/>
        <w:rPr>
          <w:noProof/>
        </w:rPr>
      </w:pPr>
      <w:r w:rsidRPr="00731217">
        <w:rPr>
          <w:noProof/>
        </w:rPr>
        <w:t>Tsai, W. T.: An overview of health hazards of volatile organic compounds regulated as indoor air pollutants, Rev. Environ. Health, 34(1), 81–89, doi:10.1515/reveh-2018-0046, 2019.</w:t>
      </w:r>
    </w:p>
    <w:p w14:paraId="32D47A26" w14:textId="77777777" w:rsidR="00731217" w:rsidRPr="00731217" w:rsidRDefault="00731217" w:rsidP="00731217">
      <w:pPr>
        <w:widowControl w:val="0"/>
        <w:autoSpaceDE w:val="0"/>
        <w:autoSpaceDN w:val="0"/>
        <w:adjustRightInd w:val="0"/>
        <w:rPr>
          <w:noProof/>
        </w:rPr>
      </w:pPr>
      <w:r w:rsidRPr="00731217">
        <w:rPr>
          <w:noProof/>
        </w:rPr>
        <w:t>U.S. Environmental Protection Agency (EPA): Compendium Method TO-17: Determination of Volatile Organic Compounds in Ambient Air Using Active Sampling Onto Sorbent Tubes, Compend. Methods Determ. Toxic Org. Compd. Ambient Air, (January), 1–53, 1999.</w:t>
      </w:r>
    </w:p>
    <w:p w14:paraId="1C5ED1BC" w14:textId="77777777" w:rsidR="00731217" w:rsidRPr="00731217" w:rsidRDefault="00731217" w:rsidP="00731217">
      <w:pPr>
        <w:widowControl w:val="0"/>
        <w:autoSpaceDE w:val="0"/>
        <w:autoSpaceDN w:val="0"/>
        <w:adjustRightInd w:val="0"/>
        <w:rPr>
          <w:noProof/>
        </w:rPr>
      </w:pPr>
      <w:r w:rsidRPr="00731217">
        <w:rPr>
          <w:noProof/>
        </w:rPr>
        <w:t>US Environmental Protection Agency: Hazardous Air Pollutants, [online] Available from: http://www.epa.gov/haps (Accessed 24 March 2023a), 2023.</w:t>
      </w:r>
    </w:p>
    <w:p w14:paraId="7CA0C92C" w14:textId="77777777" w:rsidR="00731217" w:rsidRPr="00731217" w:rsidRDefault="00731217" w:rsidP="00731217">
      <w:pPr>
        <w:widowControl w:val="0"/>
        <w:autoSpaceDE w:val="0"/>
        <w:autoSpaceDN w:val="0"/>
        <w:adjustRightInd w:val="0"/>
        <w:rPr>
          <w:noProof/>
        </w:rPr>
      </w:pPr>
      <w:r w:rsidRPr="00731217">
        <w:rPr>
          <w:noProof/>
        </w:rPr>
        <w:t>US Environmental Protection Agency: Integrated Risk Information System, [online] Available from: http://www.epa.gov/iris (Accessed 24 March 2023b), 2023.</w:t>
      </w:r>
    </w:p>
    <w:p w14:paraId="3F529FCF" w14:textId="77777777" w:rsidR="00731217" w:rsidRPr="00731217" w:rsidRDefault="00731217" w:rsidP="00731217">
      <w:pPr>
        <w:widowControl w:val="0"/>
        <w:autoSpaceDE w:val="0"/>
        <w:autoSpaceDN w:val="0"/>
        <w:adjustRightInd w:val="0"/>
        <w:rPr>
          <w:noProof/>
        </w:rPr>
      </w:pPr>
      <w:r w:rsidRPr="00731217">
        <w:rPr>
          <w:noProof/>
        </w:rPr>
        <w:t>Wallace, W. E.: Mass Spectra, in NIST Chemistry WebBook, NIST Standard Reference Database, Number 69, edited by P. J. Linstrom and W. G. Mallard, National Institute of Standards and Technology, Gaithersburg, MD 20899., 2019.</w:t>
      </w:r>
    </w:p>
    <w:p w14:paraId="5FC9A7BB" w14:textId="77777777" w:rsidR="00731217" w:rsidRPr="00731217" w:rsidRDefault="00731217" w:rsidP="00731217">
      <w:pPr>
        <w:widowControl w:val="0"/>
        <w:autoSpaceDE w:val="0"/>
        <w:autoSpaceDN w:val="0"/>
        <w:adjustRightInd w:val="0"/>
        <w:rPr>
          <w:noProof/>
        </w:rPr>
      </w:pPr>
      <w:r w:rsidRPr="00731217">
        <w:rPr>
          <w:noProof/>
        </w:rPr>
        <w:t>Wang, Q. and Chen, C. P.: Simulated Kinetics and Chemical and Physical Properties of a Four-Component Diesel Surrogate Fuel, Energy and Fuels, 31(12), 13190–13197, doi:10.1021/acs.energyfuels.7b01940, 2017.</w:t>
      </w:r>
    </w:p>
    <w:p w14:paraId="5634A17A" w14:textId="77777777" w:rsidR="00731217" w:rsidRPr="00731217" w:rsidRDefault="00731217" w:rsidP="00731217">
      <w:pPr>
        <w:widowControl w:val="0"/>
        <w:autoSpaceDE w:val="0"/>
        <w:autoSpaceDN w:val="0"/>
        <w:adjustRightInd w:val="0"/>
        <w:rPr>
          <w:noProof/>
        </w:rPr>
      </w:pPr>
      <w:r w:rsidRPr="00731217">
        <w:rPr>
          <w:noProof/>
        </w:rPr>
        <w:t>Wark, K., Warner, C. F. and Davis, W. T.: Air Pollution, Third., Addison-Wesley-Longman., 1998.</w:t>
      </w:r>
    </w:p>
    <w:p w14:paraId="3C23986B" w14:textId="77777777" w:rsidR="00731217" w:rsidRPr="00731217" w:rsidRDefault="00731217" w:rsidP="00731217">
      <w:pPr>
        <w:widowControl w:val="0"/>
        <w:autoSpaceDE w:val="0"/>
        <w:autoSpaceDN w:val="0"/>
        <w:adjustRightInd w:val="0"/>
        <w:rPr>
          <w:noProof/>
        </w:rPr>
      </w:pPr>
      <w:r w:rsidRPr="00731217">
        <w:rPr>
          <w:noProof/>
        </w:rPr>
        <w:t>Woolfenden, E.: Monitoring vocs in air using sorbent tubes followed by thermal desorption-capillary gc analysis: Summary of data and practical guidelines, J. Air Waste Manag. Assoc., 47(1), 20–36, doi:10.1080/10473289.1997.10464411, 1997.</w:t>
      </w:r>
    </w:p>
    <w:p w14:paraId="3C9B0535" w14:textId="77777777" w:rsidR="00731217" w:rsidRPr="00731217" w:rsidRDefault="00731217" w:rsidP="00731217">
      <w:pPr>
        <w:widowControl w:val="0"/>
        <w:autoSpaceDE w:val="0"/>
        <w:autoSpaceDN w:val="0"/>
        <w:adjustRightInd w:val="0"/>
        <w:rPr>
          <w:noProof/>
        </w:rPr>
      </w:pPr>
      <w:r w:rsidRPr="00731217">
        <w:rPr>
          <w:noProof/>
        </w:rPr>
        <w:t>World Meteorological Organization: Guidelines for Measurements of Non-Methane Hydrocarbons in the Troposphere, in GAW Report No. 281. [online] Available from: https://library.wmo.int/doc_num.php?explnum_id=11565, 2023.</w:t>
      </w:r>
    </w:p>
    <w:p w14:paraId="22238EE8" w14:textId="77777777" w:rsidR="00731217" w:rsidRPr="00731217" w:rsidRDefault="00731217" w:rsidP="00731217">
      <w:pPr>
        <w:widowControl w:val="0"/>
        <w:autoSpaceDE w:val="0"/>
        <w:autoSpaceDN w:val="0"/>
        <w:adjustRightInd w:val="0"/>
        <w:rPr>
          <w:noProof/>
        </w:rPr>
      </w:pPr>
      <w:r w:rsidRPr="00731217">
        <w:rPr>
          <w:noProof/>
        </w:rPr>
        <w:t>Yokouchi, Y., Mukai, H., Nakajima, K. and Ambe, Y.: Semi-volatile aldehydes as predominant organic gases in remote areas, Atmos. Environ. Part A, Gen. Top., 24(2), 439–442, doi:10.1016/0960-1686(90)90126-8, 1990.</w:t>
      </w:r>
    </w:p>
    <w:p w14:paraId="492E2D27" w14:textId="77777777" w:rsidR="00731217" w:rsidRPr="00731217" w:rsidRDefault="00731217" w:rsidP="00731217">
      <w:pPr>
        <w:widowControl w:val="0"/>
        <w:autoSpaceDE w:val="0"/>
        <w:autoSpaceDN w:val="0"/>
        <w:adjustRightInd w:val="0"/>
        <w:rPr>
          <w:noProof/>
        </w:rPr>
      </w:pPr>
      <w:r w:rsidRPr="00731217">
        <w:rPr>
          <w:noProof/>
        </w:rPr>
        <w:t>Yuan, B., Koss, A. R., Warneke, C., Coggon, M., Sekimoto, K. and De Gouw, J. A.: Proton-Transfer-Reaction Mass Spectrometry: Applications in Atmospheric Sciences, Chem. Rev., 117(21), 13187–13229, doi:10.1021/acs.chemrev.7b00325, 2017.</w:t>
      </w:r>
    </w:p>
    <w:p w14:paraId="0B8706F7" w14:textId="77777777" w:rsidR="00731217" w:rsidRPr="00731217" w:rsidRDefault="00731217" w:rsidP="00731217">
      <w:pPr>
        <w:widowControl w:val="0"/>
        <w:autoSpaceDE w:val="0"/>
        <w:autoSpaceDN w:val="0"/>
        <w:adjustRightInd w:val="0"/>
        <w:rPr>
          <w:noProof/>
        </w:rPr>
      </w:pPr>
      <w:r w:rsidRPr="00731217">
        <w:rPr>
          <w:noProof/>
        </w:rPr>
        <w:t>Zeng, G. L.: Medical image reconstruction: A conceptual tutorial., 2010.</w:t>
      </w:r>
    </w:p>
    <w:p w14:paraId="654A0FF2" w14:textId="01D41E23" w:rsidR="00957093" w:rsidRDefault="00957093" w:rsidP="00957093">
      <w:pPr>
        <w:rPr>
          <w:lang w:val="en-US"/>
        </w:rPr>
      </w:pPr>
      <w:r>
        <w:rPr>
          <w:lang w:val="en-US"/>
        </w:rPr>
        <w:fldChar w:fldCharType="end"/>
      </w:r>
    </w:p>
    <w:p w14:paraId="4D781FA4" w14:textId="77777777" w:rsidR="00893511" w:rsidRDefault="00893511" w:rsidP="00957093">
      <w:pPr>
        <w:rPr>
          <w:lang w:val="en-US"/>
        </w:rPr>
      </w:pPr>
    </w:p>
    <w:p w14:paraId="6BF76AF5" w14:textId="35EDEB06" w:rsidR="00506379" w:rsidRDefault="00506379">
      <w:pPr>
        <w:spacing w:line="240" w:lineRule="auto"/>
        <w:jc w:val="left"/>
        <w:rPr>
          <w:lang w:val="en-US"/>
        </w:rPr>
      </w:pPr>
      <w:r>
        <w:rPr>
          <w:lang w:val="en-US"/>
        </w:rPr>
        <w:lastRenderedPageBreak/>
        <w:br w:type="page"/>
      </w:r>
    </w:p>
    <w:p w14:paraId="1D009FE8" w14:textId="77777777" w:rsidR="00EE5580" w:rsidRDefault="00EE5580" w:rsidP="00957093">
      <w:pPr>
        <w:rPr>
          <w:lang w:val="en-US"/>
        </w:rPr>
      </w:pPr>
    </w:p>
    <w:p w14:paraId="26F15380" w14:textId="52DEE739" w:rsidR="00893511" w:rsidRDefault="00893511" w:rsidP="00315219">
      <w:pPr>
        <w:jc w:val="center"/>
        <w:rPr>
          <w:lang w:val="en-US"/>
        </w:rPr>
      </w:pPr>
      <w:r>
        <w:rPr>
          <w:noProof/>
        </w:rPr>
        <w:drawing>
          <wp:inline distT="0" distB="0" distL="0" distR="0" wp14:anchorId="4C5949A0" wp14:editId="23EC2D6E">
            <wp:extent cx="3017520" cy="2530721"/>
            <wp:effectExtent l="0" t="0" r="0" b="3175"/>
            <wp:docPr id="18" name="Picture 18" descr="Graphical user interfac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Graphical user interface, diagram&#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17520" cy="2530721"/>
                    </a:xfrm>
                    <a:prstGeom prst="rect">
                      <a:avLst/>
                    </a:prstGeom>
                    <a:noFill/>
                  </pic:spPr>
                </pic:pic>
              </a:graphicData>
            </a:graphic>
          </wp:inline>
        </w:drawing>
      </w:r>
    </w:p>
    <w:p w14:paraId="624A4A0B" w14:textId="03885EA5" w:rsidR="00EE5580" w:rsidRDefault="00EE5580" w:rsidP="00315219">
      <w:pPr>
        <w:pStyle w:val="Caption"/>
        <w:jc w:val="center"/>
      </w:pPr>
      <w:r>
        <w:t xml:space="preserve">Figure </w:t>
      </w:r>
      <w:fldSimple w:instr=" SEQ Figure \* ARABIC ">
        <w:r w:rsidR="00412B93">
          <w:rPr>
            <w:noProof/>
          </w:rPr>
          <w:t>1</w:t>
        </w:r>
      </w:fldSimple>
      <w:r>
        <w:t xml:space="preserve">: Simplified schematic (left) and photos (right) of sampler design, with </w:t>
      </w:r>
      <w:r w:rsidRPr="002A707F">
        <w:t>key components labelled.</w:t>
      </w:r>
    </w:p>
    <w:p w14:paraId="2B3F8003" w14:textId="77777777" w:rsidR="00EE5580" w:rsidRDefault="00EE5580" w:rsidP="00EE5580"/>
    <w:p w14:paraId="4579FFDD" w14:textId="4B6C31C3" w:rsidR="00EE5580" w:rsidRPr="00EE5580" w:rsidRDefault="006861E5" w:rsidP="00EE5580">
      <w:pPr>
        <w:jc w:val="center"/>
      </w:pPr>
      <w:r>
        <w:rPr>
          <w:noProof/>
        </w:rPr>
        <w:drawing>
          <wp:inline distT="0" distB="0" distL="0" distR="0" wp14:anchorId="10BDE0A8" wp14:editId="55323451">
            <wp:extent cx="3149600" cy="3149600"/>
            <wp:effectExtent l="0" t="0" r="0" b="0"/>
            <wp:docPr id="1180170922"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170922" name="Picture 1" descr="Char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49600" cy="3149600"/>
                    </a:xfrm>
                    <a:prstGeom prst="rect">
                      <a:avLst/>
                    </a:prstGeom>
                  </pic:spPr>
                </pic:pic>
              </a:graphicData>
            </a:graphic>
          </wp:inline>
        </w:drawing>
      </w:r>
    </w:p>
    <w:p w14:paraId="1BB7B3A5" w14:textId="3385DFA8" w:rsidR="00EE5580" w:rsidRDefault="00EE5580" w:rsidP="00EE5580">
      <w:pPr>
        <w:jc w:val="center"/>
        <w:rPr>
          <w:b/>
          <w:bCs/>
          <w:sz w:val="18"/>
          <w:szCs w:val="18"/>
        </w:rPr>
      </w:pPr>
      <w:r>
        <w:rPr>
          <w:b/>
          <w:bCs/>
          <w:sz w:val="18"/>
          <w:szCs w:val="18"/>
        </w:rPr>
        <w:t xml:space="preserve">Figure 2: Mean signal of 31 analytes measured in two sets of samplers (Sets A, n=5, and Set B, n=7) spaced approximately two meters apart. Standard deviation shown as error bars, with black circles indicating the 20 analytes found to be statistically significantly different between the two sets (t-test, 95% confidence). Insets show frequency distributions of % relative standard deviation for each set (Set A in blue, Set B in </w:t>
      </w:r>
      <w:r w:rsidR="00117F3B">
        <w:rPr>
          <w:b/>
          <w:bCs/>
          <w:sz w:val="18"/>
          <w:szCs w:val="18"/>
        </w:rPr>
        <w:t>red</w:t>
      </w:r>
      <w:r>
        <w:rPr>
          <w:b/>
          <w:bCs/>
          <w:sz w:val="18"/>
          <w:szCs w:val="18"/>
        </w:rPr>
        <w:t xml:space="preserve">). </w:t>
      </w:r>
    </w:p>
    <w:p w14:paraId="39F4FDAD" w14:textId="77777777" w:rsidR="001E32AA" w:rsidRDefault="001E32AA" w:rsidP="00EE5580">
      <w:pPr>
        <w:jc w:val="center"/>
        <w:rPr>
          <w:b/>
          <w:bCs/>
          <w:sz w:val="18"/>
          <w:szCs w:val="18"/>
        </w:rPr>
      </w:pPr>
    </w:p>
    <w:p w14:paraId="201F6225" w14:textId="7D0E03DF" w:rsidR="00EE5580" w:rsidRDefault="001E32AA" w:rsidP="00EE5580">
      <w:pPr>
        <w:jc w:val="center"/>
        <w:rPr>
          <w:b/>
          <w:bCs/>
          <w:sz w:val="18"/>
          <w:szCs w:val="18"/>
        </w:rPr>
      </w:pPr>
      <w:r>
        <w:rPr>
          <w:b/>
          <w:bCs/>
          <w:noProof/>
          <w:sz w:val="18"/>
          <w:szCs w:val="18"/>
        </w:rPr>
        <w:drawing>
          <wp:inline distT="0" distB="0" distL="0" distR="0" wp14:anchorId="6D4291DA" wp14:editId="15E5F06D">
            <wp:extent cx="3135403" cy="2184400"/>
            <wp:effectExtent l="0" t="0" r="8255" b="6350"/>
            <wp:docPr id="20724032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403223" name="Picture 1"/>
                    <pic:cNvPicPr/>
                  </pic:nvPicPr>
                  <pic:blipFill>
                    <a:blip r:embed="rId10">
                      <a:extLst>
                        <a:ext uri="{28A0092B-C50C-407E-A947-70E740481C1C}">
                          <a14:useLocalDpi xmlns:a14="http://schemas.microsoft.com/office/drawing/2010/main" val="0"/>
                        </a:ext>
                      </a:extLst>
                    </a:blip>
                    <a:stretch>
                      <a:fillRect/>
                    </a:stretch>
                  </pic:blipFill>
                  <pic:spPr>
                    <a:xfrm>
                      <a:off x="0" y="0"/>
                      <a:ext cx="3135403" cy="2184400"/>
                    </a:xfrm>
                    <a:prstGeom prst="rect">
                      <a:avLst/>
                    </a:prstGeom>
                  </pic:spPr>
                </pic:pic>
              </a:graphicData>
            </a:graphic>
          </wp:inline>
        </w:drawing>
      </w:r>
    </w:p>
    <w:p w14:paraId="38E92A89" w14:textId="77777777" w:rsidR="00EE5580" w:rsidRDefault="00EE5580" w:rsidP="00EE5580">
      <w:pPr>
        <w:jc w:val="center"/>
        <w:rPr>
          <w:b/>
          <w:bCs/>
          <w:sz w:val="18"/>
          <w:szCs w:val="18"/>
        </w:rPr>
      </w:pPr>
    </w:p>
    <w:p w14:paraId="05A1029B" w14:textId="69F76ECA" w:rsidR="00EE5580" w:rsidRPr="00425182" w:rsidRDefault="00EE5580" w:rsidP="00EE5580">
      <w:pPr>
        <w:jc w:val="center"/>
        <w:rPr>
          <w:b/>
          <w:bCs/>
          <w:sz w:val="18"/>
          <w:szCs w:val="18"/>
        </w:rPr>
      </w:pPr>
      <w:bookmarkStart w:id="15" w:name="_Hlk139490102"/>
      <w:r>
        <w:rPr>
          <w:b/>
          <w:bCs/>
          <w:sz w:val="18"/>
          <w:szCs w:val="18"/>
        </w:rPr>
        <w:t>Figure 3: Fraction of reactive (monoterpene) and non-reactive (BTEX) analytes reacted on the sampling media when sampled without ozone removal, quantified as the ratio of signal when sampled without vs. with an ozone scrubber. Shown as a function of the ozone reaction rate coefficient (k</w:t>
      </w:r>
      <w:r>
        <w:rPr>
          <w:b/>
          <w:bCs/>
          <w:sz w:val="18"/>
          <w:szCs w:val="18"/>
          <w:vertAlign w:val="subscript"/>
        </w:rPr>
        <w:t>O3</w:t>
      </w:r>
      <w:r>
        <w:rPr>
          <w:b/>
          <w:bCs/>
          <w:sz w:val="18"/>
          <w:szCs w:val="18"/>
        </w:rPr>
        <w:t xml:space="preserve">), with vertical bars for propagated error in the ratio. Model analyte loss shown as dashed lines representing outdoor sampling (8.7 hours, 40 </w:t>
      </w:r>
      <w:proofErr w:type="spellStart"/>
      <w:r>
        <w:rPr>
          <w:b/>
          <w:bCs/>
          <w:sz w:val="18"/>
          <w:szCs w:val="18"/>
        </w:rPr>
        <w:t>ppbv</w:t>
      </w:r>
      <w:proofErr w:type="spellEnd"/>
      <w:r>
        <w:rPr>
          <w:b/>
          <w:bCs/>
          <w:sz w:val="18"/>
          <w:szCs w:val="18"/>
        </w:rPr>
        <w:t xml:space="preserve">) and indoor sampling (13.5 hours, 5 </w:t>
      </w:r>
      <w:proofErr w:type="spellStart"/>
      <w:r>
        <w:rPr>
          <w:b/>
          <w:bCs/>
          <w:sz w:val="18"/>
          <w:szCs w:val="18"/>
        </w:rPr>
        <w:t>ppbv</w:t>
      </w:r>
      <w:proofErr w:type="spellEnd"/>
      <w:r>
        <w:rPr>
          <w:b/>
          <w:bCs/>
          <w:sz w:val="18"/>
          <w:szCs w:val="18"/>
        </w:rPr>
        <w:t>). Analytes and rate coefficients are given in Supplemental Table S2.</w:t>
      </w:r>
    </w:p>
    <w:bookmarkEnd w:id="15"/>
    <w:p w14:paraId="532C3230" w14:textId="01664815" w:rsidR="00893511" w:rsidRDefault="00893511" w:rsidP="00893511">
      <w:pPr>
        <w:jc w:val="center"/>
      </w:pPr>
    </w:p>
    <w:p w14:paraId="21288431" w14:textId="26434AC4" w:rsidR="00EE5580" w:rsidRDefault="006861E5" w:rsidP="00893511">
      <w:pPr>
        <w:jc w:val="center"/>
      </w:pPr>
      <w:r>
        <w:rPr>
          <w:noProof/>
        </w:rPr>
        <w:lastRenderedPageBreak/>
        <w:drawing>
          <wp:inline distT="0" distB="0" distL="0" distR="0" wp14:anchorId="7E97FDD1" wp14:editId="7C6CCB44">
            <wp:extent cx="3136900" cy="4432300"/>
            <wp:effectExtent l="0" t="0" r="6350" b="6350"/>
            <wp:docPr id="1087370755" name="Picture 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370755" name="Picture 3" descr="Char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36900" cy="4432300"/>
                    </a:xfrm>
                    <a:prstGeom prst="rect">
                      <a:avLst/>
                    </a:prstGeom>
                  </pic:spPr>
                </pic:pic>
              </a:graphicData>
            </a:graphic>
          </wp:inline>
        </w:drawing>
      </w:r>
    </w:p>
    <w:p w14:paraId="21D87218" w14:textId="3ED7EAF9" w:rsidR="00EE5580" w:rsidRDefault="00EE5580" w:rsidP="00EE5580">
      <w:pPr>
        <w:jc w:val="center"/>
        <w:rPr>
          <w:b/>
          <w:bCs/>
          <w:sz w:val="18"/>
          <w:szCs w:val="18"/>
        </w:rPr>
      </w:pPr>
      <w:r>
        <w:rPr>
          <w:b/>
          <w:bCs/>
          <w:sz w:val="18"/>
          <w:szCs w:val="18"/>
        </w:rPr>
        <w:t xml:space="preserve">Figure 4: Nine normalized values (daily measurement/aggregate mean) plotted against day for five (of 13) selected analytes. Samples were taken in spring in an indoor room containing plants arranged on a </w:t>
      </w:r>
      <w:proofErr w:type="spellStart"/>
      <w:r>
        <w:rPr>
          <w:b/>
          <w:bCs/>
          <w:sz w:val="18"/>
          <w:szCs w:val="18"/>
        </w:rPr>
        <w:t>greenwall</w:t>
      </w:r>
      <w:proofErr w:type="spellEnd"/>
      <w:r>
        <w:rPr>
          <w:b/>
          <w:bCs/>
          <w:sz w:val="18"/>
          <w:szCs w:val="18"/>
        </w:rPr>
        <w:t>.  Error bars are the standard deviation of the daily triplicate measurements.</w:t>
      </w:r>
    </w:p>
    <w:p w14:paraId="1D317D28" w14:textId="77777777" w:rsidR="00EE5580" w:rsidRPr="00EE5580" w:rsidRDefault="00EE5580" w:rsidP="00893511">
      <w:pPr>
        <w:jc w:val="center"/>
      </w:pPr>
    </w:p>
    <w:p w14:paraId="7B4AC252" w14:textId="77777777" w:rsidR="00893511" w:rsidRDefault="00893511" w:rsidP="00893511">
      <w:pPr>
        <w:jc w:val="center"/>
        <w:rPr>
          <w:lang w:val="en-US"/>
        </w:rPr>
      </w:pPr>
    </w:p>
    <w:p w14:paraId="598E0149" w14:textId="77777777" w:rsidR="00D02A0A" w:rsidRDefault="00D02A0A" w:rsidP="00893511">
      <w:pPr>
        <w:jc w:val="center"/>
        <w:rPr>
          <w:lang w:val="en-US"/>
        </w:rPr>
      </w:pPr>
    </w:p>
    <w:p w14:paraId="61BF374B" w14:textId="77777777" w:rsidR="00D02A0A" w:rsidRDefault="00D02A0A" w:rsidP="00893511">
      <w:pPr>
        <w:jc w:val="center"/>
        <w:rPr>
          <w:lang w:val="en-US"/>
        </w:rPr>
      </w:pPr>
    </w:p>
    <w:p w14:paraId="5C02BD1D" w14:textId="3401B833" w:rsidR="00D02A0A" w:rsidRDefault="00BE3CDB" w:rsidP="00893511">
      <w:pPr>
        <w:jc w:val="center"/>
        <w:rPr>
          <w:lang w:val="en-US"/>
        </w:rPr>
      </w:pPr>
      <w:r>
        <w:rPr>
          <w:noProof/>
          <w:lang w:val="en-US"/>
        </w:rPr>
        <w:lastRenderedPageBreak/>
        <w:drawing>
          <wp:inline distT="0" distB="0" distL="0" distR="0" wp14:anchorId="41045DA2" wp14:editId="700CA90F">
            <wp:extent cx="2609088" cy="2926080"/>
            <wp:effectExtent l="0" t="0" r="1270" b="7620"/>
            <wp:docPr id="1559946811" name="Picture 1" descr="A diagram of a gri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946811" name="Picture 1" descr="A diagram of a gri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2609088" cy="2926080"/>
                    </a:xfrm>
                    <a:prstGeom prst="rect">
                      <a:avLst/>
                    </a:prstGeom>
                  </pic:spPr>
                </pic:pic>
              </a:graphicData>
            </a:graphic>
          </wp:inline>
        </w:drawing>
      </w:r>
    </w:p>
    <w:p w14:paraId="3C3C3C37" w14:textId="608E2495" w:rsidR="00BE3CDB" w:rsidRPr="002711CE" w:rsidRDefault="00BE3CDB" w:rsidP="00BE3CDB">
      <w:pPr>
        <w:jc w:val="center"/>
        <w:rPr>
          <w:b/>
          <w:bCs/>
          <w:sz w:val="18"/>
          <w:szCs w:val="18"/>
        </w:rPr>
      </w:pPr>
      <w:r w:rsidRPr="002711CE">
        <w:rPr>
          <w:b/>
          <w:bCs/>
          <w:sz w:val="18"/>
          <w:szCs w:val="18"/>
        </w:rPr>
        <w:t xml:space="preserve">Figure </w:t>
      </w:r>
      <w:r w:rsidRPr="0014712E">
        <w:rPr>
          <w:b/>
          <w:bCs/>
          <w:sz w:val="18"/>
          <w:szCs w:val="18"/>
        </w:rPr>
        <w:t>5</w:t>
      </w:r>
      <w:r w:rsidRPr="002711CE">
        <w:rPr>
          <w:b/>
          <w:bCs/>
          <w:sz w:val="18"/>
          <w:szCs w:val="18"/>
        </w:rPr>
        <w:t>: A generalized sampling schematic showing an n x n grid with sampler movement marked by the arrows and oriented in the cardinal directions.</w:t>
      </w:r>
    </w:p>
    <w:p w14:paraId="3D04981D" w14:textId="77777777" w:rsidR="00BE3CDB" w:rsidRPr="002711CE" w:rsidRDefault="00BE3CDB" w:rsidP="00893511">
      <w:pPr>
        <w:jc w:val="center"/>
        <w:rPr>
          <w:sz w:val="18"/>
          <w:szCs w:val="18"/>
        </w:rPr>
      </w:pPr>
    </w:p>
    <w:p w14:paraId="1C5AD9F6" w14:textId="77777777" w:rsidR="00D02A0A" w:rsidRDefault="00D02A0A" w:rsidP="00893511">
      <w:pPr>
        <w:jc w:val="center"/>
        <w:rPr>
          <w:lang w:val="en-US"/>
        </w:rPr>
      </w:pPr>
    </w:p>
    <w:p w14:paraId="1FFB7EE7" w14:textId="77777777" w:rsidR="00D02A0A" w:rsidRDefault="00D02A0A" w:rsidP="00893511">
      <w:pPr>
        <w:jc w:val="center"/>
        <w:rPr>
          <w:lang w:val="en-US"/>
        </w:rPr>
      </w:pPr>
    </w:p>
    <w:p w14:paraId="46AE603D" w14:textId="77777777" w:rsidR="00D02A0A" w:rsidRDefault="00D02A0A" w:rsidP="00893511">
      <w:pPr>
        <w:jc w:val="center"/>
        <w:rPr>
          <w:lang w:val="en-US"/>
        </w:rPr>
      </w:pPr>
    </w:p>
    <w:p w14:paraId="59E73224" w14:textId="77777777" w:rsidR="00D02A0A" w:rsidRDefault="00D02A0A" w:rsidP="00893511">
      <w:pPr>
        <w:jc w:val="center"/>
        <w:rPr>
          <w:lang w:val="en-US"/>
        </w:rPr>
      </w:pPr>
    </w:p>
    <w:p w14:paraId="424403AA" w14:textId="77777777" w:rsidR="00D02A0A" w:rsidRDefault="00D02A0A" w:rsidP="00893511">
      <w:pPr>
        <w:jc w:val="center"/>
        <w:rPr>
          <w:lang w:val="en-US"/>
        </w:rPr>
      </w:pPr>
    </w:p>
    <w:p w14:paraId="6066D35E" w14:textId="5C1D1F07" w:rsidR="00D02A0A" w:rsidRDefault="00D02A0A" w:rsidP="00893511">
      <w:pPr>
        <w:jc w:val="center"/>
        <w:rPr>
          <w:lang w:val="en-US"/>
        </w:rPr>
      </w:pPr>
      <w:r>
        <w:rPr>
          <w:b/>
          <w:bCs/>
          <w:noProof/>
          <w:sz w:val="18"/>
          <w:szCs w:val="18"/>
        </w:rPr>
        <w:lastRenderedPageBreak/>
        <w:drawing>
          <wp:inline distT="0" distB="0" distL="0" distR="0" wp14:anchorId="643C2BC7" wp14:editId="5999BE82">
            <wp:extent cx="6372225" cy="2960058"/>
            <wp:effectExtent l="0" t="0" r="0" b="0"/>
            <wp:docPr id="4" name="Picture 4"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screenshot of a computer&#10;&#10;Description automatically generated with low confidenc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72225" cy="2960058"/>
                    </a:xfrm>
                    <a:prstGeom prst="rect">
                      <a:avLst/>
                    </a:prstGeom>
                    <a:noFill/>
                  </pic:spPr>
                </pic:pic>
              </a:graphicData>
            </a:graphic>
          </wp:inline>
        </w:drawing>
      </w:r>
    </w:p>
    <w:p w14:paraId="4D81EC27" w14:textId="77777777" w:rsidR="00D02A0A" w:rsidRDefault="00D02A0A" w:rsidP="00893511">
      <w:pPr>
        <w:jc w:val="center"/>
        <w:rPr>
          <w:lang w:val="en-US"/>
        </w:rPr>
      </w:pPr>
    </w:p>
    <w:p w14:paraId="46B20F4C" w14:textId="62F2E98B" w:rsidR="00D02A0A" w:rsidRPr="00966D6F" w:rsidRDefault="00D02A0A" w:rsidP="00D02A0A">
      <w:pPr>
        <w:jc w:val="left"/>
        <w:rPr>
          <w:b/>
          <w:bCs/>
          <w:sz w:val="18"/>
          <w:szCs w:val="18"/>
        </w:rPr>
      </w:pPr>
      <w:r>
        <w:rPr>
          <w:b/>
          <w:bCs/>
          <w:sz w:val="18"/>
          <w:szCs w:val="18"/>
        </w:rPr>
        <w:t xml:space="preserve">Figure </w:t>
      </w:r>
      <w:r w:rsidR="00BE3CDB">
        <w:rPr>
          <w:b/>
          <w:bCs/>
          <w:sz w:val="18"/>
          <w:szCs w:val="18"/>
        </w:rPr>
        <w:t>6</w:t>
      </w:r>
      <w:r>
        <w:rPr>
          <w:b/>
          <w:bCs/>
          <w:sz w:val="18"/>
          <w:szCs w:val="18"/>
        </w:rPr>
        <w:t xml:space="preserve">: Overview of transect mapping. Set up shown as (a) N-S and E-W transects sampled through a 5 x 5 grid of 5m x 5m grid cells with emission sources are shown as coloured squares, and (b) wind direction and speed measured during sampling. Results are shown as colour scales representing the minimum of the two transect-average concentration observed for each cell, with colour scales normalized between zero (no fill) and the maximum observed transect-average concentration for the compound (dark fill). Compounds are (c) dodecane, red, maximum concentration of 50 </w:t>
      </w:r>
      <w:proofErr w:type="spellStart"/>
      <w:r>
        <w:rPr>
          <w:b/>
          <w:bCs/>
          <w:sz w:val="18"/>
          <w:szCs w:val="18"/>
        </w:rPr>
        <w:t>pptv</w:t>
      </w:r>
      <w:proofErr w:type="spellEnd"/>
      <w:r>
        <w:rPr>
          <w:b/>
          <w:bCs/>
          <w:sz w:val="18"/>
          <w:szCs w:val="18"/>
        </w:rPr>
        <w:t xml:space="preserve">; (d) </w:t>
      </w:r>
      <w:proofErr w:type="spellStart"/>
      <w:r>
        <w:rPr>
          <w:b/>
          <w:bCs/>
          <w:sz w:val="18"/>
          <w:szCs w:val="18"/>
        </w:rPr>
        <w:t>decane</w:t>
      </w:r>
      <w:proofErr w:type="spellEnd"/>
      <w:r>
        <w:rPr>
          <w:b/>
          <w:bCs/>
          <w:sz w:val="18"/>
          <w:szCs w:val="18"/>
        </w:rPr>
        <w:t xml:space="preserve">, purple, maximum concentration of 2,600 </w:t>
      </w:r>
      <w:proofErr w:type="spellStart"/>
      <w:r>
        <w:rPr>
          <w:b/>
          <w:bCs/>
          <w:sz w:val="18"/>
          <w:szCs w:val="18"/>
        </w:rPr>
        <w:t>pptv</w:t>
      </w:r>
      <w:proofErr w:type="spellEnd"/>
      <w:r>
        <w:rPr>
          <w:b/>
          <w:bCs/>
          <w:sz w:val="18"/>
          <w:szCs w:val="18"/>
        </w:rPr>
        <w:t xml:space="preserve">; (e) adamantane, blue, maximum concentration of 7 </w:t>
      </w:r>
      <w:proofErr w:type="spellStart"/>
      <w:r>
        <w:rPr>
          <w:b/>
          <w:bCs/>
          <w:sz w:val="18"/>
          <w:szCs w:val="18"/>
        </w:rPr>
        <w:t>pptv</w:t>
      </w:r>
      <w:proofErr w:type="spellEnd"/>
      <w:r>
        <w:rPr>
          <w:b/>
          <w:bCs/>
          <w:sz w:val="18"/>
          <w:szCs w:val="18"/>
        </w:rPr>
        <w:t xml:space="preserve">, (f) </w:t>
      </w:r>
      <w:proofErr w:type="spellStart"/>
      <w:r>
        <w:rPr>
          <w:b/>
          <w:bCs/>
          <w:sz w:val="18"/>
          <w:szCs w:val="18"/>
        </w:rPr>
        <w:t>isoborneol</w:t>
      </w:r>
      <w:proofErr w:type="spellEnd"/>
      <w:r>
        <w:rPr>
          <w:b/>
          <w:bCs/>
          <w:sz w:val="18"/>
          <w:szCs w:val="18"/>
        </w:rPr>
        <w:t xml:space="preserve">, yellow, maximum concentration of 2 </w:t>
      </w:r>
      <w:proofErr w:type="spellStart"/>
      <w:r>
        <w:rPr>
          <w:b/>
          <w:bCs/>
          <w:sz w:val="18"/>
          <w:szCs w:val="18"/>
        </w:rPr>
        <w:t>pptv</w:t>
      </w:r>
      <w:proofErr w:type="spellEnd"/>
      <w:r>
        <w:rPr>
          <w:b/>
          <w:bCs/>
          <w:sz w:val="18"/>
          <w:szCs w:val="18"/>
        </w:rPr>
        <w:t xml:space="preserve">, and (g) α-pinene, green, maximum concentration of 400 </w:t>
      </w:r>
      <w:proofErr w:type="spellStart"/>
      <w:r>
        <w:rPr>
          <w:b/>
          <w:bCs/>
          <w:sz w:val="18"/>
          <w:szCs w:val="18"/>
        </w:rPr>
        <w:t>pptv</w:t>
      </w:r>
      <w:proofErr w:type="spellEnd"/>
      <w:r>
        <w:rPr>
          <w:b/>
          <w:bCs/>
          <w:sz w:val="18"/>
          <w:szCs w:val="18"/>
        </w:rPr>
        <w:t>. For each result grid, the emission location of the analyte is shown.</w:t>
      </w:r>
    </w:p>
    <w:p w14:paraId="7737EC37" w14:textId="77777777" w:rsidR="00D02A0A" w:rsidRPr="00D02A0A" w:rsidRDefault="00D02A0A" w:rsidP="00893511">
      <w:pPr>
        <w:jc w:val="center"/>
      </w:pPr>
    </w:p>
    <w:p w14:paraId="563E46CE" w14:textId="7B886887" w:rsidR="00F5258E" w:rsidRDefault="00F5258E" w:rsidP="003D5288"/>
    <w:p w14:paraId="2E2F22B5" w14:textId="1E3E832F" w:rsidR="003A4FB4" w:rsidRDefault="003A4FB4" w:rsidP="003A4FB4">
      <w:pPr>
        <w:pStyle w:val="Caption"/>
      </w:pPr>
    </w:p>
    <w:sectPr w:rsidR="003A4FB4" w:rsidSect="00F512A5">
      <w:footerReference w:type="default" r:id="rId14"/>
      <w:pgSz w:w="11907" w:h="13608"/>
      <w:pgMar w:top="567" w:right="936" w:bottom="1338" w:left="936" w:header="0" w:footer="737" w:gutter="0"/>
      <w:lnNumType w:countBy="5" w:distance="227"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E35C41" w14:textId="77777777" w:rsidR="00D51744" w:rsidRDefault="00D51744" w:rsidP="006D0C96">
      <w:pPr>
        <w:spacing w:line="240" w:lineRule="auto"/>
      </w:pPr>
      <w:r>
        <w:separator/>
      </w:r>
    </w:p>
  </w:endnote>
  <w:endnote w:type="continuationSeparator" w:id="0">
    <w:p w14:paraId="073B0131" w14:textId="77777777" w:rsidR="00D51744" w:rsidRDefault="00D51744" w:rsidP="006D0C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7788171"/>
      <w:docPartObj>
        <w:docPartGallery w:val="Page Numbers (Bottom of Page)"/>
        <w:docPartUnique/>
      </w:docPartObj>
    </w:sdtPr>
    <w:sdtEndPr>
      <w:rPr>
        <w:noProof/>
      </w:rPr>
    </w:sdtEndPr>
    <w:sdtContent>
      <w:p w14:paraId="5576ABD1" w14:textId="77777777" w:rsidR="006D0C96" w:rsidRDefault="006D0C96">
        <w:pPr>
          <w:pStyle w:val="Footer"/>
          <w:jc w:val="center"/>
        </w:pPr>
        <w:r>
          <w:fldChar w:fldCharType="begin"/>
        </w:r>
        <w:r>
          <w:instrText xml:space="preserve"> PAGE   \* MERGEFORMAT </w:instrText>
        </w:r>
        <w:r>
          <w:fldChar w:fldCharType="separate"/>
        </w:r>
        <w:r w:rsidR="003118C8">
          <w:rPr>
            <w:noProof/>
          </w:rPr>
          <w:t>2</w:t>
        </w:r>
        <w:r>
          <w:rPr>
            <w:noProof/>
          </w:rPr>
          <w:fldChar w:fldCharType="end"/>
        </w:r>
      </w:p>
    </w:sdtContent>
  </w:sdt>
  <w:p w14:paraId="44AA5123" w14:textId="77777777" w:rsidR="006D0C96" w:rsidRDefault="006D0C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5B9A15" w14:textId="77777777" w:rsidR="00D51744" w:rsidRDefault="00D51744" w:rsidP="006D0C96">
      <w:pPr>
        <w:spacing w:line="240" w:lineRule="auto"/>
      </w:pPr>
      <w:r>
        <w:separator/>
      </w:r>
    </w:p>
  </w:footnote>
  <w:footnote w:type="continuationSeparator" w:id="0">
    <w:p w14:paraId="5C077E88" w14:textId="77777777" w:rsidR="00D51744" w:rsidRDefault="00D51744" w:rsidP="006D0C9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94403"/>
    <w:multiLevelType w:val="hybridMultilevel"/>
    <w:tmpl w:val="E6ECA0A2"/>
    <w:lvl w:ilvl="0" w:tplc="35A460C0">
      <w:start w:val="1"/>
      <w:numFmt w:val="decimal"/>
      <w:lvlText w:val="%1."/>
      <w:lvlJc w:val="left"/>
      <w:pPr>
        <w:ind w:left="720" w:hanging="360"/>
      </w:pPr>
      <w:rPr>
        <w:rFonts w:ascii="Times New Roman" w:hAnsi="Times New Roman"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621EB8"/>
    <w:multiLevelType w:val="hybridMultilevel"/>
    <w:tmpl w:val="B3626938"/>
    <w:lvl w:ilvl="0" w:tplc="F29A847E">
      <w:start w:val="1"/>
      <w:numFmt w:val="bullet"/>
      <w:pStyle w:val="Bullets"/>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05780240">
    <w:abstractNumId w:val="1"/>
  </w:num>
  <w:num w:numId="2" w16cid:durableId="1476216129">
    <w:abstractNumId w:val="1"/>
  </w:num>
  <w:num w:numId="3" w16cid:durableId="9829278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64213"/>
    <w:rsid w:val="00017393"/>
    <w:rsid w:val="00034411"/>
    <w:rsid w:val="00041A84"/>
    <w:rsid w:val="0005690A"/>
    <w:rsid w:val="00073C8B"/>
    <w:rsid w:val="00075F28"/>
    <w:rsid w:val="00076DFE"/>
    <w:rsid w:val="000933AE"/>
    <w:rsid w:val="00095203"/>
    <w:rsid w:val="000A1B66"/>
    <w:rsid w:val="000C3A9F"/>
    <w:rsid w:val="000E3ADE"/>
    <w:rsid w:val="001050F5"/>
    <w:rsid w:val="00117F3B"/>
    <w:rsid w:val="001242AA"/>
    <w:rsid w:val="0013412B"/>
    <w:rsid w:val="0014712E"/>
    <w:rsid w:val="001A2475"/>
    <w:rsid w:val="001B4846"/>
    <w:rsid w:val="001B77B3"/>
    <w:rsid w:val="001C5EB9"/>
    <w:rsid w:val="001E32AA"/>
    <w:rsid w:val="00203F92"/>
    <w:rsid w:val="00210C80"/>
    <w:rsid w:val="002337F7"/>
    <w:rsid w:val="00255795"/>
    <w:rsid w:val="002711CE"/>
    <w:rsid w:val="00286B9F"/>
    <w:rsid w:val="002D7ECA"/>
    <w:rsid w:val="0030046B"/>
    <w:rsid w:val="003058E4"/>
    <w:rsid w:val="003118C8"/>
    <w:rsid w:val="00315219"/>
    <w:rsid w:val="003246FF"/>
    <w:rsid w:val="00335439"/>
    <w:rsid w:val="00350D27"/>
    <w:rsid w:val="00372AA6"/>
    <w:rsid w:val="0038283F"/>
    <w:rsid w:val="00386826"/>
    <w:rsid w:val="003A0ABF"/>
    <w:rsid w:val="003A0D2E"/>
    <w:rsid w:val="003A4FB4"/>
    <w:rsid w:val="003D5288"/>
    <w:rsid w:val="003E1DDA"/>
    <w:rsid w:val="003F78A5"/>
    <w:rsid w:val="0040609A"/>
    <w:rsid w:val="00412B93"/>
    <w:rsid w:val="004316D0"/>
    <w:rsid w:val="00435C8A"/>
    <w:rsid w:val="00450DB9"/>
    <w:rsid w:val="00463568"/>
    <w:rsid w:val="004964D0"/>
    <w:rsid w:val="004A0297"/>
    <w:rsid w:val="004D0F1A"/>
    <w:rsid w:val="004D5139"/>
    <w:rsid w:val="004E4F21"/>
    <w:rsid w:val="004E5DB6"/>
    <w:rsid w:val="00506379"/>
    <w:rsid w:val="00527B30"/>
    <w:rsid w:val="00536AE8"/>
    <w:rsid w:val="00542A82"/>
    <w:rsid w:val="0054790A"/>
    <w:rsid w:val="0055217B"/>
    <w:rsid w:val="00554CCF"/>
    <w:rsid w:val="00564213"/>
    <w:rsid w:val="00576DEC"/>
    <w:rsid w:val="005958FE"/>
    <w:rsid w:val="005A155A"/>
    <w:rsid w:val="005A4F32"/>
    <w:rsid w:val="00613AFA"/>
    <w:rsid w:val="006179C6"/>
    <w:rsid w:val="006326D7"/>
    <w:rsid w:val="00663483"/>
    <w:rsid w:val="00670F05"/>
    <w:rsid w:val="00675EB1"/>
    <w:rsid w:val="006861E5"/>
    <w:rsid w:val="006B67EB"/>
    <w:rsid w:val="006D0C96"/>
    <w:rsid w:val="006E2445"/>
    <w:rsid w:val="0070537F"/>
    <w:rsid w:val="00731217"/>
    <w:rsid w:val="00733CBB"/>
    <w:rsid w:val="00751A44"/>
    <w:rsid w:val="0078105C"/>
    <w:rsid w:val="00796A7F"/>
    <w:rsid w:val="007A7B96"/>
    <w:rsid w:val="007B2886"/>
    <w:rsid w:val="007C4DE1"/>
    <w:rsid w:val="007C549B"/>
    <w:rsid w:val="007E4F28"/>
    <w:rsid w:val="007F195E"/>
    <w:rsid w:val="007F6E5D"/>
    <w:rsid w:val="00803997"/>
    <w:rsid w:val="008261C3"/>
    <w:rsid w:val="0083429D"/>
    <w:rsid w:val="00837F77"/>
    <w:rsid w:val="00854E25"/>
    <w:rsid w:val="00854E41"/>
    <w:rsid w:val="00855006"/>
    <w:rsid w:val="00874C2A"/>
    <w:rsid w:val="00893511"/>
    <w:rsid w:val="008B66C0"/>
    <w:rsid w:val="008B719F"/>
    <w:rsid w:val="008D63A2"/>
    <w:rsid w:val="008E213F"/>
    <w:rsid w:val="008E3110"/>
    <w:rsid w:val="00904631"/>
    <w:rsid w:val="009150E4"/>
    <w:rsid w:val="0091791F"/>
    <w:rsid w:val="00932F15"/>
    <w:rsid w:val="00943440"/>
    <w:rsid w:val="00957093"/>
    <w:rsid w:val="00981061"/>
    <w:rsid w:val="009841DF"/>
    <w:rsid w:val="00990331"/>
    <w:rsid w:val="009B2C43"/>
    <w:rsid w:val="009D1078"/>
    <w:rsid w:val="009D38E2"/>
    <w:rsid w:val="009F2C0A"/>
    <w:rsid w:val="00A17EED"/>
    <w:rsid w:val="00A77E1E"/>
    <w:rsid w:val="00AC768C"/>
    <w:rsid w:val="00AE4157"/>
    <w:rsid w:val="00AE5EA3"/>
    <w:rsid w:val="00AE5F1B"/>
    <w:rsid w:val="00AE7A65"/>
    <w:rsid w:val="00AF10E6"/>
    <w:rsid w:val="00B146AE"/>
    <w:rsid w:val="00B149B1"/>
    <w:rsid w:val="00B4015F"/>
    <w:rsid w:val="00B5719D"/>
    <w:rsid w:val="00B57383"/>
    <w:rsid w:val="00B62878"/>
    <w:rsid w:val="00B65978"/>
    <w:rsid w:val="00B75342"/>
    <w:rsid w:val="00B76BB6"/>
    <w:rsid w:val="00B94288"/>
    <w:rsid w:val="00B94A58"/>
    <w:rsid w:val="00BD0523"/>
    <w:rsid w:val="00BE3CDB"/>
    <w:rsid w:val="00BF3143"/>
    <w:rsid w:val="00C048BE"/>
    <w:rsid w:val="00C12485"/>
    <w:rsid w:val="00C1589F"/>
    <w:rsid w:val="00C26311"/>
    <w:rsid w:val="00C35812"/>
    <w:rsid w:val="00C46E9A"/>
    <w:rsid w:val="00C60789"/>
    <w:rsid w:val="00C82F79"/>
    <w:rsid w:val="00C914A3"/>
    <w:rsid w:val="00CB498A"/>
    <w:rsid w:val="00CC51D0"/>
    <w:rsid w:val="00CD59BA"/>
    <w:rsid w:val="00D02A0A"/>
    <w:rsid w:val="00D03355"/>
    <w:rsid w:val="00D40CE0"/>
    <w:rsid w:val="00D469DB"/>
    <w:rsid w:val="00D51744"/>
    <w:rsid w:val="00DB08B2"/>
    <w:rsid w:val="00DB4E53"/>
    <w:rsid w:val="00DC5E52"/>
    <w:rsid w:val="00DC655D"/>
    <w:rsid w:val="00E00253"/>
    <w:rsid w:val="00E00339"/>
    <w:rsid w:val="00E142A8"/>
    <w:rsid w:val="00E27DEB"/>
    <w:rsid w:val="00E51591"/>
    <w:rsid w:val="00E861A5"/>
    <w:rsid w:val="00E9116C"/>
    <w:rsid w:val="00E96FD3"/>
    <w:rsid w:val="00EA7D38"/>
    <w:rsid w:val="00EC3271"/>
    <w:rsid w:val="00ED6B96"/>
    <w:rsid w:val="00EE4B07"/>
    <w:rsid w:val="00EE5580"/>
    <w:rsid w:val="00EE58C0"/>
    <w:rsid w:val="00EF082D"/>
    <w:rsid w:val="00F310E4"/>
    <w:rsid w:val="00F32440"/>
    <w:rsid w:val="00F35903"/>
    <w:rsid w:val="00F512A5"/>
    <w:rsid w:val="00F5258E"/>
    <w:rsid w:val="00F64C9C"/>
    <w:rsid w:val="00F924E5"/>
    <w:rsid w:val="00F93A79"/>
    <w:rsid w:val="00FC016A"/>
    <w:rsid w:val="00FC6FB4"/>
    <w:rsid w:val="00FC7FA7"/>
    <w:rsid w:val="00FF308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DBE553"/>
  <w15:docId w15:val="{D2CFD17B-36C5-4048-BB43-0059F9DAD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CE0"/>
    <w:pPr>
      <w:spacing w:line="360" w:lineRule="auto"/>
      <w:jc w:val="both"/>
    </w:pPr>
    <w:rPr>
      <w:rFonts w:ascii="Times New Roman" w:eastAsia="Times New Roman" w:hAnsi="Times New Roman"/>
      <w:szCs w:val="24"/>
      <w:lang w:eastAsia="de-DE"/>
    </w:rPr>
  </w:style>
  <w:style w:type="paragraph" w:styleId="Heading1">
    <w:name w:val="heading 1"/>
    <w:basedOn w:val="Normal"/>
    <w:next w:val="Normal"/>
    <w:link w:val="Heading1Char"/>
    <w:qFormat/>
    <w:rsid w:val="00075F28"/>
    <w:pPr>
      <w:keepNext/>
      <w:spacing w:before="480" w:after="240" w:line="240" w:lineRule="auto"/>
      <w:outlineLvl w:val="0"/>
    </w:pPr>
    <w:rPr>
      <w:rFonts w:cs="Arial"/>
      <w:b/>
      <w:bCs/>
      <w:color w:val="000000"/>
      <w:kern w:val="32"/>
      <w:szCs w:val="32"/>
    </w:rPr>
  </w:style>
  <w:style w:type="paragraph" w:styleId="Heading2">
    <w:name w:val="heading 2"/>
    <w:basedOn w:val="Normal"/>
    <w:next w:val="Normal"/>
    <w:link w:val="Heading2Char"/>
    <w:qFormat/>
    <w:rsid w:val="00E00339"/>
    <w:pPr>
      <w:keepNext/>
      <w:spacing w:before="240" w:after="240" w:line="240" w:lineRule="auto"/>
      <w:outlineLvl w:val="1"/>
    </w:pPr>
    <w:rPr>
      <w:rFonts w:cs="Arial"/>
      <w:b/>
      <w:bCs/>
      <w:iCs/>
      <w:szCs w:val="28"/>
    </w:rPr>
  </w:style>
  <w:style w:type="paragraph" w:styleId="Heading3">
    <w:name w:val="heading 3"/>
    <w:basedOn w:val="Normal"/>
    <w:next w:val="Normal"/>
    <w:link w:val="Heading3Char"/>
    <w:qFormat/>
    <w:rsid w:val="005A4F32"/>
    <w:pPr>
      <w:keepNext/>
      <w:spacing w:before="240" w:after="240" w:line="240" w:lineRule="auto"/>
      <w:outlineLvl w:val="2"/>
    </w:pPr>
    <w:rPr>
      <w:rFonts w:cs="Arial"/>
      <w:b/>
      <w:bCs/>
      <w:szCs w:val="26"/>
    </w:rPr>
  </w:style>
  <w:style w:type="paragraph" w:styleId="Heading4">
    <w:name w:val="heading 4"/>
    <w:basedOn w:val="Normal"/>
    <w:next w:val="Normal"/>
    <w:link w:val="Heading4Char"/>
    <w:rsid w:val="00ED6B96"/>
    <w:pPr>
      <w:keepNext/>
      <w:outlineLvl w:val="3"/>
    </w:pPr>
    <w:rPr>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etreff">
    <w:name w:val="Betreff"/>
    <w:basedOn w:val="Normal"/>
    <w:next w:val="Normal"/>
    <w:rsid w:val="00ED6B96"/>
    <w:rPr>
      <w:b/>
    </w:rPr>
  </w:style>
  <w:style w:type="paragraph" w:customStyle="1" w:styleId="Bullets">
    <w:name w:val="Bullets"/>
    <w:basedOn w:val="Normal"/>
    <w:link w:val="BulletsChar"/>
    <w:rsid w:val="00ED6B96"/>
    <w:pPr>
      <w:numPr>
        <w:numId w:val="2"/>
      </w:numPr>
    </w:pPr>
  </w:style>
  <w:style w:type="character" w:customStyle="1" w:styleId="BulletsChar">
    <w:name w:val="Bullets Char"/>
    <w:link w:val="Bullets"/>
    <w:rsid w:val="00ED6B96"/>
    <w:rPr>
      <w:rFonts w:ascii="Verdana" w:eastAsia="Times New Roman" w:hAnsi="Verdana" w:cs="Times New Roman"/>
      <w:sz w:val="19"/>
      <w:szCs w:val="24"/>
      <w:lang w:eastAsia="de-DE"/>
    </w:rPr>
  </w:style>
  <w:style w:type="table" w:customStyle="1" w:styleId="Copernicus">
    <w:name w:val="Copernicus"/>
    <w:basedOn w:val="TableNormal"/>
    <w:rsid w:val="00ED6B96"/>
    <w:rPr>
      <w:rFonts w:ascii="Verdana" w:eastAsia="Times New Roman" w:hAnsi="Verdana"/>
      <w:sz w:val="19"/>
    </w:rPr>
    <w:tblPr>
      <w:tblStyleRowBandSize w:val="1"/>
      <w:tblStyleColBandSize w:val="1"/>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Pr>
    <w:tcPr>
      <w:shd w:val="clear" w:color="auto" w:fill="auto"/>
      <w:vAlign w:val="center"/>
    </w:tcPr>
    <w:tblStylePr w:type="firstRow">
      <w:pPr>
        <w:jc w:val="left"/>
      </w:pPr>
      <w:rPr>
        <w:rFonts w:ascii="Verdana" w:hAnsi="Verdana"/>
        <w:b/>
        <w:i w:val="0"/>
        <w:sz w:val="19"/>
      </w:rPr>
      <w:tblPr/>
      <w:tcPr>
        <w:shd w:val="clear" w:color="auto" w:fill="BFBFBF"/>
      </w:tcPr>
    </w:tblStylePr>
    <w:tblStylePr w:type="lastRow">
      <w:pPr>
        <w:jc w:val="left"/>
      </w:pPr>
      <w:rPr>
        <w:rFonts w:ascii="Verdana" w:hAnsi="Verdana"/>
        <w:sz w:val="19"/>
      </w:rPr>
    </w:tblStylePr>
    <w:tblStylePr w:type="firstCol">
      <w:rPr>
        <w:rFonts w:ascii="Verdana" w:hAnsi="Verdana"/>
        <w:sz w:val="19"/>
      </w:rPr>
    </w:tblStylePr>
    <w:tblStylePr w:type="lastCol">
      <w:rPr>
        <w:rFonts w:ascii="Verdana" w:hAnsi="Verdana"/>
        <w:sz w:val="19"/>
      </w:rPr>
      <w:tblPr/>
      <w:tcPr>
        <w:tcBorders>
          <w:top w:val="single" w:sz="4" w:space="0" w:color="7F7F7F"/>
          <w:left w:val="single" w:sz="4" w:space="0" w:color="7F7F7F"/>
          <w:bottom w:val="single" w:sz="4" w:space="0" w:color="7F7F7F"/>
          <w:right w:val="single" w:sz="4" w:space="0" w:color="7F7F7F"/>
          <w:insideH w:val="single" w:sz="4" w:space="0" w:color="7F7F7F"/>
          <w:insideV w:val="single" w:sz="4" w:space="0" w:color="7F7F7F"/>
        </w:tcBorders>
      </w:tcPr>
    </w:tblStylePr>
  </w:style>
  <w:style w:type="paragraph" w:styleId="Header">
    <w:name w:val="header"/>
    <w:basedOn w:val="Normal"/>
    <w:link w:val="HeaderChar"/>
    <w:rsid w:val="00ED6B96"/>
    <w:pPr>
      <w:tabs>
        <w:tab w:val="center" w:pos="4536"/>
        <w:tab w:val="right" w:pos="9072"/>
      </w:tabs>
    </w:pPr>
  </w:style>
  <w:style w:type="character" w:customStyle="1" w:styleId="Heading1Char">
    <w:name w:val="Heading 1 Char"/>
    <w:link w:val="Heading1"/>
    <w:rsid w:val="00075F28"/>
    <w:rPr>
      <w:rFonts w:ascii="Times New Roman" w:eastAsia="Times New Roman" w:hAnsi="Times New Roman" w:cs="Arial"/>
      <w:b/>
      <w:bCs/>
      <w:color w:val="000000"/>
      <w:kern w:val="32"/>
      <w:szCs w:val="32"/>
      <w:lang w:eastAsia="de-DE"/>
    </w:rPr>
  </w:style>
  <w:style w:type="character" w:customStyle="1" w:styleId="Heading3Char">
    <w:name w:val="Heading 3 Char"/>
    <w:link w:val="Heading3"/>
    <w:rsid w:val="005A4F32"/>
    <w:rPr>
      <w:rFonts w:ascii="Times New Roman" w:eastAsia="Times New Roman" w:hAnsi="Times New Roman" w:cs="Arial"/>
      <w:b/>
      <w:bCs/>
      <w:szCs w:val="26"/>
      <w:lang w:eastAsia="de-DE"/>
    </w:rPr>
  </w:style>
  <w:style w:type="character" w:customStyle="1" w:styleId="Heading4Char">
    <w:name w:val="Heading 4 Char"/>
    <w:link w:val="Heading4"/>
    <w:rsid w:val="00796A7F"/>
    <w:rPr>
      <w:rFonts w:ascii="Verdana" w:eastAsia="Times New Roman" w:hAnsi="Verdana" w:cs="Times New Roman"/>
      <w:b/>
      <w:bCs/>
      <w:sz w:val="19"/>
      <w:szCs w:val="28"/>
      <w:lang w:eastAsia="de-DE"/>
    </w:rPr>
  </w:style>
  <w:style w:type="character" w:customStyle="1" w:styleId="HeaderChar">
    <w:name w:val="Header Char"/>
    <w:link w:val="Header"/>
    <w:rsid w:val="00ED6B96"/>
    <w:rPr>
      <w:rFonts w:ascii="Verdana" w:eastAsia="Times New Roman" w:hAnsi="Verdana" w:cs="Times New Roman"/>
      <w:sz w:val="19"/>
      <w:szCs w:val="24"/>
      <w:lang w:eastAsia="de-DE"/>
    </w:rPr>
  </w:style>
  <w:style w:type="character" w:customStyle="1" w:styleId="Heading2Char">
    <w:name w:val="Heading 2 Char"/>
    <w:link w:val="Heading2"/>
    <w:rsid w:val="00E00339"/>
    <w:rPr>
      <w:rFonts w:ascii="Times New Roman" w:eastAsia="Times New Roman" w:hAnsi="Times New Roman" w:cs="Arial"/>
      <w:b/>
      <w:bCs/>
      <w:iCs/>
      <w:szCs w:val="28"/>
      <w:lang w:eastAsia="de-DE"/>
    </w:rPr>
  </w:style>
  <w:style w:type="character" w:styleId="Hyperlink">
    <w:name w:val="Hyperlink"/>
    <w:rsid w:val="00ED6B96"/>
    <w:rPr>
      <w:color w:val="0000FF"/>
      <w:u w:val="single"/>
    </w:rPr>
  </w:style>
  <w:style w:type="paragraph" w:customStyle="1" w:styleId="Kontakt">
    <w:name w:val="Kontakt"/>
    <w:basedOn w:val="Normal"/>
    <w:rsid w:val="00ED6B96"/>
    <w:pPr>
      <w:spacing w:line="160" w:lineRule="exact"/>
    </w:pPr>
    <w:rPr>
      <w:color w:val="808080"/>
      <w:sz w:val="13"/>
    </w:rPr>
  </w:style>
  <w:style w:type="paragraph" w:customStyle="1" w:styleId="Name">
    <w:name w:val="Name"/>
    <w:basedOn w:val="Normal"/>
    <w:rsid w:val="00ED6B96"/>
    <w:pPr>
      <w:spacing w:before="160" w:after="80"/>
    </w:pPr>
    <w:rPr>
      <w:rFonts w:ascii="Book Antiqua" w:hAnsi="Book Antiqua"/>
      <w:color w:val="808080"/>
      <w:sz w:val="22"/>
    </w:rPr>
  </w:style>
  <w:style w:type="paragraph" w:customStyle="1" w:styleId="CopernicusWordtemplate">
    <w:name w:val="Copernicus_Word_template"/>
    <w:basedOn w:val="Normal"/>
    <w:link w:val="CopernicusWordtemplateChar"/>
    <w:rsid w:val="00B5719D"/>
  </w:style>
  <w:style w:type="character" w:customStyle="1" w:styleId="CopernicusWordtemplateChar">
    <w:name w:val="Copernicus_Word_template Char"/>
    <w:basedOn w:val="DefaultParagraphFont"/>
    <w:link w:val="CopernicusWordtemplate"/>
    <w:rsid w:val="00B5719D"/>
    <w:rPr>
      <w:rFonts w:ascii="Times New Roman" w:eastAsia="Times New Roman" w:hAnsi="Times New Roman"/>
      <w:sz w:val="24"/>
      <w:szCs w:val="24"/>
      <w:lang w:eastAsia="de-DE"/>
    </w:rPr>
  </w:style>
  <w:style w:type="character" w:styleId="LineNumber">
    <w:name w:val="line number"/>
    <w:basedOn w:val="DefaultParagraphFont"/>
    <w:uiPriority w:val="99"/>
    <w:semiHidden/>
    <w:unhideWhenUsed/>
    <w:rsid w:val="00D40CE0"/>
  </w:style>
  <w:style w:type="paragraph" w:customStyle="1" w:styleId="MStitle">
    <w:name w:val="MS title"/>
    <w:basedOn w:val="Normal"/>
    <w:link w:val="MStitleChar"/>
    <w:qFormat/>
    <w:rsid w:val="0091791F"/>
    <w:pPr>
      <w:spacing w:before="360" w:line="440" w:lineRule="exact"/>
      <w:contextualSpacing/>
    </w:pPr>
    <w:rPr>
      <w:b/>
      <w:sz w:val="34"/>
    </w:rPr>
  </w:style>
  <w:style w:type="paragraph" w:styleId="ListParagraph">
    <w:name w:val="List Paragraph"/>
    <w:basedOn w:val="Normal"/>
    <w:uiPriority w:val="34"/>
    <w:rsid w:val="00B4015F"/>
    <w:pPr>
      <w:ind w:left="720"/>
      <w:contextualSpacing/>
    </w:pPr>
  </w:style>
  <w:style w:type="character" w:customStyle="1" w:styleId="MStitleChar">
    <w:name w:val="MS title Char"/>
    <w:basedOn w:val="DefaultParagraphFont"/>
    <w:link w:val="MStitle"/>
    <w:rsid w:val="0091791F"/>
    <w:rPr>
      <w:rFonts w:ascii="Times New Roman" w:eastAsia="Times New Roman" w:hAnsi="Times New Roman"/>
      <w:b/>
      <w:sz w:val="34"/>
      <w:szCs w:val="24"/>
      <w:lang w:eastAsia="de-DE"/>
    </w:rPr>
  </w:style>
  <w:style w:type="paragraph" w:customStyle="1" w:styleId="Affiliation">
    <w:name w:val="Affiliation"/>
    <w:basedOn w:val="Normal"/>
    <w:link w:val="AffiliationChar"/>
    <w:qFormat/>
    <w:rsid w:val="00450DB9"/>
    <w:pPr>
      <w:spacing w:before="120" w:line="240" w:lineRule="auto"/>
      <w:contextualSpacing/>
    </w:pPr>
  </w:style>
  <w:style w:type="character" w:styleId="PlaceholderText">
    <w:name w:val="Placeholder Text"/>
    <w:basedOn w:val="DefaultParagraphFont"/>
    <w:uiPriority w:val="99"/>
    <w:semiHidden/>
    <w:rsid w:val="003D5288"/>
    <w:rPr>
      <w:color w:val="808080"/>
    </w:rPr>
  </w:style>
  <w:style w:type="character" w:customStyle="1" w:styleId="AffiliationChar">
    <w:name w:val="Affiliation Char"/>
    <w:basedOn w:val="DefaultParagraphFont"/>
    <w:link w:val="Affiliation"/>
    <w:rsid w:val="00450DB9"/>
    <w:rPr>
      <w:rFonts w:ascii="Times New Roman" w:eastAsia="Times New Roman" w:hAnsi="Times New Roman"/>
      <w:szCs w:val="24"/>
      <w:lang w:eastAsia="de-DE"/>
    </w:rPr>
  </w:style>
  <w:style w:type="paragraph" w:styleId="BalloonText">
    <w:name w:val="Balloon Text"/>
    <w:basedOn w:val="Normal"/>
    <w:link w:val="BalloonTextChar"/>
    <w:uiPriority w:val="99"/>
    <w:semiHidden/>
    <w:unhideWhenUsed/>
    <w:rsid w:val="003D528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5288"/>
    <w:rPr>
      <w:rFonts w:ascii="Tahoma" w:eastAsia="Times New Roman" w:hAnsi="Tahoma" w:cs="Tahoma"/>
      <w:sz w:val="16"/>
      <w:szCs w:val="16"/>
      <w:lang w:eastAsia="de-DE"/>
    </w:rPr>
  </w:style>
  <w:style w:type="paragraph" w:customStyle="1" w:styleId="Equation">
    <w:name w:val="Equation"/>
    <w:basedOn w:val="Normal"/>
    <w:link w:val="EquationChar"/>
    <w:rsid w:val="00C35812"/>
    <w:pPr>
      <w:spacing w:before="120" w:after="120"/>
    </w:pPr>
    <w:rPr>
      <w:rFonts w:ascii="Cambria Math" w:hAnsi="Cambria Math"/>
    </w:rPr>
  </w:style>
  <w:style w:type="paragraph" w:styleId="Caption">
    <w:name w:val="caption"/>
    <w:basedOn w:val="Normal"/>
    <w:next w:val="Normal"/>
    <w:uiPriority w:val="35"/>
    <w:unhideWhenUsed/>
    <w:qFormat/>
    <w:rsid w:val="003A4FB4"/>
    <w:pPr>
      <w:spacing w:after="200" w:line="240" w:lineRule="auto"/>
    </w:pPr>
    <w:rPr>
      <w:b/>
      <w:bCs/>
      <w:sz w:val="18"/>
      <w:szCs w:val="18"/>
    </w:rPr>
  </w:style>
  <w:style w:type="character" w:customStyle="1" w:styleId="EquationChar">
    <w:name w:val="Equation Char"/>
    <w:basedOn w:val="DefaultParagraphFont"/>
    <w:link w:val="Equation"/>
    <w:rsid w:val="00C35812"/>
    <w:rPr>
      <w:rFonts w:ascii="Cambria Math" w:eastAsia="Times New Roman" w:hAnsi="Cambria Math"/>
      <w:szCs w:val="24"/>
      <w:lang w:eastAsia="de-DE"/>
    </w:rPr>
  </w:style>
  <w:style w:type="paragraph" w:styleId="Footer">
    <w:name w:val="footer"/>
    <w:basedOn w:val="Normal"/>
    <w:link w:val="FooterChar"/>
    <w:uiPriority w:val="99"/>
    <w:unhideWhenUsed/>
    <w:rsid w:val="006D0C96"/>
    <w:pPr>
      <w:tabs>
        <w:tab w:val="center" w:pos="4513"/>
        <w:tab w:val="right" w:pos="9026"/>
      </w:tabs>
      <w:spacing w:line="240" w:lineRule="auto"/>
    </w:pPr>
  </w:style>
  <w:style w:type="character" w:customStyle="1" w:styleId="FooterChar">
    <w:name w:val="Footer Char"/>
    <w:basedOn w:val="DefaultParagraphFont"/>
    <w:link w:val="Footer"/>
    <w:uiPriority w:val="99"/>
    <w:rsid w:val="006D0C96"/>
    <w:rPr>
      <w:rFonts w:ascii="Times New Roman" w:eastAsia="Times New Roman" w:hAnsi="Times New Roman"/>
      <w:szCs w:val="24"/>
      <w:lang w:eastAsia="de-DE"/>
    </w:rPr>
  </w:style>
  <w:style w:type="paragraph" w:customStyle="1" w:styleId="Correspondence">
    <w:name w:val="Correspondence"/>
    <w:basedOn w:val="Normal"/>
    <w:link w:val="CorrespondenceChar"/>
    <w:qFormat/>
    <w:rsid w:val="008E213F"/>
    <w:pPr>
      <w:spacing w:before="120" w:after="360" w:line="240" w:lineRule="auto"/>
    </w:pPr>
  </w:style>
  <w:style w:type="character" w:customStyle="1" w:styleId="CorrespondenceChar">
    <w:name w:val="Correspondence Char"/>
    <w:basedOn w:val="DefaultParagraphFont"/>
    <w:link w:val="Correspondence"/>
    <w:rsid w:val="008E213F"/>
    <w:rPr>
      <w:rFonts w:ascii="Times New Roman" w:eastAsia="Times New Roman" w:hAnsi="Times New Roman"/>
      <w:szCs w:val="24"/>
      <w:lang w:eastAsia="de-DE"/>
    </w:rPr>
  </w:style>
  <w:style w:type="paragraph" w:customStyle="1" w:styleId="Authors">
    <w:name w:val="Authors"/>
    <w:basedOn w:val="Normal"/>
    <w:link w:val="AuthorsChar"/>
    <w:qFormat/>
    <w:rsid w:val="00BD0523"/>
    <w:pPr>
      <w:spacing w:before="180" w:line="240" w:lineRule="auto"/>
      <w:contextualSpacing/>
    </w:pPr>
    <w:rPr>
      <w:sz w:val="24"/>
    </w:rPr>
  </w:style>
  <w:style w:type="character" w:customStyle="1" w:styleId="AuthorsChar">
    <w:name w:val="Authors Char"/>
    <w:basedOn w:val="DefaultParagraphFont"/>
    <w:link w:val="Authors"/>
    <w:rsid w:val="00BD0523"/>
    <w:rPr>
      <w:rFonts w:ascii="Times New Roman" w:eastAsia="Times New Roman" w:hAnsi="Times New Roman"/>
      <w:sz w:val="24"/>
      <w:szCs w:val="24"/>
      <w:lang w:eastAsia="de-DE"/>
    </w:rPr>
  </w:style>
  <w:style w:type="character" w:styleId="CommentReference">
    <w:name w:val="annotation reference"/>
    <w:uiPriority w:val="99"/>
    <w:semiHidden/>
    <w:unhideWhenUsed/>
    <w:rsid w:val="00350D27"/>
    <w:rPr>
      <w:sz w:val="16"/>
      <w:szCs w:val="16"/>
    </w:rPr>
  </w:style>
  <w:style w:type="paragraph" w:styleId="CommentText">
    <w:name w:val="annotation text"/>
    <w:basedOn w:val="Normal"/>
    <w:link w:val="CommentTextChar"/>
    <w:uiPriority w:val="99"/>
    <w:unhideWhenUsed/>
    <w:rsid w:val="00350D27"/>
    <w:pPr>
      <w:spacing w:after="160"/>
      <w:ind w:firstLine="720"/>
    </w:pPr>
    <w:rPr>
      <w:szCs w:val="20"/>
      <w:lang w:val="en-US" w:eastAsia="en-US"/>
    </w:rPr>
  </w:style>
  <w:style w:type="character" w:customStyle="1" w:styleId="CommentTextChar">
    <w:name w:val="Comment Text Char"/>
    <w:basedOn w:val="DefaultParagraphFont"/>
    <w:link w:val="CommentText"/>
    <w:uiPriority w:val="99"/>
    <w:rsid w:val="00350D27"/>
    <w:rPr>
      <w:rFonts w:ascii="Times New Roman" w:eastAsia="Times New Roman" w:hAnsi="Times New Roman"/>
      <w:lang w:val="en-US" w:eastAsia="en-US"/>
    </w:rPr>
  </w:style>
  <w:style w:type="paragraph" w:styleId="Revision">
    <w:name w:val="Revision"/>
    <w:hidden/>
    <w:uiPriority w:val="99"/>
    <w:semiHidden/>
    <w:rsid w:val="00FC016A"/>
    <w:rPr>
      <w:rFonts w:ascii="Times New Roman" w:eastAsia="Times New Roman" w:hAnsi="Times New Roman"/>
      <w:szCs w:val="24"/>
      <w:lang w:eastAsia="de-DE"/>
    </w:rPr>
  </w:style>
  <w:style w:type="paragraph" w:styleId="NormalWeb">
    <w:name w:val="Normal (Web)"/>
    <w:basedOn w:val="Normal"/>
    <w:uiPriority w:val="99"/>
    <w:unhideWhenUsed/>
    <w:rsid w:val="00095203"/>
    <w:pPr>
      <w:spacing w:before="100" w:beforeAutospacing="1" w:after="100" w:afterAutospacing="1" w:line="240" w:lineRule="auto"/>
      <w:jc w:val="left"/>
    </w:pPr>
    <w:rPr>
      <w:sz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CopernicusTemplates\Free-Forms\Blan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opernicus_Word_template">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A4FDE8-F468-4358-9F5B-AA26B12680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Blank.dotm</Template>
  <TotalTime>136</TotalTime>
  <Pages>22</Pages>
  <Words>26104</Words>
  <Characters>148795</Characters>
  <Application>Microsoft Office Word</Application>
  <DocSecurity>0</DocSecurity>
  <Lines>1239</Lines>
  <Paragraphs>349</Paragraphs>
  <ScaleCrop>false</ScaleCrop>
  <HeadingPairs>
    <vt:vector size="2" baseType="variant">
      <vt:variant>
        <vt:lpstr>Title</vt:lpstr>
      </vt:variant>
      <vt:variant>
        <vt:i4>1</vt:i4>
      </vt:variant>
    </vt:vector>
  </HeadingPairs>
  <TitlesOfParts>
    <vt:vector size="1" baseType="lpstr">
      <vt:lpstr>Blank</vt:lpstr>
    </vt:vector>
  </TitlesOfParts>
  <Company>Copernicus Gesellschaft mbH</Company>
  <LinksUpToDate>false</LinksUpToDate>
  <CharactersWithSpaces>174550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Blank</dc:title>
  <dc:creator>Martin Rasmussen</dc:creator>
  <cp:lastModifiedBy>Hurley, James</cp:lastModifiedBy>
  <cp:revision>6</cp:revision>
  <cp:lastPrinted>2023-05-09T12:51:00Z</cp:lastPrinted>
  <dcterms:created xsi:type="dcterms:W3CDTF">2023-08-21T16:02:00Z</dcterms:created>
  <dcterms:modified xsi:type="dcterms:W3CDTF">2023-08-24T13:09:00Z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http://www.zotero.org/styles/atmospheric-measurement-techniques</vt:lpwstr>
  </property>
  <property fmtid="{D5CDD505-2E9C-101B-9397-08002B2CF9AE}" pid="4" name="Mendeley Unique User Id_1">
    <vt:lpwstr>b023fc5f-646a-3bdb-80ca-a6f905e6e232</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http://www.zotero.org/styles/atmospheric-measurement-techniques</vt:lpwstr>
  </property>
  <property fmtid="{D5CDD505-2E9C-101B-9397-08002B2CF9AE}" pid="14" name="Mendeley Recent Style Name 4_1">
    <vt:lpwstr>Atmospheric Measurement Techniques</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http://www.zotero.org/styles/environmental-science-and-technology</vt:lpwstr>
  </property>
  <property fmtid="{D5CDD505-2E9C-101B-9397-08002B2CF9AE}" pid="18" name="Mendeley Recent Style Name 6_1">
    <vt:lpwstr>Environmental Science &amp; Technology</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